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BE038" w14:textId="1AC9A21C" w:rsidR="00B62358" w:rsidRPr="003C26C1" w:rsidRDefault="00B62358" w:rsidP="00B62358">
      <w:pPr>
        <w:rPr>
          <w:color w:val="000000"/>
        </w:rPr>
      </w:pPr>
      <w:r w:rsidRPr="003C26C1">
        <w:rPr>
          <w:b/>
          <w:bCs/>
          <w:color w:val="000000"/>
        </w:rPr>
        <w:t>FULLY-</w:t>
      </w:r>
      <w:r w:rsidRPr="003C26C1">
        <w:rPr>
          <w:b/>
          <w:color w:val="000000"/>
        </w:rPr>
        <w:t>COSTED EVALUATION PLAN</w:t>
      </w:r>
    </w:p>
    <w:p w14:paraId="2BA59A83" w14:textId="77777777" w:rsidR="00B62358" w:rsidRPr="003C26C1" w:rsidRDefault="00B62358" w:rsidP="00B62358">
      <w:pPr>
        <w:rPr>
          <w:color w:val="000000"/>
        </w:rPr>
      </w:pP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1467"/>
        <w:gridCol w:w="2023"/>
        <w:gridCol w:w="1085"/>
        <w:gridCol w:w="1343"/>
        <w:gridCol w:w="1017"/>
        <w:gridCol w:w="1161"/>
        <w:gridCol w:w="996"/>
        <w:gridCol w:w="1109"/>
      </w:tblGrid>
      <w:tr w:rsidR="00B62358" w:rsidRPr="00C052E9" w14:paraId="2F8A6C99" w14:textId="77777777" w:rsidTr="008E2CC4">
        <w:trPr>
          <w:trHeight w:val="845"/>
        </w:trPr>
        <w:tc>
          <w:tcPr>
            <w:tcW w:w="1077" w:type="pct"/>
            <w:shd w:val="clear" w:color="auto" w:fill="D9E2F3" w:themeFill="accent1" w:themeFillTint="33"/>
            <w:vAlign w:val="center"/>
          </w:tcPr>
          <w:p w14:paraId="0B256916" w14:textId="77777777" w:rsidR="00B62358" w:rsidRPr="00C052E9" w:rsidRDefault="00B62358" w:rsidP="008E2CC4">
            <w:pPr>
              <w:jc w:val="center"/>
              <w:rPr>
                <w:b/>
                <w:bCs/>
                <w:sz w:val="18"/>
                <w:szCs w:val="18"/>
              </w:rPr>
            </w:pPr>
            <w:r w:rsidRPr="00C052E9">
              <w:rPr>
                <w:b/>
                <w:bCs/>
                <w:sz w:val="18"/>
                <w:szCs w:val="18"/>
              </w:rPr>
              <w:t>UNDAF (or equivalent)</w:t>
            </w:r>
          </w:p>
          <w:p w14:paraId="353D2E22" w14:textId="77777777" w:rsidR="00B62358" w:rsidRPr="00C052E9" w:rsidRDefault="00B62358" w:rsidP="008E2CC4">
            <w:pPr>
              <w:jc w:val="center"/>
              <w:rPr>
                <w:b/>
                <w:bCs/>
                <w:sz w:val="18"/>
                <w:szCs w:val="18"/>
              </w:rPr>
            </w:pPr>
            <w:r w:rsidRPr="00C052E9">
              <w:rPr>
                <w:b/>
                <w:bCs/>
                <w:sz w:val="18"/>
                <w:szCs w:val="18"/>
              </w:rPr>
              <w:t xml:space="preserve">Outcome </w:t>
            </w:r>
          </w:p>
        </w:tc>
        <w:tc>
          <w:tcPr>
            <w:tcW w:w="566" w:type="pct"/>
            <w:shd w:val="clear" w:color="auto" w:fill="D9E2F3" w:themeFill="accent1" w:themeFillTint="33"/>
            <w:vAlign w:val="center"/>
          </w:tcPr>
          <w:p w14:paraId="071FB096" w14:textId="77777777" w:rsidR="00B62358" w:rsidRPr="00C052E9" w:rsidRDefault="00B62358" w:rsidP="008E2CC4">
            <w:pPr>
              <w:jc w:val="center"/>
              <w:rPr>
                <w:b/>
                <w:bCs/>
                <w:sz w:val="18"/>
                <w:szCs w:val="18"/>
              </w:rPr>
            </w:pPr>
            <w:r w:rsidRPr="00C052E9">
              <w:rPr>
                <w:b/>
                <w:bCs/>
                <w:sz w:val="18"/>
                <w:szCs w:val="18"/>
              </w:rPr>
              <w:t>UNDP Strategic Plan Outcome</w:t>
            </w:r>
          </w:p>
        </w:tc>
        <w:tc>
          <w:tcPr>
            <w:tcW w:w="780" w:type="pct"/>
            <w:shd w:val="clear" w:color="auto" w:fill="D9E2F3" w:themeFill="accent1" w:themeFillTint="33"/>
            <w:vAlign w:val="center"/>
          </w:tcPr>
          <w:p w14:paraId="65C622FC" w14:textId="77777777" w:rsidR="00B62358" w:rsidRPr="00C052E9" w:rsidRDefault="00B62358" w:rsidP="008E2CC4">
            <w:pPr>
              <w:jc w:val="center"/>
              <w:rPr>
                <w:b/>
                <w:bCs/>
                <w:sz w:val="18"/>
                <w:szCs w:val="18"/>
              </w:rPr>
            </w:pPr>
            <w:r w:rsidRPr="00C052E9">
              <w:rPr>
                <w:b/>
                <w:bCs/>
                <w:sz w:val="18"/>
                <w:szCs w:val="18"/>
              </w:rPr>
              <w:t>Evaluation Title</w:t>
            </w:r>
          </w:p>
        </w:tc>
        <w:tc>
          <w:tcPr>
            <w:tcW w:w="419" w:type="pct"/>
            <w:shd w:val="clear" w:color="auto" w:fill="D9E2F3" w:themeFill="accent1" w:themeFillTint="33"/>
            <w:vAlign w:val="center"/>
          </w:tcPr>
          <w:p w14:paraId="7D391C19" w14:textId="77777777" w:rsidR="00B62358" w:rsidRPr="00C052E9" w:rsidDel="00BA628C" w:rsidRDefault="00B62358" w:rsidP="008E2CC4">
            <w:pPr>
              <w:jc w:val="center"/>
              <w:rPr>
                <w:b/>
                <w:bCs/>
                <w:sz w:val="18"/>
                <w:szCs w:val="18"/>
              </w:rPr>
            </w:pPr>
            <w:r w:rsidRPr="00C052E9">
              <w:rPr>
                <w:b/>
                <w:bCs/>
                <w:sz w:val="18"/>
                <w:szCs w:val="18"/>
              </w:rPr>
              <w:t>Partners (joint evaluation)</w:t>
            </w:r>
          </w:p>
        </w:tc>
        <w:tc>
          <w:tcPr>
            <w:tcW w:w="518" w:type="pct"/>
            <w:shd w:val="clear" w:color="auto" w:fill="D9E2F3" w:themeFill="accent1" w:themeFillTint="33"/>
            <w:vAlign w:val="center"/>
          </w:tcPr>
          <w:p w14:paraId="12F7E345" w14:textId="77777777" w:rsidR="00B62358" w:rsidRPr="00C052E9" w:rsidRDefault="00B62358" w:rsidP="008E2CC4">
            <w:pPr>
              <w:jc w:val="center"/>
              <w:rPr>
                <w:b/>
                <w:bCs/>
                <w:sz w:val="18"/>
                <w:szCs w:val="18"/>
              </w:rPr>
            </w:pPr>
            <w:r w:rsidRPr="00C052E9">
              <w:rPr>
                <w:b/>
                <w:bCs/>
                <w:sz w:val="18"/>
                <w:szCs w:val="18"/>
              </w:rPr>
              <w:t>Evaluation commissioned by (if not UNDP)</w:t>
            </w:r>
          </w:p>
        </w:tc>
        <w:tc>
          <w:tcPr>
            <w:tcW w:w="388" w:type="pct"/>
            <w:shd w:val="clear" w:color="auto" w:fill="D9E2F3" w:themeFill="accent1" w:themeFillTint="33"/>
            <w:vAlign w:val="center"/>
          </w:tcPr>
          <w:p w14:paraId="4AD68F07" w14:textId="77777777" w:rsidR="00B62358" w:rsidRPr="00C052E9" w:rsidRDefault="00B62358" w:rsidP="008E2CC4">
            <w:pPr>
              <w:jc w:val="center"/>
              <w:rPr>
                <w:b/>
                <w:bCs/>
                <w:sz w:val="18"/>
                <w:szCs w:val="18"/>
              </w:rPr>
            </w:pPr>
            <w:r w:rsidRPr="00C052E9">
              <w:rPr>
                <w:b/>
                <w:bCs/>
                <w:sz w:val="18"/>
                <w:szCs w:val="18"/>
              </w:rPr>
              <w:t>Type of evaluation</w:t>
            </w:r>
          </w:p>
        </w:tc>
        <w:tc>
          <w:tcPr>
            <w:tcW w:w="448" w:type="pct"/>
            <w:shd w:val="clear" w:color="auto" w:fill="D9E2F3" w:themeFill="accent1" w:themeFillTint="33"/>
            <w:vAlign w:val="center"/>
          </w:tcPr>
          <w:p w14:paraId="2439EBE4" w14:textId="77777777" w:rsidR="00B62358" w:rsidRPr="00C052E9" w:rsidRDefault="00B62358" w:rsidP="008E2CC4">
            <w:pPr>
              <w:jc w:val="center"/>
              <w:rPr>
                <w:b/>
                <w:bCs/>
                <w:sz w:val="18"/>
                <w:szCs w:val="18"/>
              </w:rPr>
            </w:pPr>
            <w:r w:rsidRPr="00C052E9">
              <w:rPr>
                <w:b/>
                <w:bCs/>
                <w:sz w:val="18"/>
                <w:szCs w:val="18"/>
              </w:rPr>
              <w:t>Planned Evaluation Completion Date</w:t>
            </w:r>
            <w:r w:rsidRPr="00C052E9">
              <w:rPr>
                <w:rStyle w:val="FootnoteReference"/>
                <w:b/>
                <w:bCs/>
                <w:sz w:val="18"/>
                <w:szCs w:val="18"/>
              </w:rPr>
              <w:footnoteReference w:id="1"/>
            </w:r>
          </w:p>
        </w:tc>
        <w:tc>
          <w:tcPr>
            <w:tcW w:w="376" w:type="pct"/>
            <w:shd w:val="clear" w:color="auto" w:fill="D9E2F3" w:themeFill="accent1" w:themeFillTint="33"/>
            <w:vAlign w:val="center"/>
          </w:tcPr>
          <w:p w14:paraId="5D1B5654" w14:textId="77777777" w:rsidR="00B62358" w:rsidRPr="00C052E9" w:rsidRDefault="00B62358" w:rsidP="008E2CC4">
            <w:pPr>
              <w:jc w:val="center"/>
              <w:rPr>
                <w:b/>
                <w:bCs/>
                <w:sz w:val="18"/>
                <w:szCs w:val="18"/>
              </w:rPr>
            </w:pPr>
            <w:r w:rsidRPr="00C052E9">
              <w:rPr>
                <w:b/>
                <w:bCs/>
                <w:sz w:val="18"/>
                <w:szCs w:val="18"/>
              </w:rPr>
              <w:t>Estimated Cost</w:t>
            </w:r>
            <w:r w:rsidRPr="00C052E9">
              <w:rPr>
                <w:rStyle w:val="FootnoteReference"/>
                <w:b/>
                <w:bCs/>
                <w:sz w:val="18"/>
                <w:szCs w:val="18"/>
              </w:rPr>
              <w:footnoteReference w:id="2"/>
            </w:r>
          </w:p>
        </w:tc>
        <w:tc>
          <w:tcPr>
            <w:tcW w:w="428" w:type="pct"/>
            <w:shd w:val="clear" w:color="auto" w:fill="D9E2F3" w:themeFill="accent1" w:themeFillTint="33"/>
            <w:vAlign w:val="center"/>
          </w:tcPr>
          <w:p w14:paraId="7CCBBFCF" w14:textId="77777777" w:rsidR="00B62358" w:rsidRPr="00C052E9" w:rsidRDefault="00B62358" w:rsidP="008E2CC4">
            <w:pPr>
              <w:jc w:val="center"/>
              <w:rPr>
                <w:b/>
                <w:bCs/>
                <w:sz w:val="18"/>
                <w:szCs w:val="18"/>
              </w:rPr>
            </w:pPr>
            <w:r w:rsidRPr="00C052E9">
              <w:rPr>
                <w:b/>
                <w:bCs/>
                <w:sz w:val="18"/>
                <w:szCs w:val="18"/>
              </w:rPr>
              <w:t>Provisional Source of Funding</w:t>
            </w:r>
          </w:p>
        </w:tc>
      </w:tr>
      <w:tr w:rsidR="00B62358" w:rsidRPr="00C052E9" w14:paraId="3BD603D7" w14:textId="77777777" w:rsidTr="008E2CC4">
        <w:trPr>
          <w:trHeight w:val="3460"/>
        </w:trPr>
        <w:tc>
          <w:tcPr>
            <w:tcW w:w="1077" w:type="pct"/>
          </w:tcPr>
          <w:p w14:paraId="6C7501EC" w14:textId="77777777" w:rsidR="00B62358" w:rsidRPr="00C052E9" w:rsidRDefault="00B62358" w:rsidP="008E2CC4">
            <w:pPr>
              <w:rPr>
                <w:b/>
                <w:bCs/>
                <w:sz w:val="18"/>
                <w:szCs w:val="18"/>
              </w:rPr>
            </w:pPr>
            <w:r w:rsidRPr="00C052E9">
              <w:rPr>
                <w:b/>
                <w:bCs/>
                <w:sz w:val="18"/>
                <w:szCs w:val="18"/>
              </w:rPr>
              <w:t>Outcomes 1, 4, 6 and 9.</w:t>
            </w:r>
          </w:p>
        </w:tc>
        <w:tc>
          <w:tcPr>
            <w:tcW w:w="566" w:type="pct"/>
          </w:tcPr>
          <w:p w14:paraId="5FD79A7E" w14:textId="77777777" w:rsidR="00B62358" w:rsidRPr="00B46137" w:rsidRDefault="00B62358" w:rsidP="008E2CC4">
            <w:pPr>
              <w:rPr>
                <w:sz w:val="18"/>
                <w:szCs w:val="18"/>
              </w:rPr>
            </w:pPr>
            <w:r w:rsidRPr="00B46137">
              <w:rPr>
                <w:sz w:val="18"/>
                <w:szCs w:val="18"/>
              </w:rPr>
              <w:t>A. Eradicate poverty in all its forms and dimensions</w:t>
            </w:r>
          </w:p>
          <w:p w14:paraId="6D4EB301" w14:textId="77777777" w:rsidR="00B62358" w:rsidRPr="00B46137" w:rsidRDefault="00B62358" w:rsidP="008E2CC4">
            <w:pPr>
              <w:rPr>
                <w:sz w:val="18"/>
                <w:szCs w:val="18"/>
              </w:rPr>
            </w:pPr>
          </w:p>
          <w:p w14:paraId="7F362864" w14:textId="77777777" w:rsidR="00B62358" w:rsidRPr="00B46137" w:rsidRDefault="00B62358" w:rsidP="008E2CC4">
            <w:pPr>
              <w:rPr>
                <w:sz w:val="18"/>
                <w:szCs w:val="18"/>
              </w:rPr>
            </w:pPr>
            <w:r w:rsidRPr="00B46137">
              <w:rPr>
                <w:sz w:val="18"/>
                <w:szCs w:val="18"/>
              </w:rPr>
              <w:t>B. Accelerate structural transformations for sustainable development.</w:t>
            </w:r>
          </w:p>
          <w:p w14:paraId="5BB88E6B" w14:textId="77777777" w:rsidR="00B62358" w:rsidRPr="00B46137" w:rsidRDefault="00B62358" w:rsidP="008E2CC4">
            <w:pPr>
              <w:rPr>
                <w:sz w:val="18"/>
                <w:szCs w:val="18"/>
              </w:rPr>
            </w:pPr>
          </w:p>
          <w:p w14:paraId="523C9615" w14:textId="77777777" w:rsidR="00B62358" w:rsidRPr="00B46137" w:rsidRDefault="00B62358" w:rsidP="008E2CC4">
            <w:pPr>
              <w:rPr>
                <w:sz w:val="18"/>
                <w:szCs w:val="18"/>
              </w:rPr>
            </w:pPr>
            <w:r w:rsidRPr="00B46137">
              <w:rPr>
                <w:sz w:val="18"/>
                <w:szCs w:val="18"/>
              </w:rPr>
              <w:t>C. Build resilience to shocks and crises.</w:t>
            </w:r>
          </w:p>
          <w:p w14:paraId="79567D17" w14:textId="77777777" w:rsidR="00B62358" w:rsidRPr="00B46137" w:rsidRDefault="00B62358" w:rsidP="008E2CC4">
            <w:pPr>
              <w:rPr>
                <w:sz w:val="18"/>
                <w:szCs w:val="18"/>
              </w:rPr>
            </w:pPr>
          </w:p>
        </w:tc>
        <w:tc>
          <w:tcPr>
            <w:tcW w:w="780" w:type="pct"/>
            <w:shd w:val="clear" w:color="auto" w:fill="auto"/>
          </w:tcPr>
          <w:p w14:paraId="0609D6EB" w14:textId="77777777" w:rsidR="00B62358" w:rsidRPr="00B46137" w:rsidRDefault="00B62358" w:rsidP="008E2CC4">
            <w:pPr>
              <w:rPr>
                <w:sz w:val="18"/>
                <w:szCs w:val="18"/>
              </w:rPr>
            </w:pPr>
            <w:r w:rsidRPr="00B46137">
              <w:rPr>
                <w:sz w:val="18"/>
                <w:szCs w:val="18"/>
              </w:rPr>
              <w:t>UNSDCF Evaluation</w:t>
            </w:r>
          </w:p>
        </w:tc>
        <w:tc>
          <w:tcPr>
            <w:tcW w:w="419" w:type="pct"/>
          </w:tcPr>
          <w:p w14:paraId="428696B7" w14:textId="77777777" w:rsidR="00B62358" w:rsidRPr="00C052E9" w:rsidRDefault="00B62358" w:rsidP="008E2CC4">
            <w:pPr>
              <w:jc w:val="center"/>
              <w:rPr>
                <w:sz w:val="18"/>
                <w:szCs w:val="18"/>
              </w:rPr>
            </w:pPr>
            <w:r w:rsidRPr="00C052E9">
              <w:rPr>
                <w:sz w:val="18"/>
                <w:szCs w:val="18"/>
              </w:rPr>
              <w:t>N/A</w:t>
            </w:r>
          </w:p>
        </w:tc>
        <w:tc>
          <w:tcPr>
            <w:tcW w:w="518" w:type="pct"/>
          </w:tcPr>
          <w:p w14:paraId="4050BDCD" w14:textId="77777777" w:rsidR="00B62358" w:rsidRPr="00C052E9" w:rsidRDefault="00B62358" w:rsidP="008E2CC4">
            <w:pPr>
              <w:jc w:val="center"/>
              <w:rPr>
                <w:sz w:val="18"/>
                <w:szCs w:val="18"/>
              </w:rPr>
            </w:pPr>
            <w:r w:rsidRPr="00C052E9">
              <w:rPr>
                <w:sz w:val="18"/>
                <w:szCs w:val="18"/>
              </w:rPr>
              <w:t>UNS</w:t>
            </w:r>
          </w:p>
        </w:tc>
        <w:tc>
          <w:tcPr>
            <w:tcW w:w="388" w:type="pct"/>
          </w:tcPr>
          <w:p w14:paraId="748E3AB6" w14:textId="77777777" w:rsidR="00B62358" w:rsidRPr="00C052E9" w:rsidRDefault="00B62358" w:rsidP="008E2CC4">
            <w:pPr>
              <w:rPr>
                <w:sz w:val="18"/>
                <w:szCs w:val="18"/>
              </w:rPr>
            </w:pPr>
            <w:r w:rsidRPr="00C052E9">
              <w:rPr>
                <w:sz w:val="18"/>
                <w:szCs w:val="18"/>
              </w:rPr>
              <w:t>UNDAF Evaluation</w:t>
            </w:r>
          </w:p>
        </w:tc>
        <w:tc>
          <w:tcPr>
            <w:tcW w:w="448" w:type="pct"/>
          </w:tcPr>
          <w:p w14:paraId="0F6F3EC6" w14:textId="77777777" w:rsidR="00B62358" w:rsidRPr="00C052E9" w:rsidRDefault="00B62358" w:rsidP="008E2CC4">
            <w:pPr>
              <w:spacing w:before="40" w:after="40"/>
              <w:rPr>
                <w:sz w:val="18"/>
                <w:szCs w:val="18"/>
              </w:rPr>
            </w:pPr>
            <w:r w:rsidRPr="00C052E9">
              <w:rPr>
                <w:sz w:val="18"/>
                <w:szCs w:val="18"/>
              </w:rPr>
              <w:t>March 2025.</w:t>
            </w:r>
          </w:p>
        </w:tc>
        <w:tc>
          <w:tcPr>
            <w:tcW w:w="376" w:type="pct"/>
          </w:tcPr>
          <w:p w14:paraId="39C7DFB6" w14:textId="77777777" w:rsidR="00B62358" w:rsidRPr="00C052E9" w:rsidRDefault="00B62358" w:rsidP="008E2CC4">
            <w:pPr>
              <w:jc w:val="center"/>
              <w:rPr>
                <w:sz w:val="18"/>
                <w:szCs w:val="18"/>
              </w:rPr>
            </w:pPr>
            <w:r w:rsidRPr="00C052E9">
              <w:rPr>
                <w:sz w:val="18"/>
                <w:szCs w:val="18"/>
              </w:rPr>
              <w:t>$15,218</w:t>
            </w:r>
          </w:p>
        </w:tc>
        <w:tc>
          <w:tcPr>
            <w:tcW w:w="428" w:type="pct"/>
          </w:tcPr>
          <w:p w14:paraId="43DE2248" w14:textId="77777777" w:rsidR="00B62358" w:rsidRPr="00C052E9" w:rsidRDefault="00B62358" w:rsidP="008E2CC4">
            <w:pPr>
              <w:rPr>
                <w:rStyle w:val="CommentReference"/>
                <w:sz w:val="18"/>
                <w:szCs w:val="18"/>
                <w:lang w:eastAsia="uk-UA"/>
              </w:rPr>
            </w:pPr>
            <w:r>
              <w:rPr>
                <w:rStyle w:val="CommentReference"/>
                <w:sz w:val="18"/>
                <w:szCs w:val="18"/>
                <w:lang w:eastAsia="uk-UA"/>
              </w:rPr>
              <w:t>UNCO Budget</w:t>
            </w:r>
          </w:p>
        </w:tc>
      </w:tr>
      <w:tr w:rsidR="00B62358" w:rsidRPr="00C052E9" w14:paraId="59FAA68D" w14:textId="77777777" w:rsidTr="008E2CC4">
        <w:trPr>
          <w:trHeight w:val="3460"/>
        </w:trPr>
        <w:tc>
          <w:tcPr>
            <w:tcW w:w="1077" w:type="pct"/>
          </w:tcPr>
          <w:p w14:paraId="1C5E2739" w14:textId="77777777" w:rsidR="00B62358" w:rsidRPr="00C052E9" w:rsidRDefault="00B62358" w:rsidP="008E2CC4">
            <w:pPr>
              <w:rPr>
                <w:b/>
                <w:bCs/>
                <w:sz w:val="18"/>
                <w:szCs w:val="18"/>
              </w:rPr>
            </w:pPr>
            <w:r w:rsidRPr="00C052E9">
              <w:rPr>
                <w:b/>
                <w:bCs/>
                <w:sz w:val="18"/>
                <w:szCs w:val="18"/>
              </w:rPr>
              <w:lastRenderedPageBreak/>
              <w:t xml:space="preserve">Outcome 1: </w:t>
            </w:r>
            <w:r w:rsidRPr="00C052E9">
              <w:rPr>
                <w:color w:val="000000"/>
                <w:sz w:val="18"/>
                <w:szCs w:val="18"/>
              </w:rPr>
              <w:t>By 2025, the Mexican State has a comprehensive strategy for social development, combating multidimensional poverty and inequality, with an integrated approach to human rights, gender, interculturality, life cycle and territory, which incorporates redistributive mechanisms without leaving no one behind.</w:t>
            </w:r>
          </w:p>
        </w:tc>
        <w:tc>
          <w:tcPr>
            <w:tcW w:w="566" w:type="pct"/>
          </w:tcPr>
          <w:p w14:paraId="6313808F" w14:textId="77777777" w:rsidR="00B62358" w:rsidRPr="00C052E9" w:rsidRDefault="00B62358" w:rsidP="008E2CC4">
            <w:pPr>
              <w:rPr>
                <w:sz w:val="18"/>
                <w:szCs w:val="18"/>
              </w:rPr>
            </w:pPr>
            <w:r w:rsidRPr="00C052E9">
              <w:rPr>
                <w:sz w:val="18"/>
                <w:szCs w:val="18"/>
              </w:rPr>
              <w:t>A.</w:t>
            </w:r>
            <w:r w:rsidRPr="00C052E9">
              <w:rPr>
                <w:b/>
                <w:bCs/>
                <w:sz w:val="18"/>
                <w:szCs w:val="18"/>
              </w:rPr>
              <w:t xml:space="preserve"> </w:t>
            </w:r>
            <w:r w:rsidRPr="00C052E9">
              <w:rPr>
                <w:sz w:val="18"/>
                <w:szCs w:val="18"/>
              </w:rPr>
              <w:t>Eradicate poverty in all its forms and dimensions.</w:t>
            </w:r>
          </w:p>
        </w:tc>
        <w:tc>
          <w:tcPr>
            <w:tcW w:w="780" w:type="pct"/>
            <w:shd w:val="clear" w:color="auto" w:fill="auto"/>
          </w:tcPr>
          <w:p w14:paraId="7E37D965" w14:textId="77777777" w:rsidR="00B62358" w:rsidRPr="00B46137" w:rsidRDefault="00B62358" w:rsidP="008E2CC4">
            <w:pPr>
              <w:rPr>
                <w:sz w:val="18"/>
                <w:szCs w:val="18"/>
              </w:rPr>
            </w:pPr>
            <w:r w:rsidRPr="00B46137">
              <w:rPr>
                <w:sz w:val="18"/>
                <w:szCs w:val="18"/>
              </w:rPr>
              <w:t>Social and Economic Development Portfolio</w:t>
            </w:r>
            <w:r>
              <w:rPr>
                <w:sz w:val="18"/>
                <w:szCs w:val="18"/>
              </w:rPr>
              <w:t xml:space="preserve"> - </w:t>
            </w:r>
            <w:r w:rsidRPr="00B46137">
              <w:rPr>
                <w:sz w:val="18"/>
                <w:szCs w:val="18"/>
              </w:rPr>
              <w:t>Mid programme evaluation.</w:t>
            </w:r>
          </w:p>
        </w:tc>
        <w:tc>
          <w:tcPr>
            <w:tcW w:w="419" w:type="pct"/>
          </w:tcPr>
          <w:p w14:paraId="3F9BE3AA" w14:textId="77777777" w:rsidR="00B62358" w:rsidRPr="00C052E9" w:rsidRDefault="00B62358" w:rsidP="008E2CC4">
            <w:pPr>
              <w:jc w:val="center"/>
              <w:rPr>
                <w:sz w:val="18"/>
                <w:szCs w:val="18"/>
              </w:rPr>
            </w:pPr>
            <w:r w:rsidRPr="00C052E9">
              <w:rPr>
                <w:sz w:val="18"/>
                <w:szCs w:val="18"/>
              </w:rPr>
              <w:t>N/A</w:t>
            </w:r>
          </w:p>
        </w:tc>
        <w:tc>
          <w:tcPr>
            <w:tcW w:w="518" w:type="pct"/>
          </w:tcPr>
          <w:p w14:paraId="5A79C0DB" w14:textId="77777777" w:rsidR="00B62358" w:rsidRPr="00C052E9" w:rsidRDefault="00B62358" w:rsidP="008E2CC4">
            <w:pPr>
              <w:jc w:val="center"/>
              <w:rPr>
                <w:sz w:val="18"/>
                <w:szCs w:val="18"/>
              </w:rPr>
            </w:pPr>
            <w:r w:rsidRPr="00C052E9">
              <w:rPr>
                <w:sz w:val="18"/>
                <w:szCs w:val="18"/>
              </w:rPr>
              <w:t>N/A</w:t>
            </w:r>
          </w:p>
        </w:tc>
        <w:tc>
          <w:tcPr>
            <w:tcW w:w="388" w:type="pct"/>
          </w:tcPr>
          <w:p w14:paraId="0BE87212" w14:textId="77777777" w:rsidR="00B62358" w:rsidRPr="00C052E9" w:rsidRDefault="00B62358" w:rsidP="008E2CC4">
            <w:pPr>
              <w:rPr>
                <w:sz w:val="18"/>
                <w:szCs w:val="18"/>
              </w:rPr>
            </w:pPr>
            <w:r w:rsidRPr="00C052E9">
              <w:rPr>
                <w:sz w:val="18"/>
                <w:szCs w:val="18"/>
              </w:rPr>
              <w:t>Portfolio Evaluation</w:t>
            </w:r>
          </w:p>
        </w:tc>
        <w:tc>
          <w:tcPr>
            <w:tcW w:w="448" w:type="pct"/>
          </w:tcPr>
          <w:p w14:paraId="6F6CCE37" w14:textId="77777777" w:rsidR="00B62358" w:rsidRPr="00C052E9" w:rsidRDefault="00B62358" w:rsidP="008E2CC4">
            <w:pPr>
              <w:spacing w:before="40" w:after="40"/>
              <w:rPr>
                <w:sz w:val="18"/>
                <w:szCs w:val="18"/>
              </w:rPr>
            </w:pPr>
            <w:r w:rsidRPr="00C052E9">
              <w:rPr>
                <w:sz w:val="18"/>
                <w:szCs w:val="18"/>
              </w:rPr>
              <w:t>July 2023</w:t>
            </w:r>
          </w:p>
        </w:tc>
        <w:tc>
          <w:tcPr>
            <w:tcW w:w="376" w:type="pct"/>
          </w:tcPr>
          <w:p w14:paraId="3C2FFE3B" w14:textId="77777777" w:rsidR="00B62358" w:rsidRPr="00C052E9" w:rsidRDefault="00B62358" w:rsidP="008E2CC4">
            <w:pPr>
              <w:rPr>
                <w:sz w:val="18"/>
                <w:szCs w:val="18"/>
              </w:rPr>
            </w:pPr>
            <w:r>
              <w:rPr>
                <w:sz w:val="18"/>
                <w:szCs w:val="18"/>
              </w:rPr>
              <w:t>$20,000</w:t>
            </w:r>
          </w:p>
        </w:tc>
        <w:tc>
          <w:tcPr>
            <w:tcW w:w="428" w:type="pct"/>
          </w:tcPr>
          <w:p w14:paraId="1838E6CB"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Portfolio budget</w:t>
            </w:r>
          </w:p>
        </w:tc>
      </w:tr>
      <w:tr w:rsidR="00B62358" w:rsidRPr="00C052E9" w14:paraId="2EDF80AC" w14:textId="77777777" w:rsidTr="008E2CC4">
        <w:trPr>
          <w:trHeight w:val="3460"/>
        </w:trPr>
        <w:tc>
          <w:tcPr>
            <w:tcW w:w="1077" w:type="pct"/>
          </w:tcPr>
          <w:p w14:paraId="7FD460E3" w14:textId="77777777" w:rsidR="00B62358" w:rsidRPr="00C052E9" w:rsidRDefault="00B62358" w:rsidP="008E2CC4">
            <w:pPr>
              <w:jc w:val="center"/>
              <w:rPr>
                <w:sz w:val="18"/>
                <w:szCs w:val="18"/>
              </w:rPr>
            </w:pPr>
            <w:r w:rsidRPr="00C052E9">
              <w:rPr>
                <w:b/>
                <w:bCs/>
                <w:sz w:val="18"/>
                <w:szCs w:val="18"/>
              </w:rPr>
              <w:t>Outcome 6:</w:t>
            </w:r>
            <w:r w:rsidRPr="00C052E9">
              <w:rPr>
                <w:sz w:val="18"/>
                <w:szCs w:val="18"/>
              </w:rPr>
              <w:t xml:space="preserve"> By 2025, the Mexican State implements policies, strategies, and programs that allow moving towards a green economy that promotes the mitigation of climate change and the strengthening of the institutional framework, considering energy efficiency, the promotion of clean and renewable energy, as well as production, consumption, transportation, cities and sustainable agriculture; with a focus on health, human rights, gender, interculturality, life cycle and territory.</w:t>
            </w:r>
          </w:p>
        </w:tc>
        <w:tc>
          <w:tcPr>
            <w:tcW w:w="566" w:type="pct"/>
          </w:tcPr>
          <w:p w14:paraId="1195D35D" w14:textId="77777777" w:rsidR="00B62358" w:rsidRPr="00C052E9" w:rsidRDefault="00B62358" w:rsidP="008E2CC4">
            <w:pPr>
              <w:jc w:val="center"/>
              <w:rPr>
                <w:sz w:val="18"/>
                <w:szCs w:val="18"/>
              </w:rPr>
            </w:pPr>
            <w:r w:rsidRPr="00C052E9">
              <w:rPr>
                <w:sz w:val="18"/>
                <w:szCs w:val="18"/>
              </w:rPr>
              <w:t>C. Build resilience to shocks and crises.</w:t>
            </w:r>
          </w:p>
        </w:tc>
        <w:tc>
          <w:tcPr>
            <w:tcW w:w="780" w:type="pct"/>
            <w:shd w:val="clear" w:color="auto" w:fill="auto"/>
          </w:tcPr>
          <w:p w14:paraId="3BDA43AB" w14:textId="77777777" w:rsidR="00B62358" w:rsidRPr="00C052E9" w:rsidRDefault="00B62358" w:rsidP="008E2CC4">
            <w:pPr>
              <w:jc w:val="center"/>
              <w:rPr>
                <w:sz w:val="18"/>
                <w:szCs w:val="18"/>
              </w:rPr>
            </w:pPr>
            <w:r w:rsidRPr="00C47B20">
              <w:rPr>
                <w:sz w:val="18"/>
                <w:szCs w:val="18"/>
              </w:rPr>
              <w:t>FSP Environmentally Sound Management and Destruction of PCBs in Mexico: Second Stage</w:t>
            </w:r>
            <w:r>
              <w:rPr>
                <w:sz w:val="18"/>
                <w:szCs w:val="18"/>
              </w:rPr>
              <w:t xml:space="preserve"> -</w:t>
            </w:r>
            <w:r w:rsidRPr="00C052E9">
              <w:rPr>
                <w:sz w:val="18"/>
                <w:szCs w:val="18"/>
              </w:rPr>
              <w:t>Mid Term Evaluation</w:t>
            </w:r>
          </w:p>
        </w:tc>
        <w:tc>
          <w:tcPr>
            <w:tcW w:w="419" w:type="pct"/>
          </w:tcPr>
          <w:p w14:paraId="3F62C965" w14:textId="77777777" w:rsidR="00B62358" w:rsidRPr="00C052E9" w:rsidRDefault="00B62358" w:rsidP="008E2CC4">
            <w:pPr>
              <w:jc w:val="center"/>
              <w:rPr>
                <w:sz w:val="18"/>
                <w:szCs w:val="18"/>
              </w:rPr>
            </w:pPr>
            <w:r w:rsidRPr="00C052E9">
              <w:rPr>
                <w:sz w:val="18"/>
                <w:szCs w:val="18"/>
              </w:rPr>
              <w:t>N/A</w:t>
            </w:r>
          </w:p>
        </w:tc>
        <w:tc>
          <w:tcPr>
            <w:tcW w:w="518" w:type="pct"/>
          </w:tcPr>
          <w:p w14:paraId="4BD4EC1A" w14:textId="77777777" w:rsidR="00B62358" w:rsidRPr="00C052E9" w:rsidRDefault="00B62358" w:rsidP="008E2CC4">
            <w:pPr>
              <w:jc w:val="center"/>
              <w:rPr>
                <w:sz w:val="18"/>
                <w:szCs w:val="18"/>
              </w:rPr>
            </w:pPr>
            <w:r w:rsidRPr="00C052E9">
              <w:rPr>
                <w:sz w:val="18"/>
                <w:szCs w:val="18"/>
              </w:rPr>
              <w:t>GEF</w:t>
            </w:r>
          </w:p>
        </w:tc>
        <w:tc>
          <w:tcPr>
            <w:tcW w:w="388" w:type="pct"/>
          </w:tcPr>
          <w:p w14:paraId="42727511" w14:textId="77777777" w:rsidR="00B62358" w:rsidRPr="00C052E9" w:rsidRDefault="00B62358" w:rsidP="008E2CC4">
            <w:pPr>
              <w:jc w:val="center"/>
              <w:rPr>
                <w:sz w:val="18"/>
                <w:szCs w:val="18"/>
              </w:rPr>
            </w:pPr>
            <w:r w:rsidRPr="00C052E9">
              <w:rPr>
                <w:sz w:val="18"/>
                <w:szCs w:val="18"/>
              </w:rPr>
              <w:t>GEF</w:t>
            </w:r>
          </w:p>
        </w:tc>
        <w:tc>
          <w:tcPr>
            <w:tcW w:w="448" w:type="pct"/>
          </w:tcPr>
          <w:p w14:paraId="3C01DBED" w14:textId="77777777" w:rsidR="00B62358" w:rsidRPr="00C052E9" w:rsidRDefault="00B62358" w:rsidP="008E2CC4">
            <w:pPr>
              <w:spacing w:before="40" w:after="40"/>
              <w:jc w:val="center"/>
              <w:rPr>
                <w:sz w:val="18"/>
                <w:szCs w:val="18"/>
              </w:rPr>
            </w:pPr>
            <w:r w:rsidRPr="00C052E9">
              <w:rPr>
                <w:sz w:val="18"/>
                <w:szCs w:val="18"/>
              </w:rPr>
              <w:t>July 2021</w:t>
            </w:r>
          </w:p>
        </w:tc>
        <w:tc>
          <w:tcPr>
            <w:tcW w:w="376" w:type="pct"/>
          </w:tcPr>
          <w:p w14:paraId="2E5EE944" w14:textId="77777777" w:rsidR="00B62358" w:rsidRPr="00C052E9" w:rsidRDefault="00B62358" w:rsidP="008E2CC4">
            <w:pPr>
              <w:jc w:val="center"/>
              <w:rPr>
                <w:sz w:val="18"/>
                <w:szCs w:val="18"/>
              </w:rPr>
            </w:pPr>
            <w:r>
              <w:rPr>
                <w:sz w:val="18"/>
                <w:szCs w:val="18"/>
              </w:rPr>
              <w:t>$30,000</w:t>
            </w:r>
          </w:p>
        </w:tc>
        <w:tc>
          <w:tcPr>
            <w:tcW w:w="428" w:type="pct"/>
          </w:tcPr>
          <w:p w14:paraId="0A27AB33" w14:textId="77777777" w:rsidR="00B62358" w:rsidRPr="00C052E9" w:rsidRDefault="00B62358" w:rsidP="008E2CC4">
            <w:pPr>
              <w:jc w:val="center"/>
              <w:rPr>
                <w:rStyle w:val="CommentReference"/>
                <w:sz w:val="18"/>
                <w:szCs w:val="18"/>
                <w:lang w:eastAsia="uk-UA"/>
              </w:rPr>
            </w:pPr>
            <w:r w:rsidRPr="00C052E9">
              <w:rPr>
                <w:rStyle w:val="CommentReference"/>
                <w:sz w:val="18"/>
                <w:szCs w:val="18"/>
                <w:lang w:eastAsia="uk-UA"/>
              </w:rPr>
              <w:t>Project budget</w:t>
            </w:r>
          </w:p>
        </w:tc>
      </w:tr>
      <w:tr w:rsidR="00B62358" w:rsidRPr="00C052E9" w14:paraId="51DE9225" w14:textId="77777777" w:rsidTr="008E2CC4">
        <w:trPr>
          <w:trHeight w:val="3460"/>
        </w:trPr>
        <w:tc>
          <w:tcPr>
            <w:tcW w:w="1077" w:type="pct"/>
          </w:tcPr>
          <w:p w14:paraId="4F58025A" w14:textId="77777777" w:rsidR="00B62358" w:rsidRPr="00C052E9" w:rsidRDefault="00B62358" w:rsidP="008E2CC4">
            <w:pPr>
              <w:rPr>
                <w:sz w:val="18"/>
                <w:szCs w:val="18"/>
              </w:rPr>
            </w:pPr>
            <w:r w:rsidRPr="00C052E9">
              <w:rPr>
                <w:b/>
                <w:bCs/>
                <w:sz w:val="18"/>
                <w:szCs w:val="18"/>
              </w:rPr>
              <w:lastRenderedPageBreak/>
              <w:t>Outcome 6:</w:t>
            </w:r>
            <w:r w:rsidRPr="00C052E9">
              <w:rPr>
                <w:sz w:val="18"/>
                <w:szCs w:val="18"/>
              </w:rPr>
              <w:t xml:space="preserve"> By 2025, the Mexican State implements policies, strategies, and programs that allow moving towards a green economy that promotes the mitigation of climate change and the strengthening of the institutional framework, considering energy efficiency, the promotion of clean and renewable energy, as well as production, consumption, transportation, cities and sustainable agriculture; with a focus on health, human rights, gender, interculturality, life cycle and territory.</w:t>
            </w:r>
          </w:p>
        </w:tc>
        <w:tc>
          <w:tcPr>
            <w:tcW w:w="566" w:type="pct"/>
          </w:tcPr>
          <w:p w14:paraId="7E5F158D" w14:textId="77777777" w:rsidR="00B62358" w:rsidRPr="00C052E9" w:rsidRDefault="00B62358" w:rsidP="008E2CC4">
            <w:pPr>
              <w:rPr>
                <w:sz w:val="18"/>
                <w:szCs w:val="18"/>
              </w:rPr>
            </w:pPr>
            <w:r w:rsidRPr="00C052E9">
              <w:rPr>
                <w:sz w:val="18"/>
                <w:szCs w:val="18"/>
              </w:rPr>
              <w:t>C. Build resilience to shocks and crises.</w:t>
            </w:r>
          </w:p>
        </w:tc>
        <w:tc>
          <w:tcPr>
            <w:tcW w:w="780" w:type="pct"/>
            <w:shd w:val="clear" w:color="auto" w:fill="auto"/>
          </w:tcPr>
          <w:p w14:paraId="20CAC0C7" w14:textId="77777777" w:rsidR="00B62358" w:rsidRPr="00C052E9" w:rsidRDefault="00B62358" w:rsidP="008E2CC4">
            <w:pPr>
              <w:rPr>
                <w:b/>
                <w:bCs/>
                <w:sz w:val="18"/>
                <w:szCs w:val="18"/>
              </w:rPr>
            </w:pPr>
            <w:r w:rsidRPr="00C052E9">
              <w:rPr>
                <w:b/>
                <w:bCs/>
                <w:sz w:val="18"/>
                <w:szCs w:val="18"/>
              </w:rPr>
              <w:t>FSP Environmentally Sound Management and Destruction of PCBs in Mexico: Second Stage</w:t>
            </w:r>
          </w:p>
          <w:p w14:paraId="1D526431" w14:textId="77777777" w:rsidR="00B62358" w:rsidRPr="00C052E9" w:rsidRDefault="00B62358" w:rsidP="008E2CC4">
            <w:pPr>
              <w:rPr>
                <w:sz w:val="18"/>
                <w:szCs w:val="18"/>
              </w:rPr>
            </w:pPr>
          </w:p>
          <w:p w14:paraId="7CDA73BB" w14:textId="77777777" w:rsidR="00B62358" w:rsidRPr="00C052E9" w:rsidRDefault="00B62358" w:rsidP="008E2CC4">
            <w:pPr>
              <w:rPr>
                <w:sz w:val="18"/>
                <w:szCs w:val="18"/>
              </w:rPr>
            </w:pPr>
            <w:r w:rsidRPr="00C052E9">
              <w:rPr>
                <w:sz w:val="18"/>
                <w:szCs w:val="18"/>
              </w:rPr>
              <w:t>Terminal Evaluation</w:t>
            </w:r>
          </w:p>
        </w:tc>
        <w:tc>
          <w:tcPr>
            <w:tcW w:w="419" w:type="pct"/>
          </w:tcPr>
          <w:p w14:paraId="6396B528" w14:textId="77777777" w:rsidR="00B62358" w:rsidRPr="00C052E9" w:rsidRDefault="00B62358" w:rsidP="008E2CC4">
            <w:pPr>
              <w:rPr>
                <w:sz w:val="18"/>
                <w:szCs w:val="18"/>
              </w:rPr>
            </w:pPr>
            <w:r w:rsidRPr="00C052E9">
              <w:rPr>
                <w:sz w:val="18"/>
                <w:szCs w:val="18"/>
              </w:rPr>
              <w:t xml:space="preserve">N/A </w:t>
            </w:r>
          </w:p>
        </w:tc>
        <w:tc>
          <w:tcPr>
            <w:tcW w:w="518" w:type="pct"/>
          </w:tcPr>
          <w:p w14:paraId="27B0B2D9" w14:textId="77777777" w:rsidR="00B62358" w:rsidRPr="00C052E9" w:rsidRDefault="00B62358" w:rsidP="008E2CC4">
            <w:pPr>
              <w:rPr>
                <w:sz w:val="18"/>
                <w:szCs w:val="18"/>
              </w:rPr>
            </w:pPr>
            <w:r w:rsidRPr="00C052E9">
              <w:rPr>
                <w:sz w:val="18"/>
                <w:szCs w:val="18"/>
              </w:rPr>
              <w:t>GEF</w:t>
            </w:r>
          </w:p>
        </w:tc>
        <w:tc>
          <w:tcPr>
            <w:tcW w:w="388" w:type="pct"/>
          </w:tcPr>
          <w:p w14:paraId="40C9F737" w14:textId="77777777" w:rsidR="00B62358" w:rsidRPr="00C052E9" w:rsidRDefault="00B62358" w:rsidP="008E2CC4">
            <w:pPr>
              <w:rPr>
                <w:sz w:val="18"/>
                <w:szCs w:val="18"/>
              </w:rPr>
            </w:pPr>
            <w:r w:rsidRPr="00C052E9">
              <w:rPr>
                <w:sz w:val="18"/>
                <w:szCs w:val="18"/>
              </w:rPr>
              <w:t>GEF</w:t>
            </w:r>
          </w:p>
        </w:tc>
        <w:tc>
          <w:tcPr>
            <w:tcW w:w="448" w:type="pct"/>
          </w:tcPr>
          <w:p w14:paraId="1F1DBE4B" w14:textId="77777777" w:rsidR="00B62358" w:rsidRPr="00C052E9" w:rsidRDefault="00B62358" w:rsidP="008E2CC4">
            <w:pPr>
              <w:spacing w:before="40" w:after="40"/>
              <w:rPr>
                <w:sz w:val="18"/>
                <w:szCs w:val="18"/>
              </w:rPr>
            </w:pPr>
            <w:r w:rsidRPr="00C052E9">
              <w:rPr>
                <w:sz w:val="18"/>
                <w:szCs w:val="18"/>
              </w:rPr>
              <w:t>September 2023</w:t>
            </w:r>
          </w:p>
        </w:tc>
        <w:tc>
          <w:tcPr>
            <w:tcW w:w="376" w:type="pct"/>
          </w:tcPr>
          <w:p w14:paraId="5319F765" w14:textId="77777777" w:rsidR="00B62358" w:rsidRPr="00C052E9" w:rsidRDefault="00B62358" w:rsidP="008E2CC4">
            <w:pPr>
              <w:jc w:val="center"/>
              <w:rPr>
                <w:sz w:val="18"/>
                <w:szCs w:val="18"/>
              </w:rPr>
            </w:pPr>
            <w:r>
              <w:rPr>
                <w:sz w:val="18"/>
                <w:szCs w:val="18"/>
              </w:rPr>
              <w:t>$50,000</w:t>
            </w:r>
          </w:p>
        </w:tc>
        <w:tc>
          <w:tcPr>
            <w:tcW w:w="428" w:type="pct"/>
          </w:tcPr>
          <w:p w14:paraId="2634C7B8"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4AC28E89" w14:textId="77777777" w:rsidTr="008E2CC4">
        <w:trPr>
          <w:trHeight w:val="60"/>
        </w:trPr>
        <w:tc>
          <w:tcPr>
            <w:tcW w:w="1077" w:type="pct"/>
          </w:tcPr>
          <w:p w14:paraId="62996709" w14:textId="77777777" w:rsidR="00B62358" w:rsidRPr="00C052E9" w:rsidRDefault="00B62358" w:rsidP="008E2CC4">
            <w:pPr>
              <w:rPr>
                <w:b/>
                <w:bCs/>
                <w:sz w:val="18"/>
                <w:szCs w:val="18"/>
                <w:lang w:val="en-GB"/>
              </w:rPr>
            </w:pPr>
            <w:r w:rsidRPr="00C052E9">
              <w:rPr>
                <w:b/>
                <w:bCs/>
                <w:sz w:val="18"/>
                <w:szCs w:val="18"/>
              </w:rPr>
              <w:t>Outcome 6:</w:t>
            </w:r>
            <w:r w:rsidRPr="00C052E9">
              <w:rPr>
                <w:sz w:val="18"/>
                <w:szCs w:val="18"/>
              </w:rPr>
              <w:t xml:space="preserve"> By 2025, the Mexican State implements policies, strategies, and programs that allow moving towards a green economy that promotes the mitigation of climate change and the strengthening of the institutional framework, considering energy efficiency, the promotion of clean and renewable energy, as well as production, consumption, transportation, cities and sustainable agriculture; with a focus on health, human rights, gender, interculturality, life cycle and territory.</w:t>
            </w:r>
          </w:p>
        </w:tc>
        <w:tc>
          <w:tcPr>
            <w:tcW w:w="566" w:type="pct"/>
            <w:shd w:val="clear" w:color="auto" w:fill="auto"/>
          </w:tcPr>
          <w:p w14:paraId="3212BD0E" w14:textId="77777777" w:rsidR="00B62358" w:rsidRPr="00C052E9" w:rsidRDefault="00B62358" w:rsidP="008E2CC4">
            <w:pPr>
              <w:rPr>
                <w:sz w:val="18"/>
                <w:szCs w:val="18"/>
                <w:lang w:val="en-GB"/>
              </w:rPr>
            </w:pPr>
            <w:r w:rsidRPr="00C052E9">
              <w:rPr>
                <w:sz w:val="18"/>
                <w:szCs w:val="18"/>
              </w:rPr>
              <w:t>C. Build resilience to shocks and crises.</w:t>
            </w:r>
          </w:p>
        </w:tc>
        <w:tc>
          <w:tcPr>
            <w:tcW w:w="780" w:type="pct"/>
            <w:shd w:val="clear" w:color="auto" w:fill="auto"/>
          </w:tcPr>
          <w:p w14:paraId="13EB946F" w14:textId="77777777" w:rsidR="00B62358" w:rsidRPr="00873A40" w:rsidRDefault="00B62358" w:rsidP="008E2CC4">
            <w:pPr>
              <w:rPr>
                <w:sz w:val="18"/>
                <w:szCs w:val="18"/>
                <w:lang w:val="en-GB"/>
              </w:rPr>
            </w:pPr>
            <w:r w:rsidRPr="00873A40">
              <w:rPr>
                <w:sz w:val="18"/>
                <w:szCs w:val="18"/>
              </w:rPr>
              <w:t>Management of POPs containing Waste in Mexico -</w:t>
            </w:r>
            <w:r>
              <w:rPr>
                <w:b/>
                <w:bCs/>
              </w:rPr>
              <w:t xml:space="preserve"> </w:t>
            </w:r>
            <w:r w:rsidRPr="00C052E9">
              <w:rPr>
                <w:sz w:val="18"/>
                <w:szCs w:val="18"/>
              </w:rPr>
              <w:t>Terminal Evaluation</w:t>
            </w:r>
          </w:p>
        </w:tc>
        <w:tc>
          <w:tcPr>
            <w:tcW w:w="419" w:type="pct"/>
            <w:shd w:val="clear" w:color="auto" w:fill="auto"/>
          </w:tcPr>
          <w:p w14:paraId="4FAA31B4" w14:textId="77777777" w:rsidR="00B62358" w:rsidRPr="00C052E9" w:rsidRDefault="00B62358" w:rsidP="008E2CC4">
            <w:pPr>
              <w:rPr>
                <w:sz w:val="18"/>
                <w:szCs w:val="18"/>
              </w:rPr>
            </w:pPr>
            <w:r w:rsidRPr="00C052E9">
              <w:rPr>
                <w:sz w:val="18"/>
                <w:szCs w:val="18"/>
              </w:rPr>
              <w:t>N/A</w:t>
            </w:r>
          </w:p>
        </w:tc>
        <w:tc>
          <w:tcPr>
            <w:tcW w:w="518" w:type="pct"/>
            <w:shd w:val="clear" w:color="auto" w:fill="auto"/>
          </w:tcPr>
          <w:p w14:paraId="4F4195E4" w14:textId="77777777" w:rsidR="00B62358" w:rsidRPr="00C052E9" w:rsidRDefault="00B62358" w:rsidP="008E2CC4">
            <w:pPr>
              <w:rPr>
                <w:sz w:val="18"/>
                <w:szCs w:val="18"/>
              </w:rPr>
            </w:pPr>
            <w:r w:rsidRPr="00C052E9">
              <w:rPr>
                <w:sz w:val="18"/>
                <w:szCs w:val="18"/>
              </w:rPr>
              <w:t>GEF</w:t>
            </w:r>
          </w:p>
        </w:tc>
        <w:tc>
          <w:tcPr>
            <w:tcW w:w="388" w:type="pct"/>
            <w:shd w:val="clear" w:color="auto" w:fill="auto"/>
          </w:tcPr>
          <w:p w14:paraId="22201AF4" w14:textId="77777777" w:rsidR="00B62358" w:rsidRPr="00C052E9" w:rsidRDefault="00B62358" w:rsidP="008E2CC4">
            <w:pPr>
              <w:rPr>
                <w:sz w:val="18"/>
                <w:szCs w:val="18"/>
              </w:rPr>
            </w:pPr>
            <w:r w:rsidRPr="00C052E9">
              <w:rPr>
                <w:sz w:val="18"/>
                <w:szCs w:val="18"/>
              </w:rPr>
              <w:t>GEF</w:t>
            </w:r>
          </w:p>
        </w:tc>
        <w:tc>
          <w:tcPr>
            <w:tcW w:w="448" w:type="pct"/>
          </w:tcPr>
          <w:p w14:paraId="44B6D549" w14:textId="77777777" w:rsidR="00B62358" w:rsidRPr="00C052E9" w:rsidRDefault="00B62358" w:rsidP="008E2CC4">
            <w:pPr>
              <w:spacing w:before="40" w:after="40"/>
              <w:rPr>
                <w:sz w:val="18"/>
                <w:szCs w:val="18"/>
              </w:rPr>
            </w:pPr>
            <w:r w:rsidRPr="00C052E9">
              <w:rPr>
                <w:sz w:val="18"/>
                <w:szCs w:val="18"/>
              </w:rPr>
              <w:t>November 2021</w:t>
            </w:r>
          </w:p>
        </w:tc>
        <w:tc>
          <w:tcPr>
            <w:tcW w:w="376" w:type="pct"/>
          </w:tcPr>
          <w:p w14:paraId="352138C6" w14:textId="77777777" w:rsidR="00B62358" w:rsidRPr="00C052E9" w:rsidRDefault="00B62358" w:rsidP="008E2CC4">
            <w:pPr>
              <w:jc w:val="center"/>
              <w:rPr>
                <w:sz w:val="18"/>
                <w:szCs w:val="18"/>
              </w:rPr>
            </w:pPr>
            <w:r>
              <w:rPr>
                <w:sz w:val="18"/>
                <w:szCs w:val="18"/>
              </w:rPr>
              <w:t>$50,000</w:t>
            </w:r>
          </w:p>
        </w:tc>
        <w:tc>
          <w:tcPr>
            <w:tcW w:w="428" w:type="pct"/>
          </w:tcPr>
          <w:p w14:paraId="568BC2F1"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786BF83D" w14:textId="77777777" w:rsidTr="008E2CC4">
        <w:trPr>
          <w:trHeight w:val="60"/>
        </w:trPr>
        <w:tc>
          <w:tcPr>
            <w:tcW w:w="1077" w:type="pct"/>
          </w:tcPr>
          <w:p w14:paraId="24E308B2" w14:textId="77777777" w:rsidR="00B62358" w:rsidRPr="00C052E9" w:rsidRDefault="00B62358" w:rsidP="008E2CC4">
            <w:pPr>
              <w:rPr>
                <w:b/>
                <w:bCs/>
                <w:sz w:val="18"/>
                <w:szCs w:val="18"/>
              </w:rPr>
            </w:pPr>
            <w:r w:rsidRPr="00C052E9">
              <w:rPr>
                <w:b/>
                <w:bCs/>
                <w:sz w:val="18"/>
                <w:szCs w:val="18"/>
              </w:rPr>
              <w:t>Outcome 6:</w:t>
            </w:r>
            <w:r w:rsidRPr="00C052E9">
              <w:rPr>
                <w:sz w:val="18"/>
                <w:szCs w:val="18"/>
              </w:rPr>
              <w:t xml:space="preserve"> By 2025, the Mexican State implements policies, strategies, and programs that allow moving towards a green economy that promotes the mitigation of climate change and the strengthening of the institutional framework, considering energy efficiency, the promotion of clean </w:t>
            </w:r>
            <w:r w:rsidRPr="00C052E9">
              <w:rPr>
                <w:sz w:val="18"/>
                <w:szCs w:val="18"/>
              </w:rPr>
              <w:lastRenderedPageBreak/>
              <w:t>and renewable energy, as well as production, consumption, transportation, cities and sustainable agriculture; with a focus on health, human rights, gender, interculturality, life cycle and territory.</w:t>
            </w:r>
          </w:p>
        </w:tc>
        <w:tc>
          <w:tcPr>
            <w:tcW w:w="566" w:type="pct"/>
            <w:shd w:val="clear" w:color="auto" w:fill="auto"/>
          </w:tcPr>
          <w:p w14:paraId="34D14FDC" w14:textId="77777777" w:rsidR="00B62358" w:rsidRPr="00C052E9" w:rsidRDefault="00B62358" w:rsidP="008E2CC4">
            <w:pPr>
              <w:rPr>
                <w:sz w:val="18"/>
                <w:szCs w:val="18"/>
              </w:rPr>
            </w:pPr>
            <w:r w:rsidRPr="00C052E9">
              <w:rPr>
                <w:sz w:val="18"/>
                <w:szCs w:val="18"/>
              </w:rPr>
              <w:lastRenderedPageBreak/>
              <w:t>C. Build resilience to shocks and crises.</w:t>
            </w:r>
          </w:p>
        </w:tc>
        <w:tc>
          <w:tcPr>
            <w:tcW w:w="780" w:type="pct"/>
            <w:shd w:val="clear" w:color="auto" w:fill="auto"/>
          </w:tcPr>
          <w:p w14:paraId="5CF1716E" w14:textId="77777777" w:rsidR="00B62358" w:rsidRPr="00873A40" w:rsidRDefault="00B62358" w:rsidP="008E2CC4">
            <w:pPr>
              <w:rPr>
                <w:sz w:val="18"/>
                <w:szCs w:val="18"/>
              </w:rPr>
            </w:pPr>
            <w:r w:rsidRPr="00873A40">
              <w:rPr>
                <w:sz w:val="18"/>
                <w:szCs w:val="18"/>
              </w:rPr>
              <w:t>FSP Sixth Operational Phase of the GEF-SGP</w:t>
            </w:r>
            <w:r>
              <w:rPr>
                <w:sz w:val="18"/>
                <w:szCs w:val="18"/>
              </w:rPr>
              <w:t xml:space="preserve"> - </w:t>
            </w:r>
            <w:r w:rsidRPr="00C052E9">
              <w:rPr>
                <w:sz w:val="18"/>
                <w:szCs w:val="18"/>
              </w:rPr>
              <w:t>Terminal Evaluation</w:t>
            </w:r>
          </w:p>
        </w:tc>
        <w:tc>
          <w:tcPr>
            <w:tcW w:w="419" w:type="pct"/>
            <w:shd w:val="clear" w:color="auto" w:fill="auto"/>
          </w:tcPr>
          <w:p w14:paraId="35995FE1" w14:textId="77777777" w:rsidR="00B62358" w:rsidRPr="00C052E9" w:rsidRDefault="00B62358" w:rsidP="008E2CC4">
            <w:pPr>
              <w:rPr>
                <w:sz w:val="18"/>
                <w:szCs w:val="18"/>
              </w:rPr>
            </w:pPr>
            <w:r w:rsidRPr="00C052E9">
              <w:rPr>
                <w:sz w:val="18"/>
                <w:szCs w:val="18"/>
              </w:rPr>
              <w:t>N/A</w:t>
            </w:r>
          </w:p>
        </w:tc>
        <w:tc>
          <w:tcPr>
            <w:tcW w:w="518" w:type="pct"/>
            <w:shd w:val="clear" w:color="auto" w:fill="auto"/>
          </w:tcPr>
          <w:p w14:paraId="58000930" w14:textId="77777777" w:rsidR="00B62358" w:rsidRPr="00C052E9" w:rsidRDefault="00B62358" w:rsidP="008E2CC4">
            <w:pPr>
              <w:rPr>
                <w:sz w:val="18"/>
                <w:szCs w:val="18"/>
              </w:rPr>
            </w:pPr>
            <w:r w:rsidRPr="00C052E9">
              <w:rPr>
                <w:sz w:val="18"/>
                <w:szCs w:val="18"/>
              </w:rPr>
              <w:t>GEF</w:t>
            </w:r>
          </w:p>
        </w:tc>
        <w:tc>
          <w:tcPr>
            <w:tcW w:w="388" w:type="pct"/>
            <w:shd w:val="clear" w:color="auto" w:fill="auto"/>
          </w:tcPr>
          <w:p w14:paraId="146D5719" w14:textId="77777777" w:rsidR="00B62358" w:rsidRPr="00C052E9" w:rsidRDefault="00B62358" w:rsidP="008E2CC4">
            <w:pPr>
              <w:rPr>
                <w:sz w:val="18"/>
                <w:szCs w:val="18"/>
              </w:rPr>
            </w:pPr>
            <w:r w:rsidRPr="00C052E9">
              <w:rPr>
                <w:sz w:val="18"/>
                <w:szCs w:val="18"/>
              </w:rPr>
              <w:t>GEF</w:t>
            </w:r>
          </w:p>
        </w:tc>
        <w:tc>
          <w:tcPr>
            <w:tcW w:w="448" w:type="pct"/>
          </w:tcPr>
          <w:p w14:paraId="41B319B2" w14:textId="77777777" w:rsidR="00B62358" w:rsidRPr="00C052E9" w:rsidRDefault="00B62358" w:rsidP="008E2CC4">
            <w:pPr>
              <w:spacing w:before="40" w:after="40"/>
              <w:rPr>
                <w:sz w:val="18"/>
                <w:szCs w:val="18"/>
              </w:rPr>
            </w:pPr>
            <w:r>
              <w:rPr>
                <w:sz w:val="18"/>
                <w:szCs w:val="18"/>
              </w:rPr>
              <w:t>June</w:t>
            </w:r>
            <w:r w:rsidRPr="00C052E9">
              <w:rPr>
                <w:sz w:val="18"/>
                <w:szCs w:val="18"/>
              </w:rPr>
              <w:t xml:space="preserve"> 2021</w:t>
            </w:r>
          </w:p>
        </w:tc>
        <w:tc>
          <w:tcPr>
            <w:tcW w:w="376" w:type="pct"/>
          </w:tcPr>
          <w:p w14:paraId="0EEDA3AC" w14:textId="77777777" w:rsidR="00B62358" w:rsidRPr="00C052E9" w:rsidRDefault="00B62358" w:rsidP="008E2CC4">
            <w:pPr>
              <w:rPr>
                <w:sz w:val="18"/>
                <w:szCs w:val="18"/>
              </w:rPr>
            </w:pPr>
            <w:r>
              <w:rPr>
                <w:sz w:val="18"/>
                <w:szCs w:val="18"/>
              </w:rPr>
              <w:t>$50,000</w:t>
            </w:r>
          </w:p>
        </w:tc>
        <w:tc>
          <w:tcPr>
            <w:tcW w:w="428" w:type="pct"/>
          </w:tcPr>
          <w:p w14:paraId="4DACC770"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02F8BCCB" w14:textId="77777777" w:rsidTr="008E2CC4">
        <w:trPr>
          <w:trHeight w:val="60"/>
        </w:trPr>
        <w:tc>
          <w:tcPr>
            <w:tcW w:w="1077" w:type="pct"/>
          </w:tcPr>
          <w:p w14:paraId="611F3338" w14:textId="77777777" w:rsidR="00B62358" w:rsidRPr="00C052E9" w:rsidRDefault="00B62358" w:rsidP="008E2CC4">
            <w:pPr>
              <w:rPr>
                <w:sz w:val="18"/>
                <w:szCs w:val="18"/>
                <w:lang w:val="en-GB"/>
              </w:rPr>
            </w:pPr>
            <w:r w:rsidRPr="00C052E9">
              <w:rPr>
                <w:b/>
                <w:bCs/>
                <w:sz w:val="18"/>
                <w:szCs w:val="18"/>
                <w:lang w:val="en-GB"/>
              </w:rPr>
              <w:t>Outcome 6:</w:t>
            </w:r>
            <w:r w:rsidRPr="00C052E9">
              <w:rPr>
                <w:sz w:val="18"/>
                <w:szCs w:val="18"/>
                <w:lang w:val="en-GB"/>
              </w:rPr>
              <w:t xml:space="preserve"> By 2025, the Mexican State implements policies, strategies, and programs that allow moving towards a green economy that promotes the mitigation of climate change and the strengthening of the institutional framework, considering energy efficiency, the promotion of clean and renewable energy, as well as production, consumption, transportation, cities and sustainable agriculture; with a focus on health, human rights, gender, interculturality, life cycle and territory.</w:t>
            </w:r>
          </w:p>
        </w:tc>
        <w:tc>
          <w:tcPr>
            <w:tcW w:w="566" w:type="pct"/>
          </w:tcPr>
          <w:p w14:paraId="04FCDD50" w14:textId="77777777" w:rsidR="00B62358" w:rsidRPr="00C052E9" w:rsidRDefault="00B62358" w:rsidP="008E2CC4">
            <w:pPr>
              <w:rPr>
                <w:sz w:val="18"/>
                <w:szCs w:val="18"/>
                <w:lang w:val="en-GB"/>
              </w:rPr>
            </w:pPr>
            <w:r w:rsidRPr="00C052E9">
              <w:rPr>
                <w:sz w:val="18"/>
                <w:szCs w:val="18"/>
                <w:lang w:val="en-GB"/>
              </w:rPr>
              <w:t>C. Build resilience to shocks and crises.</w:t>
            </w:r>
          </w:p>
        </w:tc>
        <w:tc>
          <w:tcPr>
            <w:tcW w:w="780" w:type="pct"/>
            <w:shd w:val="clear" w:color="auto" w:fill="auto"/>
          </w:tcPr>
          <w:p w14:paraId="73C3041A" w14:textId="77777777" w:rsidR="00B62358" w:rsidRPr="00C052E9" w:rsidRDefault="00B62358" w:rsidP="008E2CC4">
            <w:pPr>
              <w:rPr>
                <w:sz w:val="18"/>
                <w:szCs w:val="18"/>
                <w:lang w:val="es-MX"/>
              </w:rPr>
            </w:pPr>
            <w:r w:rsidRPr="00277D2C">
              <w:rPr>
                <w:sz w:val="18"/>
                <w:szCs w:val="18"/>
                <w:lang w:val="es-MX"/>
              </w:rPr>
              <w:t>FSP. Implementación Protocolo de Nagoya</w:t>
            </w:r>
            <w:r>
              <w:rPr>
                <w:sz w:val="18"/>
                <w:szCs w:val="18"/>
                <w:lang w:val="es-MX"/>
              </w:rPr>
              <w:t xml:space="preserve"> -</w:t>
            </w:r>
            <w:r w:rsidRPr="00C052E9">
              <w:rPr>
                <w:sz w:val="18"/>
                <w:szCs w:val="18"/>
                <w:lang w:val="es-MX"/>
              </w:rPr>
              <w:t xml:space="preserve">Terminal </w:t>
            </w:r>
            <w:proofErr w:type="spellStart"/>
            <w:r w:rsidRPr="00C052E9">
              <w:rPr>
                <w:sz w:val="18"/>
                <w:szCs w:val="18"/>
                <w:lang w:val="es-MX"/>
              </w:rPr>
              <w:t>Evaluation</w:t>
            </w:r>
            <w:proofErr w:type="spellEnd"/>
          </w:p>
        </w:tc>
        <w:tc>
          <w:tcPr>
            <w:tcW w:w="419" w:type="pct"/>
          </w:tcPr>
          <w:p w14:paraId="1B814292" w14:textId="77777777" w:rsidR="00B62358" w:rsidRPr="00C052E9" w:rsidRDefault="00B62358" w:rsidP="008E2CC4">
            <w:pPr>
              <w:rPr>
                <w:sz w:val="18"/>
                <w:szCs w:val="18"/>
                <w:lang w:val="en-GB"/>
              </w:rPr>
            </w:pPr>
            <w:r w:rsidRPr="00C052E9">
              <w:rPr>
                <w:sz w:val="18"/>
                <w:szCs w:val="18"/>
              </w:rPr>
              <w:t>N/A</w:t>
            </w:r>
          </w:p>
        </w:tc>
        <w:tc>
          <w:tcPr>
            <w:tcW w:w="518" w:type="pct"/>
          </w:tcPr>
          <w:p w14:paraId="48E3AEE2" w14:textId="77777777" w:rsidR="00B62358" w:rsidRPr="00C052E9" w:rsidRDefault="00B62358" w:rsidP="008E2CC4">
            <w:pPr>
              <w:rPr>
                <w:sz w:val="18"/>
                <w:szCs w:val="18"/>
              </w:rPr>
            </w:pPr>
            <w:r w:rsidRPr="00C052E9">
              <w:rPr>
                <w:sz w:val="18"/>
                <w:szCs w:val="18"/>
              </w:rPr>
              <w:t>GEF</w:t>
            </w:r>
          </w:p>
        </w:tc>
        <w:tc>
          <w:tcPr>
            <w:tcW w:w="388" w:type="pct"/>
          </w:tcPr>
          <w:p w14:paraId="61B8F7C1" w14:textId="77777777" w:rsidR="00B62358" w:rsidRPr="00C052E9" w:rsidRDefault="00B62358" w:rsidP="008E2CC4">
            <w:pPr>
              <w:rPr>
                <w:sz w:val="18"/>
                <w:szCs w:val="18"/>
              </w:rPr>
            </w:pPr>
            <w:r w:rsidRPr="00C052E9">
              <w:rPr>
                <w:sz w:val="18"/>
                <w:szCs w:val="18"/>
              </w:rPr>
              <w:t>GEF</w:t>
            </w:r>
          </w:p>
        </w:tc>
        <w:tc>
          <w:tcPr>
            <w:tcW w:w="448" w:type="pct"/>
          </w:tcPr>
          <w:p w14:paraId="10059749" w14:textId="77777777" w:rsidR="00B62358" w:rsidRPr="00C052E9" w:rsidRDefault="00B62358" w:rsidP="008E2CC4">
            <w:pPr>
              <w:spacing w:before="40" w:after="40"/>
              <w:rPr>
                <w:sz w:val="18"/>
                <w:szCs w:val="18"/>
              </w:rPr>
            </w:pPr>
            <w:r w:rsidRPr="00C052E9">
              <w:rPr>
                <w:sz w:val="18"/>
                <w:szCs w:val="18"/>
              </w:rPr>
              <w:t>September 2021</w:t>
            </w:r>
          </w:p>
        </w:tc>
        <w:tc>
          <w:tcPr>
            <w:tcW w:w="376" w:type="pct"/>
          </w:tcPr>
          <w:p w14:paraId="41897BC6" w14:textId="77777777" w:rsidR="00B62358" w:rsidRPr="00C052E9" w:rsidRDefault="00B62358" w:rsidP="008E2CC4">
            <w:pPr>
              <w:rPr>
                <w:sz w:val="18"/>
                <w:szCs w:val="18"/>
              </w:rPr>
            </w:pPr>
            <w:r>
              <w:rPr>
                <w:sz w:val="18"/>
                <w:szCs w:val="18"/>
              </w:rPr>
              <w:t>$50,000</w:t>
            </w:r>
          </w:p>
        </w:tc>
        <w:tc>
          <w:tcPr>
            <w:tcW w:w="428" w:type="pct"/>
          </w:tcPr>
          <w:p w14:paraId="525E33DE"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3ED85319" w14:textId="77777777" w:rsidTr="008E2CC4">
        <w:trPr>
          <w:trHeight w:val="60"/>
        </w:trPr>
        <w:tc>
          <w:tcPr>
            <w:tcW w:w="1077" w:type="pct"/>
          </w:tcPr>
          <w:p w14:paraId="1B6F75DD" w14:textId="77777777" w:rsidR="00B62358" w:rsidRPr="00C052E9" w:rsidRDefault="00B62358" w:rsidP="008E2CC4">
            <w:pPr>
              <w:rPr>
                <w:sz w:val="18"/>
                <w:szCs w:val="18"/>
                <w:lang w:val="en-GB"/>
              </w:rPr>
            </w:pPr>
            <w:r w:rsidRPr="00C052E9">
              <w:rPr>
                <w:b/>
                <w:bCs/>
                <w:sz w:val="18"/>
                <w:szCs w:val="18"/>
                <w:lang w:val="en-GB"/>
              </w:rPr>
              <w:t>Outcome 6:</w:t>
            </w:r>
            <w:r w:rsidRPr="00C052E9">
              <w:rPr>
                <w:sz w:val="18"/>
                <w:szCs w:val="18"/>
                <w:lang w:val="en-GB"/>
              </w:rPr>
              <w:t xml:space="preserve"> By 2025, the Mexican State implements policies, strategies, and programs that allow moving towards a green economy that promotes the mitigation of climate change and the strengthening of the institutional framework, considering energy efficiency, the promotion of clean and renewable energy, as well as production, consumption, transportation, cities and sustainable agriculture; with a focus on health, human rights, gender, interculturality, life cycle and territory.</w:t>
            </w:r>
          </w:p>
        </w:tc>
        <w:tc>
          <w:tcPr>
            <w:tcW w:w="566" w:type="pct"/>
          </w:tcPr>
          <w:p w14:paraId="1E096905" w14:textId="77777777" w:rsidR="00B62358" w:rsidRPr="00C052E9" w:rsidRDefault="00B62358" w:rsidP="008E2CC4">
            <w:pPr>
              <w:rPr>
                <w:sz w:val="18"/>
                <w:szCs w:val="18"/>
                <w:lang w:val="en-GB"/>
              </w:rPr>
            </w:pPr>
            <w:r w:rsidRPr="00C052E9">
              <w:rPr>
                <w:sz w:val="18"/>
                <w:szCs w:val="18"/>
                <w:lang w:val="en-GB"/>
              </w:rPr>
              <w:t>C. Build resilience to shocks and crises.</w:t>
            </w:r>
          </w:p>
        </w:tc>
        <w:tc>
          <w:tcPr>
            <w:tcW w:w="780" w:type="pct"/>
            <w:shd w:val="clear" w:color="auto" w:fill="auto"/>
          </w:tcPr>
          <w:p w14:paraId="6A0EA51A" w14:textId="77777777" w:rsidR="00B62358" w:rsidRPr="00CD3BD3" w:rsidRDefault="00B62358" w:rsidP="008E2CC4">
            <w:pPr>
              <w:rPr>
                <w:sz w:val="18"/>
                <w:szCs w:val="18"/>
                <w:lang w:val="es-MX"/>
              </w:rPr>
            </w:pPr>
            <w:r w:rsidRPr="00CD3BD3">
              <w:rPr>
                <w:sz w:val="18"/>
                <w:szCs w:val="18"/>
                <w:lang w:val="es-MX"/>
              </w:rPr>
              <w:t>FSP Integración de criterios de la Conservación de la Biodiversidad para el Sector Turístico en México con énfasis en los Ecosistemas Costeros Ricos en Biodiversidad</w:t>
            </w:r>
            <w:r>
              <w:rPr>
                <w:sz w:val="18"/>
                <w:szCs w:val="18"/>
                <w:lang w:val="es-MX"/>
              </w:rPr>
              <w:t xml:space="preserve"> - </w:t>
            </w:r>
            <w:proofErr w:type="spellStart"/>
            <w:r w:rsidRPr="00CD3BD3">
              <w:rPr>
                <w:sz w:val="18"/>
                <w:szCs w:val="18"/>
                <w:lang w:val="es-MX"/>
              </w:rPr>
              <w:t>Mid</w:t>
            </w:r>
            <w:proofErr w:type="spellEnd"/>
            <w:r w:rsidRPr="00CD3BD3">
              <w:rPr>
                <w:sz w:val="18"/>
                <w:szCs w:val="18"/>
                <w:lang w:val="es-MX"/>
              </w:rPr>
              <w:t xml:space="preserve"> </w:t>
            </w:r>
            <w:proofErr w:type="spellStart"/>
            <w:r w:rsidRPr="00CD3BD3">
              <w:rPr>
                <w:sz w:val="18"/>
                <w:szCs w:val="18"/>
                <w:lang w:val="es-MX"/>
              </w:rPr>
              <w:t>term</w:t>
            </w:r>
            <w:proofErr w:type="spellEnd"/>
            <w:r w:rsidRPr="00CD3BD3">
              <w:rPr>
                <w:sz w:val="18"/>
                <w:szCs w:val="18"/>
                <w:lang w:val="es-MX"/>
              </w:rPr>
              <w:t xml:space="preserve"> </w:t>
            </w:r>
            <w:proofErr w:type="spellStart"/>
            <w:r w:rsidRPr="00CD3BD3">
              <w:rPr>
                <w:sz w:val="18"/>
                <w:szCs w:val="18"/>
                <w:lang w:val="es-MX"/>
              </w:rPr>
              <w:t>Evaluation</w:t>
            </w:r>
            <w:proofErr w:type="spellEnd"/>
            <w:r>
              <w:rPr>
                <w:sz w:val="18"/>
                <w:szCs w:val="18"/>
                <w:lang w:val="es-MX"/>
              </w:rPr>
              <w:t xml:space="preserve">. </w:t>
            </w:r>
          </w:p>
          <w:p w14:paraId="4EE0D0CD" w14:textId="77777777" w:rsidR="00B62358" w:rsidRPr="00CD3BD3" w:rsidRDefault="00B62358" w:rsidP="008E2CC4">
            <w:pPr>
              <w:rPr>
                <w:sz w:val="18"/>
                <w:szCs w:val="18"/>
                <w:lang w:val="es-MX"/>
              </w:rPr>
            </w:pPr>
          </w:p>
        </w:tc>
        <w:tc>
          <w:tcPr>
            <w:tcW w:w="419" w:type="pct"/>
          </w:tcPr>
          <w:p w14:paraId="21B73A11" w14:textId="77777777" w:rsidR="00B62358" w:rsidRPr="00C052E9" w:rsidRDefault="00B62358" w:rsidP="008E2CC4">
            <w:pPr>
              <w:rPr>
                <w:sz w:val="18"/>
                <w:szCs w:val="18"/>
                <w:lang w:val="en-GB"/>
              </w:rPr>
            </w:pPr>
            <w:r w:rsidRPr="00C052E9">
              <w:rPr>
                <w:sz w:val="18"/>
                <w:szCs w:val="18"/>
              </w:rPr>
              <w:t>N/A</w:t>
            </w:r>
          </w:p>
        </w:tc>
        <w:tc>
          <w:tcPr>
            <w:tcW w:w="518" w:type="pct"/>
          </w:tcPr>
          <w:p w14:paraId="0D3B5FBE" w14:textId="77777777" w:rsidR="00B62358" w:rsidRPr="00C052E9" w:rsidRDefault="00B62358" w:rsidP="008E2CC4">
            <w:pPr>
              <w:rPr>
                <w:sz w:val="18"/>
                <w:szCs w:val="18"/>
              </w:rPr>
            </w:pPr>
            <w:r w:rsidRPr="00C052E9">
              <w:rPr>
                <w:sz w:val="18"/>
                <w:szCs w:val="18"/>
              </w:rPr>
              <w:t>GEF</w:t>
            </w:r>
          </w:p>
        </w:tc>
        <w:tc>
          <w:tcPr>
            <w:tcW w:w="388" w:type="pct"/>
          </w:tcPr>
          <w:p w14:paraId="39D4AD07" w14:textId="77777777" w:rsidR="00B62358" w:rsidRPr="00C052E9" w:rsidRDefault="00B62358" w:rsidP="008E2CC4">
            <w:pPr>
              <w:rPr>
                <w:sz w:val="18"/>
                <w:szCs w:val="18"/>
              </w:rPr>
            </w:pPr>
            <w:r w:rsidRPr="00C052E9">
              <w:rPr>
                <w:sz w:val="18"/>
                <w:szCs w:val="18"/>
              </w:rPr>
              <w:t>GEF</w:t>
            </w:r>
          </w:p>
        </w:tc>
        <w:tc>
          <w:tcPr>
            <w:tcW w:w="448" w:type="pct"/>
          </w:tcPr>
          <w:p w14:paraId="2EFEB771" w14:textId="77777777" w:rsidR="00B62358" w:rsidRPr="00C052E9" w:rsidRDefault="00B62358" w:rsidP="008E2CC4">
            <w:pPr>
              <w:spacing w:before="40" w:after="40"/>
              <w:rPr>
                <w:sz w:val="18"/>
                <w:szCs w:val="18"/>
              </w:rPr>
            </w:pPr>
            <w:r w:rsidRPr="00C052E9">
              <w:rPr>
                <w:sz w:val="18"/>
                <w:szCs w:val="18"/>
              </w:rPr>
              <w:t xml:space="preserve">September 2022 </w:t>
            </w:r>
          </w:p>
        </w:tc>
        <w:tc>
          <w:tcPr>
            <w:tcW w:w="376" w:type="pct"/>
          </w:tcPr>
          <w:p w14:paraId="7CD031FB" w14:textId="77777777" w:rsidR="00B62358" w:rsidRPr="00C052E9" w:rsidRDefault="00B62358" w:rsidP="008E2CC4">
            <w:pPr>
              <w:rPr>
                <w:sz w:val="18"/>
                <w:szCs w:val="18"/>
              </w:rPr>
            </w:pPr>
            <w:r>
              <w:rPr>
                <w:sz w:val="18"/>
                <w:szCs w:val="18"/>
              </w:rPr>
              <w:t>$30,000</w:t>
            </w:r>
          </w:p>
        </w:tc>
        <w:tc>
          <w:tcPr>
            <w:tcW w:w="428" w:type="pct"/>
          </w:tcPr>
          <w:p w14:paraId="5A1A5268"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191FF169" w14:textId="77777777" w:rsidTr="008E2CC4">
        <w:trPr>
          <w:trHeight w:val="60"/>
        </w:trPr>
        <w:tc>
          <w:tcPr>
            <w:tcW w:w="1077" w:type="pct"/>
          </w:tcPr>
          <w:p w14:paraId="0BF8AE77" w14:textId="77777777" w:rsidR="00B62358" w:rsidRPr="00C052E9" w:rsidRDefault="00B62358" w:rsidP="008E2CC4">
            <w:pPr>
              <w:rPr>
                <w:sz w:val="18"/>
                <w:szCs w:val="18"/>
                <w:lang w:val="en-GB"/>
              </w:rPr>
            </w:pPr>
            <w:r w:rsidRPr="00C052E9">
              <w:rPr>
                <w:b/>
                <w:bCs/>
                <w:sz w:val="18"/>
                <w:szCs w:val="18"/>
                <w:lang w:val="en-GB"/>
              </w:rPr>
              <w:t>Outcome 6:</w:t>
            </w:r>
            <w:r w:rsidRPr="00C052E9">
              <w:rPr>
                <w:sz w:val="18"/>
                <w:szCs w:val="18"/>
                <w:lang w:val="en-GB"/>
              </w:rPr>
              <w:t xml:space="preserve"> By 2025, the Mexican State implements policies, strategies, and programs that allow </w:t>
            </w:r>
            <w:r w:rsidRPr="00C052E9">
              <w:rPr>
                <w:sz w:val="18"/>
                <w:szCs w:val="18"/>
                <w:lang w:val="en-GB"/>
              </w:rPr>
              <w:lastRenderedPageBreak/>
              <w:t>moving towards a green economy that promotes the mitigation of climate change and the strengthening of the institutional framework, considering energy efficiency, the promotion of clean and renewable energy, as well as production, consumption, transportation, cities and sustainable agriculture; with a focus on health, human rights, gender, interculturality, life cycle and territory.</w:t>
            </w:r>
          </w:p>
        </w:tc>
        <w:tc>
          <w:tcPr>
            <w:tcW w:w="566" w:type="pct"/>
          </w:tcPr>
          <w:p w14:paraId="5E49D08A" w14:textId="77777777" w:rsidR="00B62358" w:rsidRPr="00C052E9" w:rsidRDefault="00B62358" w:rsidP="008E2CC4">
            <w:pPr>
              <w:rPr>
                <w:sz w:val="18"/>
                <w:szCs w:val="18"/>
                <w:lang w:val="en-GB"/>
              </w:rPr>
            </w:pPr>
            <w:r w:rsidRPr="00C052E9">
              <w:rPr>
                <w:sz w:val="18"/>
                <w:szCs w:val="18"/>
                <w:lang w:val="en-GB"/>
              </w:rPr>
              <w:lastRenderedPageBreak/>
              <w:t xml:space="preserve">C. Build resilience to </w:t>
            </w:r>
            <w:r w:rsidRPr="00C052E9">
              <w:rPr>
                <w:sz w:val="18"/>
                <w:szCs w:val="18"/>
                <w:lang w:val="en-GB"/>
              </w:rPr>
              <w:lastRenderedPageBreak/>
              <w:t>shocks and crises.</w:t>
            </w:r>
          </w:p>
        </w:tc>
        <w:tc>
          <w:tcPr>
            <w:tcW w:w="780" w:type="pct"/>
            <w:shd w:val="clear" w:color="auto" w:fill="auto"/>
          </w:tcPr>
          <w:p w14:paraId="50D218A5" w14:textId="77777777" w:rsidR="00B62358" w:rsidRPr="00C052E9" w:rsidRDefault="00B62358" w:rsidP="008E2CC4">
            <w:pPr>
              <w:rPr>
                <w:sz w:val="18"/>
                <w:szCs w:val="18"/>
                <w:lang w:val="es-MX"/>
              </w:rPr>
            </w:pPr>
            <w:r w:rsidRPr="00CD3BD3">
              <w:rPr>
                <w:sz w:val="18"/>
                <w:szCs w:val="18"/>
                <w:lang w:val="es-MX"/>
              </w:rPr>
              <w:lastRenderedPageBreak/>
              <w:t xml:space="preserve">FSP Integración de criterios de la Conservación de la </w:t>
            </w:r>
            <w:r w:rsidRPr="00CD3BD3">
              <w:rPr>
                <w:sz w:val="18"/>
                <w:szCs w:val="18"/>
                <w:lang w:val="es-MX"/>
              </w:rPr>
              <w:lastRenderedPageBreak/>
              <w:t>Biodiversidad para el Sector Turístico en México con énfasis en los Ecosistemas Costeros Ricos en Biodiversidad</w:t>
            </w:r>
            <w:r>
              <w:rPr>
                <w:sz w:val="18"/>
                <w:szCs w:val="18"/>
                <w:lang w:val="es-MX"/>
              </w:rPr>
              <w:t xml:space="preserve"> - </w:t>
            </w:r>
          </w:p>
          <w:p w14:paraId="27085BF7" w14:textId="77777777" w:rsidR="00B62358" w:rsidRPr="00C052E9" w:rsidRDefault="00B62358" w:rsidP="008E2CC4">
            <w:pPr>
              <w:rPr>
                <w:sz w:val="18"/>
                <w:szCs w:val="18"/>
              </w:rPr>
            </w:pPr>
            <w:r w:rsidRPr="00C052E9">
              <w:rPr>
                <w:sz w:val="18"/>
                <w:szCs w:val="18"/>
              </w:rPr>
              <w:t>Terminal Evaluation</w:t>
            </w:r>
            <w:r>
              <w:rPr>
                <w:sz w:val="18"/>
                <w:szCs w:val="18"/>
              </w:rPr>
              <w:t>.</w:t>
            </w:r>
          </w:p>
          <w:p w14:paraId="06BCED66" w14:textId="77777777" w:rsidR="00B62358" w:rsidRPr="00C052E9" w:rsidRDefault="00B62358" w:rsidP="008E2CC4">
            <w:pPr>
              <w:rPr>
                <w:sz w:val="18"/>
                <w:szCs w:val="18"/>
              </w:rPr>
            </w:pPr>
          </w:p>
        </w:tc>
        <w:tc>
          <w:tcPr>
            <w:tcW w:w="419" w:type="pct"/>
          </w:tcPr>
          <w:p w14:paraId="18EC0D4B" w14:textId="77777777" w:rsidR="00B62358" w:rsidRPr="00C052E9" w:rsidRDefault="00B62358" w:rsidP="008E2CC4">
            <w:pPr>
              <w:rPr>
                <w:sz w:val="18"/>
                <w:szCs w:val="18"/>
                <w:lang w:val="en-GB"/>
              </w:rPr>
            </w:pPr>
            <w:r w:rsidRPr="00C052E9">
              <w:rPr>
                <w:sz w:val="18"/>
                <w:szCs w:val="18"/>
              </w:rPr>
              <w:lastRenderedPageBreak/>
              <w:t>N/A</w:t>
            </w:r>
          </w:p>
        </w:tc>
        <w:tc>
          <w:tcPr>
            <w:tcW w:w="518" w:type="pct"/>
          </w:tcPr>
          <w:p w14:paraId="32C6A24E" w14:textId="77777777" w:rsidR="00B62358" w:rsidRPr="00C052E9" w:rsidRDefault="00B62358" w:rsidP="008E2CC4">
            <w:pPr>
              <w:rPr>
                <w:sz w:val="18"/>
                <w:szCs w:val="18"/>
              </w:rPr>
            </w:pPr>
            <w:r w:rsidRPr="00C052E9">
              <w:rPr>
                <w:sz w:val="18"/>
                <w:szCs w:val="18"/>
              </w:rPr>
              <w:t>GEF</w:t>
            </w:r>
          </w:p>
        </w:tc>
        <w:tc>
          <w:tcPr>
            <w:tcW w:w="388" w:type="pct"/>
          </w:tcPr>
          <w:p w14:paraId="094D5CB0" w14:textId="77777777" w:rsidR="00B62358" w:rsidRPr="00C052E9" w:rsidRDefault="00B62358" w:rsidP="008E2CC4">
            <w:pPr>
              <w:rPr>
                <w:sz w:val="18"/>
                <w:szCs w:val="18"/>
              </w:rPr>
            </w:pPr>
            <w:r w:rsidRPr="00C052E9">
              <w:rPr>
                <w:sz w:val="18"/>
                <w:szCs w:val="18"/>
              </w:rPr>
              <w:t>GEF</w:t>
            </w:r>
          </w:p>
        </w:tc>
        <w:tc>
          <w:tcPr>
            <w:tcW w:w="448" w:type="pct"/>
          </w:tcPr>
          <w:p w14:paraId="77E970F3" w14:textId="77777777" w:rsidR="00B62358" w:rsidRPr="00C052E9" w:rsidRDefault="00B62358" w:rsidP="008E2CC4">
            <w:pPr>
              <w:spacing w:before="40" w:after="40"/>
              <w:rPr>
                <w:sz w:val="18"/>
                <w:szCs w:val="18"/>
              </w:rPr>
            </w:pPr>
            <w:r w:rsidRPr="00C052E9">
              <w:rPr>
                <w:sz w:val="18"/>
                <w:szCs w:val="18"/>
              </w:rPr>
              <w:t>September 2025</w:t>
            </w:r>
          </w:p>
        </w:tc>
        <w:tc>
          <w:tcPr>
            <w:tcW w:w="376" w:type="pct"/>
          </w:tcPr>
          <w:p w14:paraId="519F1024" w14:textId="77777777" w:rsidR="00B62358" w:rsidRPr="00C052E9" w:rsidRDefault="00B62358" w:rsidP="008E2CC4">
            <w:pPr>
              <w:rPr>
                <w:sz w:val="18"/>
                <w:szCs w:val="18"/>
              </w:rPr>
            </w:pPr>
            <w:r>
              <w:rPr>
                <w:sz w:val="18"/>
                <w:szCs w:val="18"/>
              </w:rPr>
              <w:t>$50,000</w:t>
            </w:r>
          </w:p>
        </w:tc>
        <w:tc>
          <w:tcPr>
            <w:tcW w:w="428" w:type="pct"/>
          </w:tcPr>
          <w:p w14:paraId="5E3B0447"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7B34A153" w14:textId="77777777" w:rsidTr="008E2CC4">
        <w:trPr>
          <w:trHeight w:val="3460"/>
        </w:trPr>
        <w:tc>
          <w:tcPr>
            <w:tcW w:w="1077" w:type="pct"/>
          </w:tcPr>
          <w:p w14:paraId="797D05E8" w14:textId="77777777" w:rsidR="00B62358" w:rsidRPr="00C052E9" w:rsidRDefault="00B62358" w:rsidP="008E2CC4">
            <w:pPr>
              <w:rPr>
                <w:sz w:val="18"/>
                <w:szCs w:val="18"/>
              </w:rPr>
            </w:pPr>
            <w:r w:rsidRPr="00C052E9">
              <w:rPr>
                <w:b/>
                <w:bCs/>
                <w:sz w:val="18"/>
                <w:szCs w:val="18"/>
              </w:rPr>
              <w:t xml:space="preserve">Outcome 9: </w:t>
            </w:r>
            <w:r w:rsidRPr="00C052E9">
              <w:rPr>
                <w:sz w:val="18"/>
                <w:szCs w:val="18"/>
              </w:rPr>
              <w:t>By 2025, Mexican State institutions and civil society are articulated and have installed capacities to prevent, denounce and sanction acts of corruption, promote accountability mechanisms and guarantee social and political participation in inclusive decision-making, in a transparent manner, on equal terms and without leaving no one behind.</w:t>
            </w:r>
          </w:p>
        </w:tc>
        <w:tc>
          <w:tcPr>
            <w:tcW w:w="566" w:type="pct"/>
          </w:tcPr>
          <w:p w14:paraId="4C58A166" w14:textId="77777777" w:rsidR="00B62358" w:rsidRPr="00C052E9" w:rsidRDefault="00B62358" w:rsidP="008E2CC4">
            <w:pPr>
              <w:rPr>
                <w:sz w:val="18"/>
                <w:szCs w:val="18"/>
              </w:rPr>
            </w:pPr>
            <w:r w:rsidRPr="00C052E9">
              <w:rPr>
                <w:sz w:val="18"/>
                <w:szCs w:val="18"/>
              </w:rPr>
              <w:t>B. Accelerate structural transformations for sustainable development.</w:t>
            </w:r>
          </w:p>
        </w:tc>
        <w:tc>
          <w:tcPr>
            <w:tcW w:w="780" w:type="pct"/>
            <w:shd w:val="clear" w:color="auto" w:fill="auto"/>
          </w:tcPr>
          <w:p w14:paraId="7F34934D" w14:textId="77777777" w:rsidR="00B62358" w:rsidRPr="00B81B78" w:rsidRDefault="00B62358" w:rsidP="008E2CC4">
            <w:pPr>
              <w:rPr>
                <w:b/>
                <w:bCs/>
                <w:sz w:val="18"/>
                <w:szCs w:val="18"/>
                <w:lang w:val="es-MX"/>
              </w:rPr>
            </w:pPr>
            <w:r w:rsidRPr="00B81B78">
              <w:rPr>
                <w:sz w:val="18"/>
                <w:szCs w:val="18"/>
                <w:lang w:val="es-MX"/>
              </w:rPr>
              <w:t>Transparencia, integridad y participación ciudadana</w:t>
            </w:r>
            <w:r>
              <w:rPr>
                <w:b/>
                <w:bCs/>
                <w:sz w:val="18"/>
                <w:szCs w:val="18"/>
                <w:lang w:val="es-MX"/>
              </w:rPr>
              <w:t xml:space="preserve"> - </w:t>
            </w:r>
            <w:proofErr w:type="spellStart"/>
            <w:r w:rsidRPr="00C052E9">
              <w:rPr>
                <w:sz w:val="18"/>
                <w:szCs w:val="18"/>
                <w:lang w:val="es-MX"/>
              </w:rPr>
              <w:t>Mid</w:t>
            </w:r>
            <w:proofErr w:type="spellEnd"/>
            <w:r w:rsidRPr="00C052E9">
              <w:rPr>
                <w:sz w:val="18"/>
                <w:szCs w:val="18"/>
                <w:lang w:val="es-MX"/>
              </w:rPr>
              <w:t xml:space="preserve"> </w:t>
            </w:r>
            <w:proofErr w:type="spellStart"/>
            <w:r w:rsidRPr="00C052E9">
              <w:rPr>
                <w:sz w:val="18"/>
                <w:szCs w:val="18"/>
                <w:lang w:val="es-MX"/>
              </w:rPr>
              <w:t>Term</w:t>
            </w:r>
            <w:proofErr w:type="spellEnd"/>
            <w:r w:rsidRPr="00C052E9">
              <w:rPr>
                <w:sz w:val="18"/>
                <w:szCs w:val="18"/>
                <w:lang w:val="es-MX"/>
              </w:rPr>
              <w:t xml:space="preserve"> </w:t>
            </w:r>
            <w:proofErr w:type="spellStart"/>
            <w:r w:rsidRPr="00C052E9">
              <w:rPr>
                <w:sz w:val="18"/>
                <w:szCs w:val="18"/>
                <w:lang w:val="es-MX"/>
              </w:rPr>
              <w:t>Evaluation</w:t>
            </w:r>
            <w:proofErr w:type="spellEnd"/>
            <w:r>
              <w:rPr>
                <w:sz w:val="18"/>
                <w:szCs w:val="18"/>
                <w:lang w:val="es-MX"/>
              </w:rPr>
              <w:t>.</w:t>
            </w:r>
          </w:p>
        </w:tc>
        <w:tc>
          <w:tcPr>
            <w:tcW w:w="419" w:type="pct"/>
          </w:tcPr>
          <w:p w14:paraId="1F03FB98" w14:textId="77777777" w:rsidR="00B62358" w:rsidRPr="00C052E9" w:rsidRDefault="00B62358" w:rsidP="008E2CC4">
            <w:pPr>
              <w:jc w:val="center"/>
              <w:rPr>
                <w:sz w:val="18"/>
                <w:szCs w:val="18"/>
              </w:rPr>
            </w:pPr>
            <w:r w:rsidRPr="00C052E9">
              <w:rPr>
                <w:sz w:val="18"/>
                <w:szCs w:val="18"/>
              </w:rPr>
              <w:t>N/A</w:t>
            </w:r>
          </w:p>
        </w:tc>
        <w:tc>
          <w:tcPr>
            <w:tcW w:w="518" w:type="pct"/>
          </w:tcPr>
          <w:p w14:paraId="76D7AB31" w14:textId="77777777" w:rsidR="00B62358" w:rsidRPr="00C052E9" w:rsidRDefault="00B62358" w:rsidP="008E2CC4">
            <w:pPr>
              <w:jc w:val="center"/>
              <w:rPr>
                <w:sz w:val="18"/>
                <w:szCs w:val="18"/>
              </w:rPr>
            </w:pPr>
            <w:r w:rsidRPr="00C052E9">
              <w:rPr>
                <w:sz w:val="18"/>
                <w:szCs w:val="18"/>
              </w:rPr>
              <w:t>USAID</w:t>
            </w:r>
          </w:p>
        </w:tc>
        <w:tc>
          <w:tcPr>
            <w:tcW w:w="388" w:type="pct"/>
          </w:tcPr>
          <w:p w14:paraId="4ACF60C0" w14:textId="77777777" w:rsidR="00B62358" w:rsidRPr="00C052E9" w:rsidRDefault="00B62358" w:rsidP="008E2CC4">
            <w:pPr>
              <w:jc w:val="center"/>
              <w:rPr>
                <w:sz w:val="18"/>
                <w:szCs w:val="18"/>
              </w:rPr>
            </w:pPr>
            <w:r w:rsidRPr="00C052E9">
              <w:rPr>
                <w:sz w:val="18"/>
                <w:szCs w:val="18"/>
              </w:rPr>
              <w:t>Project Evaluation</w:t>
            </w:r>
          </w:p>
        </w:tc>
        <w:tc>
          <w:tcPr>
            <w:tcW w:w="448" w:type="pct"/>
          </w:tcPr>
          <w:p w14:paraId="10BF7999" w14:textId="77777777" w:rsidR="00B62358" w:rsidRPr="00C052E9" w:rsidRDefault="00B62358" w:rsidP="008E2CC4">
            <w:pPr>
              <w:spacing w:before="40" w:after="40"/>
              <w:rPr>
                <w:sz w:val="18"/>
                <w:szCs w:val="18"/>
              </w:rPr>
            </w:pPr>
            <w:r w:rsidRPr="00C052E9">
              <w:rPr>
                <w:sz w:val="18"/>
                <w:szCs w:val="18"/>
              </w:rPr>
              <w:t>March 2021</w:t>
            </w:r>
          </w:p>
        </w:tc>
        <w:tc>
          <w:tcPr>
            <w:tcW w:w="376" w:type="pct"/>
          </w:tcPr>
          <w:p w14:paraId="1CA89FE0" w14:textId="77777777" w:rsidR="00B62358" w:rsidRPr="00C052E9" w:rsidRDefault="00B62358" w:rsidP="008E2CC4">
            <w:pPr>
              <w:rPr>
                <w:sz w:val="18"/>
                <w:szCs w:val="18"/>
              </w:rPr>
            </w:pPr>
            <w:r>
              <w:rPr>
                <w:sz w:val="18"/>
                <w:szCs w:val="18"/>
              </w:rPr>
              <w:t>$5,500</w:t>
            </w:r>
          </w:p>
        </w:tc>
        <w:tc>
          <w:tcPr>
            <w:tcW w:w="428" w:type="pct"/>
          </w:tcPr>
          <w:p w14:paraId="0C0A1E2F"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550B1283" w14:textId="77777777" w:rsidTr="008E2CC4">
        <w:trPr>
          <w:trHeight w:val="3460"/>
        </w:trPr>
        <w:tc>
          <w:tcPr>
            <w:tcW w:w="1077" w:type="pct"/>
          </w:tcPr>
          <w:p w14:paraId="2D1DEC75" w14:textId="77777777" w:rsidR="00B62358" w:rsidRPr="00C052E9" w:rsidRDefault="00B62358" w:rsidP="008E2CC4">
            <w:pPr>
              <w:rPr>
                <w:sz w:val="18"/>
                <w:szCs w:val="18"/>
              </w:rPr>
            </w:pPr>
            <w:r w:rsidRPr="00C052E9">
              <w:rPr>
                <w:b/>
                <w:bCs/>
                <w:sz w:val="18"/>
                <w:szCs w:val="18"/>
              </w:rPr>
              <w:lastRenderedPageBreak/>
              <w:t xml:space="preserve">Outcome 9: </w:t>
            </w:r>
            <w:r w:rsidRPr="00C052E9">
              <w:rPr>
                <w:sz w:val="18"/>
                <w:szCs w:val="18"/>
              </w:rPr>
              <w:t>By 2025, Mexican State institutions and civil society are articulated and have installed capacities to prevent, denounce and sanction acts of corruption, promote accountability mechanisms and guarantee social and political participation in inclusive decision-making, in a transparent manner, on equal terms and without leaving no one behind.</w:t>
            </w:r>
          </w:p>
        </w:tc>
        <w:tc>
          <w:tcPr>
            <w:tcW w:w="566" w:type="pct"/>
          </w:tcPr>
          <w:p w14:paraId="70050F5B" w14:textId="77777777" w:rsidR="00B62358" w:rsidRPr="00C052E9" w:rsidRDefault="00B62358" w:rsidP="008E2CC4">
            <w:pPr>
              <w:rPr>
                <w:sz w:val="18"/>
                <w:szCs w:val="18"/>
              </w:rPr>
            </w:pPr>
            <w:r w:rsidRPr="00C052E9">
              <w:rPr>
                <w:sz w:val="18"/>
                <w:szCs w:val="18"/>
              </w:rPr>
              <w:t>B. Accelerate structural transformations for sustainable development.</w:t>
            </w:r>
          </w:p>
        </w:tc>
        <w:tc>
          <w:tcPr>
            <w:tcW w:w="780" w:type="pct"/>
            <w:shd w:val="clear" w:color="auto" w:fill="auto"/>
          </w:tcPr>
          <w:p w14:paraId="0D2B0182" w14:textId="77777777" w:rsidR="00B62358" w:rsidRPr="00B81B78" w:rsidRDefault="00B62358" w:rsidP="008E2CC4">
            <w:pPr>
              <w:rPr>
                <w:sz w:val="18"/>
                <w:szCs w:val="18"/>
                <w:lang w:val="es-MX"/>
              </w:rPr>
            </w:pPr>
            <w:r w:rsidRPr="00B81B78">
              <w:rPr>
                <w:sz w:val="18"/>
                <w:szCs w:val="18"/>
                <w:lang w:val="es-MX"/>
              </w:rPr>
              <w:t xml:space="preserve">Transparencia, integridad y participación ciudadana -Final </w:t>
            </w:r>
            <w:proofErr w:type="spellStart"/>
            <w:r w:rsidRPr="00B81B78">
              <w:rPr>
                <w:sz w:val="18"/>
                <w:szCs w:val="18"/>
                <w:lang w:val="es-MX"/>
              </w:rPr>
              <w:t>Evaluation</w:t>
            </w:r>
            <w:proofErr w:type="spellEnd"/>
            <w:r w:rsidRPr="00B81B78">
              <w:rPr>
                <w:sz w:val="18"/>
                <w:szCs w:val="18"/>
                <w:lang w:val="es-MX"/>
              </w:rPr>
              <w:t>.</w:t>
            </w:r>
          </w:p>
        </w:tc>
        <w:tc>
          <w:tcPr>
            <w:tcW w:w="419" w:type="pct"/>
          </w:tcPr>
          <w:p w14:paraId="45E59DFC" w14:textId="77777777" w:rsidR="00B62358" w:rsidRPr="00C052E9" w:rsidRDefault="00B62358" w:rsidP="008E2CC4">
            <w:pPr>
              <w:jc w:val="center"/>
              <w:rPr>
                <w:sz w:val="18"/>
                <w:szCs w:val="18"/>
              </w:rPr>
            </w:pPr>
            <w:r w:rsidRPr="00C052E9">
              <w:rPr>
                <w:sz w:val="18"/>
                <w:szCs w:val="18"/>
              </w:rPr>
              <w:t>N/A</w:t>
            </w:r>
          </w:p>
        </w:tc>
        <w:tc>
          <w:tcPr>
            <w:tcW w:w="518" w:type="pct"/>
          </w:tcPr>
          <w:p w14:paraId="14EAAA83" w14:textId="77777777" w:rsidR="00B62358" w:rsidRPr="00C052E9" w:rsidRDefault="00B62358" w:rsidP="008E2CC4">
            <w:pPr>
              <w:jc w:val="center"/>
              <w:rPr>
                <w:sz w:val="18"/>
                <w:szCs w:val="18"/>
              </w:rPr>
            </w:pPr>
            <w:r w:rsidRPr="00C052E9">
              <w:rPr>
                <w:sz w:val="18"/>
                <w:szCs w:val="18"/>
              </w:rPr>
              <w:t>USAID</w:t>
            </w:r>
          </w:p>
        </w:tc>
        <w:tc>
          <w:tcPr>
            <w:tcW w:w="388" w:type="pct"/>
          </w:tcPr>
          <w:p w14:paraId="099C0E87" w14:textId="77777777" w:rsidR="00B62358" w:rsidRPr="00C052E9" w:rsidRDefault="00B62358" w:rsidP="008E2CC4">
            <w:pPr>
              <w:jc w:val="center"/>
              <w:rPr>
                <w:sz w:val="18"/>
                <w:szCs w:val="18"/>
              </w:rPr>
            </w:pPr>
            <w:r w:rsidRPr="00C052E9">
              <w:rPr>
                <w:sz w:val="18"/>
                <w:szCs w:val="18"/>
              </w:rPr>
              <w:t>Project Evaluation</w:t>
            </w:r>
          </w:p>
        </w:tc>
        <w:tc>
          <w:tcPr>
            <w:tcW w:w="448" w:type="pct"/>
          </w:tcPr>
          <w:p w14:paraId="42E60797" w14:textId="77777777" w:rsidR="00B62358" w:rsidRPr="00C052E9" w:rsidRDefault="00B62358" w:rsidP="008E2CC4">
            <w:pPr>
              <w:spacing w:before="40" w:after="40"/>
              <w:rPr>
                <w:sz w:val="18"/>
                <w:szCs w:val="18"/>
              </w:rPr>
            </w:pPr>
            <w:r w:rsidRPr="00C052E9">
              <w:rPr>
                <w:sz w:val="18"/>
                <w:szCs w:val="18"/>
              </w:rPr>
              <w:t>August 2022</w:t>
            </w:r>
          </w:p>
        </w:tc>
        <w:tc>
          <w:tcPr>
            <w:tcW w:w="376" w:type="pct"/>
          </w:tcPr>
          <w:p w14:paraId="0DBE0EB0" w14:textId="77777777" w:rsidR="00B62358" w:rsidRPr="00C052E9" w:rsidRDefault="00B62358" w:rsidP="008E2CC4">
            <w:pPr>
              <w:rPr>
                <w:sz w:val="18"/>
                <w:szCs w:val="18"/>
              </w:rPr>
            </w:pPr>
            <w:r>
              <w:rPr>
                <w:sz w:val="18"/>
                <w:szCs w:val="18"/>
              </w:rPr>
              <w:t>$19,000</w:t>
            </w:r>
          </w:p>
        </w:tc>
        <w:tc>
          <w:tcPr>
            <w:tcW w:w="428" w:type="pct"/>
          </w:tcPr>
          <w:p w14:paraId="4F463FD1"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7CA532A9" w14:textId="77777777" w:rsidTr="008E2CC4">
        <w:trPr>
          <w:trHeight w:val="3460"/>
        </w:trPr>
        <w:tc>
          <w:tcPr>
            <w:tcW w:w="1077" w:type="pct"/>
          </w:tcPr>
          <w:p w14:paraId="24D20069" w14:textId="77777777" w:rsidR="00B62358" w:rsidRPr="00C052E9" w:rsidRDefault="00B62358" w:rsidP="008E2CC4">
            <w:pPr>
              <w:rPr>
                <w:b/>
                <w:bCs/>
                <w:sz w:val="18"/>
                <w:szCs w:val="18"/>
              </w:rPr>
            </w:pPr>
            <w:r w:rsidRPr="00C052E9">
              <w:rPr>
                <w:b/>
                <w:bCs/>
                <w:sz w:val="18"/>
                <w:szCs w:val="18"/>
              </w:rPr>
              <w:t xml:space="preserve">Outcome 4: </w:t>
            </w:r>
            <w:r w:rsidRPr="00C052E9">
              <w:rPr>
                <w:sz w:val="18"/>
                <w:szCs w:val="18"/>
              </w:rPr>
              <w:t>By 2025, the Mexican State has a strategy for productive development that promotes associativity, innovation, productivity and competitiveness, as well as higher levels of national inputs in productive chains with better governance for equality, based on a human rights framework and with gender perspective.</w:t>
            </w:r>
          </w:p>
        </w:tc>
        <w:tc>
          <w:tcPr>
            <w:tcW w:w="566" w:type="pct"/>
          </w:tcPr>
          <w:p w14:paraId="2766874D" w14:textId="77777777" w:rsidR="00B62358" w:rsidRPr="00C052E9" w:rsidRDefault="00B62358" w:rsidP="008E2CC4">
            <w:pPr>
              <w:rPr>
                <w:sz w:val="18"/>
                <w:szCs w:val="18"/>
              </w:rPr>
            </w:pPr>
            <w:r w:rsidRPr="00C052E9">
              <w:rPr>
                <w:sz w:val="18"/>
                <w:szCs w:val="18"/>
              </w:rPr>
              <w:t>A. Eradicate poverty in all its forms and dimensions.</w:t>
            </w:r>
          </w:p>
        </w:tc>
        <w:tc>
          <w:tcPr>
            <w:tcW w:w="780" w:type="pct"/>
            <w:shd w:val="clear" w:color="auto" w:fill="auto"/>
          </w:tcPr>
          <w:p w14:paraId="23614F92" w14:textId="77777777" w:rsidR="00B62358" w:rsidRPr="00B81B78" w:rsidRDefault="00B62358" w:rsidP="008E2CC4">
            <w:pPr>
              <w:rPr>
                <w:sz w:val="18"/>
                <w:szCs w:val="18"/>
                <w:lang w:val="en-GB"/>
              </w:rPr>
            </w:pPr>
            <w:proofErr w:type="spellStart"/>
            <w:r w:rsidRPr="00B81B78">
              <w:rPr>
                <w:sz w:val="18"/>
                <w:szCs w:val="18"/>
                <w:lang w:val="en-GB"/>
              </w:rPr>
              <w:t>Iniciativa</w:t>
            </w:r>
            <w:proofErr w:type="spellEnd"/>
            <w:r w:rsidRPr="00B81B78">
              <w:rPr>
                <w:sz w:val="18"/>
                <w:szCs w:val="18"/>
                <w:lang w:val="en-GB"/>
              </w:rPr>
              <w:t xml:space="preserve"> Spotlight - Mid-term evaluation.</w:t>
            </w:r>
          </w:p>
        </w:tc>
        <w:tc>
          <w:tcPr>
            <w:tcW w:w="419" w:type="pct"/>
          </w:tcPr>
          <w:p w14:paraId="67364929" w14:textId="77777777" w:rsidR="00B62358" w:rsidRPr="00C052E9" w:rsidRDefault="00B62358" w:rsidP="008E2CC4">
            <w:pPr>
              <w:jc w:val="center"/>
              <w:rPr>
                <w:sz w:val="18"/>
                <w:szCs w:val="18"/>
              </w:rPr>
            </w:pPr>
            <w:r w:rsidRPr="00C052E9">
              <w:rPr>
                <w:sz w:val="18"/>
                <w:szCs w:val="18"/>
              </w:rPr>
              <w:t>UN Women</w:t>
            </w:r>
          </w:p>
          <w:p w14:paraId="28A1A1C8" w14:textId="77777777" w:rsidR="00B62358" w:rsidRPr="00C052E9" w:rsidRDefault="00B62358" w:rsidP="008E2CC4">
            <w:pPr>
              <w:jc w:val="center"/>
              <w:rPr>
                <w:sz w:val="18"/>
                <w:szCs w:val="18"/>
              </w:rPr>
            </w:pPr>
            <w:r w:rsidRPr="00C052E9">
              <w:rPr>
                <w:sz w:val="18"/>
                <w:szCs w:val="18"/>
              </w:rPr>
              <w:t>UNFPA</w:t>
            </w:r>
          </w:p>
          <w:p w14:paraId="5BC8411C" w14:textId="77777777" w:rsidR="00B62358" w:rsidRPr="00C052E9" w:rsidRDefault="00B62358" w:rsidP="008E2CC4">
            <w:pPr>
              <w:jc w:val="center"/>
              <w:rPr>
                <w:sz w:val="18"/>
                <w:szCs w:val="18"/>
              </w:rPr>
            </w:pPr>
            <w:r w:rsidRPr="00C052E9">
              <w:rPr>
                <w:sz w:val="18"/>
                <w:szCs w:val="18"/>
              </w:rPr>
              <w:t>UNICEF</w:t>
            </w:r>
          </w:p>
          <w:p w14:paraId="2C76A5A4" w14:textId="77777777" w:rsidR="00B62358" w:rsidRPr="00C052E9" w:rsidRDefault="00B62358" w:rsidP="008E2CC4">
            <w:pPr>
              <w:jc w:val="center"/>
              <w:rPr>
                <w:sz w:val="18"/>
                <w:szCs w:val="18"/>
              </w:rPr>
            </w:pPr>
            <w:r w:rsidRPr="00C052E9">
              <w:rPr>
                <w:sz w:val="18"/>
                <w:szCs w:val="18"/>
              </w:rPr>
              <w:t>UNODC</w:t>
            </w:r>
            <w:r w:rsidRPr="00C052E9">
              <w:rPr>
                <w:sz w:val="18"/>
                <w:szCs w:val="18"/>
              </w:rPr>
              <w:br/>
              <w:t>UNHCHR</w:t>
            </w:r>
          </w:p>
        </w:tc>
        <w:tc>
          <w:tcPr>
            <w:tcW w:w="518" w:type="pct"/>
          </w:tcPr>
          <w:p w14:paraId="5EBD4F94" w14:textId="77777777" w:rsidR="00B62358" w:rsidRPr="00C052E9" w:rsidRDefault="00B62358" w:rsidP="008E2CC4">
            <w:pPr>
              <w:jc w:val="center"/>
              <w:rPr>
                <w:sz w:val="18"/>
                <w:szCs w:val="18"/>
              </w:rPr>
            </w:pPr>
            <w:r w:rsidRPr="00C052E9">
              <w:rPr>
                <w:sz w:val="18"/>
                <w:szCs w:val="18"/>
              </w:rPr>
              <w:t>European Union</w:t>
            </w:r>
          </w:p>
        </w:tc>
        <w:tc>
          <w:tcPr>
            <w:tcW w:w="388" w:type="pct"/>
          </w:tcPr>
          <w:p w14:paraId="1FA2DA27" w14:textId="77777777" w:rsidR="00B62358" w:rsidRPr="00C052E9" w:rsidRDefault="00B62358" w:rsidP="008E2CC4">
            <w:pPr>
              <w:jc w:val="center"/>
              <w:rPr>
                <w:sz w:val="18"/>
                <w:szCs w:val="18"/>
              </w:rPr>
            </w:pPr>
            <w:r w:rsidRPr="00C052E9">
              <w:rPr>
                <w:sz w:val="18"/>
                <w:szCs w:val="18"/>
              </w:rPr>
              <w:t>Project evaluation</w:t>
            </w:r>
          </w:p>
        </w:tc>
        <w:tc>
          <w:tcPr>
            <w:tcW w:w="448" w:type="pct"/>
          </w:tcPr>
          <w:p w14:paraId="4597C789" w14:textId="77777777" w:rsidR="00B62358" w:rsidRPr="00C052E9" w:rsidRDefault="00B62358" w:rsidP="008E2CC4">
            <w:pPr>
              <w:spacing w:before="40" w:after="40"/>
              <w:rPr>
                <w:sz w:val="18"/>
                <w:szCs w:val="18"/>
              </w:rPr>
            </w:pPr>
            <w:r w:rsidRPr="00C052E9">
              <w:rPr>
                <w:sz w:val="18"/>
                <w:szCs w:val="18"/>
              </w:rPr>
              <w:t>January 2021</w:t>
            </w:r>
          </w:p>
        </w:tc>
        <w:tc>
          <w:tcPr>
            <w:tcW w:w="376" w:type="pct"/>
          </w:tcPr>
          <w:p w14:paraId="6ACEA38A" w14:textId="77777777" w:rsidR="00B62358" w:rsidRPr="00C052E9" w:rsidRDefault="00B62358" w:rsidP="008E2CC4">
            <w:pPr>
              <w:rPr>
                <w:sz w:val="18"/>
                <w:szCs w:val="18"/>
              </w:rPr>
            </w:pPr>
            <w:r>
              <w:rPr>
                <w:sz w:val="18"/>
                <w:szCs w:val="18"/>
              </w:rPr>
              <w:t>$15,000</w:t>
            </w:r>
          </w:p>
        </w:tc>
        <w:tc>
          <w:tcPr>
            <w:tcW w:w="428" w:type="pct"/>
          </w:tcPr>
          <w:p w14:paraId="1464DDFF"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7CE463D9" w14:textId="77777777" w:rsidTr="008E2CC4">
        <w:trPr>
          <w:trHeight w:val="3460"/>
        </w:trPr>
        <w:tc>
          <w:tcPr>
            <w:tcW w:w="1077" w:type="pct"/>
          </w:tcPr>
          <w:p w14:paraId="689571FB" w14:textId="77777777" w:rsidR="00B62358" w:rsidRPr="00C052E9" w:rsidRDefault="00B62358" w:rsidP="008E2CC4">
            <w:pPr>
              <w:rPr>
                <w:b/>
                <w:bCs/>
                <w:sz w:val="18"/>
                <w:szCs w:val="18"/>
              </w:rPr>
            </w:pPr>
            <w:r w:rsidRPr="00C052E9">
              <w:rPr>
                <w:b/>
                <w:bCs/>
                <w:sz w:val="18"/>
                <w:szCs w:val="18"/>
              </w:rPr>
              <w:lastRenderedPageBreak/>
              <w:t xml:space="preserve">Outcome 4: </w:t>
            </w:r>
            <w:r w:rsidRPr="00C052E9">
              <w:rPr>
                <w:sz w:val="18"/>
                <w:szCs w:val="18"/>
              </w:rPr>
              <w:t>By 2025, the Mexican State has a strategy for productive development that promotes associativity, innovation, productivity and competitiveness, as well as higher levels of national inputs in productive chains with better governance for equality, based on a human rights framework and with gender perspective.</w:t>
            </w:r>
          </w:p>
        </w:tc>
        <w:tc>
          <w:tcPr>
            <w:tcW w:w="566" w:type="pct"/>
          </w:tcPr>
          <w:p w14:paraId="48429C4D" w14:textId="77777777" w:rsidR="00B62358" w:rsidRPr="00C052E9" w:rsidRDefault="00B62358" w:rsidP="008E2CC4">
            <w:pPr>
              <w:rPr>
                <w:sz w:val="18"/>
                <w:szCs w:val="18"/>
              </w:rPr>
            </w:pPr>
            <w:r w:rsidRPr="00C052E9">
              <w:rPr>
                <w:sz w:val="18"/>
                <w:szCs w:val="18"/>
              </w:rPr>
              <w:t>A. Eradicate poverty in all its forms and dimensions.</w:t>
            </w:r>
          </w:p>
        </w:tc>
        <w:tc>
          <w:tcPr>
            <w:tcW w:w="780" w:type="pct"/>
            <w:shd w:val="clear" w:color="auto" w:fill="auto"/>
          </w:tcPr>
          <w:p w14:paraId="3E7301F3" w14:textId="77777777" w:rsidR="00B62358" w:rsidRPr="00B81B78" w:rsidRDefault="00B62358" w:rsidP="008E2CC4">
            <w:pPr>
              <w:rPr>
                <w:sz w:val="18"/>
                <w:szCs w:val="18"/>
                <w:lang w:val="es-MX"/>
              </w:rPr>
            </w:pPr>
            <w:proofErr w:type="spellStart"/>
            <w:r w:rsidRPr="00B81B78">
              <w:rPr>
                <w:sz w:val="18"/>
                <w:szCs w:val="18"/>
                <w:lang w:val="es-MX"/>
              </w:rPr>
              <w:t>Spotlight</w:t>
            </w:r>
            <w:proofErr w:type="spellEnd"/>
            <w:r w:rsidRPr="00B81B78">
              <w:rPr>
                <w:sz w:val="18"/>
                <w:szCs w:val="18"/>
                <w:lang w:val="es-MX"/>
              </w:rPr>
              <w:t xml:space="preserve"> </w:t>
            </w:r>
            <w:proofErr w:type="spellStart"/>
            <w:r w:rsidRPr="00B81B78">
              <w:rPr>
                <w:sz w:val="18"/>
                <w:szCs w:val="18"/>
                <w:lang w:val="es-MX"/>
              </w:rPr>
              <w:t>Initiative</w:t>
            </w:r>
            <w:proofErr w:type="spellEnd"/>
            <w:r w:rsidRPr="00B81B78">
              <w:rPr>
                <w:sz w:val="18"/>
                <w:szCs w:val="18"/>
                <w:lang w:val="es-MX"/>
              </w:rPr>
              <w:t xml:space="preserve"> - Final </w:t>
            </w:r>
            <w:proofErr w:type="spellStart"/>
            <w:r w:rsidRPr="00B81B78">
              <w:rPr>
                <w:sz w:val="18"/>
                <w:szCs w:val="18"/>
                <w:lang w:val="es-MX"/>
              </w:rPr>
              <w:t>Evaluation</w:t>
            </w:r>
            <w:proofErr w:type="spellEnd"/>
            <w:r w:rsidRPr="00B81B78">
              <w:rPr>
                <w:sz w:val="18"/>
                <w:szCs w:val="18"/>
                <w:lang w:val="es-MX"/>
              </w:rPr>
              <w:t>.</w:t>
            </w:r>
          </w:p>
        </w:tc>
        <w:tc>
          <w:tcPr>
            <w:tcW w:w="419" w:type="pct"/>
          </w:tcPr>
          <w:p w14:paraId="5D1EA828" w14:textId="77777777" w:rsidR="00B62358" w:rsidRPr="00C052E9" w:rsidRDefault="00B62358" w:rsidP="008E2CC4">
            <w:pPr>
              <w:jc w:val="center"/>
              <w:rPr>
                <w:sz w:val="18"/>
                <w:szCs w:val="18"/>
              </w:rPr>
            </w:pPr>
            <w:r w:rsidRPr="00C052E9">
              <w:rPr>
                <w:sz w:val="18"/>
                <w:szCs w:val="18"/>
              </w:rPr>
              <w:t>UN Women</w:t>
            </w:r>
          </w:p>
          <w:p w14:paraId="7C260169" w14:textId="77777777" w:rsidR="00B62358" w:rsidRPr="00C052E9" w:rsidRDefault="00B62358" w:rsidP="008E2CC4">
            <w:pPr>
              <w:jc w:val="center"/>
              <w:rPr>
                <w:sz w:val="18"/>
                <w:szCs w:val="18"/>
              </w:rPr>
            </w:pPr>
            <w:r w:rsidRPr="00C052E9">
              <w:rPr>
                <w:sz w:val="18"/>
                <w:szCs w:val="18"/>
              </w:rPr>
              <w:t>UNFPA</w:t>
            </w:r>
          </w:p>
          <w:p w14:paraId="59111526" w14:textId="77777777" w:rsidR="00B62358" w:rsidRPr="00C052E9" w:rsidRDefault="00B62358" w:rsidP="008E2CC4">
            <w:pPr>
              <w:jc w:val="center"/>
              <w:rPr>
                <w:sz w:val="18"/>
                <w:szCs w:val="18"/>
              </w:rPr>
            </w:pPr>
            <w:r w:rsidRPr="00C052E9">
              <w:rPr>
                <w:sz w:val="18"/>
                <w:szCs w:val="18"/>
              </w:rPr>
              <w:t>UNICEF</w:t>
            </w:r>
          </w:p>
          <w:p w14:paraId="7F654451" w14:textId="77777777" w:rsidR="00B62358" w:rsidRPr="00C052E9" w:rsidRDefault="00B62358" w:rsidP="008E2CC4">
            <w:pPr>
              <w:jc w:val="center"/>
              <w:rPr>
                <w:sz w:val="18"/>
                <w:szCs w:val="18"/>
              </w:rPr>
            </w:pPr>
            <w:r w:rsidRPr="00C052E9">
              <w:rPr>
                <w:sz w:val="18"/>
                <w:szCs w:val="18"/>
              </w:rPr>
              <w:t>UNODC</w:t>
            </w:r>
            <w:r w:rsidRPr="00C052E9">
              <w:rPr>
                <w:sz w:val="18"/>
                <w:szCs w:val="18"/>
              </w:rPr>
              <w:br/>
              <w:t>UNHCHR</w:t>
            </w:r>
          </w:p>
        </w:tc>
        <w:tc>
          <w:tcPr>
            <w:tcW w:w="518" w:type="pct"/>
          </w:tcPr>
          <w:p w14:paraId="6AFADEBE" w14:textId="77777777" w:rsidR="00B62358" w:rsidRPr="00C052E9" w:rsidRDefault="00B62358" w:rsidP="008E2CC4">
            <w:pPr>
              <w:jc w:val="center"/>
              <w:rPr>
                <w:sz w:val="18"/>
                <w:szCs w:val="18"/>
              </w:rPr>
            </w:pPr>
            <w:r w:rsidRPr="00C052E9">
              <w:rPr>
                <w:sz w:val="18"/>
                <w:szCs w:val="18"/>
              </w:rPr>
              <w:t>European Union</w:t>
            </w:r>
          </w:p>
        </w:tc>
        <w:tc>
          <w:tcPr>
            <w:tcW w:w="388" w:type="pct"/>
          </w:tcPr>
          <w:p w14:paraId="35402106" w14:textId="77777777" w:rsidR="00B62358" w:rsidRPr="00C052E9" w:rsidRDefault="00B62358" w:rsidP="008E2CC4">
            <w:pPr>
              <w:jc w:val="center"/>
              <w:rPr>
                <w:sz w:val="18"/>
                <w:szCs w:val="18"/>
              </w:rPr>
            </w:pPr>
            <w:r w:rsidRPr="00C052E9">
              <w:rPr>
                <w:sz w:val="18"/>
                <w:szCs w:val="18"/>
              </w:rPr>
              <w:t>Project Evaluation</w:t>
            </w:r>
          </w:p>
        </w:tc>
        <w:tc>
          <w:tcPr>
            <w:tcW w:w="448" w:type="pct"/>
          </w:tcPr>
          <w:p w14:paraId="783FC2B6" w14:textId="77777777" w:rsidR="00B62358" w:rsidRPr="00C052E9" w:rsidRDefault="00B62358" w:rsidP="008E2CC4">
            <w:pPr>
              <w:spacing w:before="40" w:after="40"/>
              <w:rPr>
                <w:sz w:val="18"/>
                <w:szCs w:val="18"/>
              </w:rPr>
            </w:pPr>
            <w:r w:rsidRPr="00C052E9">
              <w:rPr>
                <w:sz w:val="18"/>
                <w:szCs w:val="18"/>
              </w:rPr>
              <w:t>September 2022</w:t>
            </w:r>
          </w:p>
        </w:tc>
        <w:tc>
          <w:tcPr>
            <w:tcW w:w="376" w:type="pct"/>
          </w:tcPr>
          <w:p w14:paraId="411DB0A9" w14:textId="77777777" w:rsidR="00B62358" w:rsidRPr="00C052E9" w:rsidRDefault="00B62358" w:rsidP="008E2CC4">
            <w:pPr>
              <w:rPr>
                <w:sz w:val="18"/>
                <w:szCs w:val="18"/>
              </w:rPr>
            </w:pPr>
            <w:r>
              <w:rPr>
                <w:sz w:val="18"/>
                <w:szCs w:val="18"/>
              </w:rPr>
              <w:t>$35,000</w:t>
            </w:r>
          </w:p>
        </w:tc>
        <w:tc>
          <w:tcPr>
            <w:tcW w:w="428" w:type="pct"/>
          </w:tcPr>
          <w:p w14:paraId="2B0F16A4"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r w:rsidR="00B62358" w:rsidRPr="00C052E9" w14:paraId="7980A0F4" w14:textId="77777777" w:rsidTr="008E2CC4">
        <w:trPr>
          <w:trHeight w:val="3460"/>
        </w:trPr>
        <w:tc>
          <w:tcPr>
            <w:tcW w:w="1077" w:type="pct"/>
          </w:tcPr>
          <w:p w14:paraId="60D7669A" w14:textId="77777777" w:rsidR="00B62358" w:rsidRPr="00C052E9" w:rsidRDefault="00B62358" w:rsidP="008E2CC4">
            <w:pPr>
              <w:rPr>
                <w:b/>
                <w:bCs/>
                <w:sz w:val="18"/>
                <w:szCs w:val="18"/>
              </w:rPr>
            </w:pPr>
            <w:r w:rsidRPr="00C052E9">
              <w:rPr>
                <w:b/>
                <w:bCs/>
                <w:sz w:val="18"/>
                <w:szCs w:val="18"/>
              </w:rPr>
              <w:t xml:space="preserve">Outcome 1: </w:t>
            </w:r>
            <w:r w:rsidRPr="00C052E9">
              <w:rPr>
                <w:color w:val="000000"/>
                <w:sz w:val="18"/>
                <w:szCs w:val="18"/>
              </w:rPr>
              <w:t>By 2025, the Mexican State has a comprehensive strategy for social development, combating multidimensional poverty and inequality, with an integrated approach to human rights, gender, interculturality, life cycle and territory, which incorporates redistributive mechanisms without leaving no one behind.</w:t>
            </w:r>
          </w:p>
        </w:tc>
        <w:tc>
          <w:tcPr>
            <w:tcW w:w="566" w:type="pct"/>
          </w:tcPr>
          <w:p w14:paraId="42881C01" w14:textId="77777777" w:rsidR="00B62358" w:rsidRPr="00C052E9" w:rsidRDefault="00B62358" w:rsidP="008E2CC4">
            <w:pPr>
              <w:rPr>
                <w:sz w:val="18"/>
                <w:szCs w:val="18"/>
              </w:rPr>
            </w:pPr>
            <w:r w:rsidRPr="00C052E9">
              <w:rPr>
                <w:sz w:val="18"/>
                <w:szCs w:val="18"/>
              </w:rPr>
              <w:t>A.</w:t>
            </w:r>
            <w:r w:rsidRPr="00C052E9">
              <w:rPr>
                <w:b/>
                <w:bCs/>
                <w:sz w:val="18"/>
                <w:szCs w:val="18"/>
              </w:rPr>
              <w:t xml:space="preserve"> </w:t>
            </w:r>
            <w:r w:rsidRPr="00C052E9">
              <w:rPr>
                <w:sz w:val="18"/>
                <w:szCs w:val="18"/>
              </w:rPr>
              <w:t>Eradicate poverty in all its forms and dimensions.</w:t>
            </w:r>
          </w:p>
        </w:tc>
        <w:tc>
          <w:tcPr>
            <w:tcW w:w="780" w:type="pct"/>
            <w:shd w:val="clear" w:color="auto" w:fill="auto"/>
          </w:tcPr>
          <w:p w14:paraId="7AA72814" w14:textId="77777777" w:rsidR="00B62358" w:rsidRPr="00E25808" w:rsidRDefault="00B62358" w:rsidP="008E2CC4">
            <w:pPr>
              <w:rPr>
                <w:sz w:val="18"/>
                <w:szCs w:val="18"/>
                <w:lang w:val="es-MX"/>
              </w:rPr>
            </w:pPr>
            <w:r w:rsidRPr="00E25808">
              <w:rPr>
                <w:sz w:val="18"/>
                <w:szCs w:val="18"/>
                <w:lang w:val="es-MX"/>
              </w:rPr>
              <w:t>Impulso Económico Global</w:t>
            </w:r>
            <w:r>
              <w:rPr>
                <w:sz w:val="18"/>
                <w:szCs w:val="18"/>
                <w:lang w:val="es-MX"/>
              </w:rPr>
              <w:t xml:space="preserve"> - </w:t>
            </w:r>
            <w:proofErr w:type="spellStart"/>
            <w:r w:rsidRPr="00E25808">
              <w:rPr>
                <w:sz w:val="18"/>
                <w:szCs w:val="18"/>
                <w:lang w:val="es-MX"/>
              </w:rPr>
              <w:t>Mid-term</w:t>
            </w:r>
            <w:proofErr w:type="spellEnd"/>
            <w:r w:rsidRPr="00E25808">
              <w:rPr>
                <w:sz w:val="18"/>
                <w:szCs w:val="18"/>
                <w:lang w:val="es-MX"/>
              </w:rPr>
              <w:t xml:space="preserve"> </w:t>
            </w:r>
            <w:proofErr w:type="spellStart"/>
            <w:r w:rsidRPr="00E25808">
              <w:rPr>
                <w:sz w:val="18"/>
                <w:szCs w:val="18"/>
                <w:lang w:val="es-MX"/>
              </w:rPr>
              <w:t>Evaluation</w:t>
            </w:r>
            <w:proofErr w:type="spellEnd"/>
            <w:r>
              <w:rPr>
                <w:sz w:val="18"/>
                <w:szCs w:val="18"/>
                <w:lang w:val="es-MX"/>
              </w:rPr>
              <w:t>.</w:t>
            </w:r>
          </w:p>
        </w:tc>
        <w:tc>
          <w:tcPr>
            <w:tcW w:w="419" w:type="pct"/>
          </w:tcPr>
          <w:p w14:paraId="79B97FAC" w14:textId="77777777" w:rsidR="00B62358" w:rsidRPr="00C052E9" w:rsidRDefault="00B62358" w:rsidP="008E2CC4">
            <w:pPr>
              <w:jc w:val="center"/>
              <w:rPr>
                <w:sz w:val="18"/>
                <w:szCs w:val="18"/>
              </w:rPr>
            </w:pPr>
            <w:r w:rsidRPr="00C052E9">
              <w:rPr>
                <w:sz w:val="18"/>
                <w:szCs w:val="18"/>
              </w:rPr>
              <w:t>N/A</w:t>
            </w:r>
          </w:p>
        </w:tc>
        <w:tc>
          <w:tcPr>
            <w:tcW w:w="518" w:type="pct"/>
          </w:tcPr>
          <w:p w14:paraId="5C63E5CA" w14:textId="77777777" w:rsidR="00B62358" w:rsidRPr="00C052E9" w:rsidRDefault="00B62358" w:rsidP="008E2CC4">
            <w:pPr>
              <w:jc w:val="center"/>
              <w:rPr>
                <w:sz w:val="18"/>
                <w:szCs w:val="18"/>
              </w:rPr>
            </w:pPr>
            <w:r w:rsidRPr="00C052E9">
              <w:rPr>
                <w:sz w:val="18"/>
                <w:szCs w:val="18"/>
              </w:rPr>
              <w:t>UNDP</w:t>
            </w:r>
          </w:p>
        </w:tc>
        <w:tc>
          <w:tcPr>
            <w:tcW w:w="388" w:type="pct"/>
          </w:tcPr>
          <w:p w14:paraId="7F735D68" w14:textId="77777777" w:rsidR="00B62358" w:rsidRPr="00C052E9" w:rsidRDefault="00B62358" w:rsidP="008E2CC4">
            <w:pPr>
              <w:jc w:val="center"/>
              <w:rPr>
                <w:sz w:val="18"/>
                <w:szCs w:val="18"/>
              </w:rPr>
            </w:pPr>
            <w:r w:rsidRPr="00C052E9">
              <w:rPr>
                <w:sz w:val="18"/>
                <w:szCs w:val="18"/>
              </w:rPr>
              <w:t>Project Evaluation</w:t>
            </w:r>
          </w:p>
        </w:tc>
        <w:tc>
          <w:tcPr>
            <w:tcW w:w="448" w:type="pct"/>
          </w:tcPr>
          <w:p w14:paraId="07D3559F" w14:textId="77777777" w:rsidR="00B62358" w:rsidRPr="00C052E9" w:rsidRDefault="00B62358" w:rsidP="008E2CC4">
            <w:pPr>
              <w:spacing w:before="40" w:after="40"/>
              <w:rPr>
                <w:sz w:val="18"/>
                <w:szCs w:val="18"/>
              </w:rPr>
            </w:pPr>
            <w:r w:rsidRPr="00C052E9">
              <w:rPr>
                <w:sz w:val="18"/>
                <w:szCs w:val="18"/>
              </w:rPr>
              <w:t>June 2021</w:t>
            </w:r>
          </w:p>
        </w:tc>
        <w:tc>
          <w:tcPr>
            <w:tcW w:w="376" w:type="pct"/>
          </w:tcPr>
          <w:p w14:paraId="51886B89" w14:textId="77777777" w:rsidR="00B62358" w:rsidRPr="00C052E9" w:rsidRDefault="00B62358" w:rsidP="008E2CC4">
            <w:pPr>
              <w:rPr>
                <w:sz w:val="18"/>
                <w:szCs w:val="18"/>
              </w:rPr>
            </w:pPr>
            <w:r w:rsidRPr="00C052E9">
              <w:rPr>
                <w:sz w:val="18"/>
                <w:szCs w:val="18"/>
              </w:rPr>
              <w:t>$10,000</w:t>
            </w:r>
          </w:p>
        </w:tc>
        <w:tc>
          <w:tcPr>
            <w:tcW w:w="428" w:type="pct"/>
          </w:tcPr>
          <w:p w14:paraId="79923823" w14:textId="77777777" w:rsidR="00B62358" w:rsidRPr="00C052E9" w:rsidRDefault="00B62358" w:rsidP="008E2CC4">
            <w:pPr>
              <w:rPr>
                <w:rStyle w:val="CommentReference"/>
                <w:sz w:val="18"/>
                <w:szCs w:val="18"/>
                <w:lang w:eastAsia="uk-UA"/>
              </w:rPr>
            </w:pPr>
            <w:r w:rsidRPr="00C052E9">
              <w:rPr>
                <w:rStyle w:val="CommentReference"/>
                <w:sz w:val="18"/>
                <w:szCs w:val="18"/>
                <w:lang w:eastAsia="uk-UA"/>
              </w:rPr>
              <w:t>Project budget</w:t>
            </w:r>
          </w:p>
        </w:tc>
      </w:tr>
    </w:tbl>
    <w:p w14:paraId="56ABB5CA" w14:textId="77777777" w:rsidR="00B62358" w:rsidRPr="003C26C1" w:rsidRDefault="00B62358" w:rsidP="00B62358">
      <w:pPr>
        <w:rPr>
          <w:color w:val="000000"/>
        </w:rPr>
      </w:pPr>
    </w:p>
    <w:p w14:paraId="08E30530" w14:textId="77777777" w:rsidR="0009724D" w:rsidRDefault="005C798B"/>
    <w:sectPr w:rsidR="0009724D" w:rsidSect="00B6235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414E7" w14:textId="77777777" w:rsidR="00B62358" w:rsidRDefault="00B62358" w:rsidP="00B62358">
      <w:r>
        <w:separator/>
      </w:r>
    </w:p>
  </w:endnote>
  <w:endnote w:type="continuationSeparator" w:id="0">
    <w:p w14:paraId="6224178C" w14:textId="77777777" w:rsidR="00B62358" w:rsidRDefault="00B62358" w:rsidP="00B6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D4AF8" w14:textId="77777777" w:rsidR="00B62358" w:rsidRDefault="00B62358" w:rsidP="00B62358">
      <w:r>
        <w:separator/>
      </w:r>
    </w:p>
  </w:footnote>
  <w:footnote w:type="continuationSeparator" w:id="0">
    <w:p w14:paraId="7CC626B9" w14:textId="77777777" w:rsidR="00B62358" w:rsidRDefault="00B62358" w:rsidP="00B62358">
      <w:r>
        <w:continuationSeparator/>
      </w:r>
    </w:p>
  </w:footnote>
  <w:footnote w:id="1">
    <w:p w14:paraId="1469D7AF" w14:textId="77777777" w:rsidR="00B62358" w:rsidRPr="00B62358" w:rsidRDefault="00B62358" w:rsidP="00B62358">
      <w:pPr>
        <w:pStyle w:val="FootnoteText"/>
        <w:jc w:val="both"/>
        <w:rPr>
          <w:rFonts w:ascii="Times New Roman" w:hAnsi="Times New Roman"/>
          <w:sz w:val="16"/>
          <w:szCs w:val="16"/>
          <w:lang w:val="en-GB"/>
        </w:rPr>
      </w:pPr>
      <w:r w:rsidRPr="00B62358">
        <w:rPr>
          <w:rStyle w:val="FootnoteReference"/>
          <w:rFonts w:ascii="Times New Roman" w:hAnsi="Times New Roman"/>
          <w:sz w:val="16"/>
          <w:szCs w:val="16"/>
        </w:rPr>
        <w:footnoteRef/>
      </w:r>
      <w:r w:rsidRPr="00B62358">
        <w:rPr>
          <w:rFonts w:ascii="Times New Roman" w:hAnsi="Times New Roman"/>
          <w:sz w:val="16"/>
          <w:szCs w:val="16"/>
        </w:rPr>
        <w:t xml:space="preserve"> </w:t>
      </w:r>
      <w:r w:rsidRPr="00B62358">
        <w:rPr>
          <w:rFonts w:ascii="Times New Roman" w:hAnsi="Times New Roman"/>
          <w:sz w:val="16"/>
          <w:szCs w:val="16"/>
          <w:lang w:val="en-GB"/>
        </w:rPr>
        <w:t>Proposed dates for evaluations may change due to revised project activities’, additional evaluation needs and availability of financial resources.</w:t>
      </w:r>
    </w:p>
  </w:footnote>
  <w:footnote w:id="2">
    <w:p w14:paraId="3B840B1F" w14:textId="77777777" w:rsidR="00B62358" w:rsidRPr="001967F0" w:rsidRDefault="00B62358" w:rsidP="00B62358">
      <w:pPr>
        <w:pStyle w:val="FootnoteText"/>
        <w:jc w:val="both"/>
        <w:rPr>
          <w:lang w:val="en-GB"/>
        </w:rPr>
      </w:pPr>
      <w:r w:rsidRPr="00B62358">
        <w:rPr>
          <w:rStyle w:val="FootnoteReference"/>
          <w:rFonts w:ascii="Times New Roman" w:hAnsi="Times New Roman"/>
          <w:sz w:val="16"/>
          <w:szCs w:val="16"/>
        </w:rPr>
        <w:footnoteRef/>
      </w:r>
      <w:r w:rsidRPr="00B62358">
        <w:rPr>
          <w:rFonts w:ascii="Times New Roman" w:hAnsi="Times New Roman"/>
          <w:sz w:val="16"/>
          <w:szCs w:val="16"/>
        </w:rPr>
        <w:t xml:space="preserve"> </w:t>
      </w:r>
      <w:r w:rsidRPr="00B62358">
        <w:rPr>
          <w:rFonts w:ascii="Times New Roman" w:hAnsi="Times New Roman"/>
          <w:sz w:val="16"/>
          <w:szCs w:val="16"/>
          <w:lang w:val="en-GB"/>
        </w:rPr>
        <w:t>Costs were estimated by considering the average budgets for evaluation in Latin American and the Caribbean included in the IEO Annual Report 2019 as well as historical data on past evaluations and through specific evaluation-type cost estimation according to the UNDP Evaluation Guidelines and GEF Guidelines in some cases adjusting for inflation, all estimations are in USD.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58"/>
    <w:rsid w:val="005C798B"/>
    <w:rsid w:val="005F2842"/>
    <w:rsid w:val="007F73F7"/>
    <w:rsid w:val="00B62358"/>
    <w:rsid w:val="00D728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679E"/>
  <w15:chartTrackingRefBased/>
  <w15:docId w15:val="{C772563A-03E2-46A7-B4F7-01A08078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5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62358"/>
    <w:pPr>
      <w:widowControl w:val="0"/>
    </w:pPr>
    <w:rPr>
      <w:rFonts w:ascii="Courier" w:hAnsi="Courier"/>
    </w:rPr>
  </w:style>
  <w:style w:type="character" w:customStyle="1" w:styleId="FootnoteTextChar">
    <w:name w:val="Footnote Text Char"/>
    <w:basedOn w:val="DefaultParagraphFont"/>
    <w:link w:val="FootnoteText"/>
    <w:uiPriority w:val="99"/>
    <w:semiHidden/>
    <w:rsid w:val="00B62358"/>
    <w:rPr>
      <w:rFonts w:ascii="Courier" w:eastAsia="Times New Roman" w:hAnsi="Courier" w:cs="Times New Roman"/>
      <w:sz w:val="20"/>
      <w:szCs w:val="20"/>
      <w:lang w:val="en-US"/>
    </w:rPr>
  </w:style>
  <w:style w:type="character" w:styleId="FootnoteReference">
    <w:name w:val="footnote reference"/>
    <w:semiHidden/>
    <w:rsid w:val="00B62358"/>
    <w:rPr>
      <w:rFonts w:cs="Times New Roman"/>
      <w:vertAlign w:val="superscript"/>
    </w:rPr>
  </w:style>
  <w:style w:type="character" w:styleId="CommentReference">
    <w:name w:val="annotation reference"/>
    <w:semiHidden/>
    <w:rsid w:val="00B62358"/>
    <w:rPr>
      <w:rFonts w:cs="Times New Roman"/>
      <w:sz w:val="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071905AED9CB45BA4149E3D72A32E2" ma:contentTypeVersion="1" ma:contentTypeDescription="Create a new document." ma:contentTypeScope="" ma:versionID="f9a99f5d4d551b70a107d01b16d9f4da">
  <xsd:schema xmlns:xsd="http://www.w3.org/2001/XMLSchema" xmlns:xs="http://www.w3.org/2001/XMLSchema" xmlns:p="http://schemas.microsoft.com/office/2006/metadata/properties" xmlns:ns2="2d5f716b-b52a-4ee0-a811-6b2cc631bd0b" xmlns:ns3="05e84800-ff9a-43bb-bb7e-6161dfe90000" targetNamespace="http://schemas.microsoft.com/office/2006/metadata/properties" ma:root="true" ma:fieldsID="ec99c671dc2aa336c1ae248f85e86fd8" ns2:_="" ns3:_="">
    <xsd:import namespace="2d5f716b-b52a-4ee0-a811-6b2cc631bd0b"/>
    <xsd:import namespace="05e84800-ff9a-43bb-bb7e-6161dfe90000"/>
    <xsd:element name="properties">
      <xsd:complexType>
        <xsd:sequence>
          <xsd:element name="documentManagement">
            <xsd:complexType>
              <xsd:all>
                <xsd:element ref="ns2:Yea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716b-b52a-4ee0-a811-6b2cc631bd0b" elementFormDefault="qualified">
    <xsd:import namespace="http://schemas.microsoft.com/office/2006/documentManagement/types"/>
    <xsd:import namespace="http://schemas.microsoft.com/office/infopath/2007/PartnerControls"/>
    <xsd:element name="Years" ma:index="8"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ountr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s xmlns="2d5f716b-b52a-4ee0-a811-6b2cc631bd0b" xsi:nil="true"/>
    <_dlc_DocId xmlns="05e84800-ff9a-43bb-bb7e-6161dfe90000">KKKATZMDSDUY-96-700</_dlc_DocId>
    <_dlc_DocIdUrl xmlns="05e84800-ff9a-43bb-bb7e-6161dfe90000">
      <Url>https://intranet.undp.org/unit/bpps/DI/CPDs/_layouts/15/DocIdRedir.aspx?ID=KKKATZMDSDUY-96-700</Url>
      <Description>KKKATZMDSDUY-96-700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C9CC49-D485-446E-AF1B-2B7704938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716b-b52a-4ee0-a811-6b2cc631bd0b"/>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4DE46-B0E0-4AD3-B668-AF0A14DF03AD}">
  <ds:schemaRefs>
    <ds:schemaRef ds:uri="http://schemas.microsoft.com/sharepoint/v3/contenttype/forms"/>
  </ds:schemaRefs>
</ds:datastoreItem>
</file>

<file path=customXml/itemProps3.xml><?xml version="1.0" encoding="utf-8"?>
<ds:datastoreItem xmlns:ds="http://schemas.openxmlformats.org/officeDocument/2006/customXml" ds:itemID="{E8B236EF-AB4B-40BE-A8B2-F2F77F6999C4}">
  <ds:schemaRefs>
    <ds:schemaRef ds:uri="http://schemas.microsoft.com/office/2006/documentManagement/types"/>
    <ds:schemaRef ds:uri="http://schemas.microsoft.com/office/2006/metadata/properties"/>
    <ds:schemaRef ds:uri="2d5f716b-b52a-4ee0-a811-6b2cc631bd0b"/>
    <ds:schemaRef ds:uri="05e84800-ff9a-43bb-bb7e-6161dfe90000"/>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79EDCE42-160E-4323-9211-CA62366522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1267</Words>
  <Characters>7227</Characters>
  <Application>Microsoft Office Word</Application>
  <DocSecurity>4</DocSecurity>
  <Lines>60</Lines>
  <Paragraphs>16</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Mejia</dc:creator>
  <cp:keywords/>
  <dc:description/>
  <cp:lastModifiedBy>Svetlana Iazykova</cp:lastModifiedBy>
  <cp:revision>2</cp:revision>
  <dcterms:created xsi:type="dcterms:W3CDTF">2020-10-09T22:18:00Z</dcterms:created>
  <dcterms:modified xsi:type="dcterms:W3CDTF">2020-10-09T22:18:00Z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0x0101006B071905AED9CB45BA4149E3D72A32E2</vt:lpwstr>
  </property>
  <property fmtid="{D5CDD505-2E9C-101B-9397-08002B2CF9AE}" pid="3" name="_dlc_DocIdItemGuid">
    <vt:lpwstr>87b2f991-a0b9-439f-b704-cd222134a449</vt:lpwstr>
  </property>
</Properties>
</file>