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49925" w14:textId="2037A5FD" w:rsidR="00556CBD" w:rsidRPr="00915E7E" w:rsidRDefault="00556CBD" w:rsidP="00D57C86">
      <w:pPr>
        <w:tabs>
          <w:tab w:val="left" w:pos="1620"/>
          <w:tab w:val="left" w:pos="8789"/>
        </w:tabs>
        <w:ind w:right="288"/>
        <w:rPr>
          <w:b/>
          <w:color w:val="000000"/>
        </w:rPr>
      </w:pPr>
      <w:r w:rsidRPr="00915E7E">
        <w:rPr>
          <w:b/>
          <w:color w:val="000000"/>
        </w:rPr>
        <w:t>Second regular session 2020</w:t>
      </w:r>
    </w:p>
    <w:p w14:paraId="44740F69" w14:textId="3CC8B908" w:rsidR="00556CBD" w:rsidRPr="00915E7E" w:rsidRDefault="00556CBD" w:rsidP="00D57C86">
      <w:pPr>
        <w:tabs>
          <w:tab w:val="right" w:pos="1022"/>
          <w:tab w:val="left" w:pos="1267"/>
          <w:tab w:val="left" w:pos="1620"/>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915E7E">
        <w:rPr>
          <w:color w:val="000000"/>
        </w:rPr>
        <w:t>31 August – 4 September 2020, New York</w:t>
      </w:r>
    </w:p>
    <w:p w14:paraId="3380095C" w14:textId="77777777" w:rsidR="00556CBD" w:rsidRPr="00915E7E" w:rsidRDefault="00556CBD" w:rsidP="00D57C86">
      <w:pPr>
        <w:tabs>
          <w:tab w:val="right" w:pos="1022"/>
          <w:tab w:val="left" w:pos="1267"/>
          <w:tab w:val="left" w:pos="1620"/>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915E7E">
        <w:rPr>
          <w:color w:val="000000"/>
        </w:rPr>
        <w:t xml:space="preserve">Item </w:t>
      </w:r>
      <w:r w:rsidRPr="001E463A">
        <w:rPr>
          <w:color w:val="000000"/>
        </w:rPr>
        <w:t>x</w:t>
      </w:r>
      <w:r w:rsidRPr="00915E7E">
        <w:rPr>
          <w:color w:val="000000"/>
        </w:rPr>
        <w:t xml:space="preserve"> of the provisional agenda</w:t>
      </w:r>
    </w:p>
    <w:p w14:paraId="51F3DC92" w14:textId="77777777" w:rsidR="00556CBD" w:rsidRPr="00915E7E" w:rsidRDefault="00556CBD" w:rsidP="00542B95">
      <w:pPr>
        <w:tabs>
          <w:tab w:val="left" w:pos="1620"/>
        </w:tabs>
        <w:spacing w:after="120"/>
        <w:ind w:right="1260"/>
        <w:rPr>
          <w:b/>
          <w:color w:val="000000"/>
        </w:rPr>
      </w:pPr>
      <w:r w:rsidRPr="00915E7E">
        <w:rPr>
          <w:b/>
          <w:color w:val="000000"/>
        </w:rPr>
        <w:t>Country programmes and related matters</w:t>
      </w:r>
    </w:p>
    <w:p w14:paraId="1361B831" w14:textId="77777777" w:rsidR="00556CBD" w:rsidRPr="00232851" w:rsidRDefault="00556CBD" w:rsidP="00542B95">
      <w:pPr>
        <w:pStyle w:val="HCh"/>
        <w:tabs>
          <w:tab w:val="right" w:pos="1022"/>
          <w:tab w:val="left" w:pos="1267"/>
          <w:tab w:val="left" w:pos="1620"/>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0" w:hanging="1267"/>
        <w:rPr>
          <w:color w:val="000000"/>
        </w:rPr>
      </w:pPr>
    </w:p>
    <w:p w14:paraId="26E3D98A" w14:textId="77777777" w:rsidR="00556CBD" w:rsidRPr="00232851" w:rsidRDefault="00556CBD" w:rsidP="00D57C86">
      <w:pPr>
        <w:pStyle w:val="HCh"/>
        <w:tabs>
          <w:tab w:val="right" w:pos="1022"/>
          <w:tab w:val="left" w:pos="1267"/>
          <w:tab w:val="left" w:pos="1620"/>
          <w:tab w:val="left" w:pos="1742"/>
          <w:tab w:val="left" w:pos="2218"/>
          <w:tab w:val="left" w:pos="2693"/>
          <w:tab w:val="left" w:pos="3182"/>
          <w:tab w:val="left" w:pos="3658"/>
          <w:tab w:val="left" w:pos="4133"/>
          <w:tab w:val="left" w:pos="4622"/>
          <w:tab w:val="left" w:pos="5098"/>
          <w:tab w:val="left" w:pos="5573"/>
          <w:tab w:val="left" w:pos="6048"/>
          <w:tab w:val="left" w:pos="7380"/>
        </w:tabs>
        <w:spacing w:after="120" w:line="240" w:lineRule="auto"/>
        <w:ind w:left="1267" w:right="1260" w:hanging="1267"/>
        <w:rPr>
          <w:color w:val="000000"/>
        </w:rPr>
      </w:pPr>
    </w:p>
    <w:p w14:paraId="0E1D3D48" w14:textId="46E6AEAC" w:rsidR="00556CBD" w:rsidRPr="00232851" w:rsidRDefault="00556CBD" w:rsidP="00542B95">
      <w:pPr>
        <w:pStyle w:val="HCh"/>
        <w:tabs>
          <w:tab w:val="right" w:pos="1022"/>
          <w:tab w:val="left" w:pos="1267"/>
          <w:tab w:val="left" w:pos="1620"/>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0" w:hanging="1267"/>
        <w:rPr>
          <w:color w:val="000000"/>
        </w:rPr>
      </w:pPr>
      <w:r w:rsidRPr="00232851">
        <w:rPr>
          <w:color w:val="000000"/>
        </w:rPr>
        <w:t xml:space="preserve">Draft country programme document for </w:t>
      </w:r>
      <w:r>
        <w:rPr>
          <w:color w:val="000000"/>
        </w:rPr>
        <w:t>Belarus</w:t>
      </w:r>
      <w:r w:rsidRPr="00232851">
        <w:rPr>
          <w:color w:val="000000"/>
        </w:rPr>
        <w:t xml:space="preserve"> (2021-2025)</w:t>
      </w:r>
    </w:p>
    <w:p w14:paraId="12C4A4D6" w14:textId="77777777" w:rsidR="00556CBD" w:rsidRDefault="00556CBD" w:rsidP="00542B95">
      <w:pPr>
        <w:pStyle w:val="HCh"/>
        <w:tabs>
          <w:tab w:val="left" w:pos="1620"/>
        </w:tabs>
        <w:spacing w:after="120" w:line="240" w:lineRule="auto"/>
        <w:rPr>
          <w:b w:val="0"/>
          <w:color w:val="000000"/>
          <w:sz w:val="20"/>
        </w:rPr>
      </w:pPr>
      <w:r w:rsidRPr="00232851">
        <w:rPr>
          <w:b w:val="0"/>
          <w:color w:val="000000"/>
          <w:sz w:val="20"/>
        </w:rPr>
        <w:t xml:space="preserve"> </w:t>
      </w:r>
    </w:p>
    <w:p w14:paraId="1CF469A1" w14:textId="77777777" w:rsidR="00556CBD" w:rsidRPr="004C4F2C" w:rsidRDefault="00556CBD" w:rsidP="00542B95">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ind w:right="328"/>
        <w:outlineLvl w:val="0"/>
        <w:rPr>
          <w:color w:val="000000"/>
          <w:sz w:val="24"/>
          <w:szCs w:val="24"/>
          <w:lang w:eastAsia="fr-FR"/>
        </w:rPr>
      </w:pPr>
      <w:r w:rsidRPr="004C4F2C">
        <w:rPr>
          <w:color w:val="000000"/>
          <w:kern w:val="14"/>
          <w:sz w:val="24"/>
          <w:szCs w:val="24"/>
          <w:lang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556CBD" w:rsidRPr="00730D6E" w14:paraId="424EEB4D" w14:textId="77777777" w:rsidTr="00103687">
        <w:tc>
          <w:tcPr>
            <w:tcW w:w="1060" w:type="dxa"/>
            <w:shd w:val="clear" w:color="auto" w:fill="auto"/>
          </w:tcPr>
          <w:p w14:paraId="67850EB1" w14:textId="77777777" w:rsidR="00556CBD" w:rsidRPr="00730D6E" w:rsidRDefault="00556CBD" w:rsidP="00F62196">
            <w:pPr>
              <w:tabs>
                <w:tab w:val="left" w:pos="1620"/>
              </w:tabs>
              <w:suppressAutoHyphens/>
              <w:spacing w:after="120"/>
              <w:jc w:val="right"/>
              <w:rPr>
                <w:i/>
                <w:color w:val="000000"/>
                <w:spacing w:val="4"/>
                <w:w w:val="103"/>
                <w:kern w:val="14"/>
                <w:sz w:val="14"/>
                <w:lang w:eastAsia="fr-FR"/>
              </w:rPr>
            </w:pPr>
          </w:p>
        </w:tc>
        <w:tc>
          <w:tcPr>
            <w:tcW w:w="8480" w:type="dxa"/>
            <w:gridSpan w:val="2"/>
            <w:shd w:val="clear" w:color="auto" w:fill="auto"/>
          </w:tcPr>
          <w:p w14:paraId="769187E5" w14:textId="7586978C" w:rsidR="00556CBD" w:rsidRPr="00730D6E" w:rsidRDefault="00556CBD" w:rsidP="004C4F2C">
            <w:pPr>
              <w:tabs>
                <w:tab w:val="left" w:pos="1620"/>
              </w:tabs>
              <w:suppressAutoHyphens/>
              <w:spacing w:after="120"/>
              <w:ind w:left="20"/>
              <w:rPr>
                <w:i/>
                <w:color w:val="000000"/>
                <w:spacing w:val="4"/>
                <w:w w:val="103"/>
                <w:kern w:val="14"/>
                <w:sz w:val="14"/>
                <w:lang w:eastAsia="fr-FR"/>
              </w:rPr>
            </w:pPr>
          </w:p>
        </w:tc>
        <w:tc>
          <w:tcPr>
            <w:tcW w:w="362" w:type="dxa"/>
            <w:shd w:val="clear" w:color="auto" w:fill="auto"/>
          </w:tcPr>
          <w:p w14:paraId="48175619" w14:textId="77777777" w:rsidR="00556CBD" w:rsidRPr="00730D6E" w:rsidRDefault="00556CBD" w:rsidP="00F86B99">
            <w:pPr>
              <w:tabs>
                <w:tab w:val="left" w:pos="1620"/>
              </w:tabs>
              <w:suppressAutoHyphens/>
              <w:spacing w:after="120"/>
              <w:jc w:val="right"/>
              <w:rPr>
                <w:i/>
                <w:color w:val="000000"/>
                <w:spacing w:val="4"/>
                <w:w w:val="103"/>
                <w:kern w:val="14"/>
                <w:sz w:val="14"/>
                <w:lang w:eastAsia="fr-FR"/>
              </w:rPr>
            </w:pPr>
            <w:r w:rsidRPr="00730D6E">
              <w:rPr>
                <w:i/>
                <w:iCs/>
                <w:color w:val="000000"/>
                <w:kern w:val="14"/>
                <w:sz w:val="14"/>
                <w:lang w:eastAsia="fr-FR"/>
              </w:rPr>
              <w:t>Page</w:t>
            </w:r>
          </w:p>
        </w:tc>
      </w:tr>
      <w:tr w:rsidR="00556CBD" w:rsidRPr="00730D6E" w14:paraId="798F8DBC" w14:textId="77777777" w:rsidTr="00103687">
        <w:tc>
          <w:tcPr>
            <w:tcW w:w="9540" w:type="dxa"/>
            <w:gridSpan w:val="3"/>
            <w:shd w:val="clear" w:color="auto" w:fill="auto"/>
          </w:tcPr>
          <w:p w14:paraId="68A5CA3A" w14:textId="7802FED5" w:rsidR="00556CBD" w:rsidRPr="00730D6E" w:rsidRDefault="00556CBD" w:rsidP="00542B95">
            <w:pPr>
              <w:numPr>
                <w:ilvl w:val="0"/>
                <w:numId w:val="48"/>
              </w:numPr>
              <w:tabs>
                <w:tab w:val="right" w:pos="1080"/>
                <w:tab w:val="left" w:pos="1296"/>
                <w:tab w:val="left" w:pos="1620"/>
                <w:tab w:val="left" w:pos="2160"/>
                <w:tab w:val="left" w:pos="2592"/>
                <w:tab w:val="right" w:leader="dot" w:pos="9090"/>
              </w:tabs>
              <w:suppressAutoHyphens/>
              <w:spacing w:after="120"/>
              <w:jc w:val="both"/>
              <w:rPr>
                <w:color w:val="000000"/>
                <w:spacing w:val="4"/>
                <w:w w:val="103"/>
                <w:kern w:val="14"/>
                <w:lang w:eastAsia="fr-FR"/>
              </w:rPr>
            </w:pPr>
            <w:r w:rsidRPr="00730D6E">
              <w:rPr>
                <w:color w:val="000000"/>
                <w:kern w:val="14"/>
                <w:lang w:eastAsia="fr-FR"/>
              </w:rPr>
              <w:tab/>
              <w:t xml:space="preserve">UNDP </w:t>
            </w:r>
            <w:r>
              <w:rPr>
                <w:color w:val="000000"/>
                <w:kern w:val="14"/>
                <w:lang w:eastAsia="fr-FR"/>
              </w:rPr>
              <w:t>within</w:t>
            </w:r>
            <w:r w:rsidRPr="00730D6E">
              <w:rPr>
                <w:color w:val="000000"/>
                <w:kern w:val="14"/>
                <w:lang w:eastAsia="fr-FR"/>
              </w:rPr>
              <w:t xml:space="preserve"> the U</w:t>
            </w:r>
            <w:r w:rsidR="001551D6">
              <w:rPr>
                <w:color w:val="000000"/>
                <w:kern w:val="14"/>
                <w:lang w:eastAsia="fr-FR"/>
              </w:rPr>
              <w:t xml:space="preserve">nited </w:t>
            </w:r>
            <w:r w:rsidRPr="00730D6E">
              <w:rPr>
                <w:color w:val="000000"/>
                <w:kern w:val="14"/>
                <w:lang w:eastAsia="fr-FR"/>
              </w:rPr>
              <w:t>N</w:t>
            </w:r>
            <w:r w:rsidR="001551D6">
              <w:rPr>
                <w:color w:val="000000"/>
                <w:kern w:val="14"/>
                <w:lang w:eastAsia="fr-FR"/>
              </w:rPr>
              <w:t xml:space="preserve">ations Sustainable Development </w:t>
            </w:r>
            <w:r w:rsidRPr="00730D6E">
              <w:rPr>
                <w:color w:val="000000"/>
                <w:kern w:val="14"/>
                <w:lang w:eastAsia="fr-FR"/>
              </w:rPr>
              <w:t>Cooperation Framework</w:t>
            </w:r>
            <w:r w:rsidRPr="00730D6E">
              <w:rPr>
                <w:color w:val="000000"/>
                <w:sz w:val="24"/>
                <w:szCs w:val="24"/>
                <w:lang w:eastAsia="fr-FR"/>
              </w:rPr>
              <w:tab/>
            </w:r>
          </w:p>
        </w:tc>
        <w:tc>
          <w:tcPr>
            <w:tcW w:w="362" w:type="dxa"/>
            <w:vMerge w:val="restart"/>
            <w:shd w:val="clear" w:color="auto" w:fill="auto"/>
            <w:vAlign w:val="bottom"/>
          </w:tcPr>
          <w:p w14:paraId="3B4C0A6F" w14:textId="77777777" w:rsidR="00556CBD" w:rsidRPr="00730D6E" w:rsidRDefault="00556CBD" w:rsidP="00542B95">
            <w:pPr>
              <w:tabs>
                <w:tab w:val="left" w:pos="1620"/>
              </w:tabs>
              <w:suppressAutoHyphens/>
              <w:spacing w:after="120"/>
              <w:jc w:val="right"/>
              <w:rPr>
                <w:color w:val="000000"/>
                <w:spacing w:val="4"/>
                <w:w w:val="103"/>
                <w:kern w:val="14"/>
                <w:lang w:eastAsia="fr-FR"/>
              </w:rPr>
            </w:pPr>
            <w:r w:rsidRPr="00730D6E">
              <w:rPr>
                <w:color w:val="000000"/>
                <w:kern w:val="14"/>
                <w:lang w:eastAsia="fr-FR"/>
              </w:rPr>
              <w:t>2</w:t>
            </w:r>
          </w:p>
          <w:p w14:paraId="6F39055C" w14:textId="1BC0D09B" w:rsidR="00556CBD" w:rsidRPr="00730D6E" w:rsidRDefault="00410688" w:rsidP="00542B95">
            <w:pPr>
              <w:tabs>
                <w:tab w:val="left" w:pos="1620"/>
              </w:tabs>
              <w:suppressAutoHyphens/>
              <w:spacing w:after="120"/>
              <w:jc w:val="right"/>
              <w:rPr>
                <w:color w:val="000000"/>
                <w:spacing w:val="4"/>
                <w:w w:val="103"/>
                <w:kern w:val="14"/>
                <w:lang w:eastAsia="fr-FR"/>
              </w:rPr>
            </w:pPr>
            <w:r>
              <w:rPr>
                <w:color w:val="000000"/>
                <w:kern w:val="14"/>
                <w:lang w:eastAsia="fr-FR"/>
              </w:rPr>
              <w:t>4</w:t>
            </w:r>
          </w:p>
        </w:tc>
      </w:tr>
      <w:tr w:rsidR="00556CBD" w:rsidRPr="00730D6E" w14:paraId="0FABA79D" w14:textId="77777777" w:rsidTr="00103687">
        <w:tc>
          <w:tcPr>
            <w:tcW w:w="9540" w:type="dxa"/>
            <w:gridSpan w:val="3"/>
            <w:shd w:val="clear" w:color="auto" w:fill="auto"/>
          </w:tcPr>
          <w:p w14:paraId="133D541E" w14:textId="77777777" w:rsidR="00556CBD" w:rsidRPr="00730D6E" w:rsidRDefault="00556CBD" w:rsidP="00542B95">
            <w:pPr>
              <w:numPr>
                <w:ilvl w:val="0"/>
                <w:numId w:val="48"/>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jc w:val="both"/>
              <w:rPr>
                <w:color w:val="000000"/>
                <w:spacing w:val="4"/>
                <w:w w:val="103"/>
                <w:kern w:val="14"/>
                <w:lang w:eastAsia="fr-FR"/>
              </w:rPr>
            </w:pPr>
            <w:r w:rsidRPr="00730D6E">
              <w:rPr>
                <w:color w:val="000000"/>
                <w:kern w:val="14"/>
                <w:lang w:eastAsia="fr-FR"/>
              </w:rPr>
              <w:tab/>
              <w:t>Programme priorities and partnerships</w:t>
            </w:r>
            <w:r w:rsidRPr="00730D6E">
              <w:rPr>
                <w:color w:val="000000"/>
                <w:lang w:eastAsia="fr-FR"/>
              </w:rPr>
              <w:t>………………………………………………….</w:t>
            </w:r>
            <w:r w:rsidRPr="00730D6E">
              <w:rPr>
                <w:color w:val="000000"/>
                <w:lang w:eastAsia="fr-FR"/>
              </w:rPr>
              <w:tab/>
              <w:t>……….…</w:t>
            </w:r>
          </w:p>
        </w:tc>
        <w:tc>
          <w:tcPr>
            <w:tcW w:w="362" w:type="dxa"/>
            <w:vMerge/>
            <w:shd w:val="clear" w:color="auto" w:fill="auto"/>
            <w:vAlign w:val="bottom"/>
          </w:tcPr>
          <w:p w14:paraId="32D0CF40" w14:textId="77777777" w:rsidR="00556CBD" w:rsidRPr="00730D6E" w:rsidRDefault="00556CBD" w:rsidP="00542B95">
            <w:pPr>
              <w:tabs>
                <w:tab w:val="left" w:pos="1620"/>
              </w:tabs>
              <w:suppressAutoHyphens/>
              <w:spacing w:after="120"/>
              <w:jc w:val="right"/>
              <w:rPr>
                <w:color w:val="000000"/>
                <w:spacing w:val="4"/>
                <w:w w:val="103"/>
                <w:kern w:val="14"/>
                <w:lang w:eastAsia="fr-FR"/>
              </w:rPr>
            </w:pPr>
          </w:p>
        </w:tc>
      </w:tr>
      <w:tr w:rsidR="00556CBD" w:rsidRPr="00730D6E" w14:paraId="686210E4" w14:textId="77777777" w:rsidTr="00103687">
        <w:tc>
          <w:tcPr>
            <w:tcW w:w="9540" w:type="dxa"/>
            <w:gridSpan w:val="3"/>
            <w:shd w:val="clear" w:color="auto" w:fill="auto"/>
          </w:tcPr>
          <w:p w14:paraId="4749F1F3" w14:textId="77777777" w:rsidR="00556CBD" w:rsidRPr="00730D6E" w:rsidRDefault="00556CBD" w:rsidP="00542B95">
            <w:pPr>
              <w:numPr>
                <w:ilvl w:val="0"/>
                <w:numId w:val="48"/>
              </w:numPr>
              <w:tabs>
                <w:tab w:val="right" w:pos="1080"/>
                <w:tab w:val="left" w:pos="1296"/>
                <w:tab w:val="left" w:pos="1620"/>
                <w:tab w:val="left" w:pos="2160"/>
                <w:tab w:val="left" w:pos="2592"/>
                <w:tab w:val="left" w:pos="3024"/>
                <w:tab w:val="right" w:leader="dot" w:pos="9090"/>
              </w:tabs>
              <w:suppressAutoHyphens/>
              <w:spacing w:after="120"/>
              <w:jc w:val="both"/>
              <w:rPr>
                <w:color w:val="000000"/>
                <w:spacing w:val="4"/>
                <w:w w:val="103"/>
                <w:kern w:val="14"/>
                <w:lang w:eastAsia="fr-FR"/>
              </w:rPr>
            </w:pPr>
            <w:r w:rsidRPr="00730D6E">
              <w:rPr>
                <w:color w:val="000000"/>
                <w:kern w:val="14"/>
                <w:lang w:eastAsia="fr-FR"/>
              </w:rPr>
              <w:tab/>
              <w:t>Programme and risk management</w:t>
            </w:r>
            <w:r w:rsidRPr="00730D6E">
              <w:rPr>
                <w:color w:val="000000"/>
                <w:sz w:val="24"/>
                <w:szCs w:val="24"/>
                <w:lang w:eastAsia="fr-FR"/>
              </w:rPr>
              <w:tab/>
            </w:r>
          </w:p>
        </w:tc>
        <w:tc>
          <w:tcPr>
            <w:tcW w:w="362" w:type="dxa"/>
            <w:vMerge w:val="restart"/>
            <w:shd w:val="clear" w:color="auto" w:fill="auto"/>
            <w:vAlign w:val="bottom"/>
          </w:tcPr>
          <w:p w14:paraId="7AD3CECA" w14:textId="4F0F7F6F" w:rsidR="00556CBD" w:rsidRPr="00730D6E" w:rsidRDefault="00410688" w:rsidP="00542B95">
            <w:pPr>
              <w:tabs>
                <w:tab w:val="left" w:pos="1620"/>
              </w:tabs>
              <w:suppressAutoHyphens/>
              <w:spacing w:after="120"/>
              <w:jc w:val="right"/>
              <w:rPr>
                <w:color w:val="000000"/>
                <w:spacing w:val="4"/>
                <w:w w:val="103"/>
                <w:kern w:val="14"/>
                <w:lang w:eastAsia="fr-FR"/>
              </w:rPr>
            </w:pPr>
            <w:r>
              <w:rPr>
                <w:color w:val="000000"/>
                <w:spacing w:val="4"/>
                <w:w w:val="103"/>
                <w:kern w:val="14"/>
                <w:lang w:eastAsia="fr-FR"/>
              </w:rPr>
              <w:t>8</w:t>
            </w:r>
          </w:p>
          <w:p w14:paraId="2AB12195" w14:textId="5EF465BD" w:rsidR="00556CBD" w:rsidRPr="00730D6E" w:rsidRDefault="00203AD0" w:rsidP="00542B95">
            <w:pPr>
              <w:tabs>
                <w:tab w:val="left" w:pos="1620"/>
              </w:tabs>
              <w:suppressAutoHyphens/>
              <w:spacing w:after="120"/>
              <w:jc w:val="right"/>
              <w:rPr>
                <w:color w:val="000000"/>
                <w:spacing w:val="4"/>
                <w:w w:val="103"/>
                <w:kern w:val="14"/>
                <w:lang w:eastAsia="fr-FR"/>
              </w:rPr>
            </w:pPr>
            <w:r>
              <w:rPr>
                <w:color w:val="000000"/>
                <w:spacing w:val="4"/>
                <w:w w:val="103"/>
                <w:kern w:val="14"/>
                <w:lang w:eastAsia="fr-FR"/>
              </w:rPr>
              <w:t>8</w:t>
            </w:r>
          </w:p>
        </w:tc>
      </w:tr>
      <w:tr w:rsidR="00556CBD" w:rsidRPr="00730D6E" w14:paraId="2054CBE2" w14:textId="77777777" w:rsidTr="00103687">
        <w:tc>
          <w:tcPr>
            <w:tcW w:w="9540" w:type="dxa"/>
            <w:gridSpan w:val="3"/>
            <w:shd w:val="clear" w:color="auto" w:fill="auto"/>
          </w:tcPr>
          <w:p w14:paraId="152EEAC6" w14:textId="77777777" w:rsidR="00556CBD" w:rsidRPr="00730D6E" w:rsidRDefault="00556CBD" w:rsidP="00542B95">
            <w:pPr>
              <w:numPr>
                <w:ilvl w:val="0"/>
                <w:numId w:val="48"/>
              </w:numPr>
              <w:tabs>
                <w:tab w:val="right" w:pos="1080"/>
                <w:tab w:val="left" w:pos="1296"/>
                <w:tab w:val="left" w:pos="1620"/>
                <w:tab w:val="left" w:pos="2160"/>
                <w:tab w:val="left" w:pos="2592"/>
                <w:tab w:val="left" w:pos="3024"/>
                <w:tab w:val="left" w:pos="3420"/>
                <w:tab w:val="left" w:pos="3456"/>
                <w:tab w:val="left" w:pos="9090"/>
              </w:tabs>
              <w:suppressAutoHyphens/>
              <w:spacing w:after="120"/>
              <w:jc w:val="both"/>
              <w:rPr>
                <w:color w:val="000000"/>
                <w:spacing w:val="4"/>
                <w:w w:val="103"/>
                <w:kern w:val="14"/>
                <w:lang w:eastAsia="fr-FR"/>
              </w:rPr>
            </w:pPr>
            <w:r w:rsidRPr="00730D6E">
              <w:rPr>
                <w:color w:val="000000"/>
                <w:kern w:val="14"/>
                <w:lang w:eastAsia="fr-FR"/>
              </w:rPr>
              <w:tab/>
              <w:t>Monitoring and evaluation</w:t>
            </w:r>
            <w:r w:rsidRPr="00730D6E">
              <w:rPr>
                <w:color w:val="000000"/>
                <w:sz w:val="24"/>
                <w:szCs w:val="24"/>
                <w:lang w:eastAsia="fr-FR"/>
              </w:rPr>
              <w:tab/>
            </w:r>
            <w:r w:rsidRPr="00730D6E">
              <w:rPr>
                <w:color w:val="000000"/>
                <w:lang w:eastAsia="fr-FR"/>
              </w:rPr>
              <w:t>…………………………………………………….……………………</w:t>
            </w:r>
          </w:p>
        </w:tc>
        <w:tc>
          <w:tcPr>
            <w:tcW w:w="362" w:type="dxa"/>
            <w:vMerge/>
            <w:shd w:val="clear" w:color="auto" w:fill="auto"/>
            <w:vAlign w:val="bottom"/>
          </w:tcPr>
          <w:p w14:paraId="43F16FA4" w14:textId="77777777" w:rsidR="00556CBD" w:rsidRPr="00730D6E" w:rsidRDefault="00556CBD" w:rsidP="00542B95">
            <w:pPr>
              <w:tabs>
                <w:tab w:val="left" w:pos="1620"/>
              </w:tabs>
              <w:suppressAutoHyphens/>
              <w:spacing w:after="120"/>
              <w:jc w:val="right"/>
              <w:rPr>
                <w:color w:val="000000"/>
                <w:spacing w:val="4"/>
                <w:w w:val="103"/>
                <w:kern w:val="14"/>
                <w:lang w:eastAsia="fr-FR"/>
              </w:rPr>
            </w:pPr>
          </w:p>
        </w:tc>
      </w:tr>
      <w:tr w:rsidR="00556CBD" w:rsidRPr="00730D6E" w14:paraId="42F584DD" w14:textId="77777777" w:rsidTr="00103687">
        <w:tc>
          <w:tcPr>
            <w:tcW w:w="9369" w:type="dxa"/>
            <w:gridSpan w:val="2"/>
            <w:shd w:val="clear" w:color="auto" w:fill="auto"/>
          </w:tcPr>
          <w:p w14:paraId="701E66C1" w14:textId="77777777" w:rsidR="00556CBD" w:rsidRPr="00730D6E" w:rsidRDefault="00556CBD" w:rsidP="00542B95">
            <w:pPr>
              <w:tabs>
                <w:tab w:val="right" w:pos="1080"/>
                <w:tab w:val="left" w:pos="1296"/>
                <w:tab w:val="left" w:pos="1620"/>
                <w:tab w:val="right" w:pos="1714"/>
                <w:tab w:val="left" w:pos="2160"/>
                <w:tab w:val="left" w:pos="2592"/>
                <w:tab w:val="left" w:pos="3024"/>
                <w:tab w:val="left" w:pos="3456"/>
              </w:tabs>
              <w:suppressAutoHyphens/>
              <w:spacing w:after="120"/>
              <w:ind w:left="475"/>
              <w:rPr>
                <w:color w:val="000000"/>
                <w:spacing w:val="4"/>
                <w:w w:val="103"/>
                <w:kern w:val="14"/>
                <w:lang w:eastAsia="fr-FR"/>
              </w:rPr>
            </w:pPr>
            <w:r w:rsidRPr="00730D6E">
              <w:rPr>
                <w:color w:val="000000"/>
                <w:kern w:val="14"/>
                <w:lang w:eastAsia="fr-FR"/>
              </w:rPr>
              <w:t>Annex</w:t>
            </w:r>
          </w:p>
        </w:tc>
        <w:tc>
          <w:tcPr>
            <w:tcW w:w="533" w:type="dxa"/>
            <w:gridSpan w:val="2"/>
            <w:shd w:val="clear" w:color="auto" w:fill="auto"/>
            <w:vAlign w:val="bottom"/>
          </w:tcPr>
          <w:p w14:paraId="5958E928" w14:textId="77777777" w:rsidR="00556CBD" w:rsidRPr="00730D6E" w:rsidRDefault="00556CBD" w:rsidP="00542B95">
            <w:pPr>
              <w:tabs>
                <w:tab w:val="left" w:pos="1620"/>
              </w:tabs>
              <w:suppressAutoHyphens/>
              <w:spacing w:after="120"/>
              <w:jc w:val="right"/>
              <w:rPr>
                <w:color w:val="000000"/>
                <w:spacing w:val="4"/>
                <w:w w:val="103"/>
                <w:kern w:val="14"/>
                <w:lang w:eastAsia="fr-FR"/>
              </w:rPr>
            </w:pPr>
          </w:p>
        </w:tc>
      </w:tr>
      <w:tr w:rsidR="00556CBD" w:rsidRPr="00730D6E" w14:paraId="02073ABD" w14:textId="77777777" w:rsidTr="00103687">
        <w:tc>
          <w:tcPr>
            <w:tcW w:w="9369" w:type="dxa"/>
            <w:gridSpan w:val="2"/>
            <w:shd w:val="clear" w:color="auto" w:fill="auto"/>
          </w:tcPr>
          <w:p w14:paraId="5FF6EA40" w14:textId="3461AB02" w:rsidR="00556CBD" w:rsidRPr="00730D6E" w:rsidRDefault="00556CBD" w:rsidP="00542B95">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ind w:left="1296"/>
              <w:rPr>
                <w:color w:val="000000"/>
                <w:spacing w:val="60"/>
                <w:w w:val="103"/>
                <w:kern w:val="14"/>
                <w:sz w:val="17"/>
                <w:lang w:eastAsia="fr-FR"/>
              </w:rPr>
            </w:pPr>
            <w:r w:rsidRPr="00730D6E">
              <w:rPr>
                <w:color w:val="000000"/>
                <w:kern w:val="14"/>
                <w:lang w:eastAsia="fr-FR"/>
              </w:rPr>
              <w:t xml:space="preserve">Results and resources framework for </w:t>
            </w:r>
            <w:r w:rsidR="001551D6">
              <w:rPr>
                <w:color w:val="000000"/>
                <w:kern w:val="14"/>
                <w:lang w:eastAsia="fr-FR"/>
              </w:rPr>
              <w:t>Belarus</w:t>
            </w:r>
            <w:r w:rsidRPr="00730D6E">
              <w:rPr>
                <w:color w:val="000000"/>
                <w:kern w:val="14"/>
                <w:lang w:eastAsia="fr-FR"/>
              </w:rPr>
              <w:t xml:space="preserve"> (2021-2025)</w:t>
            </w:r>
          </w:p>
        </w:tc>
        <w:tc>
          <w:tcPr>
            <w:tcW w:w="533" w:type="dxa"/>
            <w:gridSpan w:val="2"/>
            <w:shd w:val="clear" w:color="auto" w:fill="auto"/>
            <w:vAlign w:val="bottom"/>
          </w:tcPr>
          <w:p w14:paraId="1E857C88" w14:textId="220B10CE" w:rsidR="00556CBD" w:rsidRPr="00730D6E" w:rsidRDefault="00ED119D" w:rsidP="00542B95">
            <w:pPr>
              <w:tabs>
                <w:tab w:val="left" w:pos="1620"/>
              </w:tabs>
              <w:suppressAutoHyphens/>
              <w:spacing w:after="120"/>
              <w:jc w:val="right"/>
              <w:rPr>
                <w:color w:val="000000"/>
                <w:spacing w:val="4"/>
                <w:w w:val="103"/>
                <w:kern w:val="14"/>
                <w:lang w:eastAsia="fr-FR"/>
              </w:rPr>
            </w:pPr>
            <w:r>
              <w:rPr>
                <w:color w:val="000000"/>
                <w:kern w:val="14"/>
                <w:lang w:eastAsia="fr-FR"/>
              </w:rPr>
              <w:t>10</w:t>
            </w:r>
          </w:p>
        </w:tc>
      </w:tr>
    </w:tbl>
    <w:p w14:paraId="2440D39D" w14:textId="6A650327" w:rsidR="00964A4E" w:rsidRDefault="00556CBD" w:rsidP="00D57C86">
      <w:pPr>
        <w:tabs>
          <w:tab w:val="left" w:pos="1620"/>
        </w:tabs>
        <w:spacing w:after="120"/>
        <w:rPr>
          <w:b/>
          <w:color w:val="000000"/>
        </w:rPr>
      </w:pPr>
      <w:r w:rsidRPr="006247C4">
        <w:br w:type="page"/>
      </w:r>
    </w:p>
    <w:p w14:paraId="2440D3A4" w14:textId="77777777" w:rsidR="00785474" w:rsidRPr="003C26C1" w:rsidRDefault="00785474" w:rsidP="00D57C86">
      <w:pPr>
        <w:tabs>
          <w:tab w:val="left" w:pos="1620"/>
        </w:tabs>
        <w:spacing w:after="120"/>
        <w:rPr>
          <w:color w:val="000000"/>
          <w:sz w:val="6"/>
        </w:rPr>
        <w:sectPr w:rsidR="00785474" w:rsidRPr="003C26C1" w:rsidSect="00677A8F">
          <w:headerReference w:type="default" r:id="rId11"/>
          <w:footerReference w:type="even" r:id="rId12"/>
          <w:footerReference w:type="default" r:id="rId13"/>
          <w:headerReference w:type="first" r:id="rId14"/>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4DDE0573" w14:textId="422E1B82" w:rsidR="00CD4201" w:rsidRDefault="007C2934" w:rsidP="00D57C86">
      <w:pPr>
        <w:pStyle w:val="Heading2"/>
        <w:numPr>
          <w:ilvl w:val="0"/>
          <w:numId w:val="49"/>
        </w:numPr>
        <w:tabs>
          <w:tab w:val="left" w:pos="1260"/>
          <w:tab w:val="left" w:pos="1620"/>
        </w:tabs>
        <w:ind w:right="1267"/>
        <w:jc w:val="both"/>
        <w:rPr>
          <w:rFonts w:ascii="Times New Roman" w:hAnsi="Times New Roman"/>
          <w:bCs/>
          <w:color w:val="000000"/>
          <w:sz w:val="24"/>
          <w:szCs w:val="24"/>
        </w:rPr>
      </w:pPr>
      <w:r>
        <w:rPr>
          <w:rFonts w:ascii="Times New Roman" w:hAnsi="Times New Roman"/>
          <w:bCs/>
          <w:color w:val="000000"/>
          <w:sz w:val="24"/>
          <w:szCs w:val="24"/>
        </w:rPr>
        <w:lastRenderedPageBreak/>
        <w:t xml:space="preserve">UNDP </w:t>
      </w:r>
      <w:r w:rsidR="00363EED">
        <w:rPr>
          <w:rFonts w:ascii="Times New Roman" w:hAnsi="Times New Roman"/>
          <w:bCs/>
          <w:color w:val="000000"/>
          <w:sz w:val="24"/>
          <w:szCs w:val="24"/>
        </w:rPr>
        <w:t>within the</w:t>
      </w:r>
      <w:r>
        <w:rPr>
          <w:rFonts w:ascii="Times New Roman" w:hAnsi="Times New Roman"/>
          <w:bCs/>
          <w:color w:val="000000"/>
          <w:sz w:val="24"/>
          <w:szCs w:val="24"/>
        </w:rPr>
        <w:t xml:space="preserve"> </w:t>
      </w:r>
      <w:r w:rsidR="00CD4201" w:rsidRPr="002D2C1F">
        <w:rPr>
          <w:rFonts w:ascii="Times New Roman" w:hAnsi="Times New Roman"/>
          <w:bCs/>
          <w:color w:val="000000"/>
          <w:sz w:val="24"/>
          <w:szCs w:val="24"/>
        </w:rPr>
        <w:t xml:space="preserve">United Nations Sustainable Development </w:t>
      </w:r>
      <w:r w:rsidR="0049255A">
        <w:rPr>
          <w:rFonts w:ascii="Times New Roman" w:hAnsi="Times New Roman"/>
          <w:bCs/>
          <w:color w:val="000000"/>
          <w:sz w:val="24"/>
          <w:szCs w:val="24"/>
        </w:rPr>
        <w:t>Cooper</w:t>
      </w:r>
      <w:r w:rsidR="0067557E">
        <w:rPr>
          <w:rFonts w:ascii="Times New Roman" w:hAnsi="Times New Roman"/>
          <w:bCs/>
          <w:color w:val="000000"/>
          <w:sz w:val="24"/>
          <w:szCs w:val="24"/>
        </w:rPr>
        <w:t xml:space="preserve">ation </w:t>
      </w:r>
    </w:p>
    <w:p w14:paraId="2440D3D7" w14:textId="5983E2F2" w:rsidR="00A918A7" w:rsidRPr="003C26C1" w:rsidRDefault="0067557E" w:rsidP="00631C8D">
      <w:pPr>
        <w:pStyle w:val="Heading2"/>
        <w:tabs>
          <w:tab w:val="left" w:pos="1260"/>
          <w:tab w:val="left" w:pos="1620"/>
        </w:tabs>
        <w:ind w:left="1260" w:right="1267"/>
        <w:jc w:val="both"/>
        <w:rPr>
          <w:rFonts w:ascii="Times New Roman" w:hAnsi="Times New Roman"/>
          <w:bCs/>
          <w:color w:val="000000"/>
          <w:sz w:val="24"/>
          <w:szCs w:val="24"/>
        </w:rPr>
      </w:pPr>
      <w:r>
        <w:rPr>
          <w:rFonts w:ascii="Times New Roman" w:hAnsi="Times New Roman"/>
          <w:bCs/>
          <w:color w:val="000000"/>
          <w:sz w:val="24"/>
          <w:szCs w:val="24"/>
        </w:rPr>
        <w:t>Framework</w:t>
      </w:r>
    </w:p>
    <w:p w14:paraId="7910FD0C" w14:textId="77777777" w:rsidR="007026CB" w:rsidRDefault="007026CB" w:rsidP="00631C8D">
      <w:pPr>
        <w:tabs>
          <w:tab w:val="left" w:pos="1620"/>
        </w:tabs>
        <w:ind w:left="1260" w:right="1210"/>
        <w:jc w:val="both"/>
      </w:pPr>
    </w:p>
    <w:p w14:paraId="41B6A10B" w14:textId="77620976" w:rsidR="008A54F7" w:rsidRPr="00E22C45" w:rsidRDefault="00F62196" w:rsidP="00E22C45">
      <w:pPr>
        <w:pStyle w:val="ListParagraph"/>
        <w:tabs>
          <w:tab w:val="left" w:pos="1620"/>
        </w:tabs>
        <w:spacing w:after="120"/>
        <w:ind w:left="1267" w:right="1210"/>
        <w:jc w:val="both"/>
        <w:rPr>
          <w:lang w:val="en-GB"/>
        </w:rPr>
      </w:pPr>
      <w:r>
        <w:rPr>
          <w:lang w:val="en-GB"/>
        </w:rPr>
        <w:t>1.</w:t>
      </w:r>
      <w:r>
        <w:rPr>
          <w:lang w:val="en-GB"/>
        </w:rPr>
        <w:tab/>
      </w:r>
      <w:r w:rsidR="00714329" w:rsidRPr="00D75D0C">
        <w:rPr>
          <w:lang w:val="en-GB"/>
        </w:rPr>
        <w:t xml:space="preserve">According to World Bank data (2019), </w:t>
      </w:r>
      <w:r w:rsidR="00103687">
        <w:rPr>
          <w:lang w:val="en-GB"/>
        </w:rPr>
        <w:t xml:space="preserve">the Republic of </w:t>
      </w:r>
      <w:r w:rsidR="00714329" w:rsidRPr="00D75D0C">
        <w:rPr>
          <w:lang w:val="en-GB"/>
        </w:rPr>
        <w:t>Belarus is an upper</w:t>
      </w:r>
      <w:r w:rsidR="00CD4201">
        <w:rPr>
          <w:lang w:val="en-GB"/>
        </w:rPr>
        <w:t>-</w:t>
      </w:r>
      <w:r w:rsidR="00714329" w:rsidRPr="00D75D0C">
        <w:rPr>
          <w:lang w:val="en-GB"/>
        </w:rPr>
        <w:t>middle</w:t>
      </w:r>
      <w:r w:rsidR="00B06E97">
        <w:rPr>
          <w:lang w:val="en-GB"/>
        </w:rPr>
        <w:t>-</w:t>
      </w:r>
      <w:r w:rsidR="00714329" w:rsidRPr="00D75D0C">
        <w:rPr>
          <w:lang w:val="en-GB"/>
        </w:rPr>
        <w:t>income country</w:t>
      </w:r>
      <w:r w:rsidR="008575A6">
        <w:rPr>
          <w:lang w:val="en-GB"/>
        </w:rPr>
        <w:t xml:space="preserve">. The population of Belarus amounts to </w:t>
      </w:r>
      <w:r w:rsidR="00714329" w:rsidRPr="00D75D0C">
        <w:rPr>
          <w:lang w:val="en-GB"/>
        </w:rPr>
        <w:t>9,4</w:t>
      </w:r>
      <w:r w:rsidR="008425E8">
        <w:rPr>
          <w:lang w:val="en-GB"/>
        </w:rPr>
        <w:t>13</w:t>
      </w:r>
      <w:r w:rsidR="00714329" w:rsidRPr="00D75D0C">
        <w:rPr>
          <w:lang w:val="en-GB"/>
        </w:rPr>
        <w:t>,</w:t>
      </w:r>
      <w:r w:rsidR="008425E8">
        <w:rPr>
          <w:lang w:val="en-GB"/>
        </w:rPr>
        <w:t>446</w:t>
      </w:r>
      <w:r w:rsidR="00714329" w:rsidRPr="00D75D0C">
        <w:rPr>
          <w:lang w:val="en-GB"/>
        </w:rPr>
        <w:t xml:space="preserve"> people (2019). Ranked 50</w:t>
      </w:r>
      <w:r w:rsidR="00CD4201" w:rsidRPr="00542B95">
        <w:rPr>
          <w:vertAlign w:val="superscript"/>
          <w:lang w:val="en-GB"/>
        </w:rPr>
        <w:t>th</w:t>
      </w:r>
      <w:r w:rsidR="00714329" w:rsidRPr="00D75D0C">
        <w:rPr>
          <w:lang w:val="en-GB"/>
        </w:rPr>
        <w:t xml:space="preserve"> out of 189 countries on the Human Development Index</w:t>
      </w:r>
      <w:r w:rsidR="00CD4201">
        <w:rPr>
          <w:lang w:val="en-GB"/>
        </w:rPr>
        <w:t>,</w:t>
      </w:r>
      <w:r w:rsidR="00714329" w:rsidRPr="00D75D0C">
        <w:rPr>
          <w:lang w:val="en-GB"/>
        </w:rPr>
        <w:t xml:space="preserve"> 2019, </w:t>
      </w:r>
      <w:r w:rsidR="00CD4201">
        <w:rPr>
          <w:lang w:val="en-GB"/>
        </w:rPr>
        <w:t>it</w:t>
      </w:r>
      <w:r w:rsidR="00CD4201" w:rsidRPr="00D75D0C">
        <w:rPr>
          <w:lang w:val="en-GB"/>
        </w:rPr>
        <w:t xml:space="preserve"> </w:t>
      </w:r>
      <w:r w:rsidR="00714329" w:rsidRPr="00D75D0C">
        <w:rPr>
          <w:lang w:val="en-GB"/>
        </w:rPr>
        <w:t xml:space="preserve">is in the </w:t>
      </w:r>
      <w:r w:rsidR="00CD4201">
        <w:rPr>
          <w:lang w:val="en-GB"/>
        </w:rPr>
        <w:t>‘</w:t>
      </w:r>
      <w:r w:rsidR="00714329" w:rsidRPr="00D75D0C">
        <w:rPr>
          <w:lang w:val="en-GB"/>
        </w:rPr>
        <w:t>very high human development</w:t>
      </w:r>
      <w:r w:rsidR="00CD4201">
        <w:rPr>
          <w:lang w:val="en-GB"/>
        </w:rPr>
        <w:t>’</w:t>
      </w:r>
      <w:r w:rsidR="00714329" w:rsidRPr="00D75D0C">
        <w:rPr>
          <w:lang w:val="en-GB"/>
        </w:rPr>
        <w:t xml:space="preserve"> category. Belarus is committed to the principle</w:t>
      </w:r>
      <w:r w:rsidR="00CD4201">
        <w:rPr>
          <w:lang w:val="en-GB"/>
        </w:rPr>
        <w:t>s</w:t>
      </w:r>
      <w:r w:rsidR="00714329" w:rsidRPr="00D75D0C">
        <w:rPr>
          <w:lang w:val="en-GB"/>
        </w:rPr>
        <w:t xml:space="preserve"> of </w:t>
      </w:r>
      <w:r w:rsidR="00CD4201">
        <w:rPr>
          <w:lang w:val="en-GB"/>
        </w:rPr>
        <w:t>‘</w:t>
      </w:r>
      <w:r w:rsidR="00714329" w:rsidRPr="00D75D0C">
        <w:rPr>
          <w:lang w:val="en-GB"/>
        </w:rPr>
        <w:t>leav</w:t>
      </w:r>
      <w:r w:rsidR="00CD4201">
        <w:rPr>
          <w:lang w:val="en-GB"/>
        </w:rPr>
        <w:t>ing</w:t>
      </w:r>
      <w:r w:rsidR="00714329" w:rsidRPr="00D75D0C">
        <w:rPr>
          <w:lang w:val="en-GB"/>
        </w:rPr>
        <w:t xml:space="preserve"> no one behind</w:t>
      </w:r>
      <w:r w:rsidR="00CD4201">
        <w:rPr>
          <w:lang w:val="en-GB"/>
        </w:rPr>
        <w:t>’</w:t>
      </w:r>
      <w:r w:rsidR="00714329" w:rsidRPr="00D75D0C">
        <w:rPr>
          <w:lang w:val="en-GB"/>
        </w:rPr>
        <w:t xml:space="preserve"> and eliminating the inequalities and discrimination faced by vulnerable groups.</w:t>
      </w:r>
      <w:r w:rsidR="008C6F32">
        <w:rPr>
          <w:lang w:val="en-GB"/>
        </w:rPr>
        <w:t xml:space="preserve"> </w:t>
      </w:r>
      <w:r w:rsidR="00CD4201">
        <w:rPr>
          <w:lang w:val="en-GB"/>
        </w:rPr>
        <w:t>The country</w:t>
      </w:r>
      <w:r w:rsidR="00CD4201" w:rsidRPr="009D1926">
        <w:rPr>
          <w:lang w:val="en-GB"/>
        </w:rPr>
        <w:t xml:space="preserve"> </w:t>
      </w:r>
      <w:r w:rsidR="008C6F32" w:rsidRPr="009D1926">
        <w:rPr>
          <w:lang w:val="en-GB"/>
        </w:rPr>
        <w:t>is also committed to gender equality</w:t>
      </w:r>
      <w:r w:rsidR="00FA3842">
        <w:rPr>
          <w:lang w:val="en-GB"/>
        </w:rPr>
        <w:t xml:space="preserve"> and </w:t>
      </w:r>
      <w:r w:rsidR="00714329" w:rsidRPr="00D75D0C">
        <w:rPr>
          <w:lang w:val="en-GB"/>
        </w:rPr>
        <w:t>rank</w:t>
      </w:r>
      <w:r w:rsidR="00CD4201">
        <w:rPr>
          <w:lang w:val="en-GB"/>
        </w:rPr>
        <w:t>s</w:t>
      </w:r>
      <w:r w:rsidR="00714329" w:rsidRPr="00D75D0C">
        <w:rPr>
          <w:lang w:val="en-GB"/>
        </w:rPr>
        <w:t xml:space="preserve"> 27</w:t>
      </w:r>
      <w:r w:rsidR="00714329" w:rsidRPr="00D75D0C">
        <w:rPr>
          <w:vertAlign w:val="superscript"/>
          <w:lang w:val="en-GB"/>
        </w:rPr>
        <w:t>th</w:t>
      </w:r>
      <w:r w:rsidR="00714329" w:rsidRPr="00D75D0C">
        <w:rPr>
          <w:lang w:val="en-GB"/>
        </w:rPr>
        <w:t xml:space="preserve"> </w:t>
      </w:r>
      <w:r>
        <w:rPr>
          <w:lang w:val="en-GB"/>
        </w:rPr>
        <w:t>i</w:t>
      </w:r>
      <w:r w:rsidR="00714329" w:rsidRPr="00D75D0C">
        <w:rPr>
          <w:lang w:val="en-GB"/>
        </w:rPr>
        <w:t>n the Gender Inequality Index</w:t>
      </w:r>
      <w:r w:rsidR="00CD4201">
        <w:rPr>
          <w:lang w:val="en-GB"/>
        </w:rPr>
        <w:t>,</w:t>
      </w:r>
      <w:r w:rsidR="00714329" w:rsidRPr="00D75D0C">
        <w:rPr>
          <w:lang w:val="en-GB"/>
        </w:rPr>
        <w:t xml:space="preserve"> </w:t>
      </w:r>
      <w:r w:rsidR="00FA3842">
        <w:rPr>
          <w:lang w:val="en-GB"/>
        </w:rPr>
        <w:t>2019</w:t>
      </w:r>
      <w:r w:rsidR="00714329" w:rsidRPr="00D75D0C">
        <w:rPr>
          <w:lang w:val="en-GB"/>
        </w:rPr>
        <w:t>. The proportion of women in the National Assembly of the Republic of Belarus increased from 29.</w:t>
      </w:r>
      <w:r w:rsidR="00741E6E">
        <w:rPr>
          <w:lang w:val="en-GB"/>
        </w:rPr>
        <w:t>2</w:t>
      </w:r>
      <w:r w:rsidR="00CD4201">
        <w:rPr>
          <w:lang w:val="en-GB"/>
        </w:rPr>
        <w:t xml:space="preserve"> per cent</w:t>
      </w:r>
      <w:r w:rsidR="00714329" w:rsidRPr="00D75D0C">
        <w:rPr>
          <w:lang w:val="en-GB"/>
        </w:rPr>
        <w:t xml:space="preserve"> in 2014 to 33.1</w:t>
      </w:r>
      <w:r w:rsidR="00CD4201">
        <w:rPr>
          <w:lang w:val="en-GB"/>
        </w:rPr>
        <w:t xml:space="preserve"> per cent</w:t>
      </w:r>
      <w:r w:rsidR="00E26B55">
        <w:rPr>
          <w:lang w:val="en-GB"/>
        </w:rPr>
        <w:t xml:space="preserve"> in 2018</w:t>
      </w:r>
      <w:r w:rsidR="00714329" w:rsidRPr="00D75D0C">
        <w:rPr>
          <w:lang w:val="en-GB"/>
        </w:rPr>
        <w:t>. Having scored 7</w:t>
      </w:r>
      <w:r w:rsidR="00EC53B3">
        <w:rPr>
          <w:lang w:val="en-GB"/>
        </w:rPr>
        <w:t>7</w:t>
      </w:r>
      <w:r w:rsidR="00714329" w:rsidRPr="00D75D0C">
        <w:rPr>
          <w:lang w:val="en-GB"/>
        </w:rPr>
        <w:t xml:space="preserve"> out of </w:t>
      </w:r>
      <w:r>
        <w:rPr>
          <w:lang w:val="en-GB"/>
        </w:rPr>
        <w:t xml:space="preserve">a </w:t>
      </w:r>
      <w:r w:rsidR="00714329" w:rsidRPr="00D75D0C">
        <w:rPr>
          <w:lang w:val="en-GB"/>
        </w:rPr>
        <w:t xml:space="preserve">possible </w:t>
      </w:r>
      <w:r w:rsidRPr="00D75D0C">
        <w:rPr>
          <w:lang w:val="en-GB"/>
        </w:rPr>
        <w:t xml:space="preserve">100 </w:t>
      </w:r>
      <w:r w:rsidR="00714329" w:rsidRPr="00D75D0C">
        <w:rPr>
          <w:lang w:val="en-GB"/>
        </w:rPr>
        <w:t xml:space="preserve">points in the </w:t>
      </w:r>
      <w:bookmarkStart w:id="0" w:name="_Hlk36192593"/>
      <w:r w:rsidR="00714329" w:rsidRPr="00D75D0C">
        <w:rPr>
          <w:lang w:val="en-GB"/>
        </w:rPr>
        <w:t>Global Sustainable Development Goals Index</w:t>
      </w:r>
      <w:r>
        <w:rPr>
          <w:lang w:val="en-GB"/>
        </w:rPr>
        <w:t>,</w:t>
      </w:r>
      <w:r w:rsidR="00714329" w:rsidRPr="00D75D0C">
        <w:rPr>
          <w:lang w:val="en-GB"/>
        </w:rPr>
        <w:t xml:space="preserve"> </w:t>
      </w:r>
      <w:bookmarkEnd w:id="0"/>
      <w:r w:rsidR="00714329" w:rsidRPr="00D75D0C">
        <w:rPr>
          <w:lang w:val="en-GB"/>
        </w:rPr>
        <w:t>201</w:t>
      </w:r>
      <w:r w:rsidR="00EC53B3">
        <w:rPr>
          <w:lang w:val="en-GB"/>
        </w:rPr>
        <w:t>9</w:t>
      </w:r>
      <w:r w:rsidR="00714329" w:rsidRPr="00D75D0C">
        <w:rPr>
          <w:lang w:val="en-GB"/>
        </w:rPr>
        <w:t>, Belarus was ranked 23</w:t>
      </w:r>
      <w:r w:rsidR="00714329" w:rsidRPr="00D75D0C">
        <w:rPr>
          <w:vertAlign w:val="superscript"/>
          <w:lang w:val="en-GB"/>
        </w:rPr>
        <w:t>rd</w:t>
      </w:r>
      <w:r w:rsidR="00714329" w:rsidRPr="00D75D0C">
        <w:rPr>
          <w:lang w:val="en-GB"/>
        </w:rPr>
        <w:t xml:space="preserve"> and rated above average for the Eastern Europe and Central Asia</w:t>
      </w:r>
      <w:r>
        <w:rPr>
          <w:lang w:val="en-GB"/>
        </w:rPr>
        <w:t xml:space="preserve"> region</w:t>
      </w:r>
      <w:r w:rsidR="00714329" w:rsidRPr="00D75D0C">
        <w:rPr>
          <w:lang w:val="en-GB"/>
        </w:rPr>
        <w:t>.</w:t>
      </w:r>
    </w:p>
    <w:p w14:paraId="143474FE" w14:textId="3AE9ABD0" w:rsidR="008A54F7" w:rsidRPr="00E22C45" w:rsidRDefault="00F62196" w:rsidP="00E22C45">
      <w:pPr>
        <w:pStyle w:val="ListParagraph"/>
        <w:tabs>
          <w:tab w:val="left" w:pos="1620"/>
        </w:tabs>
        <w:spacing w:after="120"/>
        <w:ind w:left="1260" w:right="1210"/>
        <w:jc w:val="both"/>
        <w:rPr>
          <w:lang w:val="en-GB"/>
        </w:rPr>
      </w:pPr>
      <w:r>
        <w:rPr>
          <w:lang w:val="en-GB"/>
        </w:rPr>
        <w:t>2.</w:t>
      </w:r>
      <w:r w:rsidR="008A54F7">
        <w:rPr>
          <w:lang w:val="en-GB"/>
        </w:rPr>
        <w:t xml:space="preserve"> </w:t>
      </w:r>
      <w:r w:rsidR="00D87AD9">
        <w:rPr>
          <w:lang w:val="en-GB"/>
        </w:rPr>
        <w:t xml:space="preserve">Belarus </w:t>
      </w:r>
      <w:r>
        <w:rPr>
          <w:lang w:val="en-GB"/>
        </w:rPr>
        <w:t xml:space="preserve">is </w:t>
      </w:r>
      <w:r w:rsidR="00D87AD9">
        <w:rPr>
          <w:lang w:val="en-GB"/>
        </w:rPr>
        <w:t xml:space="preserve">positioned to respond to </w:t>
      </w:r>
      <w:r w:rsidR="00F304DC">
        <w:rPr>
          <w:lang w:val="en-GB"/>
        </w:rPr>
        <w:t>coronavirus disease (</w:t>
      </w:r>
      <w:r w:rsidR="00D87AD9">
        <w:rPr>
          <w:lang w:val="en-GB"/>
        </w:rPr>
        <w:t>COVID-19</w:t>
      </w:r>
      <w:r w:rsidR="00F304DC">
        <w:rPr>
          <w:lang w:val="en-GB"/>
        </w:rPr>
        <w:t>)</w:t>
      </w:r>
      <w:r w:rsidR="00D87AD9">
        <w:rPr>
          <w:lang w:val="en-GB"/>
        </w:rPr>
        <w:t xml:space="preserve"> through its public health capacities with laboratories, testing, and isolation of cases. </w:t>
      </w:r>
      <w:r>
        <w:rPr>
          <w:lang w:val="en-GB"/>
        </w:rPr>
        <w:t>Nevertheless</w:t>
      </w:r>
      <w:r w:rsidR="00D87AD9">
        <w:rPr>
          <w:lang w:val="en-GB"/>
        </w:rPr>
        <w:t xml:space="preserve">, the economic and social effects of global crises linked to the pandemic will add to vulnerabilities of </w:t>
      </w:r>
      <w:r w:rsidR="00F30B42">
        <w:rPr>
          <w:lang w:val="en-GB"/>
        </w:rPr>
        <w:t xml:space="preserve">the national </w:t>
      </w:r>
      <w:r w:rsidR="00D87AD9">
        <w:rPr>
          <w:lang w:val="en-GB"/>
        </w:rPr>
        <w:t>economy and</w:t>
      </w:r>
      <w:r w:rsidR="008E339C">
        <w:rPr>
          <w:lang w:val="en-GB"/>
        </w:rPr>
        <w:t>,</w:t>
      </w:r>
      <w:r w:rsidR="00D87AD9">
        <w:rPr>
          <w:lang w:val="en-GB"/>
        </w:rPr>
        <w:t xml:space="preserve"> if systemic measures are not taken to support at</w:t>
      </w:r>
      <w:r>
        <w:rPr>
          <w:lang w:val="en-GB"/>
        </w:rPr>
        <w:t>-</w:t>
      </w:r>
      <w:r w:rsidR="00D87AD9">
        <w:rPr>
          <w:lang w:val="en-GB"/>
        </w:rPr>
        <w:t>risk sectors and population groups, c</w:t>
      </w:r>
      <w:r>
        <w:rPr>
          <w:lang w:val="en-GB"/>
        </w:rPr>
        <w:t>ould</w:t>
      </w:r>
      <w:r w:rsidR="00D87AD9">
        <w:rPr>
          <w:lang w:val="en-GB"/>
        </w:rPr>
        <w:t xml:space="preserve"> reduce longer-term growth perspectives.</w:t>
      </w:r>
    </w:p>
    <w:p w14:paraId="10347F77" w14:textId="45CCC494" w:rsidR="00714329" w:rsidRPr="00E22C45" w:rsidRDefault="00F62196" w:rsidP="00E22C45">
      <w:pPr>
        <w:pStyle w:val="ListParagraph"/>
        <w:tabs>
          <w:tab w:val="left" w:pos="1620"/>
        </w:tabs>
        <w:spacing w:after="120"/>
        <w:ind w:left="1260" w:right="1210"/>
        <w:jc w:val="both"/>
        <w:rPr>
          <w:lang w:val="en-GB"/>
        </w:rPr>
      </w:pPr>
      <w:r w:rsidRPr="00542B95">
        <w:rPr>
          <w:lang w:val="en-GB"/>
        </w:rPr>
        <w:t>3.</w:t>
      </w:r>
      <w:r w:rsidR="008A54F7">
        <w:rPr>
          <w:lang w:val="en-GB"/>
        </w:rPr>
        <w:t xml:space="preserve"> </w:t>
      </w:r>
      <w:r w:rsidR="00714329" w:rsidRPr="00D75D0C">
        <w:rPr>
          <w:lang w:val="en-GB"/>
        </w:rPr>
        <w:t>Belarus pursues sound macroeconomic policies. Along with maintaining an export-oriented economic strategy, the Government has set export diversification</w:t>
      </w:r>
      <w:r>
        <w:rPr>
          <w:lang w:val="en-GB"/>
        </w:rPr>
        <w:t xml:space="preserve"> as a </w:t>
      </w:r>
      <w:r>
        <w:t>priority</w:t>
      </w:r>
      <w:r w:rsidR="00714329" w:rsidRPr="00D75D0C">
        <w:rPr>
          <w:lang w:val="en-GB"/>
        </w:rPr>
        <w:t xml:space="preserve">. </w:t>
      </w:r>
      <w:r w:rsidR="00EC53B3">
        <w:rPr>
          <w:lang w:val="en-GB"/>
        </w:rPr>
        <w:t>In</w:t>
      </w:r>
      <w:r w:rsidR="00714329" w:rsidRPr="00D75D0C">
        <w:rPr>
          <w:lang w:val="en-GB"/>
        </w:rPr>
        <w:t xml:space="preserve"> 2018, the share of exports of high-tech goods increased to 2.7</w:t>
      </w:r>
      <w:r w:rsidR="00F304DC">
        <w:rPr>
          <w:lang w:val="en-GB"/>
        </w:rPr>
        <w:t xml:space="preserve"> per cent</w:t>
      </w:r>
      <w:r w:rsidR="00714329" w:rsidRPr="00D75D0C">
        <w:rPr>
          <w:lang w:val="en-GB"/>
        </w:rPr>
        <w:t>, while the share of exports of information and communication services exceeded 20</w:t>
      </w:r>
      <w:r w:rsidR="00F304DC">
        <w:rPr>
          <w:lang w:val="en-GB"/>
        </w:rPr>
        <w:t xml:space="preserve"> per cent</w:t>
      </w:r>
      <w:r w:rsidR="00714329" w:rsidRPr="00D75D0C">
        <w:rPr>
          <w:lang w:val="en-GB"/>
        </w:rPr>
        <w:t xml:space="preserve">. Government efforts also </w:t>
      </w:r>
      <w:r>
        <w:rPr>
          <w:lang w:val="en-GB"/>
        </w:rPr>
        <w:t>include</w:t>
      </w:r>
      <w:r w:rsidR="00714329" w:rsidRPr="00D75D0C">
        <w:rPr>
          <w:lang w:val="en-GB"/>
        </w:rPr>
        <w:t xml:space="preserve"> improving the business climate by </w:t>
      </w:r>
      <w:r>
        <w:rPr>
          <w:lang w:val="en-GB"/>
        </w:rPr>
        <w:t>increasing</w:t>
      </w:r>
      <w:r w:rsidR="00714329" w:rsidRPr="00D75D0C">
        <w:rPr>
          <w:lang w:val="en-GB"/>
        </w:rPr>
        <w:t xml:space="preserve"> investor protection guarantees, simplifying administrative procedures, and improving the legal framework. However, economic risks to sustainable development</w:t>
      </w:r>
      <w:r w:rsidR="001018CE">
        <w:rPr>
          <w:lang w:val="en-GB"/>
        </w:rPr>
        <w:t xml:space="preserve"> </w:t>
      </w:r>
      <w:r w:rsidR="00714329" w:rsidRPr="00D75D0C">
        <w:rPr>
          <w:lang w:val="en-GB"/>
        </w:rPr>
        <w:t>remain, due</w:t>
      </w:r>
      <w:r w:rsidRPr="00D75D0C">
        <w:rPr>
          <w:lang w:val="en-GB"/>
        </w:rPr>
        <w:t xml:space="preserve"> </w:t>
      </w:r>
      <w:r w:rsidR="00714329" w:rsidRPr="00D75D0C">
        <w:rPr>
          <w:lang w:val="en-GB"/>
        </w:rPr>
        <w:t>to low levels of labour productivity, business investment</w:t>
      </w:r>
      <w:r w:rsidR="007770E2">
        <w:rPr>
          <w:lang w:val="en-GB"/>
        </w:rPr>
        <w:t>,</w:t>
      </w:r>
      <w:r w:rsidR="00714329" w:rsidRPr="00D75D0C">
        <w:rPr>
          <w:lang w:val="en-GB"/>
        </w:rPr>
        <w:t xml:space="preserve"> </w:t>
      </w:r>
      <w:r>
        <w:rPr>
          <w:lang w:val="en-GB"/>
        </w:rPr>
        <w:t xml:space="preserve">and </w:t>
      </w:r>
      <w:r w:rsidR="006517B8">
        <w:rPr>
          <w:lang w:val="en-GB"/>
        </w:rPr>
        <w:t xml:space="preserve">research and development </w:t>
      </w:r>
      <w:r w:rsidR="00714329" w:rsidRPr="00D75D0C">
        <w:rPr>
          <w:lang w:val="en-GB"/>
        </w:rPr>
        <w:t xml:space="preserve">expenditure as a percentage of </w:t>
      </w:r>
      <w:r w:rsidR="00F304DC">
        <w:rPr>
          <w:lang w:val="en-GB"/>
        </w:rPr>
        <w:t>gross domestic product</w:t>
      </w:r>
      <w:r w:rsidR="00714329" w:rsidRPr="00D75D0C">
        <w:rPr>
          <w:lang w:val="en-GB"/>
        </w:rPr>
        <w:t xml:space="preserve">. In addition, demographic risks associated with low birth rates, high differences in the life expectancy of men and women, the outflow of youth from the country, and the gender pay gap </w:t>
      </w:r>
      <w:r w:rsidR="00103687">
        <w:rPr>
          <w:lang w:val="en-GB"/>
        </w:rPr>
        <w:t>persist</w:t>
      </w:r>
      <w:r w:rsidR="00103687" w:rsidRPr="00D75D0C">
        <w:rPr>
          <w:lang w:val="en-GB"/>
        </w:rPr>
        <w:t xml:space="preserve"> </w:t>
      </w:r>
      <w:r w:rsidR="00714329" w:rsidRPr="00D75D0C">
        <w:rPr>
          <w:lang w:val="en-GB"/>
        </w:rPr>
        <w:t xml:space="preserve">in Belarus.  </w:t>
      </w:r>
    </w:p>
    <w:p w14:paraId="490AA8C9" w14:textId="4ABA07D8" w:rsidR="00714329" w:rsidRDefault="00103687" w:rsidP="00631C8D">
      <w:pPr>
        <w:pStyle w:val="ListParagraph"/>
        <w:tabs>
          <w:tab w:val="left" w:pos="1530"/>
        </w:tabs>
        <w:spacing w:after="120"/>
        <w:ind w:left="1267" w:right="1210"/>
        <w:jc w:val="both"/>
        <w:rPr>
          <w:lang w:val="en-GB"/>
        </w:rPr>
      </w:pPr>
      <w:r>
        <w:rPr>
          <w:lang w:val="en-GB"/>
        </w:rPr>
        <w:t>4.</w:t>
      </w:r>
      <w:r>
        <w:rPr>
          <w:lang w:val="en-GB"/>
        </w:rPr>
        <w:tab/>
      </w:r>
      <w:r w:rsidR="00714329" w:rsidRPr="00D75D0C">
        <w:rPr>
          <w:lang w:val="en-GB"/>
        </w:rPr>
        <w:t>The national vision for sustainable development is premised on the National Strategy for Sustainable Development for the period until 2035, which should be adopted in 2020.</w:t>
      </w:r>
      <w:r w:rsidR="00603A95">
        <w:rPr>
          <w:lang w:val="en-GB"/>
        </w:rPr>
        <w:t xml:space="preserve"> </w:t>
      </w:r>
      <w:r w:rsidR="00AF647D" w:rsidRPr="00D75D0C">
        <w:rPr>
          <w:lang w:val="en-GB"/>
        </w:rPr>
        <w:t>Th</w:t>
      </w:r>
      <w:r w:rsidR="00AF647D">
        <w:t xml:space="preserve">e </w:t>
      </w:r>
      <w:r w:rsidR="00714329" w:rsidRPr="00D75D0C">
        <w:rPr>
          <w:lang w:val="en-GB"/>
        </w:rPr>
        <w:t xml:space="preserve">document </w:t>
      </w:r>
      <w:r w:rsidR="009745A9">
        <w:rPr>
          <w:lang w:val="en-GB"/>
        </w:rPr>
        <w:t>prioritize</w:t>
      </w:r>
      <w:r w:rsidR="00AF647D">
        <w:rPr>
          <w:lang w:val="en-GB"/>
        </w:rPr>
        <w:t>s</w:t>
      </w:r>
      <w:r w:rsidR="00714329" w:rsidRPr="00D75D0C">
        <w:rPr>
          <w:lang w:val="en-GB"/>
        </w:rPr>
        <w:t xml:space="preserve"> sustainable development </w:t>
      </w:r>
      <w:r w:rsidR="00AF647D">
        <w:rPr>
          <w:lang w:val="en-GB"/>
        </w:rPr>
        <w:t xml:space="preserve">of the family institution </w:t>
      </w:r>
      <w:r w:rsidR="00714329" w:rsidRPr="00D75D0C">
        <w:rPr>
          <w:lang w:val="en-GB"/>
        </w:rPr>
        <w:t xml:space="preserve">and qualitative growth of human </w:t>
      </w:r>
      <w:r w:rsidR="008C6F32">
        <w:rPr>
          <w:lang w:val="en-GB"/>
        </w:rPr>
        <w:t>capital</w:t>
      </w:r>
      <w:r w:rsidR="00714329" w:rsidRPr="00D75D0C">
        <w:rPr>
          <w:lang w:val="en-GB"/>
        </w:rPr>
        <w:t>, employment</w:t>
      </w:r>
      <w:r w:rsidR="00BE0D5B">
        <w:rPr>
          <w:lang w:val="en-GB"/>
        </w:rPr>
        <w:t>,</w:t>
      </w:r>
      <w:r w:rsidR="00714329" w:rsidRPr="00D75D0C">
        <w:rPr>
          <w:lang w:val="en-GB"/>
        </w:rPr>
        <w:t xml:space="preserve"> and decent incomes </w:t>
      </w:r>
      <w:r>
        <w:rPr>
          <w:lang w:val="en-GB"/>
        </w:rPr>
        <w:t>for</w:t>
      </w:r>
      <w:r w:rsidR="00714329" w:rsidRPr="00D75D0C">
        <w:rPr>
          <w:lang w:val="en-GB"/>
        </w:rPr>
        <w:t xml:space="preserve"> the population, digital transformation of the economy</w:t>
      </w:r>
      <w:r w:rsidR="00BE0D5B">
        <w:rPr>
          <w:lang w:val="en-GB"/>
        </w:rPr>
        <w:t>,</w:t>
      </w:r>
      <w:r w:rsidR="00714329" w:rsidRPr="00D75D0C">
        <w:rPr>
          <w:lang w:val="en-GB"/>
        </w:rPr>
        <w:t xml:space="preserve"> and </w:t>
      </w:r>
      <w:r w:rsidR="00E52EC5">
        <w:rPr>
          <w:lang w:val="en-GB"/>
        </w:rPr>
        <w:t>widespread</w:t>
      </w:r>
      <w:r w:rsidR="00995BC2">
        <w:rPr>
          <w:lang w:val="en-GB"/>
        </w:rPr>
        <w:t xml:space="preserve"> </w:t>
      </w:r>
      <w:r w:rsidR="00E52EC5">
        <w:rPr>
          <w:lang w:val="en-GB"/>
        </w:rPr>
        <w:t>innovations</w:t>
      </w:r>
      <w:r w:rsidR="00714329" w:rsidRPr="00D75D0C">
        <w:rPr>
          <w:lang w:val="en-GB"/>
        </w:rPr>
        <w:t xml:space="preserve">, creation of a developed business environment and sustainable infrastructure, ensuring environmental safety, and shifting towards </w:t>
      </w:r>
      <w:r w:rsidR="00F8361F">
        <w:rPr>
          <w:lang w:val="en-GB"/>
        </w:rPr>
        <w:t xml:space="preserve">sustainable </w:t>
      </w:r>
      <w:r w:rsidR="00714329" w:rsidRPr="00D75D0C">
        <w:rPr>
          <w:lang w:val="en-GB"/>
        </w:rPr>
        <w:t>production and consumption models</w:t>
      </w:r>
      <w:r w:rsidR="00E52EC5">
        <w:rPr>
          <w:lang w:val="en-GB"/>
        </w:rPr>
        <w:t xml:space="preserve"> (circular economy)</w:t>
      </w:r>
      <w:r w:rsidR="00714329" w:rsidRPr="00D75D0C">
        <w:rPr>
          <w:lang w:val="en-GB"/>
        </w:rPr>
        <w:t xml:space="preserve">. </w:t>
      </w:r>
    </w:p>
    <w:p w14:paraId="38F9F578" w14:textId="6B4773EE" w:rsidR="00714329" w:rsidRDefault="00103687" w:rsidP="00631C8D">
      <w:pPr>
        <w:pStyle w:val="ListParagraph"/>
        <w:tabs>
          <w:tab w:val="left" w:pos="1530"/>
        </w:tabs>
        <w:spacing w:after="120"/>
        <w:ind w:left="1260" w:right="1210"/>
        <w:jc w:val="both"/>
        <w:rPr>
          <w:lang w:val="en-GB"/>
        </w:rPr>
      </w:pPr>
      <w:r>
        <w:rPr>
          <w:lang w:val="en-GB"/>
        </w:rPr>
        <w:t>5.</w:t>
      </w:r>
      <w:r>
        <w:rPr>
          <w:lang w:val="en-GB"/>
        </w:rPr>
        <w:tab/>
      </w:r>
      <w:r w:rsidR="008425E8" w:rsidRPr="00741E6E">
        <w:rPr>
          <w:lang w:val="en-GB"/>
        </w:rPr>
        <w:t xml:space="preserve">Belarus </w:t>
      </w:r>
      <w:r w:rsidR="0091443B" w:rsidRPr="00741E6E">
        <w:rPr>
          <w:lang w:val="en-GB"/>
        </w:rPr>
        <w:t>plays</w:t>
      </w:r>
      <w:r w:rsidR="008425E8" w:rsidRPr="00741E6E">
        <w:rPr>
          <w:lang w:val="en-GB"/>
        </w:rPr>
        <w:t xml:space="preserve"> an active </w:t>
      </w:r>
      <w:r w:rsidR="0091443B" w:rsidRPr="00741E6E">
        <w:rPr>
          <w:lang w:val="en-GB"/>
        </w:rPr>
        <w:t>role</w:t>
      </w:r>
      <w:r w:rsidR="008425E8" w:rsidRPr="00741E6E">
        <w:rPr>
          <w:lang w:val="en-GB"/>
        </w:rPr>
        <w:t xml:space="preserve"> in the development of integration processes. Belarus is an active member of the Commonwealth of Independent States (CIS), </w:t>
      </w:r>
      <w:r>
        <w:rPr>
          <w:lang w:val="en-GB"/>
        </w:rPr>
        <w:t xml:space="preserve">the </w:t>
      </w:r>
      <w:r w:rsidR="008425E8" w:rsidRPr="00741E6E">
        <w:rPr>
          <w:lang w:val="en-GB"/>
        </w:rPr>
        <w:t>Collective Security Treaty Organization</w:t>
      </w:r>
      <w:r w:rsidR="0079007E" w:rsidRPr="00741E6E">
        <w:rPr>
          <w:lang w:val="en-GB"/>
        </w:rPr>
        <w:t xml:space="preserve">, </w:t>
      </w:r>
      <w:r>
        <w:rPr>
          <w:lang w:val="en-GB"/>
        </w:rPr>
        <w:t xml:space="preserve">the </w:t>
      </w:r>
      <w:r w:rsidR="0079007E" w:rsidRPr="00741E6E">
        <w:rPr>
          <w:lang w:val="en-GB"/>
        </w:rPr>
        <w:t>Union State of Russia and Belarus, Eurasian Economic Union.</w:t>
      </w:r>
      <w:r w:rsidR="00865F29" w:rsidRPr="00741E6E">
        <w:rPr>
          <w:lang w:val="en-GB"/>
        </w:rPr>
        <w:t xml:space="preserve"> Starting </w:t>
      </w:r>
      <w:r w:rsidR="00BE0D5B">
        <w:rPr>
          <w:lang w:val="en-GB"/>
        </w:rPr>
        <w:t>in</w:t>
      </w:r>
      <w:r w:rsidR="00865F29" w:rsidRPr="00741E6E">
        <w:rPr>
          <w:lang w:val="en-GB"/>
        </w:rPr>
        <w:t xml:space="preserve"> January 2020</w:t>
      </w:r>
      <w:r w:rsidR="008E339C">
        <w:rPr>
          <w:lang w:val="en-GB"/>
        </w:rPr>
        <w:t>,</w:t>
      </w:r>
      <w:r w:rsidR="00865F29" w:rsidRPr="00741E6E">
        <w:rPr>
          <w:lang w:val="en-GB"/>
        </w:rPr>
        <w:t xml:space="preserve"> a representative of Belarus assumed the office of the General Secretary of the </w:t>
      </w:r>
      <w:r w:rsidRPr="00741E6E">
        <w:rPr>
          <w:lang w:val="en-GB"/>
        </w:rPr>
        <w:t>Collective Security Treaty Organization</w:t>
      </w:r>
      <w:r w:rsidR="00865F29" w:rsidRPr="00741E6E">
        <w:rPr>
          <w:lang w:val="en-GB"/>
        </w:rPr>
        <w:t>.</w:t>
      </w:r>
      <w:r w:rsidR="0079007E" w:rsidRPr="00741E6E">
        <w:rPr>
          <w:lang w:val="en-GB"/>
        </w:rPr>
        <w:t xml:space="preserve"> </w:t>
      </w:r>
      <w:r w:rsidR="0091443B" w:rsidRPr="00BC02F0">
        <w:rPr>
          <w:lang w:val="en-GB"/>
        </w:rPr>
        <w:t>In 2020</w:t>
      </w:r>
      <w:r w:rsidR="00611E37" w:rsidRPr="00BC02F0">
        <w:rPr>
          <w:lang w:val="en-GB"/>
        </w:rPr>
        <w:t>,</w:t>
      </w:r>
      <w:r w:rsidR="0091443B" w:rsidRPr="00BC02F0">
        <w:rPr>
          <w:lang w:val="en-GB"/>
        </w:rPr>
        <w:t xml:space="preserve"> </w:t>
      </w:r>
      <w:r w:rsidR="00BB41EE" w:rsidRPr="00BC02F0">
        <w:rPr>
          <w:lang w:val="en-GB"/>
        </w:rPr>
        <w:t xml:space="preserve">Belarus took over the presidency </w:t>
      </w:r>
      <w:r w:rsidR="00BC02F0" w:rsidRPr="00BC02F0">
        <w:rPr>
          <w:lang w:val="en-GB"/>
        </w:rPr>
        <w:t xml:space="preserve">in the </w:t>
      </w:r>
      <w:r w:rsidR="00E52EC5">
        <w:rPr>
          <w:lang w:val="en-GB"/>
        </w:rPr>
        <w:t>bodies of the Eurasian Economic Union,</w:t>
      </w:r>
      <w:r w:rsidR="00BC02F0" w:rsidRPr="00BC02F0">
        <w:rPr>
          <w:lang w:val="en-GB"/>
        </w:rPr>
        <w:t xml:space="preserve"> and the Council of the Eurasian Economic </w:t>
      </w:r>
      <w:r w:rsidR="007D5673">
        <w:rPr>
          <w:lang w:val="en-GB"/>
        </w:rPr>
        <w:t>Commission</w:t>
      </w:r>
      <w:r w:rsidR="00BB41EE" w:rsidRPr="00741E6E">
        <w:rPr>
          <w:lang w:val="en-GB"/>
        </w:rPr>
        <w:t>.</w:t>
      </w:r>
      <w:r w:rsidR="003D5D67" w:rsidRPr="00741E6E">
        <w:rPr>
          <w:lang w:val="en-GB"/>
        </w:rPr>
        <w:t xml:space="preserve"> </w:t>
      </w:r>
      <w:r w:rsidR="00296AA1" w:rsidRPr="00741E6E">
        <w:rPr>
          <w:lang w:val="en-GB"/>
        </w:rPr>
        <w:t xml:space="preserve">In addition, in 2021 the country will chair the Supreme State Council of the Union State and </w:t>
      </w:r>
      <w:r>
        <w:rPr>
          <w:lang w:val="en-GB"/>
        </w:rPr>
        <w:t xml:space="preserve">will </w:t>
      </w:r>
      <w:r w:rsidR="00296AA1" w:rsidRPr="00741E6E">
        <w:rPr>
          <w:lang w:val="en-GB"/>
        </w:rPr>
        <w:t>co-chair the CIS</w:t>
      </w:r>
      <w:r w:rsidR="00296AA1" w:rsidRPr="009745A9">
        <w:rPr>
          <w:lang w:val="en-GB"/>
        </w:rPr>
        <w:t>.</w:t>
      </w:r>
      <w:r w:rsidR="00F564A5">
        <w:rPr>
          <w:lang w:val="en-GB"/>
        </w:rPr>
        <w:t xml:space="preserve"> UNDP sees the leading role of Belarus as an opportunity </w:t>
      </w:r>
      <w:r w:rsidR="00F564A5" w:rsidRPr="00F564A5">
        <w:rPr>
          <w:lang w:val="en-GB"/>
        </w:rPr>
        <w:t>to accelera</w:t>
      </w:r>
      <w:r w:rsidR="00F564A5">
        <w:rPr>
          <w:lang w:val="en-GB"/>
        </w:rPr>
        <w:t xml:space="preserve">te joint </w:t>
      </w:r>
      <w:r w:rsidR="00F564A5" w:rsidRPr="00F564A5">
        <w:rPr>
          <w:lang w:val="en-GB"/>
        </w:rPr>
        <w:t>progress towards</w:t>
      </w:r>
      <w:r w:rsidR="00F564A5">
        <w:rPr>
          <w:lang w:val="en-GB"/>
        </w:rPr>
        <w:t xml:space="preserve"> achiev</w:t>
      </w:r>
      <w:r>
        <w:rPr>
          <w:lang w:val="en-GB"/>
        </w:rPr>
        <w:t>ing</w:t>
      </w:r>
      <w:r w:rsidR="00F564A5">
        <w:rPr>
          <w:lang w:val="en-GB"/>
        </w:rPr>
        <w:t xml:space="preserve"> </w:t>
      </w:r>
      <w:r w:rsidR="00ED2277">
        <w:rPr>
          <w:lang w:val="en-GB"/>
        </w:rPr>
        <w:t xml:space="preserve">the </w:t>
      </w:r>
      <w:bookmarkStart w:id="1" w:name="_Hlk41481960"/>
      <w:r w:rsidR="00F304DC">
        <w:rPr>
          <w:lang w:val="en-GB"/>
        </w:rPr>
        <w:t xml:space="preserve">Sustainable Development Goals </w:t>
      </w:r>
      <w:bookmarkEnd w:id="1"/>
      <w:r w:rsidR="00F564A5">
        <w:rPr>
          <w:lang w:val="en-GB"/>
        </w:rPr>
        <w:t>in the region.</w:t>
      </w:r>
      <w:r w:rsidR="00296AA1">
        <w:rPr>
          <w:lang w:val="en-GB"/>
        </w:rPr>
        <w:t xml:space="preserve"> </w:t>
      </w:r>
    </w:p>
    <w:p w14:paraId="59FC4666" w14:textId="60AF7948" w:rsidR="00D57C86" w:rsidRDefault="00103687" w:rsidP="00631C8D">
      <w:pPr>
        <w:pStyle w:val="ListParagraph"/>
        <w:tabs>
          <w:tab w:val="left" w:pos="1530"/>
        </w:tabs>
        <w:spacing w:after="120"/>
        <w:ind w:left="1260" w:right="1210"/>
        <w:jc w:val="both"/>
        <w:rPr>
          <w:lang w:val="en-GB"/>
        </w:rPr>
      </w:pPr>
      <w:r>
        <w:rPr>
          <w:lang w:val="en-GB"/>
        </w:rPr>
        <w:t>6.</w:t>
      </w:r>
      <w:r>
        <w:rPr>
          <w:lang w:val="en-GB"/>
        </w:rPr>
        <w:tab/>
      </w:r>
      <w:r w:rsidR="007E5FA1">
        <w:t xml:space="preserve">In 2019, UNDP returned to </w:t>
      </w:r>
      <w:r w:rsidR="00C60704">
        <w:t xml:space="preserve">its role and mandate </w:t>
      </w:r>
      <w:r w:rsidR="003A4847">
        <w:t>of</w:t>
      </w:r>
      <w:r w:rsidR="00C60704">
        <w:t xml:space="preserve"> a professional development agency and </w:t>
      </w:r>
      <w:r w:rsidR="0051367A">
        <w:t>thought-leader</w:t>
      </w:r>
      <w:r w:rsidR="00C60704">
        <w:t xml:space="preserve"> on issues of sustainable human development</w:t>
      </w:r>
      <w:r w:rsidR="007E5FA1">
        <w:t>.</w:t>
      </w:r>
      <w:r w:rsidR="00263060">
        <w:t xml:space="preserve"> </w:t>
      </w:r>
      <w:r w:rsidR="007E5FA1">
        <w:t>The understanding of UNDP as a strategic, equal partner and integrator in promoting sustainable development comes to the fore of cooperation. This has been a big step</w:t>
      </w:r>
      <w:r w:rsidR="001B426B">
        <w:t>,</w:t>
      </w:r>
      <w:r w:rsidR="007E5FA1">
        <w:t xml:space="preserve"> based on </w:t>
      </w:r>
      <w:r w:rsidR="001B426B">
        <w:t xml:space="preserve">the </w:t>
      </w:r>
      <w:r w:rsidR="007E5FA1">
        <w:t xml:space="preserve">value offer, expertise, knowledge, professionalism, and values of the </w:t>
      </w:r>
      <w:r w:rsidR="00BE0D5B">
        <w:t>UNDP</w:t>
      </w:r>
      <w:r w:rsidR="007E5FA1">
        <w:t xml:space="preserve">. </w:t>
      </w:r>
      <w:r w:rsidR="007E5FA1">
        <w:rPr>
          <w:lang w:val="en-GB"/>
        </w:rPr>
        <w:t xml:space="preserve">UNDP also plays a responsive </w:t>
      </w:r>
      <w:r w:rsidR="007E5FA1">
        <w:t>role as a support platform of the United Nations development system</w:t>
      </w:r>
      <w:r w:rsidR="001B426B">
        <w:t>,</w:t>
      </w:r>
      <w:r w:rsidR="007E5FA1">
        <w:t xml:space="preserve"> providing an integrator </w:t>
      </w:r>
      <w:r w:rsidR="007E5FA1">
        <w:lastRenderedPageBreak/>
        <w:t>function in support of country efforts to implement the 2030 Agenda</w:t>
      </w:r>
      <w:r w:rsidR="001B426B">
        <w:t xml:space="preserve"> for Sustainable Development</w:t>
      </w:r>
      <w:r w:rsidR="007E5FA1">
        <w:rPr>
          <w:lang w:val="en-GB"/>
        </w:rPr>
        <w:t>.</w:t>
      </w:r>
    </w:p>
    <w:p w14:paraId="55EFB439" w14:textId="3E258FEC" w:rsidR="002D3EE8" w:rsidRDefault="001B426B" w:rsidP="00631C8D">
      <w:pPr>
        <w:pStyle w:val="ListParagraph"/>
        <w:tabs>
          <w:tab w:val="left" w:pos="1530"/>
        </w:tabs>
        <w:spacing w:after="120"/>
        <w:ind w:left="1260" w:right="1210"/>
        <w:jc w:val="both"/>
        <w:rPr>
          <w:lang w:val="en-GB"/>
        </w:rPr>
      </w:pPr>
      <w:r>
        <w:rPr>
          <w:lang w:val="en-GB"/>
        </w:rPr>
        <w:t>7.</w:t>
      </w:r>
      <w:r>
        <w:rPr>
          <w:lang w:val="en-GB"/>
        </w:rPr>
        <w:tab/>
        <w:t xml:space="preserve">A </w:t>
      </w:r>
      <w:r w:rsidR="00ED2277" w:rsidRPr="00682214">
        <w:rPr>
          <w:lang w:val="en-GB"/>
        </w:rPr>
        <w:t xml:space="preserve">unique architecture for managing the process of </w:t>
      </w:r>
      <w:r w:rsidR="00ED2277">
        <w:rPr>
          <w:lang w:val="en-GB"/>
        </w:rPr>
        <w:t xml:space="preserve">nationalizing and </w:t>
      </w:r>
      <w:r w:rsidR="00ED2277" w:rsidRPr="00682214">
        <w:rPr>
          <w:lang w:val="en-GB"/>
        </w:rPr>
        <w:t xml:space="preserve">achieving the </w:t>
      </w:r>
      <w:r w:rsidR="00F304DC">
        <w:rPr>
          <w:lang w:val="en-GB"/>
        </w:rPr>
        <w:t xml:space="preserve">Sustainable Development Goals </w:t>
      </w:r>
      <w:r w:rsidR="000B099B" w:rsidRPr="00682214">
        <w:rPr>
          <w:lang w:val="en-GB"/>
        </w:rPr>
        <w:t xml:space="preserve">has been </w:t>
      </w:r>
      <w:r w:rsidR="000B099B">
        <w:rPr>
          <w:lang w:val="en-GB"/>
        </w:rPr>
        <w:t>established</w:t>
      </w:r>
      <w:r w:rsidRPr="001B426B">
        <w:rPr>
          <w:lang w:val="en-GB"/>
        </w:rPr>
        <w:t xml:space="preserve"> </w:t>
      </w:r>
      <w:r>
        <w:rPr>
          <w:lang w:val="en-GB"/>
        </w:rPr>
        <w:t>i</w:t>
      </w:r>
      <w:r w:rsidRPr="00682214">
        <w:rPr>
          <w:lang w:val="en-GB"/>
        </w:rPr>
        <w:t>n Belarus</w:t>
      </w:r>
      <w:r>
        <w:rPr>
          <w:lang w:val="en-GB"/>
        </w:rPr>
        <w:t>,</w:t>
      </w:r>
      <w:r w:rsidR="00682214">
        <w:rPr>
          <w:lang w:val="en-GB"/>
        </w:rPr>
        <w:t xml:space="preserve"> </w:t>
      </w:r>
      <w:r w:rsidR="00682214" w:rsidRPr="00682214">
        <w:rPr>
          <w:lang w:val="en-GB"/>
        </w:rPr>
        <w:t>allow</w:t>
      </w:r>
      <w:r>
        <w:rPr>
          <w:lang w:val="en-GB"/>
        </w:rPr>
        <w:t>ing it</w:t>
      </w:r>
      <w:r w:rsidR="00682214" w:rsidRPr="00682214">
        <w:rPr>
          <w:lang w:val="en-GB"/>
        </w:rPr>
        <w:t xml:space="preserve"> to </w:t>
      </w:r>
      <w:r>
        <w:rPr>
          <w:lang w:val="en-GB"/>
        </w:rPr>
        <w:t xml:space="preserve">be </w:t>
      </w:r>
      <w:r w:rsidR="00682214" w:rsidRPr="00682214">
        <w:rPr>
          <w:lang w:val="en-GB"/>
        </w:rPr>
        <w:t>consider</w:t>
      </w:r>
      <w:r>
        <w:rPr>
          <w:lang w:val="en-GB"/>
        </w:rPr>
        <w:t>ed</w:t>
      </w:r>
      <w:r w:rsidR="00682214" w:rsidRPr="00682214">
        <w:rPr>
          <w:lang w:val="en-GB"/>
        </w:rPr>
        <w:t xml:space="preserve"> as a platform for sharing best practices in achieving the </w:t>
      </w:r>
      <w:r w:rsidR="00F304DC">
        <w:rPr>
          <w:lang w:val="en-GB"/>
        </w:rPr>
        <w:t>Goals</w:t>
      </w:r>
      <w:r w:rsidR="00682214" w:rsidRPr="00682214">
        <w:rPr>
          <w:lang w:val="en-GB"/>
        </w:rPr>
        <w:t>.</w:t>
      </w:r>
      <w:r w:rsidR="00682214" w:rsidRPr="00682214">
        <w:t xml:space="preserve"> </w:t>
      </w:r>
      <w:r w:rsidR="00682214">
        <w:t>In</w:t>
      </w:r>
      <w:r w:rsidR="00263060">
        <w:t xml:space="preserve"> </w:t>
      </w:r>
      <w:r w:rsidR="00682214">
        <w:t xml:space="preserve">2017, a </w:t>
      </w:r>
      <w:r w:rsidR="00682214" w:rsidRPr="00682214">
        <w:rPr>
          <w:lang w:val="en-GB"/>
        </w:rPr>
        <w:t xml:space="preserve">Mainstreaming, Acceleration and Policy Support </w:t>
      </w:r>
      <w:r w:rsidR="007746E9">
        <w:rPr>
          <w:lang w:val="en-GB"/>
        </w:rPr>
        <w:t xml:space="preserve">mission </w:t>
      </w:r>
      <w:r w:rsidR="00682214" w:rsidRPr="00682214">
        <w:rPr>
          <w:lang w:val="en-GB"/>
        </w:rPr>
        <w:t xml:space="preserve">identified </w:t>
      </w:r>
      <w:r w:rsidR="00682214">
        <w:rPr>
          <w:lang w:val="en-GB"/>
        </w:rPr>
        <w:t xml:space="preserve">four </w:t>
      </w:r>
      <w:r w:rsidR="00682214" w:rsidRPr="00682214">
        <w:rPr>
          <w:lang w:val="en-GB"/>
        </w:rPr>
        <w:t>accelerator</w:t>
      </w:r>
      <w:r w:rsidR="00682214">
        <w:rPr>
          <w:lang w:val="en-GB"/>
        </w:rPr>
        <w:t xml:space="preserve"> platform</w:t>
      </w:r>
      <w:r w:rsidR="00682214" w:rsidRPr="00682214">
        <w:rPr>
          <w:lang w:val="en-GB"/>
        </w:rPr>
        <w:t xml:space="preserve">s </w:t>
      </w:r>
      <w:r w:rsidR="00682214">
        <w:rPr>
          <w:lang w:val="en-GB"/>
        </w:rPr>
        <w:t xml:space="preserve">for </w:t>
      </w:r>
      <w:r w:rsidR="00F304DC">
        <w:rPr>
          <w:lang w:val="en-GB"/>
        </w:rPr>
        <w:t>Goals</w:t>
      </w:r>
      <w:r w:rsidR="00F304DC" w:rsidRPr="00682214">
        <w:rPr>
          <w:lang w:val="en-GB"/>
        </w:rPr>
        <w:t xml:space="preserve"> </w:t>
      </w:r>
      <w:r w:rsidR="00682214" w:rsidRPr="00682214">
        <w:rPr>
          <w:lang w:val="en-GB"/>
        </w:rPr>
        <w:t>achievement</w:t>
      </w:r>
      <w:r w:rsidR="00682214">
        <w:rPr>
          <w:lang w:val="en-GB"/>
        </w:rPr>
        <w:t xml:space="preserve"> in</w:t>
      </w:r>
      <w:r w:rsidR="00682214" w:rsidRPr="00682214">
        <w:rPr>
          <w:lang w:val="en-GB"/>
        </w:rPr>
        <w:t xml:space="preserve"> Belarus</w:t>
      </w:r>
      <w:r w:rsidR="00682214">
        <w:rPr>
          <w:lang w:val="en-GB"/>
        </w:rPr>
        <w:t>: g</w:t>
      </w:r>
      <w:r w:rsidR="00682214" w:rsidRPr="00682214">
        <w:rPr>
          <w:lang w:val="en-GB"/>
        </w:rPr>
        <w:t>reen transition for inclusive and sustainable growth</w:t>
      </w:r>
      <w:r w:rsidR="00682214">
        <w:rPr>
          <w:lang w:val="en-GB"/>
        </w:rPr>
        <w:t xml:space="preserve">; future generation orientation; digital transformation and social innovation; </w:t>
      </w:r>
      <w:r>
        <w:rPr>
          <w:lang w:val="en-GB"/>
        </w:rPr>
        <w:t xml:space="preserve">and a </w:t>
      </w:r>
      <w:r w:rsidR="005E37F3">
        <w:rPr>
          <w:lang w:val="en-GB"/>
        </w:rPr>
        <w:t>gender equitable society.</w:t>
      </w:r>
      <w:r w:rsidR="00821410">
        <w:rPr>
          <w:lang w:val="en-GB"/>
        </w:rPr>
        <w:t xml:space="preserve"> These accelerators serve as guidelines for the </w:t>
      </w:r>
      <w:r>
        <w:rPr>
          <w:lang w:val="en-GB"/>
        </w:rPr>
        <w:t>c</w:t>
      </w:r>
      <w:r w:rsidR="00821410">
        <w:rPr>
          <w:lang w:val="en-GB"/>
        </w:rPr>
        <w:t xml:space="preserve">ountry </w:t>
      </w:r>
      <w:r>
        <w:rPr>
          <w:lang w:val="en-GB"/>
        </w:rPr>
        <w:t>p</w:t>
      </w:r>
      <w:r w:rsidR="00821410">
        <w:rPr>
          <w:lang w:val="en-GB"/>
        </w:rPr>
        <w:t>rogramme</w:t>
      </w:r>
      <w:r>
        <w:rPr>
          <w:lang w:val="en-GB"/>
        </w:rPr>
        <w:t>,</w:t>
      </w:r>
      <w:r w:rsidR="00821410">
        <w:rPr>
          <w:lang w:val="en-GB"/>
        </w:rPr>
        <w:t xml:space="preserve"> 2021-2025.</w:t>
      </w:r>
    </w:p>
    <w:p w14:paraId="154132DA" w14:textId="46CCAF8C" w:rsidR="00D57C86" w:rsidRDefault="001B426B" w:rsidP="00631C8D">
      <w:pPr>
        <w:pStyle w:val="ListParagraph"/>
        <w:tabs>
          <w:tab w:val="left" w:pos="1530"/>
        </w:tabs>
        <w:spacing w:after="120"/>
        <w:ind w:left="1260" w:right="1210"/>
        <w:jc w:val="both"/>
        <w:rPr>
          <w:lang w:val="en-GB"/>
        </w:rPr>
      </w:pPr>
      <w:r>
        <w:rPr>
          <w:lang w:val="en-GB"/>
        </w:rPr>
        <w:t>8.</w:t>
      </w:r>
      <w:r>
        <w:rPr>
          <w:lang w:val="en-GB"/>
        </w:rPr>
        <w:tab/>
      </w:r>
      <w:r w:rsidR="009745A9">
        <w:rPr>
          <w:lang w:val="en-GB"/>
        </w:rPr>
        <w:t>Through its</w:t>
      </w:r>
      <w:r w:rsidR="00714329" w:rsidRPr="00D75D0C">
        <w:rPr>
          <w:lang w:val="en-GB"/>
        </w:rPr>
        <w:t xml:space="preserve"> </w:t>
      </w:r>
      <w:r>
        <w:rPr>
          <w:lang w:val="en-GB"/>
        </w:rPr>
        <w:t>c</w:t>
      </w:r>
      <w:r w:rsidR="00714329" w:rsidRPr="00D75D0C">
        <w:rPr>
          <w:lang w:val="en-GB"/>
        </w:rPr>
        <w:t xml:space="preserve">ountry </w:t>
      </w:r>
      <w:r>
        <w:rPr>
          <w:lang w:val="en-GB"/>
        </w:rPr>
        <w:t>p</w:t>
      </w:r>
      <w:r w:rsidR="00714329" w:rsidRPr="00D75D0C">
        <w:rPr>
          <w:lang w:val="en-GB"/>
        </w:rPr>
        <w:t>rogramme</w:t>
      </w:r>
      <w:r>
        <w:rPr>
          <w:lang w:val="en-GB"/>
        </w:rPr>
        <w:t>,</w:t>
      </w:r>
      <w:r w:rsidR="00714329" w:rsidRPr="00D75D0C">
        <w:rPr>
          <w:lang w:val="en-GB"/>
        </w:rPr>
        <w:t xml:space="preserve"> 2016-2020, UNDP contributed to the implementation of national priorities, in particular to reducing inequalities, introducing international best practices and expertise, and developing intersectoral coordination and cooperation. An independent evaluation of the </w:t>
      </w:r>
      <w:r>
        <w:rPr>
          <w:lang w:val="en-GB"/>
        </w:rPr>
        <w:t>c</w:t>
      </w:r>
      <w:r w:rsidR="00714329" w:rsidRPr="00D75D0C">
        <w:rPr>
          <w:lang w:val="en-GB"/>
        </w:rPr>
        <w:t xml:space="preserve">ountry </w:t>
      </w:r>
      <w:r>
        <w:rPr>
          <w:lang w:val="en-GB"/>
        </w:rPr>
        <w:t>p</w:t>
      </w:r>
      <w:r w:rsidR="00714329" w:rsidRPr="00D75D0C">
        <w:rPr>
          <w:lang w:val="en-GB"/>
        </w:rPr>
        <w:t xml:space="preserve">rogramme </w:t>
      </w:r>
      <w:r>
        <w:rPr>
          <w:lang w:val="en-GB"/>
        </w:rPr>
        <w:t>during</w:t>
      </w:r>
      <w:r w:rsidR="009D090E">
        <w:rPr>
          <w:lang w:val="en-GB"/>
        </w:rPr>
        <w:t xml:space="preserve"> 2016-2018</w:t>
      </w:r>
      <w:r w:rsidR="00714329" w:rsidRPr="00D75D0C">
        <w:rPr>
          <w:lang w:val="en-GB"/>
        </w:rPr>
        <w:t xml:space="preserve"> highlighted</w:t>
      </w:r>
      <w:r w:rsidR="009C2B7D">
        <w:rPr>
          <w:lang w:val="en-GB"/>
        </w:rPr>
        <w:t xml:space="preserve"> </w:t>
      </w:r>
      <w:r>
        <w:rPr>
          <w:lang w:val="en-GB"/>
        </w:rPr>
        <w:t xml:space="preserve">the </w:t>
      </w:r>
      <w:r w:rsidR="00714329" w:rsidRPr="00D75D0C">
        <w:rPr>
          <w:lang w:val="en-GB"/>
        </w:rPr>
        <w:t>UNDP contribution to promoti</w:t>
      </w:r>
      <w:r>
        <w:rPr>
          <w:lang w:val="en-GB"/>
        </w:rPr>
        <w:t>on of</w:t>
      </w:r>
      <w:r w:rsidR="00714329" w:rsidRPr="00D75D0C">
        <w:rPr>
          <w:lang w:val="en-GB"/>
        </w:rPr>
        <w:t xml:space="preserve"> Belarus as a reliable</w:t>
      </w:r>
      <w:r>
        <w:rPr>
          <w:lang w:val="en-GB"/>
        </w:rPr>
        <w:t>,</w:t>
      </w:r>
      <w:r w:rsidR="00714329" w:rsidRPr="00D75D0C">
        <w:rPr>
          <w:lang w:val="en-GB"/>
        </w:rPr>
        <w:t xml:space="preserve"> competent partner </w:t>
      </w:r>
      <w:r>
        <w:rPr>
          <w:lang w:val="en-GB"/>
        </w:rPr>
        <w:t>i</w:t>
      </w:r>
      <w:r w:rsidR="00714329" w:rsidRPr="00D75D0C">
        <w:rPr>
          <w:lang w:val="en-GB"/>
        </w:rPr>
        <w:t>n the international arena, including in terms of its accession to the World Trade Organization. UNDP promote</w:t>
      </w:r>
      <w:r w:rsidR="009D090E">
        <w:rPr>
          <w:lang w:val="en-GB"/>
        </w:rPr>
        <w:t>d</w:t>
      </w:r>
      <w:r w:rsidR="00714329" w:rsidRPr="00D75D0C">
        <w:rPr>
          <w:lang w:val="en-GB"/>
        </w:rPr>
        <w:t xml:space="preserve"> country priorities in sustainable natural resource management</w:t>
      </w:r>
      <w:r w:rsidR="0051367A">
        <w:rPr>
          <w:lang w:val="en-GB"/>
        </w:rPr>
        <w:t>,</w:t>
      </w:r>
      <w:r w:rsidR="00714329" w:rsidRPr="00D75D0C">
        <w:rPr>
          <w:lang w:val="en-GB"/>
        </w:rPr>
        <w:t xml:space="preserve"> biodiversity </w:t>
      </w:r>
      <w:r w:rsidR="00046F0B">
        <w:rPr>
          <w:lang w:val="en-GB"/>
        </w:rPr>
        <w:t xml:space="preserve">and landscape </w:t>
      </w:r>
      <w:r w:rsidR="001A06B0" w:rsidRPr="00D75D0C">
        <w:rPr>
          <w:lang w:val="en-GB"/>
        </w:rPr>
        <w:t>conservation</w:t>
      </w:r>
      <w:r>
        <w:rPr>
          <w:lang w:val="en-GB"/>
        </w:rPr>
        <w:t>,</w:t>
      </w:r>
      <w:r w:rsidR="001A06B0" w:rsidRPr="00D75D0C">
        <w:rPr>
          <w:lang w:val="en-GB"/>
        </w:rPr>
        <w:t xml:space="preserve"> and</w:t>
      </w:r>
      <w:r w:rsidR="00714329" w:rsidRPr="00D75D0C">
        <w:rPr>
          <w:lang w:val="en-GB"/>
        </w:rPr>
        <w:t xml:space="preserve"> help</w:t>
      </w:r>
      <w:r w:rsidR="009D090E">
        <w:rPr>
          <w:lang w:val="en-GB"/>
        </w:rPr>
        <w:t>ed</w:t>
      </w:r>
      <w:r w:rsidR="00714329" w:rsidRPr="00D75D0C">
        <w:rPr>
          <w:lang w:val="en-GB"/>
        </w:rPr>
        <w:t xml:space="preserve"> prevent soil degradation and preserve endangered species</w:t>
      </w:r>
      <w:r w:rsidR="00046F0B">
        <w:rPr>
          <w:lang w:val="en-GB"/>
        </w:rPr>
        <w:t xml:space="preserve"> </w:t>
      </w:r>
      <w:r w:rsidR="00046F0B" w:rsidRPr="00046F0B">
        <w:rPr>
          <w:lang w:val="en-GB"/>
        </w:rPr>
        <w:t>of wild animals and</w:t>
      </w:r>
      <w:r w:rsidR="00046F0B">
        <w:rPr>
          <w:lang w:val="en-GB"/>
        </w:rPr>
        <w:t xml:space="preserve"> </w:t>
      </w:r>
      <w:r w:rsidR="00046F0B" w:rsidRPr="00046F0B">
        <w:rPr>
          <w:lang w:val="en-GB"/>
        </w:rPr>
        <w:t>plants</w:t>
      </w:r>
      <w:r w:rsidR="00714329" w:rsidRPr="00D75D0C">
        <w:rPr>
          <w:lang w:val="en-GB"/>
        </w:rPr>
        <w:t xml:space="preserve">. </w:t>
      </w:r>
      <w:r w:rsidR="009D090E">
        <w:rPr>
          <w:lang w:val="en-GB"/>
        </w:rPr>
        <w:t>UNDP supported</w:t>
      </w:r>
      <w:r w:rsidR="00714329" w:rsidRPr="00D75D0C">
        <w:rPr>
          <w:lang w:val="en-GB"/>
        </w:rPr>
        <w:t xml:space="preserve"> local development, leading to the growth </w:t>
      </w:r>
      <w:r w:rsidR="00802634">
        <w:rPr>
          <w:lang w:val="en-GB"/>
        </w:rPr>
        <w:t>of</w:t>
      </w:r>
      <w:r w:rsidR="00714329" w:rsidRPr="00D75D0C">
        <w:rPr>
          <w:lang w:val="en-GB"/>
        </w:rPr>
        <w:t xml:space="preserve"> entrepreneurship and the number of small and medium-sized enterprises in Belarus. </w:t>
      </w:r>
    </w:p>
    <w:p w14:paraId="5626065D" w14:textId="77777777" w:rsidR="00D57C86" w:rsidRDefault="001B426B" w:rsidP="00631C8D">
      <w:pPr>
        <w:pStyle w:val="ListParagraph"/>
        <w:tabs>
          <w:tab w:val="left" w:pos="1530"/>
        </w:tabs>
        <w:spacing w:after="120"/>
        <w:ind w:left="1260" w:right="1210"/>
        <w:jc w:val="both"/>
        <w:rPr>
          <w:lang w:val="en-GB"/>
        </w:rPr>
      </w:pPr>
      <w:r>
        <w:rPr>
          <w:lang w:val="en-GB"/>
        </w:rPr>
        <w:t>9.</w:t>
      </w:r>
      <w:r>
        <w:rPr>
          <w:lang w:val="en-GB"/>
        </w:rPr>
        <w:tab/>
      </w:r>
      <w:r w:rsidR="009D090E" w:rsidRPr="001A5FE4">
        <w:rPr>
          <w:lang w:val="en-GB"/>
        </w:rPr>
        <w:t xml:space="preserve">The </w:t>
      </w:r>
      <w:r w:rsidR="009D090E" w:rsidRPr="000A2D1E">
        <w:rPr>
          <w:lang w:val="en-GB"/>
        </w:rPr>
        <w:t>lesson</w:t>
      </w:r>
      <w:r w:rsidR="009C43F5" w:rsidRPr="000A2D1E">
        <w:rPr>
          <w:lang w:val="en-GB"/>
        </w:rPr>
        <w:t xml:space="preserve">s </w:t>
      </w:r>
      <w:r w:rsidR="009D090E" w:rsidRPr="000A2D1E">
        <w:rPr>
          <w:lang w:val="en-GB"/>
        </w:rPr>
        <w:t>learn</w:t>
      </w:r>
      <w:r w:rsidR="009C43F5" w:rsidRPr="00AB17B6">
        <w:rPr>
          <w:lang w:val="en-GB"/>
        </w:rPr>
        <w:t>ed</w:t>
      </w:r>
      <w:r w:rsidR="009D090E" w:rsidRPr="00AB17B6">
        <w:rPr>
          <w:lang w:val="en-GB"/>
        </w:rPr>
        <w:t xml:space="preserve"> emphasized</w:t>
      </w:r>
      <w:r w:rsidR="00345655" w:rsidRPr="00AB17B6">
        <w:rPr>
          <w:lang w:val="en-GB"/>
        </w:rPr>
        <w:t xml:space="preserve"> </w:t>
      </w:r>
      <w:r w:rsidR="00E45513" w:rsidRPr="000719C7">
        <w:rPr>
          <w:lang w:val="en-GB"/>
        </w:rPr>
        <w:t xml:space="preserve">that </w:t>
      </w:r>
      <w:r w:rsidR="00345655" w:rsidRPr="001A5FE4">
        <w:rPr>
          <w:lang w:val="en-GB"/>
        </w:rPr>
        <w:t>UNDP work may be further strengthened and expanded in</w:t>
      </w:r>
      <w:r w:rsidR="009D090E" w:rsidRPr="000A2D1E">
        <w:rPr>
          <w:lang w:val="en-GB"/>
        </w:rPr>
        <w:t xml:space="preserve"> supporting </w:t>
      </w:r>
      <w:r w:rsidR="00714329" w:rsidRPr="000A2D1E">
        <w:rPr>
          <w:lang w:val="en-GB"/>
        </w:rPr>
        <w:t xml:space="preserve">sustainable socio-economic development </w:t>
      </w:r>
      <w:r w:rsidR="009D090E" w:rsidRPr="000A2D1E">
        <w:rPr>
          <w:lang w:val="en-GB"/>
        </w:rPr>
        <w:t xml:space="preserve">at </w:t>
      </w:r>
      <w:r>
        <w:rPr>
          <w:lang w:val="en-GB"/>
        </w:rPr>
        <w:t xml:space="preserve">the </w:t>
      </w:r>
      <w:r w:rsidR="009D090E" w:rsidRPr="000A2D1E">
        <w:rPr>
          <w:lang w:val="en-GB"/>
        </w:rPr>
        <w:t>region</w:t>
      </w:r>
      <w:r w:rsidR="00345655" w:rsidRPr="00AB17B6">
        <w:rPr>
          <w:lang w:val="en-GB"/>
        </w:rPr>
        <w:t>al</w:t>
      </w:r>
      <w:r w:rsidR="009D090E" w:rsidRPr="00AB17B6">
        <w:rPr>
          <w:lang w:val="en-GB"/>
        </w:rPr>
        <w:t xml:space="preserve"> and district levels</w:t>
      </w:r>
      <w:r w:rsidR="00E45513" w:rsidRPr="000719C7">
        <w:rPr>
          <w:lang w:val="en-GB"/>
        </w:rPr>
        <w:t xml:space="preserve">, developing private sector and public-private partnerships, </w:t>
      </w:r>
      <w:r>
        <w:rPr>
          <w:lang w:val="en-GB"/>
        </w:rPr>
        <w:t xml:space="preserve">and </w:t>
      </w:r>
      <w:r w:rsidR="00E45513" w:rsidRPr="000719C7">
        <w:rPr>
          <w:lang w:val="en-GB"/>
        </w:rPr>
        <w:t>using new financing mechanisms and tools</w:t>
      </w:r>
      <w:r w:rsidR="00973690" w:rsidRPr="001A5FE4">
        <w:rPr>
          <w:lang w:val="en-GB"/>
        </w:rPr>
        <w:t>.</w:t>
      </w:r>
      <w:r w:rsidR="00555AA3" w:rsidRPr="001A5FE4">
        <w:rPr>
          <w:lang w:val="en-GB"/>
        </w:rPr>
        <w:t xml:space="preserve"> </w:t>
      </w:r>
      <w:r w:rsidR="001C0A32" w:rsidRPr="000A2D1E">
        <w:rPr>
          <w:lang w:val="en-GB"/>
        </w:rPr>
        <w:t xml:space="preserve">Other strategic </w:t>
      </w:r>
      <w:r w:rsidR="009D090E" w:rsidRPr="000A2D1E">
        <w:rPr>
          <w:lang w:val="en-GB"/>
        </w:rPr>
        <w:t xml:space="preserve">areas </w:t>
      </w:r>
      <w:r w:rsidR="001C0A32" w:rsidRPr="000A2D1E">
        <w:rPr>
          <w:lang w:val="en-GB"/>
        </w:rPr>
        <w:t>include</w:t>
      </w:r>
      <w:r w:rsidR="00E45513" w:rsidRPr="000719C7">
        <w:rPr>
          <w:lang w:val="en-GB"/>
        </w:rPr>
        <w:t xml:space="preserve"> </w:t>
      </w:r>
      <w:r w:rsidR="009D090E" w:rsidRPr="000A2D1E">
        <w:rPr>
          <w:lang w:val="en-GB"/>
        </w:rPr>
        <w:t>advancing cooperation in technolog</w:t>
      </w:r>
      <w:r>
        <w:rPr>
          <w:lang w:val="en-GB"/>
        </w:rPr>
        <w:t>y</w:t>
      </w:r>
      <w:r w:rsidR="009D090E" w:rsidRPr="000A2D1E">
        <w:rPr>
          <w:lang w:val="en-GB"/>
        </w:rPr>
        <w:t>,</w:t>
      </w:r>
      <w:r w:rsidR="00EA7656" w:rsidRPr="000A2D1E">
        <w:rPr>
          <w:lang w:val="en-GB"/>
        </w:rPr>
        <w:t xml:space="preserve"> innovation</w:t>
      </w:r>
      <w:r w:rsidR="005C485A">
        <w:rPr>
          <w:lang w:val="en-GB"/>
        </w:rPr>
        <w:t xml:space="preserve">, </w:t>
      </w:r>
      <w:r w:rsidR="00E45513" w:rsidRPr="000719C7">
        <w:rPr>
          <w:lang w:val="en-GB"/>
        </w:rPr>
        <w:t>research and development, and</w:t>
      </w:r>
      <w:r w:rsidR="00714329" w:rsidRPr="001A5FE4">
        <w:rPr>
          <w:lang w:val="en-GB"/>
        </w:rPr>
        <w:t xml:space="preserve"> </w:t>
      </w:r>
      <w:r w:rsidR="00EA7656" w:rsidRPr="000A2D1E">
        <w:rPr>
          <w:lang w:val="en-GB"/>
        </w:rPr>
        <w:t>national capacit</w:t>
      </w:r>
      <w:r>
        <w:rPr>
          <w:lang w:val="en-GB"/>
        </w:rPr>
        <w:t>y-</w:t>
      </w:r>
      <w:r w:rsidR="00D4610E">
        <w:rPr>
          <w:lang w:val="en-GB"/>
        </w:rPr>
        <w:t>building</w:t>
      </w:r>
      <w:r w:rsidR="00E70462" w:rsidRPr="001A5FE4">
        <w:rPr>
          <w:lang w:val="en-GB"/>
        </w:rPr>
        <w:t>.</w:t>
      </w:r>
      <w:r w:rsidR="00E70462">
        <w:rPr>
          <w:lang w:val="en-GB"/>
        </w:rPr>
        <w:t xml:space="preserve"> </w:t>
      </w:r>
    </w:p>
    <w:p w14:paraId="456D36E2" w14:textId="63DDBD2D" w:rsidR="00714329" w:rsidRPr="00D75D0C" w:rsidRDefault="001B426B" w:rsidP="00C94609">
      <w:pPr>
        <w:pStyle w:val="ListParagraph"/>
        <w:tabs>
          <w:tab w:val="left" w:pos="1620"/>
        </w:tabs>
        <w:spacing w:after="120"/>
        <w:ind w:left="1260" w:right="1210"/>
        <w:jc w:val="both"/>
        <w:rPr>
          <w:lang w:val="en-GB"/>
        </w:rPr>
      </w:pPr>
      <w:r>
        <w:rPr>
          <w:lang w:val="en-GB"/>
        </w:rPr>
        <w:t>10.</w:t>
      </w:r>
      <w:r>
        <w:rPr>
          <w:lang w:val="en-GB"/>
        </w:rPr>
        <w:tab/>
      </w:r>
      <w:r w:rsidR="00714329" w:rsidRPr="00D75D0C">
        <w:rPr>
          <w:lang w:val="en-GB"/>
        </w:rPr>
        <w:t>UNDP has taken an active part in develop</w:t>
      </w:r>
      <w:r>
        <w:rPr>
          <w:lang w:val="en-GB"/>
        </w:rPr>
        <w:t>ing</w:t>
      </w:r>
      <w:r w:rsidR="00714329" w:rsidRPr="00D75D0C">
        <w:rPr>
          <w:lang w:val="en-GB"/>
        </w:rPr>
        <w:t xml:space="preserve"> the United Nations </w:t>
      </w:r>
      <w:r w:rsidR="00FA7068">
        <w:rPr>
          <w:lang w:val="en-GB"/>
        </w:rPr>
        <w:t xml:space="preserve">Sustainable </w:t>
      </w:r>
      <w:r w:rsidR="00714329" w:rsidRPr="00D75D0C">
        <w:rPr>
          <w:lang w:val="en-GB"/>
        </w:rPr>
        <w:t xml:space="preserve">Development </w:t>
      </w:r>
      <w:r w:rsidR="00FA7068">
        <w:rPr>
          <w:lang w:val="en-GB"/>
        </w:rPr>
        <w:t>Cooperation</w:t>
      </w:r>
      <w:r w:rsidR="00714329" w:rsidRPr="00D75D0C">
        <w:rPr>
          <w:lang w:val="en-GB"/>
        </w:rPr>
        <w:t xml:space="preserve"> Framework</w:t>
      </w:r>
      <w:r>
        <w:rPr>
          <w:lang w:val="en-GB"/>
        </w:rPr>
        <w:t>,</w:t>
      </w:r>
      <w:r w:rsidR="00714329" w:rsidRPr="00D75D0C">
        <w:rPr>
          <w:lang w:val="en-GB"/>
        </w:rPr>
        <w:t xml:space="preserve"> 2021-2025.</w:t>
      </w:r>
      <w:r w:rsidR="005A326B">
        <w:rPr>
          <w:lang w:val="en-GB"/>
        </w:rPr>
        <w:t xml:space="preserve"> </w:t>
      </w:r>
      <w:r w:rsidR="00714329" w:rsidRPr="00D75D0C">
        <w:rPr>
          <w:lang w:val="en-GB"/>
        </w:rPr>
        <w:t xml:space="preserve">Under the </w:t>
      </w:r>
      <w:r>
        <w:rPr>
          <w:lang w:val="en-GB"/>
        </w:rPr>
        <w:t>framework</w:t>
      </w:r>
      <w:r w:rsidR="00714329" w:rsidRPr="00D75D0C">
        <w:rPr>
          <w:lang w:val="en-GB"/>
        </w:rPr>
        <w:t xml:space="preserve">, UNDP will contribute </w:t>
      </w:r>
      <w:r w:rsidR="00BE0D5B" w:rsidRPr="00D75D0C">
        <w:rPr>
          <w:lang w:val="en-GB"/>
        </w:rPr>
        <w:t xml:space="preserve">directly </w:t>
      </w:r>
      <w:r w:rsidR="00714329" w:rsidRPr="00D75D0C">
        <w:rPr>
          <w:lang w:val="en-GB"/>
        </w:rPr>
        <w:t xml:space="preserve">to </w:t>
      </w:r>
      <w:r w:rsidR="000B0983">
        <w:rPr>
          <w:lang w:val="en-GB"/>
        </w:rPr>
        <w:t xml:space="preserve">four </w:t>
      </w:r>
      <w:r w:rsidR="00714329" w:rsidRPr="00D75D0C">
        <w:rPr>
          <w:lang w:val="en-GB"/>
        </w:rPr>
        <w:t>outcomes</w:t>
      </w:r>
      <w:r w:rsidR="00EA7656">
        <w:rPr>
          <w:lang w:val="en-GB"/>
        </w:rPr>
        <w:t xml:space="preserve"> closely corresponding to the UNDP Strategic Plan</w:t>
      </w:r>
      <w:r w:rsidR="00C809B6">
        <w:rPr>
          <w:lang w:val="en-GB"/>
        </w:rPr>
        <w:t>,</w:t>
      </w:r>
      <w:r w:rsidR="00EA7656">
        <w:rPr>
          <w:lang w:val="en-GB"/>
        </w:rPr>
        <w:t xml:space="preserve"> areas of knowledge and comparative advantage</w:t>
      </w:r>
      <w:r w:rsidR="003B529A">
        <w:rPr>
          <w:lang w:val="en-GB"/>
        </w:rPr>
        <w:t>s</w:t>
      </w:r>
      <w:r w:rsidR="00BE0D5B">
        <w:rPr>
          <w:lang w:val="en-GB"/>
        </w:rPr>
        <w:t>. The</w:t>
      </w:r>
      <w:r w:rsidR="00EA7656">
        <w:rPr>
          <w:lang w:val="en-GB"/>
        </w:rPr>
        <w:t xml:space="preserve"> outcomes </w:t>
      </w:r>
      <w:r w:rsidR="0051367A">
        <w:rPr>
          <w:lang w:val="en-GB"/>
        </w:rPr>
        <w:t>are:</w:t>
      </w:r>
      <w:r w:rsidR="00E011A3">
        <w:rPr>
          <w:lang w:val="en-GB"/>
        </w:rPr>
        <w:t xml:space="preserve"> </w:t>
      </w:r>
      <w:r w:rsidR="00714329" w:rsidRPr="00D75D0C">
        <w:rPr>
          <w:lang w:val="en-GB"/>
        </w:rPr>
        <w:t>economic development driven by inclusive green growth</w:t>
      </w:r>
      <w:r w:rsidR="006D40D3">
        <w:rPr>
          <w:lang w:val="en-GB"/>
        </w:rPr>
        <w:t xml:space="preserve"> and</w:t>
      </w:r>
      <w:r w:rsidR="00714329" w:rsidRPr="00D75D0C">
        <w:rPr>
          <w:lang w:val="en-GB"/>
        </w:rPr>
        <w:t xml:space="preserve"> stimulating entrepreneurship</w:t>
      </w:r>
      <w:r w:rsidR="006D40D3">
        <w:rPr>
          <w:lang w:val="en-GB"/>
        </w:rPr>
        <w:t>;</w:t>
      </w:r>
      <w:r w:rsidR="00714329" w:rsidRPr="00D75D0C">
        <w:rPr>
          <w:lang w:val="en-GB"/>
        </w:rPr>
        <w:t xml:space="preserve"> implementing essential climate change mitigation and adaptation measures</w:t>
      </w:r>
      <w:r w:rsidR="006D40D3">
        <w:rPr>
          <w:lang w:val="en-GB"/>
        </w:rPr>
        <w:t>;</w:t>
      </w:r>
      <w:r w:rsidR="00714329" w:rsidRPr="00D75D0C">
        <w:rPr>
          <w:lang w:val="en-GB"/>
        </w:rPr>
        <w:t xml:space="preserve"> laying the foundations </w:t>
      </w:r>
      <w:r w:rsidR="00757DF7">
        <w:rPr>
          <w:lang w:val="en-GB"/>
        </w:rPr>
        <w:t>of</w:t>
      </w:r>
      <w:r w:rsidR="00757DF7" w:rsidRPr="00D75D0C">
        <w:rPr>
          <w:lang w:val="en-GB"/>
        </w:rPr>
        <w:t xml:space="preserve"> </w:t>
      </w:r>
      <w:r w:rsidR="00714329" w:rsidRPr="00D75D0C">
        <w:rPr>
          <w:lang w:val="en-GB"/>
        </w:rPr>
        <w:t>a digital ecosystem</w:t>
      </w:r>
      <w:r w:rsidR="006D40D3">
        <w:rPr>
          <w:lang w:val="en-GB"/>
        </w:rPr>
        <w:t>;</w:t>
      </w:r>
      <w:r w:rsidR="00714329" w:rsidRPr="00D75D0C">
        <w:rPr>
          <w:lang w:val="en-GB"/>
        </w:rPr>
        <w:t xml:space="preserve"> and promoting equal economic and social opportunities for men and women. </w:t>
      </w:r>
    </w:p>
    <w:p w14:paraId="573E983D" w14:textId="5FE3F11F" w:rsidR="00714329" w:rsidRDefault="00757DF7" w:rsidP="00631C8D">
      <w:pPr>
        <w:pStyle w:val="ListParagraph"/>
        <w:tabs>
          <w:tab w:val="left" w:pos="1620"/>
        </w:tabs>
        <w:ind w:left="1260" w:right="1210"/>
        <w:jc w:val="both"/>
        <w:rPr>
          <w:lang w:val="en-GB"/>
        </w:rPr>
      </w:pPr>
      <w:r>
        <w:rPr>
          <w:lang w:val="en-GB"/>
        </w:rPr>
        <w:t>11.</w:t>
      </w:r>
      <w:r>
        <w:rPr>
          <w:lang w:val="en-GB"/>
        </w:rPr>
        <w:tab/>
      </w:r>
      <w:r w:rsidR="00714329" w:rsidRPr="00D75D0C">
        <w:rPr>
          <w:lang w:val="en-GB"/>
        </w:rPr>
        <w:t xml:space="preserve">UNDP </w:t>
      </w:r>
      <w:r w:rsidR="00BE0D5B">
        <w:rPr>
          <w:lang w:val="en-GB"/>
        </w:rPr>
        <w:t>adds</w:t>
      </w:r>
      <w:r w:rsidR="00AB17B6">
        <w:rPr>
          <w:lang w:val="en-GB"/>
        </w:rPr>
        <w:t xml:space="preserve"> value through it</w:t>
      </w:r>
      <w:r w:rsidR="00714329" w:rsidRPr="00D75D0C">
        <w:rPr>
          <w:lang w:val="en-GB"/>
        </w:rPr>
        <w:t>s</w:t>
      </w:r>
      <w:r w:rsidR="00AB17B6">
        <w:rPr>
          <w:lang w:val="en-GB"/>
        </w:rPr>
        <w:t xml:space="preserve"> </w:t>
      </w:r>
      <w:r w:rsidR="00BE0D5B">
        <w:t>demonstrated</w:t>
      </w:r>
      <w:r w:rsidR="00AB17B6" w:rsidRPr="005D29E3">
        <w:t xml:space="preserve"> experience in project implementation, building national capacities, results-based management</w:t>
      </w:r>
      <w:r>
        <w:t>,</w:t>
      </w:r>
      <w:r w:rsidR="00AB17B6">
        <w:t xml:space="preserve"> and</w:t>
      </w:r>
      <w:r w:rsidR="00AB17B6" w:rsidRPr="005D29E3">
        <w:t xml:space="preserve"> breadth of thematic expertise</w:t>
      </w:r>
      <w:r w:rsidR="00AB17B6">
        <w:t xml:space="preserve">. </w:t>
      </w:r>
      <w:r w:rsidR="00C809B6">
        <w:t>UNDP</w:t>
      </w:r>
      <w:r w:rsidR="00AB17B6">
        <w:t xml:space="preserve"> </w:t>
      </w:r>
      <w:r>
        <w:t>has</w:t>
      </w:r>
      <w:r w:rsidRPr="00D75D0C">
        <w:rPr>
          <w:lang w:val="en-GB"/>
        </w:rPr>
        <w:t xml:space="preserve"> </w:t>
      </w:r>
      <w:r w:rsidR="00714329" w:rsidRPr="00D75D0C">
        <w:rPr>
          <w:lang w:val="en-GB"/>
        </w:rPr>
        <w:t xml:space="preserve">extensive experience </w:t>
      </w:r>
      <w:r>
        <w:rPr>
          <w:lang w:val="en-GB"/>
        </w:rPr>
        <w:t>in</w:t>
      </w:r>
      <w:r w:rsidRPr="00D75D0C">
        <w:rPr>
          <w:lang w:val="en-GB"/>
        </w:rPr>
        <w:t xml:space="preserve"> </w:t>
      </w:r>
      <w:r w:rsidR="00714329" w:rsidRPr="00D75D0C">
        <w:rPr>
          <w:lang w:val="en-GB"/>
        </w:rPr>
        <w:t>working with international partners to attract development financing</w:t>
      </w:r>
      <w:r w:rsidR="00AB17B6">
        <w:rPr>
          <w:lang w:val="en-GB"/>
        </w:rPr>
        <w:t>.</w:t>
      </w:r>
      <w:r w:rsidR="005C485A">
        <w:rPr>
          <w:lang w:val="en-GB"/>
        </w:rPr>
        <w:t xml:space="preserve"> </w:t>
      </w:r>
      <w:r w:rsidR="00AB17B6" w:rsidRPr="00D75D0C">
        <w:rPr>
          <w:lang w:val="en-GB"/>
        </w:rPr>
        <w:t>UNDP software and administrative tools</w:t>
      </w:r>
      <w:r w:rsidR="00AB17B6">
        <w:rPr>
          <w:lang w:val="en-GB"/>
        </w:rPr>
        <w:t xml:space="preserve">, such as </w:t>
      </w:r>
      <w:r w:rsidR="00AB17B6" w:rsidRPr="00AB17B6">
        <w:rPr>
          <w:lang w:val="en-GB"/>
        </w:rPr>
        <w:t xml:space="preserve">clearly established </w:t>
      </w:r>
      <w:r>
        <w:rPr>
          <w:lang w:val="en-GB"/>
        </w:rPr>
        <w:t>s</w:t>
      </w:r>
      <w:r w:rsidR="00AB17B6" w:rsidRPr="00AB17B6">
        <w:rPr>
          <w:lang w:val="en-GB"/>
        </w:rPr>
        <w:t xml:space="preserve">tandard </w:t>
      </w:r>
      <w:r>
        <w:rPr>
          <w:lang w:val="en-GB"/>
        </w:rPr>
        <w:t>o</w:t>
      </w:r>
      <w:r w:rsidR="00AB17B6" w:rsidRPr="00AB17B6">
        <w:rPr>
          <w:lang w:val="en-GB"/>
        </w:rPr>
        <w:t xml:space="preserve">perating </w:t>
      </w:r>
      <w:r>
        <w:rPr>
          <w:lang w:val="en-GB"/>
        </w:rPr>
        <w:t>p</w:t>
      </w:r>
      <w:r w:rsidR="00AB17B6" w:rsidRPr="00AB17B6">
        <w:rPr>
          <w:lang w:val="en-GB"/>
        </w:rPr>
        <w:t>rocedures</w:t>
      </w:r>
      <w:r w:rsidR="00AB17B6">
        <w:rPr>
          <w:lang w:val="en-GB"/>
        </w:rPr>
        <w:t>,</w:t>
      </w:r>
      <w:r w:rsidR="00AB17B6" w:rsidRPr="00AB17B6">
        <w:rPr>
          <w:lang w:val="en-GB"/>
        </w:rPr>
        <w:t xml:space="preserve"> policy and knowledge networks</w:t>
      </w:r>
      <w:r w:rsidR="00AB17B6">
        <w:rPr>
          <w:lang w:val="en-GB"/>
        </w:rPr>
        <w:t>,</w:t>
      </w:r>
      <w:r w:rsidR="00AB17B6" w:rsidRPr="00AB17B6">
        <w:rPr>
          <w:lang w:val="en-GB"/>
        </w:rPr>
        <w:t xml:space="preserve"> </w:t>
      </w:r>
      <w:r>
        <w:rPr>
          <w:lang w:val="en-GB"/>
        </w:rPr>
        <w:t xml:space="preserve">and </w:t>
      </w:r>
      <w:r w:rsidR="00AB17B6" w:rsidRPr="00AB17B6">
        <w:rPr>
          <w:lang w:val="en-GB"/>
        </w:rPr>
        <w:t>response mechanisms</w:t>
      </w:r>
      <w:r w:rsidR="00AB17B6">
        <w:rPr>
          <w:lang w:val="en-GB"/>
        </w:rPr>
        <w:t>,</w:t>
      </w:r>
      <w:r w:rsidR="00AB17B6" w:rsidRPr="00D75D0C">
        <w:rPr>
          <w:lang w:val="en-GB"/>
        </w:rPr>
        <w:t xml:space="preserve"> enable it to respond flexibly and quickly to </w:t>
      </w:r>
      <w:r>
        <w:rPr>
          <w:lang w:val="en-GB"/>
        </w:rPr>
        <w:t>g</w:t>
      </w:r>
      <w:r w:rsidR="00AB17B6" w:rsidRPr="00D75D0C">
        <w:rPr>
          <w:lang w:val="en-GB"/>
        </w:rPr>
        <w:t>overnment requests while ensuring transparency, efficiency and effectiveness</w:t>
      </w:r>
      <w:r w:rsidR="00714329" w:rsidRPr="00D75D0C">
        <w:rPr>
          <w:lang w:val="en-GB"/>
        </w:rPr>
        <w:t xml:space="preserve">. UNDP is represented in </w:t>
      </w:r>
      <w:r w:rsidR="00FA7068">
        <w:rPr>
          <w:lang w:val="en-GB"/>
        </w:rPr>
        <w:t>all</w:t>
      </w:r>
      <w:r w:rsidR="00714329" w:rsidRPr="00D75D0C">
        <w:rPr>
          <w:lang w:val="en-GB"/>
        </w:rPr>
        <w:t xml:space="preserve"> regions of Belarus through a network of regional coordinators.</w:t>
      </w:r>
      <w:r w:rsidR="0047224D">
        <w:rPr>
          <w:lang w:val="en-GB"/>
        </w:rPr>
        <w:t xml:space="preserve"> </w:t>
      </w:r>
      <w:r w:rsidR="00AB17B6">
        <w:rPr>
          <w:lang w:val="en-GB"/>
        </w:rPr>
        <w:t xml:space="preserve">UNDP brings </w:t>
      </w:r>
      <w:r w:rsidR="00686D9D">
        <w:t>international</w:t>
      </w:r>
      <w:r w:rsidR="00AB17B6">
        <w:t xml:space="preserve"> expertise and best international practices to the country in such areas as nationalization</w:t>
      </w:r>
      <w:r w:rsidR="00F304DC">
        <w:t xml:space="preserve"> of </w:t>
      </w:r>
      <w:r>
        <w:t xml:space="preserve">the </w:t>
      </w:r>
      <w:r w:rsidR="00F304DC">
        <w:rPr>
          <w:lang w:val="en-GB"/>
        </w:rPr>
        <w:t>Sustainable Development Goals</w:t>
      </w:r>
      <w:r w:rsidR="00AB17B6">
        <w:t>, mediation, local tourism development, regional economic development, illicit trafficking, wetlands restoration</w:t>
      </w:r>
      <w:r w:rsidR="00BE0D5B">
        <w:t>,</w:t>
      </w:r>
      <w:r w:rsidR="00AB17B6">
        <w:t xml:space="preserve"> and biodiversity conservation. </w:t>
      </w:r>
      <w:r w:rsidR="0047224D">
        <w:rPr>
          <w:lang w:val="en-GB"/>
        </w:rPr>
        <w:t>UNDP also brings innovative solutions and experimental approaches</w:t>
      </w:r>
      <w:r>
        <w:rPr>
          <w:lang w:val="en-GB"/>
        </w:rPr>
        <w:t>,</w:t>
      </w:r>
      <w:r w:rsidR="0047224D">
        <w:rPr>
          <w:lang w:val="en-GB"/>
        </w:rPr>
        <w:t xml:space="preserve"> using the</w:t>
      </w:r>
      <w:r w:rsidR="00714329" w:rsidRPr="00D75D0C">
        <w:rPr>
          <w:lang w:val="en-GB"/>
        </w:rPr>
        <w:t xml:space="preserve"> </w:t>
      </w:r>
      <w:r w:rsidR="0047224D">
        <w:rPr>
          <w:lang w:val="en-GB"/>
        </w:rPr>
        <w:t xml:space="preserve">global </w:t>
      </w:r>
      <w:r w:rsidR="00714329" w:rsidRPr="00D75D0C">
        <w:rPr>
          <w:lang w:val="en-GB"/>
        </w:rPr>
        <w:t xml:space="preserve">network of UNDP </w:t>
      </w:r>
      <w:r w:rsidR="00FA7068">
        <w:rPr>
          <w:lang w:val="en-GB"/>
        </w:rPr>
        <w:t>Accelerator</w:t>
      </w:r>
      <w:r w:rsidR="00714329" w:rsidRPr="00D75D0C">
        <w:rPr>
          <w:lang w:val="en-GB"/>
        </w:rPr>
        <w:t xml:space="preserve"> </w:t>
      </w:r>
      <w:r w:rsidR="00FA7068">
        <w:rPr>
          <w:lang w:val="en-GB"/>
        </w:rPr>
        <w:t>Labs</w:t>
      </w:r>
      <w:r w:rsidR="00714329" w:rsidRPr="00D75D0C">
        <w:rPr>
          <w:lang w:val="en-GB"/>
        </w:rPr>
        <w:t>.</w:t>
      </w:r>
    </w:p>
    <w:p w14:paraId="150CD66F" w14:textId="77777777" w:rsidR="00757DF7" w:rsidRPr="00D75D0C" w:rsidRDefault="00757DF7" w:rsidP="00542B95">
      <w:pPr>
        <w:pStyle w:val="ListParagraph"/>
        <w:tabs>
          <w:tab w:val="left" w:pos="1620"/>
        </w:tabs>
        <w:ind w:left="1267" w:right="1210"/>
        <w:jc w:val="both"/>
        <w:rPr>
          <w:lang w:val="en-GB"/>
        </w:rPr>
      </w:pPr>
    </w:p>
    <w:p w14:paraId="2440D3E0" w14:textId="310808A7" w:rsidR="004820B0" w:rsidRPr="003C26C1" w:rsidRDefault="004820B0" w:rsidP="00542B95">
      <w:pPr>
        <w:pStyle w:val="Heading2"/>
        <w:tabs>
          <w:tab w:val="left" w:pos="1620"/>
        </w:tabs>
        <w:spacing w:after="240"/>
        <w:ind w:left="1267" w:right="1267" w:hanging="461"/>
        <w:jc w:val="both"/>
        <w:rPr>
          <w:rFonts w:ascii="Times New Roman" w:hAnsi="Times New Roman"/>
          <w:color w:val="000000"/>
          <w:spacing w:val="-3"/>
          <w:sz w:val="20"/>
        </w:rPr>
      </w:pPr>
      <w:r w:rsidRPr="003C26C1">
        <w:rPr>
          <w:rFonts w:ascii="Times New Roman" w:hAnsi="Times New Roman"/>
          <w:bCs/>
          <w:color w:val="000000"/>
          <w:sz w:val="24"/>
          <w:szCs w:val="24"/>
        </w:rPr>
        <w:t xml:space="preserve">II. </w:t>
      </w:r>
      <w:r w:rsidR="00757DF7">
        <w:rPr>
          <w:rFonts w:ascii="Times New Roman" w:hAnsi="Times New Roman"/>
          <w:bCs/>
          <w:color w:val="000000"/>
          <w:sz w:val="24"/>
          <w:szCs w:val="24"/>
        </w:rPr>
        <w:tab/>
      </w:r>
      <w:r w:rsidR="00D57C86">
        <w:rPr>
          <w:rFonts w:ascii="Times New Roman" w:hAnsi="Times New Roman"/>
          <w:bCs/>
          <w:color w:val="000000"/>
          <w:sz w:val="24"/>
          <w:szCs w:val="24"/>
        </w:rPr>
        <w:t>Programme p</w:t>
      </w:r>
      <w:r w:rsidR="00677F8A" w:rsidRPr="003C26C1">
        <w:rPr>
          <w:rFonts w:ascii="Times New Roman" w:hAnsi="Times New Roman"/>
          <w:bCs/>
          <w:color w:val="000000"/>
          <w:sz w:val="24"/>
          <w:szCs w:val="24"/>
        </w:rPr>
        <w:t>riorities</w:t>
      </w:r>
      <w:r w:rsidR="002B6341" w:rsidRPr="003C26C1">
        <w:rPr>
          <w:rFonts w:ascii="Times New Roman" w:hAnsi="Times New Roman"/>
          <w:bCs/>
          <w:color w:val="000000"/>
          <w:sz w:val="24"/>
          <w:szCs w:val="24"/>
        </w:rPr>
        <w:t xml:space="preserve"> </w:t>
      </w:r>
      <w:r w:rsidR="004736BE" w:rsidRPr="003C26C1">
        <w:rPr>
          <w:rFonts w:ascii="Times New Roman" w:hAnsi="Times New Roman"/>
          <w:bCs/>
          <w:color w:val="000000"/>
          <w:sz w:val="24"/>
          <w:szCs w:val="24"/>
        </w:rPr>
        <w:t xml:space="preserve">and </w:t>
      </w:r>
      <w:r w:rsidR="00D57C86">
        <w:rPr>
          <w:rFonts w:ascii="Times New Roman" w:hAnsi="Times New Roman"/>
          <w:bCs/>
          <w:color w:val="000000"/>
          <w:sz w:val="24"/>
          <w:szCs w:val="24"/>
        </w:rPr>
        <w:t>p</w:t>
      </w:r>
      <w:r w:rsidR="002B6341" w:rsidRPr="003C26C1">
        <w:rPr>
          <w:rFonts w:ascii="Times New Roman" w:hAnsi="Times New Roman"/>
          <w:bCs/>
          <w:color w:val="000000"/>
          <w:sz w:val="24"/>
          <w:szCs w:val="24"/>
        </w:rPr>
        <w:t>artnerships</w:t>
      </w:r>
      <w:r w:rsidR="00074DB9" w:rsidRPr="003C26C1">
        <w:rPr>
          <w:rFonts w:ascii="Times New Roman" w:hAnsi="Times New Roman"/>
          <w:bCs/>
          <w:color w:val="000000"/>
          <w:sz w:val="24"/>
          <w:szCs w:val="24"/>
        </w:rPr>
        <w:t xml:space="preserve"> </w:t>
      </w:r>
    </w:p>
    <w:p w14:paraId="7B78BEFC" w14:textId="30944026" w:rsidR="00D57C86" w:rsidRDefault="00757DF7" w:rsidP="00C94609">
      <w:pPr>
        <w:pStyle w:val="ListParagraph"/>
        <w:tabs>
          <w:tab w:val="left" w:pos="1620"/>
        </w:tabs>
        <w:spacing w:after="120"/>
        <w:ind w:left="1260" w:right="1210"/>
        <w:jc w:val="both"/>
        <w:rPr>
          <w:lang w:val="en-GB"/>
        </w:rPr>
      </w:pPr>
      <w:r w:rsidRPr="00207743">
        <w:rPr>
          <w:lang w:val="en-GB"/>
        </w:rPr>
        <w:t>12.</w:t>
      </w:r>
      <w:r w:rsidR="00207743">
        <w:rPr>
          <w:lang w:val="en-GB"/>
        </w:rPr>
        <w:t xml:space="preserve"> </w:t>
      </w:r>
      <w:r w:rsidR="00714329" w:rsidRPr="00D75D0C">
        <w:rPr>
          <w:lang w:val="en-GB"/>
        </w:rPr>
        <w:t xml:space="preserve">This </w:t>
      </w:r>
      <w:r>
        <w:rPr>
          <w:lang w:val="en-GB"/>
        </w:rPr>
        <w:t>c</w:t>
      </w:r>
      <w:r w:rsidR="00714329" w:rsidRPr="00D75D0C">
        <w:rPr>
          <w:lang w:val="en-GB"/>
        </w:rPr>
        <w:t xml:space="preserve">ountry </w:t>
      </w:r>
      <w:r>
        <w:rPr>
          <w:lang w:val="en-GB"/>
        </w:rPr>
        <w:t>p</w:t>
      </w:r>
      <w:r w:rsidR="00714329" w:rsidRPr="00D75D0C">
        <w:rPr>
          <w:lang w:val="en-GB"/>
        </w:rPr>
        <w:t xml:space="preserve">rogramme </w:t>
      </w:r>
      <w:r w:rsidR="00875131">
        <w:rPr>
          <w:lang w:val="en-GB"/>
        </w:rPr>
        <w:t xml:space="preserve">is </w:t>
      </w:r>
      <w:r w:rsidR="00017E01">
        <w:rPr>
          <w:lang w:val="en-GB"/>
        </w:rPr>
        <w:t>based on the results of</w:t>
      </w:r>
      <w:r w:rsidR="00714329" w:rsidRPr="00D75D0C">
        <w:rPr>
          <w:lang w:val="en-GB"/>
        </w:rPr>
        <w:t xml:space="preserve"> UNDP</w:t>
      </w:r>
      <w:r w:rsidR="002F18D0">
        <w:rPr>
          <w:lang w:val="en-GB"/>
        </w:rPr>
        <w:t xml:space="preserve"> and </w:t>
      </w:r>
      <w:r w:rsidR="00714329" w:rsidRPr="00D75D0C">
        <w:rPr>
          <w:lang w:val="en-GB"/>
        </w:rPr>
        <w:t>U</w:t>
      </w:r>
      <w:r w:rsidR="00F304DC">
        <w:rPr>
          <w:lang w:val="en-GB"/>
        </w:rPr>
        <w:t xml:space="preserve">nited </w:t>
      </w:r>
      <w:r w:rsidR="00714329" w:rsidRPr="00D75D0C">
        <w:rPr>
          <w:lang w:val="en-GB"/>
        </w:rPr>
        <w:t>N</w:t>
      </w:r>
      <w:r w:rsidR="00F304DC">
        <w:rPr>
          <w:lang w:val="en-GB"/>
        </w:rPr>
        <w:t>ations</w:t>
      </w:r>
      <w:r w:rsidR="00714329" w:rsidRPr="00D75D0C">
        <w:rPr>
          <w:lang w:val="en-GB"/>
        </w:rPr>
        <w:t xml:space="preserve"> national </w:t>
      </w:r>
      <w:r w:rsidR="002F18D0">
        <w:rPr>
          <w:lang w:val="en-GB"/>
        </w:rPr>
        <w:t>strategic</w:t>
      </w:r>
      <w:r w:rsidR="001D081C">
        <w:rPr>
          <w:lang w:val="en-GB"/>
        </w:rPr>
        <w:t xml:space="preserve"> </w:t>
      </w:r>
      <w:r w:rsidR="00714329" w:rsidRPr="00D75D0C">
        <w:rPr>
          <w:lang w:val="en-GB"/>
        </w:rPr>
        <w:t xml:space="preserve">consultations with </w:t>
      </w:r>
      <w:r w:rsidR="00017E01">
        <w:rPr>
          <w:lang w:val="en-GB"/>
        </w:rPr>
        <w:t>key</w:t>
      </w:r>
      <w:r w:rsidR="00714329" w:rsidRPr="00D75D0C">
        <w:rPr>
          <w:lang w:val="en-GB"/>
        </w:rPr>
        <w:t xml:space="preserve"> stakeholders </w:t>
      </w:r>
      <w:r w:rsidR="00017E01">
        <w:rPr>
          <w:lang w:val="en-GB"/>
        </w:rPr>
        <w:t xml:space="preserve">and </w:t>
      </w:r>
      <w:r w:rsidR="00714329" w:rsidRPr="00D75D0C">
        <w:rPr>
          <w:lang w:val="en-GB"/>
        </w:rPr>
        <w:t xml:space="preserve">UNDP partners </w:t>
      </w:r>
      <w:r w:rsidR="00E146D7">
        <w:rPr>
          <w:lang w:val="en-GB"/>
        </w:rPr>
        <w:t>from</w:t>
      </w:r>
      <w:r w:rsidR="00714329" w:rsidRPr="00D75D0C">
        <w:rPr>
          <w:lang w:val="en-GB"/>
        </w:rPr>
        <w:t xml:space="preserve"> the Government, </w:t>
      </w:r>
      <w:r w:rsidR="001D081C">
        <w:rPr>
          <w:lang w:val="en-GB"/>
        </w:rPr>
        <w:t>the National Assembly</w:t>
      </w:r>
      <w:r w:rsidR="00714329" w:rsidRPr="00D75D0C">
        <w:rPr>
          <w:lang w:val="en-GB"/>
        </w:rPr>
        <w:t>, civil society organizations</w:t>
      </w:r>
      <w:r w:rsidR="00B43B5B">
        <w:rPr>
          <w:lang w:val="en-GB"/>
        </w:rPr>
        <w:t>, academia</w:t>
      </w:r>
      <w:r w:rsidR="00714329" w:rsidRPr="00D75D0C">
        <w:rPr>
          <w:lang w:val="en-GB"/>
        </w:rPr>
        <w:t xml:space="preserve"> and </w:t>
      </w:r>
      <w:r>
        <w:rPr>
          <w:lang w:val="en-GB"/>
        </w:rPr>
        <w:t xml:space="preserve">the </w:t>
      </w:r>
      <w:r w:rsidR="00E146D7">
        <w:rPr>
          <w:lang w:val="en-GB"/>
        </w:rPr>
        <w:t>private sector</w:t>
      </w:r>
      <w:r w:rsidR="00714329" w:rsidRPr="00D75D0C">
        <w:rPr>
          <w:lang w:val="en-GB"/>
        </w:rPr>
        <w:t xml:space="preserve">. The main goal of the </w:t>
      </w:r>
      <w:r w:rsidR="00C809B6">
        <w:rPr>
          <w:lang w:val="en-GB"/>
        </w:rPr>
        <w:t>p</w:t>
      </w:r>
      <w:r w:rsidR="00714329" w:rsidRPr="00D75D0C">
        <w:rPr>
          <w:lang w:val="en-GB"/>
        </w:rPr>
        <w:t>rogramme is to support the effective development of Belarus as a country with a strong economy, developed human capital</w:t>
      </w:r>
      <w:r>
        <w:rPr>
          <w:lang w:val="en-GB"/>
        </w:rPr>
        <w:t>,</w:t>
      </w:r>
      <w:r w:rsidR="00714329" w:rsidRPr="00D75D0C">
        <w:rPr>
          <w:lang w:val="en-GB"/>
        </w:rPr>
        <w:t xml:space="preserve"> and a high quality of life</w:t>
      </w:r>
      <w:r>
        <w:rPr>
          <w:lang w:val="en-GB"/>
        </w:rPr>
        <w:t>,</w:t>
      </w:r>
      <w:r w:rsidR="00714329" w:rsidRPr="00D75D0C">
        <w:rPr>
          <w:lang w:val="en-GB"/>
        </w:rPr>
        <w:t xml:space="preserve"> through the widespread adoption of digital and green technology</w:t>
      </w:r>
      <w:r w:rsidR="00BE0D5B">
        <w:rPr>
          <w:lang w:val="en-GB"/>
        </w:rPr>
        <w:t>,</w:t>
      </w:r>
      <w:r w:rsidR="00714329" w:rsidRPr="00D75D0C">
        <w:rPr>
          <w:lang w:val="en-GB"/>
        </w:rPr>
        <w:t xml:space="preserve"> </w:t>
      </w:r>
      <w:r w:rsidR="006952E2">
        <w:rPr>
          <w:lang w:val="en-GB"/>
        </w:rPr>
        <w:t xml:space="preserve">support </w:t>
      </w:r>
      <w:r w:rsidR="00944C96">
        <w:rPr>
          <w:lang w:val="en-GB"/>
        </w:rPr>
        <w:t>to</w:t>
      </w:r>
      <w:r w:rsidR="002A22ED">
        <w:rPr>
          <w:lang w:val="en-GB"/>
        </w:rPr>
        <w:t xml:space="preserve"> </w:t>
      </w:r>
      <w:r>
        <w:rPr>
          <w:lang w:val="en-GB"/>
        </w:rPr>
        <w:t xml:space="preserve">the </w:t>
      </w:r>
      <w:r w:rsidR="00714329" w:rsidRPr="00D75D0C">
        <w:rPr>
          <w:lang w:val="en-GB"/>
        </w:rPr>
        <w:t xml:space="preserve">development of private </w:t>
      </w:r>
      <w:r w:rsidR="00714329" w:rsidRPr="00D75D0C">
        <w:rPr>
          <w:lang w:val="en-GB"/>
        </w:rPr>
        <w:lastRenderedPageBreak/>
        <w:t>initiative</w:t>
      </w:r>
      <w:r w:rsidR="00BE0D5B">
        <w:rPr>
          <w:lang w:val="en-GB"/>
        </w:rPr>
        <w:t>,</w:t>
      </w:r>
      <w:r w:rsidR="00714329" w:rsidRPr="00D75D0C">
        <w:rPr>
          <w:lang w:val="en-GB"/>
        </w:rPr>
        <w:t xml:space="preserve"> and promotion of regional </w:t>
      </w:r>
      <w:r w:rsidR="00944C96">
        <w:rPr>
          <w:lang w:val="en-GB"/>
        </w:rPr>
        <w:t xml:space="preserve">and local </w:t>
      </w:r>
      <w:r w:rsidR="00714329" w:rsidRPr="00D75D0C">
        <w:rPr>
          <w:lang w:val="en-GB"/>
        </w:rPr>
        <w:t xml:space="preserve">development, including </w:t>
      </w:r>
      <w:r>
        <w:rPr>
          <w:lang w:val="en-GB"/>
        </w:rPr>
        <w:t>in</w:t>
      </w:r>
      <w:r w:rsidRPr="00D75D0C">
        <w:rPr>
          <w:lang w:val="en-GB"/>
        </w:rPr>
        <w:t xml:space="preserve"> </w:t>
      </w:r>
      <w:r w:rsidR="00714329" w:rsidRPr="00D75D0C">
        <w:rPr>
          <w:lang w:val="en-GB"/>
        </w:rPr>
        <w:t xml:space="preserve">areas affected by the Chernobyl </w:t>
      </w:r>
      <w:r w:rsidR="00E146D7">
        <w:rPr>
          <w:lang w:val="en-GB"/>
        </w:rPr>
        <w:t>catastrophe</w:t>
      </w:r>
      <w:r w:rsidR="00714329" w:rsidRPr="00D75D0C">
        <w:rPr>
          <w:lang w:val="en-GB"/>
        </w:rPr>
        <w:t xml:space="preserve">. </w:t>
      </w:r>
    </w:p>
    <w:p w14:paraId="7D1C37FE" w14:textId="426DB7A3" w:rsidR="00714329" w:rsidRDefault="00757DF7" w:rsidP="00C94609">
      <w:pPr>
        <w:pStyle w:val="ListParagraph"/>
        <w:tabs>
          <w:tab w:val="left" w:pos="1620"/>
        </w:tabs>
        <w:spacing w:after="120"/>
        <w:ind w:left="1260" w:right="1210"/>
        <w:jc w:val="both"/>
        <w:rPr>
          <w:lang w:val="en-GB"/>
        </w:rPr>
      </w:pPr>
      <w:r>
        <w:rPr>
          <w:lang w:val="en-GB"/>
        </w:rPr>
        <w:t>13.</w:t>
      </w:r>
      <w:r>
        <w:rPr>
          <w:lang w:val="en-GB"/>
        </w:rPr>
        <w:tab/>
      </w:r>
      <w:r w:rsidR="00714329" w:rsidRPr="00D75D0C">
        <w:rPr>
          <w:lang w:val="en-GB"/>
        </w:rPr>
        <w:t>By synchroni</w:t>
      </w:r>
      <w:r>
        <w:rPr>
          <w:lang w:val="en-GB"/>
        </w:rPr>
        <w:t>z</w:t>
      </w:r>
      <w:r w:rsidR="00714329" w:rsidRPr="00D75D0C">
        <w:rPr>
          <w:lang w:val="en-GB"/>
        </w:rPr>
        <w:t xml:space="preserve">ing the processes of the </w:t>
      </w:r>
      <w:r w:rsidRPr="00D75D0C">
        <w:rPr>
          <w:lang w:val="en-GB"/>
        </w:rPr>
        <w:t xml:space="preserve">United Nations </w:t>
      </w:r>
      <w:r>
        <w:rPr>
          <w:lang w:val="en-GB"/>
        </w:rPr>
        <w:t xml:space="preserve">Sustainable </w:t>
      </w:r>
      <w:r w:rsidRPr="00D75D0C">
        <w:rPr>
          <w:lang w:val="en-GB"/>
        </w:rPr>
        <w:t xml:space="preserve">Development </w:t>
      </w:r>
      <w:r>
        <w:rPr>
          <w:lang w:val="en-GB"/>
        </w:rPr>
        <w:t>Cooperation</w:t>
      </w:r>
      <w:r w:rsidRPr="00D75D0C">
        <w:rPr>
          <w:lang w:val="en-GB"/>
        </w:rPr>
        <w:t xml:space="preserve"> Framework</w:t>
      </w:r>
      <w:r w:rsidR="00714329" w:rsidRPr="00D75D0C">
        <w:rPr>
          <w:lang w:val="en-GB"/>
        </w:rPr>
        <w:t xml:space="preserve"> and </w:t>
      </w:r>
      <w:r>
        <w:rPr>
          <w:lang w:val="en-GB"/>
        </w:rPr>
        <w:t>c</w:t>
      </w:r>
      <w:r w:rsidR="00714329" w:rsidRPr="00D75D0C">
        <w:rPr>
          <w:lang w:val="en-GB"/>
        </w:rPr>
        <w:t xml:space="preserve">ountry </w:t>
      </w:r>
      <w:r>
        <w:rPr>
          <w:lang w:val="en-GB"/>
        </w:rPr>
        <w:t>p</w:t>
      </w:r>
      <w:r w:rsidR="00714329" w:rsidRPr="00D75D0C">
        <w:rPr>
          <w:lang w:val="en-GB"/>
        </w:rPr>
        <w:t xml:space="preserve">rogramme development with national planning cycle, UNDP ensures both full alignment of the programme with the national priorities and </w:t>
      </w:r>
      <w:r w:rsidR="00F304DC">
        <w:rPr>
          <w:lang w:val="en-GB"/>
        </w:rPr>
        <w:t xml:space="preserve">Sustainable Development Goals </w:t>
      </w:r>
      <w:r w:rsidR="00714329" w:rsidRPr="00D75D0C">
        <w:rPr>
          <w:lang w:val="en-GB"/>
        </w:rPr>
        <w:t xml:space="preserve">and </w:t>
      </w:r>
      <w:r w:rsidR="00E51D5E">
        <w:rPr>
          <w:lang w:val="en-GB"/>
        </w:rPr>
        <w:t>the</w:t>
      </w:r>
      <w:r w:rsidR="00714329" w:rsidRPr="00D75D0C">
        <w:rPr>
          <w:lang w:val="en-GB"/>
        </w:rPr>
        <w:t xml:space="preserve"> financial sustainability of programme </w:t>
      </w:r>
      <w:r w:rsidR="00E51D5E" w:rsidRPr="00D75D0C">
        <w:rPr>
          <w:lang w:val="en-GB"/>
        </w:rPr>
        <w:t>implementation</w:t>
      </w:r>
      <w:r w:rsidR="00E51D5E">
        <w:rPr>
          <w:lang w:val="en-GB"/>
        </w:rPr>
        <w:t>,</w:t>
      </w:r>
      <w:r w:rsidR="00E51D5E" w:rsidRPr="00D75D0C">
        <w:rPr>
          <w:lang w:val="en-GB"/>
        </w:rPr>
        <w:t xml:space="preserve"> </w:t>
      </w:r>
      <w:r w:rsidR="00714329" w:rsidRPr="00D75D0C">
        <w:rPr>
          <w:lang w:val="en-GB"/>
        </w:rPr>
        <w:t>in cooperation with national public and private stakeholders and international partners.</w:t>
      </w:r>
    </w:p>
    <w:p w14:paraId="3E9D17EA" w14:textId="4816921E" w:rsidR="00714329" w:rsidRDefault="00E51D5E" w:rsidP="00542B95">
      <w:pPr>
        <w:tabs>
          <w:tab w:val="left" w:pos="1620"/>
        </w:tabs>
        <w:spacing w:after="120"/>
        <w:ind w:left="1260" w:right="1210"/>
        <w:jc w:val="both"/>
        <w:rPr>
          <w:lang w:val="en-GB"/>
        </w:rPr>
      </w:pPr>
      <w:r>
        <w:rPr>
          <w:lang w:val="en-GB"/>
        </w:rPr>
        <w:t>14.</w:t>
      </w:r>
      <w:r>
        <w:rPr>
          <w:lang w:val="en-GB"/>
        </w:rPr>
        <w:tab/>
      </w:r>
      <w:r w:rsidR="00D87AD9">
        <w:rPr>
          <w:lang w:val="en-GB"/>
        </w:rPr>
        <w:t xml:space="preserve">Through this </w:t>
      </w:r>
      <w:r>
        <w:rPr>
          <w:lang w:val="en-GB"/>
        </w:rPr>
        <w:t>c</w:t>
      </w:r>
      <w:r w:rsidR="00D87AD9">
        <w:rPr>
          <w:lang w:val="en-GB"/>
        </w:rPr>
        <w:t xml:space="preserve">ountry </w:t>
      </w:r>
      <w:r>
        <w:rPr>
          <w:lang w:val="en-GB"/>
        </w:rPr>
        <w:t>p</w:t>
      </w:r>
      <w:r w:rsidR="00D87AD9">
        <w:rPr>
          <w:lang w:val="en-GB"/>
        </w:rPr>
        <w:t>rogramme UNDP will deliver its policy and programme support to the Government based on emerging needs</w:t>
      </w:r>
      <w:r>
        <w:rPr>
          <w:lang w:val="en-GB"/>
        </w:rPr>
        <w:t>,</w:t>
      </w:r>
      <w:r w:rsidR="00E146D7">
        <w:rPr>
          <w:lang w:val="en-GB"/>
        </w:rPr>
        <w:t xml:space="preserve"> including response to </w:t>
      </w:r>
      <w:r>
        <w:rPr>
          <w:lang w:val="en-GB"/>
        </w:rPr>
        <w:t xml:space="preserve">the </w:t>
      </w:r>
      <w:r w:rsidR="00E146D7">
        <w:rPr>
          <w:lang w:val="en-GB"/>
        </w:rPr>
        <w:t>COVID-19 pandemic and its aftermath</w:t>
      </w:r>
      <w:r w:rsidR="00037AD8">
        <w:rPr>
          <w:lang w:val="en-GB"/>
        </w:rPr>
        <w:t>.</w:t>
      </w:r>
      <w:r w:rsidR="00D87AD9">
        <w:rPr>
          <w:lang w:val="en-GB"/>
        </w:rPr>
        <w:t xml:space="preserve"> Support will be four-pronged, comprising preparation, response, recovery, and lessons</w:t>
      </w:r>
      <w:r w:rsidR="00545C22">
        <w:rPr>
          <w:lang w:val="en-GB"/>
        </w:rPr>
        <w:t xml:space="preserve"> </w:t>
      </w:r>
      <w:r w:rsidR="00D87AD9">
        <w:rPr>
          <w:lang w:val="en-GB"/>
        </w:rPr>
        <w:t>learn</w:t>
      </w:r>
      <w:r w:rsidR="00545C22">
        <w:rPr>
          <w:lang w:val="en-GB"/>
        </w:rPr>
        <w:t>ed</w:t>
      </w:r>
      <w:r w:rsidR="00D87AD9">
        <w:rPr>
          <w:lang w:val="en-GB"/>
        </w:rPr>
        <w:t>.</w:t>
      </w:r>
      <w:r w:rsidR="005028AB">
        <w:rPr>
          <w:lang w:val="en-GB"/>
        </w:rPr>
        <w:t xml:space="preserve"> </w:t>
      </w:r>
      <w:r w:rsidR="00BE0D5B">
        <w:rPr>
          <w:lang w:val="en-GB"/>
        </w:rPr>
        <w:t>Its</w:t>
      </w:r>
      <w:r w:rsidR="00D87AD9">
        <w:rPr>
          <w:lang w:val="en-GB"/>
        </w:rPr>
        <w:t xml:space="preserve"> global procurement networks</w:t>
      </w:r>
      <w:r w:rsidR="00E146D7">
        <w:rPr>
          <w:lang w:val="en-GB"/>
        </w:rPr>
        <w:t>,</w:t>
      </w:r>
      <w:r w:rsidR="00D87AD9">
        <w:rPr>
          <w:lang w:val="en-GB"/>
        </w:rPr>
        <w:t xml:space="preserve"> dedicated </w:t>
      </w:r>
      <w:r w:rsidR="00E146D7">
        <w:rPr>
          <w:lang w:val="en-GB"/>
        </w:rPr>
        <w:t>expertise</w:t>
      </w:r>
      <w:r w:rsidR="00D87AD9">
        <w:rPr>
          <w:lang w:val="en-GB"/>
        </w:rPr>
        <w:t xml:space="preserve"> </w:t>
      </w:r>
      <w:r w:rsidR="00E146D7">
        <w:rPr>
          <w:lang w:val="en-GB"/>
        </w:rPr>
        <w:t xml:space="preserve">and economies of scale </w:t>
      </w:r>
      <w:r w:rsidR="00D87AD9">
        <w:rPr>
          <w:lang w:val="en-GB"/>
        </w:rPr>
        <w:t>allow UNDP to build resilient health systems and provide procurement services of health products and essential medicines.</w:t>
      </w:r>
      <w:r w:rsidR="00DF53EA">
        <w:rPr>
          <w:lang w:val="en-GB"/>
        </w:rPr>
        <w:t xml:space="preserve"> </w:t>
      </w:r>
      <w:r w:rsidR="00D87AD9">
        <w:rPr>
          <w:lang w:val="en-GB"/>
        </w:rPr>
        <w:t xml:space="preserve">To address the socio-economic impact of COVID-19 </w:t>
      </w:r>
      <w:r w:rsidR="00BE0D5B">
        <w:rPr>
          <w:lang w:val="en-GB"/>
        </w:rPr>
        <w:t xml:space="preserve">in </w:t>
      </w:r>
      <w:r w:rsidR="00D87AD9">
        <w:rPr>
          <w:lang w:val="en-GB"/>
        </w:rPr>
        <w:t xml:space="preserve">both </w:t>
      </w:r>
      <w:r>
        <w:rPr>
          <w:lang w:val="en-GB"/>
        </w:rPr>
        <w:t xml:space="preserve">the </w:t>
      </w:r>
      <w:r w:rsidR="00D87AD9">
        <w:rPr>
          <w:lang w:val="en-GB"/>
        </w:rPr>
        <w:t>short and longer term, UNDP will deliver policy and programme interventions focused on employment and livelihoods of vulnerable groups, access to social services and social protection, disaster risk reduction</w:t>
      </w:r>
      <w:r>
        <w:rPr>
          <w:lang w:val="en-GB"/>
        </w:rPr>
        <w:t>,</w:t>
      </w:r>
      <w:r w:rsidR="00D87AD9">
        <w:rPr>
          <w:lang w:val="en-GB"/>
        </w:rPr>
        <w:t xml:space="preserve"> and financing strategies.</w:t>
      </w:r>
      <w:r w:rsidR="008E1FBF">
        <w:rPr>
          <w:lang w:val="en-GB"/>
        </w:rPr>
        <w:t xml:space="preserve"> </w:t>
      </w:r>
      <w:r w:rsidR="00D87AD9">
        <w:rPr>
          <w:lang w:val="en-GB"/>
        </w:rPr>
        <w:t xml:space="preserve">To ensure inclusive and integrated responses, UNDP will support national and subnational capacities for planning, coordination and implementation, partnerships and communications. </w:t>
      </w:r>
      <w:r w:rsidR="00D87AD9" w:rsidRPr="003B529A">
        <w:rPr>
          <w:lang w:val="en-GB"/>
        </w:rPr>
        <w:t xml:space="preserve">Volunteers can boost community engagement and digital solutions deployed in many spheres, building on </w:t>
      </w:r>
      <w:r w:rsidR="00BE0D5B">
        <w:rPr>
          <w:lang w:val="en-GB"/>
        </w:rPr>
        <w:t xml:space="preserve">the </w:t>
      </w:r>
      <w:r w:rsidR="00D87AD9" w:rsidRPr="003B529A">
        <w:rPr>
          <w:lang w:val="en-GB"/>
        </w:rPr>
        <w:t xml:space="preserve">excellent </w:t>
      </w:r>
      <w:r>
        <w:rPr>
          <w:lang w:val="en-GB"/>
        </w:rPr>
        <w:t>information technology</w:t>
      </w:r>
      <w:r w:rsidRPr="003B529A">
        <w:rPr>
          <w:lang w:val="en-GB"/>
        </w:rPr>
        <w:t xml:space="preserve"> </w:t>
      </w:r>
      <w:r w:rsidR="00D87AD9" w:rsidRPr="003B529A">
        <w:rPr>
          <w:lang w:val="en-GB"/>
        </w:rPr>
        <w:t>and tech</w:t>
      </w:r>
      <w:r>
        <w:rPr>
          <w:lang w:val="en-GB"/>
        </w:rPr>
        <w:t>nological</w:t>
      </w:r>
      <w:r w:rsidR="00D87AD9" w:rsidRPr="003B529A">
        <w:rPr>
          <w:lang w:val="en-GB"/>
        </w:rPr>
        <w:t xml:space="preserve"> potential</w:t>
      </w:r>
      <w:r w:rsidR="00F30B42">
        <w:rPr>
          <w:lang w:val="en-GB"/>
        </w:rPr>
        <w:t xml:space="preserve"> in Belarus</w:t>
      </w:r>
      <w:r w:rsidR="00D87AD9" w:rsidRPr="003B529A">
        <w:rPr>
          <w:lang w:val="en-GB"/>
        </w:rPr>
        <w:t>.</w:t>
      </w:r>
    </w:p>
    <w:p w14:paraId="53970242" w14:textId="7D74F40D" w:rsidR="004E7548" w:rsidRDefault="00E51D5E" w:rsidP="00542B95">
      <w:pPr>
        <w:tabs>
          <w:tab w:val="left" w:pos="1620"/>
        </w:tabs>
        <w:spacing w:after="120"/>
        <w:ind w:left="1260" w:right="1210"/>
        <w:jc w:val="both"/>
        <w:rPr>
          <w:lang w:val="en-GB"/>
        </w:rPr>
      </w:pPr>
      <w:r>
        <w:rPr>
          <w:lang w:val="en-GB"/>
        </w:rPr>
        <w:t>15.</w:t>
      </w:r>
      <w:r>
        <w:rPr>
          <w:lang w:val="en-GB"/>
        </w:rPr>
        <w:tab/>
      </w:r>
      <w:r w:rsidR="00714329" w:rsidRPr="00D75D0C">
        <w:rPr>
          <w:lang w:val="en-GB"/>
        </w:rPr>
        <w:t xml:space="preserve">This </w:t>
      </w:r>
      <w:r>
        <w:rPr>
          <w:lang w:val="en-GB"/>
        </w:rPr>
        <w:t>p</w:t>
      </w:r>
      <w:r w:rsidR="00714329" w:rsidRPr="00D75D0C">
        <w:rPr>
          <w:lang w:val="en-GB"/>
        </w:rPr>
        <w:t>rogramme provides for the possibility of co-financing for development by using international technical assistance</w:t>
      </w:r>
      <w:r w:rsidR="00144198">
        <w:rPr>
          <w:lang w:val="en-GB"/>
        </w:rPr>
        <w:t>, private sector resources</w:t>
      </w:r>
      <w:r w:rsidR="00714329" w:rsidRPr="00D75D0C">
        <w:rPr>
          <w:lang w:val="en-GB"/>
        </w:rPr>
        <w:t xml:space="preserve"> and </w:t>
      </w:r>
      <w:r w:rsidR="000E4DE3">
        <w:t>co</w:t>
      </w:r>
      <w:r w:rsidR="004E7548">
        <w:rPr>
          <w:lang w:val="en-GB"/>
        </w:rPr>
        <w:t>financing</w:t>
      </w:r>
      <w:r w:rsidR="000E4DE3">
        <w:rPr>
          <w:lang w:val="en-GB"/>
        </w:rPr>
        <w:t xml:space="preserve"> of projects</w:t>
      </w:r>
      <w:r w:rsidR="00714329" w:rsidRPr="00D75D0C">
        <w:rPr>
          <w:lang w:val="en-GB"/>
        </w:rPr>
        <w:t xml:space="preserve">. </w:t>
      </w:r>
      <w:r w:rsidR="00714329" w:rsidRPr="004E7548">
        <w:rPr>
          <w:lang w:val="en-GB"/>
        </w:rPr>
        <w:t>While keeping the focus on stronger partnerships with traditional donors (including</w:t>
      </w:r>
      <w:r>
        <w:rPr>
          <w:lang w:val="en-GB"/>
        </w:rPr>
        <w:t xml:space="preserve"> the Global Environment Facility, </w:t>
      </w:r>
      <w:r w:rsidR="00FB2680" w:rsidRPr="004E7548">
        <w:rPr>
          <w:lang w:val="en-GB"/>
        </w:rPr>
        <w:t xml:space="preserve">the </w:t>
      </w:r>
      <w:r w:rsidR="006B6C5F">
        <w:rPr>
          <w:lang w:val="en-GB"/>
        </w:rPr>
        <w:t>E</w:t>
      </w:r>
      <w:r w:rsidR="00F304DC">
        <w:rPr>
          <w:lang w:val="en-GB"/>
        </w:rPr>
        <w:t xml:space="preserve">uropean </w:t>
      </w:r>
      <w:r w:rsidR="006B6C5F">
        <w:rPr>
          <w:lang w:val="en-GB"/>
        </w:rPr>
        <w:t>U</w:t>
      </w:r>
      <w:r w:rsidR="00F304DC">
        <w:rPr>
          <w:lang w:val="en-GB"/>
        </w:rPr>
        <w:t>nion</w:t>
      </w:r>
      <w:r w:rsidR="00FB2680" w:rsidRPr="004E7548">
        <w:rPr>
          <w:lang w:val="en-GB"/>
        </w:rPr>
        <w:t xml:space="preserve">, </w:t>
      </w:r>
      <w:r>
        <w:rPr>
          <w:lang w:val="en-GB"/>
        </w:rPr>
        <w:t xml:space="preserve">Germany, </w:t>
      </w:r>
      <w:r w:rsidRPr="004E7548">
        <w:rPr>
          <w:lang w:val="en-GB"/>
        </w:rPr>
        <w:t>Japan</w:t>
      </w:r>
      <w:r>
        <w:rPr>
          <w:lang w:val="en-GB"/>
        </w:rPr>
        <w:t xml:space="preserve">, </w:t>
      </w:r>
      <w:r w:rsidRPr="004E7548">
        <w:rPr>
          <w:lang w:val="en-GB"/>
        </w:rPr>
        <w:t xml:space="preserve">Poland, </w:t>
      </w:r>
      <w:r>
        <w:rPr>
          <w:lang w:val="en-GB"/>
        </w:rPr>
        <w:t xml:space="preserve">the </w:t>
      </w:r>
      <w:r w:rsidR="00DA6D53" w:rsidRPr="004E7548">
        <w:rPr>
          <w:lang w:val="en-GB"/>
        </w:rPr>
        <w:t xml:space="preserve">Russian Federation, </w:t>
      </w:r>
      <w:r>
        <w:rPr>
          <w:lang w:val="en-GB"/>
        </w:rPr>
        <w:t>South Korea,</w:t>
      </w:r>
      <w:r w:rsidRPr="004E7548">
        <w:rPr>
          <w:lang w:val="en-GB"/>
        </w:rPr>
        <w:t xml:space="preserve"> Sweden, Switzerland, </w:t>
      </w:r>
      <w:r>
        <w:rPr>
          <w:lang w:val="en-GB"/>
        </w:rPr>
        <w:t xml:space="preserve">the </w:t>
      </w:r>
      <w:r w:rsidR="00714329" w:rsidRPr="004E7548">
        <w:rPr>
          <w:lang w:val="en-GB"/>
        </w:rPr>
        <w:t xml:space="preserve">United Kingdom, </w:t>
      </w:r>
      <w:r>
        <w:rPr>
          <w:lang w:val="en-GB"/>
        </w:rPr>
        <w:t>and the United States of America</w:t>
      </w:r>
      <w:r w:rsidR="00587607">
        <w:rPr>
          <w:lang w:val="en-GB"/>
        </w:rPr>
        <w:t>)</w:t>
      </w:r>
      <w:r w:rsidR="00DF53EA">
        <w:rPr>
          <w:lang w:val="en-GB"/>
        </w:rPr>
        <w:t>,</w:t>
      </w:r>
      <w:r w:rsidR="00714329" w:rsidRPr="004E7548">
        <w:rPr>
          <w:lang w:val="en-GB"/>
        </w:rPr>
        <w:t xml:space="preserve"> </w:t>
      </w:r>
      <w:r w:rsidR="001E51AC" w:rsidRPr="004E7548">
        <w:rPr>
          <w:lang w:val="en-GB"/>
        </w:rPr>
        <w:t xml:space="preserve">further development of </w:t>
      </w:r>
      <w:r w:rsidR="00D96E9E">
        <w:rPr>
          <w:lang w:val="en-GB"/>
        </w:rPr>
        <w:t>emerging</w:t>
      </w:r>
      <w:r w:rsidR="00587607">
        <w:rPr>
          <w:lang w:val="en-GB"/>
        </w:rPr>
        <w:t xml:space="preserve"> partnerships with China, </w:t>
      </w:r>
      <w:r w:rsidR="001E51AC" w:rsidRPr="004E7548">
        <w:rPr>
          <w:lang w:val="en-GB"/>
        </w:rPr>
        <w:t>South-South cooperation</w:t>
      </w:r>
      <w:r w:rsidR="00D96E9E">
        <w:rPr>
          <w:lang w:val="en-GB"/>
        </w:rPr>
        <w:t xml:space="preserve"> </w:t>
      </w:r>
      <w:r w:rsidR="00587607">
        <w:rPr>
          <w:lang w:val="en-GB"/>
        </w:rPr>
        <w:t xml:space="preserve">and </w:t>
      </w:r>
      <w:r>
        <w:rPr>
          <w:lang w:val="en-GB"/>
        </w:rPr>
        <w:t xml:space="preserve">the </w:t>
      </w:r>
      <w:r w:rsidR="00587607">
        <w:rPr>
          <w:lang w:val="en-GB"/>
        </w:rPr>
        <w:t>private sector</w:t>
      </w:r>
      <w:r w:rsidR="00796523">
        <w:rPr>
          <w:lang w:val="en-GB"/>
        </w:rPr>
        <w:t xml:space="preserve"> </w:t>
      </w:r>
      <w:r w:rsidR="00714329" w:rsidRPr="004E7548">
        <w:rPr>
          <w:lang w:val="en-GB"/>
        </w:rPr>
        <w:t>is considered a promising direction.</w:t>
      </w:r>
      <w:r w:rsidR="005B209E" w:rsidRPr="004E7548">
        <w:rPr>
          <w:lang w:val="en-GB"/>
        </w:rPr>
        <w:t xml:space="preserve"> </w:t>
      </w:r>
    </w:p>
    <w:p w14:paraId="2BAB439A" w14:textId="334461A8" w:rsidR="00714329" w:rsidRDefault="00E51D5E" w:rsidP="00542B95">
      <w:pPr>
        <w:tabs>
          <w:tab w:val="left" w:pos="1620"/>
        </w:tabs>
        <w:spacing w:after="120"/>
        <w:ind w:left="1260" w:right="1210"/>
        <w:jc w:val="both"/>
        <w:rPr>
          <w:lang w:val="en-GB"/>
        </w:rPr>
      </w:pPr>
      <w:r>
        <w:rPr>
          <w:lang w:val="en-GB"/>
        </w:rPr>
        <w:t>16.</w:t>
      </w:r>
      <w:r>
        <w:rPr>
          <w:lang w:val="en-GB"/>
        </w:rPr>
        <w:tab/>
      </w:r>
      <w:r w:rsidR="004E7548" w:rsidRPr="004E7548">
        <w:rPr>
          <w:lang w:val="en-GB"/>
        </w:rPr>
        <w:t xml:space="preserve">In addition to traditional co-financing of international technical assistance </w:t>
      </w:r>
      <w:r w:rsidR="00F73755" w:rsidRPr="004E7548">
        <w:rPr>
          <w:lang w:val="en-GB"/>
        </w:rPr>
        <w:t>projects</w:t>
      </w:r>
      <w:r w:rsidR="00944C96">
        <w:rPr>
          <w:lang w:val="en-GB"/>
        </w:rPr>
        <w:t xml:space="preserve">, </w:t>
      </w:r>
      <w:r w:rsidR="00F6768C">
        <w:rPr>
          <w:lang w:val="en-GB"/>
        </w:rPr>
        <w:t xml:space="preserve">the document provides for </w:t>
      </w:r>
      <w:r w:rsidR="000E05BD">
        <w:rPr>
          <w:lang w:val="en-GB"/>
        </w:rPr>
        <w:t>approbating</w:t>
      </w:r>
      <w:r w:rsidR="00F6768C">
        <w:rPr>
          <w:lang w:val="en-GB"/>
        </w:rPr>
        <w:t xml:space="preserve"> the opportunity of </w:t>
      </w:r>
      <w:r w:rsidR="00944C96">
        <w:rPr>
          <w:lang w:val="en-GB"/>
        </w:rPr>
        <w:t xml:space="preserve">UNDP </w:t>
      </w:r>
      <w:r w:rsidR="00F827B8">
        <w:rPr>
          <w:lang w:val="en-GB"/>
        </w:rPr>
        <w:t xml:space="preserve">to </w:t>
      </w:r>
      <w:r w:rsidR="00944C96">
        <w:rPr>
          <w:lang w:val="en-GB"/>
        </w:rPr>
        <w:t>provid</w:t>
      </w:r>
      <w:r w:rsidR="00F827B8">
        <w:rPr>
          <w:lang w:val="en-GB"/>
        </w:rPr>
        <w:t>e</w:t>
      </w:r>
      <w:r w:rsidR="00944C96">
        <w:rPr>
          <w:lang w:val="en-GB"/>
        </w:rPr>
        <w:t xml:space="preserve"> development support </w:t>
      </w:r>
      <w:r w:rsidR="004E7548" w:rsidRPr="004E7548">
        <w:rPr>
          <w:lang w:val="en-GB"/>
        </w:rPr>
        <w:t>services to national partners.</w:t>
      </w:r>
      <w:r w:rsidR="004E7548">
        <w:rPr>
          <w:lang w:val="en-GB"/>
        </w:rPr>
        <w:t xml:space="preserve"> </w:t>
      </w:r>
      <w:r w:rsidR="00C63647">
        <w:rPr>
          <w:lang w:val="en-GB"/>
        </w:rPr>
        <w:t>UNDP provides services</w:t>
      </w:r>
      <w:r w:rsidR="005B209E" w:rsidRPr="00E319BA">
        <w:rPr>
          <w:lang w:val="en-GB"/>
        </w:rPr>
        <w:t xml:space="preserve"> in such areas as development of entrepreneurship, promotion of innovation and investment, </w:t>
      </w:r>
      <w:r w:rsidR="00E319BA" w:rsidRPr="00E319BA">
        <w:rPr>
          <w:lang w:val="en-GB"/>
        </w:rPr>
        <w:t>climate action</w:t>
      </w:r>
      <w:r w:rsidR="005B209E" w:rsidRPr="00E319BA">
        <w:rPr>
          <w:lang w:val="en-GB"/>
        </w:rPr>
        <w:t xml:space="preserve">, </w:t>
      </w:r>
      <w:r w:rsidR="00E319BA" w:rsidRPr="00E319BA">
        <w:rPr>
          <w:lang w:val="en-GB"/>
        </w:rPr>
        <w:t>regional development</w:t>
      </w:r>
      <w:r w:rsidR="005B209E" w:rsidRPr="00E319BA">
        <w:rPr>
          <w:lang w:val="en-GB"/>
        </w:rPr>
        <w:t xml:space="preserve">, </w:t>
      </w:r>
      <w:r w:rsidR="00F73755">
        <w:rPr>
          <w:lang w:val="en-GB"/>
        </w:rPr>
        <w:t xml:space="preserve">and </w:t>
      </w:r>
      <w:r w:rsidR="005B209E" w:rsidRPr="00E319BA">
        <w:rPr>
          <w:lang w:val="en-GB"/>
        </w:rPr>
        <w:t>strengthen</w:t>
      </w:r>
      <w:r w:rsidR="00E319BA" w:rsidRPr="00E319BA">
        <w:rPr>
          <w:lang w:val="en-GB"/>
        </w:rPr>
        <w:t>ing</w:t>
      </w:r>
      <w:r w:rsidR="005B209E" w:rsidRPr="00E319BA">
        <w:rPr>
          <w:lang w:val="en-GB"/>
        </w:rPr>
        <w:t xml:space="preserve"> the capacity of national partners.</w:t>
      </w:r>
      <w:r w:rsidR="005B209E">
        <w:rPr>
          <w:lang w:val="en-GB"/>
        </w:rPr>
        <w:t xml:space="preserve"> </w:t>
      </w:r>
    </w:p>
    <w:p w14:paraId="690966F0" w14:textId="76BCDD23" w:rsidR="00714329" w:rsidRPr="00DE33F5" w:rsidRDefault="00F73755" w:rsidP="00FA7B63">
      <w:pPr>
        <w:pStyle w:val="ListParagraph"/>
        <w:tabs>
          <w:tab w:val="left" w:pos="1620"/>
        </w:tabs>
        <w:spacing w:after="120"/>
        <w:ind w:left="1260" w:right="1210"/>
        <w:jc w:val="both"/>
        <w:rPr>
          <w:lang w:val="en-GB"/>
        </w:rPr>
      </w:pPr>
      <w:r>
        <w:rPr>
          <w:lang w:val="en-GB"/>
        </w:rPr>
        <w:t>17.</w:t>
      </w:r>
      <w:r>
        <w:rPr>
          <w:lang w:val="en-GB"/>
        </w:rPr>
        <w:tab/>
      </w:r>
      <w:r w:rsidR="00A1426B">
        <w:rPr>
          <w:lang w:val="en-GB"/>
        </w:rPr>
        <w:t>I</w:t>
      </w:r>
      <w:r w:rsidR="00714329" w:rsidRPr="00D75D0C">
        <w:rPr>
          <w:lang w:val="en-GB"/>
        </w:rPr>
        <w:t xml:space="preserve">mplementation of the </w:t>
      </w:r>
      <w:r>
        <w:rPr>
          <w:lang w:val="en-GB"/>
        </w:rPr>
        <w:t>c</w:t>
      </w:r>
      <w:r w:rsidR="00714329" w:rsidRPr="00D75D0C">
        <w:rPr>
          <w:lang w:val="en-GB"/>
        </w:rPr>
        <w:t xml:space="preserve">ountry </w:t>
      </w:r>
      <w:r>
        <w:rPr>
          <w:lang w:val="en-GB"/>
        </w:rPr>
        <w:t>p</w:t>
      </w:r>
      <w:r w:rsidR="00714329" w:rsidRPr="00D75D0C">
        <w:rPr>
          <w:lang w:val="en-GB"/>
        </w:rPr>
        <w:t xml:space="preserve">rogramme </w:t>
      </w:r>
      <w:r w:rsidR="00A1426B">
        <w:rPr>
          <w:lang w:val="en-GB"/>
        </w:rPr>
        <w:t xml:space="preserve">will </w:t>
      </w:r>
      <w:r w:rsidR="00E303A8">
        <w:rPr>
          <w:lang w:val="en-GB"/>
        </w:rPr>
        <w:t xml:space="preserve">follow </w:t>
      </w:r>
      <w:r w:rsidR="00A1426B">
        <w:rPr>
          <w:lang w:val="en-GB"/>
        </w:rPr>
        <w:t xml:space="preserve">the principle of </w:t>
      </w:r>
      <w:r>
        <w:rPr>
          <w:lang w:val="en-GB"/>
        </w:rPr>
        <w:t>‘</w:t>
      </w:r>
      <w:r w:rsidR="00714329" w:rsidRPr="00741545">
        <w:rPr>
          <w:lang w:val="en-GB"/>
        </w:rPr>
        <w:t>leaving no one behind</w:t>
      </w:r>
      <w:r>
        <w:rPr>
          <w:lang w:val="en-GB"/>
        </w:rPr>
        <w:t>’</w:t>
      </w:r>
      <w:r w:rsidR="00714329" w:rsidRPr="00D75D0C">
        <w:rPr>
          <w:lang w:val="en-GB"/>
        </w:rPr>
        <w:t xml:space="preserve"> </w:t>
      </w:r>
      <w:r w:rsidR="00037AD8">
        <w:rPr>
          <w:lang w:val="en-GB"/>
        </w:rPr>
        <w:t xml:space="preserve">by </w:t>
      </w:r>
      <w:r w:rsidR="00714329" w:rsidRPr="007139F5">
        <w:rPr>
          <w:lang w:val="en-GB"/>
        </w:rPr>
        <w:t>targeting</w:t>
      </w:r>
      <w:r w:rsidR="00A1426B">
        <w:rPr>
          <w:lang w:val="en-GB"/>
        </w:rPr>
        <w:t xml:space="preserve"> </w:t>
      </w:r>
      <w:r w:rsidR="00714329" w:rsidRPr="007139F5">
        <w:rPr>
          <w:lang w:val="en-GB"/>
        </w:rPr>
        <w:t>vulnerable groups</w:t>
      </w:r>
      <w:r w:rsidR="00A1426B">
        <w:rPr>
          <w:lang w:val="en-GB"/>
        </w:rPr>
        <w:t>:</w:t>
      </w:r>
      <w:r w:rsidR="00DE33F5">
        <w:rPr>
          <w:lang w:val="en-GB"/>
        </w:rPr>
        <w:t xml:space="preserve"> </w:t>
      </w:r>
      <w:r w:rsidR="009F01D1">
        <w:rPr>
          <w:lang w:val="en-GB"/>
        </w:rPr>
        <w:t>l</w:t>
      </w:r>
      <w:r w:rsidR="009F01D1" w:rsidRPr="009F01D1">
        <w:rPr>
          <w:lang w:val="en-GB"/>
        </w:rPr>
        <w:t xml:space="preserve">ow-income </w:t>
      </w:r>
      <w:r w:rsidR="00BE0D5B">
        <w:rPr>
          <w:lang w:val="en-GB"/>
        </w:rPr>
        <w:t>person</w:t>
      </w:r>
      <w:r w:rsidR="009F01D1" w:rsidRPr="009F01D1">
        <w:rPr>
          <w:lang w:val="en-GB"/>
        </w:rPr>
        <w:t xml:space="preserve">s, </w:t>
      </w:r>
      <w:r>
        <w:rPr>
          <w:lang w:val="en-GB"/>
        </w:rPr>
        <w:t xml:space="preserve">the </w:t>
      </w:r>
      <w:r w:rsidR="009F01D1" w:rsidRPr="009F01D1">
        <w:rPr>
          <w:lang w:val="en-GB"/>
        </w:rPr>
        <w:t xml:space="preserve">unemployed and those laid off or prospectively fired </w:t>
      </w:r>
      <w:r w:rsidR="009F01D1">
        <w:rPr>
          <w:lang w:val="en-GB"/>
        </w:rPr>
        <w:t>due to</w:t>
      </w:r>
      <w:r w:rsidR="009F01D1" w:rsidRPr="009F01D1">
        <w:rPr>
          <w:lang w:val="en-GB"/>
        </w:rPr>
        <w:t xml:space="preserve"> structural reform</w:t>
      </w:r>
      <w:r w:rsidR="009F01D1">
        <w:t>s</w:t>
      </w:r>
      <w:r w:rsidR="009F01D1">
        <w:rPr>
          <w:lang w:val="en-GB"/>
        </w:rPr>
        <w:t xml:space="preserve">, </w:t>
      </w:r>
      <w:r w:rsidR="00F30E40" w:rsidRPr="00F30E40">
        <w:rPr>
          <w:rFonts w:eastAsia="Arial Narrow"/>
        </w:rPr>
        <w:t>people of retirement age</w:t>
      </w:r>
      <w:r w:rsidR="00F30E40">
        <w:t xml:space="preserve">, </w:t>
      </w:r>
      <w:r>
        <w:rPr>
          <w:lang w:val="en-GB"/>
        </w:rPr>
        <w:t>those</w:t>
      </w:r>
      <w:r w:rsidRPr="009F01D1">
        <w:rPr>
          <w:lang w:val="en-GB"/>
        </w:rPr>
        <w:t xml:space="preserve"> </w:t>
      </w:r>
      <w:r w:rsidR="009F01D1" w:rsidRPr="009F01D1">
        <w:rPr>
          <w:lang w:val="en-GB"/>
        </w:rPr>
        <w:t>living in rural areas</w:t>
      </w:r>
      <w:r>
        <w:rPr>
          <w:lang w:val="en-GB"/>
        </w:rPr>
        <w:t xml:space="preserve"> – </w:t>
      </w:r>
      <w:r w:rsidR="009F01D1" w:rsidRPr="009F01D1">
        <w:rPr>
          <w:lang w:val="en-GB"/>
        </w:rPr>
        <w:t>especially wome</w:t>
      </w:r>
      <w:r w:rsidR="009F01D1">
        <w:rPr>
          <w:lang w:val="en-GB"/>
        </w:rPr>
        <w:t xml:space="preserve">n and </w:t>
      </w:r>
      <w:r w:rsidR="009F01D1" w:rsidRPr="009F01D1">
        <w:rPr>
          <w:lang w:val="en-GB"/>
        </w:rPr>
        <w:t xml:space="preserve">population </w:t>
      </w:r>
      <w:r w:rsidR="009F01D1">
        <w:rPr>
          <w:lang w:val="en-GB"/>
        </w:rPr>
        <w:t>living on</w:t>
      </w:r>
      <w:r w:rsidR="009F01D1" w:rsidRPr="009F01D1">
        <w:rPr>
          <w:lang w:val="en-GB"/>
        </w:rPr>
        <w:t xml:space="preserve"> territories affected by the Chernobyl </w:t>
      </w:r>
      <w:r w:rsidR="0067080B">
        <w:rPr>
          <w:lang w:val="en-GB"/>
        </w:rPr>
        <w:t>catastrophe</w:t>
      </w:r>
      <w:r>
        <w:rPr>
          <w:lang w:val="en-GB"/>
        </w:rPr>
        <w:t xml:space="preserve"> –</w:t>
      </w:r>
      <w:r w:rsidR="009F01D1">
        <w:rPr>
          <w:lang w:val="en-GB"/>
        </w:rPr>
        <w:t xml:space="preserve"> people with disabilities, </w:t>
      </w:r>
      <w:r>
        <w:rPr>
          <w:lang w:val="en-GB"/>
        </w:rPr>
        <w:t>those</w:t>
      </w:r>
      <w:r w:rsidRPr="009F01D1">
        <w:rPr>
          <w:lang w:val="en-GB"/>
        </w:rPr>
        <w:t xml:space="preserve"> </w:t>
      </w:r>
      <w:r w:rsidR="009F01D1" w:rsidRPr="009F01D1">
        <w:rPr>
          <w:lang w:val="en-GB"/>
        </w:rPr>
        <w:t>living with HIV</w:t>
      </w:r>
      <w:r w:rsidR="009F01D1">
        <w:rPr>
          <w:lang w:val="en-GB"/>
        </w:rPr>
        <w:t xml:space="preserve">, </w:t>
      </w:r>
      <w:r w:rsidR="009F01D1" w:rsidRPr="009F01D1">
        <w:rPr>
          <w:lang w:val="en-GB"/>
        </w:rPr>
        <w:t>persons released from detention</w:t>
      </w:r>
      <w:r w:rsidR="00F30E40">
        <w:rPr>
          <w:lang w:val="en-GB"/>
        </w:rPr>
        <w:t xml:space="preserve">, </w:t>
      </w:r>
      <w:r>
        <w:rPr>
          <w:lang w:val="en-GB"/>
        </w:rPr>
        <w:t xml:space="preserve">and </w:t>
      </w:r>
      <w:r w:rsidR="00EC1458">
        <w:rPr>
          <w:rFonts w:eastAsia="Arial Narrow"/>
        </w:rPr>
        <w:t>peo</w:t>
      </w:r>
      <w:r w:rsidR="00EC1458" w:rsidRPr="00EC1458">
        <w:rPr>
          <w:rFonts w:eastAsia="Arial Narrow"/>
        </w:rPr>
        <w:t>ple</w:t>
      </w:r>
      <w:r w:rsidR="00EC1458">
        <w:rPr>
          <w:rFonts w:eastAsia="Arial Narrow"/>
        </w:rPr>
        <w:t xml:space="preserve"> </w:t>
      </w:r>
      <w:r w:rsidR="00EC1458" w:rsidRPr="00EC1458">
        <w:rPr>
          <w:rFonts w:eastAsia="Arial Narrow"/>
        </w:rPr>
        <w:t>whose health or livelihoods may be</w:t>
      </w:r>
      <w:r w:rsidR="00EC1458">
        <w:rPr>
          <w:rFonts w:eastAsia="Arial Narrow"/>
        </w:rPr>
        <w:t xml:space="preserve"> </w:t>
      </w:r>
      <w:r w:rsidR="00EC1458" w:rsidRPr="00EC1458">
        <w:rPr>
          <w:rFonts w:eastAsia="Arial Narrow"/>
        </w:rPr>
        <w:t>affected by pandemic</w:t>
      </w:r>
      <w:r w:rsidR="00EC1458">
        <w:rPr>
          <w:rFonts w:eastAsia="Arial Narrow"/>
        </w:rPr>
        <w:t>s</w:t>
      </w:r>
      <w:r w:rsidR="00714329" w:rsidRPr="00F30E40">
        <w:rPr>
          <w:lang w:val="en-GB"/>
        </w:rPr>
        <w:t xml:space="preserve">. </w:t>
      </w:r>
    </w:p>
    <w:p w14:paraId="0541029D" w14:textId="54D335C9" w:rsidR="009A4B0E" w:rsidRDefault="00F73755" w:rsidP="00FA7B63">
      <w:pPr>
        <w:pStyle w:val="ListParagraph"/>
        <w:tabs>
          <w:tab w:val="left" w:pos="1620"/>
        </w:tabs>
        <w:spacing w:after="120"/>
        <w:ind w:left="1260" w:right="1210"/>
        <w:jc w:val="both"/>
        <w:rPr>
          <w:lang w:val="en-GB"/>
        </w:rPr>
      </w:pPr>
      <w:r>
        <w:rPr>
          <w:lang w:val="en-GB"/>
        </w:rPr>
        <w:t>18.</w:t>
      </w:r>
      <w:r>
        <w:rPr>
          <w:lang w:val="en-GB"/>
        </w:rPr>
        <w:tab/>
        <w:t>I</w:t>
      </w:r>
      <w:r w:rsidRPr="00991FB6">
        <w:rPr>
          <w:lang w:val="en-GB"/>
        </w:rPr>
        <w:t xml:space="preserve">n collaboration with other </w:t>
      </w:r>
      <w:r>
        <w:rPr>
          <w:lang w:val="en-GB"/>
        </w:rPr>
        <w:t>United Nations organizations</w:t>
      </w:r>
      <w:r w:rsidRPr="00991FB6">
        <w:rPr>
          <w:lang w:val="en-GB"/>
        </w:rPr>
        <w:t xml:space="preserve">, </w:t>
      </w:r>
      <w:r w:rsidR="00991FB6" w:rsidRPr="00991FB6">
        <w:rPr>
          <w:lang w:val="en-GB"/>
        </w:rPr>
        <w:t>UNDP will continue to provide integrated support to Belarus in nationali</w:t>
      </w:r>
      <w:r>
        <w:rPr>
          <w:lang w:val="en-GB"/>
        </w:rPr>
        <w:t>zing</w:t>
      </w:r>
      <w:r w:rsidR="00991FB6" w:rsidRPr="00991FB6">
        <w:rPr>
          <w:lang w:val="en-GB"/>
        </w:rPr>
        <w:t xml:space="preserve"> and localiz</w:t>
      </w:r>
      <w:r>
        <w:rPr>
          <w:lang w:val="en-GB"/>
        </w:rPr>
        <w:t>ing</w:t>
      </w:r>
      <w:r w:rsidR="00991FB6" w:rsidRPr="00991FB6">
        <w:rPr>
          <w:lang w:val="en-GB"/>
        </w:rPr>
        <w:t xml:space="preserve"> </w:t>
      </w:r>
      <w:r>
        <w:rPr>
          <w:lang w:val="en-GB"/>
        </w:rPr>
        <w:t xml:space="preserve">the </w:t>
      </w:r>
      <w:r w:rsidR="00F304DC">
        <w:rPr>
          <w:lang w:val="en-GB"/>
        </w:rPr>
        <w:t>Sustainable Development Goals</w:t>
      </w:r>
      <w:r w:rsidR="00991FB6" w:rsidRPr="00991FB6">
        <w:rPr>
          <w:lang w:val="en-GB"/>
        </w:rPr>
        <w:t>.</w:t>
      </w:r>
      <w:r w:rsidR="00796523">
        <w:rPr>
          <w:lang w:val="en-GB"/>
        </w:rPr>
        <w:t xml:space="preserve"> </w:t>
      </w:r>
      <w:r w:rsidR="00CE6F6F" w:rsidRPr="00CE6F6F">
        <w:rPr>
          <w:lang w:val="en-GB"/>
        </w:rPr>
        <w:t>UNDP will provide expert and technical</w:t>
      </w:r>
      <w:r w:rsidR="005F0517">
        <w:rPr>
          <w:lang w:val="en-GB"/>
        </w:rPr>
        <w:t xml:space="preserve"> support </w:t>
      </w:r>
      <w:r w:rsidR="00CE6F6F" w:rsidRPr="00CE6F6F">
        <w:rPr>
          <w:lang w:val="en-GB"/>
        </w:rPr>
        <w:t>in</w:t>
      </w:r>
      <w:r w:rsidR="00C63647">
        <w:rPr>
          <w:lang w:val="en-GB"/>
        </w:rPr>
        <w:t xml:space="preserve"> </w:t>
      </w:r>
      <w:r w:rsidR="00CE6F6F" w:rsidRPr="00CE6F6F">
        <w:rPr>
          <w:lang w:val="en-GB"/>
        </w:rPr>
        <w:t>develop</w:t>
      </w:r>
      <w:r w:rsidR="00081F93">
        <w:rPr>
          <w:lang w:val="en-GB"/>
        </w:rPr>
        <w:t>ing</w:t>
      </w:r>
      <w:r w:rsidR="00CE6F6F" w:rsidRPr="00CE6F6F">
        <w:rPr>
          <w:lang w:val="en-GB"/>
        </w:rPr>
        <w:t xml:space="preserve"> regional </w:t>
      </w:r>
      <w:r w:rsidR="00C52A1F">
        <w:rPr>
          <w:lang w:val="en-GB"/>
        </w:rPr>
        <w:t xml:space="preserve">development </w:t>
      </w:r>
      <w:r w:rsidR="00CE6F6F" w:rsidRPr="00CE6F6F">
        <w:rPr>
          <w:lang w:val="en-GB"/>
        </w:rPr>
        <w:t xml:space="preserve">strategies, </w:t>
      </w:r>
      <w:r w:rsidR="00CE6F6F">
        <w:rPr>
          <w:lang w:val="en-GB"/>
        </w:rPr>
        <w:t>testing</w:t>
      </w:r>
      <w:r w:rsidR="00CE6F6F" w:rsidRPr="00CE6F6F">
        <w:rPr>
          <w:lang w:val="en-GB"/>
        </w:rPr>
        <w:t xml:space="preserve"> new mechanisms for financing the </w:t>
      </w:r>
      <w:r w:rsidR="00F304DC">
        <w:rPr>
          <w:lang w:val="en-GB"/>
        </w:rPr>
        <w:t>Goals</w:t>
      </w:r>
      <w:r w:rsidR="00CE6F6F" w:rsidRPr="00CE6F6F">
        <w:rPr>
          <w:lang w:val="en-GB"/>
        </w:rPr>
        <w:t>, improv</w:t>
      </w:r>
      <w:r w:rsidR="00081F93">
        <w:rPr>
          <w:lang w:val="en-GB"/>
        </w:rPr>
        <w:t>ing</w:t>
      </w:r>
      <w:r w:rsidR="00CE6F6F" w:rsidRPr="00CE6F6F">
        <w:rPr>
          <w:lang w:val="en-GB"/>
        </w:rPr>
        <w:t xml:space="preserve"> the </w:t>
      </w:r>
      <w:r w:rsidR="00C52A1F">
        <w:rPr>
          <w:lang w:val="en-GB"/>
        </w:rPr>
        <w:t>n</w:t>
      </w:r>
      <w:r w:rsidR="00576319" w:rsidRPr="00576319">
        <w:rPr>
          <w:lang w:val="en-GB"/>
        </w:rPr>
        <w:t>ational</w:t>
      </w:r>
      <w:r w:rsidR="00C52A1F">
        <w:rPr>
          <w:lang w:val="en-GB"/>
        </w:rPr>
        <w:t xml:space="preserve"> indicator</w:t>
      </w:r>
      <w:r w:rsidR="00576319" w:rsidRPr="00576319">
        <w:rPr>
          <w:lang w:val="en-GB"/>
        </w:rPr>
        <w:t xml:space="preserve"> platform</w:t>
      </w:r>
      <w:r w:rsidR="00F304DC">
        <w:rPr>
          <w:lang w:val="en-GB"/>
        </w:rPr>
        <w:t xml:space="preserve"> for </w:t>
      </w:r>
      <w:r w:rsidR="009B22AE">
        <w:t xml:space="preserve">the </w:t>
      </w:r>
      <w:r w:rsidR="00F304DC">
        <w:rPr>
          <w:lang w:val="en-GB"/>
        </w:rPr>
        <w:t>Sustainable Development Goals</w:t>
      </w:r>
      <w:r>
        <w:rPr>
          <w:lang w:val="en-GB"/>
        </w:rPr>
        <w:t>,</w:t>
      </w:r>
      <w:r w:rsidR="009421C8">
        <w:rPr>
          <w:lang w:val="en-GB"/>
        </w:rPr>
        <w:t xml:space="preserve"> and </w:t>
      </w:r>
      <w:r w:rsidR="00F540D4" w:rsidRPr="00F540D4">
        <w:rPr>
          <w:lang w:val="en-GB"/>
        </w:rPr>
        <w:t>support</w:t>
      </w:r>
      <w:r w:rsidR="009421C8">
        <w:rPr>
          <w:lang w:val="en-GB"/>
        </w:rPr>
        <w:t>ing</w:t>
      </w:r>
      <w:r w:rsidR="00F540D4" w:rsidRPr="00F540D4">
        <w:rPr>
          <w:lang w:val="en-GB"/>
        </w:rPr>
        <w:t xml:space="preserve"> the functioning of the </w:t>
      </w:r>
      <w:r w:rsidR="00F540D4">
        <w:rPr>
          <w:lang w:val="en-GB"/>
        </w:rPr>
        <w:t>national</w:t>
      </w:r>
      <w:r w:rsidR="00F540D4" w:rsidRPr="00F540D4">
        <w:rPr>
          <w:lang w:val="en-GB"/>
        </w:rPr>
        <w:t xml:space="preserve"> architecture for achieving </w:t>
      </w:r>
      <w:r w:rsidR="00C63647">
        <w:rPr>
          <w:lang w:val="en-GB"/>
        </w:rPr>
        <w:t>the</w:t>
      </w:r>
      <w:r>
        <w:rPr>
          <w:lang w:val="en-GB"/>
        </w:rPr>
        <w:t>m</w:t>
      </w:r>
      <w:r w:rsidR="00DE33F5">
        <w:rPr>
          <w:lang w:val="en-GB"/>
        </w:rPr>
        <w:t>.</w:t>
      </w:r>
      <w:r w:rsidR="00F540D4">
        <w:rPr>
          <w:lang w:val="en-GB"/>
        </w:rPr>
        <w:t xml:space="preserve"> </w:t>
      </w:r>
    </w:p>
    <w:p w14:paraId="3E287996" w14:textId="2356674A" w:rsidR="00714329" w:rsidRPr="00D75D0C" w:rsidRDefault="00D86D94" w:rsidP="00542B95">
      <w:pPr>
        <w:pStyle w:val="ListParagraph"/>
        <w:tabs>
          <w:tab w:val="left" w:pos="1620"/>
        </w:tabs>
        <w:spacing w:after="120"/>
        <w:ind w:left="1260" w:right="1210"/>
        <w:jc w:val="both"/>
        <w:rPr>
          <w:lang w:val="en-GB"/>
        </w:rPr>
      </w:pPr>
      <w:r>
        <w:rPr>
          <w:lang w:val="en-GB"/>
        </w:rPr>
        <w:t>19.</w:t>
      </w:r>
      <w:r>
        <w:rPr>
          <w:lang w:val="en-GB"/>
        </w:rPr>
        <w:tab/>
      </w:r>
      <w:r w:rsidR="00714329" w:rsidRPr="00D75D0C">
        <w:rPr>
          <w:lang w:val="en-GB"/>
        </w:rPr>
        <w:t xml:space="preserve">UNDP will </w:t>
      </w:r>
      <w:r w:rsidR="00F6768C">
        <w:rPr>
          <w:lang w:val="en-GB"/>
        </w:rPr>
        <w:t xml:space="preserve">continue </w:t>
      </w:r>
      <w:r w:rsidR="005A146C">
        <w:rPr>
          <w:lang w:val="en-GB"/>
        </w:rPr>
        <w:t xml:space="preserve">to </w:t>
      </w:r>
      <w:r w:rsidR="00C52A1F">
        <w:rPr>
          <w:lang w:val="en-GB"/>
        </w:rPr>
        <w:t>provi</w:t>
      </w:r>
      <w:r w:rsidR="005A146C">
        <w:rPr>
          <w:lang w:val="en-GB"/>
        </w:rPr>
        <w:t>de</w:t>
      </w:r>
      <w:r w:rsidR="00714329" w:rsidRPr="00D75D0C">
        <w:rPr>
          <w:lang w:val="en-GB"/>
        </w:rPr>
        <w:t xml:space="preserve"> </w:t>
      </w:r>
      <w:r w:rsidR="00F6768C">
        <w:rPr>
          <w:lang w:val="en-GB"/>
        </w:rPr>
        <w:t>expert</w:t>
      </w:r>
      <w:r w:rsidR="00714329" w:rsidRPr="00D75D0C">
        <w:rPr>
          <w:lang w:val="en-GB"/>
        </w:rPr>
        <w:t xml:space="preserve"> advice</w:t>
      </w:r>
      <w:r w:rsidR="00F6768C">
        <w:rPr>
          <w:lang w:val="en-GB"/>
        </w:rPr>
        <w:t xml:space="preserve"> to the Government of Belarus</w:t>
      </w:r>
      <w:r w:rsidR="00714329" w:rsidRPr="00D75D0C">
        <w:rPr>
          <w:lang w:val="en-GB"/>
        </w:rPr>
        <w:t xml:space="preserve"> in strategic areas such as </w:t>
      </w:r>
      <w:r w:rsidR="00C63647">
        <w:rPr>
          <w:lang w:val="en-GB"/>
        </w:rPr>
        <w:t>socio-</w:t>
      </w:r>
      <w:r w:rsidR="00714329" w:rsidRPr="00D75D0C">
        <w:rPr>
          <w:lang w:val="en-GB"/>
        </w:rPr>
        <w:t xml:space="preserve">economic </w:t>
      </w:r>
      <w:r w:rsidR="00C63647">
        <w:rPr>
          <w:lang w:val="en-GB"/>
        </w:rPr>
        <w:t>impact assessment</w:t>
      </w:r>
      <w:r w:rsidR="00714329" w:rsidRPr="00D75D0C">
        <w:rPr>
          <w:lang w:val="en-GB"/>
        </w:rPr>
        <w:t xml:space="preserve">, building resilience to </w:t>
      </w:r>
      <w:r w:rsidR="00C52A1F">
        <w:rPr>
          <w:lang w:val="en-GB"/>
        </w:rPr>
        <w:t xml:space="preserve">pandemic and </w:t>
      </w:r>
      <w:r w:rsidR="00714329" w:rsidRPr="00D75D0C">
        <w:rPr>
          <w:lang w:val="en-GB"/>
        </w:rPr>
        <w:t>shocks,</w:t>
      </w:r>
      <w:r w:rsidR="00C63647">
        <w:rPr>
          <w:lang w:val="en-GB"/>
        </w:rPr>
        <w:t xml:space="preserve"> climate,</w:t>
      </w:r>
      <w:r w:rsidR="00714329" w:rsidRPr="00D75D0C">
        <w:rPr>
          <w:lang w:val="en-GB"/>
        </w:rPr>
        <w:t xml:space="preserve"> social protection for vulnerable groups,</w:t>
      </w:r>
      <w:r w:rsidR="00E15C87">
        <w:rPr>
          <w:lang w:val="en-GB"/>
        </w:rPr>
        <w:t xml:space="preserve"> </w:t>
      </w:r>
      <w:r>
        <w:rPr>
          <w:lang w:val="en-GB"/>
        </w:rPr>
        <w:t xml:space="preserve">and </w:t>
      </w:r>
      <w:r w:rsidR="00714329" w:rsidRPr="00D75D0C">
        <w:rPr>
          <w:lang w:val="en-GB"/>
        </w:rPr>
        <w:t>inclusive national planning</w:t>
      </w:r>
      <w:r w:rsidR="002405EF">
        <w:rPr>
          <w:lang w:val="en-GB"/>
        </w:rPr>
        <w:t xml:space="preserve"> and financing</w:t>
      </w:r>
      <w:r w:rsidR="00714329" w:rsidRPr="00D75D0C">
        <w:rPr>
          <w:lang w:val="en-GB"/>
        </w:rPr>
        <w:t>.</w:t>
      </w:r>
    </w:p>
    <w:p w14:paraId="542464CE" w14:textId="5980DA75" w:rsidR="00D86D94" w:rsidRDefault="00714329" w:rsidP="009B22AE">
      <w:pPr>
        <w:pStyle w:val="ListParagraph"/>
        <w:tabs>
          <w:tab w:val="left" w:pos="1620"/>
        </w:tabs>
        <w:spacing w:after="120"/>
        <w:ind w:left="1260" w:right="1210"/>
        <w:jc w:val="both"/>
        <w:rPr>
          <w:b/>
          <w:bCs/>
          <w:sz w:val="22"/>
          <w:szCs w:val="22"/>
          <w:lang w:val="en-GB"/>
        </w:rPr>
      </w:pPr>
      <w:r w:rsidRPr="00542B95">
        <w:rPr>
          <w:b/>
          <w:bCs/>
          <w:lang w:val="en-GB"/>
        </w:rPr>
        <w:lastRenderedPageBreak/>
        <w:t xml:space="preserve">Priority </w:t>
      </w:r>
      <w:r w:rsidR="00EB1B2F">
        <w:rPr>
          <w:b/>
          <w:bCs/>
          <w:lang w:val="en-GB"/>
        </w:rPr>
        <w:t>a</w:t>
      </w:r>
      <w:r w:rsidRPr="00542B95">
        <w:rPr>
          <w:b/>
          <w:bCs/>
          <w:lang w:val="en-GB"/>
        </w:rPr>
        <w:t>rea 1</w:t>
      </w:r>
      <w:r w:rsidR="00EB1B2F">
        <w:rPr>
          <w:b/>
          <w:bCs/>
          <w:lang w:val="en-GB"/>
        </w:rPr>
        <w:t>.</w:t>
      </w:r>
      <w:r w:rsidRPr="00542B95">
        <w:rPr>
          <w:b/>
          <w:bCs/>
          <w:lang w:val="en-GB"/>
        </w:rPr>
        <w:t xml:space="preserve"> </w:t>
      </w:r>
      <w:r w:rsidRPr="00DC6087">
        <w:rPr>
          <w:b/>
          <w:bCs/>
          <w:lang w:val="en-GB"/>
        </w:rPr>
        <w:t>Economic development based on the principles of green and inclusive growth</w:t>
      </w:r>
      <w:r w:rsidR="00F97CBB" w:rsidRPr="00542B95">
        <w:rPr>
          <w:b/>
          <w:bCs/>
          <w:lang w:val="en-GB"/>
        </w:rPr>
        <w:t xml:space="preserve"> (</w:t>
      </w:r>
      <w:r w:rsidR="00BC27AD" w:rsidRPr="00542B95">
        <w:rPr>
          <w:b/>
          <w:bCs/>
          <w:lang w:val="en-GB"/>
        </w:rPr>
        <w:t>r</w:t>
      </w:r>
      <w:r w:rsidR="00F97CBB" w:rsidRPr="00542B95">
        <w:rPr>
          <w:b/>
          <w:bCs/>
          <w:lang w:val="en-GB"/>
        </w:rPr>
        <w:t xml:space="preserve">elated </w:t>
      </w:r>
      <w:r w:rsidR="00D86D94">
        <w:rPr>
          <w:b/>
          <w:bCs/>
          <w:lang w:val="en-GB"/>
        </w:rPr>
        <w:t xml:space="preserve">Sustainable Development Goals </w:t>
      </w:r>
      <w:r w:rsidR="00432693" w:rsidRPr="00542B95">
        <w:rPr>
          <w:b/>
          <w:bCs/>
          <w:lang w:val="en-GB"/>
        </w:rPr>
        <w:t>t</w:t>
      </w:r>
      <w:r w:rsidR="00F97CBB" w:rsidRPr="00542B95">
        <w:rPr>
          <w:b/>
          <w:bCs/>
          <w:lang w:val="en-GB"/>
        </w:rPr>
        <w:t>argets: 1.2; 2.3; 2a; 8.3; 8.5; 8.9; 9.3; 9.4; 12.1</w:t>
      </w:r>
      <w:r w:rsidR="008D1997" w:rsidRPr="00542B95">
        <w:rPr>
          <w:b/>
          <w:bCs/>
          <w:lang w:val="en-GB"/>
        </w:rPr>
        <w:t xml:space="preserve">; </w:t>
      </w:r>
      <w:r w:rsidR="00BE0D5B">
        <w:rPr>
          <w:b/>
          <w:bCs/>
          <w:lang w:val="en-GB"/>
        </w:rPr>
        <w:t xml:space="preserve">and </w:t>
      </w:r>
      <w:r w:rsidR="008D1997" w:rsidRPr="00542B95">
        <w:rPr>
          <w:b/>
          <w:bCs/>
          <w:lang w:val="en-GB"/>
        </w:rPr>
        <w:t>12.6</w:t>
      </w:r>
      <w:r w:rsidR="00F97CBB" w:rsidRPr="00542B95">
        <w:rPr>
          <w:b/>
          <w:bCs/>
          <w:lang w:val="en-GB"/>
        </w:rPr>
        <w:t>)</w:t>
      </w:r>
      <w:r w:rsidRPr="00542B95">
        <w:rPr>
          <w:b/>
          <w:bCs/>
          <w:lang w:val="en-GB"/>
        </w:rPr>
        <w:t>.</w:t>
      </w:r>
      <w:r w:rsidRPr="00D75D0C">
        <w:rPr>
          <w:b/>
          <w:bCs/>
          <w:sz w:val="22"/>
          <w:szCs w:val="22"/>
          <w:lang w:val="en-GB"/>
        </w:rPr>
        <w:t xml:space="preserve"> </w:t>
      </w:r>
    </w:p>
    <w:p w14:paraId="4F2CFDF7" w14:textId="4E8FF248" w:rsidR="00714329" w:rsidRPr="00D75D0C" w:rsidRDefault="00D86D94" w:rsidP="009B22AE">
      <w:pPr>
        <w:pStyle w:val="ListParagraph"/>
        <w:tabs>
          <w:tab w:val="left" w:pos="1620"/>
        </w:tabs>
        <w:spacing w:after="120"/>
        <w:ind w:left="1260" w:right="1210"/>
        <w:jc w:val="both"/>
        <w:rPr>
          <w:lang w:val="en-GB"/>
        </w:rPr>
      </w:pPr>
      <w:r w:rsidRPr="00207743">
        <w:rPr>
          <w:bCs/>
          <w:lang w:val="en-GB"/>
        </w:rPr>
        <w:t>2</w:t>
      </w:r>
      <w:r w:rsidR="00F6768C">
        <w:rPr>
          <w:bCs/>
          <w:lang w:val="en-GB"/>
        </w:rPr>
        <w:t>0</w:t>
      </w:r>
      <w:r w:rsidRPr="00207743">
        <w:rPr>
          <w:bCs/>
          <w:lang w:val="en-GB"/>
        </w:rPr>
        <w:t>.</w:t>
      </w:r>
      <w:r>
        <w:rPr>
          <w:bCs/>
          <w:sz w:val="22"/>
          <w:szCs w:val="22"/>
          <w:lang w:val="en-GB"/>
        </w:rPr>
        <w:tab/>
      </w:r>
      <w:r w:rsidR="00714329" w:rsidRPr="00D75D0C">
        <w:rPr>
          <w:lang w:val="en-GB"/>
        </w:rPr>
        <w:t xml:space="preserve">This area is aligned with national priorities in environmental security through the development of green economy, </w:t>
      </w:r>
      <w:r w:rsidR="00CA1E89">
        <w:rPr>
          <w:lang w:val="en-GB"/>
        </w:rPr>
        <w:t>sustainable</w:t>
      </w:r>
      <w:r w:rsidR="00714329" w:rsidRPr="00D75D0C">
        <w:rPr>
          <w:lang w:val="en-GB"/>
        </w:rPr>
        <w:t xml:space="preserve"> production and consumption models and </w:t>
      </w:r>
      <w:r>
        <w:rPr>
          <w:lang w:val="en-GB"/>
        </w:rPr>
        <w:t xml:space="preserve">the </w:t>
      </w:r>
      <w:r w:rsidR="00714329" w:rsidRPr="00D75D0C">
        <w:rPr>
          <w:lang w:val="en-GB"/>
        </w:rPr>
        <w:t xml:space="preserve">creation of decent jobs. Activities </w:t>
      </w:r>
      <w:r w:rsidR="00796523">
        <w:rPr>
          <w:lang w:val="en-GB"/>
        </w:rPr>
        <w:t>will</w:t>
      </w:r>
      <w:r w:rsidR="00714329" w:rsidRPr="00D75D0C">
        <w:rPr>
          <w:lang w:val="en-GB"/>
        </w:rPr>
        <w:t xml:space="preserve"> contribute to the achievement of </w:t>
      </w:r>
      <w:r>
        <w:rPr>
          <w:lang w:val="en-GB"/>
        </w:rPr>
        <w:t>o</w:t>
      </w:r>
      <w:r w:rsidR="00714329" w:rsidRPr="00D75D0C">
        <w:rPr>
          <w:lang w:val="en-GB"/>
        </w:rPr>
        <w:t xml:space="preserve">utcome 1 of </w:t>
      </w:r>
      <w:r w:rsidR="00757DF7">
        <w:rPr>
          <w:lang w:val="en-GB"/>
        </w:rPr>
        <w:t xml:space="preserve">the </w:t>
      </w:r>
      <w:r w:rsidR="00757DF7" w:rsidRPr="00D75D0C">
        <w:rPr>
          <w:lang w:val="en-GB"/>
        </w:rPr>
        <w:t xml:space="preserve">United Nations </w:t>
      </w:r>
      <w:r w:rsidR="00757DF7">
        <w:rPr>
          <w:lang w:val="en-GB"/>
        </w:rPr>
        <w:t xml:space="preserve">Sustainable </w:t>
      </w:r>
      <w:r w:rsidR="00757DF7" w:rsidRPr="00D75D0C">
        <w:rPr>
          <w:lang w:val="en-GB"/>
        </w:rPr>
        <w:t xml:space="preserve">Development </w:t>
      </w:r>
      <w:r w:rsidR="00757DF7">
        <w:rPr>
          <w:lang w:val="en-GB"/>
        </w:rPr>
        <w:t>Cooperation</w:t>
      </w:r>
      <w:r w:rsidR="00757DF7" w:rsidRPr="00D75D0C">
        <w:rPr>
          <w:lang w:val="en-GB"/>
        </w:rPr>
        <w:t xml:space="preserve"> Framework</w:t>
      </w:r>
      <w:r w:rsidR="00757DF7">
        <w:rPr>
          <w:lang w:val="en-GB"/>
        </w:rPr>
        <w:t>,</w:t>
      </w:r>
      <w:r w:rsidR="00757DF7" w:rsidRPr="00D75D0C">
        <w:rPr>
          <w:lang w:val="en-GB"/>
        </w:rPr>
        <w:t xml:space="preserve"> </w:t>
      </w:r>
      <w:r w:rsidR="00714329" w:rsidRPr="00D75D0C">
        <w:rPr>
          <w:lang w:val="en-GB"/>
        </w:rPr>
        <w:t>2021-2025</w:t>
      </w:r>
      <w:r w:rsidR="00F91B88">
        <w:rPr>
          <w:lang w:val="en-GB"/>
        </w:rPr>
        <w:t>.</w:t>
      </w:r>
    </w:p>
    <w:p w14:paraId="49D86C53" w14:textId="034E9E2F" w:rsidR="003A1AC3" w:rsidRDefault="00D86D94" w:rsidP="009B22AE">
      <w:pPr>
        <w:pStyle w:val="ListParagraph"/>
        <w:tabs>
          <w:tab w:val="left" w:pos="1620"/>
        </w:tabs>
        <w:spacing w:after="120"/>
        <w:ind w:left="1260" w:right="1210"/>
        <w:jc w:val="both"/>
        <w:rPr>
          <w:rFonts w:eastAsia="Calibri"/>
          <w:iCs/>
          <w:lang w:val="en-GB"/>
        </w:rPr>
      </w:pPr>
      <w:r>
        <w:rPr>
          <w:lang w:val="en-GB"/>
        </w:rPr>
        <w:t>2</w:t>
      </w:r>
      <w:r w:rsidR="00F6768C">
        <w:rPr>
          <w:lang w:val="en-GB"/>
        </w:rPr>
        <w:t>1</w:t>
      </w:r>
      <w:r>
        <w:rPr>
          <w:lang w:val="en-GB"/>
        </w:rPr>
        <w:t>.</w:t>
      </w:r>
      <w:r>
        <w:rPr>
          <w:lang w:val="en-GB"/>
        </w:rPr>
        <w:tab/>
      </w:r>
      <w:r w:rsidR="00714329" w:rsidRPr="00D75D0C">
        <w:rPr>
          <w:rFonts w:eastAsia="Calibri"/>
          <w:lang w:val="en-GB"/>
        </w:rPr>
        <w:t xml:space="preserve">UNDP will facilitate </w:t>
      </w:r>
      <w:r w:rsidR="00BE0D5B">
        <w:rPr>
          <w:rFonts w:eastAsia="Calibri"/>
          <w:lang w:val="en-GB"/>
        </w:rPr>
        <w:t xml:space="preserve">the </w:t>
      </w:r>
      <w:r w:rsidR="00714329" w:rsidRPr="00D75D0C">
        <w:rPr>
          <w:rFonts w:eastAsia="Calibri"/>
          <w:lang w:val="en-GB"/>
        </w:rPr>
        <w:t>transition to a low-carbon green economy and</w:t>
      </w:r>
      <w:r w:rsidR="00714329" w:rsidRPr="00D75D0C">
        <w:rPr>
          <w:rFonts w:eastAsia="Calibri"/>
          <w:iCs/>
          <w:lang w:val="en-GB"/>
        </w:rPr>
        <w:t xml:space="preserve"> improvement of corporate environmental responsibility, which </w:t>
      </w:r>
      <w:r w:rsidR="00BE0D5B">
        <w:rPr>
          <w:rFonts w:eastAsia="Calibri"/>
          <w:iCs/>
          <w:lang w:val="en-GB"/>
        </w:rPr>
        <w:t>will</w:t>
      </w:r>
      <w:r w:rsidR="00714329" w:rsidRPr="00D75D0C">
        <w:rPr>
          <w:rFonts w:eastAsia="Calibri"/>
          <w:iCs/>
          <w:lang w:val="en-GB"/>
        </w:rPr>
        <w:t xml:space="preserve"> entail adopting comprehensive programmes and mechanisms to increase the efficiency of resource use, including through innovative eco-technology.</w:t>
      </w:r>
      <w:r w:rsidR="003A1AC3">
        <w:rPr>
          <w:rFonts w:eastAsia="Calibri"/>
          <w:iCs/>
          <w:lang w:val="en-GB"/>
        </w:rPr>
        <w:t xml:space="preserve"> </w:t>
      </w:r>
    </w:p>
    <w:p w14:paraId="752FDC81" w14:textId="0B35FC62" w:rsidR="005A146C" w:rsidRDefault="00D86D94" w:rsidP="009B22AE">
      <w:pPr>
        <w:pStyle w:val="ListParagraph"/>
        <w:tabs>
          <w:tab w:val="left" w:pos="1620"/>
        </w:tabs>
        <w:spacing w:after="120"/>
        <w:ind w:left="1260" w:right="1210"/>
        <w:jc w:val="both"/>
        <w:rPr>
          <w:rFonts w:eastAsia="Calibri"/>
          <w:iCs/>
          <w:highlight w:val="yellow"/>
          <w:lang w:val="en-GB"/>
        </w:rPr>
      </w:pPr>
      <w:r w:rsidRPr="00995BC2">
        <w:rPr>
          <w:rFonts w:eastAsia="Calibri"/>
          <w:iCs/>
          <w:lang w:val="en-GB"/>
        </w:rPr>
        <w:t>2</w:t>
      </w:r>
      <w:r w:rsidR="00CD21E2" w:rsidRPr="00995BC2">
        <w:rPr>
          <w:rFonts w:eastAsia="Calibri"/>
          <w:iCs/>
          <w:lang w:val="en-GB"/>
        </w:rPr>
        <w:t>2</w:t>
      </w:r>
      <w:r w:rsidRPr="00995BC2">
        <w:rPr>
          <w:rFonts w:eastAsia="Calibri"/>
          <w:iCs/>
          <w:lang w:val="en-GB"/>
        </w:rPr>
        <w:t>.</w:t>
      </w:r>
      <w:r w:rsidR="00F827B8">
        <w:rPr>
          <w:rFonts w:eastAsia="Calibri"/>
          <w:iCs/>
          <w:lang w:val="en-GB"/>
        </w:rPr>
        <w:tab/>
      </w:r>
      <w:r w:rsidR="005A146C" w:rsidRPr="005A146C">
        <w:rPr>
          <w:rFonts w:eastAsia="Calibri"/>
          <w:iCs/>
          <w:lang w:val="en-GB"/>
        </w:rPr>
        <w:t xml:space="preserve">UNDP </w:t>
      </w:r>
      <w:r w:rsidR="00557A01">
        <w:rPr>
          <w:rFonts w:eastAsia="Calibri"/>
          <w:iCs/>
          <w:lang w:val="en-GB"/>
        </w:rPr>
        <w:t xml:space="preserve">will </w:t>
      </w:r>
      <w:r w:rsidR="009A2F5A">
        <w:rPr>
          <w:rFonts w:eastAsia="Calibri"/>
          <w:iCs/>
          <w:lang w:val="en-GB"/>
        </w:rPr>
        <w:t>support</w:t>
      </w:r>
      <w:r w:rsidR="005A146C" w:rsidRPr="005A146C">
        <w:rPr>
          <w:rFonts w:eastAsia="Calibri"/>
          <w:iCs/>
          <w:lang w:val="en-GB"/>
        </w:rPr>
        <w:t xml:space="preserve"> the digital transformation of the economy and widespread innovation</w:t>
      </w:r>
      <w:r w:rsidR="00557A01">
        <w:rPr>
          <w:rFonts w:eastAsia="Calibri"/>
          <w:iCs/>
          <w:lang w:val="en-GB"/>
        </w:rPr>
        <w:t>s</w:t>
      </w:r>
      <w:r w:rsidR="005A146C" w:rsidRPr="005A146C">
        <w:rPr>
          <w:rFonts w:eastAsia="Calibri"/>
          <w:iCs/>
          <w:lang w:val="en-GB"/>
        </w:rPr>
        <w:t>, which will have a significant impact on the integrated development of the country and the rational distribution of productive forces.</w:t>
      </w:r>
    </w:p>
    <w:p w14:paraId="53381668" w14:textId="7BCFB1FE" w:rsidR="00FC2C10" w:rsidRDefault="005A146C" w:rsidP="009B22AE">
      <w:pPr>
        <w:pStyle w:val="ListParagraph"/>
        <w:tabs>
          <w:tab w:val="left" w:pos="1620"/>
        </w:tabs>
        <w:spacing w:after="120"/>
        <w:ind w:left="1260" w:right="1210"/>
        <w:jc w:val="both"/>
        <w:rPr>
          <w:rFonts w:eastAsia="Calibri"/>
          <w:iCs/>
          <w:highlight w:val="yellow"/>
          <w:lang w:val="en-GB"/>
        </w:rPr>
      </w:pPr>
      <w:r w:rsidRPr="00F827B8">
        <w:rPr>
          <w:rFonts w:eastAsia="Calibri"/>
          <w:iCs/>
          <w:lang w:val="en-GB"/>
        </w:rPr>
        <w:t>23.</w:t>
      </w:r>
      <w:r w:rsidR="00F827B8">
        <w:rPr>
          <w:rFonts w:eastAsia="Calibri"/>
          <w:iCs/>
          <w:lang w:val="en-GB"/>
        </w:rPr>
        <w:tab/>
      </w:r>
      <w:r w:rsidR="00042CD9">
        <w:rPr>
          <w:rFonts w:eastAsia="Calibri"/>
          <w:iCs/>
          <w:lang w:val="en-GB"/>
        </w:rPr>
        <w:t>Through</w:t>
      </w:r>
      <w:r w:rsidRPr="005A146C">
        <w:rPr>
          <w:rFonts w:eastAsia="Calibri"/>
          <w:iCs/>
          <w:lang w:val="en-GB"/>
        </w:rPr>
        <w:t xml:space="preserve"> existing mechanisms,</w:t>
      </w:r>
      <w:r>
        <w:rPr>
          <w:rFonts w:eastAsia="Calibri"/>
          <w:iCs/>
          <w:lang w:val="en-GB"/>
        </w:rPr>
        <w:t xml:space="preserve"> UNDP</w:t>
      </w:r>
      <w:r w:rsidRPr="005A146C">
        <w:rPr>
          <w:rFonts w:eastAsia="Calibri"/>
          <w:iCs/>
          <w:lang w:val="en-GB"/>
        </w:rPr>
        <w:t xml:space="preserve"> will provide expert and other support for the rapid development of the services sector until 2025, with a</w:t>
      </w:r>
      <w:r w:rsidR="00042CD9">
        <w:rPr>
          <w:rFonts w:eastAsia="Calibri"/>
          <w:iCs/>
          <w:lang w:val="en-GB"/>
        </w:rPr>
        <w:t>n</w:t>
      </w:r>
      <w:r w:rsidRPr="005A146C">
        <w:rPr>
          <w:rFonts w:eastAsia="Calibri"/>
          <w:iCs/>
          <w:lang w:val="en-GB"/>
        </w:rPr>
        <w:t xml:space="preserve"> emphasis on high</w:t>
      </w:r>
      <w:r w:rsidR="00F827B8">
        <w:rPr>
          <w:rFonts w:eastAsia="Calibri"/>
          <w:iCs/>
          <w:lang w:val="en-GB"/>
        </w:rPr>
        <w:t>-</w:t>
      </w:r>
      <w:r w:rsidRPr="005A146C">
        <w:rPr>
          <w:rFonts w:eastAsia="Calibri"/>
          <w:iCs/>
          <w:lang w:val="en-GB"/>
        </w:rPr>
        <w:t>value-added services (scientific, professional and other)</w:t>
      </w:r>
      <w:r w:rsidRPr="00F827B8">
        <w:rPr>
          <w:rFonts w:eastAsia="Calibri"/>
          <w:iCs/>
        </w:rPr>
        <w:t>.</w:t>
      </w:r>
      <w:r w:rsidR="00D86D94" w:rsidRPr="005A146C">
        <w:rPr>
          <w:rFonts w:eastAsia="Calibri"/>
          <w:iCs/>
          <w:lang w:val="en-GB"/>
        </w:rPr>
        <w:tab/>
      </w:r>
    </w:p>
    <w:p w14:paraId="14F28325" w14:textId="6F99D7BB" w:rsidR="00714329" w:rsidRPr="00F827B8" w:rsidRDefault="00FC2C10" w:rsidP="009B22AE">
      <w:pPr>
        <w:pStyle w:val="ListParagraph"/>
        <w:tabs>
          <w:tab w:val="left" w:pos="1620"/>
        </w:tabs>
        <w:spacing w:after="120"/>
        <w:ind w:left="1260" w:right="1210"/>
        <w:jc w:val="both"/>
        <w:rPr>
          <w:rFonts w:eastAsia="Calibri"/>
          <w:iCs/>
          <w:highlight w:val="yellow"/>
          <w:lang w:val="en-GB"/>
        </w:rPr>
      </w:pPr>
      <w:r w:rsidRPr="00F827B8">
        <w:rPr>
          <w:rFonts w:eastAsia="Calibri"/>
          <w:iCs/>
          <w:lang w:val="en-GB"/>
        </w:rPr>
        <w:t xml:space="preserve">24. </w:t>
      </w:r>
      <w:r w:rsidR="00CE5F18" w:rsidRPr="005A146C">
        <w:rPr>
          <w:rFonts w:eastAsia="Calibri"/>
          <w:iCs/>
          <w:lang w:val="en-GB"/>
        </w:rPr>
        <w:t xml:space="preserve">Based on </w:t>
      </w:r>
      <w:r w:rsidR="00BE0D5B" w:rsidRPr="005A146C">
        <w:rPr>
          <w:rFonts w:eastAsia="Calibri"/>
          <w:iCs/>
          <w:lang w:val="en-GB"/>
        </w:rPr>
        <w:t>its gained experience in</w:t>
      </w:r>
      <w:r w:rsidR="00CE5F18" w:rsidRPr="005A146C">
        <w:rPr>
          <w:rFonts w:eastAsia="Calibri"/>
          <w:iCs/>
          <w:lang w:val="en-GB"/>
        </w:rPr>
        <w:t xml:space="preserve"> implementing projects on green economy and local development, </w:t>
      </w:r>
      <w:r w:rsidR="00714329" w:rsidRPr="005A146C">
        <w:rPr>
          <w:rFonts w:eastAsia="Calibri"/>
          <w:iCs/>
          <w:lang w:val="en-GB"/>
        </w:rPr>
        <w:t>UNDP will</w:t>
      </w:r>
      <w:r w:rsidR="00D9757C" w:rsidRPr="005A146C">
        <w:rPr>
          <w:rFonts w:eastAsia="Calibri"/>
          <w:iCs/>
          <w:lang w:val="en-GB"/>
        </w:rPr>
        <w:t xml:space="preserve"> </w:t>
      </w:r>
      <w:r w:rsidR="001B26D8" w:rsidRPr="005A146C">
        <w:rPr>
          <w:rFonts w:eastAsia="Calibri"/>
          <w:iCs/>
          <w:lang w:val="en-GB"/>
        </w:rPr>
        <w:t xml:space="preserve">design </w:t>
      </w:r>
      <w:r w:rsidR="00714329" w:rsidRPr="005A146C">
        <w:rPr>
          <w:rFonts w:eastAsia="Calibri"/>
          <w:iCs/>
          <w:lang w:val="en-GB"/>
        </w:rPr>
        <w:t xml:space="preserve">and propose a set of measures to develop a green, circular economy for the period up to 2025 </w:t>
      </w:r>
      <w:r w:rsidR="00D86D94" w:rsidRPr="005A146C">
        <w:rPr>
          <w:rFonts w:eastAsia="Calibri"/>
          <w:iCs/>
          <w:lang w:val="en-GB"/>
        </w:rPr>
        <w:t xml:space="preserve">that </w:t>
      </w:r>
      <w:r w:rsidR="00714329" w:rsidRPr="005A146C">
        <w:rPr>
          <w:rFonts w:eastAsia="Calibri"/>
          <w:iCs/>
          <w:lang w:val="en-GB"/>
        </w:rPr>
        <w:t>will facilitate economic growth through more efficient use of available resources, waste processing</w:t>
      </w:r>
      <w:r w:rsidR="00BE0D5B" w:rsidRPr="005A146C">
        <w:rPr>
          <w:rFonts w:eastAsia="Calibri"/>
          <w:iCs/>
          <w:lang w:val="en-GB"/>
        </w:rPr>
        <w:t>,</w:t>
      </w:r>
      <w:r w:rsidR="00714329" w:rsidRPr="005A146C">
        <w:rPr>
          <w:rFonts w:eastAsia="Calibri"/>
          <w:iCs/>
          <w:lang w:val="en-GB"/>
        </w:rPr>
        <w:t xml:space="preserve"> and production of goods from secondary resources.</w:t>
      </w:r>
    </w:p>
    <w:p w14:paraId="639CA214" w14:textId="2B550872" w:rsidR="00714329" w:rsidRPr="00D75D0C" w:rsidRDefault="00FC2C10" w:rsidP="009B22AE">
      <w:pPr>
        <w:pStyle w:val="ListParagraph"/>
        <w:tabs>
          <w:tab w:val="left" w:pos="1620"/>
        </w:tabs>
        <w:spacing w:after="120"/>
        <w:ind w:left="1260" w:right="1210"/>
        <w:jc w:val="both"/>
        <w:rPr>
          <w:rFonts w:eastAsia="Calibri"/>
          <w:iCs/>
          <w:lang w:val="en-GB"/>
        </w:rPr>
      </w:pPr>
      <w:r w:rsidRPr="00F827B8">
        <w:rPr>
          <w:rFonts w:eastAsia="Calibri"/>
          <w:iCs/>
          <w:lang w:val="en-GB"/>
        </w:rPr>
        <w:t>25</w:t>
      </w:r>
      <w:r w:rsidR="00D86D94" w:rsidRPr="00042CD9">
        <w:rPr>
          <w:rFonts w:eastAsia="Calibri"/>
          <w:iCs/>
          <w:lang w:val="en-GB"/>
        </w:rPr>
        <w:t>.</w:t>
      </w:r>
      <w:r w:rsidR="00D86D94" w:rsidRPr="00042CD9">
        <w:rPr>
          <w:rFonts w:eastAsia="Calibri"/>
          <w:iCs/>
          <w:lang w:val="en-GB"/>
        </w:rPr>
        <w:tab/>
      </w:r>
      <w:r w:rsidR="003B4650" w:rsidRPr="005A146C">
        <w:rPr>
          <w:rFonts w:eastAsia="Calibri"/>
          <w:iCs/>
          <w:lang w:val="en-GB"/>
        </w:rPr>
        <w:t xml:space="preserve">In close cooperation with the Ministry of Economy, local authorities </w:t>
      </w:r>
      <w:r w:rsidR="00D86D94" w:rsidRPr="005A146C">
        <w:rPr>
          <w:rFonts w:eastAsia="Calibri"/>
          <w:iCs/>
          <w:lang w:val="en-GB"/>
        </w:rPr>
        <w:t xml:space="preserve">and the </w:t>
      </w:r>
      <w:r w:rsidR="003B4650" w:rsidRPr="005A146C">
        <w:rPr>
          <w:rFonts w:eastAsia="Calibri"/>
          <w:iCs/>
          <w:lang w:val="en-GB"/>
        </w:rPr>
        <w:t xml:space="preserve">private sector, </w:t>
      </w:r>
      <w:r w:rsidR="00714329" w:rsidRPr="005A146C">
        <w:rPr>
          <w:rFonts w:eastAsia="Calibri"/>
          <w:iCs/>
          <w:lang w:val="en-GB"/>
        </w:rPr>
        <w:t>UNDP will</w:t>
      </w:r>
      <w:r w:rsidR="00865821" w:rsidRPr="005A146C">
        <w:rPr>
          <w:rFonts w:eastAsia="Calibri"/>
          <w:iCs/>
          <w:lang w:val="en-GB"/>
        </w:rPr>
        <w:t xml:space="preserve"> </w:t>
      </w:r>
      <w:r w:rsidR="000A2D1E" w:rsidRPr="005A146C">
        <w:rPr>
          <w:rFonts w:eastAsia="Calibri"/>
          <w:iCs/>
          <w:lang w:val="en-GB"/>
        </w:rPr>
        <w:t xml:space="preserve">support </w:t>
      </w:r>
      <w:r w:rsidR="00714329" w:rsidRPr="005A146C">
        <w:rPr>
          <w:rFonts w:eastAsia="Calibri"/>
          <w:iCs/>
          <w:lang w:val="en-GB"/>
        </w:rPr>
        <w:t>entrepreneurship</w:t>
      </w:r>
      <w:r w:rsidR="00D9757C" w:rsidRPr="005A146C">
        <w:rPr>
          <w:rFonts w:eastAsia="Calibri"/>
          <w:iCs/>
          <w:lang w:val="en-GB"/>
        </w:rPr>
        <w:t xml:space="preserve"> and </w:t>
      </w:r>
      <w:r w:rsidR="00714329" w:rsidRPr="005A146C">
        <w:rPr>
          <w:rFonts w:eastAsia="Calibri"/>
          <w:iCs/>
          <w:lang w:val="en-GB"/>
        </w:rPr>
        <w:t xml:space="preserve">private sector development, innovation and public-private partnerships, including social contracts, and effective regional and local development, taking into account location-specific social and economic conditions and </w:t>
      </w:r>
      <w:r w:rsidR="00D86D94" w:rsidRPr="005A146C">
        <w:rPr>
          <w:rFonts w:eastAsia="Calibri"/>
          <w:iCs/>
          <w:lang w:val="en-GB"/>
        </w:rPr>
        <w:t xml:space="preserve">the </w:t>
      </w:r>
      <w:r w:rsidR="00714329" w:rsidRPr="005A146C">
        <w:rPr>
          <w:rFonts w:eastAsia="Calibri"/>
          <w:iCs/>
          <w:lang w:val="en-GB"/>
        </w:rPr>
        <w:t>needs of the</w:t>
      </w:r>
      <w:r w:rsidR="00216571" w:rsidRPr="005A146C">
        <w:rPr>
          <w:rFonts w:eastAsia="Calibri"/>
          <w:iCs/>
          <w:lang w:val="en-GB"/>
        </w:rPr>
        <w:t xml:space="preserve"> </w:t>
      </w:r>
      <w:r w:rsidR="00714329" w:rsidRPr="005A146C">
        <w:rPr>
          <w:rFonts w:eastAsia="Calibri"/>
          <w:iCs/>
          <w:lang w:val="en-GB"/>
        </w:rPr>
        <w:t>population, including vulnerable groups.</w:t>
      </w:r>
    </w:p>
    <w:p w14:paraId="062FCFD9" w14:textId="6F2E9426" w:rsidR="00714329" w:rsidRDefault="00D86D94" w:rsidP="009B22AE">
      <w:pPr>
        <w:pStyle w:val="ListParagraph"/>
        <w:tabs>
          <w:tab w:val="left" w:pos="1620"/>
        </w:tabs>
        <w:spacing w:after="120"/>
        <w:ind w:left="1260" w:right="1210"/>
        <w:jc w:val="both"/>
        <w:rPr>
          <w:rFonts w:eastAsia="Calibri"/>
          <w:iCs/>
          <w:lang w:val="en-GB"/>
        </w:rPr>
      </w:pPr>
      <w:r>
        <w:rPr>
          <w:rFonts w:eastAsia="Calibri"/>
          <w:iCs/>
          <w:lang w:val="en-GB"/>
        </w:rPr>
        <w:t>2</w:t>
      </w:r>
      <w:r w:rsidR="00FC2C10">
        <w:rPr>
          <w:rFonts w:eastAsia="Calibri"/>
          <w:iCs/>
          <w:lang w:val="en-GB"/>
        </w:rPr>
        <w:t>6</w:t>
      </w:r>
      <w:r>
        <w:rPr>
          <w:rFonts w:eastAsia="Calibri"/>
          <w:iCs/>
          <w:lang w:val="en-GB"/>
        </w:rPr>
        <w:t>.</w:t>
      </w:r>
      <w:r>
        <w:rPr>
          <w:rFonts w:eastAsia="Calibri"/>
          <w:iCs/>
          <w:lang w:val="en-GB"/>
        </w:rPr>
        <w:tab/>
      </w:r>
      <w:r w:rsidR="009421C8" w:rsidRPr="00D75D0C">
        <w:rPr>
          <w:lang w:val="en-GB"/>
        </w:rPr>
        <w:t xml:space="preserve">Special attention will be paid to the development of lagging regions </w:t>
      </w:r>
      <w:r w:rsidR="00FC2C10" w:rsidRPr="00D75D0C">
        <w:rPr>
          <w:lang w:val="en-GB"/>
        </w:rPr>
        <w:t xml:space="preserve">by fostering </w:t>
      </w:r>
      <w:r w:rsidR="00FC2C10">
        <w:rPr>
          <w:lang w:val="en-GB"/>
        </w:rPr>
        <w:t xml:space="preserve">sustainable and innovative </w:t>
      </w:r>
      <w:r w:rsidR="00FC2C10" w:rsidRPr="00D75D0C">
        <w:rPr>
          <w:lang w:val="en-GB"/>
        </w:rPr>
        <w:t>local development capacities</w:t>
      </w:r>
      <w:r w:rsidR="00FC2C10">
        <w:rPr>
          <w:lang w:val="en-GB"/>
        </w:rPr>
        <w:t xml:space="preserve"> and</w:t>
      </w:r>
      <w:r w:rsidR="00FC2C10" w:rsidRPr="00D75D0C">
        <w:rPr>
          <w:lang w:val="en-GB"/>
        </w:rPr>
        <w:t xml:space="preserve"> improving the quality of life and self-realization of citizens </w:t>
      </w:r>
      <w:r w:rsidR="00FC2C10">
        <w:rPr>
          <w:lang w:val="en-GB"/>
        </w:rPr>
        <w:t xml:space="preserve">in </w:t>
      </w:r>
      <w:r w:rsidR="00FC2C10" w:rsidRPr="00D75D0C">
        <w:rPr>
          <w:lang w:val="en-GB"/>
        </w:rPr>
        <w:t>both urban and rural areas</w:t>
      </w:r>
      <w:r w:rsidR="00FC2C10">
        <w:rPr>
          <w:lang w:val="en-GB"/>
        </w:rPr>
        <w:t>. UNDP will continue to support activities aimed at overcoming the consequences of the Chernobyl catastrophe.</w:t>
      </w:r>
      <w:r w:rsidR="00714329" w:rsidRPr="00D75D0C">
        <w:rPr>
          <w:rFonts w:eastAsia="Calibri"/>
          <w:iCs/>
          <w:lang w:val="en-GB"/>
        </w:rPr>
        <w:t>.</w:t>
      </w:r>
    </w:p>
    <w:p w14:paraId="3EA970FC" w14:textId="4F739AFE" w:rsidR="004A5A95" w:rsidRDefault="00D86D94" w:rsidP="00A0750D">
      <w:pPr>
        <w:pStyle w:val="ListParagraph"/>
        <w:tabs>
          <w:tab w:val="left" w:pos="1620"/>
        </w:tabs>
        <w:spacing w:after="120"/>
        <w:ind w:left="1260" w:right="1210"/>
        <w:jc w:val="both"/>
        <w:rPr>
          <w:rFonts w:eastAsia="Calibri"/>
          <w:iCs/>
          <w:lang w:val="en-GB"/>
        </w:rPr>
      </w:pPr>
      <w:r>
        <w:rPr>
          <w:rFonts w:eastAsia="Calibri"/>
          <w:iCs/>
          <w:lang w:val="en-GB"/>
        </w:rPr>
        <w:t>2</w:t>
      </w:r>
      <w:r w:rsidR="00FC2C10">
        <w:rPr>
          <w:rFonts w:eastAsia="Calibri"/>
          <w:iCs/>
          <w:lang w:val="en-GB"/>
        </w:rPr>
        <w:t>7</w:t>
      </w:r>
      <w:r>
        <w:rPr>
          <w:rFonts w:eastAsia="Calibri"/>
          <w:iCs/>
          <w:lang w:val="en-GB"/>
        </w:rPr>
        <w:t>.</w:t>
      </w:r>
      <w:r>
        <w:rPr>
          <w:rFonts w:eastAsia="Calibri"/>
          <w:iCs/>
          <w:lang w:val="en-GB"/>
        </w:rPr>
        <w:tab/>
      </w:r>
      <w:r w:rsidR="00DD65C0" w:rsidRPr="00DD65C0">
        <w:rPr>
          <w:rFonts w:eastAsia="Calibri"/>
          <w:iCs/>
          <w:lang w:val="en-GB"/>
        </w:rPr>
        <w:t xml:space="preserve">UNDP </w:t>
      </w:r>
      <w:r w:rsidR="00DD65C0">
        <w:rPr>
          <w:rFonts w:eastAsia="Calibri"/>
          <w:iCs/>
        </w:rPr>
        <w:t>stands</w:t>
      </w:r>
      <w:r w:rsidR="00DD65C0" w:rsidRPr="00DD65C0">
        <w:rPr>
          <w:rFonts w:eastAsia="Calibri"/>
          <w:iCs/>
          <w:lang w:val="en-GB"/>
        </w:rPr>
        <w:t xml:space="preserve"> ready to provide expert support</w:t>
      </w:r>
      <w:r w:rsidR="004A5A95">
        <w:rPr>
          <w:rFonts w:eastAsia="Calibri"/>
          <w:iCs/>
          <w:lang w:val="en-GB"/>
        </w:rPr>
        <w:t xml:space="preserve"> and </w:t>
      </w:r>
      <w:r w:rsidR="004A5A95" w:rsidRPr="004A5A95">
        <w:rPr>
          <w:rFonts w:eastAsia="Calibri"/>
          <w:iCs/>
          <w:lang w:val="en-GB"/>
        </w:rPr>
        <w:t>best international practices</w:t>
      </w:r>
      <w:r w:rsidR="00DD65C0" w:rsidRPr="00DD65C0">
        <w:rPr>
          <w:rFonts w:eastAsia="Calibri"/>
          <w:iCs/>
          <w:lang w:val="en-GB"/>
        </w:rPr>
        <w:t xml:space="preserve"> to the Government and interested national parties in develop</w:t>
      </w:r>
      <w:r w:rsidR="00BE0D5B">
        <w:rPr>
          <w:rFonts w:eastAsia="Calibri"/>
          <w:iCs/>
          <w:lang w:val="en-GB"/>
        </w:rPr>
        <w:t xml:space="preserve">ing </w:t>
      </w:r>
      <w:r w:rsidR="00DD65C0" w:rsidRPr="00DD65C0">
        <w:rPr>
          <w:rFonts w:eastAsia="Calibri"/>
          <w:iCs/>
          <w:lang w:val="en-GB"/>
        </w:rPr>
        <w:t>social and environmental standards to improve the quality of public property management</w:t>
      </w:r>
      <w:r w:rsidR="004A5A95">
        <w:rPr>
          <w:rFonts w:eastAsia="Calibri"/>
          <w:iCs/>
          <w:lang w:val="en-GB"/>
        </w:rPr>
        <w:t xml:space="preserve"> </w:t>
      </w:r>
      <w:r w:rsidR="004A5A95" w:rsidRPr="004A5A95">
        <w:rPr>
          <w:rFonts w:eastAsia="Calibri"/>
          <w:iCs/>
          <w:lang w:val="en-GB"/>
        </w:rPr>
        <w:t xml:space="preserve">in accordance with </w:t>
      </w:r>
      <w:r w:rsidR="004A5A95">
        <w:rPr>
          <w:rFonts w:eastAsia="Calibri"/>
          <w:iCs/>
          <w:lang w:val="en-GB"/>
        </w:rPr>
        <w:t xml:space="preserve">the </w:t>
      </w:r>
      <w:r w:rsidR="004A5A95" w:rsidRPr="004A5A95">
        <w:rPr>
          <w:rFonts w:eastAsia="Calibri"/>
          <w:iCs/>
          <w:lang w:val="en-GB"/>
        </w:rPr>
        <w:t>national interests</w:t>
      </w:r>
      <w:r w:rsidR="004A5A95">
        <w:rPr>
          <w:rFonts w:eastAsia="Calibri"/>
          <w:iCs/>
          <w:lang w:val="en-GB"/>
        </w:rPr>
        <w:t>.</w:t>
      </w:r>
      <w:r w:rsidR="00DE33F5">
        <w:rPr>
          <w:rFonts w:eastAsia="Calibri"/>
          <w:iCs/>
          <w:lang w:val="en-GB"/>
        </w:rPr>
        <w:t xml:space="preserve"> </w:t>
      </w:r>
      <w:r w:rsidR="00C52A1F">
        <w:rPr>
          <w:rFonts w:eastAsia="Calibri"/>
          <w:iCs/>
          <w:lang w:val="en-GB"/>
        </w:rPr>
        <w:t>This</w:t>
      </w:r>
      <w:r w:rsidR="004A5A95" w:rsidRPr="004A5A95">
        <w:rPr>
          <w:rFonts w:eastAsia="Calibri"/>
          <w:iCs/>
          <w:lang w:val="en-GB"/>
        </w:rPr>
        <w:t xml:space="preserve"> will allow the economy to adapt </w:t>
      </w:r>
      <w:r w:rsidR="00E540D4" w:rsidRPr="004A5A95">
        <w:rPr>
          <w:rFonts w:eastAsia="Calibri"/>
          <w:iCs/>
          <w:lang w:val="en-GB"/>
        </w:rPr>
        <w:t xml:space="preserve">quickly </w:t>
      </w:r>
      <w:r w:rsidR="004A5A95" w:rsidRPr="004A5A95">
        <w:rPr>
          <w:rFonts w:eastAsia="Calibri"/>
          <w:iCs/>
          <w:lang w:val="en-GB"/>
        </w:rPr>
        <w:t>to technological changes in the context of globalization, accelerate the process of innovative development, and contribute to the development of human</w:t>
      </w:r>
      <w:r w:rsidR="004A5A95">
        <w:rPr>
          <w:rFonts w:eastAsia="Calibri"/>
          <w:iCs/>
          <w:lang w:val="en-GB"/>
        </w:rPr>
        <w:t xml:space="preserve"> capital</w:t>
      </w:r>
      <w:r w:rsidR="004A5A95" w:rsidRPr="004A5A95">
        <w:rPr>
          <w:rFonts w:eastAsia="Calibri"/>
          <w:iCs/>
          <w:lang w:val="en-GB"/>
        </w:rPr>
        <w:t xml:space="preserve"> and private initiative</w:t>
      </w:r>
      <w:r w:rsidR="00C52A1F">
        <w:rPr>
          <w:rFonts w:eastAsia="Calibri"/>
          <w:iCs/>
          <w:lang w:val="en-GB"/>
        </w:rPr>
        <w:t>.</w:t>
      </w:r>
      <w:r w:rsidR="00241B23">
        <w:rPr>
          <w:rFonts w:eastAsia="Calibri"/>
          <w:iCs/>
          <w:lang w:val="en-GB"/>
        </w:rPr>
        <w:t xml:space="preserve"> </w:t>
      </w:r>
      <w:r w:rsidR="00241B23" w:rsidRPr="00241B23">
        <w:rPr>
          <w:rFonts w:eastAsia="Calibri"/>
          <w:iCs/>
          <w:lang w:val="en-GB"/>
        </w:rPr>
        <w:t xml:space="preserve">UNDP will provide support in the field of trade development in the context of </w:t>
      </w:r>
      <w:r w:rsidR="00F827B8">
        <w:rPr>
          <w:rFonts w:eastAsia="Calibri"/>
          <w:iCs/>
          <w:lang w:val="en-GB"/>
        </w:rPr>
        <w:t xml:space="preserve">the </w:t>
      </w:r>
      <w:r w:rsidR="00241B23">
        <w:rPr>
          <w:rFonts w:eastAsia="Calibri"/>
          <w:iCs/>
          <w:lang w:val="en-GB"/>
        </w:rPr>
        <w:t xml:space="preserve">accession of </w:t>
      </w:r>
      <w:r w:rsidR="00241B23" w:rsidRPr="00241B23">
        <w:rPr>
          <w:rFonts w:eastAsia="Calibri"/>
          <w:iCs/>
          <w:lang w:val="en-GB"/>
        </w:rPr>
        <w:t xml:space="preserve">Belarus </w:t>
      </w:r>
      <w:r w:rsidR="00241B23">
        <w:rPr>
          <w:rFonts w:eastAsia="Calibri"/>
          <w:iCs/>
          <w:lang w:val="en-GB"/>
        </w:rPr>
        <w:t>to t</w:t>
      </w:r>
      <w:r w:rsidR="00241B23" w:rsidRPr="00241B23">
        <w:rPr>
          <w:rFonts w:eastAsia="Calibri"/>
          <w:iCs/>
          <w:lang w:val="en-GB"/>
        </w:rPr>
        <w:t>he World Trade Organization</w:t>
      </w:r>
      <w:r w:rsidR="00620444">
        <w:rPr>
          <w:rFonts w:eastAsia="Calibri"/>
          <w:iCs/>
          <w:lang w:val="en-GB"/>
        </w:rPr>
        <w:t>.</w:t>
      </w:r>
    </w:p>
    <w:p w14:paraId="20B4523D" w14:textId="1FD0BD95" w:rsidR="00D86D94" w:rsidRDefault="00714329" w:rsidP="00A0750D">
      <w:pPr>
        <w:pStyle w:val="ListParagraph"/>
        <w:tabs>
          <w:tab w:val="left" w:pos="1620"/>
        </w:tabs>
        <w:spacing w:after="120"/>
        <w:ind w:left="1260" w:right="1210"/>
        <w:jc w:val="both"/>
        <w:rPr>
          <w:b/>
          <w:bCs/>
          <w:sz w:val="22"/>
          <w:szCs w:val="22"/>
          <w:lang w:val="en-GB"/>
        </w:rPr>
      </w:pPr>
      <w:r w:rsidRPr="00542B95">
        <w:rPr>
          <w:b/>
          <w:bCs/>
          <w:lang w:val="en-GB"/>
        </w:rPr>
        <w:t xml:space="preserve">Priority </w:t>
      </w:r>
      <w:r w:rsidR="00EB1B2F">
        <w:rPr>
          <w:b/>
          <w:bCs/>
          <w:lang w:val="en-GB"/>
        </w:rPr>
        <w:t>a</w:t>
      </w:r>
      <w:r w:rsidRPr="00542B95">
        <w:rPr>
          <w:b/>
          <w:bCs/>
          <w:lang w:val="en-GB"/>
        </w:rPr>
        <w:t>rea 2</w:t>
      </w:r>
      <w:r w:rsidR="00EB1B2F">
        <w:rPr>
          <w:b/>
          <w:bCs/>
          <w:lang w:val="en-GB"/>
        </w:rPr>
        <w:t>.</w:t>
      </w:r>
      <w:r w:rsidRPr="009B56E0">
        <w:rPr>
          <w:b/>
          <w:bCs/>
          <w:lang w:val="en-GB"/>
        </w:rPr>
        <w:t xml:space="preserve"> Implement</w:t>
      </w:r>
      <w:r w:rsidR="00BC27AD" w:rsidRPr="009B56E0">
        <w:rPr>
          <w:b/>
          <w:bCs/>
          <w:lang w:val="en-GB"/>
        </w:rPr>
        <w:t>ation of</w:t>
      </w:r>
      <w:r w:rsidRPr="009B56E0">
        <w:rPr>
          <w:b/>
          <w:bCs/>
          <w:lang w:val="en-GB"/>
        </w:rPr>
        <w:t xml:space="preserve"> climate change mitigation and adaptation measures</w:t>
      </w:r>
      <w:r w:rsidR="00F97CBB" w:rsidRPr="009B56E0">
        <w:rPr>
          <w:b/>
          <w:bCs/>
          <w:lang w:val="en-GB"/>
        </w:rPr>
        <w:t xml:space="preserve"> (</w:t>
      </w:r>
      <w:r w:rsidR="00BC27AD" w:rsidRPr="009B56E0">
        <w:rPr>
          <w:b/>
          <w:bCs/>
          <w:lang w:val="en-GB"/>
        </w:rPr>
        <w:t>r</w:t>
      </w:r>
      <w:r w:rsidR="00F97CBB" w:rsidRPr="009B56E0">
        <w:rPr>
          <w:b/>
          <w:bCs/>
          <w:lang w:val="en-GB"/>
        </w:rPr>
        <w:t xml:space="preserve">elated </w:t>
      </w:r>
      <w:r w:rsidR="00796818">
        <w:rPr>
          <w:b/>
          <w:bCs/>
          <w:lang w:val="en-GB"/>
        </w:rPr>
        <w:t xml:space="preserve">Goals </w:t>
      </w:r>
      <w:r w:rsidR="00432693" w:rsidRPr="00542B95">
        <w:rPr>
          <w:b/>
          <w:bCs/>
          <w:lang w:val="en-GB"/>
        </w:rPr>
        <w:t>t</w:t>
      </w:r>
      <w:r w:rsidR="00F97CBB" w:rsidRPr="00542B95">
        <w:rPr>
          <w:b/>
          <w:bCs/>
          <w:lang w:val="en-GB"/>
        </w:rPr>
        <w:t xml:space="preserve">argets: 1.2; </w:t>
      </w:r>
      <w:r w:rsidR="00D50CDB" w:rsidRPr="00542B95">
        <w:rPr>
          <w:b/>
          <w:bCs/>
          <w:lang w:val="en-GB"/>
        </w:rPr>
        <w:t xml:space="preserve">2.4; </w:t>
      </w:r>
      <w:r w:rsidR="00F97CBB" w:rsidRPr="00542B95">
        <w:rPr>
          <w:b/>
          <w:bCs/>
          <w:lang w:val="en-GB"/>
        </w:rPr>
        <w:t>2.5; 2a; 7.2; 7.3; 9.3; 9.4;</w:t>
      </w:r>
      <w:r w:rsidR="008D1997" w:rsidRPr="00542B95">
        <w:rPr>
          <w:b/>
          <w:bCs/>
          <w:lang w:val="en-GB"/>
        </w:rPr>
        <w:t xml:space="preserve"> </w:t>
      </w:r>
      <w:r w:rsidR="00F97CBB" w:rsidRPr="00542B95">
        <w:rPr>
          <w:b/>
          <w:bCs/>
          <w:lang w:val="en-GB"/>
        </w:rPr>
        <w:t xml:space="preserve">12.5; </w:t>
      </w:r>
      <w:r w:rsidR="008D1997" w:rsidRPr="00542B95">
        <w:rPr>
          <w:b/>
          <w:bCs/>
          <w:lang w:val="en-GB"/>
        </w:rPr>
        <w:t xml:space="preserve">13.1; </w:t>
      </w:r>
      <w:r w:rsidR="00F97CBB" w:rsidRPr="00542B95">
        <w:rPr>
          <w:b/>
          <w:bCs/>
          <w:lang w:val="en-GB"/>
        </w:rPr>
        <w:t>13.</w:t>
      </w:r>
      <w:r w:rsidR="00D50CDB" w:rsidRPr="00542B95">
        <w:rPr>
          <w:b/>
          <w:bCs/>
          <w:lang w:val="en-GB"/>
        </w:rPr>
        <w:t>2</w:t>
      </w:r>
      <w:r w:rsidR="00F97CBB" w:rsidRPr="00542B95">
        <w:rPr>
          <w:b/>
          <w:bCs/>
          <w:lang w:val="en-GB"/>
        </w:rPr>
        <w:t>; 13.3; 15.1;</w:t>
      </w:r>
      <w:r w:rsidR="008D1997" w:rsidRPr="00542B95">
        <w:rPr>
          <w:b/>
          <w:bCs/>
          <w:lang w:val="en-GB"/>
        </w:rPr>
        <w:t xml:space="preserve"> </w:t>
      </w:r>
      <w:r w:rsidR="00B65050">
        <w:rPr>
          <w:b/>
          <w:bCs/>
          <w:lang w:val="en-GB"/>
        </w:rPr>
        <w:t xml:space="preserve">and </w:t>
      </w:r>
      <w:r w:rsidR="00F97CBB" w:rsidRPr="00542B95">
        <w:rPr>
          <w:b/>
          <w:bCs/>
          <w:lang w:val="en-GB"/>
        </w:rPr>
        <w:t>15.3)</w:t>
      </w:r>
      <w:r w:rsidRPr="00542B95">
        <w:rPr>
          <w:b/>
          <w:bCs/>
          <w:lang w:val="en-GB"/>
        </w:rPr>
        <w:t>.</w:t>
      </w:r>
      <w:r w:rsidR="00B9758A">
        <w:rPr>
          <w:b/>
          <w:bCs/>
          <w:sz w:val="22"/>
          <w:szCs w:val="22"/>
          <w:lang w:val="en-GB"/>
        </w:rPr>
        <w:t xml:space="preserve"> </w:t>
      </w:r>
    </w:p>
    <w:p w14:paraId="4ABC55A7" w14:textId="210DF01F" w:rsidR="00714329" w:rsidRDefault="00D86D94" w:rsidP="00A0750D">
      <w:pPr>
        <w:pStyle w:val="ListParagraph"/>
        <w:tabs>
          <w:tab w:val="left" w:pos="1620"/>
        </w:tabs>
        <w:spacing w:after="120"/>
        <w:ind w:left="1260" w:right="1210"/>
        <w:jc w:val="both"/>
        <w:rPr>
          <w:lang w:val="en-GB"/>
        </w:rPr>
      </w:pPr>
      <w:r>
        <w:rPr>
          <w:lang w:val="en-GB"/>
        </w:rPr>
        <w:t>2</w:t>
      </w:r>
      <w:r w:rsidR="00264960">
        <w:rPr>
          <w:lang w:val="en-GB"/>
        </w:rPr>
        <w:t>8</w:t>
      </w:r>
      <w:r>
        <w:rPr>
          <w:lang w:val="en-GB"/>
        </w:rPr>
        <w:t>.</w:t>
      </w:r>
      <w:r>
        <w:rPr>
          <w:lang w:val="en-GB"/>
        </w:rPr>
        <w:tab/>
      </w:r>
      <w:r w:rsidR="00714329" w:rsidRPr="00D75D0C">
        <w:rPr>
          <w:lang w:val="en-GB"/>
        </w:rPr>
        <w:t>This area is aligned with the national environmental security priority and contribute</w:t>
      </w:r>
      <w:r>
        <w:rPr>
          <w:lang w:val="en-GB"/>
        </w:rPr>
        <w:t>s</w:t>
      </w:r>
      <w:r w:rsidR="00714329" w:rsidRPr="00D75D0C">
        <w:rPr>
          <w:lang w:val="en-GB"/>
        </w:rPr>
        <w:t xml:space="preserve"> to the achievement of </w:t>
      </w:r>
      <w:r>
        <w:rPr>
          <w:lang w:val="en-GB"/>
        </w:rPr>
        <w:t>o</w:t>
      </w:r>
      <w:r w:rsidR="00714329" w:rsidRPr="00D75D0C">
        <w:rPr>
          <w:lang w:val="en-GB"/>
        </w:rPr>
        <w:t xml:space="preserve">utcome 2 of </w:t>
      </w:r>
      <w:r w:rsidR="00757DF7">
        <w:rPr>
          <w:lang w:val="en-GB"/>
        </w:rPr>
        <w:t xml:space="preserve">the </w:t>
      </w:r>
      <w:r w:rsidR="00757DF7" w:rsidRPr="00D75D0C">
        <w:rPr>
          <w:lang w:val="en-GB"/>
        </w:rPr>
        <w:t xml:space="preserve">United Nations </w:t>
      </w:r>
      <w:r w:rsidR="00757DF7">
        <w:rPr>
          <w:lang w:val="en-GB"/>
        </w:rPr>
        <w:t xml:space="preserve">Sustainable </w:t>
      </w:r>
      <w:r w:rsidR="00757DF7" w:rsidRPr="00D75D0C">
        <w:rPr>
          <w:lang w:val="en-GB"/>
        </w:rPr>
        <w:t xml:space="preserve">Development </w:t>
      </w:r>
      <w:r w:rsidR="00757DF7">
        <w:rPr>
          <w:lang w:val="en-GB"/>
        </w:rPr>
        <w:t>Cooperation</w:t>
      </w:r>
      <w:r w:rsidR="00757DF7" w:rsidRPr="00D75D0C">
        <w:rPr>
          <w:lang w:val="en-GB"/>
        </w:rPr>
        <w:t xml:space="preserve"> Framework</w:t>
      </w:r>
      <w:r w:rsidR="00757DF7">
        <w:rPr>
          <w:lang w:val="en-GB"/>
        </w:rPr>
        <w:t>,</w:t>
      </w:r>
      <w:r w:rsidR="00757DF7" w:rsidRPr="00D75D0C">
        <w:rPr>
          <w:lang w:val="en-GB"/>
        </w:rPr>
        <w:t xml:space="preserve"> </w:t>
      </w:r>
      <w:r w:rsidR="00714329" w:rsidRPr="00D75D0C">
        <w:rPr>
          <w:lang w:val="en-GB"/>
        </w:rPr>
        <w:t>2021-2025</w:t>
      </w:r>
      <w:r w:rsidR="007D18B7">
        <w:rPr>
          <w:lang w:val="en-GB"/>
        </w:rPr>
        <w:t>.</w:t>
      </w:r>
    </w:p>
    <w:p w14:paraId="498C15A3" w14:textId="2EC193AE" w:rsidR="00D1294C" w:rsidRPr="00D75D0C" w:rsidRDefault="00D86D94" w:rsidP="00A0750D">
      <w:pPr>
        <w:pStyle w:val="ListParagraph"/>
        <w:tabs>
          <w:tab w:val="left" w:pos="1620"/>
        </w:tabs>
        <w:spacing w:after="120"/>
        <w:ind w:left="1260" w:right="1210"/>
        <w:jc w:val="both"/>
        <w:rPr>
          <w:lang w:val="en-GB"/>
        </w:rPr>
      </w:pPr>
      <w:r>
        <w:rPr>
          <w:lang w:val="en-GB"/>
        </w:rPr>
        <w:t>2</w:t>
      </w:r>
      <w:r w:rsidR="00264960">
        <w:rPr>
          <w:lang w:val="en-GB"/>
        </w:rPr>
        <w:t>9</w:t>
      </w:r>
      <w:r w:rsidR="00542B95" w:rsidRPr="001D29FF">
        <w:t>.</w:t>
      </w:r>
      <w:r>
        <w:rPr>
          <w:lang w:val="en-GB"/>
        </w:rPr>
        <w:tab/>
      </w:r>
      <w:r w:rsidR="007E6578">
        <w:rPr>
          <w:lang w:val="en-GB"/>
        </w:rPr>
        <w:t xml:space="preserve">In close partnership with the Ministry of Natural Resources and Environmental Protection, </w:t>
      </w:r>
      <w:r w:rsidR="00B75A30">
        <w:rPr>
          <w:lang w:val="en-GB"/>
        </w:rPr>
        <w:t>UNDP will</w:t>
      </w:r>
      <w:r w:rsidR="00D1294C">
        <w:rPr>
          <w:lang w:val="en-GB"/>
        </w:rPr>
        <w:t xml:space="preserve"> support country efforts to tackle climate change</w:t>
      </w:r>
      <w:r>
        <w:rPr>
          <w:lang w:val="en-GB"/>
        </w:rPr>
        <w:t>,</w:t>
      </w:r>
      <w:r w:rsidR="00D1294C">
        <w:rPr>
          <w:lang w:val="en-GB"/>
        </w:rPr>
        <w:t xml:space="preserve"> focusing on mitigation measures to reduce greenhouse gas emission</w:t>
      </w:r>
      <w:r w:rsidR="006E2546">
        <w:rPr>
          <w:lang w:val="en-GB"/>
        </w:rPr>
        <w:t>s</w:t>
      </w:r>
      <w:r w:rsidR="00D1294C">
        <w:rPr>
          <w:lang w:val="en-GB"/>
        </w:rPr>
        <w:t xml:space="preserve">. On the adaptation side, UNDP will work with climate dependent sectors, including agriculture, forestry, </w:t>
      </w:r>
      <w:r w:rsidR="008F25F6">
        <w:rPr>
          <w:lang w:val="en-GB"/>
        </w:rPr>
        <w:t xml:space="preserve">and </w:t>
      </w:r>
      <w:r w:rsidR="00D1294C">
        <w:rPr>
          <w:lang w:val="en-GB"/>
        </w:rPr>
        <w:t>water management</w:t>
      </w:r>
      <w:r w:rsidR="008F25F6">
        <w:rPr>
          <w:lang w:val="en-GB"/>
        </w:rPr>
        <w:t>,</w:t>
      </w:r>
      <w:r w:rsidR="00D1294C">
        <w:rPr>
          <w:lang w:val="en-GB"/>
        </w:rPr>
        <w:t xml:space="preserve"> </w:t>
      </w:r>
      <w:r w:rsidR="00D1294C">
        <w:rPr>
          <w:lang w:val="en-GB"/>
        </w:rPr>
        <w:lastRenderedPageBreak/>
        <w:t xml:space="preserve">to </w:t>
      </w:r>
      <w:r w:rsidR="00B75A30">
        <w:rPr>
          <w:lang w:val="en-GB"/>
        </w:rPr>
        <w:t>enhance their</w:t>
      </w:r>
      <w:r w:rsidR="00D1294C">
        <w:rPr>
          <w:lang w:val="en-GB"/>
        </w:rPr>
        <w:t xml:space="preserve"> resilien</w:t>
      </w:r>
      <w:r w:rsidR="00B75A30">
        <w:rPr>
          <w:lang w:val="en-GB"/>
        </w:rPr>
        <w:t xml:space="preserve">ce </w:t>
      </w:r>
      <w:r w:rsidR="00D1294C">
        <w:rPr>
          <w:lang w:val="en-GB"/>
        </w:rPr>
        <w:t xml:space="preserve">and </w:t>
      </w:r>
      <w:r w:rsidR="00B75A30">
        <w:rPr>
          <w:lang w:val="en-GB"/>
        </w:rPr>
        <w:t>preparedness</w:t>
      </w:r>
      <w:r w:rsidR="00D1294C">
        <w:rPr>
          <w:lang w:val="en-GB"/>
        </w:rPr>
        <w:t xml:space="preserve"> to</w:t>
      </w:r>
      <w:r w:rsidR="00D9757C">
        <w:rPr>
          <w:lang w:val="en-GB"/>
        </w:rPr>
        <w:t xml:space="preserve"> </w:t>
      </w:r>
      <w:r w:rsidR="00D1294C">
        <w:rPr>
          <w:lang w:val="en-GB"/>
        </w:rPr>
        <w:t>the climate change</w:t>
      </w:r>
      <w:r w:rsidR="008F25F6">
        <w:rPr>
          <w:lang w:val="en-GB"/>
        </w:rPr>
        <w:t>-</w:t>
      </w:r>
      <w:r w:rsidR="00D1294C">
        <w:rPr>
          <w:lang w:val="en-GB"/>
        </w:rPr>
        <w:t xml:space="preserve">related challenges. Through its Climate Promise Initiative, UNDP will </w:t>
      </w:r>
      <w:r w:rsidR="00B65050">
        <w:rPr>
          <w:lang w:val="en-GB"/>
        </w:rPr>
        <w:t>assist Belarus in preparing</w:t>
      </w:r>
      <w:r w:rsidR="00D1294C">
        <w:rPr>
          <w:lang w:val="en-GB"/>
        </w:rPr>
        <w:t xml:space="preserve"> the</w:t>
      </w:r>
      <w:r w:rsidR="00D1294C" w:rsidRPr="00253E28">
        <w:rPr>
          <w:lang w:val="en-GB"/>
        </w:rPr>
        <w:t xml:space="preserve"> second</w:t>
      </w:r>
      <w:r w:rsidR="00D1294C">
        <w:rPr>
          <w:lang w:val="en-GB"/>
        </w:rPr>
        <w:t xml:space="preserve"> </w:t>
      </w:r>
      <w:r w:rsidR="008F25F6">
        <w:rPr>
          <w:lang w:val="en-GB"/>
        </w:rPr>
        <w:t>n</w:t>
      </w:r>
      <w:r w:rsidR="00D1294C" w:rsidRPr="00253E28">
        <w:rPr>
          <w:lang w:val="en-GB"/>
        </w:rPr>
        <w:t xml:space="preserve">ationally </w:t>
      </w:r>
      <w:r w:rsidR="008F25F6">
        <w:rPr>
          <w:lang w:val="en-GB"/>
        </w:rPr>
        <w:t>d</w:t>
      </w:r>
      <w:r w:rsidR="00D1294C" w:rsidRPr="00253E28">
        <w:rPr>
          <w:lang w:val="en-GB"/>
        </w:rPr>
        <w:t xml:space="preserve">etermined </w:t>
      </w:r>
      <w:r w:rsidR="008F25F6">
        <w:rPr>
          <w:lang w:val="en-GB"/>
        </w:rPr>
        <w:t>c</w:t>
      </w:r>
      <w:r w:rsidR="00D1294C" w:rsidRPr="00253E28">
        <w:rPr>
          <w:lang w:val="en-GB"/>
        </w:rPr>
        <w:t>ontributions</w:t>
      </w:r>
      <w:r w:rsidR="008F25F6">
        <w:rPr>
          <w:lang w:val="en-GB"/>
        </w:rPr>
        <w:t>,</w:t>
      </w:r>
      <w:r w:rsidR="00D1294C" w:rsidRPr="00253E28">
        <w:rPr>
          <w:lang w:val="en-GB"/>
        </w:rPr>
        <w:t xml:space="preserve"> </w:t>
      </w:r>
      <w:r w:rsidR="00D1294C">
        <w:rPr>
          <w:lang w:val="en-GB"/>
        </w:rPr>
        <w:t xml:space="preserve">making the </w:t>
      </w:r>
      <w:r w:rsidR="00F30B42">
        <w:rPr>
          <w:lang w:val="en-GB"/>
        </w:rPr>
        <w:t>national</w:t>
      </w:r>
      <w:r w:rsidR="00F30B42" w:rsidRPr="00253E28">
        <w:rPr>
          <w:lang w:val="en-GB"/>
        </w:rPr>
        <w:t xml:space="preserve"> </w:t>
      </w:r>
      <w:r w:rsidR="00D1294C" w:rsidRPr="00253E28">
        <w:rPr>
          <w:lang w:val="en-GB"/>
        </w:rPr>
        <w:t xml:space="preserve">commitment to reduce </w:t>
      </w:r>
      <w:r w:rsidR="008F25F6">
        <w:rPr>
          <w:lang w:val="en-GB"/>
        </w:rPr>
        <w:t xml:space="preserve">greenhouse gas </w:t>
      </w:r>
      <w:r w:rsidR="00D1294C" w:rsidRPr="00253E28">
        <w:rPr>
          <w:lang w:val="en-GB"/>
        </w:rPr>
        <w:t xml:space="preserve">emissions and increase </w:t>
      </w:r>
      <w:r w:rsidR="008F25F6">
        <w:rPr>
          <w:lang w:val="en-GB"/>
        </w:rPr>
        <w:t>its</w:t>
      </w:r>
      <w:r w:rsidR="008F25F6" w:rsidRPr="00253E28">
        <w:rPr>
          <w:lang w:val="en-GB"/>
        </w:rPr>
        <w:t xml:space="preserve"> </w:t>
      </w:r>
      <w:r w:rsidR="00D1294C" w:rsidRPr="00253E28">
        <w:rPr>
          <w:lang w:val="en-GB"/>
        </w:rPr>
        <w:t xml:space="preserve">absorption </w:t>
      </w:r>
      <w:r w:rsidR="00D1294C">
        <w:rPr>
          <w:lang w:val="en-GB"/>
        </w:rPr>
        <w:t>even more ambitious</w:t>
      </w:r>
      <w:r w:rsidR="00B65050">
        <w:rPr>
          <w:lang w:val="en-GB"/>
        </w:rPr>
        <w:t>,</w:t>
      </w:r>
      <w:r w:rsidR="008F25F6">
        <w:rPr>
          <w:lang w:val="en-GB"/>
        </w:rPr>
        <w:t xml:space="preserve"> so as</w:t>
      </w:r>
      <w:r w:rsidR="00D1294C">
        <w:rPr>
          <w:lang w:val="en-GB"/>
        </w:rPr>
        <w:t xml:space="preserve"> to reach the </w:t>
      </w:r>
      <w:r w:rsidR="00D1294C" w:rsidRPr="00253E28">
        <w:rPr>
          <w:lang w:val="en-GB"/>
        </w:rPr>
        <w:t>previously announced</w:t>
      </w:r>
      <w:r w:rsidR="00D1294C">
        <w:rPr>
          <w:lang w:val="en-GB"/>
        </w:rPr>
        <w:t xml:space="preserve"> overall target of 35</w:t>
      </w:r>
      <w:r w:rsidR="00F304DC">
        <w:rPr>
          <w:lang w:val="en-GB"/>
        </w:rPr>
        <w:t xml:space="preserve"> per cent</w:t>
      </w:r>
      <w:r w:rsidR="00D1294C">
        <w:rPr>
          <w:lang w:val="en-GB"/>
        </w:rPr>
        <w:t xml:space="preserve"> emissions reduction by 2030. </w:t>
      </w:r>
    </w:p>
    <w:p w14:paraId="6C52284C" w14:textId="4A638543" w:rsidR="005B5782" w:rsidRDefault="00DE4B91" w:rsidP="001D29FF">
      <w:pPr>
        <w:tabs>
          <w:tab w:val="left" w:pos="1620"/>
        </w:tabs>
        <w:spacing w:after="120"/>
        <w:ind w:left="1260" w:right="1210"/>
        <w:jc w:val="both"/>
        <w:rPr>
          <w:highlight w:val="yellow"/>
          <w:lang w:val="en-GB"/>
        </w:rPr>
      </w:pPr>
      <w:r>
        <w:rPr>
          <w:iCs/>
          <w:lang w:val="en-GB"/>
        </w:rPr>
        <w:t>30</w:t>
      </w:r>
      <w:r w:rsidR="008F25F6">
        <w:rPr>
          <w:iCs/>
          <w:lang w:val="en-GB"/>
        </w:rPr>
        <w:t>.</w:t>
      </w:r>
      <w:r w:rsidR="008F25F6">
        <w:rPr>
          <w:iCs/>
          <w:lang w:val="en-GB"/>
        </w:rPr>
        <w:tab/>
      </w:r>
      <w:r w:rsidR="00BE479C">
        <w:rPr>
          <w:lang w:val="en-GB"/>
        </w:rPr>
        <w:t>Building on the results of the</w:t>
      </w:r>
      <w:r w:rsidR="00F827B8" w:rsidRPr="00F827B8">
        <w:rPr>
          <w:lang w:val="en-GB"/>
        </w:rPr>
        <w:t xml:space="preserve"> </w:t>
      </w:r>
      <w:r w:rsidR="00F827B8">
        <w:rPr>
          <w:lang w:val="en-GB"/>
        </w:rPr>
        <w:t>projects</w:t>
      </w:r>
      <w:r>
        <w:rPr>
          <w:lang w:val="en-GB"/>
        </w:rPr>
        <w:t xml:space="preserve"> implemented</w:t>
      </w:r>
      <w:r w:rsidR="00BE479C">
        <w:rPr>
          <w:lang w:val="en-GB"/>
        </w:rPr>
        <w:t xml:space="preserve">, </w:t>
      </w:r>
      <w:r w:rsidRPr="00DE4B91">
        <w:rPr>
          <w:lang w:val="en-GB"/>
        </w:rPr>
        <w:t xml:space="preserve">UNDP will </w:t>
      </w:r>
      <w:r w:rsidR="00042CD9">
        <w:rPr>
          <w:lang w:val="en-GB"/>
        </w:rPr>
        <w:t>promote</w:t>
      </w:r>
      <w:r w:rsidRPr="00DE4B91">
        <w:rPr>
          <w:lang w:val="en-GB"/>
        </w:rPr>
        <w:t xml:space="preserve"> the energy efficiency of the Belarusian economy, in particular in the</w:t>
      </w:r>
      <w:r>
        <w:rPr>
          <w:lang w:val="en-GB"/>
        </w:rPr>
        <w:t xml:space="preserve"> </w:t>
      </w:r>
      <w:r w:rsidR="005D45DF">
        <w:rPr>
          <w:lang w:val="en-GB"/>
        </w:rPr>
        <w:t>‘</w:t>
      </w:r>
      <w:r w:rsidR="002C0635">
        <w:rPr>
          <w:lang w:val="en-GB"/>
        </w:rPr>
        <w:t>B</w:t>
      </w:r>
      <w:r w:rsidRPr="00DE4B91">
        <w:rPr>
          <w:lang w:val="en-GB"/>
        </w:rPr>
        <w:t>uilding</w:t>
      </w:r>
      <w:r w:rsidR="002C0635">
        <w:rPr>
          <w:lang w:val="en-GB"/>
        </w:rPr>
        <w:t>s</w:t>
      </w:r>
      <w:r w:rsidR="005D45DF">
        <w:rPr>
          <w:lang w:val="en-GB"/>
        </w:rPr>
        <w:t>’</w:t>
      </w:r>
      <w:r w:rsidRPr="00DE4B91">
        <w:rPr>
          <w:lang w:val="en-GB"/>
        </w:rPr>
        <w:t xml:space="preserve"> and </w:t>
      </w:r>
      <w:r w:rsidR="005D45DF">
        <w:rPr>
          <w:lang w:val="en-GB"/>
        </w:rPr>
        <w:t>‘</w:t>
      </w:r>
      <w:r w:rsidR="002C0635">
        <w:rPr>
          <w:lang w:val="en-GB"/>
        </w:rPr>
        <w:t>I</w:t>
      </w:r>
      <w:r w:rsidRPr="00DE4B91">
        <w:rPr>
          <w:lang w:val="en-GB"/>
        </w:rPr>
        <w:t>ndustr</w:t>
      </w:r>
      <w:r w:rsidR="002C0635">
        <w:rPr>
          <w:lang w:val="en-GB"/>
        </w:rPr>
        <w:t>y</w:t>
      </w:r>
      <w:r w:rsidR="005D45DF">
        <w:rPr>
          <w:lang w:val="en-GB"/>
        </w:rPr>
        <w:t>’</w:t>
      </w:r>
      <w:r w:rsidR="002C0635">
        <w:rPr>
          <w:lang w:val="en-GB"/>
        </w:rPr>
        <w:t xml:space="preserve"> </w:t>
      </w:r>
      <w:r w:rsidRPr="00DE4B91">
        <w:rPr>
          <w:lang w:val="en-GB"/>
        </w:rPr>
        <w:t>sectors</w:t>
      </w:r>
      <w:r>
        <w:rPr>
          <w:lang w:val="en-GB"/>
        </w:rPr>
        <w:t>. In cooperation with the Energy Efficiency Department of the State Committee for Standardization of the Republic of Belarus, UNDP will explore opportunities to support the establishment</w:t>
      </w:r>
      <w:r w:rsidRPr="00D11E83">
        <w:t xml:space="preserve"> </w:t>
      </w:r>
      <w:r w:rsidRPr="003D06B4">
        <w:t>of</w:t>
      </w:r>
      <w:r>
        <w:rPr>
          <w:lang w:val="en-GB"/>
        </w:rPr>
        <w:t xml:space="preserve"> a sustainable and </w:t>
      </w:r>
      <w:r w:rsidR="002C0635">
        <w:rPr>
          <w:lang w:val="en-GB"/>
        </w:rPr>
        <w:t>effective</w:t>
      </w:r>
      <w:r>
        <w:rPr>
          <w:lang w:val="en-GB"/>
        </w:rPr>
        <w:t xml:space="preserve"> energy services market in Belarus. </w:t>
      </w:r>
      <w:r w:rsidR="00F25EAC">
        <w:rPr>
          <w:lang w:val="en-GB"/>
        </w:rPr>
        <w:t xml:space="preserve">. </w:t>
      </w:r>
      <w:r w:rsidR="002F402D">
        <w:rPr>
          <w:lang w:val="en-GB"/>
        </w:rPr>
        <w:t xml:space="preserve">UNDP will support </w:t>
      </w:r>
      <w:r w:rsidR="002C0635">
        <w:rPr>
          <w:lang w:val="en-GB"/>
        </w:rPr>
        <w:t>national</w:t>
      </w:r>
      <w:r w:rsidR="002F402D" w:rsidRPr="002F402D">
        <w:rPr>
          <w:lang w:val="en-GB"/>
        </w:rPr>
        <w:t xml:space="preserve"> effort</w:t>
      </w:r>
      <w:r w:rsidR="00995BC2">
        <w:rPr>
          <w:lang w:val="en-GB"/>
        </w:rPr>
        <w:t>s</w:t>
      </w:r>
      <w:r w:rsidR="002F402D" w:rsidRPr="002F402D">
        <w:rPr>
          <w:lang w:val="en-GB"/>
        </w:rPr>
        <w:t xml:space="preserve"> to expand the use of renewable energy sources, including technologies for the use of renewable energy </w:t>
      </w:r>
      <w:r w:rsidR="002C0635">
        <w:rPr>
          <w:lang w:val="en-GB"/>
        </w:rPr>
        <w:t xml:space="preserve">to cover </w:t>
      </w:r>
      <w:r w:rsidR="002F402D" w:rsidRPr="002F402D">
        <w:rPr>
          <w:lang w:val="en-GB"/>
        </w:rPr>
        <w:t>the</w:t>
      </w:r>
      <w:r w:rsidR="002C0635">
        <w:rPr>
          <w:lang w:val="en-GB"/>
        </w:rPr>
        <w:t xml:space="preserve"> energy</w:t>
      </w:r>
      <w:r w:rsidR="002F402D" w:rsidRPr="002F402D">
        <w:rPr>
          <w:lang w:val="en-GB"/>
        </w:rPr>
        <w:t xml:space="preserve"> </w:t>
      </w:r>
      <w:r w:rsidR="00787D01">
        <w:rPr>
          <w:lang w:val="en-GB"/>
        </w:rPr>
        <w:t>demand</w:t>
      </w:r>
      <w:r w:rsidR="005B5782" w:rsidRPr="005B5782">
        <w:rPr>
          <w:lang w:val="en-GB"/>
        </w:rPr>
        <w:t xml:space="preserve">. </w:t>
      </w:r>
      <w:r w:rsidR="00F25EAC">
        <w:rPr>
          <w:lang w:val="en-GB"/>
        </w:rPr>
        <w:t>The use of electric vehicles will be promoted</w:t>
      </w:r>
      <w:r w:rsidR="005D45DF">
        <w:rPr>
          <w:lang w:val="en-GB"/>
        </w:rPr>
        <w:t>,</w:t>
      </w:r>
      <w:r w:rsidR="00F25EAC">
        <w:rPr>
          <w:lang w:val="en-GB"/>
        </w:rPr>
        <w:t xml:space="preserve"> along with a </w:t>
      </w:r>
      <w:r w:rsidR="005B5782" w:rsidRPr="005B5782">
        <w:rPr>
          <w:lang w:val="en-GB"/>
        </w:rPr>
        <w:t xml:space="preserve">charging network </w:t>
      </w:r>
      <w:r w:rsidR="00F25EAC">
        <w:rPr>
          <w:lang w:val="en-GB"/>
        </w:rPr>
        <w:t>for</w:t>
      </w:r>
      <w:r w:rsidR="00790B0B" w:rsidRPr="005B5782">
        <w:rPr>
          <w:lang w:val="en-GB"/>
        </w:rPr>
        <w:t xml:space="preserve"> </w:t>
      </w:r>
      <w:r w:rsidR="005B5782" w:rsidRPr="005B5782">
        <w:rPr>
          <w:lang w:val="en-GB"/>
        </w:rPr>
        <w:t>sustainable transport</w:t>
      </w:r>
      <w:r w:rsidR="00790B0B">
        <w:rPr>
          <w:lang w:val="en-GB"/>
        </w:rPr>
        <w:t xml:space="preserve">. </w:t>
      </w:r>
      <w:r w:rsidR="00995BC2">
        <w:rPr>
          <w:lang w:val="en-GB"/>
        </w:rPr>
        <w:t xml:space="preserve">UNDP </w:t>
      </w:r>
      <w:r w:rsidR="00790B0B">
        <w:rPr>
          <w:lang w:val="en-GB"/>
        </w:rPr>
        <w:t xml:space="preserve">will </w:t>
      </w:r>
      <w:r w:rsidR="00DE2DCC">
        <w:rPr>
          <w:lang w:val="en-GB"/>
        </w:rPr>
        <w:t>enhance the national systems for</w:t>
      </w:r>
      <w:r w:rsidR="005B5782" w:rsidRPr="005B5782">
        <w:rPr>
          <w:lang w:val="en-GB"/>
        </w:rPr>
        <w:t xml:space="preserve"> </w:t>
      </w:r>
      <w:r w:rsidR="00DE2DCC" w:rsidRPr="005B5782">
        <w:rPr>
          <w:lang w:val="en-GB"/>
        </w:rPr>
        <w:t>manag</w:t>
      </w:r>
      <w:r w:rsidR="008F25F6">
        <w:rPr>
          <w:lang w:val="en-GB"/>
        </w:rPr>
        <w:t>ing</w:t>
      </w:r>
      <w:r w:rsidR="00DE2DCC" w:rsidRPr="005B5782">
        <w:rPr>
          <w:lang w:val="en-GB"/>
        </w:rPr>
        <w:t xml:space="preserve"> chemicals </w:t>
      </w:r>
      <w:r w:rsidR="00DE2DCC">
        <w:rPr>
          <w:lang w:val="en-GB"/>
        </w:rPr>
        <w:t xml:space="preserve">and </w:t>
      </w:r>
      <w:r w:rsidR="005B5782" w:rsidRPr="005B5782">
        <w:rPr>
          <w:lang w:val="en-GB"/>
        </w:rPr>
        <w:t>waste</w:t>
      </w:r>
      <w:r w:rsidR="00DE2DCC">
        <w:rPr>
          <w:lang w:val="en-GB"/>
        </w:rPr>
        <w:t>, including hazardous waste containing persistent organic pollutants</w:t>
      </w:r>
      <w:r w:rsidR="008F25F6">
        <w:rPr>
          <w:lang w:val="en-GB"/>
        </w:rPr>
        <w:t>,</w:t>
      </w:r>
      <w:r w:rsidR="005B5782" w:rsidRPr="005B5782">
        <w:rPr>
          <w:lang w:val="en-GB"/>
        </w:rPr>
        <w:t xml:space="preserve"> to minimize </w:t>
      </w:r>
      <w:r w:rsidR="00DE2DCC">
        <w:rPr>
          <w:lang w:val="en-GB"/>
        </w:rPr>
        <w:t xml:space="preserve">the </w:t>
      </w:r>
      <w:r w:rsidR="005B5782" w:rsidRPr="005B5782">
        <w:rPr>
          <w:lang w:val="en-GB"/>
        </w:rPr>
        <w:t>impact on the environment and human health.</w:t>
      </w:r>
      <w:r w:rsidR="005B5782">
        <w:rPr>
          <w:lang w:val="en-GB"/>
        </w:rPr>
        <w:t xml:space="preserve"> </w:t>
      </w:r>
    </w:p>
    <w:p w14:paraId="7D092941" w14:textId="0696C610" w:rsidR="00714329" w:rsidRPr="00D75D0C" w:rsidRDefault="008F25F6" w:rsidP="00542B95">
      <w:pPr>
        <w:tabs>
          <w:tab w:val="left" w:pos="1620"/>
        </w:tabs>
        <w:spacing w:after="120"/>
        <w:ind w:left="1260" w:right="1210"/>
        <w:jc w:val="both"/>
        <w:rPr>
          <w:lang w:val="en-GB"/>
        </w:rPr>
      </w:pPr>
      <w:r>
        <w:rPr>
          <w:lang w:val="en-GB"/>
        </w:rPr>
        <w:t>3</w:t>
      </w:r>
      <w:r w:rsidR="002F402D">
        <w:rPr>
          <w:lang w:val="en-GB"/>
        </w:rPr>
        <w:t>1</w:t>
      </w:r>
      <w:r>
        <w:rPr>
          <w:lang w:val="en-GB"/>
        </w:rPr>
        <w:t>.</w:t>
      </w:r>
      <w:r>
        <w:rPr>
          <w:lang w:val="en-GB"/>
        </w:rPr>
        <w:tab/>
      </w:r>
      <w:r w:rsidR="00101629">
        <w:rPr>
          <w:lang w:val="en-GB"/>
        </w:rPr>
        <w:t>Actions</w:t>
      </w:r>
      <w:r w:rsidR="00101629" w:rsidRPr="00D75D0C">
        <w:rPr>
          <w:lang w:val="en-GB"/>
        </w:rPr>
        <w:t xml:space="preserve"> </w:t>
      </w:r>
      <w:r w:rsidR="00714329" w:rsidRPr="00D75D0C">
        <w:rPr>
          <w:lang w:val="en-GB"/>
        </w:rPr>
        <w:t xml:space="preserve">to support </w:t>
      </w:r>
      <w:r>
        <w:rPr>
          <w:lang w:val="en-GB"/>
        </w:rPr>
        <w:t xml:space="preserve">the </w:t>
      </w:r>
      <w:r w:rsidR="00101629">
        <w:rPr>
          <w:lang w:val="en-GB"/>
        </w:rPr>
        <w:t>conservation</w:t>
      </w:r>
      <w:r w:rsidR="00714329" w:rsidRPr="00D75D0C">
        <w:rPr>
          <w:lang w:val="en-GB"/>
        </w:rPr>
        <w:t xml:space="preserve"> and sustainable use of biological and landscape </w:t>
      </w:r>
      <w:r w:rsidR="00307A7C" w:rsidRPr="00D75D0C">
        <w:rPr>
          <w:lang w:val="en-GB"/>
        </w:rPr>
        <w:t>diversity</w:t>
      </w:r>
      <w:r w:rsidR="00163BE2">
        <w:rPr>
          <w:lang w:val="en-GB"/>
        </w:rPr>
        <w:t xml:space="preserve">, </w:t>
      </w:r>
      <w:r w:rsidR="00163BE2" w:rsidRPr="00163BE2">
        <w:rPr>
          <w:lang w:val="en-GB"/>
        </w:rPr>
        <w:t>land degradation prevention</w:t>
      </w:r>
      <w:r w:rsidR="00307A7C" w:rsidRPr="00D75D0C">
        <w:rPr>
          <w:lang w:val="en-GB"/>
        </w:rPr>
        <w:t xml:space="preserve"> </w:t>
      </w:r>
      <w:r w:rsidR="00101629" w:rsidRPr="00D75D0C">
        <w:rPr>
          <w:lang w:val="en-GB"/>
        </w:rPr>
        <w:t xml:space="preserve">will </w:t>
      </w:r>
      <w:r w:rsidR="00101629">
        <w:rPr>
          <w:lang w:val="en-GB"/>
        </w:rPr>
        <w:t>be expanded.</w:t>
      </w:r>
      <w:r w:rsidR="002078F9">
        <w:rPr>
          <w:lang w:val="en-GB"/>
        </w:rPr>
        <w:t xml:space="preserve"> </w:t>
      </w:r>
      <w:r w:rsidR="00FB2461">
        <w:rPr>
          <w:lang w:val="en-GB"/>
        </w:rPr>
        <w:t>They</w:t>
      </w:r>
      <w:r w:rsidR="00714329" w:rsidRPr="00D75D0C">
        <w:rPr>
          <w:lang w:val="en-GB"/>
        </w:rPr>
        <w:t xml:space="preserve"> </w:t>
      </w:r>
      <w:r w:rsidR="00101629">
        <w:rPr>
          <w:lang w:val="en-GB"/>
        </w:rPr>
        <w:t xml:space="preserve">will </w:t>
      </w:r>
      <w:r w:rsidR="008906DB">
        <w:rPr>
          <w:lang w:val="en-GB"/>
        </w:rPr>
        <w:t xml:space="preserve">include </w:t>
      </w:r>
      <w:r w:rsidR="00714329" w:rsidRPr="00D75D0C">
        <w:rPr>
          <w:lang w:val="en-GB"/>
        </w:rPr>
        <w:t xml:space="preserve">economic instruments and measures </w:t>
      </w:r>
      <w:r w:rsidR="00101629">
        <w:rPr>
          <w:lang w:val="en-GB"/>
        </w:rPr>
        <w:t xml:space="preserve">to ensure </w:t>
      </w:r>
      <w:r>
        <w:rPr>
          <w:lang w:val="en-GB"/>
        </w:rPr>
        <w:t xml:space="preserve">the </w:t>
      </w:r>
      <w:r w:rsidR="00101629">
        <w:rPr>
          <w:lang w:val="en-GB"/>
        </w:rPr>
        <w:t>restoration and sustainable</w:t>
      </w:r>
      <w:r w:rsidR="00101629" w:rsidRPr="00D75D0C">
        <w:rPr>
          <w:lang w:val="en-GB"/>
        </w:rPr>
        <w:t xml:space="preserve"> </w:t>
      </w:r>
      <w:r w:rsidR="00714329" w:rsidRPr="00D75D0C">
        <w:rPr>
          <w:lang w:val="en-GB"/>
        </w:rPr>
        <w:t xml:space="preserve">use of </w:t>
      </w:r>
      <w:r w:rsidR="00101629">
        <w:rPr>
          <w:lang w:val="en-GB"/>
        </w:rPr>
        <w:t xml:space="preserve">ground and surface </w:t>
      </w:r>
      <w:r w:rsidR="00714329" w:rsidRPr="00D75D0C">
        <w:rPr>
          <w:lang w:val="en-GB"/>
        </w:rPr>
        <w:t>water</w:t>
      </w:r>
      <w:r w:rsidR="00787D01">
        <w:rPr>
          <w:lang w:val="en-GB"/>
        </w:rPr>
        <w:t>s</w:t>
      </w:r>
      <w:r w:rsidR="00252C57">
        <w:rPr>
          <w:lang w:val="en-GB"/>
        </w:rPr>
        <w:t>,</w:t>
      </w:r>
      <w:r w:rsidR="00714329" w:rsidRPr="00D75D0C">
        <w:rPr>
          <w:lang w:val="en-GB"/>
        </w:rPr>
        <w:t xml:space="preserve"> land resources</w:t>
      </w:r>
      <w:r w:rsidR="00D57C86">
        <w:rPr>
          <w:lang w:val="en-GB"/>
        </w:rPr>
        <w:t>,</w:t>
      </w:r>
      <w:r w:rsidR="00637330">
        <w:rPr>
          <w:lang w:val="en-GB"/>
        </w:rPr>
        <w:t xml:space="preserve"> fresh</w:t>
      </w:r>
      <w:r>
        <w:rPr>
          <w:lang w:val="en-GB"/>
        </w:rPr>
        <w:t>-</w:t>
      </w:r>
      <w:r w:rsidR="00637330">
        <w:rPr>
          <w:lang w:val="en-GB"/>
        </w:rPr>
        <w:t>water eco-systems</w:t>
      </w:r>
      <w:r w:rsidR="00D57C86">
        <w:rPr>
          <w:lang w:val="en-GB"/>
        </w:rPr>
        <w:t xml:space="preserve"> and</w:t>
      </w:r>
      <w:r w:rsidR="00163BE2">
        <w:rPr>
          <w:lang w:val="en-GB"/>
        </w:rPr>
        <w:t xml:space="preserve"> ecotourism development</w:t>
      </w:r>
      <w:r w:rsidR="00714329" w:rsidRPr="00D75D0C">
        <w:rPr>
          <w:lang w:val="en-GB"/>
        </w:rPr>
        <w:t xml:space="preserve">. UNDP will assist in scaling up activities aimed at reducing </w:t>
      </w:r>
      <w:r w:rsidR="00513E0C">
        <w:rPr>
          <w:lang w:val="en-GB"/>
        </w:rPr>
        <w:t xml:space="preserve">the </w:t>
      </w:r>
      <w:r w:rsidR="00513E0C" w:rsidRPr="00D75D0C">
        <w:rPr>
          <w:lang w:val="en-GB"/>
        </w:rPr>
        <w:t xml:space="preserve">risk </w:t>
      </w:r>
      <w:r w:rsidR="00513E0C">
        <w:rPr>
          <w:lang w:val="en-GB"/>
        </w:rPr>
        <w:t xml:space="preserve">of </w:t>
      </w:r>
      <w:r w:rsidR="00714329" w:rsidRPr="00D75D0C">
        <w:rPr>
          <w:lang w:val="en-GB"/>
        </w:rPr>
        <w:t xml:space="preserve">natural </w:t>
      </w:r>
      <w:r w:rsidR="00513E0C">
        <w:rPr>
          <w:lang w:val="en-GB"/>
        </w:rPr>
        <w:t xml:space="preserve">and man-made </w:t>
      </w:r>
      <w:r w:rsidR="00714329" w:rsidRPr="00D75D0C">
        <w:rPr>
          <w:lang w:val="en-GB"/>
        </w:rPr>
        <w:t>disaster</w:t>
      </w:r>
      <w:r w:rsidR="00513E0C">
        <w:rPr>
          <w:lang w:val="en-GB"/>
        </w:rPr>
        <w:t>s</w:t>
      </w:r>
      <w:r w:rsidR="00714329" w:rsidRPr="00D75D0C">
        <w:rPr>
          <w:lang w:val="en-GB"/>
        </w:rPr>
        <w:t xml:space="preserve"> and improving emergency preparedness, including transboundary wildfire risks.</w:t>
      </w:r>
    </w:p>
    <w:p w14:paraId="59157C1F" w14:textId="1558CDF7" w:rsidR="00714329" w:rsidRDefault="008F25F6" w:rsidP="001D29FF">
      <w:pPr>
        <w:tabs>
          <w:tab w:val="left" w:pos="1620"/>
        </w:tabs>
        <w:spacing w:after="120"/>
        <w:ind w:left="1260" w:right="1210"/>
        <w:jc w:val="both"/>
        <w:rPr>
          <w:lang w:val="en-GB"/>
        </w:rPr>
      </w:pPr>
      <w:r>
        <w:rPr>
          <w:lang w:val="en-GB"/>
        </w:rPr>
        <w:t>3</w:t>
      </w:r>
      <w:r w:rsidR="002F402D">
        <w:rPr>
          <w:lang w:val="en-GB"/>
        </w:rPr>
        <w:t>2</w:t>
      </w:r>
      <w:r>
        <w:rPr>
          <w:lang w:val="en-GB"/>
        </w:rPr>
        <w:t>.</w:t>
      </w:r>
      <w:r>
        <w:rPr>
          <w:lang w:val="en-GB"/>
        </w:rPr>
        <w:tab/>
      </w:r>
      <w:r w:rsidR="00F25EAC">
        <w:rPr>
          <w:lang w:val="en-GB"/>
        </w:rPr>
        <w:t>UNDP will support Belarus in fulfilling its</w:t>
      </w:r>
      <w:r w:rsidR="00D1294C">
        <w:rPr>
          <w:lang w:val="en-GB"/>
        </w:rPr>
        <w:t xml:space="preserve"> </w:t>
      </w:r>
      <w:r w:rsidR="00E06263">
        <w:rPr>
          <w:lang w:val="en-GB"/>
        </w:rPr>
        <w:t>obligations</w:t>
      </w:r>
      <w:r w:rsidR="00E06263" w:rsidRPr="00D75D0C">
        <w:rPr>
          <w:lang w:val="en-GB"/>
        </w:rPr>
        <w:t xml:space="preserve"> </w:t>
      </w:r>
      <w:r w:rsidR="00714329" w:rsidRPr="00D75D0C">
        <w:rPr>
          <w:lang w:val="en-GB"/>
        </w:rPr>
        <w:t xml:space="preserve">under </w:t>
      </w:r>
      <w:r w:rsidR="00E06263">
        <w:rPr>
          <w:lang w:val="en-GB"/>
        </w:rPr>
        <w:t xml:space="preserve">the </w:t>
      </w:r>
      <w:r w:rsidR="00714329" w:rsidRPr="00D75D0C">
        <w:rPr>
          <w:lang w:val="en-GB"/>
        </w:rPr>
        <w:t xml:space="preserve">key </w:t>
      </w:r>
      <w:r w:rsidR="00E06263">
        <w:rPr>
          <w:lang w:val="en-GB"/>
        </w:rPr>
        <w:t xml:space="preserve">environmental </w:t>
      </w:r>
      <w:r w:rsidR="00714329" w:rsidRPr="00D75D0C">
        <w:rPr>
          <w:lang w:val="en-GB"/>
        </w:rPr>
        <w:t xml:space="preserve">international agreements, </w:t>
      </w:r>
      <w:r w:rsidR="00E06263">
        <w:rPr>
          <w:lang w:val="en-GB"/>
        </w:rPr>
        <w:t xml:space="preserve">among which are </w:t>
      </w:r>
      <w:r w:rsidR="00714329" w:rsidRPr="00D75D0C">
        <w:rPr>
          <w:lang w:val="en-GB"/>
        </w:rPr>
        <w:t>the Paris Agreement,</w:t>
      </w:r>
      <w:r w:rsidR="005D45DF">
        <w:rPr>
          <w:lang w:val="en-GB"/>
        </w:rPr>
        <w:t xml:space="preserve"> </w:t>
      </w:r>
      <w:r w:rsidR="00714329" w:rsidRPr="00D75D0C">
        <w:rPr>
          <w:lang w:val="en-GB"/>
        </w:rPr>
        <w:t>the Stockholm Convention on Persistent Organic Pollutants</w:t>
      </w:r>
      <w:r w:rsidR="00F871C7">
        <w:rPr>
          <w:lang w:val="en-GB"/>
        </w:rPr>
        <w:t>,</w:t>
      </w:r>
      <w:r w:rsidR="00E06263">
        <w:rPr>
          <w:lang w:val="en-GB"/>
        </w:rPr>
        <w:t xml:space="preserve"> the U</w:t>
      </w:r>
      <w:r>
        <w:rPr>
          <w:lang w:val="en-GB"/>
        </w:rPr>
        <w:t>nited Nations</w:t>
      </w:r>
      <w:r w:rsidR="00E06263">
        <w:rPr>
          <w:lang w:val="en-GB"/>
        </w:rPr>
        <w:t xml:space="preserve"> Convention on Biological Diversity</w:t>
      </w:r>
      <w:r w:rsidR="00163BE2">
        <w:rPr>
          <w:lang w:val="en-GB"/>
        </w:rPr>
        <w:t xml:space="preserve">, </w:t>
      </w:r>
      <w:r w:rsidR="00163BE2" w:rsidRPr="00163BE2">
        <w:rPr>
          <w:lang w:val="en-GB"/>
        </w:rPr>
        <w:t>United Nations Convention to Combat Desertification</w:t>
      </w:r>
      <w:r w:rsidR="00163BE2">
        <w:rPr>
          <w:lang w:val="en-GB"/>
        </w:rPr>
        <w:t xml:space="preserve">, </w:t>
      </w:r>
      <w:r w:rsidR="00D57C86">
        <w:rPr>
          <w:lang w:val="en-GB"/>
        </w:rPr>
        <w:t xml:space="preserve">and </w:t>
      </w:r>
      <w:r w:rsidR="00163BE2">
        <w:rPr>
          <w:lang w:val="en-GB"/>
        </w:rPr>
        <w:t>t</w:t>
      </w:r>
      <w:r w:rsidR="00163BE2" w:rsidRPr="00163BE2">
        <w:rPr>
          <w:lang w:val="en-GB"/>
        </w:rPr>
        <w:t>he Ramsar Convention on Wetlands of International Importance</w:t>
      </w:r>
      <w:r w:rsidR="00714329" w:rsidRPr="00D75D0C">
        <w:rPr>
          <w:lang w:val="en-GB"/>
        </w:rPr>
        <w:t>.</w:t>
      </w:r>
      <w:r w:rsidR="00FA53F7">
        <w:rPr>
          <w:lang w:val="en-GB"/>
        </w:rPr>
        <w:t xml:space="preserve"> </w:t>
      </w:r>
    </w:p>
    <w:p w14:paraId="655B8B7D" w14:textId="0AE23BF9" w:rsidR="0096653F" w:rsidRDefault="008F25F6" w:rsidP="0096653F">
      <w:pPr>
        <w:pStyle w:val="ListParagraph"/>
        <w:tabs>
          <w:tab w:val="left" w:pos="1620"/>
        </w:tabs>
        <w:spacing w:after="120"/>
        <w:ind w:left="1260" w:right="1210"/>
        <w:jc w:val="both"/>
        <w:rPr>
          <w:lang w:val="en-GB"/>
        </w:rPr>
      </w:pPr>
      <w:r w:rsidRPr="00D57C86">
        <w:rPr>
          <w:lang w:val="en-GB"/>
        </w:rPr>
        <w:t>3</w:t>
      </w:r>
      <w:r w:rsidR="002F402D">
        <w:rPr>
          <w:lang w:val="en-GB"/>
        </w:rPr>
        <w:t>3</w:t>
      </w:r>
      <w:r w:rsidRPr="00D57C86">
        <w:rPr>
          <w:lang w:val="en-GB"/>
        </w:rPr>
        <w:t>.</w:t>
      </w:r>
      <w:r>
        <w:rPr>
          <w:color w:val="FF0000"/>
          <w:lang w:val="en-GB"/>
        </w:rPr>
        <w:tab/>
      </w:r>
      <w:r w:rsidR="00714329" w:rsidRPr="00D75D0C">
        <w:rPr>
          <w:lang w:val="en-GB"/>
        </w:rPr>
        <w:t xml:space="preserve">UNDP </w:t>
      </w:r>
      <w:r w:rsidR="00637330">
        <w:rPr>
          <w:lang w:val="en-GB"/>
        </w:rPr>
        <w:t>will help raise</w:t>
      </w:r>
      <w:r w:rsidR="00714329" w:rsidRPr="00D75D0C">
        <w:rPr>
          <w:lang w:val="en-GB"/>
        </w:rPr>
        <w:t xml:space="preserve"> environmental </w:t>
      </w:r>
      <w:r w:rsidR="00637330">
        <w:rPr>
          <w:lang w:val="en-GB"/>
        </w:rPr>
        <w:t xml:space="preserve">and climate </w:t>
      </w:r>
      <w:r w:rsidR="00714329" w:rsidRPr="00D75D0C">
        <w:rPr>
          <w:lang w:val="en-GB"/>
        </w:rPr>
        <w:t xml:space="preserve">awareness </w:t>
      </w:r>
      <w:r w:rsidR="00462F36">
        <w:rPr>
          <w:lang w:val="en-GB"/>
        </w:rPr>
        <w:t>by</w:t>
      </w:r>
      <w:r w:rsidR="00571280" w:rsidRPr="00571280">
        <w:rPr>
          <w:lang w:val="en-GB"/>
        </w:rPr>
        <w:t xml:space="preserve"> increasing environmental education</w:t>
      </w:r>
      <w:r w:rsidR="00462F36">
        <w:rPr>
          <w:lang w:val="en-GB"/>
        </w:rPr>
        <w:t>,</w:t>
      </w:r>
      <w:r w:rsidR="00571280">
        <w:rPr>
          <w:lang w:val="en-GB"/>
        </w:rPr>
        <w:t xml:space="preserve"> </w:t>
      </w:r>
      <w:r w:rsidR="00714329" w:rsidRPr="00D75D0C">
        <w:rPr>
          <w:lang w:val="en-GB"/>
        </w:rPr>
        <w:t xml:space="preserve">involving the public in environmental </w:t>
      </w:r>
      <w:r w:rsidR="0016056D" w:rsidRPr="00D75D0C">
        <w:rPr>
          <w:lang w:val="en-GB"/>
        </w:rPr>
        <w:t>monitoring and</w:t>
      </w:r>
      <w:r w:rsidR="00714329" w:rsidRPr="00D75D0C">
        <w:rPr>
          <w:lang w:val="en-GB"/>
        </w:rPr>
        <w:t xml:space="preserve"> improving environmental management at </w:t>
      </w:r>
      <w:r>
        <w:rPr>
          <w:lang w:val="en-GB"/>
        </w:rPr>
        <w:t xml:space="preserve">the </w:t>
      </w:r>
      <w:r w:rsidR="00714329" w:rsidRPr="00D75D0C">
        <w:rPr>
          <w:lang w:val="en-GB"/>
        </w:rPr>
        <w:t>local level.</w:t>
      </w:r>
    </w:p>
    <w:p w14:paraId="5F2DF92D" w14:textId="345D8197" w:rsidR="008F25F6" w:rsidRDefault="00714329" w:rsidP="00542B95">
      <w:pPr>
        <w:tabs>
          <w:tab w:val="left" w:pos="1620"/>
        </w:tabs>
        <w:spacing w:after="120"/>
        <w:ind w:left="1260" w:right="1210"/>
        <w:jc w:val="both"/>
        <w:rPr>
          <w:b/>
          <w:bCs/>
          <w:sz w:val="22"/>
          <w:szCs w:val="22"/>
          <w:lang w:val="en-GB"/>
        </w:rPr>
      </w:pPr>
      <w:r w:rsidRPr="00542B95">
        <w:rPr>
          <w:b/>
          <w:bCs/>
          <w:lang w:val="en-GB"/>
        </w:rPr>
        <w:t xml:space="preserve">Priority </w:t>
      </w:r>
      <w:r w:rsidR="00EB1B2F">
        <w:rPr>
          <w:b/>
          <w:bCs/>
          <w:lang w:val="en-GB"/>
        </w:rPr>
        <w:t>a</w:t>
      </w:r>
      <w:r w:rsidRPr="00542B95">
        <w:rPr>
          <w:b/>
          <w:bCs/>
          <w:lang w:val="en-GB"/>
        </w:rPr>
        <w:t>rea 3</w:t>
      </w:r>
      <w:r w:rsidR="00EB1B2F">
        <w:rPr>
          <w:b/>
          <w:bCs/>
          <w:lang w:val="en-GB"/>
        </w:rPr>
        <w:t>.</w:t>
      </w:r>
      <w:r w:rsidRPr="00033A9A">
        <w:rPr>
          <w:b/>
          <w:bCs/>
          <w:lang w:val="en-GB"/>
        </w:rPr>
        <w:t xml:space="preserve"> </w:t>
      </w:r>
      <w:r w:rsidR="001B62A9" w:rsidRPr="00033A9A">
        <w:rPr>
          <w:b/>
          <w:bCs/>
          <w:lang w:val="en-GB"/>
        </w:rPr>
        <w:t xml:space="preserve">Development </w:t>
      </w:r>
      <w:r w:rsidRPr="00033A9A">
        <w:rPr>
          <w:b/>
          <w:bCs/>
          <w:lang w:val="en-GB"/>
        </w:rPr>
        <w:t>of an effective digital ecosystem</w:t>
      </w:r>
      <w:r w:rsidR="00E36CF2" w:rsidRPr="00033A9A">
        <w:rPr>
          <w:b/>
          <w:bCs/>
          <w:lang w:val="en-GB"/>
        </w:rPr>
        <w:t xml:space="preserve"> (</w:t>
      </w:r>
      <w:r w:rsidR="009952F6" w:rsidRPr="00033A9A">
        <w:rPr>
          <w:b/>
          <w:bCs/>
          <w:lang w:val="en-GB"/>
        </w:rPr>
        <w:t>r</w:t>
      </w:r>
      <w:r w:rsidR="00E36CF2" w:rsidRPr="00033A9A">
        <w:rPr>
          <w:b/>
          <w:bCs/>
          <w:lang w:val="en-GB"/>
        </w:rPr>
        <w:t xml:space="preserve">elated </w:t>
      </w:r>
      <w:r w:rsidR="00796818">
        <w:rPr>
          <w:b/>
          <w:bCs/>
          <w:lang w:val="en-GB"/>
        </w:rPr>
        <w:t>Goals</w:t>
      </w:r>
      <w:r w:rsidR="00796818" w:rsidRPr="00542B95">
        <w:rPr>
          <w:b/>
          <w:bCs/>
          <w:lang w:val="en-GB"/>
        </w:rPr>
        <w:t xml:space="preserve"> </w:t>
      </w:r>
      <w:r w:rsidR="008F25F6">
        <w:rPr>
          <w:b/>
          <w:bCs/>
          <w:lang w:val="en-GB"/>
        </w:rPr>
        <w:t>t</w:t>
      </w:r>
      <w:r w:rsidR="00E36CF2" w:rsidRPr="00033A9A">
        <w:rPr>
          <w:b/>
          <w:bCs/>
          <w:lang w:val="en-GB"/>
        </w:rPr>
        <w:t xml:space="preserve">argets: 4.3; 4.4; 9.4; 11.3; 11.7; </w:t>
      </w:r>
      <w:r w:rsidR="00D4652B" w:rsidRPr="00033A9A">
        <w:rPr>
          <w:b/>
          <w:bCs/>
          <w:lang w:val="en-GB"/>
        </w:rPr>
        <w:t xml:space="preserve">16.7; </w:t>
      </w:r>
      <w:r w:rsidR="00B65050">
        <w:rPr>
          <w:b/>
          <w:bCs/>
          <w:lang w:val="en-GB"/>
        </w:rPr>
        <w:t xml:space="preserve">and </w:t>
      </w:r>
      <w:r w:rsidR="00E36CF2" w:rsidRPr="00033A9A">
        <w:rPr>
          <w:b/>
          <w:bCs/>
          <w:lang w:val="en-GB"/>
        </w:rPr>
        <w:t>17.8)</w:t>
      </w:r>
      <w:r w:rsidRPr="00033A9A">
        <w:rPr>
          <w:b/>
          <w:bCs/>
          <w:lang w:val="en-GB"/>
        </w:rPr>
        <w:t>.</w:t>
      </w:r>
      <w:r w:rsidRPr="00D75D0C">
        <w:rPr>
          <w:b/>
          <w:bCs/>
          <w:sz w:val="22"/>
          <w:szCs w:val="22"/>
          <w:lang w:val="en-GB"/>
        </w:rPr>
        <w:t xml:space="preserve"> </w:t>
      </w:r>
    </w:p>
    <w:p w14:paraId="0FFF683C" w14:textId="24237EA0" w:rsidR="00714329" w:rsidRPr="00D75D0C" w:rsidRDefault="008F25F6" w:rsidP="00542B95">
      <w:pPr>
        <w:tabs>
          <w:tab w:val="left" w:pos="1620"/>
        </w:tabs>
        <w:spacing w:after="120"/>
        <w:ind w:left="1260" w:right="1210"/>
        <w:jc w:val="both"/>
        <w:rPr>
          <w:lang w:val="en-GB"/>
        </w:rPr>
      </w:pPr>
      <w:r>
        <w:rPr>
          <w:lang w:val="en-GB"/>
        </w:rPr>
        <w:t>3</w:t>
      </w:r>
      <w:r w:rsidR="002F402D">
        <w:rPr>
          <w:lang w:val="en-GB"/>
        </w:rPr>
        <w:t>4</w:t>
      </w:r>
      <w:r>
        <w:rPr>
          <w:lang w:val="en-GB"/>
        </w:rPr>
        <w:t>.</w:t>
      </w:r>
      <w:r>
        <w:rPr>
          <w:lang w:val="en-GB"/>
        </w:rPr>
        <w:tab/>
      </w:r>
      <w:r w:rsidR="00714329" w:rsidRPr="007D3F28">
        <w:rPr>
          <w:lang w:val="en-GB"/>
        </w:rPr>
        <w:t xml:space="preserve">The </w:t>
      </w:r>
      <w:r w:rsidR="00714329" w:rsidRPr="00D75D0C">
        <w:rPr>
          <w:lang w:val="en-GB"/>
        </w:rPr>
        <w:t xml:space="preserve">area is aligned with the national priority </w:t>
      </w:r>
      <w:r w:rsidR="006C17DF">
        <w:rPr>
          <w:lang w:val="en-GB"/>
        </w:rPr>
        <w:t>on</w:t>
      </w:r>
      <w:r w:rsidR="00714329" w:rsidRPr="00D75D0C">
        <w:rPr>
          <w:lang w:val="en-GB"/>
        </w:rPr>
        <w:t xml:space="preserve"> digital transformation of the economy and development of high-tech sectors. The programme activities </w:t>
      </w:r>
      <w:r w:rsidR="006C17DF">
        <w:rPr>
          <w:lang w:val="en-GB"/>
        </w:rPr>
        <w:t>will</w:t>
      </w:r>
      <w:r w:rsidR="00714329" w:rsidRPr="00D75D0C">
        <w:rPr>
          <w:lang w:val="en-GB"/>
        </w:rPr>
        <w:t xml:space="preserve"> contribute to the achievement of </w:t>
      </w:r>
      <w:r>
        <w:rPr>
          <w:lang w:val="en-GB"/>
        </w:rPr>
        <w:t>o</w:t>
      </w:r>
      <w:r w:rsidR="00714329" w:rsidRPr="00D75D0C">
        <w:rPr>
          <w:lang w:val="en-GB"/>
        </w:rPr>
        <w:t xml:space="preserve">utcome </w:t>
      </w:r>
      <w:r w:rsidR="000B61BC">
        <w:rPr>
          <w:lang w:val="en-GB"/>
        </w:rPr>
        <w:t>4</w:t>
      </w:r>
      <w:r w:rsidR="00714329" w:rsidRPr="00D75D0C">
        <w:rPr>
          <w:lang w:val="en-GB"/>
        </w:rPr>
        <w:t xml:space="preserve"> of </w:t>
      </w:r>
      <w:r w:rsidR="00796818">
        <w:rPr>
          <w:lang w:val="en-GB"/>
        </w:rPr>
        <w:t xml:space="preserve">the </w:t>
      </w:r>
      <w:r w:rsidR="00757DF7" w:rsidRPr="00D75D0C">
        <w:rPr>
          <w:lang w:val="en-GB"/>
        </w:rPr>
        <w:t xml:space="preserve">United Nations </w:t>
      </w:r>
      <w:r w:rsidR="00757DF7">
        <w:rPr>
          <w:lang w:val="en-GB"/>
        </w:rPr>
        <w:t xml:space="preserve">Sustainable </w:t>
      </w:r>
      <w:r w:rsidR="00757DF7" w:rsidRPr="00D75D0C">
        <w:rPr>
          <w:lang w:val="en-GB"/>
        </w:rPr>
        <w:t xml:space="preserve">Development </w:t>
      </w:r>
      <w:r w:rsidR="00757DF7">
        <w:rPr>
          <w:lang w:val="en-GB"/>
        </w:rPr>
        <w:t>Cooperation</w:t>
      </w:r>
      <w:r w:rsidR="00757DF7" w:rsidRPr="00D75D0C">
        <w:rPr>
          <w:lang w:val="en-GB"/>
        </w:rPr>
        <w:t xml:space="preserve"> Framework</w:t>
      </w:r>
      <w:r w:rsidR="00757DF7">
        <w:rPr>
          <w:lang w:val="en-GB"/>
        </w:rPr>
        <w:t>,</w:t>
      </w:r>
      <w:r w:rsidR="00714329" w:rsidRPr="00D75D0C">
        <w:rPr>
          <w:lang w:val="en-GB"/>
        </w:rPr>
        <w:t xml:space="preserve"> 2021-2025.</w:t>
      </w:r>
    </w:p>
    <w:p w14:paraId="5FE2F75F" w14:textId="4EBC6978" w:rsidR="00714329" w:rsidRPr="00D75D0C" w:rsidRDefault="008F25F6" w:rsidP="001D29FF">
      <w:pPr>
        <w:tabs>
          <w:tab w:val="left" w:pos="1620"/>
        </w:tabs>
        <w:spacing w:after="120"/>
        <w:ind w:left="1260" w:right="1210"/>
        <w:jc w:val="both"/>
        <w:rPr>
          <w:lang w:val="en-GB"/>
        </w:rPr>
      </w:pPr>
      <w:r w:rsidRPr="00AB33D5">
        <w:rPr>
          <w:bCs/>
          <w:lang w:val="en-GB"/>
        </w:rPr>
        <w:t>3</w:t>
      </w:r>
      <w:r w:rsidR="002F402D" w:rsidRPr="00AB33D5">
        <w:rPr>
          <w:bCs/>
          <w:lang w:val="en-GB"/>
        </w:rPr>
        <w:t>5</w:t>
      </w:r>
      <w:r w:rsidRPr="00AB33D5">
        <w:rPr>
          <w:bCs/>
          <w:lang w:val="en-GB"/>
        </w:rPr>
        <w:t>.</w:t>
      </w:r>
      <w:r w:rsidRPr="00AB33D5">
        <w:rPr>
          <w:bCs/>
          <w:lang w:val="en-GB"/>
        </w:rPr>
        <w:tab/>
      </w:r>
      <w:r w:rsidR="00714329" w:rsidRPr="00AB33D5">
        <w:rPr>
          <w:lang w:val="en-GB"/>
        </w:rPr>
        <w:t>In</w:t>
      </w:r>
      <w:r w:rsidR="00714329" w:rsidRPr="00D75D0C">
        <w:rPr>
          <w:lang w:val="en-GB"/>
        </w:rPr>
        <w:t xml:space="preserve"> order to support </w:t>
      </w:r>
      <w:r>
        <w:rPr>
          <w:lang w:val="en-GB"/>
        </w:rPr>
        <w:t>g</w:t>
      </w:r>
      <w:r w:rsidR="00714329" w:rsidRPr="00D75D0C">
        <w:rPr>
          <w:lang w:val="en-GB"/>
        </w:rPr>
        <w:t>overnment</w:t>
      </w:r>
      <w:r>
        <w:rPr>
          <w:lang w:val="en-GB"/>
        </w:rPr>
        <w:t xml:space="preserve"> efforts towards</w:t>
      </w:r>
      <w:r w:rsidR="00714329" w:rsidRPr="00D75D0C">
        <w:rPr>
          <w:lang w:val="en-GB"/>
        </w:rPr>
        <w:t xml:space="preserve"> digital transformation, UNDP will </w:t>
      </w:r>
      <w:r w:rsidR="001C1D33">
        <w:rPr>
          <w:lang w:val="en-GB"/>
        </w:rPr>
        <w:t>support</w:t>
      </w:r>
      <w:r w:rsidR="002F402D" w:rsidRPr="002F402D">
        <w:rPr>
          <w:lang w:val="en-GB"/>
        </w:rPr>
        <w:t xml:space="preserve"> </w:t>
      </w:r>
      <w:r w:rsidR="005D45DF">
        <w:rPr>
          <w:lang w:val="en-GB"/>
        </w:rPr>
        <w:t xml:space="preserve">the </w:t>
      </w:r>
      <w:r w:rsidR="002F402D" w:rsidRPr="002F402D">
        <w:rPr>
          <w:lang w:val="en-GB"/>
        </w:rPr>
        <w:t>formation of a full-fledged digital ecosystem, including implementation of activities consolidati</w:t>
      </w:r>
      <w:r w:rsidR="00042CD9">
        <w:rPr>
          <w:lang w:val="en-GB"/>
        </w:rPr>
        <w:t>ng</w:t>
      </w:r>
      <w:r w:rsidR="002F402D" w:rsidRPr="002F402D">
        <w:rPr>
          <w:lang w:val="en-GB"/>
        </w:rPr>
        <w:t xml:space="preserve"> efforts of the </w:t>
      </w:r>
      <w:r w:rsidR="005D45DF">
        <w:rPr>
          <w:lang w:val="en-GB"/>
        </w:rPr>
        <w:t>S</w:t>
      </w:r>
      <w:r w:rsidR="002F402D" w:rsidRPr="002F402D">
        <w:rPr>
          <w:lang w:val="en-GB"/>
        </w:rPr>
        <w:t>tate, society and business</w:t>
      </w:r>
      <w:r w:rsidR="00AB33D5">
        <w:rPr>
          <w:lang w:val="en-GB"/>
        </w:rPr>
        <w:t xml:space="preserve"> </w:t>
      </w:r>
      <w:r w:rsidR="00AB33D5" w:rsidRPr="00AB33D5">
        <w:rPr>
          <w:lang w:val="en-GB"/>
        </w:rPr>
        <w:t>within the framework of the</w:t>
      </w:r>
      <w:r w:rsidR="00AB33D5">
        <w:rPr>
          <w:lang w:val="en-GB"/>
        </w:rPr>
        <w:t xml:space="preserve"> </w:t>
      </w:r>
      <w:r w:rsidR="00AB33D5" w:rsidRPr="00AB33D5">
        <w:rPr>
          <w:lang w:val="en-GB"/>
        </w:rPr>
        <w:t xml:space="preserve">organizational and technological platform </w:t>
      </w:r>
      <w:r w:rsidR="005D45DF">
        <w:rPr>
          <w:lang w:val="en-GB"/>
        </w:rPr>
        <w:t>‘</w:t>
      </w:r>
      <w:r w:rsidR="00AB33D5" w:rsidRPr="00AB33D5">
        <w:rPr>
          <w:lang w:val="en-GB"/>
        </w:rPr>
        <w:t xml:space="preserve">Smart </w:t>
      </w:r>
      <w:r w:rsidR="00AB33D5">
        <w:rPr>
          <w:lang w:val="en-GB"/>
        </w:rPr>
        <w:t>i</w:t>
      </w:r>
      <w:r w:rsidR="00AB33D5" w:rsidRPr="00AB33D5">
        <w:rPr>
          <w:lang w:val="en-GB"/>
        </w:rPr>
        <w:t>ndustry of Belarus</w:t>
      </w:r>
      <w:r w:rsidR="005D45DF">
        <w:rPr>
          <w:lang w:val="en-GB"/>
        </w:rPr>
        <w:t>’</w:t>
      </w:r>
      <w:r w:rsidR="00995BC2">
        <w:rPr>
          <w:lang w:val="en-GB"/>
        </w:rPr>
        <w:t xml:space="preserve">, </w:t>
      </w:r>
      <w:r w:rsidR="00AB33D5" w:rsidRPr="00AB33D5">
        <w:rPr>
          <w:lang w:val="en-GB"/>
        </w:rPr>
        <w:t>innovation and industrial clusters</w:t>
      </w:r>
      <w:r w:rsidR="00410688">
        <w:rPr>
          <w:lang w:val="en-GB"/>
        </w:rPr>
        <w:t>.</w:t>
      </w:r>
      <w:r w:rsidR="00714329" w:rsidRPr="00D75D0C">
        <w:rPr>
          <w:lang w:val="en-GB"/>
        </w:rPr>
        <w:t>.</w:t>
      </w:r>
    </w:p>
    <w:p w14:paraId="3C65886A" w14:textId="5E72D7D0" w:rsidR="00AB33D5" w:rsidRDefault="00EB1B2F" w:rsidP="001D29FF">
      <w:pPr>
        <w:pStyle w:val="ListParagraph"/>
        <w:tabs>
          <w:tab w:val="left" w:pos="1620"/>
        </w:tabs>
        <w:spacing w:after="120"/>
        <w:ind w:left="1260" w:right="1210"/>
        <w:jc w:val="both"/>
        <w:rPr>
          <w:lang w:val="en-GB"/>
        </w:rPr>
      </w:pPr>
      <w:r>
        <w:rPr>
          <w:lang w:val="en-GB"/>
        </w:rPr>
        <w:t>3</w:t>
      </w:r>
      <w:r w:rsidR="002F402D">
        <w:rPr>
          <w:lang w:val="en-GB"/>
        </w:rPr>
        <w:t>6</w:t>
      </w:r>
      <w:r>
        <w:rPr>
          <w:lang w:val="en-GB"/>
        </w:rPr>
        <w:t>.</w:t>
      </w:r>
      <w:r>
        <w:rPr>
          <w:lang w:val="en-GB"/>
        </w:rPr>
        <w:tab/>
      </w:r>
      <w:r w:rsidR="00AB33D5">
        <w:rPr>
          <w:lang w:val="en-GB"/>
        </w:rPr>
        <w:t xml:space="preserve"> </w:t>
      </w:r>
      <w:r w:rsidR="00AB33D5" w:rsidRPr="00AB33D5">
        <w:rPr>
          <w:lang w:val="en-GB"/>
        </w:rPr>
        <w:t>Based on existing practice</w:t>
      </w:r>
      <w:r w:rsidR="00410688">
        <w:rPr>
          <w:lang w:val="en-GB"/>
        </w:rPr>
        <w:t>s</w:t>
      </w:r>
      <w:r w:rsidR="00AB33D5" w:rsidRPr="00AB33D5">
        <w:rPr>
          <w:lang w:val="en-GB"/>
        </w:rPr>
        <w:t xml:space="preserve">, UNDP will </w:t>
      </w:r>
      <w:r w:rsidR="00620444">
        <w:rPr>
          <w:lang w:val="en-GB"/>
        </w:rPr>
        <w:t>promote</w:t>
      </w:r>
      <w:r w:rsidR="00AB33D5" w:rsidRPr="00AB33D5">
        <w:rPr>
          <w:lang w:val="en-GB"/>
        </w:rPr>
        <w:t xml:space="preserve"> </w:t>
      </w:r>
      <w:r w:rsidR="005D45DF">
        <w:rPr>
          <w:lang w:val="en-GB"/>
        </w:rPr>
        <w:t xml:space="preserve">the </w:t>
      </w:r>
      <w:r w:rsidR="00AB33D5" w:rsidRPr="00AB33D5">
        <w:rPr>
          <w:lang w:val="en-GB"/>
        </w:rPr>
        <w:t xml:space="preserve">development of innovative entrepreneurship </w:t>
      </w:r>
      <w:r w:rsidR="005D45DF">
        <w:rPr>
          <w:lang w:val="en-GB"/>
        </w:rPr>
        <w:t>by</w:t>
      </w:r>
      <w:r w:rsidR="00AB33D5" w:rsidRPr="00AB33D5">
        <w:rPr>
          <w:lang w:val="en-GB"/>
        </w:rPr>
        <w:t xml:space="preserve"> </w:t>
      </w:r>
      <w:r w:rsidR="00D20599">
        <w:rPr>
          <w:lang w:val="en-GB"/>
        </w:rPr>
        <w:t xml:space="preserve">establishing </w:t>
      </w:r>
      <w:r w:rsidR="00AB33D5" w:rsidRPr="00AB33D5">
        <w:rPr>
          <w:lang w:val="en-GB"/>
        </w:rPr>
        <w:t>innovation infrastructure in regions</w:t>
      </w:r>
      <w:r w:rsidR="00D20599">
        <w:rPr>
          <w:lang w:val="en-GB"/>
        </w:rPr>
        <w:t xml:space="preserve"> </w:t>
      </w:r>
      <w:r w:rsidR="00410688">
        <w:rPr>
          <w:lang w:val="en-GB"/>
        </w:rPr>
        <w:t xml:space="preserve">and </w:t>
      </w:r>
      <w:r w:rsidR="00D20599" w:rsidRPr="00D20599">
        <w:rPr>
          <w:lang w:val="en-GB"/>
        </w:rPr>
        <w:t>expanding the range of services</w:t>
      </w:r>
      <w:r w:rsidR="00620444">
        <w:rPr>
          <w:lang w:val="en-GB"/>
        </w:rPr>
        <w:t>,</w:t>
      </w:r>
      <w:r w:rsidR="00D20599" w:rsidRPr="00D20599">
        <w:rPr>
          <w:lang w:val="en-GB"/>
        </w:rPr>
        <w:t xml:space="preserve"> ensur</w:t>
      </w:r>
      <w:r w:rsidR="001C1D33">
        <w:rPr>
          <w:lang w:val="en-GB"/>
        </w:rPr>
        <w:t>ing</w:t>
      </w:r>
      <w:r w:rsidR="00D20599" w:rsidRPr="00D20599">
        <w:rPr>
          <w:lang w:val="en-GB"/>
        </w:rPr>
        <w:t xml:space="preserve"> full implementation of the innovation cycle</w:t>
      </w:r>
      <w:r w:rsidR="00D20599">
        <w:rPr>
          <w:lang w:val="en-GB"/>
        </w:rPr>
        <w:t xml:space="preserve">; </w:t>
      </w:r>
      <w:r w:rsidR="005D45DF">
        <w:rPr>
          <w:lang w:val="en-GB"/>
        </w:rPr>
        <w:t xml:space="preserve">and </w:t>
      </w:r>
      <w:r w:rsidR="00D20599" w:rsidRPr="00D20599">
        <w:rPr>
          <w:lang w:val="en-GB"/>
        </w:rPr>
        <w:t xml:space="preserve">increase the efficiency of commercializing the results of intellectual activity, including </w:t>
      </w:r>
      <w:r w:rsidR="00D20599" w:rsidRPr="00C85E24">
        <w:rPr>
          <w:lang w:val="en-GB"/>
        </w:rPr>
        <w:t>invention and engineering</w:t>
      </w:r>
      <w:r w:rsidR="00410688">
        <w:rPr>
          <w:lang w:val="en-GB"/>
        </w:rPr>
        <w:t>, and</w:t>
      </w:r>
      <w:r w:rsidR="00D20599" w:rsidRPr="00D20599">
        <w:rPr>
          <w:lang w:val="en-GB"/>
        </w:rPr>
        <w:t xml:space="preserve"> </w:t>
      </w:r>
      <w:r w:rsidR="009F5559">
        <w:rPr>
          <w:lang w:val="en-GB"/>
        </w:rPr>
        <w:t>promoting</w:t>
      </w:r>
      <w:r w:rsidR="00D20599" w:rsidRPr="00D20599">
        <w:rPr>
          <w:lang w:val="en-GB"/>
        </w:rPr>
        <w:t xml:space="preserve"> you</w:t>
      </w:r>
      <w:r w:rsidR="00D20599">
        <w:rPr>
          <w:lang w:val="en-GB"/>
        </w:rPr>
        <w:t>th</w:t>
      </w:r>
      <w:r w:rsidR="00D20599" w:rsidRPr="00D20599">
        <w:rPr>
          <w:lang w:val="en-GB"/>
        </w:rPr>
        <w:t xml:space="preserve"> </w:t>
      </w:r>
      <w:r w:rsidR="009F5559">
        <w:rPr>
          <w:lang w:val="en-GB"/>
        </w:rPr>
        <w:t>engagement</w:t>
      </w:r>
      <w:r w:rsidR="00D20599">
        <w:rPr>
          <w:lang w:val="en-GB"/>
        </w:rPr>
        <w:t xml:space="preserve">. </w:t>
      </w:r>
    </w:p>
    <w:p w14:paraId="0F929307" w14:textId="01155F22" w:rsidR="00AB33D5" w:rsidRPr="00BC2149" w:rsidRDefault="00D20599" w:rsidP="00BC2149">
      <w:pPr>
        <w:pStyle w:val="ListParagraph"/>
        <w:tabs>
          <w:tab w:val="left" w:pos="1620"/>
        </w:tabs>
        <w:spacing w:after="120"/>
        <w:ind w:left="1260" w:right="1210"/>
        <w:jc w:val="both"/>
        <w:rPr>
          <w:lang w:val="en-GB"/>
        </w:rPr>
      </w:pPr>
      <w:r>
        <w:rPr>
          <w:lang w:val="en-GB"/>
        </w:rPr>
        <w:t xml:space="preserve">37. </w:t>
      </w:r>
      <w:r w:rsidRPr="00D20599">
        <w:rPr>
          <w:lang w:val="en-GB"/>
        </w:rPr>
        <w:t xml:space="preserve">UNDP will </w:t>
      </w:r>
      <w:r w:rsidR="009F5559">
        <w:rPr>
          <w:lang w:val="en-GB"/>
        </w:rPr>
        <w:t>promote</w:t>
      </w:r>
      <w:r w:rsidRPr="00D20599">
        <w:rPr>
          <w:lang w:val="en-GB"/>
        </w:rPr>
        <w:t xml:space="preserve"> </w:t>
      </w:r>
      <w:r w:rsidR="005D45DF">
        <w:rPr>
          <w:lang w:val="en-GB"/>
        </w:rPr>
        <w:t xml:space="preserve">the </w:t>
      </w:r>
      <w:r w:rsidRPr="00D20599">
        <w:rPr>
          <w:lang w:val="en-GB"/>
        </w:rPr>
        <w:t>development of tools to</w:t>
      </w:r>
      <w:r>
        <w:rPr>
          <w:lang w:val="en-GB"/>
        </w:rPr>
        <w:t xml:space="preserve"> provide</w:t>
      </w:r>
      <w:r w:rsidRPr="00D20599">
        <w:rPr>
          <w:lang w:val="en-GB"/>
        </w:rPr>
        <w:t xml:space="preserve"> support (financial, consulting) </w:t>
      </w:r>
      <w:r w:rsidR="00BC2149">
        <w:rPr>
          <w:lang w:val="en-GB"/>
        </w:rPr>
        <w:t xml:space="preserve">to </w:t>
      </w:r>
      <w:r w:rsidRPr="00D20599">
        <w:rPr>
          <w:lang w:val="en-GB"/>
        </w:rPr>
        <w:t xml:space="preserve">innovative and high-tech </w:t>
      </w:r>
      <w:r w:rsidR="00BC2149" w:rsidRPr="00D20599">
        <w:rPr>
          <w:lang w:val="en-GB"/>
        </w:rPr>
        <w:t>start-ups</w:t>
      </w:r>
      <w:r w:rsidRPr="00D20599">
        <w:rPr>
          <w:lang w:val="en-GB"/>
        </w:rPr>
        <w:t xml:space="preserve"> in the early stages of </w:t>
      </w:r>
      <w:r w:rsidR="00BC2149">
        <w:rPr>
          <w:lang w:val="en-GB"/>
        </w:rPr>
        <w:t>development</w:t>
      </w:r>
      <w:r w:rsidRPr="00D20599">
        <w:rPr>
          <w:lang w:val="en-GB"/>
        </w:rPr>
        <w:t>, lead</w:t>
      </w:r>
      <w:r w:rsidR="005D45DF">
        <w:rPr>
          <w:lang w:val="en-GB"/>
        </w:rPr>
        <w:t>ing</w:t>
      </w:r>
      <w:r w:rsidRPr="00D20599">
        <w:rPr>
          <w:lang w:val="en-GB"/>
        </w:rPr>
        <w:t xml:space="preserve"> to</w:t>
      </w:r>
      <w:r w:rsidR="00620444">
        <w:rPr>
          <w:lang w:val="en-GB"/>
        </w:rPr>
        <w:t xml:space="preserve"> </w:t>
      </w:r>
      <w:r w:rsidR="005D45DF">
        <w:rPr>
          <w:lang w:val="en-GB"/>
        </w:rPr>
        <w:t xml:space="preserve">the </w:t>
      </w:r>
      <w:r w:rsidRPr="00D20599">
        <w:rPr>
          <w:lang w:val="en-GB"/>
        </w:rPr>
        <w:t>development of new tools</w:t>
      </w:r>
      <w:r w:rsidR="00BC2149">
        <w:rPr>
          <w:lang w:val="en-GB"/>
        </w:rPr>
        <w:t xml:space="preserve"> </w:t>
      </w:r>
      <w:r w:rsidR="005D45DF">
        <w:rPr>
          <w:lang w:val="en-GB"/>
        </w:rPr>
        <w:t>(</w:t>
      </w:r>
      <w:r w:rsidRPr="00D20599">
        <w:rPr>
          <w:lang w:val="en-GB"/>
        </w:rPr>
        <w:t>venture financing</w:t>
      </w:r>
      <w:r w:rsidR="005D45DF">
        <w:rPr>
          <w:lang w:val="en-GB"/>
        </w:rPr>
        <w:t>)</w:t>
      </w:r>
      <w:r w:rsidRPr="00D20599">
        <w:rPr>
          <w:lang w:val="en-GB"/>
        </w:rPr>
        <w:t>.</w:t>
      </w:r>
      <w:r w:rsidR="00BC2149">
        <w:rPr>
          <w:lang w:val="en-GB"/>
        </w:rPr>
        <w:t xml:space="preserve"> </w:t>
      </w:r>
      <w:r w:rsidR="00BC2149" w:rsidRPr="00BC2149">
        <w:rPr>
          <w:lang w:val="en-GB"/>
        </w:rPr>
        <w:t xml:space="preserve">UNDP will support research in the field of </w:t>
      </w:r>
      <w:r w:rsidR="00BC2149" w:rsidRPr="00BC2149">
        <w:rPr>
          <w:lang w:val="en-GB"/>
        </w:rPr>
        <w:lastRenderedPageBreak/>
        <w:t>cluster development and conceptual and methodological support of</w:t>
      </w:r>
      <w:r w:rsidR="00995BC2">
        <w:rPr>
          <w:lang w:val="en-GB"/>
        </w:rPr>
        <w:t xml:space="preserve"> a</w:t>
      </w:r>
      <w:r w:rsidR="00BC2149" w:rsidRPr="00BC2149">
        <w:rPr>
          <w:lang w:val="en-GB"/>
        </w:rPr>
        <w:t xml:space="preserve"> cluster policy, as well as regional innovation ecosystems.</w:t>
      </w:r>
    </w:p>
    <w:p w14:paraId="1BBB9BC2" w14:textId="1C9F6366" w:rsidR="00714329" w:rsidRPr="00D75D0C" w:rsidRDefault="00AB33D5" w:rsidP="001D29FF">
      <w:pPr>
        <w:pStyle w:val="ListParagraph"/>
        <w:tabs>
          <w:tab w:val="left" w:pos="1620"/>
        </w:tabs>
        <w:spacing w:after="120"/>
        <w:ind w:left="1260" w:right="1210"/>
        <w:jc w:val="both"/>
        <w:rPr>
          <w:lang w:val="en-GB"/>
        </w:rPr>
      </w:pPr>
      <w:r>
        <w:rPr>
          <w:lang w:val="en-GB"/>
        </w:rPr>
        <w:t xml:space="preserve">38. </w:t>
      </w:r>
      <w:r w:rsidR="00714329" w:rsidRPr="00D75D0C">
        <w:rPr>
          <w:lang w:val="en-GB"/>
        </w:rPr>
        <w:t>UNDP will support the development of innovative entrepreneurship by increasing research efficiency and commerciali</w:t>
      </w:r>
      <w:r w:rsidR="00EB1B2F">
        <w:rPr>
          <w:lang w:val="en-GB"/>
        </w:rPr>
        <w:t>z</w:t>
      </w:r>
      <w:r w:rsidR="00714329" w:rsidRPr="00D75D0C">
        <w:rPr>
          <w:lang w:val="en-GB"/>
        </w:rPr>
        <w:t>ation</w:t>
      </w:r>
      <w:r w:rsidR="006E2587">
        <w:rPr>
          <w:lang w:val="en-GB"/>
        </w:rPr>
        <w:t xml:space="preserve">, </w:t>
      </w:r>
      <w:r w:rsidR="00714329" w:rsidRPr="00D75D0C">
        <w:rPr>
          <w:lang w:val="en-GB"/>
        </w:rPr>
        <w:t>developing required skills in the field of</w:t>
      </w:r>
      <w:r w:rsidR="0002565F">
        <w:rPr>
          <w:lang w:val="en-GB"/>
        </w:rPr>
        <w:t xml:space="preserve"> access to information,</w:t>
      </w:r>
      <w:r w:rsidR="00714329" w:rsidRPr="00D75D0C">
        <w:rPr>
          <w:lang w:val="en-GB"/>
        </w:rPr>
        <w:t xml:space="preserve"> </w:t>
      </w:r>
      <w:r w:rsidR="00EB1B2F">
        <w:rPr>
          <w:lang w:val="en-GB"/>
        </w:rPr>
        <w:t xml:space="preserve">and </w:t>
      </w:r>
      <w:r w:rsidR="00714329" w:rsidRPr="00D75D0C">
        <w:rPr>
          <w:lang w:val="en-GB"/>
        </w:rPr>
        <w:t xml:space="preserve">personal data </w:t>
      </w:r>
      <w:r w:rsidR="0002565F">
        <w:rPr>
          <w:lang w:val="en-GB"/>
        </w:rPr>
        <w:t xml:space="preserve">and privacy </w:t>
      </w:r>
      <w:r w:rsidR="00714329" w:rsidRPr="00D75D0C">
        <w:rPr>
          <w:lang w:val="en-GB"/>
        </w:rPr>
        <w:t xml:space="preserve">protection, as well as a wide scope of digital knowledge and skills. In developing measures to increase digital literacy, special attention will be paid to </w:t>
      </w:r>
      <w:r w:rsidR="00637330">
        <w:rPr>
          <w:lang w:val="en-GB"/>
        </w:rPr>
        <w:t xml:space="preserve">creating </w:t>
      </w:r>
      <w:r w:rsidR="006C17DF">
        <w:rPr>
          <w:lang w:val="en-GB"/>
        </w:rPr>
        <w:t xml:space="preserve">accessible </w:t>
      </w:r>
      <w:r w:rsidR="00BF4B89">
        <w:rPr>
          <w:lang w:val="en-GB"/>
        </w:rPr>
        <w:t xml:space="preserve">distance learning systems for </w:t>
      </w:r>
      <w:r w:rsidR="00714329" w:rsidRPr="00D75D0C">
        <w:rPr>
          <w:lang w:val="en-GB"/>
        </w:rPr>
        <w:t>vulnerable groups, includ</w:t>
      </w:r>
      <w:r w:rsidR="00EB1B2F">
        <w:rPr>
          <w:lang w:val="en-GB"/>
        </w:rPr>
        <w:t>ing</w:t>
      </w:r>
      <w:r w:rsidR="00714329" w:rsidRPr="00D75D0C">
        <w:rPr>
          <w:lang w:val="en-GB"/>
        </w:rPr>
        <w:t xml:space="preserve"> older people, people with disabilities, people in prison, released workers</w:t>
      </w:r>
      <w:r w:rsidR="00CF276C">
        <w:rPr>
          <w:lang w:val="en-GB"/>
        </w:rPr>
        <w:t xml:space="preserve">, </w:t>
      </w:r>
      <w:r w:rsidR="00CF276C" w:rsidRPr="00D75D0C">
        <w:rPr>
          <w:lang w:val="en-GB"/>
        </w:rPr>
        <w:t>women on maternity leave</w:t>
      </w:r>
      <w:r w:rsidR="00CF276C">
        <w:rPr>
          <w:lang w:val="en-GB"/>
        </w:rPr>
        <w:t>,</w:t>
      </w:r>
      <w:r w:rsidR="00714329" w:rsidRPr="00D75D0C">
        <w:rPr>
          <w:lang w:val="en-GB"/>
        </w:rPr>
        <w:t xml:space="preserve"> and rural residents. </w:t>
      </w:r>
    </w:p>
    <w:p w14:paraId="3FF192AF" w14:textId="2BEF4503" w:rsidR="00D57C86" w:rsidRDefault="00EB1B2F" w:rsidP="00033A9A">
      <w:pPr>
        <w:pStyle w:val="ListParagraph"/>
        <w:tabs>
          <w:tab w:val="left" w:pos="1620"/>
        </w:tabs>
        <w:spacing w:after="120"/>
        <w:ind w:left="1260" w:right="1210"/>
        <w:jc w:val="both"/>
        <w:rPr>
          <w:lang w:val="en-GB"/>
        </w:rPr>
      </w:pPr>
      <w:r>
        <w:rPr>
          <w:lang w:val="en-GB"/>
        </w:rPr>
        <w:t>3</w:t>
      </w:r>
      <w:r w:rsidR="00AB33D5">
        <w:rPr>
          <w:lang w:val="en-GB"/>
        </w:rPr>
        <w:t>9</w:t>
      </w:r>
      <w:r>
        <w:rPr>
          <w:lang w:val="en-GB"/>
        </w:rPr>
        <w:t>.</w:t>
      </w:r>
      <w:r>
        <w:rPr>
          <w:lang w:val="en-GB"/>
        </w:rPr>
        <w:tab/>
      </w:r>
      <w:r w:rsidR="00714329" w:rsidRPr="00D75D0C">
        <w:rPr>
          <w:lang w:val="en-GB"/>
        </w:rPr>
        <w:t xml:space="preserve">Together with national partners, UNDP will support the development of an electronic </w:t>
      </w:r>
      <w:r w:rsidR="00EA509F">
        <w:rPr>
          <w:lang w:val="en-GB"/>
        </w:rPr>
        <w:t xml:space="preserve">public </w:t>
      </w:r>
      <w:r w:rsidR="00714329" w:rsidRPr="00D75D0C">
        <w:rPr>
          <w:lang w:val="en-GB"/>
        </w:rPr>
        <w:t>service system and infrastructure to provide electronic services to individuals and companies</w:t>
      </w:r>
      <w:r w:rsidR="000766A7">
        <w:rPr>
          <w:lang w:val="en-GB"/>
        </w:rPr>
        <w:t xml:space="preserve"> through </w:t>
      </w:r>
      <w:r>
        <w:rPr>
          <w:lang w:val="en-GB"/>
        </w:rPr>
        <w:t xml:space="preserve">the </w:t>
      </w:r>
      <w:r w:rsidR="00714329" w:rsidRPr="00D75D0C">
        <w:rPr>
          <w:lang w:val="en-GB"/>
        </w:rPr>
        <w:t xml:space="preserve">digitalization of public administration in key sectors </w:t>
      </w:r>
      <w:r w:rsidRPr="00D75D0C">
        <w:rPr>
          <w:lang w:val="en-GB"/>
        </w:rPr>
        <w:t xml:space="preserve">such </w:t>
      </w:r>
      <w:r w:rsidR="00714329" w:rsidRPr="00D75D0C">
        <w:rPr>
          <w:lang w:val="en-GB"/>
        </w:rPr>
        <w:t>as the judicial system</w:t>
      </w:r>
      <w:r w:rsidR="00BC2149">
        <w:rPr>
          <w:lang w:val="en-GB"/>
        </w:rPr>
        <w:t xml:space="preserve"> and rulemaking</w:t>
      </w:r>
      <w:r w:rsidR="00714329" w:rsidRPr="00D75D0C">
        <w:rPr>
          <w:lang w:val="en-GB"/>
        </w:rPr>
        <w:t>, health</w:t>
      </w:r>
      <w:r>
        <w:rPr>
          <w:lang w:val="en-GB"/>
        </w:rPr>
        <w:t xml:space="preserve"> </w:t>
      </w:r>
      <w:r w:rsidR="00714329" w:rsidRPr="00D75D0C">
        <w:rPr>
          <w:lang w:val="en-GB"/>
        </w:rPr>
        <w:t>care, environmental protection, citizenship</w:t>
      </w:r>
      <w:r w:rsidR="008116BF">
        <w:rPr>
          <w:lang w:val="en-GB"/>
        </w:rPr>
        <w:t>,</w:t>
      </w:r>
      <w:r w:rsidR="00714329" w:rsidRPr="00D75D0C">
        <w:rPr>
          <w:lang w:val="en-GB"/>
        </w:rPr>
        <w:t xml:space="preserve"> migration, road safety,</w:t>
      </w:r>
      <w:r>
        <w:rPr>
          <w:lang w:val="en-GB"/>
        </w:rPr>
        <w:t xml:space="preserve"> the</w:t>
      </w:r>
      <w:r w:rsidR="00714329" w:rsidRPr="00D75D0C">
        <w:rPr>
          <w:lang w:val="en-GB"/>
        </w:rPr>
        <w:t xml:space="preserve"> tax system, transport corridors</w:t>
      </w:r>
      <w:r>
        <w:rPr>
          <w:lang w:val="en-GB"/>
        </w:rPr>
        <w:t>,</w:t>
      </w:r>
      <w:r w:rsidR="00714329" w:rsidRPr="00D75D0C">
        <w:rPr>
          <w:lang w:val="en-GB"/>
        </w:rPr>
        <w:t xml:space="preserve"> and border management.</w:t>
      </w:r>
    </w:p>
    <w:p w14:paraId="24AD149C" w14:textId="15375DA2" w:rsidR="00714329" w:rsidRDefault="00BC2149" w:rsidP="00033A9A">
      <w:pPr>
        <w:pStyle w:val="ListParagraph"/>
        <w:tabs>
          <w:tab w:val="left" w:pos="1620"/>
        </w:tabs>
        <w:spacing w:after="120"/>
        <w:ind w:left="1260" w:right="1210"/>
        <w:jc w:val="both"/>
        <w:rPr>
          <w:lang w:val="en-GB"/>
        </w:rPr>
      </w:pPr>
      <w:r>
        <w:rPr>
          <w:lang w:val="en-GB"/>
        </w:rPr>
        <w:t>40</w:t>
      </w:r>
      <w:r w:rsidR="00EB1B2F" w:rsidRPr="007B01C7">
        <w:rPr>
          <w:lang w:val="en-GB"/>
        </w:rPr>
        <w:t>.</w:t>
      </w:r>
      <w:r w:rsidR="00EB1B2F" w:rsidRPr="007B01C7">
        <w:rPr>
          <w:lang w:val="en-GB"/>
        </w:rPr>
        <w:tab/>
      </w:r>
      <w:r w:rsidR="000766A7" w:rsidRPr="007B01C7">
        <w:rPr>
          <w:lang w:val="en-GB"/>
        </w:rPr>
        <w:t xml:space="preserve">Building on the experience and best practices of the project on green urban development, </w:t>
      </w:r>
      <w:r w:rsidR="00714329" w:rsidRPr="00796818">
        <w:rPr>
          <w:lang w:val="en-GB"/>
        </w:rPr>
        <w:t xml:space="preserve">UNDP will </w:t>
      </w:r>
      <w:r w:rsidR="00637330" w:rsidRPr="00796818">
        <w:rPr>
          <w:lang w:val="en-GB"/>
        </w:rPr>
        <w:t>support the development of a national urban development policy and</w:t>
      </w:r>
      <w:r w:rsidR="00714329" w:rsidRPr="00796818">
        <w:rPr>
          <w:lang w:val="en-GB"/>
        </w:rPr>
        <w:t xml:space="preserve"> concepts of </w:t>
      </w:r>
      <w:r w:rsidR="00EA36E4">
        <w:rPr>
          <w:lang w:val="en-GB"/>
        </w:rPr>
        <w:t>‘</w:t>
      </w:r>
      <w:r w:rsidR="00714329" w:rsidRPr="00796818">
        <w:rPr>
          <w:lang w:val="en-GB"/>
        </w:rPr>
        <w:t>smart cities</w:t>
      </w:r>
      <w:r w:rsidR="00EA36E4">
        <w:rPr>
          <w:lang w:val="en-GB"/>
        </w:rPr>
        <w:t>’</w:t>
      </w:r>
      <w:r w:rsidR="00714329" w:rsidRPr="00796818">
        <w:rPr>
          <w:lang w:val="en-GB"/>
        </w:rPr>
        <w:t xml:space="preserve"> and </w:t>
      </w:r>
      <w:r w:rsidR="00EA36E4">
        <w:rPr>
          <w:lang w:val="en-GB"/>
        </w:rPr>
        <w:t xml:space="preserve">‘smart </w:t>
      </w:r>
      <w:r w:rsidR="0011226E" w:rsidRPr="00796818">
        <w:rPr>
          <w:lang w:val="en-GB"/>
        </w:rPr>
        <w:t>districts</w:t>
      </w:r>
      <w:r w:rsidR="00EA36E4">
        <w:rPr>
          <w:lang w:val="en-GB"/>
        </w:rPr>
        <w:t>’</w:t>
      </w:r>
      <w:r w:rsidR="0011226E" w:rsidRPr="00796818">
        <w:rPr>
          <w:lang w:val="en-GB"/>
        </w:rPr>
        <w:t xml:space="preserve"> </w:t>
      </w:r>
      <w:r w:rsidR="005443CF" w:rsidRPr="00796818">
        <w:rPr>
          <w:lang w:val="en-GB"/>
        </w:rPr>
        <w:t>based on</w:t>
      </w:r>
      <w:r w:rsidR="007A1FE4" w:rsidRPr="00796818">
        <w:rPr>
          <w:lang w:val="en-GB"/>
        </w:rPr>
        <w:t xml:space="preserve"> the</w:t>
      </w:r>
      <w:r w:rsidR="005443CF" w:rsidRPr="00796818">
        <w:rPr>
          <w:lang w:val="en-GB"/>
        </w:rPr>
        <w:t xml:space="preserve"> </w:t>
      </w:r>
      <w:r w:rsidR="00714329" w:rsidRPr="00796818">
        <w:rPr>
          <w:lang w:val="en-GB"/>
        </w:rPr>
        <w:t xml:space="preserve">principles of green urban planning and </w:t>
      </w:r>
      <w:r w:rsidR="007B01C7" w:rsidRPr="00542B95">
        <w:rPr>
          <w:lang w:val="en-GB"/>
        </w:rPr>
        <w:t xml:space="preserve">the </w:t>
      </w:r>
      <w:r w:rsidR="00714329" w:rsidRPr="007B01C7">
        <w:rPr>
          <w:lang w:val="en-GB"/>
        </w:rPr>
        <w:t xml:space="preserve">interests of all groups of the population. </w:t>
      </w:r>
    </w:p>
    <w:p w14:paraId="016209A3" w14:textId="080FD128" w:rsidR="00A90806" w:rsidRDefault="00BC2149" w:rsidP="00033A9A">
      <w:pPr>
        <w:pStyle w:val="ListParagraph"/>
        <w:tabs>
          <w:tab w:val="left" w:pos="1620"/>
        </w:tabs>
        <w:spacing w:after="120"/>
        <w:ind w:left="1260" w:right="1210"/>
        <w:jc w:val="both"/>
        <w:rPr>
          <w:lang w:val="en-GB"/>
        </w:rPr>
      </w:pPr>
      <w:r>
        <w:rPr>
          <w:lang w:val="en-GB"/>
        </w:rPr>
        <w:t>41</w:t>
      </w:r>
      <w:r w:rsidR="00796818">
        <w:rPr>
          <w:lang w:val="en-GB"/>
        </w:rPr>
        <w:t>.</w:t>
      </w:r>
      <w:r w:rsidR="00796818">
        <w:rPr>
          <w:lang w:val="en-GB"/>
        </w:rPr>
        <w:tab/>
      </w:r>
      <w:r w:rsidR="00A90806">
        <w:rPr>
          <w:lang w:val="en-GB"/>
        </w:rPr>
        <w:t xml:space="preserve">Based on needs and </w:t>
      </w:r>
      <w:r w:rsidR="00B944D9">
        <w:rPr>
          <w:lang w:val="en-GB"/>
        </w:rPr>
        <w:t xml:space="preserve">regional </w:t>
      </w:r>
      <w:r w:rsidR="00A90806">
        <w:rPr>
          <w:lang w:val="en-GB"/>
        </w:rPr>
        <w:t>characteristics, UNDP will assist in developing a</w:t>
      </w:r>
      <w:r w:rsidR="00EE566E">
        <w:rPr>
          <w:lang w:val="en-GB"/>
        </w:rPr>
        <w:t>n investment</w:t>
      </w:r>
      <w:r w:rsidR="00A90806">
        <w:rPr>
          <w:lang w:val="en-GB"/>
        </w:rPr>
        <w:t xml:space="preserve"> platform supporting existing enterprises and </w:t>
      </w:r>
      <w:r w:rsidR="00574941">
        <w:rPr>
          <w:lang w:val="en-GB"/>
        </w:rPr>
        <w:t>development of</w:t>
      </w:r>
      <w:r w:rsidR="00A90806">
        <w:rPr>
          <w:lang w:val="en-GB"/>
        </w:rPr>
        <w:t xml:space="preserve"> new bankable projects in selected Chernobyl</w:t>
      </w:r>
      <w:r w:rsidR="00796818">
        <w:rPr>
          <w:lang w:val="en-GB"/>
        </w:rPr>
        <w:t>-</w:t>
      </w:r>
      <w:r w:rsidR="00A90806">
        <w:rPr>
          <w:lang w:val="en-GB"/>
        </w:rPr>
        <w:t xml:space="preserve">affected areas. Aimed at narrowing the development gap between the capital and the regions, </w:t>
      </w:r>
      <w:r w:rsidR="00796818">
        <w:rPr>
          <w:lang w:val="en-GB"/>
        </w:rPr>
        <w:t>the</w:t>
      </w:r>
      <w:r w:rsidR="00A90806">
        <w:rPr>
          <w:lang w:val="en-GB"/>
        </w:rPr>
        <w:t xml:space="preserve"> platform </w:t>
      </w:r>
      <w:r w:rsidR="00B944D9">
        <w:rPr>
          <w:lang w:val="en-GB"/>
        </w:rPr>
        <w:t>will</w:t>
      </w:r>
      <w:r w:rsidR="00637330">
        <w:rPr>
          <w:lang w:val="en-GB"/>
        </w:rPr>
        <w:t xml:space="preserve"> </w:t>
      </w:r>
      <w:r w:rsidR="00A90806">
        <w:rPr>
          <w:lang w:val="en-GB"/>
        </w:rPr>
        <w:t>accelerate local innovation</w:t>
      </w:r>
      <w:r w:rsidR="00796818">
        <w:rPr>
          <w:lang w:val="en-GB"/>
        </w:rPr>
        <w:t>,</w:t>
      </w:r>
      <w:r w:rsidR="00EE566E">
        <w:rPr>
          <w:lang w:val="en-GB"/>
        </w:rPr>
        <w:t xml:space="preserve"> and points of resilience and growth</w:t>
      </w:r>
      <w:r w:rsidR="00A90806">
        <w:rPr>
          <w:lang w:val="en-GB"/>
        </w:rPr>
        <w:t xml:space="preserve">. </w:t>
      </w:r>
      <w:r w:rsidR="00EE566E" w:rsidRPr="00574941">
        <w:rPr>
          <w:lang w:val="en-GB"/>
        </w:rPr>
        <w:t xml:space="preserve">UNDP will </w:t>
      </w:r>
      <w:r w:rsidR="00574941" w:rsidRPr="000719C7">
        <w:rPr>
          <w:lang w:val="en-GB"/>
        </w:rPr>
        <w:t xml:space="preserve">also launch an </w:t>
      </w:r>
      <w:r w:rsidR="00796818">
        <w:rPr>
          <w:lang w:val="en-GB"/>
        </w:rPr>
        <w:t>‘a</w:t>
      </w:r>
      <w:r w:rsidR="00574941" w:rsidRPr="000719C7">
        <w:rPr>
          <w:lang w:val="en-GB"/>
        </w:rPr>
        <w:t xml:space="preserve">ccelerator </w:t>
      </w:r>
      <w:r w:rsidR="00796818">
        <w:rPr>
          <w:lang w:val="en-GB"/>
        </w:rPr>
        <w:t>l</w:t>
      </w:r>
      <w:r w:rsidR="00574941" w:rsidRPr="000719C7">
        <w:rPr>
          <w:lang w:val="en-GB"/>
        </w:rPr>
        <w:t>ab</w:t>
      </w:r>
      <w:r w:rsidR="00796818">
        <w:rPr>
          <w:lang w:val="en-GB"/>
        </w:rPr>
        <w:t>’</w:t>
      </w:r>
      <w:r w:rsidR="00574941" w:rsidRPr="000719C7">
        <w:rPr>
          <w:lang w:val="en-GB"/>
        </w:rPr>
        <w:t xml:space="preserve"> </w:t>
      </w:r>
      <w:r w:rsidR="00EE566E" w:rsidRPr="00574941">
        <w:rPr>
          <w:lang w:val="en-GB"/>
        </w:rPr>
        <w:t xml:space="preserve">to </w:t>
      </w:r>
      <w:r w:rsidR="00A90806" w:rsidRPr="00574941">
        <w:rPr>
          <w:lang w:val="en-GB"/>
        </w:rPr>
        <w:t>serve as a space for innovation, experimentation</w:t>
      </w:r>
      <w:r w:rsidR="00EE566E" w:rsidRPr="00574941">
        <w:rPr>
          <w:lang w:val="en-GB"/>
        </w:rPr>
        <w:t>, and piloting solutions to development challenges and opportunities</w:t>
      </w:r>
      <w:r w:rsidR="00285C81" w:rsidRPr="00574941">
        <w:rPr>
          <w:lang w:val="en-GB"/>
        </w:rPr>
        <w:t>.</w:t>
      </w:r>
    </w:p>
    <w:p w14:paraId="112B4AB7" w14:textId="024147D0" w:rsidR="00EB1B2F" w:rsidRDefault="00714329" w:rsidP="004D30EF">
      <w:pPr>
        <w:tabs>
          <w:tab w:val="left" w:pos="1620"/>
        </w:tabs>
        <w:spacing w:after="120"/>
        <w:ind w:left="1260" w:right="1210"/>
        <w:jc w:val="both"/>
        <w:rPr>
          <w:b/>
          <w:bCs/>
          <w:lang w:val="en-GB"/>
        </w:rPr>
      </w:pPr>
      <w:r w:rsidRPr="00542B95">
        <w:rPr>
          <w:b/>
          <w:bCs/>
          <w:lang w:val="en-GB"/>
        </w:rPr>
        <w:t xml:space="preserve">Priority </w:t>
      </w:r>
      <w:r w:rsidR="00EB1B2F">
        <w:rPr>
          <w:b/>
          <w:bCs/>
          <w:lang w:val="en-GB"/>
        </w:rPr>
        <w:t>a</w:t>
      </w:r>
      <w:r w:rsidRPr="00542B95">
        <w:rPr>
          <w:b/>
          <w:bCs/>
          <w:lang w:val="en-GB"/>
        </w:rPr>
        <w:t>rea 4</w:t>
      </w:r>
      <w:r w:rsidR="00EB1B2F">
        <w:rPr>
          <w:b/>
          <w:bCs/>
          <w:lang w:val="en-GB"/>
        </w:rPr>
        <w:t>.</w:t>
      </w:r>
      <w:r w:rsidRPr="00542B95">
        <w:rPr>
          <w:b/>
          <w:bCs/>
          <w:lang w:val="en-GB"/>
        </w:rPr>
        <w:t xml:space="preserve"> </w:t>
      </w:r>
      <w:r w:rsidR="005B4B64" w:rsidRPr="00542B95">
        <w:rPr>
          <w:b/>
          <w:bCs/>
          <w:lang w:val="en-GB"/>
        </w:rPr>
        <w:t>F</w:t>
      </w:r>
      <w:r w:rsidR="00C7221D" w:rsidRPr="00542B95">
        <w:rPr>
          <w:b/>
          <w:bCs/>
          <w:lang w:val="en-GB"/>
        </w:rPr>
        <w:t>uller participation of vulnerable groups in socio</w:t>
      </w:r>
      <w:r w:rsidR="00EE566E" w:rsidRPr="00542B95">
        <w:rPr>
          <w:b/>
          <w:bCs/>
          <w:lang w:val="en-GB"/>
        </w:rPr>
        <w:t>-</w:t>
      </w:r>
      <w:r w:rsidR="00C7221D" w:rsidRPr="00542B95">
        <w:rPr>
          <w:b/>
          <w:bCs/>
          <w:lang w:val="en-GB"/>
        </w:rPr>
        <w:t>economic life</w:t>
      </w:r>
      <w:r w:rsidR="005C6F7D" w:rsidRPr="00542B95">
        <w:rPr>
          <w:b/>
          <w:bCs/>
          <w:lang w:val="en-GB"/>
        </w:rPr>
        <w:t xml:space="preserve"> (</w:t>
      </w:r>
      <w:r w:rsidR="00432693" w:rsidRPr="00542B95">
        <w:rPr>
          <w:b/>
          <w:bCs/>
          <w:lang w:val="en-GB"/>
        </w:rPr>
        <w:t>r</w:t>
      </w:r>
      <w:r w:rsidR="005C6F7D" w:rsidRPr="00542B95">
        <w:rPr>
          <w:b/>
          <w:bCs/>
          <w:lang w:val="en-GB"/>
        </w:rPr>
        <w:t xml:space="preserve">elated </w:t>
      </w:r>
      <w:r w:rsidR="00796818">
        <w:rPr>
          <w:b/>
          <w:bCs/>
          <w:lang w:val="en-GB"/>
        </w:rPr>
        <w:t>Goals</w:t>
      </w:r>
      <w:r w:rsidR="00796818" w:rsidRPr="00542B95">
        <w:rPr>
          <w:b/>
          <w:bCs/>
          <w:lang w:val="en-GB"/>
        </w:rPr>
        <w:t xml:space="preserve"> </w:t>
      </w:r>
      <w:r w:rsidR="00432693" w:rsidRPr="00542B95">
        <w:rPr>
          <w:b/>
          <w:bCs/>
          <w:lang w:val="en-GB"/>
        </w:rPr>
        <w:t>t</w:t>
      </w:r>
      <w:r w:rsidR="005C6F7D" w:rsidRPr="00542B95">
        <w:rPr>
          <w:b/>
          <w:bCs/>
          <w:lang w:val="en-GB"/>
        </w:rPr>
        <w:t>argets: 1.3;</w:t>
      </w:r>
      <w:r w:rsidR="00DB4E09" w:rsidRPr="00542B95">
        <w:rPr>
          <w:b/>
          <w:bCs/>
          <w:lang w:val="en-GB"/>
        </w:rPr>
        <w:t xml:space="preserve"> 3.5;</w:t>
      </w:r>
      <w:r w:rsidR="005C6F7D" w:rsidRPr="00542B95">
        <w:rPr>
          <w:b/>
          <w:bCs/>
          <w:lang w:val="en-GB"/>
        </w:rPr>
        <w:t xml:space="preserve"> 5.5; </w:t>
      </w:r>
      <w:r w:rsidR="00DB4E09" w:rsidRPr="00542B95">
        <w:rPr>
          <w:b/>
          <w:bCs/>
          <w:lang w:val="en-GB"/>
        </w:rPr>
        <w:t xml:space="preserve">5b; </w:t>
      </w:r>
      <w:r w:rsidR="005C6F7D" w:rsidRPr="00542B95">
        <w:rPr>
          <w:b/>
          <w:bCs/>
          <w:lang w:val="en-GB"/>
        </w:rPr>
        <w:t>5c; 8.5;</w:t>
      </w:r>
      <w:r w:rsidR="00DB4E09" w:rsidRPr="00542B95">
        <w:rPr>
          <w:b/>
          <w:bCs/>
          <w:lang w:val="en-GB"/>
        </w:rPr>
        <w:t xml:space="preserve"> </w:t>
      </w:r>
      <w:r w:rsidR="005C6F7D" w:rsidRPr="00542B95">
        <w:rPr>
          <w:b/>
          <w:bCs/>
          <w:lang w:val="en-GB"/>
        </w:rPr>
        <w:t>10.3; 16.</w:t>
      </w:r>
      <w:r w:rsidR="00DB4E09" w:rsidRPr="00542B95">
        <w:rPr>
          <w:b/>
          <w:bCs/>
          <w:lang w:val="en-GB"/>
        </w:rPr>
        <w:t>7</w:t>
      </w:r>
      <w:r w:rsidR="005C6F7D" w:rsidRPr="00542B95">
        <w:rPr>
          <w:b/>
          <w:bCs/>
          <w:lang w:val="en-GB"/>
        </w:rPr>
        <w:t xml:space="preserve">; </w:t>
      </w:r>
      <w:r w:rsidR="00B65050">
        <w:rPr>
          <w:b/>
          <w:bCs/>
          <w:lang w:val="en-GB"/>
        </w:rPr>
        <w:t xml:space="preserve">and </w:t>
      </w:r>
      <w:r w:rsidR="005C6F7D" w:rsidRPr="00542B95">
        <w:rPr>
          <w:b/>
          <w:bCs/>
          <w:lang w:val="en-GB"/>
        </w:rPr>
        <w:t>17.18</w:t>
      </w:r>
      <w:r w:rsidR="00DB4E09" w:rsidRPr="00542B95">
        <w:rPr>
          <w:b/>
          <w:bCs/>
          <w:lang w:val="en-GB"/>
        </w:rPr>
        <w:t>)</w:t>
      </w:r>
      <w:r w:rsidRPr="00542B95">
        <w:rPr>
          <w:b/>
          <w:bCs/>
          <w:lang w:val="en-GB"/>
        </w:rPr>
        <w:t xml:space="preserve">. </w:t>
      </w:r>
    </w:p>
    <w:p w14:paraId="52051905" w14:textId="61D79753" w:rsidR="00714329" w:rsidRPr="00D75D0C" w:rsidRDefault="00A96A9C" w:rsidP="004D30EF">
      <w:pPr>
        <w:tabs>
          <w:tab w:val="left" w:pos="1620"/>
        </w:tabs>
        <w:spacing w:after="120"/>
        <w:ind w:left="1260" w:right="1210"/>
        <w:jc w:val="both"/>
        <w:rPr>
          <w:sz w:val="22"/>
          <w:szCs w:val="22"/>
          <w:lang w:val="en-GB"/>
        </w:rPr>
      </w:pPr>
      <w:r>
        <w:rPr>
          <w:color w:val="000000" w:themeColor="text1"/>
          <w:lang w:val="en-GB"/>
        </w:rPr>
        <w:t>42</w:t>
      </w:r>
      <w:r w:rsidR="00796818">
        <w:rPr>
          <w:color w:val="000000" w:themeColor="text1"/>
          <w:lang w:val="en-GB"/>
        </w:rPr>
        <w:t>.</w:t>
      </w:r>
      <w:r w:rsidR="00796818">
        <w:rPr>
          <w:color w:val="000000" w:themeColor="text1"/>
          <w:lang w:val="en-GB"/>
        </w:rPr>
        <w:tab/>
      </w:r>
      <w:r w:rsidR="00714329" w:rsidRPr="00D75D0C">
        <w:rPr>
          <w:color w:val="000000" w:themeColor="text1"/>
          <w:lang w:val="en-GB"/>
        </w:rPr>
        <w:t xml:space="preserve">This area is aligned with the national priority </w:t>
      </w:r>
      <w:r w:rsidR="00D9757C">
        <w:rPr>
          <w:color w:val="000000" w:themeColor="text1"/>
          <w:lang w:val="en-GB"/>
        </w:rPr>
        <w:t>o</w:t>
      </w:r>
      <w:r w:rsidR="00796818">
        <w:rPr>
          <w:color w:val="000000" w:themeColor="text1"/>
          <w:lang w:val="en-GB"/>
        </w:rPr>
        <w:t>f</w:t>
      </w:r>
      <w:r w:rsidR="00714329" w:rsidRPr="00D75D0C">
        <w:rPr>
          <w:color w:val="000000" w:themeColor="text1"/>
          <w:lang w:val="en-GB"/>
        </w:rPr>
        <w:t xml:space="preserve"> creating decent jobs and ensuring equal opportunities for people of any age and in all social activities.</w:t>
      </w:r>
      <w:r w:rsidR="000D671F">
        <w:rPr>
          <w:color w:val="000000" w:themeColor="text1"/>
          <w:lang w:val="en-GB"/>
        </w:rPr>
        <w:t xml:space="preserve"> </w:t>
      </w:r>
      <w:r w:rsidR="00B47961">
        <w:rPr>
          <w:color w:val="000000" w:themeColor="text1"/>
          <w:lang w:val="en-GB"/>
        </w:rPr>
        <w:t xml:space="preserve">The </w:t>
      </w:r>
      <w:r w:rsidR="00B47961" w:rsidRPr="00D75D0C">
        <w:rPr>
          <w:color w:val="000000" w:themeColor="text1"/>
          <w:lang w:val="en-GB"/>
        </w:rPr>
        <w:t>envisaged</w:t>
      </w:r>
      <w:r w:rsidR="00B47961" w:rsidRPr="00D75D0C" w:rsidDel="00B47961">
        <w:rPr>
          <w:color w:val="000000" w:themeColor="text1"/>
          <w:lang w:val="en-GB"/>
        </w:rPr>
        <w:t xml:space="preserve"> </w:t>
      </w:r>
      <w:r w:rsidR="00B47961">
        <w:rPr>
          <w:color w:val="000000" w:themeColor="text1"/>
          <w:lang w:val="en-GB"/>
        </w:rPr>
        <w:t>a</w:t>
      </w:r>
      <w:r w:rsidR="00714329" w:rsidRPr="00D75D0C">
        <w:rPr>
          <w:color w:val="000000" w:themeColor="text1"/>
          <w:lang w:val="en-GB"/>
        </w:rPr>
        <w:t xml:space="preserve">ctivities </w:t>
      </w:r>
      <w:r w:rsidR="00D9757C">
        <w:rPr>
          <w:color w:val="000000" w:themeColor="text1"/>
          <w:lang w:val="en-GB"/>
        </w:rPr>
        <w:t>will</w:t>
      </w:r>
      <w:r w:rsidR="00714329" w:rsidRPr="00D75D0C">
        <w:rPr>
          <w:color w:val="000000" w:themeColor="text1"/>
          <w:lang w:val="en-GB"/>
        </w:rPr>
        <w:t xml:space="preserve"> contribute to the achievement of </w:t>
      </w:r>
      <w:r w:rsidR="00796818">
        <w:rPr>
          <w:color w:val="000000" w:themeColor="text1"/>
          <w:lang w:val="en-GB"/>
        </w:rPr>
        <w:t>o</w:t>
      </w:r>
      <w:r w:rsidR="00714329" w:rsidRPr="00D75D0C">
        <w:rPr>
          <w:color w:val="000000" w:themeColor="text1"/>
          <w:lang w:val="en-GB"/>
        </w:rPr>
        <w:t xml:space="preserve">utcome </w:t>
      </w:r>
      <w:r w:rsidR="000B61BC">
        <w:rPr>
          <w:color w:val="000000" w:themeColor="text1"/>
          <w:lang w:val="en-GB"/>
        </w:rPr>
        <w:t xml:space="preserve">5 </w:t>
      </w:r>
      <w:r w:rsidR="00714329" w:rsidRPr="00D75D0C">
        <w:rPr>
          <w:color w:val="000000" w:themeColor="text1"/>
          <w:lang w:val="en-GB"/>
        </w:rPr>
        <w:t xml:space="preserve">of </w:t>
      </w:r>
      <w:r w:rsidR="00796818">
        <w:rPr>
          <w:color w:val="000000" w:themeColor="text1"/>
          <w:lang w:val="en-GB"/>
        </w:rPr>
        <w:t xml:space="preserve">the </w:t>
      </w:r>
      <w:r w:rsidR="00757DF7" w:rsidRPr="00D75D0C">
        <w:rPr>
          <w:lang w:val="en-GB"/>
        </w:rPr>
        <w:t xml:space="preserve">United Nations </w:t>
      </w:r>
      <w:r w:rsidR="00757DF7">
        <w:rPr>
          <w:lang w:val="en-GB"/>
        </w:rPr>
        <w:t xml:space="preserve">Sustainable </w:t>
      </w:r>
      <w:r w:rsidR="00757DF7" w:rsidRPr="00D75D0C">
        <w:rPr>
          <w:lang w:val="en-GB"/>
        </w:rPr>
        <w:t xml:space="preserve">Development </w:t>
      </w:r>
      <w:r w:rsidR="00757DF7">
        <w:rPr>
          <w:lang w:val="en-GB"/>
        </w:rPr>
        <w:t>Cooperation</w:t>
      </w:r>
      <w:r w:rsidR="00757DF7" w:rsidRPr="00D75D0C">
        <w:rPr>
          <w:lang w:val="en-GB"/>
        </w:rPr>
        <w:t xml:space="preserve"> Framework</w:t>
      </w:r>
      <w:r w:rsidR="00757DF7">
        <w:rPr>
          <w:lang w:val="en-GB"/>
        </w:rPr>
        <w:t>,</w:t>
      </w:r>
      <w:r w:rsidR="00714329" w:rsidRPr="00D75D0C">
        <w:rPr>
          <w:lang w:val="en-GB"/>
        </w:rPr>
        <w:t xml:space="preserve"> 2021-2025</w:t>
      </w:r>
      <w:r w:rsidR="00714329" w:rsidRPr="00D75D0C">
        <w:rPr>
          <w:color w:val="000000" w:themeColor="text1"/>
          <w:lang w:val="en-GB"/>
        </w:rPr>
        <w:t>.</w:t>
      </w:r>
    </w:p>
    <w:p w14:paraId="43F49832" w14:textId="26D53EA8" w:rsidR="00714329" w:rsidRPr="00D75D0C" w:rsidRDefault="00796818" w:rsidP="004D30EF">
      <w:pPr>
        <w:tabs>
          <w:tab w:val="left" w:pos="1620"/>
        </w:tabs>
        <w:spacing w:after="120"/>
        <w:ind w:left="1260" w:right="1210"/>
        <w:jc w:val="both"/>
        <w:rPr>
          <w:lang w:val="en-GB"/>
        </w:rPr>
      </w:pPr>
      <w:r w:rsidRPr="00542B95">
        <w:rPr>
          <w:lang w:val="en-GB"/>
        </w:rPr>
        <w:t>4</w:t>
      </w:r>
      <w:r w:rsidR="00A96A9C">
        <w:rPr>
          <w:lang w:val="en-GB"/>
        </w:rPr>
        <w:t>3</w:t>
      </w:r>
      <w:r w:rsidRPr="00542B95">
        <w:rPr>
          <w:lang w:val="en-GB"/>
        </w:rPr>
        <w:t>.</w:t>
      </w:r>
      <w:r w:rsidRPr="00542B95">
        <w:rPr>
          <w:lang w:val="en-GB"/>
        </w:rPr>
        <w:tab/>
      </w:r>
      <w:r w:rsidR="00714329" w:rsidRPr="00D75D0C">
        <w:rPr>
          <w:lang w:val="en-GB"/>
        </w:rPr>
        <w:t>UNDP will support the development and implementation of measures to reduce</w:t>
      </w:r>
      <w:r w:rsidR="000F69F3">
        <w:rPr>
          <w:lang w:val="en-GB"/>
        </w:rPr>
        <w:t xml:space="preserve"> inequality and</w:t>
      </w:r>
      <w:r w:rsidR="00714329" w:rsidRPr="00D75D0C">
        <w:rPr>
          <w:lang w:val="en-GB"/>
        </w:rPr>
        <w:t xml:space="preserve"> discrimination against men and women and</w:t>
      </w:r>
      <w:r w:rsidR="008116BF">
        <w:rPr>
          <w:lang w:val="en-GB"/>
        </w:rPr>
        <w:t xml:space="preserve"> </w:t>
      </w:r>
      <w:r w:rsidR="00714329" w:rsidRPr="00D75D0C">
        <w:rPr>
          <w:lang w:val="en-GB"/>
        </w:rPr>
        <w:t xml:space="preserve">strengthen the role of women </w:t>
      </w:r>
      <w:r w:rsidR="000F69F3">
        <w:rPr>
          <w:lang w:val="en-GB"/>
        </w:rPr>
        <w:t>in non-traditional sectors</w:t>
      </w:r>
      <w:r w:rsidR="00DA064E">
        <w:rPr>
          <w:lang w:val="en-GB"/>
        </w:rPr>
        <w:t xml:space="preserve">, </w:t>
      </w:r>
      <w:r w:rsidR="00714329" w:rsidRPr="00D75D0C">
        <w:rPr>
          <w:lang w:val="en-GB"/>
        </w:rPr>
        <w:t>expand their economic opportunities</w:t>
      </w:r>
      <w:r w:rsidR="00DA064E">
        <w:rPr>
          <w:lang w:val="en-GB"/>
        </w:rPr>
        <w:t xml:space="preserve"> and promote their participation in </w:t>
      </w:r>
      <w:r>
        <w:rPr>
          <w:lang w:val="en-GB"/>
        </w:rPr>
        <w:t xml:space="preserve">public- and private-sector </w:t>
      </w:r>
      <w:r w:rsidR="00DA064E">
        <w:rPr>
          <w:lang w:val="en-GB"/>
        </w:rPr>
        <w:t>decision-making</w:t>
      </w:r>
      <w:r w:rsidR="00714329" w:rsidRPr="00D75D0C">
        <w:rPr>
          <w:lang w:val="en-GB"/>
        </w:rPr>
        <w:t xml:space="preserve">. </w:t>
      </w:r>
    </w:p>
    <w:p w14:paraId="4D206F68" w14:textId="5DD1799D" w:rsidR="00714329" w:rsidRPr="00D75D0C" w:rsidRDefault="00796818" w:rsidP="004D30EF">
      <w:pPr>
        <w:tabs>
          <w:tab w:val="left" w:pos="1620"/>
        </w:tabs>
        <w:spacing w:after="120"/>
        <w:ind w:left="1260" w:right="1210"/>
        <w:jc w:val="both"/>
        <w:rPr>
          <w:lang w:val="en-GB"/>
        </w:rPr>
      </w:pPr>
      <w:r>
        <w:rPr>
          <w:lang w:val="en-GB"/>
        </w:rPr>
        <w:t>4</w:t>
      </w:r>
      <w:r w:rsidR="00A96A9C">
        <w:rPr>
          <w:lang w:val="en-GB"/>
        </w:rPr>
        <w:t>4</w:t>
      </w:r>
      <w:r>
        <w:rPr>
          <w:lang w:val="en-GB"/>
        </w:rPr>
        <w:t>.</w:t>
      </w:r>
      <w:r>
        <w:rPr>
          <w:lang w:val="en-GB"/>
        </w:rPr>
        <w:tab/>
      </w:r>
      <w:r w:rsidR="00714329" w:rsidRPr="00D75D0C">
        <w:rPr>
          <w:lang w:val="en-GB"/>
        </w:rPr>
        <w:t xml:space="preserve">UNDP will assist national partners in improving </w:t>
      </w:r>
      <w:r w:rsidRPr="00D75D0C">
        <w:rPr>
          <w:lang w:val="en-GB"/>
        </w:rPr>
        <w:t xml:space="preserve">the </w:t>
      </w:r>
      <w:r w:rsidR="00714329" w:rsidRPr="00D75D0C">
        <w:rPr>
          <w:lang w:val="en-GB"/>
        </w:rPr>
        <w:t xml:space="preserve">collection, monitoring, analysis and use of </w:t>
      </w:r>
      <w:r w:rsidR="00DA064E">
        <w:rPr>
          <w:lang w:val="en-GB"/>
        </w:rPr>
        <w:t>sex- and age-</w:t>
      </w:r>
      <w:r w:rsidR="00714329" w:rsidRPr="00D75D0C">
        <w:rPr>
          <w:lang w:val="en-GB"/>
        </w:rPr>
        <w:t xml:space="preserve">disaggregated data, including </w:t>
      </w:r>
      <w:r w:rsidR="001F43DA">
        <w:rPr>
          <w:lang w:val="en-GB"/>
        </w:rPr>
        <w:t>on</w:t>
      </w:r>
      <w:r w:rsidR="001F43DA" w:rsidRPr="00D75D0C">
        <w:rPr>
          <w:lang w:val="en-GB"/>
        </w:rPr>
        <w:t xml:space="preserve"> </w:t>
      </w:r>
      <w:r w:rsidR="00714329" w:rsidRPr="00D75D0C">
        <w:rPr>
          <w:lang w:val="en-GB"/>
        </w:rPr>
        <w:t xml:space="preserve">vulnerable groups, in line with the </w:t>
      </w:r>
      <w:r>
        <w:rPr>
          <w:lang w:val="en-GB"/>
        </w:rPr>
        <w:t>h</w:t>
      </w:r>
      <w:r w:rsidR="00714329" w:rsidRPr="00C94AA8">
        <w:rPr>
          <w:lang w:val="en-GB"/>
        </w:rPr>
        <w:t xml:space="preserve">uman </w:t>
      </w:r>
      <w:r>
        <w:rPr>
          <w:lang w:val="en-GB"/>
        </w:rPr>
        <w:t>r</w:t>
      </w:r>
      <w:r w:rsidR="00714329" w:rsidRPr="00C94AA8">
        <w:rPr>
          <w:lang w:val="en-GB"/>
        </w:rPr>
        <w:t>ights-</w:t>
      </w:r>
      <w:r>
        <w:rPr>
          <w:lang w:val="en-GB"/>
        </w:rPr>
        <w:t>b</w:t>
      </w:r>
      <w:r w:rsidR="00714329" w:rsidRPr="00C94AA8">
        <w:rPr>
          <w:lang w:val="en-GB"/>
        </w:rPr>
        <w:t xml:space="preserve">ased </w:t>
      </w:r>
      <w:r>
        <w:rPr>
          <w:lang w:val="en-GB"/>
        </w:rPr>
        <w:t>a</w:t>
      </w:r>
      <w:r w:rsidR="00714329" w:rsidRPr="00C94AA8">
        <w:rPr>
          <w:lang w:val="en-GB"/>
        </w:rPr>
        <w:t>pproach</w:t>
      </w:r>
      <w:r w:rsidR="00DA064E" w:rsidRPr="00C94AA8">
        <w:rPr>
          <w:lang w:val="en-GB"/>
        </w:rPr>
        <w:t xml:space="preserve"> to </w:t>
      </w:r>
      <w:r>
        <w:rPr>
          <w:lang w:val="en-GB"/>
        </w:rPr>
        <w:t>d</w:t>
      </w:r>
      <w:r w:rsidR="00DA064E" w:rsidRPr="00C94AA8">
        <w:rPr>
          <w:lang w:val="en-GB"/>
        </w:rPr>
        <w:t xml:space="preserve">ata </w:t>
      </w:r>
      <w:r w:rsidR="00714329" w:rsidRPr="00C94AA8">
        <w:rPr>
          <w:lang w:val="en-GB"/>
        </w:rPr>
        <w:t>and the principles of gender equality.</w:t>
      </w:r>
      <w:r w:rsidR="00714329" w:rsidRPr="00D75D0C">
        <w:rPr>
          <w:lang w:val="en-GB"/>
        </w:rPr>
        <w:t xml:space="preserve"> </w:t>
      </w:r>
      <w:r w:rsidR="004B7007">
        <w:rPr>
          <w:lang w:val="en-GB"/>
        </w:rPr>
        <w:t xml:space="preserve">The approach </w:t>
      </w:r>
      <w:r w:rsidR="006D6B0B">
        <w:rPr>
          <w:lang w:val="en-GB"/>
        </w:rPr>
        <w:t xml:space="preserve">implies </w:t>
      </w:r>
      <w:r w:rsidR="004B7007">
        <w:rPr>
          <w:lang w:val="en-GB"/>
        </w:rPr>
        <w:t xml:space="preserve">data </w:t>
      </w:r>
      <w:r w:rsidR="00F03BD0">
        <w:rPr>
          <w:lang w:val="en-GB"/>
        </w:rPr>
        <w:t>analysis</w:t>
      </w:r>
      <w:r w:rsidR="00285C81">
        <w:rPr>
          <w:lang w:val="en-GB"/>
        </w:rPr>
        <w:t xml:space="preserve"> </w:t>
      </w:r>
      <w:r w:rsidR="00D87824">
        <w:rPr>
          <w:lang w:val="en-GB"/>
        </w:rPr>
        <w:t>focus</w:t>
      </w:r>
      <w:r w:rsidR="006D6B0B">
        <w:rPr>
          <w:lang w:val="en-GB"/>
        </w:rPr>
        <w:t>ing</w:t>
      </w:r>
      <w:r w:rsidR="00D87824">
        <w:rPr>
          <w:lang w:val="en-GB"/>
        </w:rPr>
        <w:t xml:space="preserve"> on the most disadvantaged and marginalized groups and on existing inequalities among the population.</w:t>
      </w:r>
    </w:p>
    <w:p w14:paraId="7F00F80F" w14:textId="483359EC" w:rsidR="00714329" w:rsidRPr="00D75D0C" w:rsidRDefault="004B7007" w:rsidP="00A3735C">
      <w:pPr>
        <w:tabs>
          <w:tab w:val="left" w:pos="1620"/>
        </w:tabs>
        <w:spacing w:after="120"/>
        <w:ind w:left="1267" w:right="1210"/>
        <w:jc w:val="both"/>
        <w:rPr>
          <w:lang w:val="en-GB"/>
        </w:rPr>
      </w:pPr>
      <w:r>
        <w:rPr>
          <w:lang w:val="en-GB"/>
        </w:rPr>
        <w:t>4</w:t>
      </w:r>
      <w:r w:rsidR="00967444">
        <w:rPr>
          <w:lang w:val="en-GB"/>
        </w:rPr>
        <w:t>5</w:t>
      </w:r>
      <w:r>
        <w:rPr>
          <w:lang w:val="en-GB"/>
        </w:rPr>
        <w:t>.</w:t>
      </w:r>
      <w:r>
        <w:rPr>
          <w:lang w:val="en-GB"/>
        </w:rPr>
        <w:tab/>
        <w:t>T</w:t>
      </w:r>
      <w:r w:rsidR="00714329" w:rsidRPr="00D75D0C">
        <w:rPr>
          <w:lang w:val="en-GB"/>
        </w:rPr>
        <w:t xml:space="preserve">o </w:t>
      </w:r>
      <w:r w:rsidR="00527725">
        <w:rPr>
          <w:lang w:val="en-GB"/>
        </w:rPr>
        <w:t>strengthen women’s role in and contribution to the economy, with equal opportunities and wages</w:t>
      </w:r>
      <w:r w:rsidR="00714329" w:rsidRPr="00D75D0C">
        <w:rPr>
          <w:lang w:val="en-GB"/>
        </w:rPr>
        <w:t xml:space="preserve">, UNDP will </w:t>
      </w:r>
      <w:r w:rsidR="00EE566E">
        <w:rPr>
          <w:lang w:val="en-GB"/>
        </w:rPr>
        <w:t xml:space="preserve">help </w:t>
      </w:r>
      <w:r w:rsidR="00714329" w:rsidRPr="00D75D0C">
        <w:rPr>
          <w:lang w:val="en-GB"/>
        </w:rPr>
        <w:t xml:space="preserve">develop measures and </w:t>
      </w:r>
      <w:r w:rsidR="001F43DA">
        <w:rPr>
          <w:lang w:val="en-GB"/>
        </w:rPr>
        <w:t>solutions</w:t>
      </w:r>
      <w:r w:rsidR="001F43DA" w:rsidRPr="00D75D0C">
        <w:rPr>
          <w:lang w:val="en-GB"/>
        </w:rPr>
        <w:t xml:space="preserve"> </w:t>
      </w:r>
      <w:r w:rsidR="00730E35">
        <w:rPr>
          <w:lang w:val="en-GB"/>
        </w:rPr>
        <w:t>to</w:t>
      </w:r>
      <w:r w:rsidR="00714329" w:rsidRPr="00D75D0C">
        <w:rPr>
          <w:lang w:val="en-GB"/>
        </w:rPr>
        <w:t xml:space="preserve"> incorporate a gender perspective in</w:t>
      </w:r>
      <w:r>
        <w:rPr>
          <w:lang w:val="en-GB"/>
        </w:rPr>
        <w:t>to</w:t>
      </w:r>
      <w:r w:rsidR="00714329" w:rsidRPr="00D75D0C">
        <w:rPr>
          <w:lang w:val="en-GB"/>
        </w:rPr>
        <w:t xml:space="preserve"> national entrepreneurship program</w:t>
      </w:r>
      <w:r w:rsidR="00EE566E">
        <w:rPr>
          <w:lang w:val="en-GB"/>
        </w:rPr>
        <w:t>me</w:t>
      </w:r>
      <w:r w:rsidR="00714329" w:rsidRPr="00D75D0C">
        <w:rPr>
          <w:lang w:val="en-GB"/>
        </w:rPr>
        <w:t>s</w:t>
      </w:r>
      <w:r>
        <w:rPr>
          <w:lang w:val="en-GB"/>
        </w:rPr>
        <w:t>,</w:t>
      </w:r>
      <w:r w:rsidR="00714329" w:rsidRPr="00D75D0C">
        <w:rPr>
          <w:lang w:val="en-GB"/>
        </w:rPr>
        <w:t xml:space="preserve"> with a focus on supporting women’s entrepreneurship.</w:t>
      </w:r>
    </w:p>
    <w:p w14:paraId="2440D3E2" w14:textId="750D7D0F" w:rsidR="002C36C8" w:rsidRDefault="004B7007" w:rsidP="00542B95">
      <w:pPr>
        <w:tabs>
          <w:tab w:val="left" w:pos="1620"/>
        </w:tabs>
        <w:spacing w:after="120"/>
        <w:ind w:left="1260" w:right="1210"/>
        <w:jc w:val="both"/>
        <w:rPr>
          <w:lang w:val="en-GB"/>
        </w:rPr>
      </w:pPr>
      <w:r>
        <w:rPr>
          <w:lang w:val="en-GB"/>
        </w:rPr>
        <w:t>4</w:t>
      </w:r>
      <w:r w:rsidR="00967444">
        <w:rPr>
          <w:lang w:val="en-GB"/>
        </w:rPr>
        <w:t>6</w:t>
      </w:r>
      <w:r>
        <w:rPr>
          <w:lang w:val="en-GB"/>
        </w:rPr>
        <w:t>.</w:t>
      </w:r>
      <w:r>
        <w:rPr>
          <w:lang w:val="en-GB"/>
        </w:rPr>
        <w:tab/>
        <w:t>T</w:t>
      </w:r>
      <w:r w:rsidR="00714329" w:rsidRPr="00D75D0C">
        <w:rPr>
          <w:lang w:val="en-GB"/>
        </w:rPr>
        <w:t>o ensure the inclusiveness of education and its labour-market orientation, UNDP will facilitate the development and implementation of career guidance and counselling program</w:t>
      </w:r>
      <w:r w:rsidR="00EE566E">
        <w:rPr>
          <w:lang w:val="en-GB"/>
        </w:rPr>
        <w:t>me</w:t>
      </w:r>
      <w:r w:rsidR="00714329" w:rsidRPr="00D75D0C">
        <w:rPr>
          <w:lang w:val="en-GB"/>
        </w:rPr>
        <w:t>s for vulnerable groups, with a focus on the needs of children, adolescents and youth with disabilities</w:t>
      </w:r>
      <w:r w:rsidR="0090759D" w:rsidRPr="00714329">
        <w:rPr>
          <w:lang w:val="en-GB"/>
        </w:rPr>
        <w:t xml:space="preserve">. </w:t>
      </w:r>
    </w:p>
    <w:p w14:paraId="2440D3E3" w14:textId="2183AFD9" w:rsidR="002C36C8" w:rsidRPr="00B67E3D" w:rsidRDefault="004B7007" w:rsidP="00631C8D">
      <w:pPr>
        <w:tabs>
          <w:tab w:val="left" w:pos="1620"/>
        </w:tabs>
        <w:ind w:left="1260" w:right="1210"/>
        <w:jc w:val="both"/>
        <w:rPr>
          <w:lang w:val="en-GB"/>
        </w:rPr>
      </w:pPr>
      <w:r>
        <w:rPr>
          <w:lang w:val="en-GB"/>
        </w:rPr>
        <w:lastRenderedPageBreak/>
        <w:t>4</w:t>
      </w:r>
      <w:r w:rsidR="00967444">
        <w:rPr>
          <w:lang w:val="en-GB"/>
        </w:rPr>
        <w:t>7</w:t>
      </w:r>
      <w:r>
        <w:rPr>
          <w:lang w:val="en-GB"/>
        </w:rPr>
        <w:t>.</w:t>
      </w:r>
      <w:r>
        <w:rPr>
          <w:lang w:val="en-GB"/>
        </w:rPr>
        <w:tab/>
      </w:r>
      <w:r w:rsidR="00822021" w:rsidRPr="00822021">
        <w:rPr>
          <w:lang w:val="en-GB"/>
        </w:rPr>
        <w:t xml:space="preserve">Another area that UNDP intends to develop </w:t>
      </w:r>
      <w:r w:rsidR="001F43DA">
        <w:rPr>
          <w:lang w:val="en-GB"/>
        </w:rPr>
        <w:t xml:space="preserve">together with the Ministry of Labour and Social protection </w:t>
      </w:r>
      <w:r w:rsidR="00822021" w:rsidRPr="00822021">
        <w:rPr>
          <w:lang w:val="en-GB"/>
        </w:rPr>
        <w:t xml:space="preserve">is volunteering. </w:t>
      </w:r>
      <w:r w:rsidR="008111CE">
        <w:t>One billion volunteers contribute to their communities globally</w:t>
      </w:r>
      <w:r w:rsidR="00450AE0">
        <w:t xml:space="preserve"> – </w:t>
      </w:r>
      <w:r w:rsidR="008111CE">
        <w:t xml:space="preserve">yet volunteering remains a largely untapped resource with a huge potential to achieve people-centric and </w:t>
      </w:r>
      <w:r w:rsidR="00A35651">
        <w:t>socially inclusive</w:t>
      </w:r>
      <w:r w:rsidR="008111CE">
        <w:t xml:space="preserve"> sustainable development. In line with the </w:t>
      </w:r>
      <w:r w:rsidR="008111CE" w:rsidRPr="001908B5">
        <w:t>Plan of Action to Integrate Volunteering into the 2030 Agenda</w:t>
      </w:r>
      <w:r w:rsidR="008111CE">
        <w:t xml:space="preserve"> and the national draft law on volunteering, volunteers can help the </w:t>
      </w:r>
      <w:r w:rsidR="00EE566E">
        <w:t>G</w:t>
      </w:r>
      <w:r w:rsidR="008111CE">
        <w:t>overnment and the U</w:t>
      </w:r>
      <w:r w:rsidR="00F304DC">
        <w:t xml:space="preserve">nited </w:t>
      </w:r>
      <w:r w:rsidR="008111CE">
        <w:t>N</w:t>
      </w:r>
      <w:r w:rsidR="00F304DC">
        <w:t>ations</w:t>
      </w:r>
      <w:r w:rsidR="008111CE">
        <w:t xml:space="preserve"> in achieving national priorities at all levels</w:t>
      </w:r>
      <w:r w:rsidR="00822021" w:rsidRPr="00822021">
        <w:rPr>
          <w:lang w:val="en-GB"/>
        </w:rPr>
        <w:t>.</w:t>
      </w:r>
    </w:p>
    <w:p w14:paraId="2440D3F6" w14:textId="77777777" w:rsidR="004736BE" w:rsidRPr="003C26C1" w:rsidRDefault="004736BE" w:rsidP="004B7007">
      <w:pPr>
        <w:tabs>
          <w:tab w:val="left" w:pos="1620"/>
        </w:tabs>
        <w:ind w:right="1267"/>
        <w:jc w:val="both"/>
        <w:rPr>
          <w:color w:val="000000"/>
        </w:rPr>
      </w:pPr>
    </w:p>
    <w:p w14:paraId="2440D3F7" w14:textId="02A405F0" w:rsidR="0063402B" w:rsidRPr="003C26C1" w:rsidRDefault="0063402B" w:rsidP="00631C8D">
      <w:pPr>
        <w:pStyle w:val="Heading1"/>
        <w:tabs>
          <w:tab w:val="left" w:pos="1620"/>
          <w:tab w:val="left" w:pos="1800"/>
        </w:tabs>
        <w:spacing w:after="200"/>
        <w:ind w:left="1267" w:right="1267" w:hanging="637"/>
        <w:jc w:val="both"/>
        <w:rPr>
          <w:rFonts w:ascii="Times New Roman" w:hAnsi="Times New Roman"/>
          <w:color w:val="000000"/>
          <w:sz w:val="20"/>
          <w:lang w:val="en-US"/>
        </w:rPr>
      </w:pPr>
      <w:r w:rsidRPr="003C26C1">
        <w:rPr>
          <w:rFonts w:ascii="Times New Roman" w:hAnsi="Times New Roman"/>
          <w:color w:val="000000"/>
          <w:sz w:val="24"/>
          <w:szCs w:val="24"/>
        </w:rPr>
        <w:t>I</w:t>
      </w:r>
      <w:r w:rsidRPr="003C26C1">
        <w:rPr>
          <w:rFonts w:ascii="Times New Roman" w:hAnsi="Times New Roman"/>
          <w:color w:val="000000"/>
          <w:sz w:val="24"/>
          <w:szCs w:val="24"/>
          <w:lang w:val="en-US"/>
        </w:rPr>
        <w:t>II</w:t>
      </w:r>
      <w:r w:rsidRPr="003C26C1">
        <w:rPr>
          <w:rFonts w:ascii="Times New Roman" w:hAnsi="Times New Roman"/>
          <w:color w:val="000000"/>
          <w:sz w:val="24"/>
          <w:szCs w:val="24"/>
        </w:rPr>
        <w:t xml:space="preserve">. </w:t>
      </w:r>
      <w:r w:rsidR="004B7007">
        <w:rPr>
          <w:rFonts w:ascii="Times New Roman" w:hAnsi="Times New Roman"/>
          <w:color w:val="000000"/>
          <w:sz w:val="24"/>
          <w:szCs w:val="24"/>
        </w:rPr>
        <w:tab/>
      </w:r>
      <w:r w:rsidRPr="003C26C1">
        <w:rPr>
          <w:rFonts w:ascii="Times New Roman" w:hAnsi="Times New Roman"/>
          <w:color w:val="000000"/>
          <w:sz w:val="24"/>
          <w:szCs w:val="24"/>
          <w:lang w:val="en-US"/>
        </w:rPr>
        <w:t xml:space="preserve">Programme and </w:t>
      </w:r>
      <w:r w:rsidR="004B7007">
        <w:rPr>
          <w:rFonts w:ascii="Times New Roman" w:hAnsi="Times New Roman"/>
          <w:color w:val="000000"/>
          <w:sz w:val="24"/>
          <w:szCs w:val="24"/>
          <w:lang w:val="en-US"/>
        </w:rPr>
        <w:t>r</w:t>
      </w:r>
      <w:r w:rsidRPr="003C26C1">
        <w:rPr>
          <w:rFonts w:ascii="Times New Roman" w:hAnsi="Times New Roman"/>
          <w:color w:val="000000"/>
          <w:sz w:val="24"/>
          <w:szCs w:val="24"/>
          <w:lang w:val="en-US"/>
        </w:rPr>
        <w:t>isk</w:t>
      </w:r>
      <w:r w:rsidR="00AC1BE7" w:rsidRPr="003C26C1">
        <w:rPr>
          <w:rFonts w:ascii="Times New Roman" w:hAnsi="Times New Roman"/>
          <w:color w:val="000000"/>
          <w:sz w:val="24"/>
          <w:szCs w:val="24"/>
          <w:lang w:val="en-US"/>
        </w:rPr>
        <w:t xml:space="preserve"> </w:t>
      </w:r>
      <w:r w:rsidR="004B7007">
        <w:rPr>
          <w:rFonts w:ascii="Times New Roman" w:hAnsi="Times New Roman"/>
          <w:color w:val="000000"/>
          <w:sz w:val="24"/>
          <w:szCs w:val="24"/>
          <w:lang w:val="en-US"/>
        </w:rPr>
        <w:t>m</w:t>
      </w:r>
      <w:r w:rsidR="001C6C08" w:rsidRPr="003C26C1">
        <w:rPr>
          <w:rFonts w:ascii="Times New Roman" w:hAnsi="Times New Roman"/>
          <w:color w:val="000000"/>
          <w:sz w:val="24"/>
          <w:szCs w:val="24"/>
          <w:lang w:val="en-US"/>
        </w:rPr>
        <w:t>anagement</w:t>
      </w:r>
      <w:r w:rsidRPr="003C26C1">
        <w:rPr>
          <w:rFonts w:ascii="Times New Roman" w:hAnsi="Times New Roman"/>
          <w:color w:val="000000"/>
          <w:sz w:val="24"/>
          <w:szCs w:val="24"/>
        </w:rPr>
        <w:t xml:space="preserve"> </w:t>
      </w:r>
    </w:p>
    <w:p w14:paraId="7B4D2ABD" w14:textId="53FDD400" w:rsidR="00EE566E" w:rsidRPr="00714329" w:rsidRDefault="004B7007" w:rsidP="0096653F">
      <w:pPr>
        <w:tabs>
          <w:tab w:val="left" w:pos="1620"/>
        </w:tabs>
        <w:spacing w:after="120"/>
        <w:ind w:left="1260" w:right="1210"/>
        <w:jc w:val="both"/>
        <w:rPr>
          <w:lang w:val="en-GB"/>
        </w:rPr>
      </w:pPr>
      <w:r>
        <w:rPr>
          <w:lang w:val="en-GB"/>
        </w:rPr>
        <w:t>4</w:t>
      </w:r>
      <w:r w:rsidR="00967444">
        <w:rPr>
          <w:lang w:val="en-GB"/>
        </w:rPr>
        <w:t>8</w:t>
      </w:r>
      <w:r>
        <w:rPr>
          <w:lang w:val="en-GB"/>
        </w:rPr>
        <w:t>.</w:t>
      </w:r>
      <w:r>
        <w:rPr>
          <w:lang w:val="en-GB"/>
        </w:rPr>
        <w:tab/>
      </w:r>
      <w:r w:rsidR="00714329" w:rsidRPr="00714329">
        <w:rPr>
          <w:lang w:val="en-GB"/>
        </w:rPr>
        <w:t xml:space="preserve">This </w:t>
      </w:r>
      <w:r>
        <w:rPr>
          <w:lang w:val="en-GB"/>
        </w:rPr>
        <w:t>c</w:t>
      </w:r>
      <w:r w:rsidR="00714329" w:rsidRPr="00714329">
        <w:rPr>
          <w:lang w:val="en-GB"/>
        </w:rPr>
        <w:t xml:space="preserve">ountry </w:t>
      </w:r>
      <w:r>
        <w:rPr>
          <w:lang w:val="en-GB"/>
        </w:rPr>
        <w:t>p</w:t>
      </w:r>
      <w:r w:rsidR="00714329" w:rsidRPr="00714329">
        <w:rPr>
          <w:lang w:val="en-GB"/>
        </w:rPr>
        <w:t xml:space="preserve">rogramme document outlines UNDP contributions to national results and serves as the primary unit of accountability to the Executive Board for results alignment and resources assigned to the programme at </w:t>
      </w:r>
      <w:r>
        <w:rPr>
          <w:lang w:val="en-GB"/>
        </w:rPr>
        <w:t xml:space="preserve">the </w:t>
      </w:r>
      <w:r w:rsidR="00714329" w:rsidRPr="00714329">
        <w:rPr>
          <w:lang w:val="en-GB"/>
        </w:rPr>
        <w:t>country level. Accountabilities of managers at country, regional and headquarter</w:t>
      </w:r>
      <w:r>
        <w:rPr>
          <w:lang w:val="en-GB"/>
        </w:rPr>
        <w:t>s</w:t>
      </w:r>
      <w:r w:rsidR="00714329" w:rsidRPr="00714329">
        <w:rPr>
          <w:lang w:val="en-GB"/>
        </w:rPr>
        <w:t xml:space="preserve"> levels with respect to country programmes are prescribed in the </w:t>
      </w:r>
      <w:hyperlink r:id="rId15" w:history="1">
        <w:r w:rsidR="004F4B9F" w:rsidRPr="00542B95">
          <w:rPr>
            <w:rStyle w:val="Hyperlink"/>
            <w:color w:val="1F497D" w:themeColor="text2"/>
          </w:rPr>
          <w:t>Programme and Operations Policies and Procedures</w:t>
        </w:r>
      </w:hyperlink>
      <w:r w:rsidR="004F4B9F">
        <w:rPr>
          <w:rStyle w:val="Hyperlink"/>
        </w:rPr>
        <w:t xml:space="preserve"> </w:t>
      </w:r>
      <w:r w:rsidR="00714329" w:rsidRPr="00714329">
        <w:rPr>
          <w:lang w:val="en-GB"/>
        </w:rPr>
        <w:t>and</w:t>
      </w:r>
      <w:r w:rsidR="00D57C86">
        <w:rPr>
          <w:lang w:val="en-GB"/>
        </w:rPr>
        <w:t xml:space="preserve"> the</w:t>
      </w:r>
      <w:r w:rsidR="00714329" w:rsidRPr="00714329">
        <w:rPr>
          <w:lang w:val="en-GB"/>
        </w:rPr>
        <w:t xml:space="preserve"> </w:t>
      </w:r>
      <w:hyperlink r:id="rId16" w:history="1">
        <w:r w:rsidR="004F4B9F" w:rsidRPr="00542B95">
          <w:rPr>
            <w:rStyle w:val="Hyperlink"/>
            <w:color w:val="1F497D" w:themeColor="text2"/>
          </w:rPr>
          <w:t>Internal Control Framework</w:t>
        </w:r>
      </w:hyperlink>
      <w:r w:rsidR="00714329" w:rsidRPr="00714329">
        <w:rPr>
          <w:lang w:val="en-GB"/>
        </w:rPr>
        <w:t>.</w:t>
      </w:r>
    </w:p>
    <w:p w14:paraId="024D7D08" w14:textId="4BBAD85E" w:rsidR="00714329" w:rsidRDefault="004B7007" w:rsidP="00A3735C">
      <w:pPr>
        <w:tabs>
          <w:tab w:val="left" w:pos="1620"/>
        </w:tabs>
        <w:spacing w:after="120"/>
        <w:ind w:left="1260" w:right="1210"/>
        <w:jc w:val="both"/>
        <w:rPr>
          <w:lang w:val="en-GB"/>
        </w:rPr>
      </w:pPr>
      <w:r>
        <w:rPr>
          <w:lang w:val="en-GB"/>
        </w:rPr>
        <w:t>4</w:t>
      </w:r>
      <w:r w:rsidR="00967444">
        <w:rPr>
          <w:lang w:val="en-GB"/>
        </w:rPr>
        <w:t>9</w:t>
      </w:r>
      <w:r>
        <w:rPr>
          <w:lang w:val="en-GB"/>
        </w:rPr>
        <w:t>.</w:t>
      </w:r>
      <w:r>
        <w:rPr>
          <w:lang w:val="en-GB"/>
        </w:rPr>
        <w:tab/>
      </w:r>
      <w:r w:rsidR="00714329" w:rsidRPr="00714329">
        <w:rPr>
          <w:lang w:val="en-GB"/>
        </w:rPr>
        <w:t>The programme will be nationally executed. If necessary, national execution may be replaced by direct execution for part or all of the programme to enable response</w:t>
      </w:r>
      <w:r>
        <w:rPr>
          <w:lang w:val="en-GB"/>
        </w:rPr>
        <w:t>s</w:t>
      </w:r>
      <w:r w:rsidR="00714329" w:rsidRPr="00714329">
        <w:rPr>
          <w:lang w:val="en-GB"/>
        </w:rPr>
        <w:t xml:space="preserve"> to force majeure.</w:t>
      </w:r>
      <w:r w:rsidR="003F0950">
        <w:rPr>
          <w:lang w:val="en-GB"/>
        </w:rPr>
        <w:t xml:space="preserve"> </w:t>
      </w:r>
      <w:r>
        <w:rPr>
          <w:lang w:val="en-GB"/>
        </w:rPr>
        <w:t xml:space="preserve">The </w:t>
      </w:r>
      <w:r w:rsidR="00714329" w:rsidRPr="00714329">
        <w:rPr>
          <w:lang w:val="en-GB"/>
        </w:rPr>
        <w:t>Harmoni</w:t>
      </w:r>
      <w:r>
        <w:rPr>
          <w:lang w:val="en-GB"/>
        </w:rPr>
        <w:t>z</w:t>
      </w:r>
      <w:r w:rsidR="00714329" w:rsidRPr="00714329">
        <w:rPr>
          <w:lang w:val="en-GB"/>
        </w:rPr>
        <w:t>ed Approach to Cash Transfers will be used in a coordinated fashion with other U</w:t>
      </w:r>
      <w:r>
        <w:rPr>
          <w:lang w:val="en-GB"/>
        </w:rPr>
        <w:t>nited Nations</w:t>
      </w:r>
      <w:r w:rsidR="00714329" w:rsidRPr="00714329">
        <w:rPr>
          <w:lang w:val="en-GB"/>
        </w:rPr>
        <w:t xml:space="preserve"> </w:t>
      </w:r>
      <w:r>
        <w:rPr>
          <w:lang w:val="en-GB"/>
        </w:rPr>
        <w:t>organization</w:t>
      </w:r>
      <w:r w:rsidRPr="00714329">
        <w:rPr>
          <w:lang w:val="en-GB"/>
        </w:rPr>
        <w:t xml:space="preserve">s </w:t>
      </w:r>
      <w:r w:rsidR="00714329" w:rsidRPr="00714329">
        <w:rPr>
          <w:lang w:val="en-GB"/>
        </w:rPr>
        <w:t>to manage financial risks. Cost definitions and classifications for programme and development effectiveness will be charged to the concerned projects.</w:t>
      </w:r>
    </w:p>
    <w:p w14:paraId="18E51EB3" w14:textId="5A0B7C38" w:rsidR="00714329" w:rsidRDefault="00967444" w:rsidP="00A3735C">
      <w:pPr>
        <w:tabs>
          <w:tab w:val="left" w:pos="1620"/>
        </w:tabs>
        <w:spacing w:after="120"/>
        <w:ind w:left="1260" w:right="1210"/>
        <w:jc w:val="both"/>
        <w:rPr>
          <w:lang w:val="en-GB"/>
        </w:rPr>
      </w:pPr>
      <w:r>
        <w:rPr>
          <w:lang w:val="en-GB"/>
        </w:rPr>
        <w:t>50</w:t>
      </w:r>
      <w:r w:rsidR="004B7007">
        <w:rPr>
          <w:lang w:val="en-GB"/>
        </w:rPr>
        <w:t>.</w:t>
      </w:r>
      <w:r w:rsidR="004B7007">
        <w:rPr>
          <w:lang w:val="en-GB"/>
        </w:rPr>
        <w:tab/>
      </w:r>
      <w:r w:rsidR="00285C81">
        <w:rPr>
          <w:lang w:val="en-GB"/>
        </w:rPr>
        <w:t xml:space="preserve">Programme and risk management arrangements of this </w:t>
      </w:r>
      <w:r w:rsidR="004B7007">
        <w:rPr>
          <w:lang w:val="en-GB"/>
        </w:rPr>
        <w:t>c</w:t>
      </w:r>
      <w:r w:rsidR="00285C81">
        <w:rPr>
          <w:lang w:val="en-GB"/>
        </w:rPr>
        <w:t xml:space="preserve">ountry </w:t>
      </w:r>
      <w:r w:rsidR="004B7007">
        <w:rPr>
          <w:lang w:val="en-GB"/>
        </w:rPr>
        <w:t>p</w:t>
      </w:r>
      <w:r w:rsidR="00285C81">
        <w:rPr>
          <w:lang w:val="en-GB"/>
        </w:rPr>
        <w:t xml:space="preserve">rogramme </w:t>
      </w:r>
      <w:r w:rsidR="00EC100D">
        <w:rPr>
          <w:lang w:val="en-GB"/>
        </w:rPr>
        <w:t>correspond</w:t>
      </w:r>
      <w:r w:rsidR="00364D88">
        <w:rPr>
          <w:lang w:val="en-GB"/>
        </w:rPr>
        <w:t xml:space="preserve"> </w:t>
      </w:r>
      <w:r w:rsidR="00EC100D">
        <w:rPr>
          <w:lang w:val="en-GB"/>
        </w:rPr>
        <w:t xml:space="preserve">fully to </w:t>
      </w:r>
      <w:r w:rsidR="004B7007">
        <w:rPr>
          <w:lang w:val="en-GB"/>
        </w:rPr>
        <w:t xml:space="preserve">the </w:t>
      </w:r>
      <w:r w:rsidR="00285C81">
        <w:rPr>
          <w:lang w:val="en-GB"/>
        </w:rPr>
        <w:t xml:space="preserve">UNDP Programme and Operations Policies and Procedures, Financial Regulations and Rules, and decisions of </w:t>
      </w:r>
      <w:r w:rsidR="004B7007">
        <w:rPr>
          <w:lang w:val="en-GB"/>
        </w:rPr>
        <w:t xml:space="preserve">the </w:t>
      </w:r>
      <w:r w:rsidR="00285C81">
        <w:rPr>
          <w:lang w:val="en-GB"/>
        </w:rPr>
        <w:t>Executive Board.</w:t>
      </w:r>
    </w:p>
    <w:p w14:paraId="28D77306" w14:textId="05A943AB" w:rsidR="00714329" w:rsidRPr="00714329" w:rsidRDefault="00967444" w:rsidP="00A3735C">
      <w:pPr>
        <w:tabs>
          <w:tab w:val="left" w:pos="1620"/>
        </w:tabs>
        <w:spacing w:after="120"/>
        <w:ind w:left="1260" w:right="1210"/>
        <w:jc w:val="both"/>
        <w:rPr>
          <w:lang w:val="en-GB"/>
        </w:rPr>
      </w:pPr>
      <w:r>
        <w:rPr>
          <w:lang w:val="en-GB"/>
        </w:rPr>
        <w:t>51</w:t>
      </w:r>
      <w:r w:rsidR="004B7007">
        <w:rPr>
          <w:lang w:val="en-GB"/>
        </w:rPr>
        <w:t>.</w:t>
      </w:r>
      <w:r w:rsidR="004B7007">
        <w:rPr>
          <w:lang w:val="en-GB"/>
        </w:rPr>
        <w:tab/>
      </w:r>
      <w:r w:rsidR="00714329" w:rsidRPr="00714329">
        <w:rPr>
          <w:lang w:val="en-GB"/>
        </w:rPr>
        <w:t xml:space="preserve">The </w:t>
      </w:r>
      <w:r w:rsidR="004B7007">
        <w:rPr>
          <w:lang w:val="en-GB"/>
        </w:rPr>
        <w:t>c</w:t>
      </w:r>
      <w:r w:rsidR="00714329" w:rsidRPr="00714329">
        <w:rPr>
          <w:lang w:val="en-GB"/>
        </w:rPr>
        <w:t xml:space="preserve">ountry </w:t>
      </w:r>
      <w:r w:rsidR="004B7007">
        <w:rPr>
          <w:lang w:val="en-GB"/>
        </w:rPr>
        <w:t>p</w:t>
      </w:r>
      <w:r w:rsidR="00714329" w:rsidRPr="00714329">
        <w:rPr>
          <w:lang w:val="en-GB"/>
        </w:rPr>
        <w:t>rogramme will be implemented in coordination with the Ministry of Economy of the Republic of Belarus.</w:t>
      </w:r>
      <w:r w:rsidR="007E7FEE">
        <w:rPr>
          <w:lang w:val="en-GB"/>
        </w:rPr>
        <w:t xml:space="preserve"> </w:t>
      </w:r>
      <w:r w:rsidR="00714329" w:rsidRPr="00714329">
        <w:rPr>
          <w:lang w:val="en-GB"/>
        </w:rPr>
        <w:t xml:space="preserve">The key programme management principles will include joint project design, co-financing, implementation and monitoring. </w:t>
      </w:r>
    </w:p>
    <w:p w14:paraId="49794453" w14:textId="4995A9FF" w:rsidR="006D6B0B" w:rsidRDefault="00967444" w:rsidP="00A3735C">
      <w:pPr>
        <w:tabs>
          <w:tab w:val="left" w:pos="1620"/>
        </w:tabs>
        <w:spacing w:after="120"/>
        <w:ind w:left="1260" w:right="1210"/>
        <w:jc w:val="both"/>
        <w:rPr>
          <w:lang w:val="en-GB"/>
        </w:rPr>
      </w:pPr>
      <w:r>
        <w:rPr>
          <w:lang w:val="en-GB"/>
        </w:rPr>
        <w:t>52</w:t>
      </w:r>
      <w:r w:rsidR="00CC3168">
        <w:rPr>
          <w:lang w:val="en-GB"/>
        </w:rPr>
        <w:t>.</w:t>
      </w:r>
      <w:r w:rsidR="00CC3168">
        <w:rPr>
          <w:lang w:val="en-GB"/>
        </w:rPr>
        <w:tab/>
      </w:r>
      <w:r w:rsidR="00527725" w:rsidRPr="00AE08A3">
        <w:rPr>
          <w:lang w:val="en-GB"/>
        </w:rPr>
        <w:t xml:space="preserve">This programme is developed at </w:t>
      </w:r>
      <w:r w:rsidR="00CC3168">
        <w:rPr>
          <w:lang w:val="en-GB"/>
        </w:rPr>
        <w:t>a</w:t>
      </w:r>
      <w:r w:rsidR="00CC3168" w:rsidRPr="00AE08A3">
        <w:rPr>
          <w:lang w:val="en-GB"/>
        </w:rPr>
        <w:t xml:space="preserve"> </w:t>
      </w:r>
      <w:r w:rsidR="00527725" w:rsidRPr="00AE08A3">
        <w:rPr>
          <w:lang w:val="en-GB"/>
        </w:rPr>
        <w:t>challenging time as Belarus and the world are experienc</w:t>
      </w:r>
      <w:r w:rsidR="004F4B9F" w:rsidRPr="00AE08A3">
        <w:rPr>
          <w:lang w:val="en-GB"/>
        </w:rPr>
        <w:t xml:space="preserve">ing </w:t>
      </w:r>
      <w:r w:rsidR="00527725" w:rsidRPr="00AE08A3">
        <w:rPr>
          <w:lang w:val="en-GB"/>
        </w:rPr>
        <w:t xml:space="preserve">the impact of the </w:t>
      </w:r>
      <w:r w:rsidR="004838C4" w:rsidRPr="00AE08A3">
        <w:rPr>
          <w:lang w:val="en-GB"/>
        </w:rPr>
        <w:t xml:space="preserve">COVID-19 </w:t>
      </w:r>
      <w:r w:rsidR="00527725" w:rsidRPr="00AE08A3">
        <w:rPr>
          <w:lang w:val="en-GB"/>
        </w:rPr>
        <w:t>pandemic</w:t>
      </w:r>
      <w:r w:rsidR="00BB5EE3">
        <w:rPr>
          <w:lang w:val="en-GB"/>
        </w:rPr>
        <w:t xml:space="preserve">. Accordingly, it contains </w:t>
      </w:r>
      <w:r w:rsidR="00CC3168">
        <w:rPr>
          <w:lang w:val="en-GB"/>
        </w:rPr>
        <w:t xml:space="preserve">a </w:t>
      </w:r>
      <w:r w:rsidR="00BB5EE3">
        <w:rPr>
          <w:lang w:val="en-GB"/>
        </w:rPr>
        <w:t xml:space="preserve">UNDP policy and programme offer and annual workplans </w:t>
      </w:r>
      <w:r w:rsidR="009F16BB">
        <w:rPr>
          <w:lang w:val="en-GB"/>
        </w:rPr>
        <w:t>t</w:t>
      </w:r>
      <w:r w:rsidR="00CC3168">
        <w:rPr>
          <w:lang w:val="en-GB"/>
        </w:rPr>
        <w:t>hat</w:t>
      </w:r>
      <w:r w:rsidR="009F16BB">
        <w:rPr>
          <w:lang w:val="en-GB"/>
        </w:rPr>
        <w:t xml:space="preserve"> </w:t>
      </w:r>
      <w:r w:rsidR="00BB5EE3">
        <w:rPr>
          <w:lang w:val="en-GB"/>
        </w:rPr>
        <w:t xml:space="preserve">allow national authorities, UNDP and partners </w:t>
      </w:r>
      <w:r w:rsidR="00CC3168">
        <w:rPr>
          <w:lang w:val="en-GB"/>
        </w:rPr>
        <w:t>the</w:t>
      </w:r>
      <w:r w:rsidR="00BB5EE3">
        <w:rPr>
          <w:lang w:val="en-GB"/>
        </w:rPr>
        <w:t xml:space="preserve"> flexibility to respond to the emerging needs and priorities </w:t>
      </w:r>
      <w:r w:rsidR="00CC3168">
        <w:rPr>
          <w:lang w:val="en-GB"/>
        </w:rPr>
        <w:t>of the</w:t>
      </w:r>
      <w:r w:rsidR="00BB5EE3">
        <w:rPr>
          <w:lang w:val="en-GB"/>
        </w:rPr>
        <w:t xml:space="preserve"> situation</w:t>
      </w:r>
      <w:r w:rsidR="009F16BB">
        <w:rPr>
          <w:lang w:val="en-GB"/>
        </w:rPr>
        <w:t>.</w:t>
      </w:r>
    </w:p>
    <w:p w14:paraId="049E96A8" w14:textId="0DA7824B" w:rsidR="00777CB6" w:rsidRPr="00EF5B0C" w:rsidRDefault="00CC3168" w:rsidP="00A3735C">
      <w:pPr>
        <w:tabs>
          <w:tab w:val="left" w:pos="1620"/>
        </w:tabs>
        <w:spacing w:after="120"/>
        <w:ind w:left="1260" w:right="1210"/>
        <w:jc w:val="both"/>
        <w:rPr>
          <w:lang w:val="en-GB"/>
        </w:rPr>
      </w:pPr>
      <w:r>
        <w:rPr>
          <w:lang w:val="en-GB"/>
        </w:rPr>
        <w:t>5</w:t>
      </w:r>
      <w:r w:rsidR="00967444">
        <w:rPr>
          <w:lang w:val="en-GB"/>
        </w:rPr>
        <w:t>3</w:t>
      </w:r>
      <w:r>
        <w:rPr>
          <w:lang w:val="en-GB"/>
        </w:rPr>
        <w:t>.</w:t>
      </w:r>
      <w:r>
        <w:rPr>
          <w:lang w:val="en-GB"/>
        </w:rPr>
        <w:tab/>
      </w:r>
      <w:r w:rsidR="00096257">
        <w:rPr>
          <w:lang w:val="en-GB"/>
        </w:rPr>
        <w:t>Implementation of the programme is associated with</w:t>
      </w:r>
      <w:r w:rsidR="00714329" w:rsidRPr="00EF5B0C">
        <w:rPr>
          <w:lang w:val="en-GB"/>
        </w:rPr>
        <w:t xml:space="preserve"> a range of </w:t>
      </w:r>
      <w:r w:rsidR="007670D6">
        <w:rPr>
          <w:lang w:val="en-GB"/>
        </w:rPr>
        <w:t xml:space="preserve">external </w:t>
      </w:r>
      <w:r w:rsidR="00714329" w:rsidRPr="00EF5B0C">
        <w:rPr>
          <w:lang w:val="en-GB"/>
        </w:rPr>
        <w:t>economic, environmental</w:t>
      </w:r>
      <w:r w:rsidR="001908B5">
        <w:rPr>
          <w:lang w:val="en-GB"/>
        </w:rPr>
        <w:t>, health</w:t>
      </w:r>
      <w:r w:rsidR="00714329" w:rsidRPr="00EF5B0C">
        <w:rPr>
          <w:lang w:val="en-GB"/>
        </w:rPr>
        <w:t xml:space="preserve"> and social factors</w:t>
      </w:r>
      <w:r w:rsidR="007670D6">
        <w:rPr>
          <w:lang w:val="en-GB"/>
        </w:rPr>
        <w:t xml:space="preserve"> </w:t>
      </w:r>
      <w:r>
        <w:rPr>
          <w:lang w:val="en-GB"/>
        </w:rPr>
        <w:t>in addition to</w:t>
      </w:r>
      <w:r w:rsidR="007670D6">
        <w:rPr>
          <w:lang w:val="en-GB"/>
        </w:rPr>
        <w:t xml:space="preserve"> internal risks</w:t>
      </w:r>
      <w:r w:rsidR="00714329" w:rsidRPr="00EF5B0C">
        <w:rPr>
          <w:lang w:val="en-GB"/>
        </w:rPr>
        <w:t>.</w:t>
      </w:r>
      <w:r w:rsidR="007E7FEE" w:rsidRPr="00EF5B0C">
        <w:rPr>
          <w:lang w:val="en-GB"/>
        </w:rPr>
        <w:t xml:space="preserve"> </w:t>
      </w:r>
      <w:r>
        <w:rPr>
          <w:lang w:val="en-GB"/>
        </w:rPr>
        <w:t>The i</w:t>
      </w:r>
      <w:r w:rsidR="00BB5EE3">
        <w:rPr>
          <w:lang w:val="en-GB"/>
        </w:rPr>
        <w:t xml:space="preserve">mpact of the global pandemic, </w:t>
      </w:r>
      <w:r w:rsidR="006D6B0B" w:rsidRPr="00EF5B0C">
        <w:rPr>
          <w:lang w:val="en-GB"/>
        </w:rPr>
        <w:t>prospects of slow economic growth</w:t>
      </w:r>
      <w:r w:rsidR="00714329" w:rsidRPr="00EF5B0C">
        <w:rPr>
          <w:lang w:val="en-GB"/>
        </w:rPr>
        <w:t xml:space="preserve">, </w:t>
      </w:r>
      <w:r w:rsidR="004838C4">
        <w:rPr>
          <w:lang w:val="en-GB"/>
        </w:rPr>
        <w:t xml:space="preserve">implications of the </w:t>
      </w:r>
      <w:bookmarkStart w:id="2" w:name="_Hlk35869925"/>
      <w:r w:rsidR="004838C4" w:rsidRPr="002A22ED">
        <w:rPr>
          <w:lang w:val="en-GB"/>
        </w:rPr>
        <w:t>tax man</w:t>
      </w:r>
      <w:r>
        <w:rPr>
          <w:lang w:val="en-GB"/>
        </w:rPr>
        <w:t>o</w:t>
      </w:r>
      <w:r w:rsidR="004838C4" w:rsidRPr="002A22ED">
        <w:rPr>
          <w:lang w:val="en-GB"/>
        </w:rPr>
        <w:t>euv</w:t>
      </w:r>
      <w:r>
        <w:rPr>
          <w:lang w:val="en-GB"/>
        </w:rPr>
        <w:t>re</w:t>
      </w:r>
      <w:bookmarkEnd w:id="2"/>
      <w:r w:rsidR="00BB5EE3">
        <w:rPr>
          <w:lang w:val="en-GB"/>
        </w:rPr>
        <w:t xml:space="preserve">, </w:t>
      </w:r>
      <w:r w:rsidR="00714329" w:rsidRPr="00EF5B0C">
        <w:rPr>
          <w:lang w:val="en-GB"/>
        </w:rPr>
        <w:t>various levels of</w:t>
      </w:r>
      <w:r w:rsidR="00096257">
        <w:rPr>
          <w:lang w:val="en-GB"/>
        </w:rPr>
        <w:t xml:space="preserve"> </w:t>
      </w:r>
      <w:r w:rsidR="00714329" w:rsidRPr="00EF5B0C">
        <w:rPr>
          <w:lang w:val="en-GB"/>
        </w:rPr>
        <w:t>regional economic development</w:t>
      </w:r>
      <w:r w:rsidR="007670D6">
        <w:rPr>
          <w:lang w:val="en-GB"/>
        </w:rPr>
        <w:t>,</w:t>
      </w:r>
      <w:r w:rsidR="007670D6" w:rsidRPr="007670D6">
        <w:rPr>
          <w:lang w:val="en-GB"/>
        </w:rPr>
        <w:t xml:space="preserve"> </w:t>
      </w:r>
      <w:r w:rsidR="007670D6">
        <w:rPr>
          <w:lang w:val="en-GB"/>
        </w:rPr>
        <w:t xml:space="preserve">aftermaths of </w:t>
      </w:r>
      <w:r w:rsidR="007E6578">
        <w:rPr>
          <w:lang w:val="en-GB"/>
        </w:rPr>
        <w:t xml:space="preserve">the </w:t>
      </w:r>
      <w:r w:rsidR="007670D6">
        <w:rPr>
          <w:lang w:val="en-GB"/>
        </w:rPr>
        <w:t xml:space="preserve">Chernobyl catastrophe, </w:t>
      </w:r>
      <w:r>
        <w:rPr>
          <w:lang w:val="en-GB"/>
        </w:rPr>
        <w:t xml:space="preserve">and </w:t>
      </w:r>
      <w:r w:rsidR="007670D6" w:rsidRPr="00EF5B0C">
        <w:rPr>
          <w:lang w:val="en-GB"/>
        </w:rPr>
        <w:t>low adaptability of the social protection system to the accelerating process of population ageing</w:t>
      </w:r>
      <w:r w:rsidR="00714329" w:rsidRPr="00EF5B0C">
        <w:rPr>
          <w:lang w:val="en-GB"/>
        </w:rPr>
        <w:t xml:space="preserve"> </w:t>
      </w:r>
      <w:r>
        <w:rPr>
          <w:lang w:val="en-GB"/>
        </w:rPr>
        <w:t xml:space="preserve">will </w:t>
      </w:r>
      <w:r w:rsidR="00714329" w:rsidRPr="00EF5B0C">
        <w:rPr>
          <w:lang w:val="en-GB"/>
        </w:rPr>
        <w:t xml:space="preserve">determine the importance of </w:t>
      </w:r>
      <w:r w:rsidR="00EF5B0C" w:rsidRPr="00EF5B0C">
        <w:rPr>
          <w:lang w:val="en-GB"/>
        </w:rPr>
        <w:t>addressing</w:t>
      </w:r>
      <w:r w:rsidR="00714329" w:rsidRPr="00EF5B0C">
        <w:rPr>
          <w:lang w:val="en-GB"/>
        </w:rPr>
        <w:t xml:space="preserve"> </w:t>
      </w:r>
      <w:r w:rsidR="007670D6">
        <w:rPr>
          <w:lang w:val="en-GB"/>
        </w:rPr>
        <w:t>external</w:t>
      </w:r>
      <w:r w:rsidR="00714329" w:rsidRPr="00EF5B0C">
        <w:rPr>
          <w:lang w:val="en-GB"/>
        </w:rPr>
        <w:t xml:space="preserve"> risks. </w:t>
      </w:r>
      <w:r w:rsidR="007670D6">
        <w:rPr>
          <w:lang w:val="en-GB"/>
        </w:rPr>
        <w:t>UNDP will work on</w:t>
      </w:r>
      <w:r w:rsidR="00AD0129">
        <w:rPr>
          <w:lang w:val="en-GB"/>
        </w:rPr>
        <w:t xml:space="preserve"> strengthening relations</w:t>
      </w:r>
      <w:r>
        <w:rPr>
          <w:lang w:val="en-GB"/>
        </w:rPr>
        <w:t>hips</w:t>
      </w:r>
      <w:r w:rsidR="00AD0129">
        <w:rPr>
          <w:lang w:val="en-GB"/>
        </w:rPr>
        <w:t xml:space="preserve"> with the national counterparts,</w:t>
      </w:r>
      <w:r w:rsidR="007670D6">
        <w:rPr>
          <w:lang w:val="en-GB"/>
        </w:rPr>
        <w:t xml:space="preserve"> </w:t>
      </w:r>
      <w:r w:rsidR="007670D6" w:rsidRPr="00EF5B0C">
        <w:rPr>
          <w:lang w:val="en-GB"/>
        </w:rPr>
        <w:t>identifying growth points</w:t>
      </w:r>
      <w:r w:rsidR="007670D6">
        <w:rPr>
          <w:lang w:val="en-GB"/>
        </w:rPr>
        <w:t xml:space="preserve"> of regional development, </w:t>
      </w:r>
      <w:r>
        <w:rPr>
          <w:lang w:val="en-GB"/>
        </w:rPr>
        <w:t xml:space="preserve">and </w:t>
      </w:r>
      <w:r w:rsidR="00AD0129" w:rsidRPr="00EF5B0C">
        <w:rPr>
          <w:lang w:val="en-GB"/>
        </w:rPr>
        <w:t>increas</w:t>
      </w:r>
      <w:r w:rsidR="00AD0129">
        <w:rPr>
          <w:lang w:val="en-GB"/>
        </w:rPr>
        <w:t>ing</w:t>
      </w:r>
      <w:r w:rsidR="00AD0129" w:rsidRPr="00EF5B0C">
        <w:rPr>
          <w:lang w:val="en-GB"/>
        </w:rPr>
        <w:t xml:space="preserve"> the flexibility and targeting of social services</w:t>
      </w:r>
      <w:r w:rsidR="00AD0129">
        <w:rPr>
          <w:lang w:val="en-GB"/>
        </w:rPr>
        <w:t xml:space="preserve"> to mitigate external risks.</w:t>
      </w:r>
    </w:p>
    <w:p w14:paraId="0863C5D5" w14:textId="611996F7" w:rsidR="00A60CB2" w:rsidRPr="00714329" w:rsidRDefault="00CC3168" w:rsidP="00631C8D">
      <w:pPr>
        <w:tabs>
          <w:tab w:val="left" w:pos="1620"/>
        </w:tabs>
        <w:ind w:left="1260" w:right="1210"/>
        <w:jc w:val="both"/>
        <w:rPr>
          <w:lang w:val="en-GB"/>
        </w:rPr>
      </w:pPr>
      <w:r>
        <w:rPr>
          <w:lang w:val="en-GB"/>
        </w:rPr>
        <w:t>5</w:t>
      </w:r>
      <w:r w:rsidR="00967444">
        <w:rPr>
          <w:lang w:val="en-GB"/>
        </w:rPr>
        <w:t>4</w:t>
      </w:r>
      <w:r>
        <w:rPr>
          <w:lang w:val="en-GB"/>
        </w:rPr>
        <w:t>.</w:t>
      </w:r>
      <w:r>
        <w:rPr>
          <w:lang w:val="en-GB"/>
        </w:rPr>
        <w:tab/>
        <w:t>To</w:t>
      </w:r>
      <w:r w:rsidR="00AE1960">
        <w:rPr>
          <w:lang w:val="en-GB"/>
        </w:rPr>
        <w:t xml:space="preserve"> address</w:t>
      </w:r>
      <w:r w:rsidR="00AD0129">
        <w:rPr>
          <w:lang w:val="en-GB"/>
        </w:rPr>
        <w:t xml:space="preserve"> </w:t>
      </w:r>
      <w:r w:rsidR="00AA16DD">
        <w:rPr>
          <w:lang w:val="en-GB"/>
        </w:rPr>
        <w:t xml:space="preserve">external and </w:t>
      </w:r>
      <w:r w:rsidR="00AD0129">
        <w:rPr>
          <w:lang w:val="en-GB"/>
        </w:rPr>
        <w:t>internal risks</w:t>
      </w:r>
      <w:r w:rsidR="00AE1960">
        <w:rPr>
          <w:lang w:val="en-GB"/>
        </w:rPr>
        <w:t xml:space="preserve">, a </w:t>
      </w:r>
      <w:r w:rsidR="00A60CB2">
        <w:rPr>
          <w:lang w:val="en-GB"/>
        </w:rPr>
        <w:t xml:space="preserve">separate risk register </w:t>
      </w:r>
      <w:r>
        <w:rPr>
          <w:lang w:val="en-GB"/>
        </w:rPr>
        <w:t xml:space="preserve">has been </w:t>
      </w:r>
      <w:r w:rsidR="00A60CB2">
        <w:rPr>
          <w:lang w:val="en-GB"/>
        </w:rPr>
        <w:t xml:space="preserve">developed </w:t>
      </w:r>
      <w:r w:rsidR="00AE1960">
        <w:rPr>
          <w:lang w:val="en-GB"/>
        </w:rPr>
        <w:t xml:space="preserve">listing </w:t>
      </w:r>
      <w:r w:rsidR="00AA16DD">
        <w:rPr>
          <w:lang w:val="en-GB"/>
        </w:rPr>
        <w:t>current</w:t>
      </w:r>
      <w:r w:rsidR="00AE1960">
        <w:rPr>
          <w:lang w:val="en-GB"/>
        </w:rPr>
        <w:t xml:space="preserve"> </w:t>
      </w:r>
      <w:r w:rsidR="00AA16DD">
        <w:rPr>
          <w:lang w:val="en-GB"/>
        </w:rPr>
        <w:t xml:space="preserve">external, </w:t>
      </w:r>
      <w:r w:rsidR="00AE1960">
        <w:rPr>
          <w:lang w:val="en-GB"/>
        </w:rPr>
        <w:t>operational, programme and communication risks</w:t>
      </w:r>
      <w:r>
        <w:rPr>
          <w:lang w:val="en-GB"/>
        </w:rPr>
        <w:t>,</w:t>
      </w:r>
      <w:r w:rsidR="00AE1960">
        <w:rPr>
          <w:lang w:val="en-GB"/>
        </w:rPr>
        <w:t xml:space="preserve"> </w:t>
      </w:r>
      <w:r w:rsidR="00A60CB2">
        <w:rPr>
          <w:lang w:val="en-GB"/>
        </w:rPr>
        <w:t xml:space="preserve">with </w:t>
      </w:r>
      <w:r w:rsidR="00AE1960">
        <w:rPr>
          <w:lang w:val="en-GB"/>
        </w:rPr>
        <w:t xml:space="preserve">risk owners and </w:t>
      </w:r>
      <w:r w:rsidR="00A60CB2">
        <w:rPr>
          <w:lang w:val="en-GB"/>
        </w:rPr>
        <w:t xml:space="preserve">mitigation strategies </w:t>
      </w:r>
      <w:r w:rsidR="00AE1960">
        <w:rPr>
          <w:lang w:val="en-GB"/>
        </w:rPr>
        <w:t>identified. The register is</w:t>
      </w:r>
      <w:r w:rsidR="00A60CB2">
        <w:rPr>
          <w:lang w:val="en-GB"/>
        </w:rPr>
        <w:t xml:space="preserve"> reviewed and updated</w:t>
      </w:r>
      <w:r w:rsidR="00985E12">
        <w:rPr>
          <w:lang w:val="en-GB"/>
        </w:rPr>
        <w:t xml:space="preserve"> on a regular basis.</w:t>
      </w:r>
    </w:p>
    <w:p w14:paraId="2440D408" w14:textId="77777777" w:rsidR="002A7363" w:rsidRPr="003C26C1" w:rsidRDefault="002A7363" w:rsidP="00542B95">
      <w:pPr>
        <w:tabs>
          <w:tab w:val="left" w:pos="1620"/>
        </w:tabs>
        <w:ind w:left="1627" w:right="1267"/>
        <w:jc w:val="both"/>
        <w:rPr>
          <w:color w:val="000000"/>
        </w:rPr>
      </w:pPr>
    </w:p>
    <w:p w14:paraId="2440D409" w14:textId="2F3E44B4" w:rsidR="00701B6B" w:rsidRPr="003C26C1" w:rsidRDefault="001B3F87" w:rsidP="00631C8D">
      <w:pPr>
        <w:pStyle w:val="Heading1"/>
        <w:tabs>
          <w:tab w:val="left" w:pos="1260"/>
          <w:tab w:val="left" w:pos="1800"/>
        </w:tabs>
        <w:ind w:left="1267" w:right="1267" w:hanging="637"/>
        <w:jc w:val="both"/>
        <w:rPr>
          <w:rFonts w:ascii="Times New Roman" w:hAnsi="Times New Roman"/>
          <w:color w:val="000000"/>
          <w:sz w:val="24"/>
          <w:szCs w:val="24"/>
          <w:lang w:val="en-US"/>
        </w:rPr>
      </w:pPr>
      <w:r w:rsidRPr="003C26C1">
        <w:rPr>
          <w:rFonts w:ascii="Times New Roman" w:hAnsi="Times New Roman"/>
          <w:color w:val="000000"/>
          <w:sz w:val="24"/>
          <w:szCs w:val="24"/>
        </w:rPr>
        <w:t>I</w:t>
      </w:r>
      <w:r w:rsidRPr="003C26C1">
        <w:rPr>
          <w:rFonts w:ascii="Times New Roman" w:hAnsi="Times New Roman"/>
          <w:color w:val="000000"/>
          <w:sz w:val="24"/>
          <w:szCs w:val="24"/>
          <w:lang w:val="en-US"/>
        </w:rPr>
        <w:t>V</w:t>
      </w:r>
      <w:r w:rsidR="001D42D1" w:rsidRPr="003C26C1">
        <w:rPr>
          <w:rFonts w:ascii="Times New Roman" w:hAnsi="Times New Roman"/>
          <w:color w:val="000000"/>
          <w:sz w:val="24"/>
          <w:szCs w:val="24"/>
        </w:rPr>
        <w:t>.</w:t>
      </w:r>
      <w:r w:rsidR="00CC3168">
        <w:rPr>
          <w:rFonts w:ascii="Times New Roman" w:hAnsi="Times New Roman"/>
          <w:color w:val="000000"/>
          <w:sz w:val="24"/>
          <w:szCs w:val="24"/>
        </w:rPr>
        <w:tab/>
      </w:r>
      <w:r w:rsidR="001D42D1" w:rsidRPr="003C26C1">
        <w:rPr>
          <w:rFonts w:ascii="Times New Roman" w:hAnsi="Times New Roman"/>
          <w:color w:val="000000"/>
          <w:sz w:val="24"/>
          <w:szCs w:val="24"/>
        </w:rPr>
        <w:t xml:space="preserve">Monitoring and </w:t>
      </w:r>
      <w:r w:rsidR="00CC3168">
        <w:rPr>
          <w:rFonts w:ascii="Times New Roman" w:hAnsi="Times New Roman"/>
          <w:color w:val="000000"/>
          <w:sz w:val="24"/>
          <w:szCs w:val="24"/>
          <w:lang w:val="en-US"/>
        </w:rPr>
        <w:t>e</w:t>
      </w:r>
      <w:r w:rsidRPr="003C26C1">
        <w:rPr>
          <w:rFonts w:ascii="Times New Roman" w:hAnsi="Times New Roman"/>
          <w:color w:val="000000"/>
          <w:sz w:val="24"/>
          <w:szCs w:val="24"/>
          <w:lang w:val="en-US"/>
        </w:rPr>
        <w:t>valuation</w:t>
      </w:r>
    </w:p>
    <w:p w14:paraId="2440D40A" w14:textId="77777777" w:rsidR="001D42D1" w:rsidRPr="00631C8D" w:rsidRDefault="001D42D1" w:rsidP="00CC3168">
      <w:pPr>
        <w:pStyle w:val="Heading1"/>
        <w:tabs>
          <w:tab w:val="left" w:pos="1620"/>
          <w:tab w:val="left" w:pos="1800"/>
        </w:tabs>
        <w:ind w:left="1267" w:right="1267"/>
        <w:jc w:val="both"/>
        <w:rPr>
          <w:rFonts w:ascii="Times New Roman" w:hAnsi="Times New Roman"/>
          <w:b w:val="0"/>
          <w:bCs/>
          <w:color w:val="000000"/>
          <w:sz w:val="20"/>
          <w:lang w:val="en-US"/>
        </w:rPr>
      </w:pPr>
    </w:p>
    <w:p w14:paraId="22653C65" w14:textId="2DC169A8" w:rsidR="00094CEC" w:rsidRDefault="00CC3168" w:rsidP="00B95583">
      <w:pPr>
        <w:tabs>
          <w:tab w:val="left" w:pos="1620"/>
        </w:tabs>
        <w:spacing w:after="120"/>
        <w:ind w:left="1260" w:right="1210"/>
        <w:jc w:val="both"/>
        <w:rPr>
          <w:color w:val="000000"/>
        </w:rPr>
      </w:pPr>
      <w:r>
        <w:t>5</w:t>
      </w:r>
      <w:r w:rsidR="00967444">
        <w:t>5</w:t>
      </w:r>
      <w:r>
        <w:t>.</w:t>
      </w:r>
      <w:r>
        <w:tab/>
      </w:r>
      <w:r w:rsidR="00096257">
        <w:t xml:space="preserve">Monitoring and evaluation of the </w:t>
      </w:r>
      <w:r>
        <w:t>c</w:t>
      </w:r>
      <w:r w:rsidR="00096257">
        <w:t xml:space="preserve">ountry </w:t>
      </w:r>
      <w:r>
        <w:t>p</w:t>
      </w:r>
      <w:r w:rsidR="00096257">
        <w:t>rogramme</w:t>
      </w:r>
      <w:r w:rsidR="009D4A72">
        <w:t xml:space="preserve"> </w:t>
      </w:r>
      <w:r w:rsidR="0017151A">
        <w:t xml:space="preserve">is </w:t>
      </w:r>
      <w:r w:rsidR="00094CEC">
        <w:t>aligned with</w:t>
      </w:r>
      <w:r w:rsidR="009D4A72">
        <w:t xml:space="preserve"> </w:t>
      </w:r>
      <w:r>
        <w:t xml:space="preserve">the </w:t>
      </w:r>
      <w:r w:rsidR="00B82B8F">
        <w:t xml:space="preserve">monitoring, reporting and evaluation </w:t>
      </w:r>
      <w:r w:rsidR="00096257">
        <w:t xml:space="preserve">of </w:t>
      </w:r>
      <w:r w:rsidR="00757DF7" w:rsidRPr="00D75D0C">
        <w:rPr>
          <w:lang w:val="en-GB"/>
        </w:rPr>
        <w:t xml:space="preserve">United Nations </w:t>
      </w:r>
      <w:r w:rsidR="00757DF7">
        <w:rPr>
          <w:lang w:val="en-GB"/>
        </w:rPr>
        <w:t xml:space="preserve">Sustainable </w:t>
      </w:r>
      <w:r w:rsidR="00757DF7" w:rsidRPr="00D75D0C">
        <w:rPr>
          <w:lang w:val="en-GB"/>
        </w:rPr>
        <w:t xml:space="preserve">Development </w:t>
      </w:r>
      <w:r w:rsidR="00757DF7">
        <w:rPr>
          <w:lang w:val="en-GB"/>
        </w:rPr>
        <w:t>Cooperation</w:t>
      </w:r>
      <w:r w:rsidR="00757DF7" w:rsidRPr="00D75D0C">
        <w:rPr>
          <w:lang w:val="en-GB"/>
        </w:rPr>
        <w:t xml:space="preserve"> Framework</w:t>
      </w:r>
      <w:r w:rsidR="00096257">
        <w:t xml:space="preserve">. </w:t>
      </w:r>
      <w:r w:rsidR="00094CEC">
        <w:t>UNDP</w:t>
      </w:r>
      <w:r>
        <w:t>,</w:t>
      </w:r>
      <w:r w:rsidR="00094CEC">
        <w:t xml:space="preserve"> </w:t>
      </w:r>
      <w:r w:rsidR="0017151A">
        <w:t xml:space="preserve">together with other </w:t>
      </w:r>
      <w:r>
        <w:t>United Nations organizations,</w:t>
      </w:r>
      <w:r w:rsidR="0017151A">
        <w:t xml:space="preserve"> </w:t>
      </w:r>
      <w:r w:rsidR="00094CEC">
        <w:t xml:space="preserve">will contribute to </w:t>
      </w:r>
      <w:r w:rsidR="00094CEC">
        <w:lastRenderedPageBreak/>
        <w:t xml:space="preserve">annual reviews and joint evaluations </w:t>
      </w:r>
      <w:r w:rsidR="00757DF7">
        <w:t xml:space="preserve">of the framework </w:t>
      </w:r>
      <w:r w:rsidR="00094CEC">
        <w:t>to validate progress in relation to envisaged short- and long-term outcomes</w:t>
      </w:r>
      <w:r w:rsidR="00094CEC">
        <w:rPr>
          <w:color w:val="000000"/>
        </w:rPr>
        <w:t>.</w:t>
      </w:r>
    </w:p>
    <w:p w14:paraId="68EF6E11" w14:textId="6FFF2965" w:rsidR="00CB6BBA" w:rsidRDefault="00CC3168" w:rsidP="00B95583">
      <w:pPr>
        <w:tabs>
          <w:tab w:val="left" w:pos="1620"/>
        </w:tabs>
        <w:spacing w:after="120"/>
        <w:ind w:left="1260" w:right="1210"/>
        <w:jc w:val="both"/>
      </w:pPr>
      <w:r>
        <w:t>5</w:t>
      </w:r>
      <w:r w:rsidR="00967444">
        <w:t>6</w:t>
      </w:r>
      <w:r>
        <w:t>.</w:t>
      </w:r>
      <w:r>
        <w:tab/>
      </w:r>
      <w:r w:rsidR="00714329" w:rsidRPr="009F5559">
        <w:t>Monitoring</w:t>
      </w:r>
      <w:r w:rsidR="00094CEC" w:rsidRPr="009F5559">
        <w:t>, reporting</w:t>
      </w:r>
      <w:r w:rsidR="00714329" w:rsidRPr="009F5559">
        <w:t xml:space="preserve"> and evaluation </w:t>
      </w:r>
      <w:r w:rsidR="00F93881" w:rsidRPr="009F5559">
        <w:t xml:space="preserve">of the </w:t>
      </w:r>
      <w:r w:rsidRPr="009F5559">
        <w:t>c</w:t>
      </w:r>
      <w:r w:rsidR="00F93881" w:rsidRPr="009F5559">
        <w:t xml:space="preserve">ountry </w:t>
      </w:r>
      <w:r w:rsidRPr="009F5559">
        <w:t>p</w:t>
      </w:r>
      <w:r w:rsidR="00F93881" w:rsidRPr="009F5559">
        <w:t xml:space="preserve">rogramme </w:t>
      </w:r>
      <w:r w:rsidR="00714329" w:rsidRPr="009F5559">
        <w:t xml:space="preserve">will be </w:t>
      </w:r>
      <w:r w:rsidR="00096257" w:rsidRPr="009F5559">
        <w:t>based on the use of national data in collaboration with the National Statistic</w:t>
      </w:r>
      <w:r w:rsidR="00EF1DC2" w:rsidRPr="009F5559">
        <w:t>al</w:t>
      </w:r>
      <w:r w:rsidR="00096257" w:rsidRPr="009F5559">
        <w:t xml:space="preserve"> Committee of Belarus and usi</w:t>
      </w:r>
      <w:r w:rsidR="00F93881" w:rsidRPr="009F5559">
        <w:t>ng</w:t>
      </w:r>
      <w:r w:rsidR="00096257" w:rsidRPr="009F5559">
        <w:t xml:space="preserve"> the </w:t>
      </w:r>
      <w:r w:rsidR="00B87EB1" w:rsidRPr="009F5559">
        <w:t>n</w:t>
      </w:r>
      <w:r w:rsidR="00094CEC" w:rsidRPr="009F5559">
        <w:t xml:space="preserve">ational platform for reporting indicators of </w:t>
      </w:r>
      <w:r w:rsidR="00B87EB1" w:rsidRPr="009F5559">
        <w:t xml:space="preserve">the </w:t>
      </w:r>
      <w:r w:rsidR="00F304DC" w:rsidRPr="009F5559">
        <w:rPr>
          <w:lang w:val="en-GB"/>
        </w:rPr>
        <w:t>Sustainable Development Goals</w:t>
      </w:r>
      <w:r w:rsidR="00CB6BBA" w:rsidRPr="009F5559">
        <w:t>. This will be supplemented by the use of socio-environmental standards, beneficiary feedback, frequency of reviews</w:t>
      </w:r>
      <w:r w:rsidR="00B87EB1" w:rsidRPr="009F5559">
        <w:t>,</w:t>
      </w:r>
      <w:r w:rsidR="00CB6BBA" w:rsidRPr="009F5559">
        <w:t xml:space="preserve"> and local monitoring.</w:t>
      </w:r>
      <w:r w:rsidR="00CB6BBA">
        <w:t xml:space="preserve"> </w:t>
      </w:r>
    </w:p>
    <w:p w14:paraId="67C03852" w14:textId="2AE3FFF4" w:rsidR="00714329" w:rsidRDefault="00B87EB1" w:rsidP="00B95583">
      <w:pPr>
        <w:tabs>
          <w:tab w:val="left" w:pos="1620"/>
        </w:tabs>
        <w:spacing w:after="120"/>
        <w:ind w:left="1260" w:right="1210"/>
        <w:jc w:val="both"/>
      </w:pPr>
      <w:r>
        <w:t>5</w:t>
      </w:r>
      <w:r w:rsidR="00967444">
        <w:t>7</w:t>
      </w:r>
      <w:r>
        <w:t>.</w:t>
      </w:r>
      <w:r>
        <w:tab/>
      </w:r>
      <w:r w:rsidR="00015F97" w:rsidRPr="00CB6BBA">
        <w:t>Monitoring and e</w:t>
      </w:r>
      <w:r w:rsidR="00C6081A" w:rsidRPr="00CB6BBA">
        <w:t xml:space="preserve">valuation will be </w:t>
      </w:r>
      <w:r w:rsidR="00714329" w:rsidRPr="00CB6BBA">
        <w:t xml:space="preserve">carried out </w:t>
      </w:r>
      <w:r w:rsidR="00C6081A" w:rsidRPr="00CB6BBA">
        <w:t xml:space="preserve">at </w:t>
      </w:r>
      <w:r w:rsidRPr="00CB6BBA">
        <w:t xml:space="preserve">both </w:t>
      </w:r>
      <w:r w:rsidR="00C6081A" w:rsidRPr="00CB6BBA">
        <w:t xml:space="preserve">project </w:t>
      </w:r>
      <w:r w:rsidR="00EF1DC2">
        <w:t xml:space="preserve">and </w:t>
      </w:r>
      <w:r w:rsidR="00EF1DC2" w:rsidRPr="00CB6BBA">
        <w:t xml:space="preserve">programme outcome </w:t>
      </w:r>
      <w:r w:rsidR="00C6081A" w:rsidRPr="00CB6BBA">
        <w:t>level</w:t>
      </w:r>
      <w:r w:rsidR="00EF1DC2">
        <w:t>s</w:t>
      </w:r>
      <w:r w:rsidR="00C6081A" w:rsidRPr="00CB6BBA">
        <w:t xml:space="preserve"> to </w:t>
      </w:r>
      <w:r w:rsidR="00015F97" w:rsidRPr="00CB6BBA">
        <w:t xml:space="preserve">track </w:t>
      </w:r>
      <w:r w:rsidR="00C6081A" w:rsidRPr="00CB6BBA">
        <w:t xml:space="preserve">the effectiveness and sustainability of </w:t>
      </w:r>
      <w:r w:rsidR="00EF1DC2">
        <w:t>p</w:t>
      </w:r>
      <w:r w:rsidR="00C6081A" w:rsidRPr="00CB6BBA">
        <w:t>rogramme results</w:t>
      </w:r>
      <w:r w:rsidR="00B82B8F" w:rsidRPr="00CB6BBA">
        <w:t xml:space="preserve">. </w:t>
      </w:r>
      <w:r w:rsidR="00714329" w:rsidRPr="00CB6BBA">
        <w:t>The evaluation indicators are</w:t>
      </w:r>
      <w:r w:rsidR="001C2285" w:rsidRPr="00CB6BBA">
        <w:t xml:space="preserve"> </w:t>
      </w:r>
      <w:r w:rsidR="00714329" w:rsidRPr="00CB6BBA">
        <w:t>consistent with the national indicators</w:t>
      </w:r>
      <w:r w:rsidR="00CB6BBA" w:rsidRPr="00CB6BBA">
        <w:t xml:space="preserve"> </w:t>
      </w:r>
      <w:r w:rsidR="00F304DC">
        <w:t xml:space="preserve">for </w:t>
      </w:r>
      <w:r>
        <w:t xml:space="preserve">the </w:t>
      </w:r>
      <w:r w:rsidR="00F304DC">
        <w:rPr>
          <w:lang w:val="en-GB"/>
        </w:rPr>
        <w:t>Sustainable Development Goals</w:t>
      </w:r>
      <w:r w:rsidR="00F304DC" w:rsidRPr="00CB6BBA">
        <w:t xml:space="preserve"> </w:t>
      </w:r>
      <w:r w:rsidR="00CB6BBA" w:rsidRPr="00CB6BBA">
        <w:t>and are</w:t>
      </w:r>
      <w:r w:rsidR="00714329" w:rsidRPr="00CB6BBA">
        <w:t xml:space="preserve"> based on national statistics and annual country reports on </w:t>
      </w:r>
      <w:r w:rsidR="00F304DC">
        <w:t>the Goals</w:t>
      </w:r>
      <w:r w:rsidR="00714329" w:rsidRPr="00CB6BBA">
        <w:t xml:space="preserve">. The observance of the principle of gender equality will be </w:t>
      </w:r>
      <w:r w:rsidR="00E219C1" w:rsidRPr="00CB6BBA">
        <w:t>controlled</w:t>
      </w:r>
      <w:r w:rsidR="00714329" w:rsidRPr="00CB6BBA">
        <w:t xml:space="preserve"> by monitoring the share of expenses for the implementation of related activities.</w:t>
      </w:r>
    </w:p>
    <w:p w14:paraId="541973B7" w14:textId="07DEFBA7" w:rsidR="00714329" w:rsidRPr="001D29FF" w:rsidRDefault="00B87EB1" w:rsidP="001D29FF">
      <w:pPr>
        <w:tabs>
          <w:tab w:val="left" w:pos="1620"/>
        </w:tabs>
        <w:spacing w:after="120"/>
        <w:ind w:left="1260" w:right="1210"/>
        <w:jc w:val="both"/>
        <w:rPr>
          <w:lang w:val="en-GB"/>
        </w:rPr>
      </w:pPr>
      <w:r>
        <w:t>5</w:t>
      </w:r>
      <w:r w:rsidR="00967444">
        <w:t>8</w:t>
      </w:r>
      <w:r>
        <w:t>.</w:t>
      </w:r>
      <w:r>
        <w:tab/>
      </w:r>
      <w:r w:rsidR="00F93881">
        <w:t xml:space="preserve">UNDP will continue to </w:t>
      </w:r>
      <w:r w:rsidR="00015F97">
        <w:t>promote</w:t>
      </w:r>
      <w:r w:rsidR="00F93881">
        <w:t xml:space="preserve"> the collection, management, monitoring, analysis and use of relevant, reliable and disaggregated data, including on vulnerable groups, in line with the fundamental principles of the Sustainable Development Agenda and </w:t>
      </w:r>
      <w:r w:rsidR="00796818">
        <w:t xml:space="preserve">the </w:t>
      </w:r>
      <w:r w:rsidR="00796818">
        <w:rPr>
          <w:lang w:val="en-GB"/>
        </w:rPr>
        <w:t>h</w:t>
      </w:r>
      <w:r w:rsidR="00796818" w:rsidRPr="00C94AA8">
        <w:rPr>
          <w:lang w:val="en-GB"/>
        </w:rPr>
        <w:t xml:space="preserve">uman </w:t>
      </w:r>
      <w:r w:rsidR="00796818">
        <w:rPr>
          <w:lang w:val="en-GB"/>
        </w:rPr>
        <w:t>r</w:t>
      </w:r>
      <w:r w:rsidR="00796818" w:rsidRPr="00C94AA8">
        <w:rPr>
          <w:lang w:val="en-GB"/>
        </w:rPr>
        <w:t>ights-</w:t>
      </w:r>
      <w:r w:rsidR="00796818">
        <w:rPr>
          <w:lang w:val="en-GB"/>
        </w:rPr>
        <w:t>b</w:t>
      </w:r>
      <w:r w:rsidR="00796818" w:rsidRPr="00C94AA8">
        <w:rPr>
          <w:lang w:val="en-GB"/>
        </w:rPr>
        <w:t xml:space="preserve">ased </w:t>
      </w:r>
      <w:r w:rsidR="00796818">
        <w:rPr>
          <w:lang w:val="en-GB"/>
        </w:rPr>
        <w:t>a</w:t>
      </w:r>
      <w:r w:rsidR="00796818" w:rsidRPr="00C94AA8">
        <w:rPr>
          <w:lang w:val="en-GB"/>
        </w:rPr>
        <w:t xml:space="preserve">pproach to </w:t>
      </w:r>
      <w:r w:rsidR="00796818">
        <w:rPr>
          <w:lang w:val="en-GB"/>
        </w:rPr>
        <w:t>d</w:t>
      </w:r>
      <w:r w:rsidR="00796818" w:rsidRPr="00C94AA8">
        <w:rPr>
          <w:lang w:val="en-GB"/>
        </w:rPr>
        <w:t>ata</w:t>
      </w:r>
      <w:r w:rsidR="00F93881">
        <w:t xml:space="preserve">. </w:t>
      </w:r>
      <w:r w:rsidR="00F93881" w:rsidRPr="00F93881">
        <w:t>UNDP will work</w:t>
      </w:r>
      <w:r w:rsidR="00F93881">
        <w:t xml:space="preserve"> </w:t>
      </w:r>
      <w:r w:rsidR="00F93881" w:rsidRPr="00F93881">
        <w:t xml:space="preserve">with </w:t>
      </w:r>
      <w:r w:rsidR="00F93881">
        <w:t xml:space="preserve">the National Statistical Committee, </w:t>
      </w:r>
      <w:r w:rsidR="00F93881" w:rsidRPr="00F93881">
        <w:t xml:space="preserve">government agencies, </w:t>
      </w:r>
      <w:r w:rsidR="00F93881">
        <w:t xml:space="preserve">academia, </w:t>
      </w:r>
      <w:r w:rsidR="00F93881" w:rsidRPr="00F93881">
        <w:t>research institutions</w:t>
      </w:r>
      <w:r>
        <w:t>,</w:t>
      </w:r>
      <w:r w:rsidR="00F93881" w:rsidRPr="00F93881">
        <w:t xml:space="preserve"> and </w:t>
      </w:r>
      <w:r w:rsidR="00CB6BBA">
        <w:t>civil society</w:t>
      </w:r>
      <w:r>
        <w:t>,</w:t>
      </w:r>
      <w:r w:rsidR="00CB6BBA">
        <w:t xml:space="preserve"> </w:t>
      </w:r>
      <w:r w:rsidR="00F93881" w:rsidRPr="00F93881">
        <w:t xml:space="preserve">to </w:t>
      </w:r>
      <w:r w:rsidR="006429F2">
        <w:t>strengthen their capacities in</w:t>
      </w:r>
      <w:r w:rsidR="00F93881" w:rsidRPr="00F93881">
        <w:t xml:space="preserve"> monitoring and evaluati</w:t>
      </w:r>
      <w:r w:rsidR="006429F2">
        <w:t>ng the</w:t>
      </w:r>
      <w:r w:rsidR="00F93881" w:rsidRPr="00F93881">
        <w:t xml:space="preserve"> national development programmes.</w:t>
      </w:r>
    </w:p>
    <w:p w14:paraId="0F2C7C1E" w14:textId="1068D823" w:rsidR="007C6EF1" w:rsidRDefault="00B87EB1" w:rsidP="00542B95">
      <w:pPr>
        <w:tabs>
          <w:tab w:val="left" w:pos="1620"/>
        </w:tabs>
        <w:spacing w:after="120"/>
        <w:ind w:left="1260" w:right="1210"/>
        <w:jc w:val="both"/>
      </w:pPr>
      <w:r>
        <w:t>5</w:t>
      </w:r>
      <w:r w:rsidR="00967444">
        <w:t>9</w:t>
      </w:r>
      <w:r>
        <w:t>.</w:t>
      </w:r>
      <w:r>
        <w:tab/>
      </w:r>
      <w:r w:rsidR="007B5E7A" w:rsidRPr="007B5E7A">
        <w:t>As an innovative tool</w:t>
      </w:r>
      <w:r>
        <w:t>,</w:t>
      </w:r>
      <w:r w:rsidR="003D2665" w:rsidRPr="007B5E7A">
        <w:t xml:space="preserve"> </w:t>
      </w:r>
      <w:r w:rsidR="007C6EF1" w:rsidRPr="007B5E7A">
        <w:t>UNDP plans to hold annual meetings with</w:t>
      </w:r>
      <w:r w:rsidR="007B5E7A" w:rsidRPr="007B5E7A">
        <w:t xml:space="preserve"> </w:t>
      </w:r>
      <w:r w:rsidR="007C6EF1" w:rsidRPr="007B5E7A">
        <w:t>national partners to present</w:t>
      </w:r>
      <w:r w:rsidR="007B5E7A" w:rsidRPr="007B5E7A">
        <w:t xml:space="preserve"> key performance results, </w:t>
      </w:r>
      <w:r w:rsidR="007C6EF1" w:rsidRPr="007B5E7A">
        <w:t>exchange</w:t>
      </w:r>
      <w:r w:rsidR="007B5E7A" w:rsidRPr="007B5E7A">
        <w:t xml:space="preserve"> updates on </w:t>
      </w:r>
      <w:r>
        <w:t>c</w:t>
      </w:r>
      <w:r w:rsidR="007B5E7A" w:rsidRPr="007B5E7A">
        <w:t xml:space="preserve">ountry </w:t>
      </w:r>
      <w:r>
        <w:t>p</w:t>
      </w:r>
      <w:r w:rsidR="007B5E7A" w:rsidRPr="007B5E7A">
        <w:t>rogramme implementation</w:t>
      </w:r>
      <w:r w:rsidR="007C6EF1" w:rsidRPr="007B5E7A">
        <w:t xml:space="preserve"> and discuss future cooperation plans.</w:t>
      </w:r>
      <w:r w:rsidR="007B5E7A">
        <w:t xml:space="preserve"> It will strengthen </w:t>
      </w:r>
      <w:r w:rsidR="00527725">
        <w:t>mutual accountability, transparency, alignment</w:t>
      </w:r>
      <w:r>
        <w:t>,</w:t>
      </w:r>
      <w:r w:rsidR="007B5E7A">
        <w:t xml:space="preserve"> and dialogue between UNDP and national partners</w:t>
      </w:r>
      <w:r w:rsidR="00015F97">
        <w:t>.</w:t>
      </w:r>
    </w:p>
    <w:p w14:paraId="1231764A" w14:textId="77777777" w:rsidR="00E011A3" w:rsidRDefault="00E011A3" w:rsidP="00542B95">
      <w:pPr>
        <w:tabs>
          <w:tab w:val="left" w:pos="1620"/>
        </w:tabs>
        <w:spacing w:after="120"/>
        <w:ind w:left="1260" w:right="1210"/>
        <w:jc w:val="both"/>
      </w:pPr>
    </w:p>
    <w:p w14:paraId="2440D41D" w14:textId="3A9F6B15" w:rsidR="00EE0DF2" w:rsidRPr="003C26C1" w:rsidRDefault="00EE0DF2" w:rsidP="00542B95">
      <w:pPr>
        <w:tabs>
          <w:tab w:val="left" w:pos="1620"/>
        </w:tabs>
        <w:spacing w:after="120"/>
        <w:ind w:right="1210"/>
        <w:jc w:val="both"/>
        <w:rPr>
          <w:color w:val="000000"/>
        </w:rPr>
        <w:sectPr w:rsidR="00EE0DF2" w:rsidRPr="003C26C1" w:rsidSect="00677A8F">
          <w:headerReference w:type="even" r:id="rId17"/>
          <w:footerReference w:type="even" r:id="rId18"/>
          <w:footerReference w:type="default" r:id="rId19"/>
          <w:headerReference w:type="first" r:id="rId20"/>
          <w:footerReference w:type="first" r:id="rId21"/>
          <w:footnotePr>
            <w:numRestart w:val="eachSect"/>
          </w:footnotePr>
          <w:endnotePr>
            <w:numFmt w:val="decimal"/>
            <w:numStart w:val="7"/>
          </w:endnotePr>
          <w:type w:val="continuous"/>
          <w:pgSz w:w="12240" w:h="15840" w:code="1"/>
          <w:pgMar w:top="1166" w:right="1195" w:bottom="1440" w:left="1195" w:header="576" w:footer="1037" w:gutter="0"/>
          <w:cols w:space="720"/>
          <w:noEndnote/>
          <w:titlePg/>
          <w:docGrid w:linePitch="272"/>
        </w:sectPr>
      </w:pPr>
    </w:p>
    <w:p w14:paraId="4CDF5A09" w14:textId="4C5D7135" w:rsidR="00556CBD" w:rsidRPr="006B43A3" w:rsidRDefault="00556CBD" w:rsidP="00F62196">
      <w:pPr>
        <w:pStyle w:val="Heading4"/>
        <w:tabs>
          <w:tab w:val="left" w:pos="1620"/>
        </w:tabs>
        <w:spacing w:after="120"/>
        <w:rPr>
          <w:rFonts w:ascii="Times New Roman" w:hAnsi="Times New Roman"/>
          <w:color w:val="0000FF"/>
          <w:sz w:val="20"/>
        </w:rPr>
      </w:pPr>
      <w:r w:rsidRPr="006B43A3">
        <w:rPr>
          <w:rFonts w:ascii="Times New Roman" w:hAnsi="Times New Roman"/>
          <w:color w:val="000000"/>
          <w:sz w:val="24"/>
          <w:szCs w:val="24"/>
        </w:rPr>
        <w:lastRenderedPageBreak/>
        <w:t xml:space="preserve">Annex. Results and resources framework for </w:t>
      </w:r>
      <w:r>
        <w:rPr>
          <w:rFonts w:ascii="Times New Roman" w:hAnsi="Times New Roman"/>
          <w:color w:val="000000"/>
          <w:sz w:val="24"/>
          <w:szCs w:val="24"/>
        </w:rPr>
        <w:t>Belarus</w:t>
      </w:r>
      <w:r w:rsidRPr="006B43A3">
        <w:rPr>
          <w:rFonts w:ascii="Times New Roman" w:hAnsi="Times New Roman"/>
          <w:color w:val="000000"/>
          <w:sz w:val="24"/>
          <w:szCs w:val="24"/>
        </w:rPr>
        <w:t xml:space="preserve"> (2021-2025)</w:t>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541"/>
        <w:gridCol w:w="2402"/>
        <w:gridCol w:w="4522"/>
        <w:gridCol w:w="1835"/>
        <w:gridCol w:w="1785"/>
      </w:tblGrid>
      <w:tr w:rsidR="00CE7B57" w:rsidRPr="00253DEA" w14:paraId="41F18DC3" w14:textId="77777777" w:rsidTr="00253DEA">
        <w:tc>
          <w:tcPr>
            <w:tcW w:w="5000" w:type="pct"/>
            <w:gridSpan w:val="5"/>
            <w:shd w:val="clear" w:color="auto" w:fill="auto"/>
            <w:tcMar>
              <w:top w:w="72" w:type="dxa"/>
              <w:left w:w="144" w:type="dxa"/>
              <w:bottom w:w="72" w:type="dxa"/>
              <w:right w:w="144" w:type="dxa"/>
            </w:tcMar>
          </w:tcPr>
          <w:p w14:paraId="5F40545E" w14:textId="0F7F06BF" w:rsidR="00CE7B57" w:rsidRPr="00253DEA" w:rsidRDefault="003E4336" w:rsidP="00D57C86">
            <w:pPr>
              <w:tabs>
                <w:tab w:val="left" w:pos="1620"/>
              </w:tabs>
              <w:spacing w:after="120"/>
              <w:rPr>
                <w:b/>
                <w:bCs/>
                <w:color w:val="000000"/>
                <w:szCs w:val="16"/>
                <w:lang w:val="en-GB"/>
              </w:rPr>
            </w:pPr>
            <w:r w:rsidRPr="003E4336">
              <w:rPr>
                <w:b/>
                <w:bCs/>
                <w:color w:val="000000"/>
                <w:szCs w:val="16"/>
                <w:lang w:val="en-GB"/>
              </w:rPr>
              <w:t>National priority or goal:</w:t>
            </w:r>
            <w:r w:rsidR="00CE7B57" w:rsidRPr="00253DEA">
              <w:rPr>
                <w:b/>
                <w:bCs/>
                <w:color w:val="000000"/>
                <w:sz w:val="16"/>
                <w:szCs w:val="16"/>
                <w:lang w:val="en-GB"/>
              </w:rPr>
              <w:t xml:space="preserve"> </w:t>
            </w:r>
            <w:r w:rsidR="00CE7B57" w:rsidRPr="00253DEA">
              <w:rPr>
                <w:b/>
                <w:bCs/>
                <w:color w:val="000000"/>
                <w:szCs w:val="16"/>
                <w:lang w:val="en-GB"/>
              </w:rPr>
              <w:t>Environmental security</w:t>
            </w:r>
            <w:r w:rsidR="008C3F4F">
              <w:rPr>
                <w:b/>
                <w:bCs/>
                <w:color w:val="000000"/>
                <w:szCs w:val="16"/>
                <w:lang w:val="en-GB"/>
              </w:rPr>
              <w:t xml:space="preserve">; transition to </w:t>
            </w:r>
            <w:r w:rsidR="00CE7B57" w:rsidRPr="00253DEA">
              <w:rPr>
                <w:b/>
                <w:bCs/>
                <w:color w:val="000000"/>
                <w:szCs w:val="16"/>
                <w:lang w:val="en-GB"/>
              </w:rPr>
              <w:t>rational models of production and consumption</w:t>
            </w:r>
            <w:r w:rsidR="008C3F4F">
              <w:rPr>
                <w:b/>
                <w:bCs/>
                <w:color w:val="000000"/>
                <w:szCs w:val="16"/>
                <w:lang w:val="en-GB"/>
              </w:rPr>
              <w:t xml:space="preserve"> (circular economy)</w:t>
            </w:r>
            <w:r w:rsidR="00CE7B57" w:rsidRPr="00253DEA">
              <w:rPr>
                <w:b/>
                <w:bCs/>
                <w:color w:val="000000"/>
                <w:szCs w:val="16"/>
                <w:lang w:val="en-GB"/>
              </w:rPr>
              <w:t>; decent jobs creation.</w:t>
            </w:r>
          </w:p>
        </w:tc>
      </w:tr>
      <w:tr w:rsidR="00CE7B57" w:rsidRPr="00253DEA" w14:paraId="086BB1E9" w14:textId="77777777" w:rsidTr="00253DEA">
        <w:tc>
          <w:tcPr>
            <w:tcW w:w="5000" w:type="pct"/>
            <w:gridSpan w:val="5"/>
            <w:shd w:val="clear" w:color="auto" w:fill="auto"/>
            <w:tcMar>
              <w:top w:w="72" w:type="dxa"/>
              <w:left w:w="144" w:type="dxa"/>
              <w:bottom w:w="72" w:type="dxa"/>
              <w:right w:w="144" w:type="dxa"/>
            </w:tcMar>
          </w:tcPr>
          <w:p w14:paraId="6AD85617" w14:textId="13F48B37" w:rsidR="00CE7B57" w:rsidRPr="00253DEA" w:rsidRDefault="003E4336" w:rsidP="00D57C86">
            <w:pPr>
              <w:tabs>
                <w:tab w:val="left" w:pos="1620"/>
              </w:tabs>
              <w:spacing w:after="120"/>
              <w:rPr>
                <w:b/>
                <w:bCs/>
              </w:rPr>
            </w:pPr>
            <w:r>
              <w:rPr>
                <w:b/>
                <w:bCs/>
              </w:rPr>
              <w:t xml:space="preserve">United Nations Sustainable </w:t>
            </w:r>
            <w:r w:rsidRPr="003E4336">
              <w:rPr>
                <w:b/>
                <w:bCs/>
              </w:rPr>
              <w:t xml:space="preserve">Cooperation </w:t>
            </w:r>
            <w:r>
              <w:rPr>
                <w:b/>
                <w:bCs/>
              </w:rPr>
              <w:t>F</w:t>
            </w:r>
            <w:r w:rsidRPr="003E4336">
              <w:rPr>
                <w:b/>
                <w:bCs/>
              </w:rPr>
              <w:t>ramework</w:t>
            </w:r>
            <w:r>
              <w:rPr>
                <w:b/>
                <w:bCs/>
              </w:rPr>
              <w:t xml:space="preserve"> (UNSDCF)</w:t>
            </w:r>
            <w:r w:rsidRPr="003E4336">
              <w:rPr>
                <w:b/>
                <w:bCs/>
              </w:rPr>
              <w:t xml:space="preserve"> (or equivalent) outcome involving </w:t>
            </w:r>
            <w:r w:rsidR="00CE7B57" w:rsidRPr="00D57C86">
              <w:rPr>
                <w:b/>
                <w:bCs/>
              </w:rPr>
              <w:t>UNDP #1</w:t>
            </w:r>
            <w:r>
              <w:rPr>
                <w:b/>
                <w:bCs/>
              </w:rPr>
              <w:t>.</w:t>
            </w:r>
            <w:r w:rsidR="00CE7B57" w:rsidRPr="00253DEA">
              <w:rPr>
                <w:b/>
                <w:bCs/>
                <w:color w:val="000000"/>
                <w:sz w:val="16"/>
                <w:szCs w:val="16"/>
              </w:rPr>
              <w:t xml:space="preserve"> </w:t>
            </w:r>
            <w:r w:rsidR="006434EB" w:rsidRPr="00253DEA">
              <w:rPr>
                <w:b/>
                <w:bCs/>
              </w:rPr>
              <w:t>By 2025, all people, including adolescents, young men and women, men and women aged 65 and older, other vulnerable groups, benefit from green and inclusive economic development, realized through comprehensive regulatory frameworks, promotion of business activities, private sector partnerships, and increased participatory decision-making</w:t>
            </w:r>
            <w:r w:rsidR="00CE7B57" w:rsidRPr="00253DEA">
              <w:rPr>
                <w:b/>
                <w:bCs/>
              </w:rPr>
              <w:t xml:space="preserve">. </w:t>
            </w:r>
          </w:p>
        </w:tc>
      </w:tr>
      <w:tr w:rsidR="00CE7B57" w:rsidRPr="00253DEA" w14:paraId="3A63120E" w14:textId="77777777" w:rsidTr="00253DEA">
        <w:tc>
          <w:tcPr>
            <w:tcW w:w="5000" w:type="pct"/>
            <w:gridSpan w:val="5"/>
            <w:shd w:val="clear" w:color="auto" w:fill="auto"/>
            <w:tcMar>
              <w:top w:w="72" w:type="dxa"/>
              <w:left w:w="144" w:type="dxa"/>
              <w:bottom w:w="72" w:type="dxa"/>
              <w:right w:w="144" w:type="dxa"/>
            </w:tcMar>
          </w:tcPr>
          <w:p w14:paraId="2694ED5F" w14:textId="278D79D3" w:rsidR="00CE7B57" w:rsidRPr="00253DEA" w:rsidRDefault="003E4336" w:rsidP="004F3734">
            <w:pPr>
              <w:tabs>
                <w:tab w:val="left" w:pos="1620"/>
              </w:tabs>
              <w:spacing w:after="120"/>
              <w:rPr>
                <w:b/>
                <w:bCs/>
                <w:color w:val="000000"/>
                <w:sz w:val="16"/>
                <w:szCs w:val="16"/>
                <w:lang w:val="en-GB"/>
              </w:rPr>
            </w:pPr>
            <w:r w:rsidRPr="003E4336">
              <w:rPr>
                <w:b/>
                <w:bCs/>
                <w:color w:val="000000"/>
              </w:rPr>
              <w:t xml:space="preserve">Related Strategic Plan </w:t>
            </w:r>
            <w:r>
              <w:rPr>
                <w:b/>
                <w:bCs/>
                <w:color w:val="000000"/>
              </w:rPr>
              <w:t>o</w:t>
            </w:r>
            <w:r w:rsidRPr="003E4336">
              <w:rPr>
                <w:b/>
                <w:bCs/>
                <w:color w:val="000000"/>
              </w:rPr>
              <w:t>utcome:</w:t>
            </w:r>
            <w:r w:rsidR="00CE7B57" w:rsidRPr="00253DEA">
              <w:rPr>
                <w:b/>
                <w:bCs/>
                <w:color w:val="000000"/>
                <w:sz w:val="16"/>
                <w:szCs w:val="16"/>
              </w:rPr>
              <w:t xml:space="preserve"> </w:t>
            </w:r>
            <w:r w:rsidR="00CE7B57" w:rsidRPr="00253DEA">
              <w:rPr>
                <w:b/>
                <w:bCs/>
                <w:color w:val="000000"/>
              </w:rPr>
              <w:t>Outcome 1 – Advance poverty eradication in all its forms and dimensions</w:t>
            </w:r>
          </w:p>
        </w:tc>
      </w:tr>
      <w:tr w:rsidR="00CE7B57" w:rsidRPr="00253DEA" w14:paraId="31BEB8DB" w14:textId="77777777" w:rsidTr="00253DEA">
        <w:tc>
          <w:tcPr>
            <w:tcW w:w="971" w:type="pct"/>
            <w:shd w:val="clear" w:color="auto" w:fill="auto"/>
            <w:tcMar>
              <w:top w:w="72" w:type="dxa"/>
              <w:left w:w="144" w:type="dxa"/>
              <w:bottom w:w="72" w:type="dxa"/>
              <w:right w:w="144" w:type="dxa"/>
            </w:tcMar>
            <w:vAlign w:val="center"/>
          </w:tcPr>
          <w:p w14:paraId="05B873F0" w14:textId="647DFF61" w:rsidR="00CE7B57" w:rsidRPr="00D57C86" w:rsidRDefault="003E4336" w:rsidP="00D57C86">
            <w:pPr>
              <w:tabs>
                <w:tab w:val="left" w:pos="1620"/>
              </w:tabs>
              <w:spacing w:after="120"/>
              <w:jc w:val="center"/>
              <w:rPr>
                <w:color w:val="000000"/>
                <w:sz w:val="18"/>
                <w:szCs w:val="18"/>
              </w:rPr>
            </w:pPr>
            <w:r w:rsidRPr="00D57C86">
              <w:rPr>
                <w:b/>
                <w:bCs/>
                <w:color w:val="000000"/>
                <w:sz w:val="18"/>
                <w:szCs w:val="18"/>
                <w:lang w:val="en-GB"/>
              </w:rPr>
              <w:t>UNSDCF outcome indicator(s), baselines, target(s)</w:t>
            </w:r>
          </w:p>
        </w:tc>
        <w:tc>
          <w:tcPr>
            <w:tcW w:w="918" w:type="pct"/>
            <w:shd w:val="clear" w:color="auto" w:fill="auto"/>
            <w:vAlign w:val="center"/>
          </w:tcPr>
          <w:p w14:paraId="1044714B" w14:textId="19C38D59" w:rsidR="00CE7B57" w:rsidRPr="00D57C86" w:rsidRDefault="003E4336" w:rsidP="00D57C86">
            <w:pPr>
              <w:tabs>
                <w:tab w:val="left" w:pos="1620"/>
              </w:tabs>
              <w:spacing w:after="120"/>
              <w:jc w:val="center"/>
              <w:rPr>
                <w:b/>
                <w:color w:val="000000"/>
                <w:sz w:val="18"/>
                <w:szCs w:val="18"/>
              </w:rPr>
            </w:pPr>
            <w:r w:rsidRPr="003E4336">
              <w:rPr>
                <w:b/>
                <w:color w:val="000000"/>
                <w:sz w:val="18"/>
                <w:szCs w:val="18"/>
              </w:rPr>
              <w:t>Data source and frequency of data collection, and responsibilities</w:t>
            </w:r>
          </w:p>
        </w:tc>
        <w:tc>
          <w:tcPr>
            <w:tcW w:w="1728" w:type="pct"/>
            <w:shd w:val="clear" w:color="auto" w:fill="auto"/>
            <w:tcMar>
              <w:top w:w="72" w:type="dxa"/>
              <w:left w:w="144" w:type="dxa"/>
              <w:bottom w:w="72" w:type="dxa"/>
              <w:right w:w="144" w:type="dxa"/>
            </w:tcMar>
            <w:vAlign w:val="center"/>
          </w:tcPr>
          <w:p w14:paraId="6194B917" w14:textId="77777777" w:rsidR="003E4336" w:rsidRDefault="003E4336" w:rsidP="003E4336">
            <w:pPr>
              <w:tabs>
                <w:tab w:val="left" w:pos="1620"/>
              </w:tabs>
              <w:jc w:val="center"/>
              <w:rPr>
                <w:b/>
                <w:bCs/>
                <w:color w:val="000000"/>
                <w:sz w:val="18"/>
                <w:szCs w:val="18"/>
                <w:lang w:val="en-GB"/>
              </w:rPr>
            </w:pPr>
            <w:r w:rsidRPr="003E4336">
              <w:rPr>
                <w:b/>
                <w:bCs/>
                <w:color w:val="000000"/>
                <w:sz w:val="18"/>
                <w:szCs w:val="18"/>
                <w:lang w:val="en-GB"/>
              </w:rPr>
              <w:t>Indicative country programme outputs</w:t>
            </w:r>
            <w:r w:rsidR="00CE7B57" w:rsidRPr="00D57C86">
              <w:rPr>
                <w:b/>
                <w:bCs/>
                <w:color w:val="000000"/>
                <w:sz w:val="18"/>
                <w:szCs w:val="18"/>
                <w:lang w:val="en-GB"/>
              </w:rPr>
              <w:t xml:space="preserve"> </w:t>
            </w:r>
          </w:p>
          <w:p w14:paraId="2CBAF914" w14:textId="218D85D8" w:rsidR="00CE7B57" w:rsidRPr="00D57C86" w:rsidRDefault="00CE7B57" w:rsidP="00D57C86">
            <w:pPr>
              <w:tabs>
                <w:tab w:val="left" w:pos="1620"/>
              </w:tabs>
              <w:spacing w:after="120"/>
              <w:jc w:val="center"/>
              <w:rPr>
                <w:color w:val="000000"/>
                <w:sz w:val="18"/>
                <w:szCs w:val="18"/>
              </w:rPr>
            </w:pPr>
            <w:r w:rsidRPr="00D57C86">
              <w:rPr>
                <w:b/>
                <w:bCs/>
                <w:color w:val="000000"/>
                <w:sz w:val="18"/>
                <w:szCs w:val="18"/>
                <w:lang w:val="en-GB"/>
              </w:rPr>
              <w:t xml:space="preserve">(including indicators, baselines </w:t>
            </w:r>
            <w:r w:rsidR="003E4336">
              <w:rPr>
                <w:b/>
                <w:bCs/>
                <w:color w:val="000000"/>
                <w:sz w:val="18"/>
                <w:szCs w:val="18"/>
                <w:lang w:val="en-GB"/>
              </w:rPr>
              <w:t xml:space="preserve">and </w:t>
            </w:r>
            <w:r w:rsidRPr="00D57C86">
              <w:rPr>
                <w:b/>
                <w:bCs/>
                <w:color w:val="000000"/>
                <w:sz w:val="18"/>
                <w:szCs w:val="18"/>
                <w:lang w:val="en-GB"/>
              </w:rPr>
              <w:t>targets)</w:t>
            </w:r>
          </w:p>
        </w:tc>
        <w:tc>
          <w:tcPr>
            <w:tcW w:w="701" w:type="pct"/>
            <w:shd w:val="clear" w:color="auto" w:fill="auto"/>
            <w:vAlign w:val="center"/>
          </w:tcPr>
          <w:p w14:paraId="36F0B2E8" w14:textId="52EF59FC" w:rsidR="00CE7B57" w:rsidRPr="00D57C86" w:rsidRDefault="003E4336" w:rsidP="00D57C86">
            <w:pPr>
              <w:tabs>
                <w:tab w:val="left" w:pos="1620"/>
              </w:tabs>
              <w:spacing w:after="120"/>
              <w:jc w:val="center"/>
              <w:rPr>
                <w:b/>
                <w:bCs/>
                <w:color w:val="000000"/>
                <w:sz w:val="18"/>
                <w:szCs w:val="18"/>
                <w:lang w:val="en-GB"/>
              </w:rPr>
            </w:pPr>
            <w:r w:rsidRPr="003E4336">
              <w:rPr>
                <w:b/>
                <w:bCs/>
                <w:color w:val="000000"/>
                <w:sz w:val="18"/>
                <w:szCs w:val="18"/>
                <w:lang w:val="en-GB"/>
              </w:rPr>
              <w:t>Major partners / partnerships</w:t>
            </w:r>
            <w:r>
              <w:rPr>
                <w:b/>
                <w:bCs/>
                <w:color w:val="000000"/>
                <w:sz w:val="18"/>
                <w:szCs w:val="18"/>
                <w:lang w:val="en-GB"/>
              </w:rPr>
              <w:t xml:space="preserve"> and f</w:t>
            </w:r>
            <w:r w:rsidRPr="003E4336">
              <w:rPr>
                <w:b/>
                <w:bCs/>
                <w:color w:val="000000"/>
                <w:sz w:val="18"/>
                <w:szCs w:val="18"/>
                <w:lang w:val="en-GB"/>
              </w:rPr>
              <w:t>rameworks</w:t>
            </w:r>
          </w:p>
        </w:tc>
        <w:tc>
          <w:tcPr>
            <w:tcW w:w="682" w:type="pct"/>
            <w:shd w:val="clear" w:color="auto" w:fill="auto"/>
            <w:tcMar>
              <w:top w:w="15" w:type="dxa"/>
              <w:left w:w="108" w:type="dxa"/>
              <w:bottom w:w="0" w:type="dxa"/>
              <w:right w:w="108" w:type="dxa"/>
            </w:tcMar>
            <w:vAlign w:val="center"/>
          </w:tcPr>
          <w:p w14:paraId="75E747AD" w14:textId="77777777" w:rsidR="003E4336" w:rsidRDefault="00CE7B57" w:rsidP="00D57C86">
            <w:pPr>
              <w:tabs>
                <w:tab w:val="left" w:pos="1620"/>
              </w:tabs>
              <w:spacing w:after="120"/>
              <w:jc w:val="center"/>
              <w:rPr>
                <w:b/>
                <w:bCs/>
                <w:color w:val="000000"/>
                <w:sz w:val="18"/>
                <w:szCs w:val="18"/>
                <w:lang w:val="en-GB"/>
              </w:rPr>
            </w:pPr>
            <w:r w:rsidRPr="00D57C86">
              <w:rPr>
                <w:b/>
                <w:bCs/>
                <w:color w:val="000000"/>
                <w:sz w:val="18"/>
                <w:szCs w:val="18"/>
                <w:lang w:val="en-GB"/>
              </w:rPr>
              <w:t>E</w:t>
            </w:r>
            <w:r w:rsidR="003E4336" w:rsidRPr="003E4336">
              <w:rPr>
                <w:b/>
                <w:bCs/>
                <w:color w:val="000000"/>
                <w:sz w:val="18"/>
                <w:szCs w:val="18"/>
                <w:lang w:val="en-GB"/>
              </w:rPr>
              <w:t xml:space="preserve">stimated cost by outcome </w:t>
            </w:r>
          </w:p>
          <w:p w14:paraId="4B0C4BA4" w14:textId="3C858762" w:rsidR="00CE7B57" w:rsidRPr="00D57C86" w:rsidRDefault="00CE7B57" w:rsidP="00D57C86">
            <w:pPr>
              <w:tabs>
                <w:tab w:val="left" w:pos="1620"/>
              </w:tabs>
              <w:spacing w:after="120"/>
              <w:jc w:val="center"/>
              <w:rPr>
                <w:color w:val="0000FF"/>
                <w:sz w:val="18"/>
                <w:szCs w:val="18"/>
              </w:rPr>
            </w:pPr>
            <w:r w:rsidRPr="00D57C86">
              <w:rPr>
                <w:b/>
                <w:bCs/>
                <w:color w:val="000000"/>
                <w:sz w:val="18"/>
                <w:szCs w:val="18"/>
                <w:lang w:val="en-GB"/>
              </w:rPr>
              <w:t>(</w:t>
            </w:r>
            <w:r w:rsidR="003E4336">
              <w:rPr>
                <w:b/>
                <w:bCs/>
                <w:color w:val="000000"/>
                <w:sz w:val="18"/>
                <w:szCs w:val="18"/>
                <w:lang w:val="en-GB"/>
              </w:rPr>
              <w:t xml:space="preserve">$ </w:t>
            </w:r>
            <w:r w:rsidR="00CA166A" w:rsidRPr="00D57C86">
              <w:rPr>
                <w:b/>
                <w:bCs/>
                <w:color w:val="000000"/>
                <w:sz w:val="18"/>
                <w:szCs w:val="18"/>
                <w:lang w:val="en-GB"/>
              </w:rPr>
              <w:t>thousands</w:t>
            </w:r>
            <w:r w:rsidRPr="00D57C86">
              <w:rPr>
                <w:b/>
                <w:bCs/>
                <w:color w:val="000000"/>
                <w:sz w:val="18"/>
                <w:szCs w:val="18"/>
                <w:lang w:val="en-GB"/>
              </w:rPr>
              <w:t>)</w:t>
            </w:r>
          </w:p>
        </w:tc>
      </w:tr>
      <w:tr w:rsidR="00CE7B57" w:rsidRPr="00253DEA" w14:paraId="648C4A9A" w14:textId="77777777" w:rsidTr="00253DEA">
        <w:tc>
          <w:tcPr>
            <w:tcW w:w="971" w:type="pct"/>
            <w:vMerge w:val="restart"/>
            <w:shd w:val="clear" w:color="auto" w:fill="auto"/>
            <w:tcMar>
              <w:top w:w="72" w:type="dxa"/>
              <w:left w:w="144" w:type="dxa"/>
              <w:bottom w:w="72" w:type="dxa"/>
              <w:right w:w="144" w:type="dxa"/>
            </w:tcMar>
          </w:tcPr>
          <w:p w14:paraId="7CC68112" w14:textId="330909D1" w:rsidR="00CE7B57" w:rsidRPr="00253DEA" w:rsidRDefault="003E4336" w:rsidP="004F3734">
            <w:pPr>
              <w:tabs>
                <w:tab w:val="left" w:pos="1620"/>
              </w:tabs>
              <w:spacing w:after="120"/>
              <w:rPr>
                <w:sz w:val="16"/>
                <w:szCs w:val="16"/>
                <w:lang w:val="en-GB"/>
              </w:rPr>
            </w:pPr>
            <w:r>
              <w:rPr>
                <w:sz w:val="16"/>
                <w:szCs w:val="16"/>
                <w:lang w:val="en-GB"/>
              </w:rPr>
              <w:t>Sustainable Development Goals (</w:t>
            </w:r>
            <w:r w:rsidR="00CE7B57" w:rsidRPr="00253DEA">
              <w:rPr>
                <w:sz w:val="16"/>
                <w:szCs w:val="16"/>
                <w:lang w:val="en-GB"/>
              </w:rPr>
              <w:t>SDG</w:t>
            </w:r>
            <w:r>
              <w:rPr>
                <w:sz w:val="16"/>
                <w:szCs w:val="16"/>
                <w:lang w:val="en-GB"/>
              </w:rPr>
              <w:t>)</w:t>
            </w:r>
            <w:r w:rsidR="00CE7B57" w:rsidRPr="00253DEA">
              <w:rPr>
                <w:sz w:val="16"/>
                <w:szCs w:val="16"/>
                <w:lang w:val="en-GB"/>
              </w:rPr>
              <w:t xml:space="preserve"> </w:t>
            </w:r>
            <w:r>
              <w:rPr>
                <w:sz w:val="16"/>
                <w:szCs w:val="16"/>
                <w:lang w:val="en-GB"/>
              </w:rPr>
              <w:t>n</w:t>
            </w:r>
            <w:r w:rsidR="00CE7B57" w:rsidRPr="00253DEA">
              <w:rPr>
                <w:sz w:val="16"/>
                <w:szCs w:val="16"/>
                <w:lang w:val="en-GB"/>
              </w:rPr>
              <w:t xml:space="preserve">ational </w:t>
            </w:r>
            <w:r>
              <w:rPr>
                <w:sz w:val="16"/>
                <w:szCs w:val="16"/>
                <w:lang w:val="en-GB"/>
              </w:rPr>
              <w:t>i</w:t>
            </w:r>
            <w:r w:rsidR="00CE7B57" w:rsidRPr="00253DEA">
              <w:rPr>
                <w:sz w:val="16"/>
                <w:szCs w:val="16"/>
                <w:lang w:val="en-GB"/>
              </w:rPr>
              <w:t>ndicator</w:t>
            </w:r>
            <w:r w:rsidR="00D0340B" w:rsidRPr="00253DEA">
              <w:rPr>
                <w:sz w:val="16"/>
                <w:szCs w:val="16"/>
                <w:lang w:val="en-GB"/>
              </w:rPr>
              <w:t>:</w:t>
            </w:r>
            <w:r w:rsidR="00CE7B57" w:rsidRPr="00253DEA">
              <w:rPr>
                <w:sz w:val="16"/>
                <w:szCs w:val="16"/>
                <w:lang w:val="en-GB"/>
              </w:rPr>
              <w:t xml:space="preserve"> </w:t>
            </w:r>
            <w:r w:rsidR="008A7A25" w:rsidRPr="00253DEA">
              <w:rPr>
                <w:sz w:val="16"/>
                <w:szCs w:val="16"/>
                <w:lang w:val="en-GB"/>
              </w:rPr>
              <w:t>8</w:t>
            </w:r>
            <w:r w:rsidR="00CE7B57" w:rsidRPr="00253DEA">
              <w:rPr>
                <w:sz w:val="16"/>
                <w:szCs w:val="16"/>
                <w:lang w:val="en-GB"/>
              </w:rPr>
              <w:t>.</w:t>
            </w:r>
            <w:r w:rsidR="008A7A25" w:rsidRPr="00253DEA">
              <w:rPr>
                <w:sz w:val="16"/>
                <w:szCs w:val="16"/>
                <w:lang w:val="en-GB"/>
              </w:rPr>
              <w:t>1</w:t>
            </w:r>
            <w:r w:rsidR="00CE7B57" w:rsidRPr="00253DEA">
              <w:rPr>
                <w:sz w:val="16"/>
                <w:szCs w:val="16"/>
                <w:lang w:val="en-GB"/>
              </w:rPr>
              <w:t xml:space="preserve">.1 </w:t>
            </w:r>
            <w:r w:rsidR="008A7A25" w:rsidRPr="00253DEA">
              <w:rPr>
                <w:sz w:val="16"/>
                <w:szCs w:val="16"/>
                <w:lang w:val="en-GB"/>
              </w:rPr>
              <w:t xml:space="preserve">Annual growth rate of real </w:t>
            </w:r>
            <w:r w:rsidR="00103687">
              <w:rPr>
                <w:sz w:val="16"/>
                <w:szCs w:val="16"/>
                <w:lang w:val="en-GB"/>
              </w:rPr>
              <w:t>gross domestic product (</w:t>
            </w:r>
            <w:r w:rsidR="008A7A25" w:rsidRPr="00253DEA">
              <w:rPr>
                <w:sz w:val="16"/>
                <w:szCs w:val="16"/>
                <w:lang w:val="en-GB"/>
              </w:rPr>
              <w:t>GDP</w:t>
            </w:r>
            <w:r w:rsidR="00103687">
              <w:rPr>
                <w:sz w:val="16"/>
                <w:szCs w:val="16"/>
                <w:lang w:val="en-GB"/>
              </w:rPr>
              <w:t>)</w:t>
            </w:r>
            <w:r w:rsidR="008A7A25" w:rsidRPr="00253DEA">
              <w:rPr>
                <w:sz w:val="16"/>
                <w:szCs w:val="16"/>
                <w:lang w:val="en-GB"/>
              </w:rPr>
              <w:t xml:space="preserve"> per capita (</w:t>
            </w:r>
            <w:r w:rsidR="00103687">
              <w:rPr>
                <w:sz w:val="16"/>
                <w:szCs w:val="16"/>
                <w:lang w:val="en-GB"/>
              </w:rPr>
              <w:t>%</w:t>
            </w:r>
            <w:r w:rsidR="00CE7B57" w:rsidRPr="00253DEA">
              <w:rPr>
                <w:sz w:val="16"/>
                <w:szCs w:val="16"/>
                <w:lang w:val="en-GB"/>
              </w:rPr>
              <w:t>)</w:t>
            </w:r>
          </w:p>
          <w:p w14:paraId="665295BC" w14:textId="3C588978" w:rsidR="00CE7B57" w:rsidRPr="00253DEA" w:rsidRDefault="00CE7B57" w:rsidP="004F3734">
            <w:pPr>
              <w:tabs>
                <w:tab w:val="left" w:pos="1620"/>
              </w:tabs>
              <w:spacing w:after="120"/>
              <w:rPr>
                <w:sz w:val="16"/>
                <w:szCs w:val="16"/>
                <w:lang w:val="en-GB"/>
              </w:rPr>
            </w:pPr>
            <w:r w:rsidRPr="00253DEA">
              <w:rPr>
                <w:sz w:val="16"/>
                <w:szCs w:val="16"/>
                <w:lang w:val="en-GB"/>
              </w:rPr>
              <w:t>Baseline</w:t>
            </w:r>
            <w:r w:rsidR="000C3EB6" w:rsidRPr="00253DEA">
              <w:rPr>
                <w:sz w:val="16"/>
                <w:szCs w:val="16"/>
                <w:lang w:val="en-GB"/>
              </w:rPr>
              <w:t xml:space="preserve"> (2019)</w:t>
            </w:r>
            <w:r w:rsidRPr="00253DEA">
              <w:rPr>
                <w:sz w:val="16"/>
                <w:szCs w:val="16"/>
                <w:lang w:val="en-GB"/>
              </w:rPr>
              <w:t xml:space="preserve">: </w:t>
            </w:r>
            <w:r w:rsidR="008A7A25" w:rsidRPr="00253DEA">
              <w:rPr>
                <w:sz w:val="16"/>
                <w:szCs w:val="16"/>
                <w:lang w:val="en-GB"/>
              </w:rPr>
              <w:t xml:space="preserve">101.9 </w:t>
            </w:r>
          </w:p>
          <w:p w14:paraId="0947336E" w14:textId="2B9E8BE6" w:rsidR="00CE7B57" w:rsidRPr="00253DEA" w:rsidRDefault="00CE7B57" w:rsidP="004F3734">
            <w:pPr>
              <w:tabs>
                <w:tab w:val="left" w:pos="1620"/>
              </w:tabs>
              <w:spacing w:after="120"/>
              <w:rPr>
                <w:sz w:val="16"/>
                <w:szCs w:val="16"/>
                <w:lang w:val="en-GB"/>
              </w:rPr>
            </w:pPr>
            <w:r w:rsidRPr="00253DEA">
              <w:rPr>
                <w:sz w:val="16"/>
                <w:szCs w:val="16"/>
                <w:lang w:val="en-GB"/>
              </w:rPr>
              <w:t>Target</w:t>
            </w:r>
            <w:r w:rsidR="000C3EB6" w:rsidRPr="00253DEA">
              <w:rPr>
                <w:sz w:val="16"/>
                <w:szCs w:val="16"/>
                <w:lang w:val="en-GB"/>
              </w:rPr>
              <w:t xml:space="preserve"> (2025)</w:t>
            </w:r>
            <w:r w:rsidRPr="00253DEA">
              <w:rPr>
                <w:sz w:val="16"/>
                <w:szCs w:val="16"/>
                <w:lang w:val="en-GB"/>
              </w:rPr>
              <w:t xml:space="preserve">: </w:t>
            </w:r>
            <w:r w:rsidR="008A7A25" w:rsidRPr="00253DEA">
              <w:rPr>
                <w:sz w:val="16"/>
                <w:szCs w:val="16"/>
              </w:rPr>
              <w:t xml:space="preserve">104.9 </w:t>
            </w:r>
          </w:p>
          <w:p w14:paraId="0B8CA62E" w14:textId="784157C4" w:rsidR="00CE7B57" w:rsidRPr="00253DEA" w:rsidRDefault="00CE7B57" w:rsidP="004F3734">
            <w:pPr>
              <w:tabs>
                <w:tab w:val="left" w:pos="1620"/>
              </w:tabs>
              <w:spacing w:after="120"/>
            </w:pPr>
            <w:r w:rsidRPr="00253DEA">
              <w:rPr>
                <w:sz w:val="16"/>
                <w:szCs w:val="16"/>
                <w:lang w:val="en-GB"/>
              </w:rPr>
              <w:t>Source</w:t>
            </w:r>
            <w:r w:rsidRPr="00253DEA">
              <w:t xml:space="preserve">: </w:t>
            </w:r>
            <w:r w:rsidRPr="00253DEA">
              <w:rPr>
                <w:sz w:val="16"/>
                <w:szCs w:val="16"/>
                <w:lang w:val="en-GB"/>
              </w:rPr>
              <w:t xml:space="preserve">National </w:t>
            </w:r>
            <w:r w:rsidR="00EC0EE4">
              <w:rPr>
                <w:sz w:val="16"/>
                <w:szCs w:val="16"/>
                <w:lang w:val="en-GB"/>
              </w:rPr>
              <w:t>r</w:t>
            </w:r>
            <w:r w:rsidRPr="00253DEA">
              <w:rPr>
                <w:sz w:val="16"/>
                <w:szCs w:val="16"/>
                <w:lang w:val="en-GB"/>
              </w:rPr>
              <w:t xml:space="preserve">eporting </w:t>
            </w:r>
            <w:r w:rsidR="00EC0EE4">
              <w:rPr>
                <w:sz w:val="16"/>
                <w:szCs w:val="16"/>
                <w:lang w:val="en-GB"/>
              </w:rPr>
              <w:t>p</w:t>
            </w:r>
            <w:r w:rsidRPr="00253DEA">
              <w:rPr>
                <w:sz w:val="16"/>
                <w:szCs w:val="16"/>
                <w:lang w:val="en-GB"/>
              </w:rPr>
              <w:t>latform (NRP)</w:t>
            </w:r>
            <w:r w:rsidRPr="00253DEA">
              <w:t xml:space="preserve"> </w:t>
            </w:r>
          </w:p>
          <w:p w14:paraId="2DCFF46D" w14:textId="77777777" w:rsidR="00CE7B57" w:rsidRPr="00253DEA" w:rsidRDefault="00CE7B57" w:rsidP="004F3734">
            <w:pPr>
              <w:shd w:val="clear" w:color="auto" w:fill="FFFFFF"/>
              <w:tabs>
                <w:tab w:val="left" w:pos="1620"/>
              </w:tabs>
              <w:spacing w:after="120"/>
              <w:textAlignment w:val="baseline"/>
            </w:pPr>
          </w:p>
          <w:p w14:paraId="1DE0B88A" w14:textId="6211BBEF" w:rsidR="00CE7B57" w:rsidRPr="00253DEA" w:rsidRDefault="00103687" w:rsidP="004F3734">
            <w:pPr>
              <w:tabs>
                <w:tab w:val="left" w:pos="1620"/>
              </w:tabs>
              <w:spacing w:after="120"/>
              <w:rPr>
                <w:sz w:val="16"/>
                <w:szCs w:val="16"/>
                <w:lang w:val="en-GB"/>
              </w:rPr>
            </w:pPr>
            <w:r>
              <w:rPr>
                <w:sz w:val="16"/>
                <w:szCs w:val="16"/>
                <w:lang w:val="en-GB"/>
              </w:rPr>
              <w:t>Sustainable Development Goals (</w:t>
            </w:r>
            <w:r w:rsidR="00CE7B57" w:rsidRPr="00253DEA">
              <w:rPr>
                <w:sz w:val="16"/>
                <w:szCs w:val="16"/>
                <w:lang w:val="en-GB"/>
              </w:rPr>
              <w:t>SDG</w:t>
            </w:r>
            <w:r>
              <w:rPr>
                <w:sz w:val="16"/>
                <w:szCs w:val="16"/>
                <w:lang w:val="en-GB"/>
              </w:rPr>
              <w:t>)</w:t>
            </w:r>
            <w:r w:rsidR="00CE7B57" w:rsidRPr="00253DEA">
              <w:rPr>
                <w:sz w:val="16"/>
                <w:szCs w:val="16"/>
                <w:lang w:val="en-GB"/>
              </w:rPr>
              <w:t xml:space="preserve"> </w:t>
            </w:r>
            <w:r>
              <w:rPr>
                <w:sz w:val="16"/>
                <w:szCs w:val="16"/>
                <w:lang w:val="en-GB"/>
              </w:rPr>
              <w:t>n</w:t>
            </w:r>
            <w:r w:rsidR="00CE7B57" w:rsidRPr="00253DEA">
              <w:rPr>
                <w:sz w:val="16"/>
                <w:szCs w:val="16"/>
                <w:lang w:val="en-GB"/>
              </w:rPr>
              <w:t xml:space="preserve">ational </w:t>
            </w:r>
            <w:r>
              <w:rPr>
                <w:sz w:val="16"/>
                <w:szCs w:val="16"/>
                <w:lang w:val="en-GB"/>
              </w:rPr>
              <w:t>i</w:t>
            </w:r>
            <w:r w:rsidR="00CE7B57" w:rsidRPr="00253DEA">
              <w:rPr>
                <w:sz w:val="16"/>
                <w:szCs w:val="16"/>
                <w:lang w:val="en-GB"/>
              </w:rPr>
              <w:t>ndicator</w:t>
            </w:r>
            <w:r w:rsidR="00D0340B" w:rsidRPr="00253DEA">
              <w:rPr>
                <w:sz w:val="16"/>
                <w:szCs w:val="16"/>
                <w:lang w:val="en-GB"/>
              </w:rPr>
              <w:t>:</w:t>
            </w:r>
            <w:r w:rsidR="00CE7B57" w:rsidRPr="00253DEA">
              <w:rPr>
                <w:sz w:val="16"/>
                <w:szCs w:val="16"/>
                <w:lang w:val="en-GB"/>
              </w:rPr>
              <w:t xml:space="preserve"> 8.5.2 Unemployment rate, by sex</w:t>
            </w:r>
            <w:r w:rsidR="00890B7A" w:rsidRPr="00253DEA">
              <w:rPr>
                <w:sz w:val="16"/>
                <w:szCs w:val="16"/>
                <w:lang w:val="en-GB"/>
              </w:rPr>
              <w:t xml:space="preserve"> </w:t>
            </w:r>
            <w:r w:rsidR="00CE7B57" w:rsidRPr="00253DEA">
              <w:rPr>
                <w:sz w:val="16"/>
                <w:szCs w:val="16"/>
                <w:lang w:val="en-GB"/>
              </w:rPr>
              <w:t>and persons with disabilities (</w:t>
            </w:r>
            <w:r w:rsidR="00CF4C2E">
              <w:rPr>
                <w:sz w:val="16"/>
                <w:szCs w:val="16"/>
                <w:lang w:val="en-GB"/>
              </w:rPr>
              <w:t>%</w:t>
            </w:r>
            <w:r w:rsidR="00CE7B57" w:rsidRPr="00253DEA">
              <w:rPr>
                <w:sz w:val="16"/>
                <w:szCs w:val="16"/>
                <w:lang w:val="en-GB"/>
              </w:rPr>
              <w:t>)</w:t>
            </w:r>
          </w:p>
          <w:p w14:paraId="51144FC9" w14:textId="16953082" w:rsidR="00CE7B57" w:rsidRPr="00253DEA" w:rsidRDefault="00CE7B57" w:rsidP="004F3734">
            <w:pPr>
              <w:tabs>
                <w:tab w:val="left" w:pos="1620"/>
              </w:tabs>
              <w:spacing w:after="120"/>
              <w:rPr>
                <w:sz w:val="16"/>
                <w:szCs w:val="16"/>
                <w:lang w:val="en-GB"/>
              </w:rPr>
            </w:pPr>
            <w:r w:rsidRPr="00253DEA">
              <w:rPr>
                <w:sz w:val="16"/>
                <w:szCs w:val="16"/>
                <w:lang w:val="en-GB"/>
              </w:rPr>
              <w:t>Baseline</w:t>
            </w:r>
            <w:r w:rsidR="00C66F8A" w:rsidRPr="00253DEA">
              <w:rPr>
                <w:sz w:val="16"/>
                <w:szCs w:val="16"/>
                <w:lang w:val="en-GB"/>
              </w:rPr>
              <w:t xml:space="preserve"> (2019)</w:t>
            </w:r>
            <w:r w:rsidRPr="00253DEA">
              <w:rPr>
                <w:sz w:val="16"/>
                <w:szCs w:val="16"/>
                <w:lang w:val="en-GB"/>
              </w:rPr>
              <w:t>: 4.</w:t>
            </w:r>
            <w:r w:rsidR="00C66F8A" w:rsidRPr="00253DEA">
              <w:rPr>
                <w:sz w:val="16"/>
                <w:szCs w:val="16"/>
                <w:lang w:val="en-GB"/>
              </w:rPr>
              <w:t>2; male – 5.1; female – 3.2; persons with disabilities aged 18-74 – 16</w:t>
            </w:r>
            <w:r w:rsidRPr="00253DEA">
              <w:rPr>
                <w:sz w:val="16"/>
                <w:szCs w:val="16"/>
                <w:lang w:val="en-GB"/>
              </w:rPr>
              <w:t xml:space="preserve"> </w:t>
            </w:r>
          </w:p>
          <w:p w14:paraId="1345C111" w14:textId="7472B6AD" w:rsidR="00CE7B57" w:rsidRPr="00253DEA" w:rsidRDefault="00CE7B57" w:rsidP="004F3734">
            <w:pPr>
              <w:tabs>
                <w:tab w:val="left" w:pos="1620"/>
              </w:tabs>
              <w:spacing w:after="120"/>
              <w:rPr>
                <w:sz w:val="16"/>
                <w:szCs w:val="16"/>
                <w:lang w:val="en-GB"/>
              </w:rPr>
            </w:pPr>
            <w:r w:rsidRPr="00253DEA">
              <w:rPr>
                <w:sz w:val="16"/>
                <w:szCs w:val="16"/>
                <w:lang w:val="en-GB"/>
              </w:rPr>
              <w:t>Target</w:t>
            </w:r>
            <w:r w:rsidR="00C66F8A" w:rsidRPr="00253DEA">
              <w:rPr>
                <w:sz w:val="16"/>
                <w:szCs w:val="16"/>
                <w:lang w:val="en-GB"/>
              </w:rPr>
              <w:t xml:space="preserve"> (2025)</w:t>
            </w:r>
            <w:r w:rsidRPr="00253DEA">
              <w:rPr>
                <w:sz w:val="16"/>
                <w:szCs w:val="16"/>
                <w:lang w:val="en-GB"/>
              </w:rPr>
              <w:t xml:space="preserve">: 5 </w:t>
            </w:r>
          </w:p>
          <w:p w14:paraId="760C63FE" w14:textId="77777777" w:rsidR="00CE7B57" w:rsidRPr="00253DEA" w:rsidRDefault="00CE7B57" w:rsidP="004F3734">
            <w:pPr>
              <w:tabs>
                <w:tab w:val="left" w:pos="1620"/>
              </w:tabs>
              <w:spacing w:after="120"/>
              <w:rPr>
                <w:sz w:val="16"/>
                <w:szCs w:val="16"/>
                <w:lang w:val="en-GB"/>
              </w:rPr>
            </w:pPr>
            <w:r w:rsidRPr="00253DEA">
              <w:rPr>
                <w:sz w:val="16"/>
                <w:szCs w:val="16"/>
                <w:lang w:val="en-GB"/>
              </w:rPr>
              <w:t>Source: NRP</w:t>
            </w:r>
          </w:p>
          <w:p w14:paraId="0ABC00D0" w14:textId="77777777" w:rsidR="00CE7B57" w:rsidRPr="00253DEA" w:rsidRDefault="00CE7B57" w:rsidP="004F3734">
            <w:pPr>
              <w:tabs>
                <w:tab w:val="left" w:pos="1620"/>
              </w:tabs>
              <w:spacing w:after="120"/>
              <w:rPr>
                <w:bCs/>
                <w:color w:val="000000"/>
                <w:sz w:val="16"/>
                <w:szCs w:val="16"/>
                <w:lang w:val="en-GB"/>
              </w:rPr>
            </w:pPr>
          </w:p>
        </w:tc>
        <w:tc>
          <w:tcPr>
            <w:tcW w:w="918" w:type="pct"/>
            <w:vMerge w:val="restart"/>
            <w:shd w:val="clear" w:color="auto" w:fill="auto"/>
          </w:tcPr>
          <w:p w14:paraId="6977E2EF" w14:textId="77777777" w:rsidR="00CE7B57" w:rsidRPr="00253DEA" w:rsidRDefault="00CE7B57" w:rsidP="004F3734">
            <w:pPr>
              <w:pStyle w:val="ListParagraph"/>
              <w:tabs>
                <w:tab w:val="left" w:pos="1620"/>
              </w:tabs>
              <w:spacing w:after="120"/>
              <w:ind w:left="360"/>
              <w:rPr>
                <w:sz w:val="16"/>
                <w:szCs w:val="16"/>
                <w:lang w:val="en-GB"/>
              </w:rPr>
            </w:pPr>
            <w:r w:rsidRPr="00253DEA">
              <w:rPr>
                <w:sz w:val="16"/>
                <w:szCs w:val="16"/>
                <w:lang w:val="en-GB"/>
              </w:rPr>
              <w:t>National Statistical Committee of the Republic of Belarus (Belstat)</w:t>
            </w:r>
          </w:p>
          <w:p w14:paraId="3749CD95" w14:textId="77777777" w:rsidR="00CE7B57" w:rsidRPr="00253DEA" w:rsidRDefault="00CE7B57" w:rsidP="004F3734">
            <w:pPr>
              <w:pStyle w:val="ListParagraph"/>
              <w:tabs>
                <w:tab w:val="left" w:pos="1620"/>
              </w:tabs>
              <w:spacing w:after="120"/>
              <w:ind w:left="360"/>
              <w:rPr>
                <w:sz w:val="16"/>
                <w:szCs w:val="16"/>
                <w:lang w:val="en-GB"/>
              </w:rPr>
            </w:pPr>
            <w:r w:rsidRPr="00253DEA">
              <w:rPr>
                <w:sz w:val="16"/>
                <w:szCs w:val="16"/>
                <w:lang w:val="en-GB"/>
              </w:rPr>
              <w:t>National platform for reporting indicators of SDGs (NRP)</w:t>
            </w:r>
          </w:p>
          <w:p w14:paraId="0482B158" w14:textId="77777777" w:rsidR="00CE7B57" w:rsidRPr="00253DEA" w:rsidRDefault="00CE7B57" w:rsidP="004F3734">
            <w:pPr>
              <w:pStyle w:val="ListParagraph"/>
              <w:tabs>
                <w:tab w:val="left" w:pos="1620"/>
              </w:tabs>
              <w:spacing w:after="120"/>
              <w:ind w:left="360"/>
              <w:rPr>
                <w:sz w:val="16"/>
                <w:szCs w:val="16"/>
                <w:lang w:val="en-GB"/>
              </w:rPr>
            </w:pPr>
            <w:r w:rsidRPr="00253DEA">
              <w:rPr>
                <w:sz w:val="16"/>
                <w:szCs w:val="16"/>
                <w:lang w:val="en-GB"/>
              </w:rPr>
              <w:t>Ministry of Economy</w:t>
            </w:r>
          </w:p>
          <w:p w14:paraId="35C2D554" w14:textId="330BD4D9" w:rsidR="00EB7B61" w:rsidRPr="00253DEA" w:rsidRDefault="00EB7B61" w:rsidP="004F3734">
            <w:pPr>
              <w:tabs>
                <w:tab w:val="left" w:pos="1620"/>
              </w:tabs>
              <w:spacing w:after="120"/>
              <w:rPr>
                <w:sz w:val="16"/>
                <w:szCs w:val="16"/>
                <w:lang w:val="en-GB"/>
              </w:rPr>
            </w:pPr>
          </w:p>
          <w:p w14:paraId="67F1690A" w14:textId="5581FE4F" w:rsidR="00EB7B61" w:rsidRPr="00253DEA" w:rsidRDefault="00EB7B61" w:rsidP="004F3734">
            <w:pPr>
              <w:tabs>
                <w:tab w:val="left" w:pos="1620"/>
              </w:tabs>
              <w:spacing w:after="120"/>
              <w:rPr>
                <w:sz w:val="16"/>
                <w:szCs w:val="16"/>
              </w:rPr>
            </w:pPr>
            <w:r w:rsidRPr="00253DEA">
              <w:rPr>
                <w:sz w:val="16"/>
                <w:szCs w:val="16"/>
              </w:rPr>
              <w:t>Frequency: annual</w:t>
            </w:r>
          </w:p>
          <w:p w14:paraId="5CC8AF3A" w14:textId="77777777" w:rsidR="00CE7B57" w:rsidRPr="00253DEA" w:rsidRDefault="00CE7B57" w:rsidP="004F3734">
            <w:pPr>
              <w:tabs>
                <w:tab w:val="left" w:pos="1620"/>
              </w:tabs>
              <w:spacing w:after="120"/>
              <w:rPr>
                <w:b/>
                <w:bCs/>
                <w:color w:val="000000"/>
                <w:sz w:val="16"/>
                <w:szCs w:val="16"/>
                <w:lang w:val="en-GB"/>
              </w:rPr>
            </w:pPr>
          </w:p>
        </w:tc>
        <w:tc>
          <w:tcPr>
            <w:tcW w:w="1728" w:type="pct"/>
            <w:vMerge w:val="restart"/>
            <w:shd w:val="clear" w:color="auto" w:fill="auto"/>
            <w:tcMar>
              <w:top w:w="72" w:type="dxa"/>
              <w:left w:w="144" w:type="dxa"/>
              <w:bottom w:w="72" w:type="dxa"/>
              <w:right w:w="144" w:type="dxa"/>
            </w:tcMar>
          </w:tcPr>
          <w:p w14:paraId="19F72734" w14:textId="4D59C2FD" w:rsidR="00CE7B57" w:rsidRPr="00506E9D" w:rsidRDefault="00CE7B57" w:rsidP="00D57C86">
            <w:pPr>
              <w:tabs>
                <w:tab w:val="left" w:pos="1620"/>
              </w:tabs>
              <w:spacing w:after="160"/>
              <w:rPr>
                <w:b/>
                <w:bCs/>
                <w:color w:val="000000"/>
                <w:sz w:val="18"/>
                <w:szCs w:val="18"/>
                <w:lang w:val="en-GB"/>
              </w:rPr>
            </w:pPr>
            <w:r w:rsidRPr="00D57C86">
              <w:rPr>
                <w:b/>
                <w:bCs/>
                <w:color w:val="000000"/>
                <w:sz w:val="18"/>
                <w:szCs w:val="18"/>
                <w:lang w:val="en-GB"/>
              </w:rPr>
              <w:t>Output 1.1</w:t>
            </w:r>
            <w:r w:rsidR="00EC16A6">
              <w:rPr>
                <w:b/>
                <w:bCs/>
                <w:color w:val="000000"/>
                <w:sz w:val="18"/>
                <w:szCs w:val="18"/>
                <w:lang w:val="en-GB"/>
              </w:rPr>
              <w:t>.</w:t>
            </w:r>
            <w:r w:rsidRPr="00506E9D">
              <w:rPr>
                <w:b/>
                <w:bCs/>
                <w:color w:val="000000"/>
                <w:sz w:val="18"/>
                <w:szCs w:val="18"/>
                <w:lang w:val="en-GB"/>
              </w:rPr>
              <w:t xml:space="preserve"> </w:t>
            </w:r>
            <w:r w:rsidR="00586BE6" w:rsidRPr="00506E9D">
              <w:rPr>
                <w:b/>
                <w:bCs/>
                <w:color w:val="000000"/>
                <w:sz w:val="18"/>
                <w:szCs w:val="18"/>
                <w:lang w:val="en-GB"/>
              </w:rPr>
              <w:t>M</w:t>
            </w:r>
            <w:r w:rsidRPr="00506E9D">
              <w:rPr>
                <w:b/>
                <w:bCs/>
                <w:color w:val="000000"/>
                <w:sz w:val="18"/>
                <w:szCs w:val="18"/>
                <w:lang w:val="en-GB"/>
              </w:rPr>
              <w:t xml:space="preserve">easures for the development of green, circular, low-carbon economy, considering the interests of vulnerable groups, developed and </w:t>
            </w:r>
            <w:r w:rsidR="00AD4BEB" w:rsidRPr="00506E9D">
              <w:rPr>
                <w:b/>
                <w:bCs/>
                <w:color w:val="000000"/>
                <w:sz w:val="18"/>
                <w:szCs w:val="18"/>
                <w:lang w:val="en-GB"/>
              </w:rPr>
              <w:t>introduced</w:t>
            </w:r>
          </w:p>
          <w:p w14:paraId="71E25841" w14:textId="49551F67" w:rsidR="00CE7B57" w:rsidRPr="00EC16A6" w:rsidRDefault="00CE7B57" w:rsidP="00506E9D">
            <w:pPr>
              <w:pStyle w:val="ListParagraph"/>
              <w:tabs>
                <w:tab w:val="left" w:pos="1620"/>
              </w:tabs>
              <w:spacing w:after="120"/>
              <w:ind w:left="360"/>
              <w:rPr>
                <w:color w:val="000000"/>
                <w:sz w:val="16"/>
                <w:szCs w:val="16"/>
                <w:lang w:val="en-GB"/>
              </w:rPr>
            </w:pPr>
            <w:r w:rsidRPr="00253DEA">
              <w:rPr>
                <w:color w:val="000000"/>
                <w:sz w:val="16"/>
                <w:szCs w:val="16"/>
                <w:lang w:val="en-GB"/>
              </w:rPr>
              <w:t xml:space="preserve">Indicative </w:t>
            </w:r>
            <w:r w:rsidR="00806156">
              <w:rPr>
                <w:color w:val="000000"/>
                <w:sz w:val="16"/>
                <w:szCs w:val="16"/>
                <w:lang w:val="en-GB"/>
              </w:rPr>
              <w:t>i</w:t>
            </w:r>
            <w:r w:rsidRPr="00253DEA">
              <w:rPr>
                <w:color w:val="000000"/>
                <w:sz w:val="16"/>
                <w:szCs w:val="16"/>
                <w:lang w:val="en-GB"/>
              </w:rPr>
              <w:t>ndicator 1.1</w:t>
            </w:r>
            <w:r w:rsidRPr="00253DEA">
              <w:rPr>
                <w:color w:val="000000"/>
                <w:sz w:val="16"/>
                <w:szCs w:val="16"/>
              </w:rPr>
              <w:t>.1</w:t>
            </w:r>
            <w:r w:rsidR="00EC16A6">
              <w:rPr>
                <w:color w:val="000000"/>
                <w:sz w:val="16"/>
                <w:szCs w:val="16"/>
                <w:lang w:val="en-GB"/>
              </w:rPr>
              <w:t>.</w:t>
            </w:r>
            <w:r w:rsidR="000A24CE" w:rsidRPr="00253DEA">
              <w:rPr>
                <w:color w:val="000000"/>
                <w:szCs w:val="16"/>
                <w:lang w:val="en-GB"/>
              </w:rPr>
              <w:t xml:space="preserve"> </w:t>
            </w:r>
            <w:r w:rsidR="000A24CE" w:rsidRPr="00D57C86">
              <w:rPr>
                <w:color w:val="000000"/>
                <w:sz w:val="16"/>
                <w:szCs w:val="16"/>
                <w:lang w:val="en-GB"/>
              </w:rPr>
              <w:t xml:space="preserve">SDG </w:t>
            </w:r>
            <w:r w:rsidR="00806156">
              <w:rPr>
                <w:color w:val="000000"/>
                <w:sz w:val="16"/>
                <w:szCs w:val="16"/>
                <w:lang w:val="en-GB"/>
              </w:rPr>
              <w:t>n</w:t>
            </w:r>
            <w:r w:rsidR="000A24CE" w:rsidRPr="00506E9D">
              <w:rPr>
                <w:color w:val="000000"/>
                <w:sz w:val="16"/>
                <w:szCs w:val="16"/>
                <w:lang w:val="en-GB"/>
              </w:rPr>
              <w:t xml:space="preserve">ational </w:t>
            </w:r>
            <w:r w:rsidR="00806156">
              <w:rPr>
                <w:color w:val="000000"/>
                <w:sz w:val="16"/>
                <w:szCs w:val="16"/>
                <w:lang w:val="en-GB"/>
              </w:rPr>
              <w:t>i</w:t>
            </w:r>
            <w:r w:rsidR="000A24CE" w:rsidRPr="00D57C86">
              <w:rPr>
                <w:color w:val="000000"/>
                <w:sz w:val="16"/>
                <w:szCs w:val="16"/>
                <w:lang w:val="en-GB"/>
              </w:rPr>
              <w:t>ndicator</w:t>
            </w:r>
            <w:r w:rsidR="00D0340B" w:rsidRPr="00D57C86">
              <w:rPr>
                <w:color w:val="000000"/>
                <w:sz w:val="16"/>
                <w:szCs w:val="16"/>
                <w:lang w:val="en-GB"/>
              </w:rPr>
              <w:t>:</w:t>
            </w:r>
            <w:r w:rsidRPr="00EC16A6">
              <w:rPr>
                <w:color w:val="000000"/>
                <w:sz w:val="16"/>
                <w:szCs w:val="16"/>
                <w:lang w:val="en-GB"/>
              </w:rPr>
              <w:t xml:space="preserve"> </w:t>
            </w:r>
            <w:r w:rsidRPr="00D57C86">
              <w:rPr>
                <w:color w:val="000000"/>
                <w:sz w:val="16"/>
                <w:szCs w:val="16"/>
                <w:lang w:val="en-GB"/>
              </w:rPr>
              <w:t>12.1.1.1. Sustainable consumption and production (SCP) national action plans are in place or SCP mainstreamed as a priority or a target into national policies</w:t>
            </w:r>
            <w:r w:rsidR="00EC16A6">
              <w:rPr>
                <w:color w:val="000000"/>
                <w:sz w:val="16"/>
                <w:szCs w:val="16"/>
                <w:lang w:val="en-GB"/>
              </w:rPr>
              <w:t>.</w:t>
            </w:r>
          </w:p>
          <w:p w14:paraId="1360B24C" w14:textId="5F5642BF" w:rsidR="00CE7B57" w:rsidRPr="00253DEA" w:rsidRDefault="00CE7B57" w:rsidP="004F3734">
            <w:pPr>
              <w:pStyle w:val="ListParagraph"/>
              <w:tabs>
                <w:tab w:val="left" w:pos="1620"/>
              </w:tabs>
              <w:spacing w:after="120"/>
              <w:ind w:left="360"/>
              <w:rPr>
                <w:color w:val="000000"/>
                <w:sz w:val="16"/>
                <w:szCs w:val="16"/>
                <w:lang w:val="en-GB"/>
              </w:rPr>
            </w:pPr>
            <w:r w:rsidRPr="00253DEA">
              <w:rPr>
                <w:color w:val="000000"/>
                <w:sz w:val="16"/>
                <w:szCs w:val="16"/>
                <w:lang w:val="en-GB"/>
              </w:rPr>
              <w:t xml:space="preserve">Baseline </w:t>
            </w:r>
            <w:r w:rsidR="008A75A5" w:rsidRPr="00253DEA">
              <w:rPr>
                <w:color w:val="000000"/>
                <w:sz w:val="16"/>
                <w:szCs w:val="16"/>
                <w:lang w:val="en-GB"/>
              </w:rPr>
              <w:t>(2019)</w:t>
            </w:r>
            <w:r w:rsidRPr="00253DEA">
              <w:rPr>
                <w:color w:val="000000"/>
                <w:sz w:val="16"/>
                <w:szCs w:val="16"/>
                <w:lang w:val="en-GB"/>
              </w:rPr>
              <w:t xml:space="preserve">: 1 </w:t>
            </w:r>
          </w:p>
          <w:p w14:paraId="7FA4CAAC" w14:textId="0A499025" w:rsidR="00CE7B57" w:rsidRPr="00253DEA" w:rsidRDefault="00CE7B57" w:rsidP="004F3734">
            <w:pPr>
              <w:pStyle w:val="ListParagraph"/>
              <w:tabs>
                <w:tab w:val="left" w:pos="1620"/>
              </w:tabs>
              <w:spacing w:after="120"/>
              <w:ind w:left="360"/>
              <w:rPr>
                <w:color w:val="000000"/>
                <w:sz w:val="16"/>
                <w:szCs w:val="16"/>
                <w:lang w:val="en-GB"/>
              </w:rPr>
            </w:pPr>
            <w:r w:rsidRPr="00253DEA">
              <w:rPr>
                <w:color w:val="000000"/>
                <w:sz w:val="16"/>
                <w:szCs w:val="16"/>
                <w:lang w:val="en-GB"/>
              </w:rPr>
              <w:t xml:space="preserve">Target </w:t>
            </w:r>
            <w:r w:rsidR="008A75A5" w:rsidRPr="00253DEA">
              <w:rPr>
                <w:color w:val="000000"/>
                <w:sz w:val="16"/>
                <w:szCs w:val="16"/>
                <w:lang w:val="en-GB"/>
              </w:rPr>
              <w:t>(2025)</w:t>
            </w:r>
            <w:r w:rsidRPr="00253DEA">
              <w:rPr>
                <w:color w:val="000000"/>
                <w:sz w:val="16"/>
                <w:szCs w:val="16"/>
                <w:lang w:val="en-GB"/>
              </w:rPr>
              <w:t xml:space="preserve">: </w:t>
            </w:r>
            <w:r w:rsidR="00967444">
              <w:rPr>
                <w:color w:val="000000"/>
                <w:sz w:val="16"/>
                <w:szCs w:val="16"/>
                <w:lang w:val="en-GB"/>
              </w:rPr>
              <w:t>1</w:t>
            </w:r>
            <w:r w:rsidRPr="00253DEA">
              <w:rPr>
                <w:color w:val="000000"/>
                <w:sz w:val="16"/>
                <w:szCs w:val="16"/>
                <w:lang w:val="en-GB"/>
              </w:rPr>
              <w:t xml:space="preserve"> </w:t>
            </w:r>
          </w:p>
          <w:p w14:paraId="70002A1C" w14:textId="31EB0A03" w:rsidR="00CE7B57" w:rsidRPr="00253DEA" w:rsidRDefault="00CE7B57" w:rsidP="00D57C86">
            <w:pPr>
              <w:pStyle w:val="ListParagraph"/>
              <w:tabs>
                <w:tab w:val="left" w:pos="1620"/>
              </w:tabs>
              <w:spacing w:after="160"/>
              <w:ind w:left="360"/>
              <w:rPr>
                <w:color w:val="000000"/>
                <w:sz w:val="16"/>
                <w:szCs w:val="16"/>
                <w:lang w:val="en-GB"/>
              </w:rPr>
            </w:pPr>
            <w:r w:rsidRPr="00253DEA">
              <w:rPr>
                <w:color w:val="000000"/>
                <w:sz w:val="16"/>
                <w:szCs w:val="16"/>
                <w:lang w:val="en-GB"/>
              </w:rPr>
              <w:t>Data source, frequency: NRP</w:t>
            </w:r>
            <w:r w:rsidR="002B45E5" w:rsidRPr="00253DEA">
              <w:rPr>
                <w:color w:val="000000"/>
                <w:sz w:val="16"/>
                <w:szCs w:val="16"/>
                <w:lang w:val="en-GB"/>
              </w:rPr>
              <w:t>, annual</w:t>
            </w:r>
          </w:p>
          <w:p w14:paraId="5A4DA18D" w14:textId="77777777" w:rsidR="00CE7B57" w:rsidRPr="00253DEA" w:rsidRDefault="00CE7B57" w:rsidP="004F3734">
            <w:pPr>
              <w:pStyle w:val="ListParagraph"/>
              <w:tabs>
                <w:tab w:val="left" w:pos="1620"/>
              </w:tabs>
              <w:spacing w:after="120"/>
              <w:ind w:left="360"/>
              <w:rPr>
                <w:color w:val="000000"/>
                <w:sz w:val="16"/>
                <w:szCs w:val="16"/>
                <w:lang w:val="en-GB"/>
              </w:rPr>
            </w:pPr>
          </w:p>
          <w:p w14:paraId="6F3B7835" w14:textId="77777777" w:rsidR="00CE7B57" w:rsidRDefault="00CE7B57" w:rsidP="004F3734">
            <w:pPr>
              <w:tabs>
                <w:tab w:val="left" w:pos="1620"/>
              </w:tabs>
              <w:spacing w:after="120"/>
              <w:rPr>
                <w:color w:val="000000"/>
                <w:sz w:val="16"/>
                <w:szCs w:val="16"/>
                <w:lang w:val="en-GB"/>
              </w:rPr>
            </w:pPr>
          </w:p>
          <w:p w14:paraId="48228D8F" w14:textId="77777777" w:rsidR="00077B57" w:rsidRDefault="00077B57" w:rsidP="004F3734">
            <w:pPr>
              <w:tabs>
                <w:tab w:val="left" w:pos="1620"/>
              </w:tabs>
              <w:spacing w:after="120"/>
              <w:rPr>
                <w:color w:val="000000"/>
                <w:sz w:val="16"/>
                <w:szCs w:val="16"/>
                <w:lang w:val="en-GB"/>
              </w:rPr>
            </w:pPr>
          </w:p>
          <w:p w14:paraId="63D5FFE7" w14:textId="77777777" w:rsidR="00077B57" w:rsidRPr="00253DEA" w:rsidRDefault="00077B57" w:rsidP="004F3734">
            <w:pPr>
              <w:tabs>
                <w:tab w:val="left" w:pos="1620"/>
              </w:tabs>
              <w:spacing w:after="120"/>
              <w:rPr>
                <w:color w:val="000000"/>
                <w:sz w:val="16"/>
                <w:szCs w:val="16"/>
                <w:lang w:val="en-GB"/>
              </w:rPr>
            </w:pPr>
          </w:p>
          <w:p w14:paraId="577F8F39" w14:textId="12FC0593" w:rsidR="00CE7B57" w:rsidRPr="00506E9D" w:rsidRDefault="00CE7B57" w:rsidP="00506E9D">
            <w:pPr>
              <w:tabs>
                <w:tab w:val="left" w:pos="1620"/>
              </w:tabs>
              <w:spacing w:after="160"/>
              <w:rPr>
                <w:b/>
                <w:bCs/>
                <w:color w:val="000000"/>
                <w:sz w:val="18"/>
                <w:szCs w:val="18"/>
                <w:lang w:val="en-GB"/>
              </w:rPr>
            </w:pPr>
            <w:r w:rsidRPr="00D57C86">
              <w:rPr>
                <w:b/>
                <w:bCs/>
                <w:color w:val="000000"/>
                <w:sz w:val="18"/>
                <w:szCs w:val="18"/>
                <w:lang w:val="en-GB"/>
              </w:rPr>
              <w:t>Output 1.2</w:t>
            </w:r>
            <w:r w:rsidR="00806156">
              <w:rPr>
                <w:b/>
                <w:bCs/>
                <w:color w:val="000000"/>
                <w:sz w:val="18"/>
                <w:szCs w:val="18"/>
                <w:lang w:val="en-GB"/>
              </w:rPr>
              <w:t>.</w:t>
            </w:r>
            <w:r w:rsidRPr="00506E9D">
              <w:rPr>
                <w:b/>
                <w:bCs/>
                <w:color w:val="000000"/>
                <w:sz w:val="18"/>
                <w:szCs w:val="18"/>
                <w:lang w:val="en-GB"/>
              </w:rPr>
              <w:t xml:space="preserve"> </w:t>
            </w:r>
            <w:r w:rsidR="00984280" w:rsidRPr="00506E9D">
              <w:rPr>
                <w:b/>
                <w:bCs/>
                <w:color w:val="000000"/>
                <w:sz w:val="18"/>
                <w:szCs w:val="18"/>
                <w:lang w:val="en-GB"/>
              </w:rPr>
              <w:t>Financial and non-financial mechanisms</w:t>
            </w:r>
            <w:r w:rsidR="0025753C" w:rsidRPr="00506E9D">
              <w:rPr>
                <w:b/>
                <w:bCs/>
                <w:color w:val="000000"/>
                <w:sz w:val="18"/>
                <w:szCs w:val="18"/>
                <w:lang w:val="en-GB"/>
              </w:rPr>
              <w:t xml:space="preserve"> </w:t>
            </w:r>
            <w:r w:rsidR="00586BE6" w:rsidRPr="00506E9D">
              <w:rPr>
                <w:b/>
                <w:bCs/>
                <w:color w:val="000000"/>
                <w:sz w:val="18"/>
                <w:szCs w:val="18"/>
                <w:lang w:val="en-GB"/>
              </w:rPr>
              <w:t>enabling</w:t>
            </w:r>
            <w:r w:rsidR="0025753C" w:rsidRPr="00506E9D">
              <w:rPr>
                <w:b/>
                <w:bCs/>
                <w:color w:val="000000"/>
                <w:sz w:val="18"/>
                <w:szCs w:val="18"/>
                <w:lang w:val="en-GB"/>
              </w:rPr>
              <w:t xml:space="preserve"> effective regional development</w:t>
            </w:r>
            <w:r w:rsidR="00AD4BEB" w:rsidRPr="00506E9D">
              <w:rPr>
                <w:b/>
                <w:bCs/>
                <w:color w:val="000000"/>
                <w:sz w:val="18"/>
                <w:szCs w:val="18"/>
                <w:lang w:val="en-GB"/>
              </w:rPr>
              <w:t>, including in Chernobyl-affected areas and ensuring inclusion of vulnerable groups,</w:t>
            </w:r>
            <w:r w:rsidR="00984280" w:rsidRPr="00506E9D">
              <w:rPr>
                <w:b/>
                <w:bCs/>
                <w:color w:val="000000"/>
                <w:sz w:val="18"/>
                <w:szCs w:val="18"/>
                <w:lang w:val="en-GB"/>
              </w:rPr>
              <w:t xml:space="preserve"> introduced</w:t>
            </w:r>
          </w:p>
          <w:p w14:paraId="33EBB452" w14:textId="3C17AB6B" w:rsidR="00CE7B57" w:rsidRPr="004464D1" w:rsidRDefault="00CE7B57" w:rsidP="00506E9D">
            <w:pPr>
              <w:pStyle w:val="ListParagraph"/>
              <w:tabs>
                <w:tab w:val="left" w:pos="1620"/>
              </w:tabs>
              <w:spacing w:after="120"/>
              <w:ind w:left="360"/>
              <w:rPr>
                <w:color w:val="000000"/>
                <w:sz w:val="16"/>
                <w:szCs w:val="16"/>
                <w:lang w:val="en-GB"/>
              </w:rPr>
            </w:pPr>
            <w:r w:rsidRPr="00253DEA">
              <w:rPr>
                <w:color w:val="000000"/>
                <w:sz w:val="16"/>
                <w:szCs w:val="16"/>
                <w:lang w:val="en-GB"/>
              </w:rPr>
              <w:lastRenderedPageBreak/>
              <w:t xml:space="preserve">Indicative </w:t>
            </w:r>
            <w:r w:rsidR="00806156">
              <w:rPr>
                <w:color w:val="000000"/>
                <w:sz w:val="16"/>
                <w:szCs w:val="16"/>
                <w:lang w:val="en-GB"/>
              </w:rPr>
              <w:t>i</w:t>
            </w:r>
            <w:r w:rsidRPr="00253DEA">
              <w:rPr>
                <w:color w:val="000000"/>
                <w:sz w:val="16"/>
                <w:szCs w:val="16"/>
                <w:lang w:val="en-GB"/>
              </w:rPr>
              <w:t>ndicator 1.2</w:t>
            </w:r>
            <w:r w:rsidRPr="00253DEA">
              <w:rPr>
                <w:color w:val="000000"/>
                <w:sz w:val="16"/>
                <w:szCs w:val="16"/>
              </w:rPr>
              <w:t>.1</w:t>
            </w:r>
            <w:r w:rsidR="00806156">
              <w:rPr>
                <w:color w:val="000000"/>
                <w:sz w:val="16"/>
                <w:szCs w:val="16"/>
                <w:lang w:val="en-GB"/>
              </w:rPr>
              <w:t>.</w:t>
            </w:r>
            <w:r w:rsidRPr="00253DEA">
              <w:rPr>
                <w:color w:val="000000"/>
                <w:sz w:val="16"/>
                <w:szCs w:val="16"/>
                <w:lang w:val="en-GB"/>
              </w:rPr>
              <w:t xml:space="preserve"> </w:t>
            </w:r>
            <w:r w:rsidRPr="00D57C86">
              <w:rPr>
                <w:color w:val="000000"/>
                <w:sz w:val="16"/>
                <w:szCs w:val="16"/>
                <w:lang w:val="en-GB"/>
              </w:rPr>
              <w:t xml:space="preserve">SDG </w:t>
            </w:r>
            <w:r w:rsidR="00806156">
              <w:rPr>
                <w:color w:val="000000"/>
                <w:sz w:val="16"/>
                <w:szCs w:val="16"/>
                <w:lang w:val="en-GB"/>
              </w:rPr>
              <w:t>n</w:t>
            </w:r>
            <w:r w:rsidRPr="00D57C86">
              <w:rPr>
                <w:color w:val="000000"/>
                <w:sz w:val="16"/>
                <w:szCs w:val="16"/>
                <w:lang w:val="en-GB"/>
              </w:rPr>
              <w:t xml:space="preserve">ational </w:t>
            </w:r>
            <w:r w:rsidR="00806156">
              <w:rPr>
                <w:color w:val="000000"/>
                <w:sz w:val="16"/>
                <w:szCs w:val="16"/>
                <w:lang w:val="en-GB"/>
              </w:rPr>
              <w:t>i</w:t>
            </w:r>
            <w:r w:rsidRPr="00D57C86">
              <w:rPr>
                <w:color w:val="000000"/>
                <w:sz w:val="16"/>
                <w:szCs w:val="16"/>
                <w:lang w:val="en-GB"/>
              </w:rPr>
              <w:t>ndicator: 1.2.1 Proportion of population living below the national poverty line, by sex (</w:t>
            </w:r>
            <w:r w:rsidR="00806156">
              <w:rPr>
                <w:color w:val="000000"/>
                <w:sz w:val="16"/>
                <w:szCs w:val="16"/>
                <w:lang w:val="en-GB"/>
              </w:rPr>
              <w:t>%</w:t>
            </w:r>
            <w:r w:rsidRPr="00506E9D">
              <w:rPr>
                <w:color w:val="000000"/>
                <w:sz w:val="16"/>
                <w:szCs w:val="16"/>
                <w:lang w:val="en-GB"/>
              </w:rPr>
              <w:t>)</w:t>
            </w:r>
          </w:p>
          <w:p w14:paraId="7471727F" w14:textId="1D496BE3" w:rsidR="00CE7B57" w:rsidRPr="004464D1" w:rsidRDefault="00CE7B57" w:rsidP="004F3734">
            <w:pPr>
              <w:pStyle w:val="ListParagraph"/>
              <w:tabs>
                <w:tab w:val="left" w:pos="1620"/>
              </w:tabs>
              <w:spacing w:after="120"/>
              <w:ind w:left="360"/>
              <w:rPr>
                <w:color w:val="000000"/>
                <w:sz w:val="16"/>
                <w:szCs w:val="16"/>
                <w:lang w:val="en-GB"/>
              </w:rPr>
            </w:pPr>
            <w:r w:rsidRPr="004464D1">
              <w:rPr>
                <w:color w:val="000000"/>
                <w:sz w:val="16"/>
                <w:szCs w:val="16"/>
                <w:lang w:val="en-GB"/>
              </w:rPr>
              <w:t>Baseline (</w:t>
            </w:r>
            <w:r w:rsidR="008915C1" w:rsidRPr="004464D1">
              <w:rPr>
                <w:color w:val="000000"/>
                <w:sz w:val="16"/>
                <w:szCs w:val="16"/>
                <w:lang w:val="en-GB"/>
              </w:rPr>
              <w:t>201</w:t>
            </w:r>
            <w:r w:rsidR="00CA7D13">
              <w:rPr>
                <w:color w:val="000000"/>
                <w:sz w:val="16"/>
                <w:szCs w:val="16"/>
                <w:lang w:val="en-GB"/>
              </w:rPr>
              <w:t>9</w:t>
            </w:r>
            <w:r w:rsidRPr="004464D1">
              <w:rPr>
                <w:color w:val="000000"/>
                <w:sz w:val="16"/>
                <w:szCs w:val="16"/>
                <w:lang w:val="en-GB"/>
              </w:rPr>
              <w:t>): 5.</w:t>
            </w:r>
            <w:r w:rsidR="00CA7D13">
              <w:rPr>
                <w:color w:val="000000"/>
                <w:sz w:val="16"/>
                <w:szCs w:val="16"/>
                <w:lang w:val="en-GB"/>
              </w:rPr>
              <w:t>0</w:t>
            </w:r>
            <w:r w:rsidR="008915C1" w:rsidRPr="004464D1">
              <w:rPr>
                <w:color w:val="000000"/>
                <w:sz w:val="16"/>
                <w:szCs w:val="16"/>
                <w:lang w:val="en-GB"/>
              </w:rPr>
              <w:t xml:space="preserve">; male – </w:t>
            </w:r>
            <w:r w:rsidR="00F07622">
              <w:rPr>
                <w:color w:val="000000"/>
                <w:sz w:val="16"/>
                <w:szCs w:val="16"/>
                <w:lang w:val="en-GB"/>
              </w:rPr>
              <w:t>5.2</w:t>
            </w:r>
            <w:r w:rsidR="008915C1" w:rsidRPr="004464D1">
              <w:rPr>
                <w:color w:val="000000"/>
                <w:sz w:val="16"/>
                <w:szCs w:val="16"/>
                <w:lang w:val="en-GB"/>
              </w:rPr>
              <w:t xml:space="preserve">; female – </w:t>
            </w:r>
            <w:r w:rsidR="00F07622">
              <w:rPr>
                <w:color w:val="000000"/>
                <w:sz w:val="16"/>
                <w:szCs w:val="16"/>
                <w:lang w:val="en-GB"/>
              </w:rPr>
              <w:t>4.9</w:t>
            </w:r>
          </w:p>
          <w:p w14:paraId="3F4261A1" w14:textId="292837C2" w:rsidR="00CE7B57" w:rsidRPr="00077B57" w:rsidRDefault="00CE7B57" w:rsidP="004F3734">
            <w:pPr>
              <w:pStyle w:val="ListParagraph"/>
              <w:tabs>
                <w:tab w:val="left" w:pos="1620"/>
              </w:tabs>
              <w:spacing w:after="120"/>
              <w:ind w:left="360"/>
              <w:rPr>
                <w:color w:val="000000"/>
                <w:sz w:val="16"/>
                <w:szCs w:val="16"/>
                <w:lang w:val="en-GB"/>
              </w:rPr>
            </w:pPr>
            <w:r w:rsidRPr="00077B57">
              <w:rPr>
                <w:color w:val="000000"/>
                <w:sz w:val="16"/>
                <w:szCs w:val="16"/>
                <w:lang w:val="en-GB"/>
              </w:rPr>
              <w:t xml:space="preserve">Target </w:t>
            </w:r>
            <w:r w:rsidR="009A6639" w:rsidRPr="00077B57">
              <w:rPr>
                <w:color w:val="000000"/>
                <w:sz w:val="16"/>
                <w:szCs w:val="16"/>
                <w:lang w:val="en-GB"/>
              </w:rPr>
              <w:t>(2025)</w:t>
            </w:r>
            <w:r w:rsidRPr="00077B57">
              <w:rPr>
                <w:color w:val="000000"/>
                <w:sz w:val="16"/>
                <w:szCs w:val="16"/>
                <w:lang w:val="en-GB"/>
              </w:rPr>
              <w:t xml:space="preserve">: 5.0 </w:t>
            </w:r>
          </w:p>
          <w:p w14:paraId="70A8421D" w14:textId="264A9E91" w:rsidR="00CE7B57" w:rsidRPr="000D260E" w:rsidRDefault="00CE7B57" w:rsidP="00D57C86">
            <w:pPr>
              <w:pStyle w:val="ListParagraph"/>
              <w:tabs>
                <w:tab w:val="left" w:pos="1620"/>
              </w:tabs>
              <w:spacing w:after="160"/>
              <w:ind w:left="360"/>
              <w:rPr>
                <w:b/>
                <w:bCs/>
                <w:color w:val="000000"/>
                <w:sz w:val="16"/>
                <w:szCs w:val="16"/>
                <w:lang w:val="en-GB"/>
              </w:rPr>
            </w:pPr>
            <w:r w:rsidRPr="00077B57">
              <w:rPr>
                <w:color w:val="000000"/>
                <w:sz w:val="16"/>
                <w:szCs w:val="16"/>
                <w:lang w:val="en-GB"/>
              </w:rPr>
              <w:t>Data source, frequency: NRP</w:t>
            </w:r>
            <w:r w:rsidR="002B45E5" w:rsidRPr="00077B57">
              <w:rPr>
                <w:color w:val="000000"/>
                <w:sz w:val="16"/>
                <w:szCs w:val="16"/>
                <w:lang w:val="en-GB"/>
              </w:rPr>
              <w:t>, annual</w:t>
            </w:r>
          </w:p>
          <w:p w14:paraId="6E08923B" w14:textId="3DDC67D3" w:rsidR="00CE7B57" w:rsidRPr="004464D1" w:rsidRDefault="00CE7B57" w:rsidP="00506E9D">
            <w:pPr>
              <w:pStyle w:val="ListParagraph"/>
              <w:tabs>
                <w:tab w:val="left" w:pos="1620"/>
              </w:tabs>
              <w:spacing w:after="120"/>
              <w:ind w:left="360"/>
              <w:rPr>
                <w:color w:val="000000"/>
                <w:sz w:val="16"/>
                <w:szCs w:val="16"/>
                <w:lang w:val="en-GB"/>
              </w:rPr>
            </w:pPr>
            <w:r w:rsidRPr="000D260E">
              <w:rPr>
                <w:color w:val="000000"/>
                <w:sz w:val="16"/>
                <w:szCs w:val="16"/>
                <w:lang w:val="en-GB"/>
              </w:rPr>
              <w:t xml:space="preserve">Indicative </w:t>
            </w:r>
            <w:r w:rsidR="00077B57">
              <w:rPr>
                <w:color w:val="000000"/>
                <w:sz w:val="16"/>
                <w:szCs w:val="16"/>
                <w:lang w:val="en-GB"/>
              </w:rPr>
              <w:t>i</w:t>
            </w:r>
            <w:r w:rsidRPr="00077B57">
              <w:rPr>
                <w:color w:val="000000"/>
                <w:sz w:val="16"/>
                <w:szCs w:val="16"/>
                <w:lang w:val="en-GB"/>
              </w:rPr>
              <w:t>ndicator 1.</w:t>
            </w:r>
            <w:r w:rsidRPr="00077B57">
              <w:rPr>
                <w:color w:val="000000"/>
                <w:sz w:val="16"/>
                <w:szCs w:val="16"/>
              </w:rPr>
              <w:t>2.</w:t>
            </w:r>
            <w:r w:rsidRPr="00077B57">
              <w:rPr>
                <w:color w:val="000000"/>
                <w:sz w:val="16"/>
                <w:szCs w:val="16"/>
                <w:lang w:val="en-GB"/>
              </w:rPr>
              <w:t>2</w:t>
            </w:r>
            <w:r w:rsidR="00806156">
              <w:rPr>
                <w:color w:val="000000"/>
                <w:sz w:val="16"/>
                <w:szCs w:val="16"/>
                <w:lang w:val="en-GB"/>
              </w:rPr>
              <w:t>.</w:t>
            </w:r>
            <w:r w:rsidRPr="00806156">
              <w:rPr>
                <w:color w:val="000000"/>
                <w:sz w:val="16"/>
                <w:szCs w:val="16"/>
                <w:lang w:val="en-GB"/>
              </w:rPr>
              <w:t xml:space="preserve"> </w:t>
            </w:r>
            <w:r w:rsidRPr="00D57C86">
              <w:rPr>
                <w:color w:val="000000"/>
                <w:sz w:val="16"/>
                <w:szCs w:val="16"/>
                <w:lang w:val="en-GB"/>
              </w:rPr>
              <w:t xml:space="preserve">SDG </w:t>
            </w:r>
            <w:r w:rsidR="00806156">
              <w:rPr>
                <w:color w:val="000000"/>
                <w:sz w:val="16"/>
                <w:szCs w:val="16"/>
                <w:lang w:val="en-GB"/>
              </w:rPr>
              <w:t>n</w:t>
            </w:r>
            <w:r w:rsidRPr="00D57C86">
              <w:rPr>
                <w:color w:val="000000"/>
                <w:sz w:val="16"/>
                <w:szCs w:val="16"/>
                <w:lang w:val="en-GB"/>
              </w:rPr>
              <w:t xml:space="preserve">ational </w:t>
            </w:r>
            <w:r w:rsidR="00806156">
              <w:rPr>
                <w:color w:val="000000"/>
                <w:sz w:val="16"/>
                <w:szCs w:val="16"/>
                <w:lang w:val="en-GB"/>
              </w:rPr>
              <w:t>i</w:t>
            </w:r>
            <w:r w:rsidRPr="00506E9D">
              <w:rPr>
                <w:color w:val="000000"/>
                <w:sz w:val="16"/>
                <w:szCs w:val="16"/>
                <w:lang w:val="en-GB"/>
              </w:rPr>
              <w:t>ndicator</w:t>
            </w:r>
            <w:r w:rsidR="00D0340B" w:rsidRPr="00506E9D">
              <w:rPr>
                <w:color w:val="000000"/>
                <w:sz w:val="16"/>
                <w:szCs w:val="16"/>
                <w:lang w:val="en-GB"/>
              </w:rPr>
              <w:t>:</w:t>
            </w:r>
            <w:r w:rsidRPr="00506E9D">
              <w:rPr>
                <w:color w:val="000000"/>
                <w:sz w:val="16"/>
                <w:szCs w:val="16"/>
                <w:lang w:val="en-GB"/>
              </w:rPr>
              <w:t xml:space="preserve"> 10.2.1 Proportion of people living below 50</w:t>
            </w:r>
            <w:r w:rsidR="00806156">
              <w:rPr>
                <w:color w:val="000000"/>
                <w:sz w:val="16"/>
                <w:szCs w:val="16"/>
                <w:lang w:val="en-GB"/>
              </w:rPr>
              <w:t>%</w:t>
            </w:r>
            <w:r w:rsidRPr="00D57C86">
              <w:rPr>
                <w:color w:val="000000"/>
                <w:sz w:val="16"/>
                <w:szCs w:val="16"/>
                <w:lang w:val="en-GB"/>
              </w:rPr>
              <w:t xml:space="preserve"> of median income, by sex and persons with disabilities (</w:t>
            </w:r>
            <w:r w:rsidR="00806156">
              <w:rPr>
                <w:color w:val="000000"/>
                <w:sz w:val="16"/>
                <w:szCs w:val="16"/>
                <w:lang w:val="en-GB"/>
              </w:rPr>
              <w:t>%</w:t>
            </w:r>
            <w:r w:rsidRPr="00506E9D">
              <w:rPr>
                <w:color w:val="000000"/>
                <w:sz w:val="16"/>
                <w:szCs w:val="16"/>
                <w:lang w:val="en-GB"/>
              </w:rPr>
              <w:t xml:space="preserve">) </w:t>
            </w:r>
          </w:p>
          <w:p w14:paraId="59DECD2E" w14:textId="2CFC2C6D" w:rsidR="00CE7B57" w:rsidRPr="000D260E" w:rsidRDefault="00CE7B57" w:rsidP="004F3734">
            <w:pPr>
              <w:pStyle w:val="ListParagraph"/>
              <w:tabs>
                <w:tab w:val="left" w:pos="1620"/>
              </w:tabs>
              <w:spacing w:after="120"/>
              <w:ind w:left="360"/>
              <w:rPr>
                <w:color w:val="000000"/>
                <w:sz w:val="16"/>
                <w:szCs w:val="16"/>
                <w:lang w:val="en-GB"/>
              </w:rPr>
            </w:pPr>
            <w:r w:rsidRPr="004464D1">
              <w:rPr>
                <w:color w:val="000000"/>
                <w:sz w:val="16"/>
                <w:szCs w:val="16"/>
                <w:lang w:val="en-GB"/>
              </w:rPr>
              <w:t>Baseline (</w:t>
            </w:r>
            <w:r w:rsidR="008915C1" w:rsidRPr="004464D1">
              <w:rPr>
                <w:color w:val="000000"/>
                <w:sz w:val="16"/>
                <w:szCs w:val="16"/>
                <w:lang w:val="en-GB"/>
              </w:rPr>
              <w:t>2019</w:t>
            </w:r>
            <w:r w:rsidRPr="004464D1">
              <w:rPr>
                <w:color w:val="000000"/>
                <w:sz w:val="16"/>
                <w:szCs w:val="16"/>
                <w:lang w:val="en-GB"/>
              </w:rPr>
              <w:t>): 5.7</w:t>
            </w:r>
            <w:r w:rsidR="008915C1" w:rsidRPr="004464D1">
              <w:rPr>
                <w:color w:val="000000"/>
                <w:sz w:val="16"/>
                <w:szCs w:val="16"/>
                <w:lang w:val="en-GB"/>
              </w:rPr>
              <w:t>; male – 5.9; female – 5.6; persons with disabilities – 4.2</w:t>
            </w:r>
          </w:p>
          <w:p w14:paraId="53725645" w14:textId="187D63C8" w:rsidR="00CE7B57" w:rsidRPr="00036D14" w:rsidRDefault="00CE7B57" w:rsidP="004F3734">
            <w:pPr>
              <w:pStyle w:val="ListParagraph"/>
              <w:tabs>
                <w:tab w:val="left" w:pos="1620"/>
              </w:tabs>
              <w:spacing w:after="120"/>
              <w:ind w:left="360"/>
              <w:rPr>
                <w:color w:val="000000"/>
                <w:sz w:val="16"/>
                <w:szCs w:val="16"/>
                <w:lang w:val="en-GB"/>
              </w:rPr>
            </w:pPr>
            <w:r w:rsidRPr="00036D14">
              <w:rPr>
                <w:color w:val="000000"/>
                <w:sz w:val="16"/>
                <w:szCs w:val="16"/>
                <w:lang w:val="en-GB"/>
              </w:rPr>
              <w:t xml:space="preserve">Target </w:t>
            </w:r>
            <w:r w:rsidR="009A6639" w:rsidRPr="00036D14">
              <w:rPr>
                <w:color w:val="000000"/>
                <w:sz w:val="16"/>
                <w:szCs w:val="16"/>
                <w:lang w:val="en-GB"/>
              </w:rPr>
              <w:t>(2025)</w:t>
            </w:r>
            <w:r w:rsidRPr="00036D14">
              <w:rPr>
                <w:color w:val="000000"/>
                <w:sz w:val="16"/>
                <w:szCs w:val="16"/>
                <w:lang w:val="en-GB"/>
              </w:rPr>
              <w:t xml:space="preserve">: 5.0 </w:t>
            </w:r>
          </w:p>
          <w:p w14:paraId="646478DE" w14:textId="5F70226B" w:rsidR="00CE7B57" w:rsidRPr="00036D14" w:rsidRDefault="00CE7B57" w:rsidP="004F3734">
            <w:pPr>
              <w:pStyle w:val="ListParagraph"/>
              <w:tabs>
                <w:tab w:val="left" w:pos="1620"/>
              </w:tabs>
              <w:spacing w:after="120"/>
              <w:ind w:left="360"/>
              <w:rPr>
                <w:color w:val="000000"/>
                <w:sz w:val="16"/>
                <w:szCs w:val="16"/>
                <w:lang w:val="en-GB"/>
              </w:rPr>
            </w:pPr>
            <w:r w:rsidRPr="00036D14">
              <w:rPr>
                <w:color w:val="000000"/>
                <w:sz w:val="16"/>
                <w:szCs w:val="16"/>
                <w:lang w:val="en-GB"/>
              </w:rPr>
              <w:t>Data source, frequency: NRP</w:t>
            </w:r>
            <w:r w:rsidR="002B45E5" w:rsidRPr="00036D14">
              <w:rPr>
                <w:color w:val="000000"/>
                <w:sz w:val="16"/>
                <w:szCs w:val="16"/>
                <w:lang w:val="en-GB"/>
              </w:rPr>
              <w:t xml:space="preserve">, annual </w:t>
            </w:r>
          </w:p>
          <w:p w14:paraId="42A65140" w14:textId="5A5AA961" w:rsidR="00CE7B57" w:rsidRPr="00D57C86" w:rsidRDefault="00CE7B57" w:rsidP="00D57C86">
            <w:pPr>
              <w:tabs>
                <w:tab w:val="left" w:pos="1620"/>
              </w:tabs>
              <w:spacing w:after="160"/>
              <w:rPr>
                <w:b/>
                <w:bCs/>
                <w:sz w:val="18"/>
                <w:szCs w:val="18"/>
              </w:rPr>
            </w:pPr>
            <w:r w:rsidRPr="00D57C86">
              <w:rPr>
                <w:b/>
                <w:bCs/>
                <w:color w:val="000000"/>
                <w:sz w:val="18"/>
                <w:szCs w:val="18"/>
                <w:lang w:val="en-GB"/>
              </w:rPr>
              <w:t>Output 1.3</w:t>
            </w:r>
            <w:r w:rsidR="00806156">
              <w:rPr>
                <w:b/>
                <w:bCs/>
                <w:color w:val="000000"/>
                <w:sz w:val="18"/>
                <w:szCs w:val="18"/>
                <w:lang w:val="en-GB"/>
              </w:rPr>
              <w:t>.</w:t>
            </w:r>
            <w:r w:rsidRPr="00D57C86">
              <w:rPr>
                <w:b/>
                <w:bCs/>
                <w:color w:val="000000"/>
                <w:sz w:val="18"/>
                <w:szCs w:val="18"/>
                <w:lang w:val="en-GB"/>
              </w:rPr>
              <w:t xml:space="preserve"> </w:t>
            </w:r>
            <w:r w:rsidR="00CC2B78" w:rsidRPr="00D57C86">
              <w:rPr>
                <w:b/>
                <w:bCs/>
                <w:sz w:val="18"/>
                <w:szCs w:val="18"/>
              </w:rPr>
              <w:t xml:space="preserve">Entrepreneurship, competition, innovation, decent jobs, and income diversification promoted, </w:t>
            </w:r>
            <w:r w:rsidR="009B2B00" w:rsidRPr="00D57C86">
              <w:rPr>
                <w:b/>
                <w:bCs/>
                <w:sz w:val="18"/>
                <w:szCs w:val="18"/>
              </w:rPr>
              <w:t>focusing</w:t>
            </w:r>
            <w:r w:rsidR="001F71CB" w:rsidRPr="00D57C86">
              <w:rPr>
                <w:b/>
                <w:bCs/>
                <w:sz w:val="18"/>
                <w:szCs w:val="18"/>
              </w:rPr>
              <w:t xml:space="preserve"> </w:t>
            </w:r>
            <w:r w:rsidR="009B2B00" w:rsidRPr="00D57C86">
              <w:rPr>
                <w:b/>
                <w:bCs/>
                <w:sz w:val="18"/>
                <w:szCs w:val="18"/>
              </w:rPr>
              <w:t xml:space="preserve">on </w:t>
            </w:r>
            <w:r w:rsidR="0097630D" w:rsidRPr="00D57C86">
              <w:rPr>
                <w:b/>
                <w:bCs/>
                <w:sz w:val="18"/>
                <w:szCs w:val="18"/>
              </w:rPr>
              <w:t xml:space="preserve">vulnerable groups </w:t>
            </w:r>
            <w:r w:rsidR="009B2B00" w:rsidRPr="00D57C86">
              <w:rPr>
                <w:b/>
                <w:bCs/>
                <w:sz w:val="18"/>
                <w:szCs w:val="18"/>
              </w:rPr>
              <w:t xml:space="preserve">and </w:t>
            </w:r>
            <w:r w:rsidR="001F71CB" w:rsidRPr="00D57C86">
              <w:rPr>
                <w:b/>
                <w:bCs/>
                <w:sz w:val="18"/>
                <w:szCs w:val="18"/>
              </w:rPr>
              <w:t>considering</w:t>
            </w:r>
            <w:r w:rsidR="009B2B00" w:rsidRPr="00D57C86">
              <w:rPr>
                <w:b/>
                <w:bCs/>
                <w:sz w:val="18"/>
                <w:szCs w:val="18"/>
              </w:rPr>
              <w:t xml:space="preserve"> COVID-19 impact</w:t>
            </w:r>
          </w:p>
          <w:p w14:paraId="5326981F" w14:textId="18A31DA9" w:rsidR="00CE7B57" w:rsidRPr="004464D1" w:rsidRDefault="00CE7B57" w:rsidP="00506E9D">
            <w:pPr>
              <w:pStyle w:val="ListParagraph"/>
              <w:tabs>
                <w:tab w:val="left" w:pos="1620"/>
              </w:tabs>
              <w:spacing w:after="120"/>
              <w:ind w:left="360"/>
              <w:rPr>
                <w:color w:val="000000"/>
                <w:sz w:val="16"/>
                <w:szCs w:val="16"/>
                <w:lang w:val="en-GB"/>
              </w:rPr>
            </w:pPr>
            <w:r w:rsidRPr="004464D1">
              <w:rPr>
                <w:color w:val="000000"/>
                <w:sz w:val="16"/>
                <w:szCs w:val="16"/>
                <w:lang w:val="en-GB"/>
              </w:rPr>
              <w:t xml:space="preserve">Indicative </w:t>
            </w:r>
            <w:r w:rsidR="00806156">
              <w:rPr>
                <w:color w:val="000000"/>
                <w:sz w:val="16"/>
                <w:szCs w:val="16"/>
                <w:lang w:val="en-GB"/>
              </w:rPr>
              <w:t>i</w:t>
            </w:r>
            <w:r w:rsidRPr="004464D1">
              <w:rPr>
                <w:color w:val="000000"/>
                <w:sz w:val="16"/>
                <w:szCs w:val="16"/>
                <w:lang w:val="en-GB"/>
              </w:rPr>
              <w:t>ndicator 1.3.1</w:t>
            </w:r>
            <w:r w:rsidR="00806156">
              <w:rPr>
                <w:color w:val="000000"/>
                <w:sz w:val="16"/>
                <w:szCs w:val="16"/>
                <w:lang w:val="en-GB"/>
              </w:rPr>
              <w:t>.</w:t>
            </w:r>
            <w:r w:rsidR="00DD7439" w:rsidRPr="004464D1">
              <w:rPr>
                <w:color w:val="000000"/>
                <w:sz w:val="16"/>
                <w:szCs w:val="16"/>
                <w:lang w:val="en-GB"/>
              </w:rPr>
              <w:t xml:space="preserve"> </w:t>
            </w:r>
            <w:r w:rsidRPr="00D57C86">
              <w:rPr>
                <w:color w:val="000000"/>
                <w:sz w:val="16"/>
                <w:szCs w:val="16"/>
                <w:lang w:val="en-GB"/>
              </w:rPr>
              <w:t xml:space="preserve">Percentage of workforce employed in </w:t>
            </w:r>
            <w:r w:rsidR="00806156">
              <w:rPr>
                <w:color w:val="000000"/>
                <w:sz w:val="16"/>
                <w:szCs w:val="16"/>
                <w:lang w:val="en-GB"/>
              </w:rPr>
              <w:t>small and medium-sized enterprises (</w:t>
            </w:r>
            <w:r w:rsidRPr="00D57C86">
              <w:rPr>
                <w:color w:val="000000"/>
                <w:sz w:val="16"/>
                <w:szCs w:val="16"/>
                <w:lang w:val="en-GB"/>
              </w:rPr>
              <w:t>SMEs</w:t>
            </w:r>
            <w:r w:rsidR="00806156">
              <w:rPr>
                <w:color w:val="000000"/>
                <w:sz w:val="16"/>
                <w:szCs w:val="16"/>
                <w:lang w:val="en-GB"/>
              </w:rPr>
              <w:t>)</w:t>
            </w:r>
          </w:p>
          <w:p w14:paraId="0AA6D1DB" w14:textId="0AE9381F" w:rsidR="00CE7B57" w:rsidRPr="004464D1" w:rsidRDefault="00CE7B57" w:rsidP="004F3734">
            <w:pPr>
              <w:pStyle w:val="ListParagraph"/>
              <w:tabs>
                <w:tab w:val="left" w:pos="1620"/>
              </w:tabs>
              <w:spacing w:after="120"/>
              <w:ind w:left="360"/>
              <w:rPr>
                <w:color w:val="000000"/>
                <w:sz w:val="16"/>
                <w:szCs w:val="16"/>
                <w:lang w:val="en-GB"/>
              </w:rPr>
            </w:pPr>
            <w:r w:rsidRPr="004464D1">
              <w:rPr>
                <w:color w:val="000000"/>
                <w:sz w:val="16"/>
                <w:szCs w:val="16"/>
                <w:lang w:val="en-GB"/>
              </w:rPr>
              <w:t xml:space="preserve">Baseline </w:t>
            </w:r>
            <w:r w:rsidR="00526621" w:rsidRPr="004464D1">
              <w:rPr>
                <w:color w:val="000000"/>
                <w:sz w:val="16"/>
                <w:szCs w:val="16"/>
                <w:lang w:val="en-GB"/>
              </w:rPr>
              <w:t>(2018)</w:t>
            </w:r>
            <w:r w:rsidRPr="004464D1">
              <w:rPr>
                <w:color w:val="000000"/>
                <w:sz w:val="16"/>
                <w:szCs w:val="16"/>
                <w:lang w:val="en-GB"/>
              </w:rPr>
              <w:t>: 3</w:t>
            </w:r>
            <w:r w:rsidR="005028AB" w:rsidRPr="004464D1">
              <w:rPr>
                <w:color w:val="000000"/>
                <w:sz w:val="16"/>
                <w:szCs w:val="16"/>
                <w:lang w:val="en-GB"/>
              </w:rPr>
              <w:t>3.</w:t>
            </w:r>
            <w:r w:rsidRPr="004464D1">
              <w:rPr>
                <w:color w:val="000000"/>
                <w:sz w:val="16"/>
                <w:szCs w:val="16"/>
                <w:lang w:val="en-GB"/>
              </w:rPr>
              <w:t xml:space="preserve">9 </w:t>
            </w:r>
          </w:p>
          <w:p w14:paraId="3CCD6F6A" w14:textId="0C4E4513" w:rsidR="00CE7B57" w:rsidRPr="004464D1" w:rsidRDefault="00CE7B57" w:rsidP="004F3734">
            <w:pPr>
              <w:pStyle w:val="ListParagraph"/>
              <w:tabs>
                <w:tab w:val="left" w:pos="1620"/>
              </w:tabs>
              <w:spacing w:after="120"/>
              <w:ind w:left="360"/>
              <w:rPr>
                <w:color w:val="000000"/>
                <w:sz w:val="16"/>
                <w:szCs w:val="16"/>
                <w:lang w:val="en-GB"/>
              </w:rPr>
            </w:pPr>
            <w:r w:rsidRPr="004464D1">
              <w:rPr>
                <w:color w:val="000000"/>
                <w:sz w:val="16"/>
                <w:szCs w:val="16"/>
                <w:lang w:val="en-GB"/>
              </w:rPr>
              <w:t xml:space="preserve">Target </w:t>
            </w:r>
            <w:r w:rsidR="009A6639" w:rsidRPr="004464D1">
              <w:rPr>
                <w:color w:val="000000"/>
                <w:sz w:val="16"/>
                <w:szCs w:val="16"/>
                <w:lang w:val="en-GB"/>
              </w:rPr>
              <w:t>(2025)</w:t>
            </w:r>
            <w:r w:rsidRPr="004464D1">
              <w:rPr>
                <w:color w:val="000000"/>
                <w:sz w:val="16"/>
                <w:szCs w:val="16"/>
                <w:lang w:val="en-GB"/>
              </w:rPr>
              <w:t>:</w:t>
            </w:r>
            <w:r w:rsidRPr="00D57C86">
              <w:rPr>
                <w:sz w:val="16"/>
                <w:szCs w:val="16"/>
              </w:rPr>
              <w:t xml:space="preserve"> </w:t>
            </w:r>
            <w:r w:rsidRPr="004464D1">
              <w:rPr>
                <w:color w:val="000000"/>
                <w:sz w:val="16"/>
                <w:szCs w:val="16"/>
                <w:lang w:val="en-GB"/>
              </w:rPr>
              <w:t>37.4</w:t>
            </w:r>
          </w:p>
          <w:p w14:paraId="3037F978" w14:textId="484708FD" w:rsidR="00CE7B57" w:rsidRPr="00806156" w:rsidRDefault="00CE7B57" w:rsidP="00D57C86">
            <w:pPr>
              <w:pStyle w:val="ListParagraph"/>
              <w:tabs>
                <w:tab w:val="left" w:pos="1620"/>
              </w:tabs>
              <w:spacing w:after="160"/>
              <w:ind w:left="360"/>
              <w:rPr>
                <w:color w:val="000000"/>
                <w:sz w:val="16"/>
                <w:szCs w:val="16"/>
                <w:lang w:val="en-GB"/>
              </w:rPr>
            </w:pPr>
            <w:r w:rsidRPr="00806156">
              <w:rPr>
                <w:color w:val="000000"/>
                <w:sz w:val="16"/>
                <w:szCs w:val="16"/>
                <w:lang w:val="en-GB"/>
              </w:rPr>
              <w:t>Data source, frequency: Belstat</w:t>
            </w:r>
            <w:r w:rsidR="002B45E5" w:rsidRPr="00806156">
              <w:rPr>
                <w:color w:val="000000"/>
                <w:sz w:val="16"/>
                <w:szCs w:val="16"/>
                <w:lang w:val="en-GB"/>
              </w:rPr>
              <w:t>, annual</w:t>
            </w:r>
          </w:p>
          <w:p w14:paraId="7D4386AD" w14:textId="50F88467" w:rsidR="00CE7B57" w:rsidRPr="004464D1" w:rsidRDefault="00CE7B57" w:rsidP="00506E9D">
            <w:pPr>
              <w:pStyle w:val="ListParagraph"/>
              <w:tabs>
                <w:tab w:val="left" w:pos="1620"/>
              </w:tabs>
              <w:spacing w:after="120"/>
              <w:ind w:left="360"/>
              <w:rPr>
                <w:color w:val="000000"/>
                <w:sz w:val="16"/>
                <w:szCs w:val="16"/>
                <w:lang w:val="en-GB"/>
              </w:rPr>
            </w:pPr>
            <w:r w:rsidRPr="00077B57">
              <w:rPr>
                <w:color w:val="000000"/>
                <w:sz w:val="16"/>
                <w:szCs w:val="16"/>
                <w:lang w:val="en-GB"/>
              </w:rPr>
              <w:t xml:space="preserve">Indicative </w:t>
            </w:r>
            <w:r w:rsidR="00806156">
              <w:rPr>
                <w:color w:val="000000"/>
                <w:sz w:val="16"/>
                <w:szCs w:val="16"/>
                <w:lang w:val="en-GB"/>
              </w:rPr>
              <w:t>i</w:t>
            </w:r>
            <w:r w:rsidRPr="00806156">
              <w:rPr>
                <w:color w:val="000000"/>
                <w:sz w:val="16"/>
                <w:szCs w:val="16"/>
                <w:lang w:val="en-GB"/>
              </w:rPr>
              <w:t>ndicator 1.3.2</w:t>
            </w:r>
            <w:r w:rsidR="00806156">
              <w:rPr>
                <w:color w:val="000000"/>
                <w:sz w:val="16"/>
                <w:szCs w:val="16"/>
                <w:lang w:val="en-GB"/>
              </w:rPr>
              <w:t>.</w:t>
            </w:r>
            <w:r w:rsidR="00E22C45">
              <w:rPr>
                <w:color w:val="000000"/>
                <w:sz w:val="16"/>
                <w:szCs w:val="16"/>
                <w:lang w:val="en-GB"/>
              </w:rPr>
              <w:t>Share of SME gross value added</w:t>
            </w:r>
            <w:r w:rsidRPr="00D57C86">
              <w:rPr>
                <w:color w:val="000000"/>
                <w:sz w:val="16"/>
                <w:szCs w:val="16"/>
                <w:lang w:val="en-GB"/>
              </w:rPr>
              <w:t xml:space="preserve"> in GDP</w:t>
            </w:r>
            <w:r w:rsidR="00E22C45">
              <w:rPr>
                <w:color w:val="000000"/>
                <w:sz w:val="16"/>
                <w:szCs w:val="16"/>
                <w:lang w:val="en-GB"/>
              </w:rPr>
              <w:t xml:space="preserve"> (%)</w:t>
            </w:r>
          </w:p>
          <w:p w14:paraId="22929535" w14:textId="2DBA4F38" w:rsidR="00CE7B57" w:rsidRPr="00253DEA" w:rsidRDefault="00CE7B57" w:rsidP="004F3734">
            <w:pPr>
              <w:pStyle w:val="ListParagraph"/>
              <w:tabs>
                <w:tab w:val="left" w:pos="1620"/>
              </w:tabs>
              <w:spacing w:after="120"/>
              <w:ind w:left="360"/>
              <w:rPr>
                <w:color w:val="000000"/>
                <w:sz w:val="16"/>
                <w:szCs w:val="16"/>
                <w:lang w:val="en-GB"/>
              </w:rPr>
            </w:pPr>
            <w:r w:rsidRPr="00253DEA">
              <w:rPr>
                <w:color w:val="000000"/>
                <w:sz w:val="16"/>
                <w:szCs w:val="16"/>
                <w:lang w:val="en-GB"/>
              </w:rPr>
              <w:t xml:space="preserve">Baseline </w:t>
            </w:r>
            <w:r w:rsidR="00526621" w:rsidRPr="00253DEA">
              <w:rPr>
                <w:color w:val="000000"/>
                <w:sz w:val="16"/>
                <w:szCs w:val="16"/>
                <w:lang w:val="en-GB"/>
              </w:rPr>
              <w:t>(2018)</w:t>
            </w:r>
            <w:r w:rsidRPr="00253DEA">
              <w:rPr>
                <w:color w:val="000000"/>
                <w:sz w:val="16"/>
                <w:szCs w:val="16"/>
                <w:lang w:val="en-GB"/>
              </w:rPr>
              <w:t xml:space="preserve">: 24.6 </w:t>
            </w:r>
          </w:p>
          <w:p w14:paraId="6C72DD8E" w14:textId="7C7536EF" w:rsidR="00CE7B57" w:rsidRPr="00253DEA" w:rsidRDefault="00CE7B57" w:rsidP="004F3734">
            <w:pPr>
              <w:pStyle w:val="ListParagraph"/>
              <w:tabs>
                <w:tab w:val="left" w:pos="1620"/>
              </w:tabs>
              <w:spacing w:after="120"/>
              <w:ind w:left="360"/>
              <w:rPr>
                <w:color w:val="000000"/>
                <w:sz w:val="16"/>
                <w:szCs w:val="16"/>
                <w:lang w:val="en-GB"/>
              </w:rPr>
            </w:pPr>
            <w:r w:rsidRPr="00253DEA">
              <w:rPr>
                <w:color w:val="000000"/>
                <w:sz w:val="16"/>
                <w:szCs w:val="16"/>
                <w:lang w:val="en-GB"/>
              </w:rPr>
              <w:t xml:space="preserve">Target </w:t>
            </w:r>
            <w:r w:rsidR="009A6639" w:rsidRPr="00253DEA">
              <w:rPr>
                <w:color w:val="000000"/>
                <w:sz w:val="16"/>
                <w:szCs w:val="16"/>
                <w:lang w:val="en-GB"/>
              </w:rPr>
              <w:t>(2025)</w:t>
            </w:r>
            <w:r w:rsidRPr="00253DEA">
              <w:rPr>
                <w:color w:val="000000"/>
                <w:sz w:val="16"/>
                <w:szCs w:val="16"/>
                <w:lang w:val="en-GB"/>
              </w:rPr>
              <w:t xml:space="preserve">: 30 </w:t>
            </w:r>
          </w:p>
          <w:p w14:paraId="6B5374E9" w14:textId="68FC4EB7" w:rsidR="00511087" w:rsidRPr="00253DEA" w:rsidRDefault="00CE7B57" w:rsidP="004F3734">
            <w:pPr>
              <w:pStyle w:val="ListParagraph"/>
              <w:tabs>
                <w:tab w:val="left" w:pos="1620"/>
              </w:tabs>
              <w:spacing w:after="120"/>
              <w:ind w:left="360"/>
              <w:rPr>
                <w:color w:val="000000"/>
                <w:sz w:val="16"/>
                <w:szCs w:val="16"/>
                <w:lang w:val="en-GB"/>
              </w:rPr>
            </w:pPr>
            <w:r w:rsidRPr="00253DEA">
              <w:rPr>
                <w:color w:val="000000"/>
                <w:sz w:val="16"/>
                <w:szCs w:val="16"/>
                <w:lang w:val="en-GB"/>
              </w:rPr>
              <w:t>Data source, frequency: Belstat</w:t>
            </w:r>
            <w:r w:rsidR="002B45E5" w:rsidRPr="00253DEA">
              <w:rPr>
                <w:color w:val="000000"/>
                <w:sz w:val="16"/>
                <w:szCs w:val="16"/>
                <w:lang w:val="en-GB"/>
              </w:rPr>
              <w:t>, annual.</w:t>
            </w:r>
          </w:p>
        </w:tc>
        <w:tc>
          <w:tcPr>
            <w:tcW w:w="701" w:type="pct"/>
            <w:vMerge w:val="restart"/>
            <w:shd w:val="clear" w:color="auto" w:fill="auto"/>
          </w:tcPr>
          <w:p w14:paraId="015A6973" w14:textId="4B889F61" w:rsidR="00EC16A6" w:rsidRDefault="00CE7B57" w:rsidP="004F3734">
            <w:pPr>
              <w:tabs>
                <w:tab w:val="left" w:pos="1620"/>
              </w:tabs>
              <w:spacing w:after="120"/>
              <w:rPr>
                <w:color w:val="000000"/>
                <w:sz w:val="16"/>
                <w:szCs w:val="16"/>
                <w:lang w:val="en-GB"/>
              </w:rPr>
            </w:pPr>
            <w:r w:rsidRPr="00253DEA">
              <w:rPr>
                <w:color w:val="000000"/>
                <w:sz w:val="16"/>
                <w:szCs w:val="16"/>
                <w:lang w:val="en-GB"/>
              </w:rPr>
              <w:lastRenderedPageBreak/>
              <w:t>Ministry of Natural Resources and Environmental Protection</w:t>
            </w:r>
            <w:r w:rsidR="009020B7">
              <w:rPr>
                <w:color w:val="000000"/>
                <w:sz w:val="16"/>
                <w:szCs w:val="16"/>
                <w:lang w:val="en-GB"/>
              </w:rPr>
              <w:t xml:space="preserve"> (MNREP)</w:t>
            </w:r>
          </w:p>
          <w:p w14:paraId="0C70791C" w14:textId="7BDCEFF6" w:rsidR="00EC16A6" w:rsidRDefault="00CE7B57" w:rsidP="004F3734">
            <w:pPr>
              <w:tabs>
                <w:tab w:val="left" w:pos="1620"/>
              </w:tabs>
              <w:spacing w:after="120"/>
              <w:rPr>
                <w:color w:val="000000"/>
                <w:sz w:val="16"/>
                <w:szCs w:val="16"/>
                <w:lang w:val="en-GB"/>
              </w:rPr>
            </w:pPr>
            <w:r w:rsidRPr="00253DEA">
              <w:rPr>
                <w:color w:val="000000"/>
                <w:sz w:val="16"/>
                <w:szCs w:val="16"/>
                <w:lang w:val="en-GB"/>
              </w:rPr>
              <w:t>Ministry of Economy</w:t>
            </w:r>
            <w:r w:rsidR="009020B7">
              <w:rPr>
                <w:color w:val="000000"/>
                <w:sz w:val="16"/>
                <w:szCs w:val="16"/>
                <w:lang w:val="en-GB"/>
              </w:rPr>
              <w:t xml:space="preserve"> (MOE)</w:t>
            </w:r>
          </w:p>
          <w:p w14:paraId="079E5DE9" w14:textId="38CA40AD" w:rsidR="00EC16A6" w:rsidRDefault="00CE7B57" w:rsidP="004F3734">
            <w:pPr>
              <w:tabs>
                <w:tab w:val="left" w:pos="1620"/>
              </w:tabs>
              <w:spacing w:after="120"/>
              <w:rPr>
                <w:sz w:val="16"/>
                <w:szCs w:val="16"/>
                <w:lang w:val="en-GB"/>
              </w:rPr>
            </w:pPr>
            <w:r w:rsidRPr="00253DEA">
              <w:rPr>
                <w:sz w:val="16"/>
                <w:szCs w:val="16"/>
                <w:lang w:val="en-GB"/>
              </w:rPr>
              <w:t>Ministry of Emergency Situations</w:t>
            </w:r>
            <w:r w:rsidR="009020B7">
              <w:rPr>
                <w:sz w:val="16"/>
                <w:szCs w:val="16"/>
                <w:lang w:val="en-GB"/>
              </w:rPr>
              <w:t xml:space="preserve"> (MES)</w:t>
            </w:r>
          </w:p>
          <w:p w14:paraId="31745BAB" w14:textId="089E7AF6" w:rsidR="00EC16A6" w:rsidRDefault="00CE7B57" w:rsidP="004F3734">
            <w:pPr>
              <w:tabs>
                <w:tab w:val="left" w:pos="1620"/>
              </w:tabs>
              <w:spacing w:after="120"/>
              <w:rPr>
                <w:sz w:val="16"/>
                <w:szCs w:val="16"/>
                <w:lang w:val="en-GB"/>
              </w:rPr>
            </w:pPr>
            <w:r w:rsidRPr="00253DEA">
              <w:rPr>
                <w:sz w:val="16"/>
                <w:szCs w:val="16"/>
                <w:lang w:val="en-GB"/>
              </w:rPr>
              <w:t>Energy Efficiency Department of the State Committee for Standardization</w:t>
            </w:r>
            <w:r w:rsidR="009020B7">
              <w:rPr>
                <w:sz w:val="16"/>
                <w:szCs w:val="16"/>
                <w:lang w:val="en-GB"/>
              </w:rPr>
              <w:t xml:space="preserve"> (EEDSCS)</w:t>
            </w:r>
          </w:p>
          <w:p w14:paraId="7E8D1041" w14:textId="0B19453B" w:rsidR="00EC16A6" w:rsidRDefault="00CE7B57" w:rsidP="004F3734">
            <w:pPr>
              <w:tabs>
                <w:tab w:val="left" w:pos="1620"/>
              </w:tabs>
              <w:spacing w:after="120"/>
              <w:rPr>
                <w:sz w:val="16"/>
                <w:szCs w:val="16"/>
                <w:lang w:val="en-GB"/>
              </w:rPr>
            </w:pPr>
            <w:r w:rsidRPr="00253DEA">
              <w:rPr>
                <w:sz w:val="16"/>
                <w:szCs w:val="16"/>
                <w:lang w:val="en-GB"/>
              </w:rPr>
              <w:t>Ministry of Industry</w:t>
            </w:r>
            <w:r w:rsidR="009020B7">
              <w:rPr>
                <w:sz w:val="16"/>
                <w:szCs w:val="16"/>
                <w:lang w:val="en-GB"/>
              </w:rPr>
              <w:t xml:space="preserve"> (MOI)</w:t>
            </w:r>
          </w:p>
          <w:p w14:paraId="4C72F0A5" w14:textId="3264A084" w:rsidR="00EC16A6" w:rsidRDefault="00CE7B57" w:rsidP="004F3734">
            <w:pPr>
              <w:tabs>
                <w:tab w:val="left" w:pos="1620"/>
              </w:tabs>
              <w:spacing w:after="120"/>
              <w:rPr>
                <w:sz w:val="16"/>
                <w:szCs w:val="16"/>
                <w:lang w:val="en-GB"/>
              </w:rPr>
            </w:pPr>
            <w:r w:rsidRPr="00253DEA">
              <w:rPr>
                <w:sz w:val="16"/>
                <w:szCs w:val="16"/>
                <w:lang w:val="en-GB"/>
              </w:rPr>
              <w:t>Ministry of Agriculture and Food</w:t>
            </w:r>
            <w:r w:rsidR="009020B7">
              <w:rPr>
                <w:sz w:val="16"/>
                <w:szCs w:val="16"/>
                <w:lang w:val="en-GB"/>
              </w:rPr>
              <w:t xml:space="preserve"> (MAF)</w:t>
            </w:r>
          </w:p>
          <w:p w14:paraId="42FA6917" w14:textId="306FEC8D" w:rsidR="00EC16A6" w:rsidRDefault="00CE7B57" w:rsidP="004F3734">
            <w:pPr>
              <w:tabs>
                <w:tab w:val="left" w:pos="1620"/>
              </w:tabs>
              <w:spacing w:after="120"/>
              <w:rPr>
                <w:sz w:val="16"/>
                <w:szCs w:val="16"/>
                <w:lang w:val="en-GB"/>
              </w:rPr>
            </w:pPr>
            <w:r w:rsidRPr="00253DEA">
              <w:rPr>
                <w:sz w:val="16"/>
                <w:szCs w:val="16"/>
                <w:lang w:val="en-GB"/>
              </w:rPr>
              <w:t>Ministry of Forestry</w:t>
            </w:r>
            <w:r w:rsidR="009020B7">
              <w:rPr>
                <w:sz w:val="16"/>
                <w:szCs w:val="16"/>
                <w:lang w:val="en-GB"/>
              </w:rPr>
              <w:t xml:space="preserve"> (MOF)</w:t>
            </w:r>
          </w:p>
          <w:p w14:paraId="50D2AB86" w14:textId="7DC924C8" w:rsidR="00D37617" w:rsidRDefault="00D37617" w:rsidP="004F3734">
            <w:pPr>
              <w:tabs>
                <w:tab w:val="left" w:pos="1620"/>
              </w:tabs>
              <w:spacing w:after="120"/>
              <w:rPr>
                <w:sz w:val="16"/>
                <w:szCs w:val="16"/>
                <w:lang w:val="en-GB"/>
              </w:rPr>
            </w:pPr>
            <w:r>
              <w:rPr>
                <w:sz w:val="16"/>
                <w:szCs w:val="16"/>
                <w:lang w:val="en-GB"/>
              </w:rPr>
              <w:t>National Academy of Science (NAS)</w:t>
            </w:r>
          </w:p>
          <w:p w14:paraId="4637BA1B" w14:textId="1D103200" w:rsidR="00EC16A6" w:rsidRDefault="00EC16A6" w:rsidP="004F3734">
            <w:pPr>
              <w:tabs>
                <w:tab w:val="left" w:pos="1620"/>
              </w:tabs>
              <w:spacing w:after="120"/>
              <w:rPr>
                <w:sz w:val="16"/>
                <w:szCs w:val="16"/>
                <w:lang w:val="en-GB"/>
              </w:rPr>
            </w:pPr>
            <w:r>
              <w:rPr>
                <w:sz w:val="16"/>
                <w:szCs w:val="16"/>
                <w:lang w:val="en-GB"/>
              </w:rPr>
              <w:t>A</w:t>
            </w:r>
            <w:r w:rsidR="00CE7B57" w:rsidRPr="00253DEA">
              <w:rPr>
                <w:sz w:val="16"/>
                <w:szCs w:val="16"/>
                <w:lang w:val="en-GB"/>
              </w:rPr>
              <w:t>cademic and educational institutions</w:t>
            </w:r>
          </w:p>
          <w:p w14:paraId="58C3CD45" w14:textId="3912A4B1" w:rsidR="00EC16A6" w:rsidRDefault="00EC16A6" w:rsidP="004F3734">
            <w:pPr>
              <w:tabs>
                <w:tab w:val="left" w:pos="1620"/>
              </w:tabs>
              <w:spacing w:after="120"/>
              <w:rPr>
                <w:sz w:val="16"/>
                <w:szCs w:val="16"/>
                <w:lang w:val="en-GB"/>
              </w:rPr>
            </w:pPr>
            <w:r>
              <w:rPr>
                <w:sz w:val="16"/>
                <w:szCs w:val="16"/>
                <w:lang w:val="en-GB"/>
              </w:rPr>
              <w:t>L</w:t>
            </w:r>
            <w:r w:rsidR="00CE7B57" w:rsidRPr="00253DEA">
              <w:rPr>
                <w:sz w:val="16"/>
                <w:szCs w:val="16"/>
                <w:lang w:val="en-GB"/>
              </w:rPr>
              <w:t>ocal authorities</w:t>
            </w:r>
          </w:p>
          <w:p w14:paraId="1B44EB87" w14:textId="6366351D" w:rsidR="00506E9D" w:rsidRDefault="00506E9D" w:rsidP="004F3734">
            <w:pPr>
              <w:tabs>
                <w:tab w:val="left" w:pos="1620"/>
              </w:tabs>
              <w:spacing w:after="120"/>
              <w:rPr>
                <w:sz w:val="16"/>
                <w:szCs w:val="16"/>
                <w:lang w:val="en-GB"/>
              </w:rPr>
            </w:pPr>
            <w:r>
              <w:rPr>
                <w:sz w:val="16"/>
                <w:szCs w:val="16"/>
                <w:lang w:val="en-GB"/>
              </w:rPr>
              <w:lastRenderedPageBreak/>
              <w:t>Private sector</w:t>
            </w:r>
          </w:p>
          <w:p w14:paraId="7BB8EFAC" w14:textId="2E50E8BE" w:rsidR="00CE7B57" w:rsidRPr="00253DEA" w:rsidRDefault="00EC16A6" w:rsidP="004F3734">
            <w:pPr>
              <w:tabs>
                <w:tab w:val="left" w:pos="1620"/>
              </w:tabs>
              <w:spacing w:after="120"/>
              <w:rPr>
                <w:color w:val="000000"/>
                <w:sz w:val="16"/>
                <w:szCs w:val="16"/>
                <w:lang w:val="en-GB"/>
              </w:rPr>
            </w:pPr>
            <w:r>
              <w:rPr>
                <w:sz w:val="16"/>
                <w:szCs w:val="16"/>
                <w:lang w:val="en-GB"/>
              </w:rPr>
              <w:t>N</w:t>
            </w:r>
            <w:r w:rsidR="00CE7B57" w:rsidRPr="00253DEA">
              <w:rPr>
                <w:sz w:val="16"/>
                <w:szCs w:val="16"/>
                <w:lang w:val="en-GB"/>
              </w:rPr>
              <w:t xml:space="preserve">on-governmental organizations </w:t>
            </w:r>
            <w:r w:rsidR="00077B57">
              <w:rPr>
                <w:sz w:val="16"/>
                <w:szCs w:val="16"/>
                <w:lang w:val="en-GB"/>
              </w:rPr>
              <w:t>(NGOs)</w:t>
            </w:r>
            <w:r w:rsidR="00CE7B57" w:rsidRPr="00253DEA">
              <w:rPr>
                <w:color w:val="000000"/>
                <w:sz w:val="16"/>
                <w:szCs w:val="16"/>
                <w:lang w:val="en-GB"/>
              </w:rPr>
              <w:t xml:space="preserve">  </w:t>
            </w:r>
          </w:p>
          <w:p w14:paraId="00CFA262" w14:textId="77777777" w:rsidR="00CE7B57" w:rsidRPr="00253DEA" w:rsidRDefault="00CE7B57" w:rsidP="004F3734">
            <w:pPr>
              <w:tabs>
                <w:tab w:val="left" w:pos="1620"/>
              </w:tabs>
              <w:spacing w:after="120"/>
              <w:rPr>
                <w:color w:val="000000"/>
                <w:sz w:val="16"/>
                <w:szCs w:val="16"/>
                <w:lang w:val="en-GB"/>
              </w:rPr>
            </w:pPr>
          </w:p>
          <w:p w14:paraId="389537AF" w14:textId="77777777" w:rsidR="00CE7B57" w:rsidRPr="00253DEA" w:rsidRDefault="00CE7B57" w:rsidP="004F3734">
            <w:pPr>
              <w:tabs>
                <w:tab w:val="left" w:pos="1620"/>
              </w:tabs>
              <w:spacing w:after="120"/>
              <w:rPr>
                <w:color w:val="000000"/>
                <w:sz w:val="16"/>
                <w:szCs w:val="16"/>
                <w:lang w:val="en-GB"/>
              </w:rPr>
            </w:pPr>
          </w:p>
          <w:p w14:paraId="4F860340" w14:textId="77777777" w:rsidR="00CE7B57" w:rsidRPr="00253DEA" w:rsidRDefault="00CE7B57" w:rsidP="004F3734">
            <w:pPr>
              <w:tabs>
                <w:tab w:val="left" w:pos="1620"/>
              </w:tabs>
              <w:spacing w:after="120"/>
              <w:rPr>
                <w:color w:val="000000"/>
                <w:sz w:val="16"/>
                <w:szCs w:val="16"/>
                <w:lang w:val="en-GB"/>
              </w:rPr>
            </w:pPr>
          </w:p>
        </w:tc>
        <w:tc>
          <w:tcPr>
            <w:tcW w:w="682" w:type="pct"/>
            <w:shd w:val="clear" w:color="auto" w:fill="auto"/>
            <w:tcMar>
              <w:top w:w="15" w:type="dxa"/>
              <w:left w:w="108" w:type="dxa"/>
              <w:bottom w:w="0" w:type="dxa"/>
              <w:right w:w="108" w:type="dxa"/>
            </w:tcMar>
          </w:tcPr>
          <w:p w14:paraId="633788E9" w14:textId="1DC46354" w:rsidR="00CE7B57" w:rsidRPr="00253DEA" w:rsidRDefault="00CE7B57" w:rsidP="004F3734">
            <w:pPr>
              <w:tabs>
                <w:tab w:val="left" w:pos="1620"/>
              </w:tabs>
              <w:spacing w:after="120"/>
              <w:rPr>
                <w:b/>
                <w:color w:val="000000"/>
                <w:sz w:val="16"/>
                <w:szCs w:val="16"/>
              </w:rPr>
            </w:pPr>
            <w:r w:rsidRPr="00253DEA">
              <w:rPr>
                <w:b/>
                <w:color w:val="000000"/>
                <w:sz w:val="16"/>
                <w:szCs w:val="16"/>
              </w:rPr>
              <w:lastRenderedPageBreak/>
              <w:t>Regular</w:t>
            </w:r>
            <w:r w:rsidR="003C611C" w:rsidRPr="00253DEA">
              <w:rPr>
                <w:b/>
                <w:color w:val="000000"/>
                <w:sz w:val="16"/>
                <w:szCs w:val="16"/>
              </w:rPr>
              <w:t>: $400</w:t>
            </w:r>
          </w:p>
        </w:tc>
      </w:tr>
      <w:tr w:rsidR="00CE7B57" w:rsidRPr="00253DEA" w14:paraId="271A0C46" w14:textId="77777777" w:rsidTr="00253DEA">
        <w:tc>
          <w:tcPr>
            <w:tcW w:w="971" w:type="pct"/>
            <w:vMerge/>
            <w:shd w:val="clear" w:color="auto" w:fill="auto"/>
            <w:tcMar>
              <w:top w:w="72" w:type="dxa"/>
              <w:left w:w="144" w:type="dxa"/>
              <w:bottom w:w="72" w:type="dxa"/>
              <w:right w:w="144" w:type="dxa"/>
            </w:tcMar>
          </w:tcPr>
          <w:p w14:paraId="7516EEBA" w14:textId="77777777" w:rsidR="00CE7B57" w:rsidRPr="00253DEA" w:rsidRDefault="00CE7B57" w:rsidP="00F8737E">
            <w:pPr>
              <w:tabs>
                <w:tab w:val="left" w:pos="1620"/>
              </w:tabs>
              <w:spacing w:after="120"/>
              <w:rPr>
                <w:color w:val="000000"/>
                <w:sz w:val="16"/>
                <w:szCs w:val="16"/>
                <w:lang w:val="en-GB"/>
              </w:rPr>
            </w:pPr>
          </w:p>
        </w:tc>
        <w:tc>
          <w:tcPr>
            <w:tcW w:w="918" w:type="pct"/>
            <w:vMerge/>
            <w:shd w:val="clear" w:color="auto" w:fill="auto"/>
          </w:tcPr>
          <w:p w14:paraId="0BD14E49" w14:textId="77777777" w:rsidR="00CE7B57" w:rsidRPr="00253DEA" w:rsidRDefault="00CE7B57" w:rsidP="00F8737E">
            <w:pPr>
              <w:tabs>
                <w:tab w:val="left" w:pos="1620"/>
              </w:tabs>
              <w:spacing w:after="120"/>
              <w:rPr>
                <w:color w:val="000000"/>
                <w:sz w:val="16"/>
                <w:szCs w:val="16"/>
                <w:lang w:val="en-GB"/>
              </w:rPr>
            </w:pPr>
          </w:p>
        </w:tc>
        <w:tc>
          <w:tcPr>
            <w:tcW w:w="1728" w:type="pct"/>
            <w:vMerge/>
            <w:shd w:val="clear" w:color="auto" w:fill="auto"/>
            <w:tcMar>
              <w:top w:w="72" w:type="dxa"/>
              <w:left w:w="144" w:type="dxa"/>
              <w:bottom w:w="72" w:type="dxa"/>
              <w:right w:w="144" w:type="dxa"/>
            </w:tcMar>
          </w:tcPr>
          <w:p w14:paraId="77B4EB9B" w14:textId="77777777" w:rsidR="00CE7B57" w:rsidRPr="00253DEA" w:rsidRDefault="00CE7B57" w:rsidP="00F8737E">
            <w:pPr>
              <w:tabs>
                <w:tab w:val="left" w:pos="1620"/>
              </w:tabs>
              <w:spacing w:after="120"/>
              <w:rPr>
                <w:color w:val="000000"/>
                <w:sz w:val="16"/>
                <w:szCs w:val="16"/>
                <w:lang w:val="en-GB"/>
              </w:rPr>
            </w:pPr>
          </w:p>
        </w:tc>
        <w:tc>
          <w:tcPr>
            <w:tcW w:w="701" w:type="pct"/>
            <w:vMerge/>
            <w:shd w:val="clear" w:color="auto" w:fill="auto"/>
          </w:tcPr>
          <w:p w14:paraId="72BF9623" w14:textId="77777777" w:rsidR="00CE7B57" w:rsidRPr="00253DEA" w:rsidRDefault="00CE7B57" w:rsidP="00F8737E">
            <w:pPr>
              <w:tabs>
                <w:tab w:val="left" w:pos="1620"/>
              </w:tabs>
              <w:spacing w:after="120"/>
              <w:rPr>
                <w:color w:val="000000"/>
                <w:sz w:val="16"/>
                <w:szCs w:val="16"/>
                <w:lang w:val="en-GB"/>
              </w:rPr>
            </w:pPr>
          </w:p>
        </w:tc>
        <w:tc>
          <w:tcPr>
            <w:tcW w:w="682" w:type="pct"/>
            <w:shd w:val="clear" w:color="auto" w:fill="auto"/>
            <w:tcMar>
              <w:top w:w="15" w:type="dxa"/>
              <w:left w:w="108" w:type="dxa"/>
              <w:bottom w:w="0" w:type="dxa"/>
              <w:right w:w="108" w:type="dxa"/>
            </w:tcMar>
          </w:tcPr>
          <w:p w14:paraId="3AEFAE3B" w14:textId="4633F665" w:rsidR="00CE7B57" w:rsidRPr="00253DEA" w:rsidRDefault="00CE7B57" w:rsidP="00F8737E">
            <w:pPr>
              <w:tabs>
                <w:tab w:val="left" w:pos="1620"/>
              </w:tabs>
              <w:spacing w:after="120"/>
              <w:rPr>
                <w:b/>
                <w:color w:val="000000"/>
                <w:sz w:val="16"/>
                <w:szCs w:val="16"/>
              </w:rPr>
            </w:pPr>
            <w:r w:rsidRPr="00253DEA">
              <w:rPr>
                <w:b/>
                <w:color w:val="000000"/>
                <w:sz w:val="16"/>
                <w:szCs w:val="16"/>
              </w:rPr>
              <w:t>Other</w:t>
            </w:r>
            <w:r w:rsidR="003C611C" w:rsidRPr="00253DEA">
              <w:rPr>
                <w:b/>
                <w:color w:val="000000"/>
                <w:sz w:val="16"/>
                <w:szCs w:val="16"/>
              </w:rPr>
              <w:t>: $</w:t>
            </w:r>
            <w:r w:rsidR="00CA166A" w:rsidRPr="00253DEA">
              <w:rPr>
                <w:b/>
                <w:color w:val="000000"/>
                <w:sz w:val="16"/>
                <w:szCs w:val="16"/>
              </w:rPr>
              <w:t>19</w:t>
            </w:r>
            <w:r w:rsidR="003C611C" w:rsidRPr="00253DEA">
              <w:rPr>
                <w:b/>
                <w:color w:val="000000"/>
                <w:sz w:val="16"/>
                <w:szCs w:val="16"/>
              </w:rPr>
              <w:t>,</w:t>
            </w:r>
            <w:r w:rsidR="00CA166A" w:rsidRPr="00253DEA">
              <w:rPr>
                <w:b/>
                <w:color w:val="000000"/>
                <w:sz w:val="16"/>
                <w:szCs w:val="16"/>
              </w:rPr>
              <w:t>660</w:t>
            </w:r>
          </w:p>
          <w:p w14:paraId="17FBEE78" w14:textId="77777777" w:rsidR="00CE7B57" w:rsidRPr="00253DEA" w:rsidRDefault="00CE7B57" w:rsidP="00F8737E">
            <w:pPr>
              <w:tabs>
                <w:tab w:val="left" w:pos="1620"/>
              </w:tabs>
              <w:spacing w:after="120"/>
              <w:rPr>
                <w:b/>
                <w:color w:val="000000"/>
                <w:sz w:val="16"/>
                <w:szCs w:val="16"/>
              </w:rPr>
            </w:pPr>
          </w:p>
          <w:p w14:paraId="36F82DB0" w14:textId="77777777" w:rsidR="00CE7B57" w:rsidRPr="00253DEA" w:rsidRDefault="00CE7B57" w:rsidP="00F8737E">
            <w:pPr>
              <w:tabs>
                <w:tab w:val="left" w:pos="1620"/>
              </w:tabs>
              <w:spacing w:after="120"/>
              <w:rPr>
                <w:color w:val="000000"/>
                <w:sz w:val="16"/>
                <w:szCs w:val="16"/>
                <w:lang w:val="en-GB"/>
              </w:rPr>
            </w:pPr>
          </w:p>
          <w:p w14:paraId="69FD8656" w14:textId="77777777" w:rsidR="00CE7B57" w:rsidRPr="00253DEA" w:rsidRDefault="00CE7B57" w:rsidP="00F8737E">
            <w:pPr>
              <w:tabs>
                <w:tab w:val="left" w:pos="1620"/>
              </w:tabs>
              <w:spacing w:after="120"/>
              <w:rPr>
                <w:color w:val="000000"/>
                <w:sz w:val="16"/>
                <w:szCs w:val="16"/>
                <w:lang w:val="en-GB"/>
              </w:rPr>
            </w:pPr>
          </w:p>
          <w:p w14:paraId="3E17836F" w14:textId="77777777" w:rsidR="00CE7B57" w:rsidRPr="00253DEA" w:rsidRDefault="00CE7B57" w:rsidP="00F8737E">
            <w:pPr>
              <w:tabs>
                <w:tab w:val="left" w:pos="1620"/>
              </w:tabs>
              <w:spacing w:after="120"/>
              <w:rPr>
                <w:b/>
                <w:color w:val="000000"/>
                <w:sz w:val="16"/>
                <w:szCs w:val="16"/>
              </w:rPr>
            </w:pPr>
          </w:p>
        </w:tc>
      </w:tr>
    </w:tbl>
    <w:p w14:paraId="282B6B0E" w14:textId="77777777" w:rsidR="00631C8D" w:rsidRDefault="00631C8D">
      <w:r>
        <w:br w:type="page"/>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541"/>
        <w:gridCol w:w="2402"/>
        <w:gridCol w:w="4522"/>
        <w:gridCol w:w="1835"/>
        <w:gridCol w:w="1785"/>
      </w:tblGrid>
      <w:tr w:rsidR="00CE7B57" w:rsidRPr="00253DEA" w14:paraId="0CD998C5" w14:textId="77777777" w:rsidTr="00253DEA">
        <w:tc>
          <w:tcPr>
            <w:tcW w:w="5000" w:type="pct"/>
            <w:gridSpan w:val="5"/>
            <w:shd w:val="clear" w:color="auto" w:fill="auto"/>
            <w:tcMar>
              <w:top w:w="72" w:type="dxa"/>
              <w:left w:w="144" w:type="dxa"/>
              <w:bottom w:w="72" w:type="dxa"/>
              <w:right w:w="144" w:type="dxa"/>
            </w:tcMar>
          </w:tcPr>
          <w:p w14:paraId="467B8CE9" w14:textId="4340CDFE" w:rsidR="00CE7B57" w:rsidRPr="006651CC" w:rsidRDefault="00B9604A" w:rsidP="006651CC">
            <w:pPr>
              <w:tabs>
                <w:tab w:val="left" w:pos="1620"/>
              </w:tabs>
              <w:spacing w:after="120"/>
              <w:rPr>
                <w:b/>
                <w:bCs/>
                <w:color w:val="000000"/>
                <w:szCs w:val="16"/>
                <w:lang w:val="en-GB"/>
              </w:rPr>
            </w:pPr>
            <w:r w:rsidRPr="00B9604A">
              <w:rPr>
                <w:b/>
                <w:bCs/>
                <w:color w:val="000000"/>
                <w:szCs w:val="16"/>
                <w:lang w:val="en-GB"/>
              </w:rPr>
              <w:lastRenderedPageBreak/>
              <w:t>National priority or goal</w:t>
            </w:r>
            <w:r w:rsidR="00CE7B57" w:rsidRPr="006651CC">
              <w:rPr>
                <w:b/>
                <w:bCs/>
                <w:color w:val="000000"/>
                <w:szCs w:val="16"/>
                <w:lang w:val="en-GB"/>
              </w:rPr>
              <w:t xml:space="preserve">: </w:t>
            </w:r>
            <w:r w:rsidR="008C3F4F" w:rsidRPr="00253DEA">
              <w:rPr>
                <w:b/>
                <w:bCs/>
                <w:color w:val="000000"/>
                <w:szCs w:val="16"/>
                <w:lang w:val="en-GB"/>
              </w:rPr>
              <w:t>Environmental security</w:t>
            </w:r>
            <w:r w:rsidR="008C3F4F">
              <w:rPr>
                <w:b/>
                <w:bCs/>
                <w:color w:val="000000"/>
                <w:szCs w:val="16"/>
                <w:lang w:val="en-GB"/>
              </w:rPr>
              <w:t xml:space="preserve">; transition to </w:t>
            </w:r>
            <w:r w:rsidR="008C3F4F" w:rsidRPr="00253DEA">
              <w:rPr>
                <w:b/>
                <w:bCs/>
                <w:color w:val="000000"/>
                <w:szCs w:val="16"/>
                <w:lang w:val="en-GB"/>
              </w:rPr>
              <w:t>rational models of production and consumption</w:t>
            </w:r>
            <w:r w:rsidR="008C3F4F">
              <w:rPr>
                <w:b/>
                <w:bCs/>
                <w:color w:val="000000"/>
                <w:szCs w:val="16"/>
                <w:lang w:val="en-GB"/>
              </w:rPr>
              <w:t xml:space="preserve"> (circular economy)</w:t>
            </w:r>
            <w:r w:rsidR="008C3F4F" w:rsidRPr="00253DEA">
              <w:rPr>
                <w:b/>
                <w:bCs/>
                <w:color w:val="000000"/>
                <w:szCs w:val="16"/>
                <w:lang w:val="en-GB"/>
              </w:rPr>
              <w:t>; decent jobs creation</w:t>
            </w:r>
            <w:r w:rsidR="00CE7B57" w:rsidRPr="00253DEA">
              <w:rPr>
                <w:b/>
                <w:bCs/>
                <w:color w:val="000000"/>
                <w:szCs w:val="16"/>
                <w:lang w:val="en-GB"/>
              </w:rPr>
              <w:t>.</w:t>
            </w:r>
          </w:p>
        </w:tc>
      </w:tr>
      <w:tr w:rsidR="00CE7B57" w:rsidRPr="00253DEA" w14:paraId="625E7F7E" w14:textId="77777777" w:rsidTr="00253DEA">
        <w:tc>
          <w:tcPr>
            <w:tcW w:w="5000" w:type="pct"/>
            <w:gridSpan w:val="5"/>
            <w:shd w:val="clear" w:color="auto" w:fill="auto"/>
            <w:tcMar>
              <w:top w:w="72" w:type="dxa"/>
              <w:left w:w="144" w:type="dxa"/>
              <w:bottom w:w="72" w:type="dxa"/>
              <w:right w:w="144" w:type="dxa"/>
            </w:tcMar>
          </w:tcPr>
          <w:p w14:paraId="12C6740B" w14:textId="3EDC21D4" w:rsidR="00CE7B57" w:rsidRPr="00253DEA" w:rsidRDefault="009020B7" w:rsidP="006651CC">
            <w:pPr>
              <w:tabs>
                <w:tab w:val="left" w:pos="1620"/>
              </w:tabs>
              <w:spacing w:after="120"/>
              <w:rPr>
                <w:b/>
                <w:bCs/>
                <w:color w:val="000000"/>
                <w:szCs w:val="16"/>
              </w:rPr>
            </w:pPr>
            <w:r>
              <w:rPr>
                <w:b/>
                <w:bCs/>
                <w:color w:val="000000"/>
                <w:szCs w:val="16"/>
                <w:lang w:val="en-GB"/>
              </w:rPr>
              <w:t>UNSDCF</w:t>
            </w:r>
            <w:r w:rsidR="002D5915" w:rsidRPr="002D5915">
              <w:rPr>
                <w:b/>
                <w:bCs/>
                <w:color w:val="000000"/>
                <w:szCs w:val="16"/>
                <w:lang w:val="en-GB"/>
              </w:rPr>
              <w:t xml:space="preserve"> (or equivalent) outcome involving </w:t>
            </w:r>
            <w:r w:rsidRPr="002D5915">
              <w:rPr>
                <w:b/>
                <w:bCs/>
                <w:color w:val="000000"/>
                <w:szCs w:val="16"/>
                <w:lang w:val="en-GB"/>
              </w:rPr>
              <w:t>UNDP</w:t>
            </w:r>
            <w:r w:rsidR="002D5915" w:rsidRPr="002D5915">
              <w:rPr>
                <w:b/>
                <w:bCs/>
                <w:color w:val="000000"/>
                <w:szCs w:val="16"/>
                <w:lang w:val="en-GB"/>
              </w:rPr>
              <w:t xml:space="preserve"> #2</w:t>
            </w:r>
            <w:r>
              <w:rPr>
                <w:b/>
                <w:bCs/>
                <w:color w:val="000000"/>
                <w:sz w:val="16"/>
                <w:szCs w:val="16"/>
                <w:lang w:val="en-GB"/>
              </w:rPr>
              <w:t>.</w:t>
            </w:r>
            <w:r w:rsidR="00CE7B57" w:rsidRPr="00253DEA">
              <w:rPr>
                <w:b/>
                <w:bCs/>
                <w:color w:val="000000"/>
                <w:sz w:val="16"/>
                <w:szCs w:val="16"/>
              </w:rPr>
              <w:t xml:space="preserve"> </w:t>
            </w:r>
            <w:r w:rsidR="00CE7B57" w:rsidRPr="00253DEA">
              <w:rPr>
                <w:b/>
                <w:bCs/>
                <w:color w:val="000000"/>
                <w:szCs w:val="16"/>
                <w:lang w:val="en-GB"/>
              </w:rPr>
              <w:t>A significant contribution to climate action is made by 2025 through the introduction of key measures of climate change adaptation and mitigation.</w:t>
            </w:r>
          </w:p>
        </w:tc>
      </w:tr>
      <w:tr w:rsidR="00CE7B57" w:rsidRPr="00253DEA" w14:paraId="705B90EC" w14:textId="77777777" w:rsidTr="00253DEA">
        <w:tc>
          <w:tcPr>
            <w:tcW w:w="5000" w:type="pct"/>
            <w:gridSpan w:val="5"/>
            <w:shd w:val="clear" w:color="auto" w:fill="auto"/>
            <w:tcMar>
              <w:top w:w="72" w:type="dxa"/>
              <w:left w:w="144" w:type="dxa"/>
              <w:bottom w:w="72" w:type="dxa"/>
              <w:right w:w="144" w:type="dxa"/>
            </w:tcMar>
          </w:tcPr>
          <w:p w14:paraId="5E4DF923" w14:textId="27E64DE7" w:rsidR="00CE7B57" w:rsidRPr="00253DEA" w:rsidRDefault="009020B7" w:rsidP="006651CC">
            <w:pPr>
              <w:tabs>
                <w:tab w:val="left" w:pos="1620"/>
              </w:tabs>
              <w:spacing w:after="120"/>
              <w:rPr>
                <w:b/>
                <w:bCs/>
                <w:color w:val="000000"/>
                <w:sz w:val="16"/>
                <w:szCs w:val="16"/>
              </w:rPr>
            </w:pPr>
            <w:r w:rsidRPr="009020B7">
              <w:rPr>
                <w:b/>
                <w:bCs/>
                <w:color w:val="000000"/>
              </w:rPr>
              <w:t xml:space="preserve">Related Strategic Plan </w:t>
            </w:r>
            <w:r>
              <w:rPr>
                <w:b/>
                <w:bCs/>
                <w:color w:val="000000"/>
              </w:rPr>
              <w:t>o</w:t>
            </w:r>
            <w:r w:rsidRPr="009020B7">
              <w:rPr>
                <w:b/>
                <w:bCs/>
                <w:color w:val="000000"/>
              </w:rPr>
              <w:t>utcome</w:t>
            </w:r>
            <w:r w:rsidR="00CE7B57" w:rsidRPr="006651CC">
              <w:rPr>
                <w:b/>
                <w:bCs/>
                <w:color w:val="000000"/>
              </w:rPr>
              <w:t>:</w:t>
            </w:r>
            <w:r w:rsidR="00CE7B57" w:rsidRPr="00253DEA">
              <w:rPr>
                <w:b/>
                <w:bCs/>
                <w:color w:val="000000"/>
                <w:sz w:val="16"/>
                <w:szCs w:val="16"/>
              </w:rPr>
              <w:t xml:space="preserve"> </w:t>
            </w:r>
            <w:r w:rsidR="0059187A" w:rsidRPr="00253DEA">
              <w:rPr>
                <w:b/>
                <w:bCs/>
                <w:color w:val="000000"/>
              </w:rPr>
              <w:t>Outcome 3 – Strengthen resilience to shocks and crises</w:t>
            </w:r>
          </w:p>
        </w:tc>
      </w:tr>
      <w:tr w:rsidR="00CE7B57" w:rsidRPr="00253DEA" w14:paraId="2D75EBDA" w14:textId="77777777" w:rsidTr="00253DEA">
        <w:tc>
          <w:tcPr>
            <w:tcW w:w="971" w:type="pct"/>
            <w:vMerge w:val="restart"/>
            <w:shd w:val="clear" w:color="auto" w:fill="auto"/>
            <w:tcMar>
              <w:top w:w="72" w:type="dxa"/>
              <w:left w:w="144" w:type="dxa"/>
              <w:bottom w:w="72" w:type="dxa"/>
              <w:right w:w="144" w:type="dxa"/>
            </w:tcMar>
          </w:tcPr>
          <w:p w14:paraId="06220FFE" w14:textId="41F1331F" w:rsidR="00CE7B57" w:rsidRPr="00253DEA" w:rsidRDefault="00741DC5" w:rsidP="006651CC">
            <w:pPr>
              <w:tabs>
                <w:tab w:val="left" w:pos="1620"/>
              </w:tabs>
              <w:spacing w:after="120"/>
              <w:rPr>
                <w:sz w:val="16"/>
                <w:szCs w:val="16"/>
                <w:lang w:val="en-GB"/>
              </w:rPr>
            </w:pPr>
            <w:r w:rsidRPr="00253DEA">
              <w:rPr>
                <w:sz w:val="16"/>
                <w:szCs w:val="16"/>
                <w:lang w:val="en-GB"/>
              </w:rPr>
              <w:t>Environmental Performance Index ranking of Belarus</w:t>
            </w:r>
          </w:p>
          <w:p w14:paraId="63CC38B2" w14:textId="718CCB40" w:rsidR="00CE7B57" w:rsidRPr="00253DEA" w:rsidRDefault="00CE7B57" w:rsidP="006651CC">
            <w:pPr>
              <w:tabs>
                <w:tab w:val="left" w:pos="1620"/>
              </w:tabs>
              <w:spacing w:after="120"/>
              <w:rPr>
                <w:sz w:val="16"/>
                <w:szCs w:val="16"/>
                <w:lang w:val="en-GB"/>
              </w:rPr>
            </w:pPr>
            <w:r w:rsidRPr="00253DEA">
              <w:rPr>
                <w:sz w:val="16"/>
                <w:szCs w:val="16"/>
                <w:lang w:val="en-GB"/>
              </w:rPr>
              <w:t>Baseline</w:t>
            </w:r>
            <w:r w:rsidR="008C15AA" w:rsidRPr="00253DEA">
              <w:rPr>
                <w:sz w:val="16"/>
                <w:szCs w:val="16"/>
                <w:lang w:val="en-GB"/>
              </w:rPr>
              <w:t xml:space="preserve"> (201</w:t>
            </w:r>
            <w:r w:rsidR="00741DC5" w:rsidRPr="00253DEA">
              <w:rPr>
                <w:sz w:val="16"/>
                <w:szCs w:val="16"/>
                <w:lang w:val="en-GB"/>
              </w:rPr>
              <w:t>8</w:t>
            </w:r>
            <w:r w:rsidR="008C15AA" w:rsidRPr="00253DEA">
              <w:rPr>
                <w:sz w:val="16"/>
                <w:szCs w:val="16"/>
                <w:lang w:val="en-GB"/>
              </w:rPr>
              <w:t>)</w:t>
            </w:r>
            <w:r w:rsidRPr="00253DEA">
              <w:rPr>
                <w:sz w:val="16"/>
                <w:szCs w:val="16"/>
                <w:lang w:val="en-GB"/>
              </w:rPr>
              <w:t xml:space="preserve">: </w:t>
            </w:r>
            <w:r w:rsidR="00741DC5" w:rsidRPr="00253DEA">
              <w:rPr>
                <w:sz w:val="16"/>
                <w:szCs w:val="16"/>
                <w:lang w:val="en-GB"/>
              </w:rPr>
              <w:t>44</w:t>
            </w:r>
            <w:r w:rsidR="006955B7" w:rsidRPr="00253DEA">
              <w:rPr>
                <w:sz w:val="16"/>
                <w:szCs w:val="16"/>
                <w:lang w:val="en-GB"/>
              </w:rPr>
              <w:t xml:space="preserve"> </w:t>
            </w:r>
          </w:p>
          <w:p w14:paraId="2CA7F210" w14:textId="584D52BC" w:rsidR="00CE7B57" w:rsidRPr="00253DEA" w:rsidRDefault="00CE7B57" w:rsidP="006651CC">
            <w:pPr>
              <w:tabs>
                <w:tab w:val="left" w:pos="1620"/>
              </w:tabs>
              <w:spacing w:after="120"/>
              <w:rPr>
                <w:sz w:val="16"/>
                <w:szCs w:val="16"/>
                <w:lang w:val="en-GB"/>
              </w:rPr>
            </w:pPr>
            <w:r w:rsidRPr="00253DEA">
              <w:rPr>
                <w:sz w:val="16"/>
                <w:szCs w:val="16"/>
                <w:lang w:val="en-GB"/>
              </w:rPr>
              <w:t>Target</w:t>
            </w:r>
            <w:r w:rsidR="008C15AA" w:rsidRPr="00253DEA">
              <w:rPr>
                <w:sz w:val="16"/>
                <w:szCs w:val="16"/>
                <w:lang w:val="en-GB"/>
              </w:rPr>
              <w:t xml:space="preserve"> (2025)</w:t>
            </w:r>
            <w:r w:rsidRPr="00253DEA">
              <w:rPr>
                <w:sz w:val="16"/>
                <w:szCs w:val="16"/>
                <w:lang w:val="en-GB"/>
              </w:rPr>
              <w:t xml:space="preserve">: </w:t>
            </w:r>
            <w:r w:rsidR="00741DC5" w:rsidRPr="00253DEA">
              <w:rPr>
                <w:sz w:val="16"/>
                <w:szCs w:val="16"/>
                <w:lang w:val="en-GB"/>
              </w:rPr>
              <w:t xml:space="preserve">30 </w:t>
            </w:r>
          </w:p>
          <w:p w14:paraId="41FE0AC8" w14:textId="152A1357" w:rsidR="00CE7B57" w:rsidRPr="00253DEA" w:rsidRDefault="00CE7B57" w:rsidP="006651CC">
            <w:pPr>
              <w:tabs>
                <w:tab w:val="left" w:pos="1620"/>
              </w:tabs>
              <w:spacing w:after="120"/>
            </w:pPr>
            <w:r w:rsidRPr="00253DEA">
              <w:rPr>
                <w:sz w:val="16"/>
                <w:szCs w:val="16"/>
                <w:lang w:val="en-GB"/>
              </w:rPr>
              <w:t>Source</w:t>
            </w:r>
            <w:r w:rsidRPr="00253DEA">
              <w:t xml:space="preserve">: </w:t>
            </w:r>
            <w:r w:rsidR="00741DC5" w:rsidRPr="00506E9D">
              <w:rPr>
                <w:sz w:val="16"/>
                <w:szCs w:val="16"/>
                <w:lang w:val="en-GB"/>
              </w:rPr>
              <w:t>E</w:t>
            </w:r>
            <w:r w:rsidR="00506E9D" w:rsidRPr="00F8737E">
              <w:rPr>
                <w:sz w:val="16"/>
                <w:szCs w:val="16"/>
                <w:lang w:val="en-GB"/>
              </w:rPr>
              <w:t xml:space="preserve">nvironmental </w:t>
            </w:r>
            <w:r w:rsidR="00741DC5" w:rsidRPr="00506E9D">
              <w:rPr>
                <w:sz w:val="16"/>
                <w:szCs w:val="16"/>
                <w:lang w:val="en-GB"/>
              </w:rPr>
              <w:t>P</w:t>
            </w:r>
            <w:r w:rsidR="00506E9D" w:rsidRPr="00F8737E">
              <w:rPr>
                <w:sz w:val="16"/>
                <w:szCs w:val="16"/>
                <w:lang w:val="en-GB"/>
              </w:rPr>
              <w:t>erformance Index</w:t>
            </w:r>
          </w:p>
          <w:p w14:paraId="49F0729F" w14:textId="77777777" w:rsidR="00CE7B57" w:rsidRPr="00253DEA" w:rsidRDefault="00CE7B57" w:rsidP="006651CC">
            <w:pPr>
              <w:shd w:val="clear" w:color="auto" w:fill="FFFFFF"/>
              <w:tabs>
                <w:tab w:val="left" w:pos="1620"/>
              </w:tabs>
              <w:spacing w:after="120"/>
              <w:textAlignment w:val="baseline"/>
            </w:pPr>
          </w:p>
          <w:p w14:paraId="67B29978" w14:textId="5248EAB4" w:rsidR="001D65D0" w:rsidRPr="00253DEA" w:rsidRDefault="001D65D0" w:rsidP="006651CC">
            <w:pPr>
              <w:tabs>
                <w:tab w:val="left" w:pos="1620"/>
              </w:tabs>
              <w:spacing w:after="120"/>
              <w:rPr>
                <w:sz w:val="16"/>
                <w:szCs w:val="16"/>
                <w:lang w:val="en-GB"/>
              </w:rPr>
            </w:pPr>
            <w:r w:rsidRPr="00253DEA">
              <w:rPr>
                <w:sz w:val="16"/>
                <w:szCs w:val="16"/>
                <w:lang w:val="en-GB"/>
              </w:rPr>
              <w:t>Pollutants discharged into the atmosphere (tons per square kilomet</w:t>
            </w:r>
            <w:r w:rsidR="009020B7">
              <w:rPr>
                <w:sz w:val="16"/>
                <w:szCs w:val="16"/>
                <w:lang w:val="en-GB"/>
              </w:rPr>
              <w:t>re</w:t>
            </w:r>
            <w:r w:rsidRPr="00253DEA">
              <w:rPr>
                <w:sz w:val="16"/>
                <w:szCs w:val="16"/>
                <w:lang w:val="en-GB"/>
              </w:rPr>
              <w:t>)</w:t>
            </w:r>
          </w:p>
          <w:p w14:paraId="491BE503" w14:textId="1AB94C7E" w:rsidR="00CE7B57" w:rsidRPr="00253DEA" w:rsidRDefault="00CE7B57" w:rsidP="006651CC">
            <w:pPr>
              <w:tabs>
                <w:tab w:val="left" w:pos="1620"/>
              </w:tabs>
              <w:spacing w:after="120"/>
              <w:rPr>
                <w:sz w:val="16"/>
                <w:szCs w:val="16"/>
                <w:lang w:val="en-GB"/>
              </w:rPr>
            </w:pPr>
            <w:r w:rsidRPr="00253DEA">
              <w:rPr>
                <w:sz w:val="16"/>
                <w:szCs w:val="16"/>
                <w:lang w:val="en-GB"/>
              </w:rPr>
              <w:t>Baseline</w:t>
            </w:r>
            <w:r w:rsidR="00CB777E" w:rsidRPr="00253DEA">
              <w:rPr>
                <w:sz w:val="16"/>
                <w:szCs w:val="16"/>
                <w:lang w:val="en-GB"/>
              </w:rPr>
              <w:t xml:space="preserve"> (2018)</w:t>
            </w:r>
            <w:r w:rsidRPr="00253DEA">
              <w:rPr>
                <w:sz w:val="16"/>
                <w:szCs w:val="16"/>
                <w:lang w:val="en-GB"/>
              </w:rPr>
              <w:t>:</w:t>
            </w:r>
            <w:r w:rsidR="00884BAB" w:rsidRPr="00253DEA">
              <w:rPr>
                <w:sz w:val="16"/>
                <w:szCs w:val="16"/>
                <w:lang w:val="en-GB"/>
              </w:rPr>
              <w:t xml:space="preserve"> </w:t>
            </w:r>
            <w:r w:rsidR="001D65D0" w:rsidRPr="00253DEA">
              <w:rPr>
                <w:sz w:val="16"/>
                <w:szCs w:val="16"/>
                <w:lang w:val="en-GB"/>
              </w:rPr>
              <w:t>6</w:t>
            </w:r>
            <w:r w:rsidRPr="00253DEA">
              <w:rPr>
                <w:sz w:val="16"/>
                <w:szCs w:val="16"/>
                <w:lang w:val="en-GB"/>
              </w:rPr>
              <w:t xml:space="preserve"> </w:t>
            </w:r>
          </w:p>
          <w:p w14:paraId="4E2D7B28" w14:textId="0DA4E28E" w:rsidR="00CE7B57" w:rsidRPr="00253DEA" w:rsidRDefault="00CE7B57" w:rsidP="006651CC">
            <w:pPr>
              <w:tabs>
                <w:tab w:val="left" w:pos="1620"/>
              </w:tabs>
              <w:spacing w:after="120"/>
              <w:rPr>
                <w:sz w:val="16"/>
                <w:szCs w:val="16"/>
                <w:lang w:val="en-GB"/>
              </w:rPr>
            </w:pPr>
            <w:r w:rsidRPr="00253DEA">
              <w:rPr>
                <w:sz w:val="16"/>
                <w:szCs w:val="16"/>
                <w:lang w:val="en-GB"/>
              </w:rPr>
              <w:t>Target</w:t>
            </w:r>
            <w:r w:rsidR="00CB777E" w:rsidRPr="00253DEA">
              <w:rPr>
                <w:sz w:val="16"/>
                <w:szCs w:val="16"/>
                <w:lang w:val="en-GB"/>
              </w:rPr>
              <w:t xml:space="preserve"> (2025)</w:t>
            </w:r>
            <w:r w:rsidRPr="00253DEA">
              <w:rPr>
                <w:sz w:val="16"/>
                <w:szCs w:val="16"/>
                <w:lang w:val="en-GB"/>
              </w:rPr>
              <w:t xml:space="preserve">: </w:t>
            </w:r>
            <w:r w:rsidR="001D65D0" w:rsidRPr="00253DEA">
              <w:rPr>
                <w:sz w:val="16"/>
                <w:szCs w:val="16"/>
                <w:lang w:val="en-GB"/>
              </w:rPr>
              <w:t>5.5</w:t>
            </w:r>
            <w:r w:rsidR="00884BAB" w:rsidRPr="00253DEA">
              <w:rPr>
                <w:sz w:val="16"/>
                <w:szCs w:val="16"/>
                <w:lang w:val="en-GB"/>
              </w:rPr>
              <w:t xml:space="preserve"> </w:t>
            </w:r>
          </w:p>
          <w:p w14:paraId="41DA89EB" w14:textId="3DC1274E" w:rsidR="00CE7B57" w:rsidRPr="00253DEA" w:rsidRDefault="00CE7B57" w:rsidP="006651CC">
            <w:pPr>
              <w:tabs>
                <w:tab w:val="left" w:pos="1620"/>
              </w:tabs>
              <w:spacing w:after="120"/>
              <w:rPr>
                <w:sz w:val="16"/>
                <w:szCs w:val="16"/>
                <w:lang w:val="en-GB"/>
              </w:rPr>
            </w:pPr>
            <w:r w:rsidRPr="00253DEA">
              <w:rPr>
                <w:sz w:val="16"/>
                <w:szCs w:val="16"/>
                <w:lang w:val="en-GB"/>
              </w:rPr>
              <w:t xml:space="preserve">Source: </w:t>
            </w:r>
            <w:r w:rsidR="0032650B" w:rsidRPr="00253DEA">
              <w:rPr>
                <w:sz w:val="16"/>
                <w:szCs w:val="16"/>
                <w:lang w:val="en-GB"/>
              </w:rPr>
              <w:t>Belstat</w:t>
            </w:r>
          </w:p>
          <w:p w14:paraId="59DA9BC1" w14:textId="3296140E" w:rsidR="00884BAB" w:rsidRPr="00253DEA" w:rsidRDefault="00884BAB" w:rsidP="006651CC">
            <w:pPr>
              <w:tabs>
                <w:tab w:val="left" w:pos="1620"/>
              </w:tabs>
              <w:spacing w:after="120"/>
              <w:rPr>
                <w:sz w:val="16"/>
                <w:szCs w:val="16"/>
                <w:lang w:val="en-GB"/>
              </w:rPr>
            </w:pPr>
          </w:p>
          <w:p w14:paraId="419AADBC" w14:textId="77777777" w:rsidR="00CE7B57" w:rsidRPr="00253DEA" w:rsidRDefault="00CE7B57" w:rsidP="006651CC">
            <w:pPr>
              <w:tabs>
                <w:tab w:val="left" w:pos="1620"/>
              </w:tabs>
              <w:spacing w:after="120"/>
              <w:rPr>
                <w:b/>
                <w:bCs/>
                <w:color w:val="000000"/>
                <w:sz w:val="16"/>
                <w:szCs w:val="16"/>
                <w:lang w:val="en-GB"/>
              </w:rPr>
            </w:pPr>
          </w:p>
        </w:tc>
        <w:tc>
          <w:tcPr>
            <w:tcW w:w="918" w:type="pct"/>
            <w:vMerge w:val="restart"/>
            <w:shd w:val="clear" w:color="auto" w:fill="auto"/>
          </w:tcPr>
          <w:p w14:paraId="6607DC96" w14:textId="7A7028BE" w:rsidR="00CE7B57" w:rsidRPr="00253DEA" w:rsidRDefault="00CE7B57" w:rsidP="00276167">
            <w:pPr>
              <w:pStyle w:val="ListParagraph"/>
              <w:tabs>
                <w:tab w:val="left" w:pos="1620"/>
              </w:tabs>
              <w:spacing w:after="120"/>
              <w:ind w:left="360"/>
              <w:rPr>
                <w:sz w:val="16"/>
                <w:szCs w:val="16"/>
                <w:lang w:val="en-GB"/>
              </w:rPr>
            </w:pPr>
            <w:r w:rsidRPr="00253DEA">
              <w:rPr>
                <w:sz w:val="16"/>
                <w:szCs w:val="16"/>
                <w:lang w:val="en-GB"/>
              </w:rPr>
              <w:t>Belstat</w:t>
            </w:r>
          </w:p>
          <w:p w14:paraId="3BD7F277" w14:textId="667DA4C2" w:rsidR="003B5FA4" w:rsidRPr="00253DEA" w:rsidRDefault="003B5FA4" w:rsidP="00276167">
            <w:pPr>
              <w:pStyle w:val="ListParagraph"/>
              <w:tabs>
                <w:tab w:val="left" w:pos="1620"/>
              </w:tabs>
              <w:spacing w:after="120"/>
              <w:ind w:left="360"/>
              <w:rPr>
                <w:sz w:val="16"/>
                <w:szCs w:val="16"/>
                <w:lang w:val="en-GB"/>
              </w:rPr>
            </w:pPr>
            <w:r w:rsidRPr="00253DEA">
              <w:rPr>
                <w:sz w:val="16"/>
                <w:szCs w:val="16"/>
                <w:lang w:val="en-GB"/>
              </w:rPr>
              <w:t>NRP</w:t>
            </w:r>
          </w:p>
          <w:p w14:paraId="56A657C8" w14:textId="0A34B6D1" w:rsidR="00CE7B57" w:rsidRPr="00253DEA" w:rsidRDefault="00077B57" w:rsidP="00276167">
            <w:pPr>
              <w:pStyle w:val="ListParagraph"/>
              <w:tabs>
                <w:tab w:val="left" w:pos="1620"/>
              </w:tabs>
              <w:spacing w:after="120"/>
              <w:ind w:left="360"/>
              <w:rPr>
                <w:sz w:val="16"/>
                <w:szCs w:val="16"/>
                <w:lang w:val="en-GB"/>
              </w:rPr>
            </w:pPr>
            <w:r>
              <w:rPr>
                <w:sz w:val="16"/>
                <w:szCs w:val="16"/>
                <w:lang w:val="en-GB"/>
              </w:rPr>
              <w:t>MNREP</w:t>
            </w:r>
          </w:p>
          <w:p w14:paraId="185E4864" w14:textId="23562AF9" w:rsidR="00CE7B57" w:rsidRPr="00253DEA" w:rsidRDefault="00077B57" w:rsidP="00276167">
            <w:pPr>
              <w:pStyle w:val="ListParagraph"/>
              <w:tabs>
                <w:tab w:val="left" w:pos="1620"/>
              </w:tabs>
              <w:spacing w:after="120"/>
              <w:ind w:left="360"/>
              <w:rPr>
                <w:sz w:val="16"/>
                <w:szCs w:val="16"/>
                <w:lang w:val="en-GB"/>
              </w:rPr>
            </w:pPr>
            <w:r>
              <w:rPr>
                <w:sz w:val="16"/>
                <w:szCs w:val="16"/>
                <w:lang w:val="en-GB"/>
              </w:rPr>
              <w:t>MES</w:t>
            </w:r>
          </w:p>
          <w:p w14:paraId="740BF4B9" w14:textId="1B3A2AB4" w:rsidR="00CE7B57" w:rsidRPr="00253DEA" w:rsidRDefault="00077B57" w:rsidP="00276167">
            <w:pPr>
              <w:pStyle w:val="ListParagraph"/>
              <w:tabs>
                <w:tab w:val="left" w:pos="1620"/>
              </w:tabs>
              <w:spacing w:after="120"/>
              <w:ind w:left="360"/>
              <w:rPr>
                <w:sz w:val="16"/>
                <w:szCs w:val="16"/>
                <w:lang w:val="en-GB"/>
              </w:rPr>
            </w:pPr>
            <w:r>
              <w:rPr>
                <w:sz w:val="16"/>
                <w:szCs w:val="16"/>
                <w:lang w:val="en-GB"/>
              </w:rPr>
              <w:t>EEDSCS</w:t>
            </w:r>
          </w:p>
          <w:p w14:paraId="1E0A51B0" w14:textId="77777777" w:rsidR="00CE7B57" w:rsidRPr="00253DEA" w:rsidRDefault="00CE7B57" w:rsidP="006651CC">
            <w:pPr>
              <w:tabs>
                <w:tab w:val="left" w:pos="1620"/>
              </w:tabs>
              <w:spacing w:after="120"/>
              <w:rPr>
                <w:b/>
                <w:color w:val="000000"/>
                <w:sz w:val="16"/>
                <w:szCs w:val="16"/>
                <w:lang w:val="en-GB"/>
              </w:rPr>
            </w:pPr>
          </w:p>
          <w:p w14:paraId="0CEC83B7" w14:textId="7FD7F1CC" w:rsidR="00407D2C" w:rsidRPr="00253DEA" w:rsidRDefault="00407D2C" w:rsidP="006651CC">
            <w:pPr>
              <w:tabs>
                <w:tab w:val="left" w:pos="1620"/>
              </w:tabs>
              <w:spacing w:after="120"/>
              <w:rPr>
                <w:sz w:val="16"/>
                <w:szCs w:val="16"/>
              </w:rPr>
            </w:pPr>
            <w:r w:rsidRPr="00253DEA">
              <w:rPr>
                <w:sz w:val="16"/>
                <w:szCs w:val="16"/>
              </w:rPr>
              <w:t xml:space="preserve">Frequency: annual </w:t>
            </w:r>
          </w:p>
          <w:p w14:paraId="09B85997" w14:textId="4A031AA5" w:rsidR="00077B57" w:rsidRPr="00253DEA" w:rsidRDefault="00077B57" w:rsidP="006651CC">
            <w:pPr>
              <w:tabs>
                <w:tab w:val="left" w:pos="1620"/>
              </w:tabs>
              <w:spacing w:after="120"/>
              <w:rPr>
                <w:b/>
                <w:color w:val="000000"/>
                <w:sz w:val="16"/>
                <w:szCs w:val="16"/>
                <w:lang w:val="en-GB"/>
              </w:rPr>
            </w:pPr>
          </w:p>
        </w:tc>
        <w:tc>
          <w:tcPr>
            <w:tcW w:w="1728" w:type="pct"/>
            <w:vMerge w:val="restart"/>
            <w:shd w:val="clear" w:color="auto" w:fill="auto"/>
            <w:tcMar>
              <w:top w:w="72" w:type="dxa"/>
              <w:left w:w="144" w:type="dxa"/>
              <w:bottom w:w="72" w:type="dxa"/>
              <w:right w:w="144" w:type="dxa"/>
            </w:tcMar>
          </w:tcPr>
          <w:p w14:paraId="0051BD6B" w14:textId="75B98FC4" w:rsidR="00CE7B57" w:rsidRPr="006651CC" w:rsidRDefault="00CE7B57" w:rsidP="006651CC">
            <w:pPr>
              <w:tabs>
                <w:tab w:val="left" w:pos="1620"/>
              </w:tabs>
              <w:spacing w:after="120"/>
              <w:rPr>
                <w:b/>
                <w:bCs/>
                <w:color w:val="000000"/>
                <w:sz w:val="18"/>
                <w:szCs w:val="18"/>
                <w:lang w:val="en-GB"/>
              </w:rPr>
            </w:pPr>
            <w:r w:rsidRPr="006651CC">
              <w:rPr>
                <w:b/>
                <w:bCs/>
                <w:color w:val="000000"/>
                <w:sz w:val="18"/>
                <w:szCs w:val="18"/>
                <w:lang w:val="en-GB"/>
              </w:rPr>
              <w:t xml:space="preserve">Output </w:t>
            </w:r>
            <w:r w:rsidRPr="006651CC">
              <w:rPr>
                <w:b/>
                <w:bCs/>
                <w:color w:val="000000"/>
                <w:sz w:val="18"/>
                <w:szCs w:val="18"/>
              </w:rPr>
              <w:t>2</w:t>
            </w:r>
            <w:r w:rsidRPr="006651CC">
              <w:rPr>
                <w:b/>
                <w:bCs/>
                <w:color w:val="000000"/>
                <w:sz w:val="18"/>
                <w:szCs w:val="18"/>
                <w:lang w:val="en-GB"/>
              </w:rPr>
              <w:t>.1</w:t>
            </w:r>
            <w:r w:rsidR="000D260E">
              <w:rPr>
                <w:b/>
                <w:bCs/>
                <w:color w:val="000000"/>
                <w:sz w:val="18"/>
                <w:szCs w:val="18"/>
                <w:lang w:val="en-GB"/>
              </w:rPr>
              <w:t>.</w:t>
            </w:r>
            <w:r w:rsidRPr="006651CC">
              <w:rPr>
                <w:b/>
                <w:bCs/>
                <w:color w:val="000000"/>
                <w:sz w:val="18"/>
                <w:szCs w:val="18"/>
                <w:lang w:val="en-GB"/>
              </w:rPr>
              <w:t xml:space="preserve"> </w:t>
            </w:r>
            <w:r w:rsidR="00CC2B78" w:rsidRPr="006651CC">
              <w:rPr>
                <w:b/>
                <w:bCs/>
                <w:color w:val="000000"/>
                <w:sz w:val="18"/>
                <w:szCs w:val="18"/>
                <w:lang w:val="en-GB"/>
              </w:rPr>
              <w:t xml:space="preserve">Climate change adaptation and mitigation measures </w:t>
            </w:r>
            <w:r w:rsidR="0097630D" w:rsidRPr="006651CC">
              <w:rPr>
                <w:b/>
                <w:bCs/>
                <w:color w:val="000000"/>
                <w:sz w:val="18"/>
                <w:szCs w:val="18"/>
                <w:lang w:val="en-GB"/>
              </w:rPr>
              <w:t xml:space="preserve">and solutions </w:t>
            </w:r>
            <w:r w:rsidR="00CC2B78" w:rsidRPr="006651CC">
              <w:rPr>
                <w:b/>
                <w:bCs/>
                <w:color w:val="000000"/>
                <w:sz w:val="18"/>
                <w:szCs w:val="18"/>
                <w:lang w:val="en-GB"/>
              </w:rPr>
              <w:t>de</w:t>
            </w:r>
            <w:r w:rsidR="0097630D" w:rsidRPr="006651CC">
              <w:rPr>
                <w:b/>
                <w:bCs/>
                <w:color w:val="000000"/>
                <w:sz w:val="18"/>
                <w:szCs w:val="18"/>
                <w:lang w:val="en-GB"/>
              </w:rPr>
              <w:t>velope</w:t>
            </w:r>
            <w:r w:rsidR="00CC2B78" w:rsidRPr="006651CC">
              <w:rPr>
                <w:b/>
                <w:bCs/>
                <w:color w:val="000000"/>
                <w:sz w:val="18"/>
                <w:szCs w:val="18"/>
                <w:lang w:val="en-GB"/>
              </w:rPr>
              <w:t>d and introduced</w:t>
            </w:r>
          </w:p>
          <w:p w14:paraId="51181C50" w14:textId="21850918" w:rsidR="00CE7B57" w:rsidRPr="004464D1" w:rsidRDefault="00CE7B57" w:rsidP="006651CC">
            <w:pPr>
              <w:pStyle w:val="ListParagraph"/>
              <w:tabs>
                <w:tab w:val="left" w:pos="1620"/>
              </w:tabs>
              <w:spacing w:after="120"/>
              <w:ind w:left="360"/>
              <w:rPr>
                <w:color w:val="000000"/>
                <w:sz w:val="16"/>
                <w:szCs w:val="16"/>
                <w:lang w:val="en-GB"/>
              </w:rPr>
            </w:pPr>
            <w:r w:rsidRPr="00253DEA">
              <w:rPr>
                <w:color w:val="000000"/>
                <w:sz w:val="16"/>
                <w:szCs w:val="16"/>
                <w:lang w:val="en-GB"/>
              </w:rPr>
              <w:t xml:space="preserve">Indicative </w:t>
            </w:r>
            <w:r w:rsidR="000D260E">
              <w:rPr>
                <w:color w:val="000000"/>
                <w:sz w:val="16"/>
                <w:szCs w:val="16"/>
                <w:lang w:val="en-GB"/>
              </w:rPr>
              <w:t>i</w:t>
            </w:r>
            <w:r w:rsidRPr="004464D1">
              <w:rPr>
                <w:color w:val="000000"/>
                <w:sz w:val="16"/>
                <w:szCs w:val="16"/>
                <w:lang w:val="en-GB"/>
              </w:rPr>
              <w:t>ndicator 2.1</w:t>
            </w:r>
            <w:r w:rsidRPr="004464D1">
              <w:rPr>
                <w:color w:val="000000"/>
                <w:sz w:val="16"/>
                <w:szCs w:val="16"/>
              </w:rPr>
              <w:t>.1</w:t>
            </w:r>
            <w:r w:rsidRPr="004464D1">
              <w:rPr>
                <w:color w:val="000000"/>
                <w:sz w:val="16"/>
                <w:szCs w:val="16"/>
                <w:lang w:val="en-GB"/>
              </w:rPr>
              <w:t>:</w:t>
            </w:r>
            <w:r w:rsidR="000D260E">
              <w:rPr>
                <w:color w:val="000000"/>
                <w:sz w:val="16"/>
                <w:szCs w:val="16"/>
                <w:lang w:val="en-GB"/>
              </w:rPr>
              <w:t>.</w:t>
            </w:r>
            <w:r w:rsidR="00DF023D" w:rsidRPr="006651CC">
              <w:rPr>
                <w:color w:val="000000"/>
                <w:sz w:val="16"/>
                <w:szCs w:val="16"/>
                <w:lang w:val="en-GB"/>
              </w:rPr>
              <w:t>Annual emissions of carbon dioxide (million tons CO2 equivalent)</w:t>
            </w:r>
          </w:p>
          <w:p w14:paraId="2502F6FD" w14:textId="72D13305" w:rsidR="00CE7B57" w:rsidRPr="00253DEA" w:rsidRDefault="00CE7B57" w:rsidP="006651CC">
            <w:pPr>
              <w:pStyle w:val="ListParagraph"/>
              <w:tabs>
                <w:tab w:val="left" w:pos="1620"/>
              </w:tabs>
              <w:spacing w:after="120"/>
              <w:ind w:left="360"/>
              <w:rPr>
                <w:color w:val="000000"/>
                <w:sz w:val="16"/>
                <w:szCs w:val="16"/>
                <w:lang w:val="en-GB"/>
              </w:rPr>
            </w:pPr>
            <w:r w:rsidRPr="00253DEA">
              <w:rPr>
                <w:color w:val="000000"/>
                <w:sz w:val="16"/>
                <w:szCs w:val="16"/>
                <w:lang w:val="en-GB"/>
              </w:rPr>
              <w:t xml:space="preserve">Baseline </w:t>
            </w:r>
            <w:r w:rsidR="00E7455F" w:rsidRPr="00253DEA">
              <w:rPr>
                <w:color w:val="000000"/>
                <w:sz w:val="16"/>
                <w:szCs w:val="16"/>
                <w:lang w:val="en-GB"/>
              </w:rPr>
              <w:t>(201</w:t>
            </w:r>
            <w:r w:rsidR="00DF023D" w:rsidRPr="00253DEA">
              <w:rPr>
                <w:color w:val="000000"/>
                <w:sz w:val="16"/>
                <w:szCs w:val="16"/>
                <w:lang w:val="en-GB"/>
              </w:rPr>
              <w:t>7</w:t>
            </w:r>
            <w:r w:rsidR="001669B6" w:rsidRPr="00253DEA">
              <w:rPr>
                <w:color w:val="000000"/>
                <w:sz w:val="16"/>
                <w:szCs w:val="16"/>
                <w:lang w:val="en-GB"/>
              </w:rPr>
              <w:t>)</w:t>
            </w:r>
            <w:r w:rsidRPr="00253DEA">
              <w:rPr>
                <w:color w:val="000000"/>
                <w:sz w:val="16"/>
                <w:szCs w:val="16"/>
                <w:lang w:val="en-GB"/>
              </w:rPr>
              <w:t>:</w:t>
            </w:r>
            <w:r w:rsidR="00C83356" w:rsidRPr="00253DEA">
              <w:rPr>
                <w:color w:val="000000"/>
                <w:sz w:val="16"/>
                <w:szCs w:val="16"/>
                <w:lang w:val="en-GB"/>
              </w:rPr>
              <w:t xml:space="preserve"> </w:t>
            </w:r>
            <w:r w:rsidR="00570645" w:rsidRPr="00253DEA">
              <w:rPr>
                <w:color w:val="000000"/>
                <w:sz w:val="16"/>
                <w:szCs w:val="16"/>
                <w:lang w:val="en-GB"/>
              </w:rPr>
              <w:t>94</w:t>
            </w:r>
          </w:p>
          <w:p w14:paraId="7DCA1E26" w14:textId="1A7C45B4" w:rsidR="00CE7B57" w:rsidRPr="00253DEA" w:rsidRDefault="00CE7B57" w:rsidP="006651CC">
            <w:pPr>
              <w:pStyle w:val="ListParagraph"/>
              <w:tabs>
                <w:tab w:val="left" w:pos="1620"/>
              </w:tabs>
              <w:spacing w:after="120"/>
              <w:ind w:left="360"/>
              <w:rPr>
                <w:color w:val="000000"/>
                <w:sz w:val="16"/>
                <w:szCs w:val="16"/>
                <w:lang w:val="en-GB"/>
              </w:rPr>
            </w:pPr>
            <w:r w:rsidRPr="00253DEA">
              <w:rPr>
                <w:color w:val="000000"/>
                <w:sz w:val="16"/>
                <w:szCs w:val="16"/>
                <w:lang w:val="en-GB"/>
              </w:rPr>
              <w:t xml:space="preserve">Target </w:t>
            </w:r>
            <w:r w:rsidR="009A6639" w:rsidRPr="00253DEA">
              <w:rPr>
                <w:color w:val="000000"/>
                <w:sz w:val="16"/>
                <w:szCs w:val="16"/>
                <w:lang w:val="en-GB"/>
              </w:rPr>
              <w:t>(2025)</w:t>
            </w:r>
            <w:r w:rsidRPr="00253DEA">
              <w:rPr>
                <w:color w:val="000000"/>
                <w:sz w:val="16"/>
                <w:szCs w:val="16"/>
                <w:lang w:val="en-GB"/>
              </w:rPr>
              <w:t>:</w:t>
            </w:r>
            <w:r w:rsidR="00C83356" w:rsidRPr="00253DEA">
              <w:rPr>
                <w:color w:val="000000"/>
                <w:sz w:val="16"/>
                <w:szCs w:val="16"/>
                <w:lang w:val="en-GB"/>
              </w:rPr>
              <w:t xml:space="preserve"> </w:t>
            </w:r>
            <w:r w:rsidR="00570645" w:rsidRPr="00253DEA">
              <w:rPr>
                <w:color w:val="000000"/>
                <w:sz w:val="16"/>
                <w:szCs w:val="16"/>
                <w:lang w:val="en-GB"/>
              </w:rPr>
              <w:t>110</w:t>
            </w:r>
          </w:p>
          <w:p w14:paraId="4DF39AA1" w14:textId="07BA9F0F" w:rsidR="00CE7B57" w:rsidRPr="00253DEA" w:rsidRDefault="00CE7B57" w:rsidP="006651CC">
            <w:pPr>
              <w:pStyle w:val="ListParagraph"/>
              <w:tabs>
                <w:tab w:val="left" w:pos="1620"/>
              </w:tabs>
              <w:spacing w:after="120"/>
              <w:ind w:left="360"/>
              <w:rPr>
                <w:color w:val="000000"/>
                <w:sz w:val="16"/>
                <w:szCs w:val="16"/>
                <w:lang w:val="en-GB"/>
              </w:rPr>
            </w:pPr>
            <w:r w:rsidRPr="00253DEA">
              <w:rPr>
                <w:color w:val="000000"/>
                <w:sz w:val="16"/>
                <w:szCs w:val="16"/>
                <w:lang w:val="en-GB"/>
              </w:rPr>
              <w:t>Data source, frequency</w:t>
            </w:r>
            <w:r w:rsidR="00C83356" w:rsidRPr="00253DEA">
              <w:rPr>
                <w:color w:val="000000"/>
                <w:sz w:val="16"/>
                <w:szCs w:val="16"/>
                <w:lang w:val="en-GB"/>
              </w:rPr>
              <w:t xml:space="preserve">: </w:t>
            </w:r>
            <w:r w:rsidR="000D260E">
              <w:rPr>
                <w:color w:val="000000"/>
                <w:sz w:val="16"/>
                <w:szCs w:val="16"/>
                <w:lang w:val="en-GB"/>
              </w:rPr>
              <w:t>MNREP</w:t>
            </w:r>
            <w:r w:rsidR="002B45E5" w:rsidRPr="00253DEA">
              <w:rPr>
                <w:color w:val="000000"/>
                <w:sz w:val="16"/>
                <w:szCs w:val="16"/>
                <w:lang w:val="en-GB"/>
              </w:rPr>
              <w:t>, annually.</w:t>
            </w:r>
          </w:p>
          <w:p w14:paraId="7722682F" w14:textId="77777777" w:rsidR="00CE7B57" w:rsidRPr="00253DEA" w:rsidRDefault="00CE7B57" w:rsidP="006651CC">
            <w:pPr>
              <w:tabs>
                <w:tab w:val="left" w:pos="1620"/>
              </w:tabs>
              <w:spacing w:after="120"/>
              <w:rPr>
                <w:color w:val="000000"/>
                <w:sz w:val="16"/>
                <w:szCs w:val="16"/>
                <w:lang w:val="en-GB"/>
              </w:rPr>
            </w:pPr>
          </w:p>
          <w:p w14:paraId="7E03D273" w14:textId="2E175D48" w:rsidR="00CE7B57" w:rsidRPr="006651CC" w:rsidRDefault="00CE7B57" w:rsidP="006651CC">
            <w:pPr>
              <w:tabs>
                <w:tab w:val="left" w:pos="1620"/>
              </w:tabs>
              <w:spacing w:after="120"/>
              <w:rPr>
                <w:b/>
                <w:bCs/>
                <w:color w:val="000000"/>
                <w:sz w:val="18"/>
                <w:szCs w:val="18"/>
                <w:lang w:val="en-GB"/>
              </w:rPr>
            </w:pPr>
            <w:r w:rsidRPr="006651CC">
              <w:rPr>
                <w:b/>
                <w:bCs/>
                <w:color w:val="000000"/>
                <w:sz w:val="18"/>
                <w:szCs w:val="18"/>
                <w:lang w:val="en-GB"/>
              </w:rPr>
              <w:t xml:space="preserve">Output </w:t>
            </w:r>
            <w:r w:rsidRPr="006651CC">
              <w:rPr>
                <w:b/>
                <w:bCs/>
                <w:color w:val="000000"/>
                <w:sz w:val="18"/>
                <w:szCs w:val="18"/>
              </w:rPr>
              <w:t>2</w:t>
            </w:r>
            <w:r w:rsidRPr="006651CC">
              <w:rPr>
                <w:b/>
                <w:bCs/>
                <w:color w:val="000000"/>
                <w:sz w:val="18"/>
                <w:szCs w:val="18"/>
                <w:lang w:val="en-GB"/>
              </w:rPr>
              <w:t>.2</w:t>
            </w:r>
            <w:r w:rsidR="000D260E">
              <w:rPr>
                <w:b/>
                <w:bCs/>
                <w:color w:val="000000"/>
                <w:sz w:val="18"/>
                <w:szCs w:val="18"/>
                <w:lang w:val="en-GB"/>
              </w:rPr>
              <w:t>.</w:t>
            </w:r>
            <w:r w:rsidRPr="006651CC">
              <w:rPr>
                <w:b/>
                <w:bCs/>
                <w:color w:val="000000"/>
                <w:sz w:val="18"/>
                <w:szCs w:val="18"/>
                <w:lang w:val="en-GB"/>
              </w:rPr>
              <w:t xml:space="preserve"> </w:t>
            </w:r>
            <w:r w:rsidR="00B44C1A" w:rsidRPr="006651CC">
              <w:rPr>
                <w:b/>
                <w:bCs/>
                <w:color w:val="000000"/>
                <w:sz w:val="18"/>
                <w:szCs w:val="18"/>
                <w:lang w:val="en-GB"/>
              </w:rPr>
              <w:t>Solutions</w:t>
            </w:r>
            <w:r w:rsidR="00CC2B78" w:rsidRPr="006651CC">
              <w:rPr>
                <w:b/>
                <w:bCs/>
                <w:color w:val="000000"/>
                <w:sz w:val="18"/>
                <w:szCs w:val="18"/>
                <w:lang w:val="en-GB"/>
              </w:rPr>
              <w:t xml:space="preserve"> for promoti</w:t>
            </w:r>
            <w:r w:rsidR="00EE0D2E" w:rsidRPr="006651CC">
              <w:rPr>
                <w:b/>
                <w:bCs/>
                <w:color w:val="000000"/>
                <w:sz w:val="18"/>
                <w:szCs w:val="18"/>
                <w:lang w:val="en-GB"/>
              </w:rPr>
              <w:t>ng</w:t>
            </w:r>
            <w:r w:rsidR="00CC2B78" w:rsidRPr="006651CC">
              <w:rPr>
                <w:b/>
                <w:bCs/>
                <w:color w:val="000000"/>
                <w:sz w:val="18"/>
                <w:szCs w:val="18"/>
                <w:lang w:val="en-GB"/>
              </w:rPr>
              <w:t xml:space="preserve"> energy efficiency, development of the market for energy services</w:t>
            </w:r>
            <w:r w:rsidR="000D260E">
              <w:rPr>
                <w:b/>
                <w:bCs/>
                <w:color w:val="000000"/>
                <w:sz w:val="18"/>
                <w:szCs w:val="18"/>
                <w:lang w:val="en-GB"/>
              </w:rPr>
              <w:t>,</w:t>
            </w:r>
            <w:r w:rsidR="00CC2B78" w:rsidRPr="006651CC">
              <w:rPr>
                <w:b/>
                <w:bCs/>
                <w:color w:val="000000"/>
                <w:sz w:val="18"/>
                <w:szCs w:val="18"/>
                <w:lang w:val="en-GB"/>
              </w:rPr>
              <w:t xml:space="preserve"> and expansion of the use of renewable energy sources </w:t>
            </w:r>
            <w:r w:rsidR="00B44C1A" w:rsidRPr="006651CC">
              <w:rPr>
                <w:b/>
                <w:bCs/>
                <w:color w:val="000000"/>
                <w:sz w:val="18"/>
                <w:szCs w:val="18"/>
                <w:lang w:val="en-GB"/>
              </w:rPr>
              <w:t>develop</w:t>
            </w:r>
            <w:r w:rsidR="00CC2B78" w:rsidRPr="006651CC">
              <w:rPr>
                <w:b/>
                <w:bCs/>
                <w:color w:val="000000"/>
                <w:sz w:val="18"/>
                <w:szCs w:val="18"/>
                <w:lang w:val="en-GB"/>
              </w:rPr>
              <w:t xml:space="preserve">ed </w:t>
            </w:r>
            <w:r w:rsidR="00B44C1A" w:rsidRPr="006651CC">
              <w:rPr>
                <w:b/>
                <w:bCs/>
                <w:color w:val="000000"/>
                <w:sz w:val="18"/>
                <w:szCs w:val="18"/>
                <w:lang w:val="en-GB"/>
              </w:rPr>
              <w:t>and promoted</w:t>
            </w:r>
          </w:p>
          <w:p w14:paraId="61C34DE5" w14:textId="710CD94F" w:rsidR="00CE7B57" w:rsidRPr="004464D1" w:rsidRDefault="00CE7B57" w:rsidP="00A37B39">
            <w:pPr>
              <w:pStyle w:val="ListParagraph"/>
              <w:tabs>
                <w:tab w:val="left" w:pos="1620"/>
              </w:tabs>
              <w:spacing w:after="120"/>
              <w:ind w:left="360"/>
              <w:rPr>
                <w:color w:val="000000"/>
                <w:sz w:val="16"/>
                <w:szCs w:val="16"/>
                <w:lang w:val="en-GB"/>
              </w:rPr>
            </w:pPr>
            <w:r w:rsidRPr="00253DEA">
              <w:rPr>
                <w:color w:val="000000"/>
                <w:sz w:val="16"/>
                <w:szCs w:val="16"/>
                <w:lang w:val="en-GB"/>
              </w:rPr>
              <w:t xml:space="preserve">Indicative </w:t>
            </w:r>
            <w:r w:rsidR="000D260E">
              <w:rPr>
                <w:color w:val="000000"/>
                <w:sz w:val="16"/>
                <w:szCs w:val="16"/>
                <w:lang w:val="en-GB"/>
              </w:rPr>
              <w:t>i</w:t>
            </w:r>
            <w:r w:rsidRPr="00253DEA">
              <w:rPr>
                <w:color w:val="000000"/>
                <w:sz w:val="16"/>
                <w:szCs w:val="16"/>
                <w:lang w:val="en-GB"/>
              </w:rPr>
              <w:t xml:space="preserve">ndicator </w:t>
            </w:r>
            <w:r w:rsidRPr="00253DEA">
              <w:rPr>
                <w:color w:val="000000"/>
                <w:sz w:val="16"/>
                <w:szCs w:val="16"/>
              </w:rPr>
              <w:t>2</w:t>
            </w:r>
            <w:r w:rsidRPr="00253DEA">
              <w:rPr>
                <w:color w:val="000000"/>
                <w:sz w:val="16"/>
                <w:szCs w:val="16"/>
                <w:lang w:val="en-GB"/>
              </w:rPr>
              <w:t>.2</w:t>
            </w:r>
            <w:r w:rsidRPr="00253DEA">
              <w:rPr>
                <w:color w:val="000000"/>
                <w:sz w:val="16"/>
                <w:szCs w:val="16"/>
              </w:rPr>
              <w:t>.1</w:t>
            </w:r>
            <w:r w:rsidR="000D260E">
              <w:rPr>
                <w:color w:val="000000"/>
                <w:sz w:val="16"/>
                <w:szCs w:val="16"/>
                <w:lang w:val="en-GB"/>
              </w:rPr>
              <w:t>.</w:t>
            </w:r>
            <w:r w:rsidRPr="00253DEA">
              <w:rPr>
                <w:color w:val="000000"/>
                <w:sz w:val="16"/>
                <w:szCs w:val="16"/>
                <w:lang w:val="en-GB"/>
              </w:rPr>
              <w:t xml:space="preserve"> </w:t>
            </w:r>
            <w:r w:rsidRPr="006651CC">
              <w:rPr>
                <w:color w:val="000000"/>
                <w:sz w:val="16"/>
                <w:szCs w:val="16"/>
                <w:lang w:val="en-GB"/>
              </w:rPr>
              <w:t xml:space="preserve">SDG </w:t>
            </w:r>
            <w:r w:rsidR="000D260E">
              <w:rPr>
                <w:color w:val="000000"/>
                <w:sz w:val="16"/>
                <w:szCs w:val="16"/>
                <w:lang w:val="en-GB"/>
              </w:rPr>
              <w:t>n</w:t>
            </w:r>
            <w:r w:rsidRPr="006651CC">
              <w:rPr>
                <w:color w:val="000000"/>
                <w:sz w:val="16"/>
                <w:szCs w:val="16"/>
                <w:lang w:val="en-GB"/>
              </w:rPr>
              <w:t xml:space="preserve">ational </w:t>
            </w:r>
            <w:r w:rsidR="000D260E">
              <w:rPr>
                <w:color w:val="000000"/>
                <w:sz w:val="16"/>
                <w:szCs w:val="16"/>
                <w:lang w:val="en-GB"/>
              </w:rPr>
              <w:t>i</w:t>
            </w:r>
            <w:r w:rsidRPr="006651CC">
              <w:rPr>
                <w:color w:val="000000"/>
                <w:sz w:val="16"/>
                <w:szCs w:val="16"/>
                <w:lang w:val="en-GB"/>
              </w:rPr>
              <w:t>ndicator: 7.3.1.1 Energy intensity of GDP (</w:t>
            </w:r>
            <w:r w:rsidR="009017F6" w:rsidRPr="006651CC">
              <w:rPr>
                <w:color w:val="000000"/>
                <w:sz w:val="16"/>
                <w:szCs w:val="16"/>
                <w:lang w:val="en-GB"/>
              </w:rPr>
              <w:t xml:space="preserve">kilograms </w:t>
            </w:r>
            <w:r w:rsidRPr="006651CC">
              <w:rPr>
                <w:color w:val="000000"/>
                <w:sz w:val="16"/>
                <w:szCs w:val="16"/>
                <w:lang w:val="en-GB"/>
              </w:rPr>
              <w:t>of coal equivalent per million r</w:t>
            </w:r>
            <w:r w:rsidR="00077B57">
              <w:rPr>
                <w:color w:val="000000"/>
                <w:sz w:val="16"/>
                <w:szCs w:val="16"/>
                <w:lang w:val="en-GB"/>
              </w:rPr>
              <w:t>o</w:t>
            </w:r>
            <w:r w:rsidRPr="006651CC">
              <w:rPr>
                <w:color w:val="000000"/>
                <w:sz w:val="16"/>
                <w:szCs w:val="16"/>
                <w:lang w:val="en-GB"/>
              </w:rPr>
              <w:t>ubles) (in 2005 prices)</w:t>
            </w:r>
          </w:p>
          <w:p w14:paraId="1C9041B4" w14:textId="051EB7C5" w:rsidR="00CE7B57" w:rsidRPr="00253DEA" w:rsidRDefault="00CE7B57" w:rsidP="006651CC">
            <w:pPr>
              <w:pStyle w:val="ListParagraph"/>
              <w:tabs>
                <w:tab w:val="left" w:pos="1620"/>
              </w:tabs>
              <w:spacing w:after="120"/>
              <w:ind w:left="360"/>
              <w:rPr>
                <w:color w:val="000000"/>
                <w:sz w:val="16"/>
                <w:szCs w:val="16"/>
                <w:lang w:val="en-GB"/>
              </w:rPr>
            </w:pPr>
            <w:r w:rsidRPr="00253DEA">
              <w:rPr>
                <w:color w:val="000000"/>
                <w:sz w:val="16"/>
                <w:szCs w:val="16"/>
                <w:lang w:val="en-GB"/>
              </w:rPr>
              <w:t xml:space="preserve">Baseline </w:t>
            </w:r>
            <w:r w:rsidR="00F639B6" w:rsidRPr="00253DEA">
              <w:rPr>
                <w:color w:val="000000"/>
                <w:sz w:val="16"/>
                <w:szCs w:val="16"/>
                <w:lang w:val="en-GB"/>
              </w:rPr>
              <w:t>(2018)</w:t>
            </w:r>
            <w:r w:rsidRPr="00253DEA">
              <w:rPr>
                <w:color w:val="000000"/>
                <w:sz w:val="16"/>
                <w:szCs w:val="16"/>
                <w:lang w:val="en-GB"/>
              </w:rPr>
              <w:t>:</w:t>
            </w:r>
            <w:r w:rsidR="00EE5A36" w:rsidRPr="00253DEA">
              <w:rPr>
                <w:color w:val="000000"/>
                <w:sz w:val="16"/>
                <w:szCs w:val="16"/>
                <w:lang w:val="en-GB"/>
              </w:rPr>
              <w:t xml:space="preserve"> 380.5 </w:t>
            </w:r>
          </w:p>
          <w:p w14:paraId="6535655D" w14:textId="77730E6B" w:rsidR="00CE7B57" w:rsidRPr="00253DEA" w:rsidRDefault="00CE7B57" w:rsidP="006651CC">
            <w:pPr>
              <w:pStyle w:val="ListParagraph"/>
              <w:tabs>
                <w:tab w:val="left" w:pos="1620"/>
              </w:tabs>
              <w:spacing w:after="120"/>
              <w:ind w:left="360"/>
              <w:rPr>
                <w:color w:val="000000"/>
                <w:sz w:val="16"/>
                <w:szCs w:val="16"/>
                <w:lang w:val="en-GB"/>
              </w:rPr>
            </w:pPr>
            <w:r w:rsidRPr="00253DEA">
              <w:rPr>
                <w:color w:val="000000"/>
                <w:sz w:val="16"/>
                <w:szCs w:val="16"/>
                <w:lang w:val="en-GB"/>
              </w:rPr>
              <w:t xml:space="preserve">Target </w:t>
            </w:r>
            <w:r w:rsidR="009A6639" w:rsidRPr="00253DEA">
              <w:rPr>
                <w:color w:val="000000"/>
                <w:sz w:val="16"/>
                <w:szCs w:val="16"/>
                <w:lang w:val="en-GB"/>
              </w:rPr>
              <w:t>(2025)</w:t>
            </w:r>
            <w:r w:rsidRPr="00253DEA">
              <w:rPr>
                <w:color w:val="000000"/>
                <w:sz w:val="16"/>
                <w:szCs w:val="16"/>
                <w:lang w:val="en-GB"/>
              </w:rPr>
              <w:t>:</w:t>
            </w:r>
            <w:r w:rsidR="00EE5A36" w:rsidRPr="00253DEA">
              <w:rPr>
                <w:color w:val="000000"/>
                <w:sz w:val="16"/>
                <w:szCs w:val="16"/>
                <w:lang w:val="en-GB"/>
              </w:rPr>
              <w:t xml:space="preserve"> 353 </w:t>
            </w:r>
          </w:p>
          <w:p w14:paraId="4C7E8BDB" w14:textId="731463E8" w:rsidR="00CE7B57" w:rsidRPr="00253DEA" w:rsidRDefault="00CE7B57" w:rsidP="006651CC">
            <w:pPr>
              <w:pStyle w:val="ListParagraph"/>
              <w:tabs>
                <w:tab w:val="left" w:pos="1620"/>
              </w:tabs>
              <w:spacing w:after="120"/>
              <w:ind w:left="360"/>
              <w:rPr>
                <w:b/>
                <w:bCs/>
                <w:color w:val="000000"/>
                <w:sz w:val="16"/>
                <w:szCs w:val="16"/>
                <w:lang w:val="en-GB"/>
              </w:rPr>
            </w:pPr>
            <w:r w:rsidRPr="00253DEA">
              <w:rPr>
                <w:color w:val="000000"/>
                <w:sz w:val="16"/>
                <w:szCs w:val="16"/>
                <w:lang w:val="en-GB"/>
              </w:rPr>
              <w:t>Data source, frequency</w:t>
            </w:r>
            <w:r w:rsidR="002B45E5" w:rsidRPr="00253DEA">
              <w:rPr>
                <w:color w:val="000000"/>
                <w:sz w:val="16"/>
                <w:szCs w:val="16"/>
                <w:lang w:val="en-GB"/>
              </w:rPr>
              <w:t>: NRP, annual</w:t>
            </w:r>
          </w:p>
          <w:p w14:paraId="0ED59941" w14:textId="3E4D5E9E" w:rsidR="00CE7B57" w:rsidRPr="004464D1" w:rsidRDefault="00CE7B57" w:rsidP="00A37B39">
            <w:pPr>
              <w:pStyle w:val="ListParagraph"/>
              <w:tabs>
                <w:tab w:val="left" w:pos="1620"/>
              </w:tabs>
              <w:spacing w:after="120"/>
              <w:ind w:left="360"/>
              <w:rPr>
                <w:color w:val="000000"/>
                <w:sz w:val="16"/>
                <w:szCs w:val="16"/>
                <w:lang w:val="en-GB"/>
              </w:rPr>
            </w:pPr>
            <w:r w:rsidRPr="00253DEA">
              <w:rPr>
                <w:color w:val="000000"/>
                <w:sz w:val="16"/>
                <w:szCs w:val="16"/>
                <w:lang w:val="en-GB"/>
              </w:rPr>
              <w:t xml:space="preserve">Indicative </w:t>
            </w:r>
            <w:r w:rsidR="000D260E">
              <w:rPr>
                <w:color w:val="000000"/>
                <w:sz w:val="16"/>
                <w:szCs w:val="16"/>
                <w:lang w:val="en-GB"/>
              </w:rPr>
              <w:t>i</w:t>
            </w:r>
            <w:r w:rsidRPr="00253DEA">
              <w:rPr>
                <w:color w:val="000000"/>
                <w:sz w:val="16"/>
                <w:szCs w:val="16"/>
                <w:lang w:val="en-GB"/>
              </w:rPr>
              <w:t xml:space="preserve">ndicator </w:t>
            </w:r>
            <w:r w:rsidRPr="00253DEA">
              <w:rPr>
                <w:color w:val="000000"/>
                <w:sz w:val="16"/>
                <w:szCs w:val="16"/>
              </w:rPr>
              <w:t>2</w:t>
            </w:r>
            <w:r w:rsidRPr="00253DEA">
              <w:rPr>
                <w:color w:val="000000"/>
                <w:sz w:val="16"/>
                <w:szCs w:val="16"/>
                <w:lang w:val="en-GB"/>
              </w:rPr>
              <w:t>.2</w:t>
            </w:r>
            <w:r w:rsidRPr="00253DEA">
              <w:rPr>
                <w:color w:val="000000"/>
                <w:sz w:val="16"/>
                <w:szCs w:val="16"/>
              </w:rPr>
              <w:t>.</w:t>
            </w:r>
            <w:r w:rsidR="00895338" w:rsidRPr="00253DEA">
              <w:rPr>
                <w:color w:val="000000"/>
                <w:sz w:val="16"/>
                <w:szCs w:val="16"/>
              </w:rPr>
              <w:t>2</w:t>
            </w:r>
            <w:r w:rsidR="000D260E">
              <w:rPr>
                <w:color w:val="000000"/>
                <w:sz w:val="16"/>
                <w:szCs w:val="16"/>
                <w:lang w:val="en-GB"/>
              </w:rPr>
              <w:t>.</w:t>
            </w:r>
            <w:r w:rsidRPr="00253DEA">
              <w:rPr>
                <w:color w:val="000000"/>
                <w:sz w:val="16"/>
                <w:szCs w:val="16"/>
                <w:lang w:val="en-GB"/>
              </w:rPr>
              <w:t xml:space="preserve"> </w:t>
            </w:r>
            <w:r w:rsidRPr="006651CC">
              <w:rPr>
                <w:color w:val="000000"/>
                <w:sz w:val="16"/>
                <w:szCs w:val="16"/>
                <w:lang w:val="en-GB"/>
              </w:rPr>
              <w:t xml:space="preserve">SDG </w:t>
            </w:r>
            <w:r w:rsidR="000D260E">
              <w:rPr>
                <w:color w:val="000000"/>
                <w:sz w:val="16"/>
                <w:szCs w:val="16"/>
                <w:lang w:val="en-GB"/>
              </w:rPr>
              <w:t>n</w:t>
            </w:r>
            <w:r w:rsidRPr="00A37B39">
              <w:rPr>
                <w:color w:val="000000"/>
                <w:sz w:val="16"/>
                <w:szCs w:val="16"/>
                <w:lang w:val="en-GB"/>
              </w:rPr>
              <w:t xml:space="preserve">ational </w:t>
            </w:r>
            <w:r w:rsidR="000D260E">
              <w:rPr>
                <w:color w:val="000000"/>
                <w:sz w:val="16"/>
                <w:szCs w:val="16"/>
                <w:lang w:val="en-GB"/>
              </w:rPr>
              <w:t>i</w:t>
            </w:r>
            <w:r w:rsidRPr="006651CC">
              <w:rPr>
                <w:color w:val="000000"/>
                <w:sz w:val="16"/>
                <w:szCs w:val="16"/>
                <w:lang w:val="en-GB"/>
              </w:rPr>
              <w:t xml:space="preserve">ndicator: 7.2.1.1. </w:t>
            </w:r>
            <w:r w:rsidR="000D260E">
              <w:rPr>
                <w:color w:val="000000"/>
                <w:sz w:val="16"/>
                <w:szCs w:val="16"/>
                <w:lang w:val="en-GB"/>
              </w:rPr>
              <w:t>R</w:t>
            </w:r>
            <w:r w:rsidRPr="006651CC">
              <w:rPr>
                <w:color w:val="000000"/>
                <w:sz w:val="16"/>
                <w:szCs w:val="16"/>
                <w:lang w:val="en-GB"/>
              </w:rPr>
              <w:t>atio of the volume of production of primary energy from renewable energy sources to the volume of gross fuel and energy consumption (</w:t>
            </w:r>
            <w:r w:rsidR="000D260E">
              <w:rPr>
                <w:color w:val="000000"/>
                <w:sz w:val="16"/>
                <w:szCs w:val="16"/>
                <w:lang w:val="en-GB"/>
              </w:rPr>
              <w:t>%</w:t>
            </w:r>
            <w:r w:rsidRPr="006651CC">
              <w:rPr>
                <w:color w:val="000000"/>
                <w:sz w:val="16"/>
                <w:szCs w:val="16"/>
                <w:lang w:val="en-GB"/>
              </w:rPr>
              <w:t xml:space="preserve">) </w:t>
            </w:r>
          </w:p>
          <w:p w14:paraId="3365074A" w14:textId="6E1CEA69" w:rsidR="00CE7B57" w:rsidRPr="00253DEA" w:rsidRDefault="00CE7B57" w:rsidP="006651CC">
            <w:pPr>
              <w:pStyle w:val="ListParagraph"/>
              <w:tabs>
                <w:tab w:val="left" w:pos="1620"/>
              </w:tabs>
              <w:spacing w:after="120"/>
              <w:ind w:left="360"/>
              <w:rPr>
                <w:color w:val="000000"/>
                <w:sz w:val="16"/>
                <w:szCs w:val="16"/>
                <w:lang w:val="en-GB"/>
              </w:rPr>
            </w:pPr>
            <w:r w:rsidRPr="00253DEA">
              <w:rPr>
                <w:color w:val="000000"/>
                <w:sz w:val="16"/>
                <w:szCs w:val="16"/>
                <w:lang w:val="en-GB"/>
              </w:rPr>
              <w:t xml:space="preserve">Baseline </w:t>
            </w:r>
            <w:r w:rsidR="00BE27A5" w:rsidRPr="00253DEA">
              <w:rPr>
                <w:color w:val="000000"/>
                <w:sz w:val="16"/>
                <w:szCs w:val="16"/>
                <w:lang w:val="en-GB"/>
              </w:rPr>
              <w:t>(2018)</w:t>
            </w:r>
            <w:r w:rsidRPr="00253DEA">
              <w:rPr>
                <w:color w:val="000000"/>
                <w:sz w:val="16"/>
                <w:szCs w:val="16"/>
                <w:lang w:val="en-GB"/>
              </w:rPr>
              <w:t>:</w:t>
            </w:r>
            <w:r w:rsidR="00EF08CA" w:rsidRPr="00253DEA">
              <w:rPr>
                <w:color w:val="000000"/>
                <w:sz w:val="16"/>
                <w:szCs w:val="16"/>
                <w:lang w:val="en-GB"/>
              </w:rPr>
              <w:t xml:space="preserve"> 6.2 </w:t>
            </w:r>
          </w:p>
          <w:p w14:paraId="45D56FF5" w14:textId="0130C569" w:rsidR="00CE7B57" w:rsidRPr="00253DEA" w:rsidRDefault="00CE7B57" w:rsidP="006651CC">
            <w:pPr>
              <w:pStyle w:val="ListParagraph"/>
              <w:tabs>
                <w:tab w:val="left" w:pos="1620"/>
              </w:tabs>
              <w:spacing w:after="120"/>
              <w:ind w:left="360"/>
              <w:rPr>
                <w:color w:val="000000"/>
                <w:sz w:val="16"/>
                <w:szCs w:val="16"/>
                <w:lang w:val="en-GB"/>
              </w:rPr>
            </w:pPr>
            <w:r w:rsidRPr="00253DEA">
              <w:rPr>
                <w:color w:val="000000"/>
                <w:sz w:val="16"/>
                <w:szCs w:val="16"/>
                <w:lang w:val="en-GB"/>
              </w:rPr>
              <w:t xml:space="preserve">Target </w:t>
            </w:r>
            <w:r w:rsidR="009A6639" w:rsidRPr="00253DEA">
              <w:rPr>
                <w:color w:val="000000"/>
                <w:sz w:val="16"/>
                <w:szCs w:val="16"/>
                <w:lang w:val="en-GB"/>
              </w:rPr>
              <w:t>(2025)</w:t>
            </w:r>
            <w:r w:rsidRPr="00253DEA">
              <w:rPr>
                <w:color w:val="000000"/>
                <w:sz w:val="16"/>
                <w:szCs w:val="16"/>
                <w:lang w:val="en-GB"/>
              </w:rPr>
              <w:t>:</w:t>
            </w:r>
            <w:r w:rsidR="00EF08CA" w:rsidRPr="00253DEA">
              <w:rPr>
                <w:color w:val="000000"/>
                <w:sz w:val="16"/>
                <w:szCs w:val="16"/>
                <w:lang w:val="en-GB"/>
              </w:rPr>
              <w:t xml:space="preserve"> 7</w:t>
            </w:r>
          </w:p>
          <w:p w14:paraId="11A2554C" w14:textId="3CE29226" w:rsidR="00CE7B57" w:rsidRDefault="00CE7B57" w:rsidP="00631C8D">
            <w:pPr>
              <w:pStyle w:val="ListParagraph"/>
              <w:tabs>
                <w:tab w:val="left" w:pos="1620"/>
              </w:tabs>
              <w:spacing w:after="120"/>
              <w:ind w:left="360"/>
              <w:rPr>
                <w:color w:val="000000"/>
                <w:sz w:val="16"/>
                <w:szCs w:val="16"/>
                <w:lang w:val="en-GB"/>
              </w:rPr>
            </w:pPr>
            <w:r w:rsidRPr="00253DEA">
              <w:rPr>
                <w:color w:val="000000"/>
                <w:sz w:val="16"/>
                <w:szCs w:val="16"/>
                <w:lang w:val="en-GB"/>
              </w:rPr>
              <w:t>Data source, frequency</w:t>
            </w:r>
            <w:r w:rsidR="00EF08CA" w:rsidRPr="00253DEA">
              <w:rPr>
                <w:color w:val="000000"/>
                <w:sz w:val="16"/>
                <w:szCs w:val="16"/>
                <w:lang w:val="en-GB"/>
              </w:rPr>
              <w:t>: NRP</w:t>
            </w:r>
            <w:r w:rsidR="002B45E5" w:rsidRPr="00253DEA">
              <w:rPr>
                <w:color w:val="000000"/>
                <w:sz w:val="16"/>
                <w:szCs w:val="16"/>
                <w:lang w:val="en-GB"/>
              </w:rPr>
              <w:t>, annual</w:t>
            </w:r>
          </w:p>
          <w:p w14:paraId="5B0D8A41" w14:textId="77777777" w:rsidR="005F70DE" w:rsidRPr="00631C8D" w:rsidRDefault="005F70DE" w:rsidP="00631C8D">
            <w:pPr>
              <w:pStyle w:val="ListParagraph"/>
              <w:tabs>
                <w:tab w:val="left" w:pos="1620"/>
              </w:tabs>
              <w:spacing w:after="120"/>
              <w:ind w:left="360"/>
              <w:rPr>
                <w:b/>
                <w:bCs/>
                <w:color w:val="000000"/>
                <w:sz w:val="16"/>
                <w:szCs w:val="16"/>
                <w:lang w:val="en-GB"/>
              </w:rPr>
            </w:pPr>
          </w:p>
          <w:p w14:paraId="1BAEFE62" w14:textId="249D1717" w:rsidR="00CE7B57" w:rsidRPr="006651CC" w:rsidRDefault="00CE7B57" w:rsidP="006651CC">
            <w:pPr>
              <w:tabs>
                <w:tab w:val="left" w:pos="1620"/>
              </w:tabs>
              <w:spacing w:after="160"/>
              <w:rPr>
                <w:sz w:val="18"/>
                <w:szCs w:val="18"/>
              </w:rPr>
            </w:pPr>
            <w:r w:rsidRPr="006651CC">
              <w:rPr>
                <w:b/>
                <w:bCs/>
                <w:color w:val="000000"/>
                <w:sz w:val="18"/>
                <w:szCs w:val="18"/>
                <w:lang w:val="en-GB"/>
              </w:rPr>
              <w:lastRenderedPageBreak/>
              <w:t xml:space="preserve">Output </w:t>
            </w:r>
            <w:r w:rsidRPr="006651CC">
              <w:rPr>
                <w:b/>
                <w:bCs/>
                <w:color w:val="000000"/>
                <w:sz w:val="18"/>
                <w:szCs w:val="18"/>
              </w:rPr>
              <w:t>2</w:t>
            </w:r>
            <w:r w:rsidRPr="006651CC">
              <w:rPr>
                <w:b/>
                <w:bCs/>
                <w:color w:val="000000"/>
                <w:sz w:val="18"/>
                <w:szCs w:val="18"/>
                <w:lang w:val="en-GB"/>
              </w:rPr>
              <w:t>.3</w:t>
            </w:r>
            <w:r w:rsidR="00A37B39">
              <w:rPr>
                <w:b/>
                <w:bCs/>
                <w:color w:val="000000"/>
                <w:sz w:val="18"/>
                <w:szCs w:val="18"/>
                <w:lang w:val="en-GB"/>
              </w:rPr>
              <w:t>.</w:t>
            </w:r>
            <w:r w:rsidRPr="006651CC">
              <w:rPr>
                <w:b/>
                <w:bCs/>
                <w:color w:val="000000"/>
                <w:sz w:val="18"/>
                <w:szCs w:val="18"/>
                <w:lang w:val="en-GB"/>
              </w:rPr>
              <w:t xml:space="preserve"> </w:t>
            </w:r>
            <w:r w:rsidR="00622AAE" w:rsidRPr="006651CC">
              <w:rPr>
                <w:b/>
                <w:bCs/>
                <w:sz w:val="18"/>
                <w:szCs w:val="18"/>
              </w:rPr>
              <w:t xml:space="preserve">Measures </w:t>
            </w:r>
            <w:r w:rsidR="00F279CE" w:rsidRPr="006651CC">
              <w:rPr>
                <w:b/>
                <w:bCs/>
                <w:sz w:val="18"/>
                <w:szCs w:val="18"/>
              </w:rPr>
              <w:t>enhancing</w:t>
            </w:r>
            <w:r w:rsidR="00622AAE" w:rsidRPr="006651CC">
              <w:rPr>
                <w:b/>
                <w:bCs/>
                <w:sz w:val="18"/>
                <w:szCs w:val="18"/>
              </w:rPr>
              <w:t xml:space="preserve"> biodiversity conservation, control of invasive species of animals and plants, sustainable water resources and land management implemented</w:t>
            </w:r>
          </w:p>
          <w:p w14:paraId="74E252F6" w14:textId="117F4428" w:rsidR="00CE7B57" w:rsidRPr="004464D1" w:rsidRDefault="00CE7B57" w:rsidP="00A37B39">
            <w:pPr>
              <w:pStyle w:val="ListParagraph"/>
              <w:tabs>
                <w:tab w:val="left" w:pos="1620"/>
              </w:tabs>
              <w:spacing w:after="120"/>
              <w:ind w:left="360"/>
              <w:rPr>
                <w:color w:val="000000"/>
                <w:sz w:val="16"/>
                <w:szCs w:val="16"/>
                <w:lang w:val="en-GB"/>
              </w:rPr>
            </w:pPr>
            <w:r w:rsidRPr="00253DEA">
              <w:rPr>
                <w:color w:val="000000"/>
                <w:sz w:val="16"/>
                <w:szCs w:val="16"/>
                <w:lang w:val="en-GB"/>
              </w:rPr>
              <w:t xml:space="preserve">Indicative </w:t>
            </w:r>
            <w:r w:rsidR="000D260E">
              <w:rPr>
                <w:color w:val="000000"/>
                <w:sz w:val="16"/>
                <w:szCs w:val="16"/>
                <w:lang w:val="en-GB"/>
              </w:rPr>
              <w:t>i</w:t>
            </w:r>
            <w:r w:rsidRPr="00253DEA">
              <w:rPr>
                <w:color w:val="000000"/>
                <w:sz w:val="16"/>
                <w:szCs w:val="16"/>
                <w:lang w:val="en-GB"/>
              </w:rPr>
              <w:t xml:space="preserve">ndicator </w:t>
            </w:r>
            <w:r w:rsidRPr="00253DEA">
              <w:rPr>
                <w:color w:val="000000"/>
                <w:sz w:val="16"/>
                <w:szCs w:val="16"/>
              </w:rPr>
              <w:t>2</w:t>
            </w:r>
            <w:r w:rsidRPr="00253DEA">
              <w:rPr>
                <w:color w:val="000000"/>
                <w:sz w:val="16"/>
                <w:szCs w:val="16"/>
                <w:lang w:val="en-GB"/>
              </w:rPr>
              <w:t>.3</w:t>
            </w:r>
            <w:r w:rsidRPr="00253DEA">
              <w:rPr>
                <w:color w:val="000000"/>
                <w:sz w:val="16"/>
                <w:szCs w:val="16"/>
              </w:rPr>
              <w:t>.1</w:t>
            </w:r>
            <w:r w:rsidR="000D260E">
              <w:rPr>
                <w:color w:val="000000"/>
                <w:sz w:val="16"/>
                <w:szCs w:val="16"/>
                <w:lang w:val="en-GB"/>
              </w:rPr>
              <w:t>.</w:t>
            </w:r>
            <w:r w:rsidRPr="004464D1">
              <w:rPr>
                <w:color w:val="000000"/>
                <w:sz w:val="16"/>
                <w:szCs w:val="16"/>
                <w:lang w:val="en-GB"/>
              </w:rPr>
              <w:t xml:space="preserve"> </w:t>
            </w:r>
            <w:r w:rsidR="006117B0" w:rsidRPr="006651CC">
              <w:rPr>
                <w:color w:val="000000"/>
                <w:sz w:val="16"/>
                <w:szCs w:val="16"/>
                <w:lang w:val="en-GB"/>
              </w:rPr>
              <w:t>Number of functioning river basin coordination mechanisms that include neighbouring countries</w:t>
            </w:r>
          </w:p>
          <w:p w14:paraId="29959510" w14:textId="04EEB046" w:rsidR="00CE7B57" w:rsidRPr="004464D1" w:rsidRDefault="00CE7B57" w:rsidP="006651CC">
            <w:pPr>
              <w:pStyle w:val="ListParagraph"/>
              <w:tabs>
                <w:tab w:val="left" w:pos="1620"/>
              </w:tabs>
              <w:spacing w:after="120"/>
              <w:ind w:left="360"/>
              <w:rPr>
                <w:color w:val="000000"/>
                <w:sz w:val="16"/>
                <w:szCs w:val="16"/>
                <w:lang w:val="en-GB"/>
              </w:rPr>
            </w:pPr>
            <w:r w:rsidRPr="004464D1">
              <w:rPr>
                <w:color w:val="000000"/>
                <w:sz w:val="16"/>
                <w:szCs w:val="16"/>
                <w:lang w:val="en-GB"/>
              </w:rPr>
              <w:t xml:space="preserve">Baseline </w:t>
            </w:r>
            <w:r w:rsidR="00BE27A5" w:rsidRPr="004464D1">
              <w:rPr>
                <w:color w:val="000000"/>
                <w:sz w:val="16"/>
                <w:szCs w:val="16"/>
                <w:lang w:val="en-GB"/>
              </w:rPr>
              <w:t>(2019)</w:t>
            </w:r>
            <w:r w:rsidRPr="004464D1">
              <w:rPr>
                <w:color w:val="000000"/>
                <w:sz w:val="16"/>
                <w:szCs w:val="16"/>
                <w:lang w:val="en-GB"/>
              </w:rPr>
              <w:t>:</w:t>
            </w:r>
            <w:r w:rsidR="006117B0" w:rsidRPr="004464D1">
              <w:rPr>
                <w:color w:val="000000"/>
                <w:sz w:val="16"/>
                <w:szCs w:val="16"/>
                <w:lang w:val="en-GB"/>
              </w:rPr>
              <w:t xml:space="preserve"> 2 </w:t>
            </w:r>
          </w:p>
          <w:p w14:paraId="6A845DA7" w14:textId="510332B3" w:rsidR="00CE7B57" w:rsidRPr="000D260E" w:rsidRDefault="00CE7B57" w:rsidP="006651CC">
            <w:pPr>
              <w:pStyle w:val="ListParagraph"/>
              <w:tabs>
                <w:tab w:val="left" w:pos="1620"/>
              </w:tabs>
              <w:spacing w:after="120"/>
              <w:ind w:left="360"/>
              <w:rPr>
                <w:color w:val="000000"/>
                <w:sz w:val="16"/>
                <w:szCs w:val="16"/>
                <w:lang w:val="en-GB"/>
              </w:rPr>
            </w:pPr>
            <w:r w:rsidRPr="000D260E">
              <w:rPr>
                <w:color w:val="000000"/>
                <w:sz w:val="16"/>
                <w:szCs w:val="16"/>
                <w:lang w:val="en-GB"/>
              </w:rPr>
              <w:t xml:space="preserve">Target </w:t>
            </w:r>
            <w:r w:rsidR="009A6639" w:rsidRPr="000D260E">
              <w:rPr>
                <w:color w:val="000000"/>
                <w:sz w:val="16"/>
                <w:szCs w:val="16"/>
                <w:lang w:val="en-GB"/>
              </w:rPr>
              <w:t>(2025)</w:t>
            </w:r>
            <w:r w:rsidRPr="000D260E">
              <w:rPr>
                <w:color w:val="000000"/>
                <w:sz w:val="16"/>
                <w:szCs w:val="16"/>
                <w:lang w:val="en-GB"/>
              </w:rPr>
              <w:t>:</w:t>
            </w:r>
            <w:r w:rsidR="00FF6B3D" w:rsidRPr="000D260E">
              <w:rPr>
                <w:color w:val="000000"/>
                <w:sz w:val="16"/>
                <w:szCs w:val="16"/>
                <w:lang w:val="en-GB"/>
              </w:rPr>
              <w:t xml:space="preserve"> </w:t>
            </w:r>
            <w:r w:rsidR="00F07622">
              <w:rPr>
                <w:color w:val="000000"/>
                <w:sz w:val="16"/>
                <w:szCs w:val="16"/>
                <w:lang w:val="en-GB"/>
              </w:rPr>
              <w:t>5</w:t>
            </w:r>
            <w:r w:rsidR="00FF6B3D" w:rsidRPr="000D260E">
              <w:rPr>
                <w:color w:val="000000"/>
                <w:sz w:val="16"/>
                <w:szCs w:val="16"/>
                <w:lang w:val="en-GB"/>
              </w:rPr>
              <w:t xml:space="preserve"> </w:t>
            </w:r>
          </w:p>
          <w:p w14:paraId="7309BD83" w14:textId="60F44C0E" w:rsidR="00CE7B57" w:rsidRPr="000D260E" w:rsidRDefault="00CE7B57" w:rsidP="006651CC">
            <w:pPr>
              <w:pStyle w:val="ListParagraph"/>
              <w:tabs>
                <w:tab w:val="left" w:pos="1620"/>
              </w:tabs>
              <w:spacing w:after="160"/>
              <w:ind w:left="360"/>
              <w:rPr>
                <w:color w:val="000000"/>
                <w:sz w:val="16"/>
                <w:szCs w:val="16"/>
                <w:lang w:val="en-GB"/>
              </w:rPr>
            </w:pPr>
            <w:r w:rsidRPr="000D260E">
              <w:rPr>
                <w:color w:val="000000"/>
                <w:sz w:val="16"/>
                <w:szCs w:val="16"/>
                <w:lang w:val="en-GB"/>
              </w:rPr>
              <w:t>Data source, frequency</w:t>
            </w:r>
            <w:r w:rsidR="006117B0" w:rsidRPr="000D260E">
              <w:rPr>
                <w:color w:val="000000"/>
                <w:sz w:val="16"/>
                <w:szCs w:val="16"/>
                <w:lang w:val="en-GB"/>
              </w:rPr>
              <w:t xml:space="preserve">: Project </w:t>
            </w:r>
            <w:r w:rsidR="002B45E5" w:rsidRPr="000D260E">
              <w:rPr>
                <w:color w:val="000000"/>
                <w:sz w:val="16"/>
                <w:szCs w:val="16"/>
                <w:lang w:val="en-GB"/>
              </w:rPr>
              <w:t xml:space="preserve">and </w:t>
            </w:r>
            <w:r w:rsidR="006117B0" w:rsidRPr="000D260E">
              <w:rPr>
                <w:color w:val="000000"/>
                <w:sz w:val="16"/>
                <w:szCs w:val="16"/>
                <w:lang w:val="en-GB"/>
              </w:rPr>
              <w:t>official government report</w:t>
            </w:r>
            <w:r w:rsidR="002B45E5" w:rsidRPr="000D260E">
              <w:rPr>
                <w:color w:val="000000"/>
                <w:sz w:val="16"/>
                <w:szCs w:val="16"/>
                <w:lang w:val="en-GB"/>
              </w:rPr>
              <w:t>s; annual</w:t>
            </w:r>
            <w:r w:rsidR="006117B0" w:rsidRPr="000D260E">
              <w:rPr>
                <w:color w:val="000000"/>
                <w:sz w:val="16"/>
                <w:szCs w:val="16"/>
                <w:lang w:val="en-GB"/>
              </w:rPr>
              <w:t xml:space="preserve"> </w:t>
            </w:r>
          </w:p>
          <w:p w14:paraId="781E6E5B" w14:textId="63F641F0" w:rsidR="00CE7B57" w:rsidRPr="004464D1" w:rsidRDefault="00CE7B57" w:rsidP="00A37B39">
            <w:pPr>
              <w:pStyle w:val="ListParagraph"/>
              <w:tabs>
                <w:tab w:val="left" w:pos="1620"/>
              </w:tabs>
              <w:spacing w:after="120"/>
              <w:ind w:left="360"/>
              <w:rPr>
                <w:color w:val="000000"/>
                <w:sz w:val="16"/>
                <w:szCs w:val="16"/>
                <w:lang w:val="en-GB"/>
              </w:rPr>
            </w:pPr>
            <w:r w:rsidRPr="000D260E">
              <w:rPr>
                <w:color w:val="000000"/>
                <w:sz w:val="16"/>
                <w:szCs w:val="16"/>
                <w:lang w:val="en-GB"/>
              </w:rPr>
              <w:t xml:space="preserve">Indicative </w:t>
            </w:r>
            <w:r w:rsidR="000D260E">
              <w:rPr>
                <w:color w:val="000000"/>
                <w:sz w:val="16"/>
                <w:szCs w:val="16"/>
                <w:lang w:val="en-GB"/>
              </w:rPr>
              <w:t>i</w:t>
            </w:r>
            <w:r w:rsidRPr="000D260E">
              <w:rPr>
                <w:color w:val="000000"/>
                <w:sz w:val="16"/>
                <w:szCs w:val="16"/>
                <w:lang w:val="en-GB"/>
              </w:rPr>
              <w:t xml:space="preserve">ndicator </w:t>
            </w:r>
            <w:r w:rsidRPr="000D260E">
              <w:rPr>
                <w:color w:val="000000"/>
                <w:sz w:val="16"/>
                <w:szCs w:val="16"/>
              </w:rPr>
              <w:t>2</w:t>
            </w:r>
            <w:r w:rsidRPr="000D260E">
              <w:rPr>
                <w:color w:val="000000"/>
                <w:sz w:val="16"/>
                <w:szCs w:val="16"/>
                <w:lang w:val="en-GB"/>
              </w:rPr>
              <w:t>.3</w:t>
            </w:r>
            <w:r w:rsidRPr="000D260E">
              <w:rPr>
                <w:color w:val="000000"/>
                <w:sz w:val="16"/>
                <w:szCs w:val="16"/>
              </w:rPr>
              <w:t>.</w:t>
            </w:r>
            <w:r w:rsidR="006117B0" w:rsidRPr="000D260E">
              <w:rPr>
                <w:color w:val="000000"/>
                <w:sz w:val="16"/>
                <w:szCs w:val="16"/>
              </w:rPr>
              <w:t>2</w:t>
            </w:r>
            <w:r w:rsidR="000D260E">
              <w:rPr>
                <w:color w:val="000000"/>
                <w:sz w:val="16"/>
                <w:szCs w:val="16"/>
                <w:lang w:val="en-GB"/>
              </w:rPr>
              <w:t>.</w:t>
            </w:r>
            <w:r w:rsidRPr="000D260E">
              <w:rPr>
                <w:color w:val="000000"/>
                <w:sz w:val="16"/>
                <w:szCs w:val="16"/>
                <w:lang w:val="en-GB"/>
              </w:rPr>
              <w:t xml:space="preserve"> </w:t>
            </w:r>
            <w:r w:rsidR="00922A5C" w:rsidRPr="006651CC">
              <w:rPr>
                <w:color w:val="000000"/>
                <w:sz w:val="16"/>
                <w:szCs w:val="16"/>
                <w:lang w:val="en-GB"/>
              </w:rPr>
              <w:t>H</w:t>
            </w:r>
            <w:r w:rsidR="006117B0" w:rsidRPr="006651CC">
              <w:rPr>
                <w:color w:val="000000"/>
                <w:sz w:val="16"/>
                <w:szCs w:val="16"/>
                <w:lang w:val="en-GB"/>
              </w:rPr>
              <w:t xml:space="preserve">ectares of </w:t>
            </w:r>
            <w:r w:rsidR="00922A5C" w:rsidRPr="006651CC">
              <w:rPr>
                <w:color w:val="000000"/>
                <w:sz w:val="16"/>
                <w:szCs w:val="16"/>
                <w:lang w:val="en-GB"/>
              </w:rPr>
              <w:t xml:space="preserve">valuable forest, </w:t>
            </w:r>
            <w:r w:rsidR="006117B0" w:rsidRPr="006651CC">
              <w:rPr>
                <w:color w:val="000000"/>
                <w:sz w:val="16"/>
                <w:szCs w:val="16"/>
                <w:lang w:val="en-GB"/>
              </w:rPr>
              <w:t>wetland</w:t>
            </w:r>
            <w:r w:rsidR="00922A5C" w:rsidRPr="006651CC">
              <w:rPr>
                <w:color w:val="000000"/>
                <w:sz w:val="16"/>
                <w:szCs w:val="16"/>
                <w:lang w:val="en-GB"/>
              </w:rPr>
              <w:t xml:space="preserve"> and freshwater</w:t>
            </w:r>
            <w:r w:rsidR="00E525F7" w:rsidRPr="006651CC">
              <w:rPr>
                <w:color w:val="000000"/>
                <w:sz w:val="16"/>
                <w:szCs w:val="16"/>
                <w:lang w:val="en-GB"/>
              </w:rPr>
              <w:t xml:space="preserve"> ecosystems</w:t>
            </w:r>
            <w:r w:rsidR="00922A5C" w:rsidRPr="006651CC">
              <w:rPr>
                <w:color w:val="000000"/>
                <w:sz w:val="16"/>
                <w:szCs w:val="16"/>
                <w:lang w:val="en-GB"/>
              </w:rPr>
              <w:t xml:space="preserve"> under sustainable management </w:t>
            </w:r>
          </w:p>
          <w:p w14:paraId="427C8974" w14:textId="4189E982" w:rsidR="00CE7B57" w:rsidRPr="004464D1" w:rsidRDefault="00CE7B57" w:rsidP="006651CC">
            <w:pPr>
              <w:pStyle w:val="ListParagraph"/>
              <w:tabs>
                <w:tab w:val="left" w:pos="1620"/>
              </w:tabs>
              <w:spacing w:after="120"/>
              <w:ind w:left="360"/>
              <w:rPr>
                <w:color w:val="000000"/>
                <w:sz w:val="16"/>
                <w:szCs w:val="16"/>
                <w:lang w:val="en-GB"/>
              </w:rPr>
            </w:pPr>
            <w:r w:rsidRPr="004464D1">
              <w:rPr>
                <w:color w:val="000000"/>
                <w:sz w:val="16"/>
                <w:szCs w:val="16"/>
                <w:lang w:val="en-GB"/>
              </w:rPr>
              <w:t xml:space="preserve">Baseline </w:t>
            </w:r>
            <w:r w:rsidR="00BE27A5" w:rsidRPr="004464D1">
              <w:rPr>
                <w:color w:val="000000"/>
                <w:sz w:val="16"/>
                <w:szCs w:val="16"/>
                <w:lang w:val="en-GB"/>
              </w:rPr>
              <w:t>(2019)</w:t>
            </w:r>
            <w:r w:rsidRPr="004464D1">
              <w:rPr>
                <w:color w:val="000000"/>
                <w:sz w:val="16"/>
                <w:szCs w:val="16"/>
                <w:lang w:val="en-GB"/>
              </w:rPr>
              <w:t>:</w:t>
            </w:r>
            <w:r w:rsidR="006117B0" w:rsidRPr="004464D1">
              <w:rPr>
                <w:color w:val="000000"/>
                <w:sz w:val="16"/>
                <w:szCs w:val="16"/>
                <w:lang w:val="en-GB"/>
              </w:rPr>
              <w:t xml:space="preserve"> </w:t>
            </w:r>
            <w:r w:rsidR="00EB3E26">
              <w:rPr>
                <w:color w:val="000000"/>
                <w:sz w:val="16"/>
                <w:szCs w:val="16"/>
                <w:lang w:val="en-GB"/>
              </w:rPr>
              <w:t>67</w:t>
            </w:r>
            <w:r w:rsidR="006117B0" w:rsidRPr="004464D1">
              <w:rPr>
                <w:color w:val="000000"/>
                <w:sz w:val="16"/>
                <w:szCs w:val="16"/>
                <w:lang w:val="en-GB"/>
              </w:rPr>
              <w:t>,</w:t>
            </w:r>
            <w:r w:rsidR="00EB3E26">
              <w:rPr>
                <w:color w:val="000000"/>
                <w:sz w:val="16"/>
                <w:szCs w:val="16"/>
                <w:lang w:val="en-GB"/>
              </w:rPr>
              <w:t>885</w:t>
            </w:r>
            <w:r w:rsidR="006117B0" w:rsidRPr="004464D1">
              <w:rPr>
                <w:color w:val="000000"/>
                <w:sz w:val="16"/>
                <w:szCs w:val="16"/>
                <w:lang w:val="en-GB"/>
              </w:rPr>
              <w:t xml:space="preserve"> </w:t>
            </w:r>
          </w:p>
          <w:p w14:paraId="3EB1EC4D" w14:textId="6142FE21" w:rsidR="00CE7B57" w:rsidRPr="000D260E" w:rsidRDefault="00CE7B57" w:rsidP="006651CC">
            <w:pPr>
              <w:pStyle w:val="ListParagraph"/>
              <w:tabs>
                <w:tab w:val="left" w:pos="1620"/>
              </w:tabs>
              <w:spacing w:after="120"/>
              <w:ind w:left="360"/>
              <w:rPr>
                <w:color w:val="000000"/>
                <w:sz w:val="16"/>
                <w:szCs w:val="16"/>
                <w:lang w:val="en-GB"/>
              </w:rPr>
            </w:pPr>
            <w:r w:rsidRPr="000D260E">
              <w:rPr>
                <w:color w:val="000000"/>
                <w:sz w:val="16"/>
                <w:szCs w:val="16"/>
                <w:lang w:val="en-GB"/>
              </w:rPr>
              <w:t xml:space="preserve">Target </w:t>
            </w:r>
            <w:r w:rsidR="009A6639" w:rsidRPr="000D260E">
              <w:rPr>
                <w:color w:val="000000"/>
                <w:sz w:val="16"/>
                <w:szCs w:val="16"/>
                <w:lang w:val="en-GB"/>
              </w:rPr>
              <w:t>(2025)</w:t>
            </w:r>
            <w:r w:rsidRPr="000D260E">
              <w:rPr>
                <w:color w:val="000000"/>
                <w:sz w:val="16"/>
                <w:szCs w:val="16"/>
                <w:lang w:val="en-GB"/>
              </w:rPr>
              <w:t>:</w:t>
            </w:r>
            <w:r w:rsidR="006117B0" w:rsidRPr="000D260E">
              <w:rPr>
                <w:color w:val="000000"/>
                <w:sz w:val="16"/>
                <w:szCs w:val="16"/>
                <w:lang w:val="en-GB"/>
              </w:rPr>
              <w:t xml:space="preserve"> </w:t>
            </w:r>
            <w:r w:rsidR="00EB3E26">
              <w:rPr>
                <w:color w:val="000000"/>
                <w:sz w:val="16"/>
                <w:szCs w:val="16"/>
                <w:lang w:val="en-GB"/>
              </w:rPr>
              <w:t>82</w:t>
            </w:r>
            <w:r w:rsidR="00FF22E5" w:rsidRPr="000D260E">
              <w:rPr>
                <w:color w:val="000000"/>
                <w:sz w:val="16"/>
                <w:szCs w:val="16"/>
                <w:lang w:val="en-GB"/>
              </w:rPr>
              <w:t>,</w:t>
            </w:r>
            <w:r w:rsidR="00EB3E26">
              <w:rPr>
                <w:color w:val="000000"/>
                <w:sz w:val="16"/>
                <w:szCs w:val="16"/>
                <w:lang w:val="en-GB"/>
              </w:rPr>
              <w:t>885</w:t>
            </w:r>
          </w:p>
          <w:p w14:paraId="4AC3128D" w14:textId="5E20ADCD" w:rsidR="00CE7B57" w:rsidRPr="00253DEA" w:rsidRDefault="00CE7B57" w:rsidP="006651CC">
            <w:pPr>
              <w:pStyle w:val="ListParagraph"/>
              <w:tabs>
                <w:tab w:val="left" w:pos="1620"/>
              </w:tabs>
              <w:spacing w:after="120"/>
              <w:ind w:left="360"/>
              <w:rPr>
                <w:b/>
                <w:bCs/>
                <w:color w:val="000000"/>
                <w:sz w:val="16"/>
                <w:szCs w:val="16"/>
                <w:lang w:val="en-GB"/>
              </w:rPr>
            </w:pPr>
            <w:r w:rsidRPr="00036D14">
              <w:rPr>
                <w:color w:val="000000"/>
                <w:sz w:val="16"/>
                <w:szCs w:val="16"/>
                <w:lang w:val="en-GB"/>
              </w:rPr>
              <w:t>Data source, frequency</w:t>
            </w:r>
            <w:r w:rsidR="006117B0" w:rsidRPr="00036D14">
              <w:rPr>
                <w:color w:val="000000"/>
                <w:sz w:val="16"/>
                <w:szCs w:val="16"/>
                <w:lang w:val="en-GB"/>
              </w:rPr>
              <w:t>: Pr</w:t>
            </w:r>
            <w:r w:rsidR="006117B0" w:rsidRPr="00253DEA">
              <w:rPr>
                <w:color w:val="000000"/>
                <w:sz w:val="16"/>
                <w:szCs w:val="16"/>
                <w:lang w:val="en-GB"/>
              </w:rPr>
              <w:t xml:space="preserve">oject </w:t>
            </w:r>
            <w:r w:rsidR="002B45E5" w:rsidRPr="00253DEA">
              <w:rPr>
                <w:color w:val="000000"/>
                <w:sz w:val="16"/>
                <w:szCs w:val="16"/>
                <w:lang w:val="en-GB"/>
              </w:rPr>
              <w:t xml:space="preserve">and </w:t>
            </w:r>
            <w:r w:rsidR="006117B0" w:rsidRPr="00253DEA">
              <w:rPr>
                <w:color w:val="000000"/>
                <w:sz w:val="16"/>
                <w:szCs w:val="16"/>
                <w:lang w:val="en-GB"/>
              </w:rPr>
              <w:t>official government report</w:t>
            </w:r>
            <w:r w:rsidR="002B45E5" w:rsidRPr="00253DEA">
              <w:rPr>
                <w:color w:val="000000"/>
                <w:sz w:val="16"/>
                <w:szCs w:val="16"/>
                <w:lang w:val="en-GB"/>
              </w:rPr>
              <w:t>s; annual</w:t>
            </w:r>
          </w:p>
          <w:p w14:paraId="1811A175" w14:textId="77777777" w:rsidR="004464D1" w:rsidRPr="00253DEA" w:rsidRDefault="004464D1" w:rsidP="006651CC">
            <w:pPr>
              <w:tabs>
                <w:tab w:val="left" w:pos="1620"/>
              </w:tabs>
              <w:spacing w:after="120"/>
              <w:rPr>
                <w:color w:val="000000"/>
                <w:sz w:val="16"/>
                <w:szCs w:val="16"/>
                <w:lang w:val="en-GB"/>
              </w:rPr>
            </w:pPr>
          </w:p>
          <w:p w14:paraId="2505E08A" w14:textId="3B9771FC" w:rsidR="00CE7B57" w:rsidRPr="006651CC" w:rsidRDefault="00CE7B57" w:rsidP="006651CC">
            <w:pPr>
              <w:tabs>
                <w:tab w:val="left" w:pos="1620"/>
              </w:tabs>
              <w:spacing w:after="160"/>
              <w:rPr>
                <w:sz w:val="18"/>
                <w:szCs w:val="18"/>
              </w:rPr>
            </w:pPr>
            <w:r w:rsidRPr="006651CC">
              <w:rPr>
                <w:b/>
                <w:bCs/>
                <w:color w:val="000000"/>
                <w:sz w:val="18"/>
                <w:szCs w:val="18"/>
                <w:lang w:val="en-GB"/>
              </w:rPr>
              <w:t xml:space="preserve">Output </w:t>
            </w:r>
            <w:r w:rsidRPr="006651CC">
              <w:rPr>
                <w:b/>
                <w:bCs/>
                <w:color w:val="000000"/>
                <w:sz w:val="18"/>
                <w:szCs w:val="18"/>
              </w:rPr>
              <w:t>2</w:t>
            </w:r>
            <w:r w:rsidRPr="006651CC">
              <w:rPr>
                <w:b/>
                <w:bCs/>
                <w:color w:val="000000"/>
                <w:sz w:val="18"/>
                <w:szCs w:val="18"/>
                <w:lang w:val="en-GB"/>
              </w:rPr>
              <w:t>.</w:t>
            </w:r>
            <w:r w:rsidRPr="006651CC">
              <w:rPr>
                <w:b/>
                <w:bCs/>
                <w:color w:val="000000"/>
                <w:sz w:val="18"/>
                <w:szCs w:val="18"/>
              </w:rPr>
              <w:t>4</w:t>
            </w:r>
            <w:r w:rsidR="00A37B39">
              <w:rPr>
                <w:b/>
                <w:bCs/>
                <w:color w:val="000000"/>
                <w:sz w:val="18"/>
                <w:szCs w:val="18"/>
                <w:lang w:val="en-GB"/>
              </w:rPr>
              <w:t>.</w:t>
            </w:r>
            <w:r w:rsidRPr="006651CC">
              <w:rPr>
                <w:b/>
                <w:bCs/>
                <w:color w:val="000000"/>
                <w:sz w:val="18"/>
                <w:szCs w:val="18"/>
                <w:lang w:val="en-GB"/>
              </w:rPr>
              <w:t xml:space="preserve"> </w:t>
            </w:r>
            <w:r w:rsidR="00F279CE" w:rsidRPr="006651CC">
              <w:rPr>
                <w:b/>
                <w:bCs/>
                <w:color w:val="000000"/>
                <w:sz w:val="18"/>
                <w:szCs w:val="18"/>
                <w:lang w:val="en-GB"/>
              </w:rPr>
              <w:t xml:space="preserve">National </w:t>
            </w:r>
            <w:r w:rsidR="00F279CE" w:rsidRPr="006651CC">
              <w:rPr>
                <w:b/>
                <w:bCs/>
                <w:color w:val="000000"/>
                <w:sz w:val="18"/>
                <w:szCs w:val="18"/>
              </w:rPr>
              <w:t>e</w:t>
            </w:r>
            <w:r w:rsidRPr="006651CC">
              <w:rPr>
                <w:b/>
                <w:bCs/>
                <w:sz w:val="18"/>
                <w:szCs w:val="18"/>
              </w:rPr>
              <w:t>mergency preparedness</w:t>
            </w:r>
            <w:r w:rsidR="0025753C" w:rsidRPr="006651CC">
              <w:rPr>
                <w:b/>
                <w:bCs/>
                <w:sz w:val="18"/>
                <w:szCs w:val="18"/>
              </w:rPr>
              <w:t xml:space="preserve"> </w:t>
            </w:r>
            <w:r w:rsidRPr="006651CC">
              <w:rPr>
                <w:b/>
                <w:bCs/>
                <w:sz w:val="18"/>
                <w:szCs w:val="18"/>
              </w:rPr>
              <w:t>for major hazards</w:t>
            </w:r>
            <w:r w:rsidR="00622AAE" w:rsidRPr="006651CC">
              <w:rPr>
                <w:b/>
                <w:bCs/>
                <w:sz w:val="18"/>
                <w:szCs w:val="18"/>
              </w:rPr>
              <w:t xml:space="preserve"> </w:t>
            </w:r>
            <w:r w:rsidR="00F279CE" w:rsidRPr="006651CC">
              <w:rPr>
                <w:b/>
                <w:bCs/>
                <w:sz w:val="18"/>
                <w:szCs w:val="18"/>
              </w:rPr>
              <w:t>strengthened</w:t>
            </w:r>
            <w:r w:rsidRPr="006651CC">
              <w:rPr>
                <w:b/>
                <w:bCs/>
                <w:sz w:val="18"/>
                <w:szCs w:val="18"/>
              </w:rPr>
              <w:t>,</w:t>
            </w:r>
            <w:r w:rsidR="00622AAE" w:rsidRPr="006651CC">
              <w:rPr>
                <w:b/>
                <w:bCs/>
                <w:sz w:val="18"/>
                <w:szCs w:val="18"/>
              </w:rPr>
              <w:t xml:space="preserve"> in line with</w:t>
            </w:r>
            <w:r w:rsidR="0025753C" w:rsidRPr="006651CC">
              <w:rPr>
                <w:b/>
                <w:bCs/>
                <w:sz w:val="18"/>
                <w:szCs w:val="18"/>
              </w:rPr>
              <w:t xml:space="preserve"> </w:t>
            </w:r>
            <w:r w:rsidRPr="006651CC">
              <w:rPr>
                <w:b/>
                <w:bCs/>
                <w:sz w:val="18"/>
                <w:szCs w:val="18"/>
              </w:rPr>
              <w:t xml:space="preserve">regional factors and </w:t>
            </w:r>
            <w:r w:rsidR="00622AAE" w:rsidRPr="006651CC">
              <w:rPr>
                <w:b/>
                <w:bCs/>
                <w:sz w:val="18"/>
                <w:szCs w:val="18"/>
              </w:rPr>
              <w:t xml:space="preserve">international </w:t>
            </w:r>
            <w:r w:rsidRPr="006651CC">
              <w:rPr>
                <w:b/>
                <w:bCs/>
                <w:sz w:val="18"/>
                <w:szCs w:val="18"/>
              </w:rPr>
              <w:t>environmental conventions</w:t>
            </w:r>
          </w:p>
          <w:p w14:paraId="59CDFC08" w14:textId="68607B48" w:rsidR="00CE7B57" w:rsidRPr="004464D1" w:rsidRDefault="00CE7B57" w:rsidP="00A37B39">
            <w:pPr>
              <w:pStyle w:val="ListParagraph"/>
              <w:tabs>
                <w:tab w:val="left" w:pos="1620"/>
              </w:tabs>
              <w:spacing w:after="120"/>
              <w:ind w:left="360"/>
              <w:rPr>
                <w:color w:val="000000"/>
                <w:sz w:val="16"/>
                <w:szCs w:val="16"/>
                <w:lang w:val="en-GB"/>
              </w:rPr>
            </w:pPr>
            <w:r w:rsidRPr="00253DEA">
              <w:rPr>
                <w:color w:val="000000"/>
                <w:sz w:val="16"/>
                <w:szCs w:val="16"/>
                <w:lang w:val="en-GB"/>
              </w:rPr>
              <w:t xml:space="preserve">Indicative </w:t>
            </w:r>
            <w:r w:rsidR="00A37B39">
              <w:rPr>
                <w:color w:val="000000"/>
                <w:sz w:val="16"/>
                <w:szCs w:val="16"/>
                <w:lang w:val="en-GB"/>
              </w:rPr>
              <w:t>i</w:t>
            </w:r>
            <w:r w:rsidRPr="00253DEA">
              <w:rPr>
                <w:color w:val="000000"/>
                <w:sz w:val="16"/>
                <w:szCs w:val="16"/>
                <w:lang w:val="en-GB"/>
              </w:rPr>
              <w:t xml:space="preserve">ndicator </w:t>
            </w:r>
            <w:r w:rsidRPr="00253DEA">
              <w:rPr>
                <w:color w:val="000000"/>
                <w:sz w:val="16"/>
                <w:szCs w:val="16"/>
              </w:rPr>
              <w:t>2</w:t>
            </w:r>
            <w:r w:rsidRPr="00253DEA">
              <w:rPr>
                <w:color w:val="000000"/>
                <w:sz w:val="16"/>
                <w:szCs w:val="16"/>
                <w:lang w:val="en-GB"/>
              </w:rPr>
              <w:t>.</w:t>
            </w:r>
            <w:r w:rsidRPr="004464D1">
              <w:rPr>
                <w:color w:val="000000"/>
                <w:sz w:val="16"/>
                <w:szCs w:val="16"/>
              </w:rPr>
              <w:t>4.</w:t>
            </w:r>
            <w:r w:rsidR="007F0B43" w:rsidRPr="004464D1">
              <w:rPr>
                <w:color w:val="000000"/>
                <w:sz w:val="16"/>
                <w:szCs w:val="16"/>
              </w:rPr>
              <w:t>1</w:t>
            </w:r>
            <w:r w:rsidR="00A37B39">
              <w:rPr>
                <w:color w:val="000000"/>
                <w:sz w:val="16"/>
                <w:szCs w:val="16"/>
                <w:lang w:val="en-GB"/>
              </w:rPr>
              <w:t>.</w:t>
            </w:r>
            <w:r w:rsidRPr="004464D1">
              <w:rPr>
                <w:color w:val="000000"/>
                <w:sz w:val="16"/>
                <w:szCs w:val="16"/>
                <w:lang w:val="en-GB"/>
              </w:rPr>
              <w:t xml:space="preserve"> </w:t>
            </w:r>
            <w:r w:rsidR="000D4D24" w:rsidRPr="006651CC">
              <w:rPr>
                <w:color w:val="000000"/>
                <w:sz w:val="16"/>
                <w:szCs w:val="16"/>
                <w:lang w:val="en-GB"/>
              </w:rPr>
              <w:t>Number of events/safety trainings held to strengthen the system of national emergency preparedness</w:t>
            </w:r>
          </w:p>
          <w:p w14:paraId="4E4A9A3E" w14:textId="1131A388" w:rsidR="00CE7B57" w:rsidRPr="00253DEA" w:rsidRDefault="00CE7B57" w:rsidP="006651CC">
            <w:pPr>
              <w:pStyle w:val="ListParagraph"/>
              <w:tabs>
                <w:tab w:val="left" w:pos="1620"/>
              </w:tabs>
              <w:spacing w:after="120"/>
              <w:ind w:left="360"/>
              <w:rPr>
                <w:color w:val="000000"/>
                <w:sz w:val="16"/>
                <w:szCs w:val="16"/>
                <w:lang w:val="en-GB"/>
              </w:rPr>
            </w:pPr>
            <w:r w:rsidRPr="00253DEA">
              <w:rPr>
                <w:color w:val="000000"/>
                <w:sz w:val="16"/>
                <w:szCs w:val="16"/>
                <w:lang w:val="en-GB"/>
              </w:rPr>
              <w:t xml:space="preserve">Baseline </w:t>
            </w:r>
            <w:r w:rsidR="00BE27A5" w:rsidRPr="00253DEA">
              <w:rPr>
                <w:color w:val="000000"/>
                <w:sz w:val="16"/>
                <w:szCs w:val="16"/>
                <w:lang w:val="en-GB"/>
              </w:rPr>
              <w:t>(20</w:t>
            </w:r>
            <w:r w:rsidR="000D4D24" w:rsidRPr="00253DEA">
              <w:rPr>
                <w:color w:val="000000"/>
                <w:sz w:val="16"/>
                <w:szCs w:val="16"/>
              </w:rPr>
              <w:t>20</w:t>
            </w:r>
            <w:r w:rsidR="00BE27A5" w:rsidRPr="00253DEA">
              <w:rPr>
                <w:color w:val="000000"/>
                <w:sz w:val="16"/>
                <w:szCs w:val="16"/>
                <w:lang w:val="en-GB"/>
              </w:rPr>
              <w:t>)</w:t>
            </w:r>
            <w:r w:rsidRPr="00253DEA">
              <w:rPr>
                <w:color w:val="000000"/>
                <w:sz w:val="16"/>
                <w:szCs w:val="16"/>
                <w:lang w:val="en-GB"/>
              </w:rPr>
              <w:t>:</w:t>
            </w:r>
            <w:r w:rsidR="006117B0" w:rsidRPr="00253DEA">
              <w:rPr>
                <w:color w:val="000000"/>
                <w:sz w:val="16"/>
                <w:szCs w:val="16"/>
                <w:lang w:val="en-GB"/>
              </w:rPr>
              <w:t xml:space="preserve"> </w:t>
            </w:r>
            <w:r w:rsidR="00BE27A5" w:rsidRPr="00253DEA">
              <w:rPr>
                <w:sz w:val="16"/>
                <w:szCs w:val="16"/>
                <w:lang w:val="en-GB"/>
              </w:rPr>
              <w:t>0</w:t>
            </w:r>
            <w:r w:rsidR="00BE27A5" w:rsidRPr="00253DEA">
              <w:rPr>
                <w:color w:val="FF0000"/>
                <w:sz w:val="16"/>
                <w:szCs w:val="16"/>
                <w:lang w:val="en-GB"/>
              </w:rPr>
              <w:t xml:space="preserve"> </w:t>
            </w:r>
          </w:p>
          <w:p w14:paraId="1F0C2679" w14:textId="75EBDB86" w:rsidR="00CE7B57" w:rsidRPr="00253DEA" w:rsidRDefault="00CE7B57" w:rsidP="006651CC">
            <w:pPr>
              <w:pStyle w:val="ListParagraph"/>
              <w:tabs>
                <w:tab w:val="left" w:pos="1620"/>
              </w:tabs>
              <w:spacing w:after="120"/>
              <w:ind w:left="360"/>
              <w:rPr>
                <w:color w:val="000000"/>
                <w:sz w:val="16"/>
                <w:szCs w:val="16"/>
                <w:lang w:val="en-GB"/>
              </w:rPr>
            </w:pPr>
            <w:r w:rsidRPr="00253DEA">
              <w:rPr>
                <w:color w:val="000000"/>
                <w:sz w:val="16"/>
                <w:szCs w:val="16"/>
                <w:lang w:val="en-GB"/>
              </w:rPr>
              <w:t xml:space="preserve">Target </w:t>
            </w:r>
            <w:r w:rsidR="009A6639" w:rsidRPr="00253DEA">
              <w:rPr>
                <w:color w:val="000000"/>
                <w:sz w:val="16"/>
                <w:szCs w:val="16"/>
                <w:lang w:val="en-GB"/>
              </w:rPr>
              <w:t>(2025)</w:t>
            </w:r>
            <w:r w:rsidRPr="00253DEA">
              <w:rPr>
                <w:color w:val="000000"/>
                <w:sz w:val="16"/>
                <w:szCs w:val="16"/>
                <w:lang w:val="en-GB"/>
              </w:rPr>
              <w:t>:</w:t>
            </w:r>
            <w:r w:rsidR="000D4D24" w:rsidRPr="00253DEA">
              <w:rPr>
                <w:color w:val="000000"/>
                <w:sz w:val="16"/>
                <w:szCs w:val="16"/>
                <w:lang w:val="en-GB"/>
              </w:rPr>
              <w:t>2</w:t>
            </w:r>
            <w:r w:rsidR="006117B0" w:rsidRPr="00253DEA">
              <w:rPr>
                <w:color w:val="000000"/>
                <w:sz w:val="16"/>
                <w:szCs w:val="16"/>
                <w:lang w:val="en-GB"/>
              </w:rPr>
              <w:t xml:space="preserve">0 </w:t>
            </w:r>
          </w:p>
          <w:p w14:paraId="1966DBF6" w14:textId="092AA0CA" w:rsidR="000D260E" w:rsidRPr="00253DEA" w:rsidRDefault="00CE7B57" w:rsidP="005F70DE">
            <w:pPr>
              <w:pStyle w:val="ListParagraph"/>
              <w:tabs>
                <w:tab w:val="left" w:pos="1620"/>
              </w:tabs>
              <w:spacing w:after="120"/>
              <w:ind w:left="360"/>
              <w:rPr>
                <w:b/>
                <w:bCs/>
                <w:color w:val="000000"/>
                <w:sz w:val="16"/>
                <w:szCs w:val="16"/>
                <w:lang w:val="en-GB"/>
              </w:rPr>
            </w:pPr>
            <w:r w:rsidRPr="00253DEA">
              <w:rPr>
                <w:color w:val="000000"/>
                <w:sz w:val="16"/>
                <w:szCs w:val="16"/>
                <w:lang w:val="en-GB"/>
              </w:rPr>
              <w:t>Data source, frequency</w:t>
            </w:r>
            <w:r w:rsidR="006117B0" w:rsidRPr="00253DEA">
              <w:rPr>
                <w:color w:val="000000"/>
                <w:sz w:val="16"/>
                <w:szCs w:val="16"/>
                <w:lang w:val="en-GB"/>
              </w:rPr>
              <w:t xml:space="preserve">: </w:t>
            </w:r>
            <w:r w:rsidR="000D4D24" w:rsidRPr="00253DEA">
              <w:rPr>
                <w:color w:val="000000"/>
                <w:sz w:val="16"/>
                <w:szCs w:val="16"/>
                <w:lang w:val="en-GB"/>
              </w:rPr>
              <w:t>official government reports</w:t>
            </w:r>
            <w:r w:rsidR="002B45E5" w:rsidRPr="00253DEA">
              <w:rPr>
                <w:color w:val="000000"/>
                <w:sz w:val="16"/>
                <w:szCs w:val="16"/>
                <w:lang w:val="en-GB"/>
              </w:rPr>
              <w:t>; annual</w:t>
            </w:r>
            <w:r w:rsidR="006117B0" w:rsidRPr="00253DEA">
              <w:rPr>
                <w:color w:val="000000"/>
                <w:sz w:val="16"/>
                <w:szCs w:val="16"/>
                <w:lang w:val="en-GB"/>
              </w:rPr>
              <w:t>.</w:t>
            </w:r>
          </w:p>
        </w:tc>
        <w:tc>
          <w:tcPr>
            <w:tcW w:w="701" w:type="pct"/>
            <w:vMerge w:val="restart"/>
            <w:shd w:val="clear" w:color="auto" w:fill="auto"/>
          </w:tcPr>
          <w:p w14:paraId="0D812188" w14:textId="1D74C4EA" w:rsidR="009020B7" w:rsidRPr="006651CC" w:rsidRDefault="009020B7" w:rsidP="006651CC">
            <w:pPr>
              <w:tabs>
                <w:tab w:val="left" w:pos="1620"/>
              </w:tabs>
              <w:spacing w:after="120"/>
              <w:rPr>
                <w:color w:val="000000"/>
                <w:sz w:val="16"/>
                <w:szCs w:val="16"/>
                <w:lang w:val="fr-FR"/>
              </w:rPr>
            </w:pPr>
            <w:r w:rsidRPr="006651CC">
              <w:rPr>
                <w:color w:val="000000"/>
                <w:sz w:val="16"/>
                <w:szCs w:val="16"/>
                <w:lang w:val="fr-FR"/>
              </w:rPr>
              <w:lastRenderedPageBreak/>
              <w:t>MNREP</w:t>
            </w:r>
          </w:p>
          <w:p w14:paraId="71EB2105" w14:textId="77777777" w:rsidR="009020B7" w:rsidRPr="006651CC" w:rsidRDefault="009020B7" w:rsidP="006651CC">
            <w:pPr>
              <w:tabs>
                <w:tab w:val="left" w:pos="1620"/>
              </w:tabs>
              <w:spacing w:after="120"/>
              <w:rPr>
                <w:color w:val="000000"/>
                <w:sz w:val="16"/>
                <w:szCs w:val="16"/>
                <w:lang w:val="fr-FR"/>
              </w:rPr>
            </w:pPr>
            <w:r w:rsidRPr="006651CC">
              <w:rPr>
                <w:color w:val="000000"/>
                <w:sz w:val="16"/>
                <w:szCs w:val="16"/>
                <w:lang w:val="fr-FR"/>
              </w:rPr>
              <w:t>MOE</w:t>
            </w:r>
          </w:p>
          <w:p w14:paraId="03087486" w14:textId="23B2FCE8" w:rsidR="009020B7" w:rsidRPr="006651CC" w:rsidRDefault="009020B7" w:rsidP="006651CC">
            <w:pPr>
              <w:tabs>
                <w:tab w:val="left" w:pos="1620"/>
              </w:tabs>
              <w:spacing w:after="120"/>
              <w:rPr>
                <w:color w:val="000000"/>
                <w:sz w:val="16"/>
                <w:szCs w:val="16"/>
                <w:lang w:val="fr-FR"/>
              </w:rPr>
            </w:pPr>
            <w:r w:rsidRPr="006651CC">
              <w:rPr>
                <w:color w:val="000000"/>
                <w:sz w:val="16"/>
                <w:szCs w:val="16"/>
                <w:lang w:val="fr-FR"/>
              </w:rPr>
              <w:t>MES</w:t>
            </w:r>
          </w:p>
          <w:p w14:paraId="7D549ED3" w14:textId="41603670" w:rsidR="009020B7" w:rsidRPr="006651CC" w:rsidRDefault="00077B57" w:rsidP="006651CC">
            <w:pPr>
              <w:tabs>
                <w:tab w:val="left" w:pos="1620"/>
              </w:tabs>
              <w:spacing w:after="120"/>
              <w:rPr>
                <w:color w:val="000000"/>
                <w:sz w:val="16"/>
                <w:szCs w:val="16"/>
                <w:lang w:val="fr-FR"/>
              </w:rPr>
            </w:pPr>
            <w:r w:rsidRPr="006651CC">
              <w:rPr>
                <w:color w:val="000000"/>
                <w:sz w:val="16"/>
                <w:szCs w:val="16"/>
                <w:lang w:val="fr-FR"/>
              </w:rPr>
              <w:t>EEDSCS</w:t>
            </w:r>
          </w:p>
          <w:p w14:paraId="23152BC6" w14:textId="742205C7" w:rsidR="00077B57" w:rsidRPr="006651CC" w:rsidRDefault="00077B57" w:rsidP="006651CC">
            <w:pPr>
              <w:tabs>
                <w:tab w:val="left" w:pos="1620"/>
              </w:tabs>
              <w:spacing w:after="120"/>
              <w:rPr>
                <w:color w:val="000000"/>
                <w:sz w:val="16"/>
                <w:szCs w:val="16"/>
                <w:lang w:val="fr-FR"/>
              </w:rPr>
            </w:pPr>
            <w:r w:rsidRPr="006651CC">
              <w:rPr>
                <w:color w:val="000000"/>
                <w:sz w:val="16"/>
                <w:szCs w:val="16"/>
                <w:lang w:val="fr-FR"/>
              </w:rPr>
              <w:t>MOI</w:t>
            </w:r>
          </w:p>
          <w:p w14:paraId="58449B54" w14:textId="5339583F" w:rsidR="00077B57" w:rsidRPr="006651CC" w:rsidRDefault="00077B57" w:rsidP="006651CC">
            <w:pPr>
              <w:tabs>
                <w:tab w:val="left" w:pos="1620"/>
              </w:tabs>
              <w:spacing w:after="120"/>
              <w:rPr>
                <w:color w:val="000000"/>
                <w:sz w:val="16"/>
                <w:szCs w:val="16"/>
                <w:lang w:val="fr-FR"/>
              </w:rPr>
            </w:pPr>
            <w:r w:rsidRPr="006651CC">
              <w:rPr>
                <w:color w:val="000000"/>
                <w:sz w:val="16"/>
                <w:szCs w:val="16"/>
                <w:lang w:val="fr-FR"/>
              </w:rPr>
              <w:t>MAF</w:t>
            </w:r>
          </w:p>
          <w:p w14:paraId="59FB52C2" w14:textId="2A96EC89" w:rsidR="00077B57" w:rsidRDefault="00077B57" w:rsidP="006651CC">
            <w:pPr>
              <w:tabs>
                <w:tab w:val="left" w:pos="1620"/>
              </w:tabs>
              <w:spacing w:after="120"/>
              <w:rPr>
                <w:color w:val="000000"/>
                <w:sz w:val="16"/>
                <w:szCs w:val="16"/>
                <w:lang w:val="en-GB"/>
              </w:rPr>
            </w:pPr>
            <w:r>
              <w:rPr>
                <w:color w:val="000000"/>
                <w:sz w:val="16"/>
                <w:szCs w:val="16"/>
                <w:lang w:val="en-GB"/>
              </w:rPr>
              <w:t>MOF</w:t>
            </w:r>
          </w:p>
          <w:p w14:paraId="7AFD10B8" w14:textId="5433DD52" w:rsidR="0039400E" w:rsidRDefault="0039400E" w:rsidP="006651CC">
            <w:pPr>
              <w:tabs>
                <w:tab w:val="left" w:pos="1620"/>
              </w:tabs>
              <w:spacing w:after="120"/>
              <w:rPr>
                <w:color w:val="000000"/>
                <w:sz w:val="16"/>
                <w:szCs w:val="16"/>
                <w:lang w:val="en-GB"/>
              </w:rPr>
            </w:pPr>
            <w:r>
              <w:rPr>
                <w:color w:val="000000"/>
                <w:sz w:val="16"/>
                <w:szCs w:val="16"/>
                <w:lang w:val="en-GB"/>
              </w:rPr>
              <w:t>Ministry of Education</w:t>
            </w:r>
          </w:p>
          <w:p w14:paraId="64BE6908" w14:textId="48813418" w:rsidR="0039400E" w:rsidRDefault="00D37617" w:rsidP="006651CC">
            <w:pPr>
              <w:tabs>
                <w:tab w:val="left" w:pos="1620"/>
              </w:tabs>
              <w:spacing w:after="120"/>
              <w:rPr>
                <w:color w:val="000000"/>
                <w:sz w:val="16"/>
                <w:szCs w:val="16"/>
                <w:lang w:val="en-GB"/>
              </w:rPr>
            </w:pPr>
            <w:r>
              <w:rPr>
                <w:color w:val="000000"/>
                <w:sz w:val="16"/>
                <w:szCs w:val="16"/>
                <w:lang w:val="en-GB"/>
              </w:rPr>
              <w:t>NAS</w:t>
            </w:r>
          </w:p>
          <w:p w14:paraId="49A5C7C8" w14:textId="77777777" w:rsidR="00077B57" w:rsidRDefault="00077B57" w:rsidP="00077B57">
            <w:pPr>
              <w:tabs>
                <w:tab w:val="left" w:pos="1620"/>
              </w:tabs>
              <w:spacing w:after="120"/>
              <w:rPr>
                <w:sz w:val="16"/>
                <w:szCs w:val="16"/>
                <w:lang w:val="en-GB"/>
              </w:rPr>
            </w:pPr>
            <w:r>
              <w:rPr>
                <w:sz w:val="16"/>
                <w:szCs w:val="16"/>
                <w:lang w:val="en-GB"/>
              </w:rPr>
              <w:t>A</w:t>
            </w:r>
            <w:r w:rsidRPr="00253DEA">
              <w:rPr>
                <w:sz w:val="16"/>
                <w:szCs w:val="16"/>
                <w:lang w:val="en-GB"/>
              </w:rPr>
              <w:t>cademic and educational institutions</w:t>
            </w:r>
          </w:p>
          <w:p w14:paraId="77EE1420" w14:textId="79481111" w:rsidR="00077B57" w:rsidRDefault="00077B57" w:rsidP="00077B57">
            <w:pPr>
              <w:tabs>
                <w:tab w:val="left" w:pos="1620"/>
              </w:tabs>
              <w:spacing w:after="120"/>
              <w:rPr>
                <w:sz w:val="16"/>
                <w:szCs w:val="16"/>
                <w:lang w:val="en-GB"/>
              </w:rPr>
            </w:pPr>
            <w:r>
              <w:rPr>
                <w:sz w:val="16"/>
                <w:szCs w:val="16"/>
                <w:lang w:val="en-GB"/>
              </w:rPr>
              <w:t>L</w:t>
            </w:r>
            <w:r w:rsidRPr="00253DEA">
              <w:rPr>
                <w:sz w:val="16"/>
                <w:szCs w:val="16"/>
                <w:lang w:val="en-GB"/>
              </w:rPr>
              <w:t>ocal authorities</w:t>
            </w:r>
          </w:p>
          <w:p w14:paraId="5CC3A7FE" w14:textId="0C639D0E" w:rsidR="00276167" w:rsidRDefault="00276167" w:rsidP="00077B57">
            <w:pPr>
              <w:tabs>
                <w:tab w:val="left" w:pos="1620"/>
              </w:tabs>
              <w:spacing w:after="120"/>
              <w:rPr>
                <w:sz w:val="16"/>
                <w:szCs w:val="16"/>
                <w:lang w:val="en-GB"/>
              </w:rPr>
            </w:pPr>
            <w:r>
              <w:rPr>
                <w:sz w:val="16"/>
                <w:szCs w:val="16"/>
                <w:lang w:val="en-GB"/>
              </w:rPr>
              <w:t>Private sector</w:t>
            </w:r>
          </w:p>
          <w:p w14:paraId="1EF0E848" w14:textId="3176F7CA" w:rsidR="00CE7B57" w:rsidRPr="00253DEA" w:rsidRDefault="00077B57" w:rsidP="006651CC">
            <w:pPr>
              <w:tabs>
                <w:tab w:val="left" w:pos="1620"/>
              </w:tabs>
              <w:spacing w:after="120"/>
              <w:rPr>
                <w:b/>
                <w:bCs/>
                <w:color w:val="000000"/>
                <w:sz w:val="16"/>
                <w:szCs w:val="16"/>
                <w:lang w:val="en-GB"/>
              </w:rPr>
            </w:pPr>
            <w:r>
              <w:rPr>
                <w:sz w:val="16"/>
                <w:szCs w:val="16"/>
                <w:lang w:val="en-GB"/>
              </w:rPr>
              <w:t>NGOs</w:t>
            </w:r>
          </w:p>
        </w:tc>
        <w:tc>
          <w:tcPr>
            <w:tcW w:w="682" w:type="pct"/>
            <w:shd w:val="clear" w:color="auto" w:fill="auto"/>
            <w:tcMar>
              <w:top w:w="15" w:type="dxa"/>
              <w:left w:w="108" w:type="dxa"/>
              <w:bottom w:w="0" w:type="dxa"/>
              <w:right w:w="108" w:type="dxa"/>
            </w:tcMar>
          </w:tcPr>
          <w:p w14:paraId="1B0BC449" w14:textId="3ABD2B13" w:rsidR="00CE7B57" w:rsidRPr="00253DEA" w:rsidRDefault="00CE7B57" w:rsidP="006651CC">
            <w:pPr>
              <w:tabs>
                <w:tab w:val="left" w:pos="1620"/>
              </w:tabs>
              <w:spacing w:after="120"/>
              <w:rPr>
                <w:b/>
                <w:color w:val="000000"/>
                <w:sz w:val="16"/>
                <w:szCs w:val="16"/>
              </w:rPr>
            </w:pPr>
            <w:r w:rsidRPr="00253DEA">
              <w:rPr>
                <w:b/>
                <w:color w:val="000000"/>
                <w:sz w:val="16"/>
                <w:szCs w:val="16"/>
              </w:rPr>
              <w:t>Regular</w:t>
            </w:r>
            <w:r w:rsidR="003C611C" w:rsidRPr="00253DEA">
              <w:rPr>
                <w:b/>
                <w:color w:val="000000"/>
                <w:sz w:val="16"/>
                <w:szCs w:val="16"/>
              </w:rPr>
              <w:t>: $400</w:t>
            </w:r>
          </w:p>
        </w:tc>
      </w:tr>
      <w:tr w:rsidR="00CE7B57" w:rsidRPr="00253DEA" w14:paraId="2FCA3928" w14:textId="77777777" w:rsidTr="00253DEA">
        <w:tc>
          <w:tcPr>
            <w:tcW w:w="971" w:type="pct"/>
            <w:vMerge/>
            <w:shd w:val="clear" w:color="auto" w:fill="auto"/>
            <w:tcMar>
              <w:top w:w="72" w:type="dxa"/>
              <w:left w:w="144" w:type="dxa"/>
              <w:bottom w:w="72" w:type="dxa"/>
              <w:right w:w="144" w:type="dxa"/>
            </w:tcMar>
            <w:vAlign w:val="center"/>
          </w:tcPr>
          <w:p w14:paraId="1FE5E10A" w14:textId="11B32E13" w:rsidR="00CE7B57" w:rsidRPr="00253DEA" w:rsidRDefault="00CE7B57" w:rsidP="006651CC">
            <w:pPr>
              <w:tabs>
                <w:tab w:val="left" w:pos="1620"/>
              </w:tabs>
              <w:spacing w:after="120"/>
              <w:jc w:val="center"/>
              <w:rPr>
                <w:b/>
                <w:bCs/>
                <w:color w:val="000000"/>
                <w:sz w:val="16"/>
                <w:szCs w:val="16"/>
                <w:lang w:val="en-GB"/>
              </w:rPr>
            </w:pPr>
          </w:p>
        </w:tc>
        <w:tc>
          <w:tcPr>
            <w:tcW w:w="918" w:type="pct"/>
            <w:vMerge/>
            <w:shd w:val="clear" w:color="auto" w:fill="auto"/>
            <w:vAlign w:val="center"/>
          </w:tcPr>
          <w:p w14:paraId="50F7041D" w14:textId="77777777" w:rsidR="00CE7B57" w:rsidRPr="00253DEA" w:rsidRDefault="00CE7B57" w:rsidP="006651CC">
            <w:pPr>
              <w:tabs>
                <w:tab w:val="left" w:pos="1620"/>
              </w:tabs>
              <w:spacing w:after="120"/>
              <w:jc w:val="center"/>
              <w:rPr>
                <w:b/>
                <w:color w:val="000000"/>
                <w:sz w:val="16"/>
                <w:szCs w:val="16"/>
              </w:rPr>
            </w:pPr>
          </w:p>
        </w:tc>
        <w:tc>
          <w:tcPr>
            <w:tcW w:w="1728" w:type="pct"/>
            <w:vMerge/>
            <w:shd w:val="clear" w:color="auto" w:fill="auto"/>
            <w:tcMar>
              <w:top w:w="72" w:type="dxa"/>
              <w:left w:w="144" w:type="dxa"/>
              <w:bottom w:w="72" w:type="dxa"/>
              <w:right w:w="144" w:type="dxa"/>
            </w:tcMar>
            <w:vAlign w:val="center"/>
          </w:tcPr>
          <w:p w14:paraId="2F65B151" w14:textId="77777777" w:rsidR="00CE7B57" w:rsidRPr="00253DEA" w:rsidRDefault="00CE7B57" w:rsidP="006651CC">
            <w:pPr>
              <w:tabs>
                <w:tab w:val="left" w:pos="1620"/>
              </w:tabs>
              <w:spacing w:after="120"/>
              <w:jc w:val="center"/>
              <w:rPr>
                <w:b/>
                <w:bCs/>
                <w:color w:val="000000"/>
                <w:sz w:val="16"/>
                <w:szCs w:val="16"/>
                <w:lang w:val="en-GB"/>
              </w:rPr>
            </w:pPr>
          </w:p>
        </w:tc>
        <w:tc>
          <w:tcPr>
            <w:tcW w:w="701" w:type="pct"/>
            <w:vMerge/>
            <w:shd w:val="clear" w:color="auto" w:fill="auto"/>
            <w:vAlign w:val="center"/>
          </w:tcPr>
          <w:p w14:paraId="6B502FAA" w14:textId="77777777" w:rsidR="00CE7B57" w:rsidRPr="00253DEA" w:rsidRDefault="00CE7B57" w:rsidP="006651CC">
            <w:pPr>
              <w:tabs>
                <w:tab w:val="left" w:pos="1620"/>
              </w:tabs>
              <w:spacing w:after="120"/>
              <w:jc w:val="center"/>
              <w:rPr>
                <w:b/>
                <w:bCs/>
                <w:color w:val="000000"/>
                <w:sz w:val="16"/>
                <w:szCs w:val="16"/>
                <w:lang w:val="en-GB"/>
              </w:rPr>
            </w:pPr>
          </w:p>
        </w:tc>
        <w:tc>
          <w:tcPr>
            <w:tcW w:w="682" w:type="pct"/>
            <w:shd w:val="clear" w:color="auto" w:fill="auto"/>
            <w:tcMar>
              <w:top w:w="15" w:type="dxa"/>
              <w:left w:w="108" w:type="dxa"/>
              <w:bottom w:w="0" w:type="dxa"/>
              <w:right w:w="108" w:type="dxa"/>
            </w:tcMar>
          </w:tcPr>
          <w:p w14:paraId="7E417248" w14:textId="00075CC7" w:rsidR="00CE7B57" w:rsidRPr="00253DEA" w:rsidRDefault="00CE7B57" w:rsidP="006651CC">
            <w:pPr>
              <w:tabs>
                <w:tab w:val="left" w:pos="1620"/>
              </w:tabs>
              <w:spacing w:after="120"/>
              <w:rPr>
                <w:b/>
                <w:color w:val="000000"/>
                <w:sz w:val="16"/>
                <w:szCs w:val="16"/>
              </w:rPr>
            </w:pPr>
            <w:r w:rsidRPr="00253DEA">
              <w:rPr>
                <w:b/>
                <w:color w:val="000000"/>
                <w:sz w:val="16"/>
                <w:szCs w:val="16"/>
              </w:rPr>
              <w:t>Other</w:t>
            </w:r>
            <w:r w:rsidR="008B149A" w:rsidRPr="00253DEA">
              <w:rPr>
                <w:b/>
                <w:color w:val="000000"/>
                <w:sz w:val="16"/>
                <w:szCs w:val="16"/>
              </w:rPr>
              <w:t>: $1</w:t>
            </w:r>
            <w:r w:rsidR="00CA166A" w:rsidRPr="00253DEA">
              <w:rPr>
                <w:b/>
                <w:color w:val="000000"/>
                <w:sz w:val="16"/>
                <w:szCs w:val="16"/>
              </w:rPr>
              <w:t>9</w:t>
            </w:r>
            <w:r w:rsidR="008B149A" w:rsidRPr="00253DEA">
              <w:rPr>
                <w:b/>
                <w:color w:val="000000"/>
                <w:sz w:val="16"/>
                <w:szCs w:val="16"/>
              </w:rPr>
              <w:t>,4</w:t>
            </w:r>
            <w:r w:rsidR="00CA166A" w:rsidRPr="00253DEA">
              <w:rPr>
                <w:b/>
                <w:color w:val="000000"/>
                <w:sz w:val="16"/>
                <w:szCs w:val="16"/>
              </w:rPr>
              <w:t>62</w:t>
            </w:r>
          </w:p>
        </w:tc>
      </w:tr>
    </w:tbl>
    <w:p w14:paraId="670EAC20" w14:textId="77777777" w:rsidR="005F70DE" w:rsidRDefault="005F70DE">
      <w:r>
        <w:br w:type="page"/>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541"/>
        <w:gridCol w:w="2402"/>
        <w:gridCol w:w="4522"/>
        <w:gridCol w:w="1835"/>
        <w:gridCol w:w="1785"/>
      </w:tblGrid>
      <w:tr w:rsidR="00CE7B57" w:rsidRPr="00253DEA" w14:paraId="1280EDFC" w14:textId="77777777" w:rsidTr="00253DEA">
        <w:tc>
          <w:tcPr>
            <w:tcW w:w="5000" w:type="pct"/>
            <w:gridSpan w:val="5"/>
            <w:shd w:val="clear" w:color="auto" w:fill="auto"/>
            <w:tcMar>
              <w:top w:w="72" w:type="dxa"/>
              <w:left w:w="144" w:type="dxa"/>
              <w:bottom w:w="72" w:type="dxa"/>
              <w:right w:w="144" w:type="dxa"/>
            </w:tcMar>
          </w:tcPr>
          <w:p w14:paraId="7BFF76E3" w14:textId="4367254C" w:rsidR="00CE7B57" w:rsidRPr="00253DEA" w:rsidRDefault="00036D14" w:rsidP="006651CC">
            <w:pPr>
              <w:tabs>
                <w:tab w:val="left" w:pos="1620"/>
              </w:tabs>
              <w:spacing w:after="120"/>
              <w:rPr>
                <w:color w:val="000000"/>
                <w:sz w:val="16"/>
                <w:szCs w:val="16"/>
              </w:rPr>
            </w:pPr>
            <w:r w:rsidRPr="00036D14">
              <w:rPr>
                <w:b/>
                <w:bCs/>
                <w:color w:val="000000"/>
                <w:szCs w:val="16"/>
                <w:lang w:val="en-GB"/>
              </w:rPr>
              <w:lastRenderedPageBreak/>
              <w:t>National priority or goal:</w:t>
            </w:r>
            <w:r w:rsidR="00CE7B57" w:rsidRPr="00253DEA">
              <w:rPr>
                <w:b/>
                <w:bCs/>
                <w:color w:val="000000"/>
                <w:sz w:val="16"/>
                <w:szCs w:val="16"/>
                <w:lang w:val="en-GB"/>
              </w:rPr>
              <w:t xml:space="preserve"> </w:t>
            </w:r>
            <w:r w:rsidR="00CE7B57" w:rsidRPr="00253DEA">
              <w:rPr>
                <w:b/>
                <w:bCs/>
                <w:color w:val="000000"/>
                <w:szCs w:val="16"/>
                <w:lang w:val="en-GB"/>
              </w:rPr>
              <w:t>Digital transformation and spread of innovations; developed business environment and resilient and sustainable infrastructure.</w:t>
            </w:r>
          </w:p>
        </w:tc>
      </w:tr>
      <w:tr w:rsidR="00CE7B57" w:rsidRPr="00253DEA" w14:paraId="0481F95F" w14:textId="77777777" w:rsidTr="00253DEA">
        <w:tc>
          <w:tcPr>
            <w:tcW w:w="5000" w:type="pct"/>
            <w:gridSpan w:val="5"/>
            <w:shd w:val="clear" w:color="auto" w:fill="auto"/>
            <w:tcMar>
              <w:top w:w="72" w:type="dxa"/>
              <w:left w:w="144" w:type="dxa"/>
              <w:bottom w:w="72" w:type="dxa"/>
              <w:right w:w="144" w:type="dxa"/>
            </w:tcMar>
          </w:tcPr>
          <w:p w14:paraId="77369869" w14:textId="622BF280" w:rsidR="00CE7B57" w:rsidRPr="00253DEA" w:rsidRDefault="00EC0EE4" w:rsidP="006651CC">
            <w:pPr>
              <w:tabs>
                <w:tab w:val="left" w:pos="1620"/>
              </w:tabs>
              <w:spacing w:after="120"/>
              <w:rPr>
                <w:b/>
                <w:bCs/>
                <w:color w:val="000000"/>
                <w:szCs w:val="16"/>
              </w:rPr>
            </w:pPr>
            <w:r>
              <w:rPr>
                <w:b/>
                <w:bCs/>
              </w:rPr>
              <w:t>UNSDCF</w:t>
            </w:r>
            <w:r w:rsidR="00036D14" w:rsidRPr="00036D14">
              <w:rPr>
                <w:b/>
                <w:bCs/>
              </w:rPr>
              <w:t xml:space="preserve"> (or equivalent) outcome involving </w:t>
            </w:r>
            <w:r w:rsidR="00CE7B57" w:rsidRPr="006651CC">
              <w:rPr>
                <w:b/>
                <w:bCs/>
              </w:rPr>
              <w:t>UNDP #3</w:t>
            </w:r>
            <w:r>
              <w:rPr>
                <w:b/>
                <w:bCs/>
              </w:rPr>
              <w:t>.</w:t>
            </w:r>
            <w:r w:rsidR="00CE7B57" w:rsidRPr="006651CC">
              <w:rPr>
                <w:b/>
                <w:bCs/>
              </w:rPr>
              <w:t xml:space="preserve"> </w:t>
            </w:r>
            <w:r w:rsidR="009E0BF5" w:rsidRPr="00253DEA">
              <w:rPr>
                <w:b/>
                <w:bCs/>
              </w:rPr>
              <w:t>By 2025, foundations of an efficient digital ecosystem are formed, including</w:t>
            </w:r>
            <w:r w:rsidR="00036D14">
              <w:rPr>
                <w:b/>
                <w:bCs/>
              </w:rPr>
              <w:t>,</w:t>
            </w:r>
            <w:r w:rsidR="009E0BF5" w:rsidRPr="00253DEA">
              <w:rPr>
                <w:b/>
                <w:bCs/>
              </w:rPr>
              <w:t xml:space="preserve"> as part of smart sustainable cities, enabling interaction of the state, society, and business, with equal participation of women and men, adolescents, youth, and representatives of vulnerable groups</w:t>
            </w:r>
            <w:r w:rsidR="00CE7B57" w:rsidRPr="00253DEA">
              <w:rPr>
                <w:b/>
                <w:bCs/>
              </w:rPr>
              <w:t>.</w:t>
            </w:r>
          </w:p>
        </w:tc>
      </w:tr>
      <w:tr w:rsidR="00CE7B57" w:rsidRPr="00253DEA" w14:paraId="391D922B" w14:textId="77777777" w:rsidTr="00253DEA">
        <w:tc>
          <w:tcPr>
            <w:tcW w:w="5000" w:type="pct"/>
            <w:gridSpan w:val="5"/>
            <w:shd w:val="clear" w:color="auto" w:fill="auto"/>
            <w:tcMar>
              <w:top w:w="72" w:type="dxa"/>
              <w:left w:w="144" w:type="dxa"/>
              <w:bottom w:w="72" w:type="dxa"/>
              <w:right w:w="144" w:type="dxa"/>
            </w:tcMar>
          </w:tcPr>
          <w:p w14:paraId="0948637E" w14:textId="2336F983" w:rsidR="00CE7B57" w:rsidRPr="00253DEA" w:rsidRDefault="00036D14" w:rsidP="00073629">
            <w:pPr>
              <w:tabs>
                <w:tab w:val="left" w:pos="1620"/>
              </w:tabs>
              <w:spacing w:after="120"/>
              <w:rPr>
                <w:b/>
                <w:bCs/>
                <w:color w:val="000000"/>
                <w:sz w:val="16"/>
                <w:szCs w:val="16"/>
                <w:lang w:val="en-GB"/>
              </w:rPr>
            </w:pPr>
            <w:r w:rsidRPr="00036D14">
              <w:rPr>
                <w:b/>
                <w:bCs/>
                <w:color w:val="000000"/>
              </w:rPr>
              <w:t xml:space="preserve">Related Strategic Plan </w:t>
            </w:r>
            <w:r>
              <w:rPr>
                <w:b/>
                <w:bCs/>
                <w:color w:val="000000"/>
              </w:rPr>
              <w:t>o</w:t>
            </w:r>
            <w:r w:rsidRPr="00036D14">
              <w:rPr>
                <w:b/>
                <w:bCs/>
                <w:color w:val="000000"/>
              </w:rPr>
              <w:t>utcome:</w:t>
            </w:r>
            <w:r w:rsidRPr="00253DEA">
              <w:rPr>
                <w:b/>
                <w:bCs/>
                <w:color w:val="000000"/>
                <w:sz w:val="16"/>
                <w:szCs w:val="16"/>
              </w:rPr>
              <w:t xml:space="preserve"> </w:t>
            </w:r>
            <w:r w:rsidR="00CE7B57" w:rsidRPr="00253DEA">
              <w:rPr>
                <w:b/>
                <w:bCs/>
                <w:color w:val="000000"/>
              </w:rPr>
              <w:t>Outcome 2 – Accelerate structural transformations for sustainable development</w:t>
            </w:r>
          </w:p>
        </w:tc>
      </w:tr>
      <w:tr w:rsidR="00CE7B57" w:rsidRPr="00253DEA" w14:paraId="5F097F90" w14:textId="77777777" w:rsidTr="00253DEA">
        <w:tc>
          <w:tcPr>
            <w:tcW w:w="971" w:type="pct"/>
            <w:vMerge w:val="restart"/>
            <w:shd w:val="clear" w:color="auto" w:fill="auto"/>
            <w:tcMar>
              <w:top w:w="72" w:type="dxa"/>
              <w:left w:w="144" w:type="dxa"/>
              <w:bottom w:w="72" w:type="dxa"/>
              <w:right w:w="144" w:type="dxa"/>
            </w:tcMar>
          </w:tcPr>
          <w:p w14:paraId="2465E97C" w14:textId="7F892760" w:rsidR="00CE7B57" w:rsidRPr="00253DEA" w:rsidRDefault="002B1E06" w:rsidP="00073629">
            <w:pPr>
              <w:tabs>
                <w:tab w:val="left" w:pos="1620"/>
              </w:tabs>
              <w:spacing w:after="120"/>
              <w:rPr>
                <w:sz w:val="16"/>
                <w:szCs w:val="16"/>
                <w:lang w:val="en-GB"/>
              </w:rPr>
            </w:pPr>
            <w:r w:rsidRPr="00253DEA">
              <w:rPr>
                <w:sz w:val="16"/>
                <w:szCs w:val="16"/>
                <w:lang w:val="en-GB"/>
              </w:rPr>
              <w:t>Share of administrative procedures and government services provided electronically</w:t>
            </w:r>
          </w:p>
          <w:p w14:paraId="74BB0892" w14:textId="4809A2DA" w:rsidR="00CE7B57" w:rsidRPr="00253DEA" w:rsidRDefault="00CE7B57" w:rsidP="00073629">
            <w:pPr>
              <w:tabs>
                <w:tab w:val="left" w:pos="1620"/>
              </w:tabs>
              <w:spacing w:after="120"/>
              <w:rPr>
                <w:sz w:val="16"/>
                <w:szCs w:val="16"/>
                <w:lang w:val="en-GB"/>
              </w:rPr>
            </w:pPr>
            <w:r w:rsidRPr="00253DEA">
              <w:rPr>
                <w:sz w:val="16"/>
                <w:szCs w:val="16"/>
                <w:lang w:val="en-GB"/>
              </w:rPr>
              <w:t>Baseline</w:t>
            </w:r>
            <w:r w:rsidR="00DA6313" w:rsidRPr="00253DEA">
              <w:rPr>
                <w:sz w:val="16"/>
                <w:szCs w:val="16"/>
                <w:lang w:val="en-GB"/>
              </w:rPr>
              <w:t xml:space="preserve"> (2018)</w:t>
            </w:r>
            <w:r w:rsidRPr="00253DEA">
              <w:rPr>
                <w:sz w:val="16"/>
                <w:szCs w:val="16"/>
                <w:lang w:val="en-GB"/>
              </w:rPr>
              <w:t>:</w:t>
            </w:r>
            <w:r w:rsidR="002B1E06" w:rsidRPr="00253DEA">
              <w:rPr>
                <w:sz w:val="16"/>
                <w:szCs w:val="16"/>
                <w:lang w:val="en-GB"/>
              </w:rPr>
              <w:t xml:space="preserve"> </w:t>
            </w:r>
            <w:r w:rsidR="001A56EC" w:rsidRPr="00253DEA">
              <w:rPr>
                <w:sz w:val="16"/>
                <w:szCs w:val="16"/>
                <w:lang w:val="en-GB"/>
              </w:rPr>
              <w:t>25%</w:t>
            </w:r>
          </w:p>
          <w:p w14:paraId="4644B0AA" w14:textId="34B96195" w:rsidR="00CE7B57" w:rsidRPr="00253DEA" w:rsidRDefault="00CE7B57" w:rsidP="00073629">
            <w:pPr>
              <w:tabs>
                <w:tab w:val="left" w:pos="1620"/>
              </w:tabs>
              <w:spacing w:after="120"/>
              <w:rPr>
                <w:sz w:val="16"/>
                <w:szCs w:val="16"/>
                <w:lang w:val="en-GB"/>
              </w:rPr>
            </w:pPr>
            <w:r w:rsidRPr="00253DEA">
              <w:rPr>
                <w:sz w:val="16"/>
                <w:szCs w:val="16"/>
                <w:lang w:val="en-GB"/>
              </w:rPr>
              <w:t>Target</w:t>
            </w:r>
            <w:r w:rsidR="00DA6313" w:rsidRPr="00253DEA">
              <w:rPr>
                <w:sz w:val="16"/>
                <w:szCs w:val="16"/>
                <w:lang w:val="en-GB"/>
              </w:rPr>
              <w:t xml:space="preserve"> (2025)</w:t>
            </w:r>
            <w:r w:rsidRPr="00253DEA">
              <w:rPr>
                <w:sz w:val="16"/>
                <w:szCs w:val="16"/>
                <w:lang w:val="en-GB"/>
              </w:rPr>
              <w:t xml:space="preserve">: </w:t>
            </w:r>
            <w:r w:rsidR="002B1E06" w:rsidRPr="00253DEA">
              <w:rPr>
                <w:sz w:val="16"/>
                <w:szCs w:val="16"/>
                <w:lang w:val="en-GB"/>
              </w:rPr>
              <w:t>75</w:t>
            </w:r>
            <w:r w:rsidR="001A56EC" w:rsidRPr="00253DEA">
              <w:rPr>
                <w:sz w:val="16"/>
                <w:szCs w:val="16"/>
                <w:lang w:val="en-GB"/>
              </w:rPr>
              <w:t>%</w:t>
            </w:r>
          </w:p>
          <w:p w14:paraId="543A4BB0" w14:textId="26A729DA" w:rsidR="00CE7B57" w:rsidRPr="00253DEA" w:rsidRDefault="00CE7B57" w:rsidP="00073629">
            <w:pPr>
              <w:tabs>
                <w:tab w:val="left" w:pos="1620"/>
              </w:tabs>
              <w:spacing w:after="120"/>
            </w:pPr>
            <w:r w:rsidRPr="00253DEA">
              <w:rPr>
                <w:sz w:val="16"/>
                <w:szCs w:val="16"/>
                <w:lang w:val="en-GB"/>
              </w:rPr>
              <w:t>Source</w:t>
            </w:r>
            <w:r w:rsidRPr="00253DEA">
              <w:t>:</w:t>
            </w:r>
            <w:r w:rsidRPr="00253DEA">
              <w:rPr>
                <w:sz w:val="16"/>
                <w:szCs w:val="16"/>
                <w:lang w:val="en-GB"/>
              </w:rPr>
              <w:t xml:space="preserve"> N</w:t>
            </w:r>
            <w:r w:rsidR="002B1E06" w:rsidRPr="00253DEA">
              <w:rPr>
                <w:sz w:val="16"/>
                <w:szCs w:val="16"/>
                <w:lang w:val="en-GB"/>
              </w:rPr>
              <w:t>CES</w:t>
            </w:r>
            <w:r w:rsidRPr="00253DEA">
              <w:t xml:space="preserve"> </w:t>
            </w:r>
          </w:p>
          <w:p w14:paraId="33AE02DF" w14:textId="77777777" w:rsidR="00CE7B57" w:rsidRPr="00253DEA" w:rsidRDefault="00CE7B57" w:rsidP="00073629">
            <w:pPr>
              <w:tabs>
                <w:tab w:val="left" w:pos="1620"/>
              </w:tabs>
              <w:spacing w:after="120"/>
              <w:rPr>
                <w:sz w:val="16"/>
                <w:szCs w:val="16"/>
                <w:lang w:val="en-GB"/>
              </w:rPr>
            </w:pPr>
          </w:p>
          <w:p w14:paraId="35B0E3BA" w14:textId="5A640460" w:rsidR="00CE7B57" w:rsidRPr="00253DEA" w:rsidRDefault="00CE7B57" w:rsidP="00073629">
            <w:pPr>
              <w:tabs>
                <w:tab w:val="left" w:pos="1620"/>
              </w:tabs>
              <w:spacing w:after="120"/>
              <w:rPr>
                <w:sz w:val="16"/>
                <w:szCs w:val="16"/>
                <w:lang w:val="en-GB"/>
              </w:rPr>
            </w:pPr>
            <w:r w:rsidRPr="00253DEA">
              <w:rPr>
                <w:sz w:val="16"/>
                <w:szCs w:val="16"/>
                <w:lang w:val="en-GB"/>
              </w:rPr>
              <w:t xml:space="preserve">SDG </w:t>
            </w:r>
            <w:r w:rsidR="00EC0EE4">
              <w:rPr>
                <w:sz w:val="16"/>
                <w:szCs w:val="16"/>
                <w:lang w:val="en-GB"/>
              </w:rPr>
              <w:t>n</w:t>
            </w:r>
            <w:r w:rsidRPr="00253DEA">
              <w:rPr>
                <w:sz w:val="16"/>
                <w:szCs w:val="16"/>
                <w:lang w:val="en-GB"/>
              </w:rPr>
              <w:t xml:space="preserve">ational </w:t>
            </w:r>
            <w:r w:rsidR="00EC0EE4">
              <w:rPr>
                <w:sz w:val="16"/>
                <w:szCs w:val="16"/>
                <w:lang w:val="en-GB"/>
              </w:rPr>
              <w:t>i</w:t>
            </w:r>
            <w:r w:rsidRPr="00253DEA">
              <w:rPr>
                <w:sz w:val="16"/>
                <w:szCs w:val="16"/>
                <w:lang w:val="en-GB"/>
              </w:rPr>
              <w:t>ndicator: 17.8.1</w:t>
            </w:r>
          </w:p>
          <w:p w14:paraId="5E1D31AE" w14:textId="00A43809" w:rsidR="00CE7B57" w:rsidRPr="00253DEA" w:rsidRDefault="00CE7B57" w:rsidP="00073629">
            <w:pPr>
              <w:tabs>
                <w:tab w:val="left" w:pos="1620"/>
              </w:tabs>
              <w:spacing w:after="120"/>
              <w:rPr>
                <w:sz w:val="16"/>
                <w:szCs w:val="16"/>
                <w:lang w:val="en-GB"/>
              </w:rPr>
            </w:pPr>
            <w:r w:rsidRPr="00253DEA">
              <w:rPr>
                <w:sz w:val="16"/>
                <w:szCs w:val="16"/>
                <w:lang w:val="en-GB"/>
              </w:rPr>
              <w:t>Proportion of individuals using the Internet (</w:t>
            </w:r>
            <w:r w:rsidR="00EC0EE4">
              <w:rPr>
                <w:sz w:val="16"/>
                <w:szCs w:val="16"/>
                <w:lang w:val="en-GB"/>
              </w:rPr>
              <w:t>%</w:t>
            </w:r>
            <w:r w:rsidRPr="00253DEA">
              <w:rPr>
                <w:sz w:val="16"/>
                <w:szCs w:val="16"/>
                <w:lang w:val="en-GB"/>
              </w:rPr>
              <w:t>)</w:t>
            </w:r>
            <w:r w:rsidR="007F56EB" w:rsidRPr="00253DEA">
              <w:rPr>
                <w:sz w:val="16"/>
                <w:szCs w:val="16"/>
                <w:lang w:val="en-GB"/>
              </w:rPr>
              <w:t>, by sex and place of residence</w:t>
            </w:r>
          </w:p>
          <w:p w14:paraId="2107DB9F" w14:textId="43A5701B" w:rsidR="00CE7B57" w:rsidRPr="00253DEA" w:rsidRDefault="007F56EB" w:rsidP="00073629">
            <w:pPr>
              <w:tabs>
                <w:tab w:val="left" w:pos="1620"/>
              </w:tabs>
              <w:spacing w:after="120"/>
              <w:rPr>
                <w:sz w:val="16"/>
                <w:szCs w:val="16"/>
                <w:lang w:val="en-GB"/>
              </w:rPr>
            </w:pPr>
            <w:r w:rsidRPr="00253DEA">
              <w:rPr>
                <w:color w:val="000000"/>
                <w:sz w:val="16"/>
                <w:szCs w:val="16"/>
                <w:lang w:val="en-GB"/>
              </w:rPr>
              <w:t>Baseline (2018): 79.1; men – 79.3; women – 79; cities and urban settlements – 83.1; rural settlements – 67.9</w:t>
            </w:r>
          </w:p>
          <w:p w14:paraId="45811C75" w14:textId="3CCA84DD" w:rsidR="00CE7B57" w:rsidRPr="00253DEA" w:rsidRDefault="00CE7B57" w:rsidP="00073629">
            <w:pPr>
              <w:tabs>
                <w:tab w:val="left" w:pos="1620"/>
              </w:tabs>
              <w:spacing w:after="120"/>
              <w:rPr>
                <w:sz w:val="16"/>
                <w:szCs w:val="16"/>
                <w:lang w:val="en-GB"/>
              </w:rPr>
            </w:pPr>
            <w:r w:rsidRPr="00253DEA">
              <w:rPr>
                <w:sz w:val="16"/>
                <w:szCs w:val="16"/>
                <w:lang w:val="en-GB"/>
              </w:rPr>
              <w:t>Target</w:t>
            </w:r>
            <w:r w:rsidR="006B5E3A" w:rsidRPr="00253DEA">
              <w:rPr>
                <w:sz w:val="16"/>
                <w:szCs w:val="16"/>
                <w:lang w:val="en-GB"/>
              </w:rPr>
              <w:t xml:space="preserve"> (2025)</w:t>
            </w:r>
            <w:r w:rsidRPr="00253DEA">
              <w:rPr>
                <w:sz w:val="16"/>
                <w:szCs w:val="16"/>
                <w:lang w:val="en-GB"/>
              </w:rPr>
              <w:t xml:space="preserve">: 83 </w:t>
            </w:r>
          </w:p>
          <w:p w14:paraId="052D891A" w14:textId="77777777" w:rsidR="00CE7B57" w:rsidRPr="00253DEA" w:rsidRDefault="00CE7B57" w:rsidP="00073629">
            <w:pPr>
              <w:tabs>
                <w:tab w:val="left" w:pos="1620"/>
              </w:tabs>
              <w:spacing w:after="120"/>
              <w:rPr>
                <w:sz w:val="16"/>
                <w:szCs w:val="16"/>
                <w:lang w:val="en-GB"/>
              </w:rPr>
            </w:pPr>
            <w:r w:rsidRPr="00253DEA">
              <w:rPr>
                <w:sz w:val="16"/>
                <w:szCs w:val="16"/>
                <w:lang w:val="en-GB"/>
              </w:rPr>
              <w:t>Source: NRP</w:t>
            </w:r>
          </w:p>
          <w:p w14:paraId="47F1F2A1" w14:textId="77777777" w:rsidR="00CE7B57" w:rsidRPr="00253DEA" w:rsidRDefault="00CE7B57" w:rsidP="00073629">
            <w:pPr>
              <w:tabs>
                <w:tab w:val="left" w:pos="1620"/>
              </w:tabs>
              <w:spacing w:after="120"/>
              <w:rPr>
                <w:b/>
                <w:bCs/>
                <w:color w:val="000000"/>
                <w:sz w:val="16"/>
                <w:szCs w:val="16"/>
                <w:lang w:val="en-GB"/>
              </w:rPr>
            </w:pPr>
          </w:p>
        </w:tc>
        <w:tc>
          <w:tcPr>
            <w:tcW w:w="918" w:type="pct"/>
            <w:vMerge w:val="restart"/>
            <w:shd w:val="clear" w:color="auto" w:fill="auto"/>
          </w:tcPr>
          <w:p w14:paraId="27F5E06F" w14:textId="24DF11F7" w:rsidR="00CE7B57" w:rsidRPr="00253DEA" w:rsidRDefault="00CE7B57" w:rsidP="00073629">
            <w:pPr>
              <w:pStyle w:val="ListParagraph"/>
              <w:tabs>
                <w:tab w:val="left" w:pos="1620"/>
              </w:tabs>
              <w:spacing w:after="120"/>
              <w:ind w:left="360"/>
              <w:rPr>
                <w:sz w:val="16"/>
                <w:szCs w:val="16"/>
                <w:lang w:val="en-GB"/>
              </w:rPr>
            </w:pPr>
            <w:r w:rsidRPr="00253DEA">
              <w:rPr>
                <w:sz w:val="16"/>
                <w:szCs w:val="16"/>
                <w:lang w:val="en-GB"/>
              </w:rPr>
              <w:t>Belstat</w:t>
            </w:r>
          </w:p>
          <w:p w14:paraId="1CC1034E" w14:textId="33A88142" w:rsidR="003B5FA4" w:rsidRPr="00253DEA" w:rsidRDefault="003B5FA4" w:rsidP="00073629">
            <w:pPr>
              <w:pStyle w:val="ListParagraph"/>
              <w:tabs>
                <w:tab w:val="left" w:pos="1620"/>
              </w:tabs>
              <w:spacing w:after="120"/>
              <w:ind w:left="360"/>
              <w:rPr>
                <w:sz w:val="16"/>
                <w:szCs w:val="16"/>
                <w:lang w:val="en-GB"/>
              </w:rPr>
            </w:pPr>
            <w:r w:rsidRPr="00253DEA">
              <w:rPr>
                <w:sz w:val="16"/>
                <w:szCs w:val="16"/>
                <w:lang w:val="en-GB"/>
              </w:rPr>
              <w:t>NRP</w:t>
            </w:r>
          </w:p>
          <w:p w14:paraId="6AC5C416" w14:textId="1DED537A" w:rsidR="00CE7B57" w:rsidRPr="00253DEA" w:rsidRDefault="003B628E" w:rsidP="00073629">
            <w:pPr>
              <w:pStyle w:val="ListParagraph"/>
              <w:tabs>
                <w:tab w:val="left" w:pos="1620"/>
              </w:tabs>
              <w:spacing w:after="120"/>
              <w:ind w:left="360"/>
              <w:rPr>
                <w:sz w:val="16"/>
                <w:szCs w:val="16"/>
                <w:lang w:val="en-GB"/>
              </w:rPr>
            </w:pPr>
            <w:r w:rsidRPr="00253DEA">
              <w:rPr>
                <w:sz w:val="16"/>
                <w:szCs w:val="16"/>
                <w:lang w:val="en-GB"/>
              </w:rPr>
              <w:t xml:space="preserve">National </w:t>
            </w:r>
            <w:r w:rsidR="00036D14">
              <w:rPr>
                <w:sz w:val="16"/>
                <w:szCs w:val="16"/>
                <w:lang w:val="en-GB"/>
              </w:rPr>
              <w:t>C</w:t>
            </w:r>
            <w:r w:rsidRPr="00253DEA">
              <w:rPr>
                <w:sz w:val="16"/>
                <w:szCs w:val="16"/>
                <w:lang w:val="en-GB"/>
              </w:rPr>
              <w:t>ent</w:t>
            </w:r>
            <w:r w:rsidR="00036D14">
              <w:rPr>
                <w:sz w:val="16"/>
                <w:szCs w:val="16"/>
                <w:lang w:val="en-GB"/>
              </w:rPr>
              <w:t>re</w:t>
            </w:r>
            <w:r w:rsidRPr="00253DEA">
              <w:rPr>
                <w:sz w:val="16"/>
                <w:szCs w:val="16"/>
                <w:lang w:val="en-GB"/>
              </w:rPr>
              <w:t xml:space="preserve"> of </w:t>
            </w:r>
            <w:r w:rsidR="00036D14">
              <w:rPr>
                <w:sz w:val="16"/>
                <w:szCs w:val="16"/>
                <w:lang w:val="en-GB"/>
              </w:rPr>
              <w:t>E</w:t>
            </w:r>
            <w:r w:rsidRPr="00253DEA">
              <w:rPr>
                <w:sz w:val="16"/>
                <w:szCs w:val="16"/>
                <w:lang w:val="en-GB"/>
              </w:rPr>
              <w:t xml:space="preserve">lectronic </w:t>
            </w:r>
            <w:r w:rsidR="00036D14">
              <w:rPr>
                <w:sz w:val="16"/>
                <w:szCs w:val="16"/>
                <w:lang w:val="en-GB"/>
              </w:rPr>
              <w:t>S</w:t>
            </w:r>
            <w:r w:rsidRPr="00253DEA">
              <w:rPr>
                <w:sz w:val="16"/>
                <w:szCs w:val="16"/>
                <w:lang w:val="en-GB"/>
              </w:rPr>
              <w:t>ervices</w:t>
            </w:r>
            <w:r w:rsidR="00036D14">
              <w:rPr>
                <w:sz w:val="16"/>
                <w:szCs w:val="16"/>
                <w:lang w:val="en-GB"/>
              </w:rPr>
              <w:t xml:space="preserve"> (NCES)</w:t>
            </w:r>
          </w:p>
          <w:p w14:paraId="7AA924B7" w14:textId="77777777" w:rsidR="00407D2C" w:rsidRPr="00253DEA" w:rsidRDefault="00407D2C" w:rsidP="00073629">
            <w:pPr>
              <w:tabs>
                <w:tab w:val="left" w:pos="1620"/>
              </w:tabs>
              <w:spacing w:after="120"/>
              <w:rPr>
                <w:sz w:val="16"/>
                <w:szCs w:val="16"/>
              </w:rPr>
            </w:pPr>
          </w:p>
          <w:p w14:paraId="6B83D54A" w14:textId="7B76A4F3" w:rsidR="00407D2C" w:rsidRPr="00253DEA" w:rsidRDefault="00407D2C" w:rsidP="00073629">
            <w:pPr>
              <w:tabs>
                <w:tab w:val="left" w:pos="1620"/>
              </w:tabs>
              <w:spacing w:after="120"/>
              <w:rPr>
                <w:sz w:val="16"/>
                <w:szCs w:val="16"/>
              </w:rPr>
            </w:pPr>
            <w:r w:rsidRPr="00253DEA">
              <w:rPr>
                <w:sz w:val="16"/>
                <w:szCs w:val="16"/>
              </w:rPr>
              <w:t>Frequency: annual</w:t>
            </w:r>
          </w:p>
          <w:p w14:paraId="40006FA3" w14:textId="6885AE7D" w:rsidR="00CE7B57" w:rsidRPr="00253DEA" w:rsidRDefault="00CE7B57" w:rsidP="00073629">
            <w:pPr>
              <w:tabs>
                <w:tab w:val="left" w:pos="1620"/>
              </w:tabs>
              <w:spacing w:after="120"/>
              <w:rPr>
                <w:b/>
                <w:color w:val="000000"/>
                <w:sz w:val="16"/>
                <w:szCs w:val="16"/>
                <w:lang w:val="en-GB"/>
              </w:rPr>
            </w:pPr>
          </w:p>
        </w:tc>
        <w:tc>
          <w:tcPr>
            <w:tcW w:w="1728" w:type="pct"/>
            <w:vMerge w:val="restart"/>
            <w:shd w:val="clear" w:color="auto" w:fill="auto"/>
            <w:tcMar>
              <w:top w:w="72" w:type="dxa"/>
              <w:left w:w="144" w:type="dxa"/>
              <w:bottom w:w="72" w:type="dxa"/>
              <w:right w:w="144" w:type="dxa"/>
            </w:tcMar>
          </w:tcPr>
          <w:p w14:paraId="6BC78C90" w14:textId="52999969" w:rsidR="00CE7B57" w:rsidRPr="006651CC" w:rsidRDefault="00CE7B57" w:rsidP="006651CC">
            <w:pPr>
              <w:tabs>
                <w:tab w:val="left" w:pos="1620"/>
              </w:tabs>
              <w:spacing w:after="160"/>
              <w:rPr>
                <w:b/>
                <w:bCs/>
                <w:color w:val="000000"/>
                <w:sz w:val="18"/>
                <w:szCs w:val="18"/>
                <w:lang w:val="en-GB"/>
              </w:rPr>
            </w:pPr>
            <w:r w:rsidRPr="006651CC">
              <w:rPr>
                <w:b/>
                <w:bCs/>
                <w:color w:val="000000"/>
                <w:sz w:val="18"/>
                <w:szCs w:val="18"/>
                <w:lang w:val="en-GB"/>
              </w:rPr>
              <w:t xml:space="preserve">Output </w:t>
            </w:r>
            <w:r w:rsidRPr="006651CC">
              <w:rPr>
                <w:b/>
                <w:bCs/>
                <w:color w:val="000000"/>
                <w:sz w:val="18"/>
                <w:szCs w:val="18"/>
              </w:rPr>
              <w:t>3</w:t>
            </w:r>
            <w:r w:rsidRPr="006651CC">
              <w:rPr>
                <w:b/>
                <w:bCs/>
                <w:color w:val="000000"/>
                <w:sz w:val="18"/>
                <w:szCs w:val="18"/>
                <w:lang w:val="en-GB"/>
              </w:rPr>
              <w:t>.1</w:t>
            </w:r>
            <w:r w:rsidR="00036D14">
              <w:rPr>
                <w:b/>
                <w:bCs/>
                <w:color w:val="000000"/>
                <w:sz w:val="18"/>
                <w:szCs w:val="18"/>
                <w:lang w:val="en-GB"/>
              </w:rPr>
              <w:t>.</w:t>
            </w:r>
            <w:r w:rsidRPr="006651CC">
              <w:rPr>
                <w:b/>
                <w:bCs/>
                <w:color w:val="000000"/>
                <w:sz w:val="18"/>
                <w:szCs w:val="18"/>
                <w:lang w:val="en-GB"/>
              </w:rPr>
              <w:t xml:space="preserve"> </w:t>
            </w:r>
            <w:r w:rsidR="008A2F6D" w:rsidRPr="006651CC">
              <w:rPr>
                <w:b/>
                <w:bCs/>
                <w:color w:val="000000"/>
                <w:sz w:val="18"/>
                <w:szCs w:val="18"/>
                <w:lang w:val="en-GB"/>
              </w:rPr>
              <w:t>A</w:t>
            </w:r>
            <w:r w:rsidRPr="006651CC">
              <w:rPr>
                <w:b/>
                <w:bCs/>
                <w:color w:val="000000"/>
                <w:sz w:val="18"/>
                <w:szCs w:val="18"/>
                <w:lang w:val="en-GB"/>
              </w:rPr>
              <w:t xml:space="preserve"> system and infrastructure </w:t>
            </w:r>
            <w:r w:rsidR="008A2F6D" w:rsidRPr="006651CC">
              <w:rPr>
                <w:b/>
                <w:bCs/>
                <w:color w:val="000000"/>
                <w:sz w:val="18"/>
                <w:szCs w:val="18"/>
                <w:lang w:val="en-GB"/>
              </w:rPr>
              <w:t xml:space="preserve">for </w:t>
            </w:r>
            <w:r w:rsidRPr="006651CC">
              <w:rPr>
                <w:b/>
                <w:bCs/>
                <w:color w:val="000000"/>
                <w:sz w:val="18"/>
                <w:szCs w:val="18"/>
                <w:lang w:val="en-GB"/>
              </w:rPr>
              <w:t>electronic public services for individuals and businesses</w:t>
            </w:r>
            <w:r w:rsidR="008A2F6D" w:rsidRPr="006651CC">
              <w:rPr>
                <w:b/>
                <w:bCs/>
                <w:color w:val="000000"/>
                <w:sz w:val="18"/>
                <w:szCs w:val="18"/>
                <w:lang w:val="en-GB"/>
              </w:rPr>
              <w:t xml:space="preserve"> </w:t>
            </w:r>
            <w:r w:rsidR="00F279CE" w:rsidRPr="006651CC">
              <w:rPr>
                <w:b/>
                <w:bCs/>
                <w:color w:val="000000"/>
                <w:sz w:val="18"/>
                <w:szCs w:val="18"/>
                <w:lang w:val="en-GB"/>
              </w:rPr>
              <w:t>based on digitalization of public administration enhanc</w:t>
            </w:r>
            <w:r w:rsidR="008A2F6D" w:rsidRPr="006651CC">
              <w:rPr>
                <w:b/>
                <w:bCs/>
                <w:color w:val="000000"/>
                <w:sz w:val="18"/>
                <w:szCs w:val="18"/>
                <w:lang w:val="en-GB"/>
              </w:rPr>
              <w:t>ed</w:t>
            </w:r>
            <w:r w:rsidRPr="006651CC">
              <w:rPr>
                <w:b/>
                <w:bCs/>
                <w:color w:val="000000"/>
                <w:sz w:val="18"/>
                <w:szCs w:val="18"/>
                <w:lang w:val="en-GB"/>
              </w:rPr>
              <w:t xml:space="preserve"> </w:t>
            </w:r>
          </w:p>
          <w:p w14:paraId="7F3863B1" w14:textId="70BB2D64" w:rsidR="00CE7B57" w:rsidRPr="004464D1" w:rsidRDefault="00CE7B57" w:rsidP="00073629">
            <w:pPr>
              <w:pStyle w:val="ListParagraph"/>
              <w:tabs>
                <w:tab w:val="left" w:pos="1620"/>
              </w:tabs>
              <w:spacing w:after="120"/>
              <w:ind w:left="360"/>
              <w:rPr>
                <w:color w:val="000000"/>
                <w:sz w:val="16"/>
                <w:szCs w:val="16"/>
                <w:lang w:val="en-GB"/>
              </w:rPr>
            </w:pPr>
            <w:r w:rsidRPr="00253DEA">
              <w:rPr>
                <w:color w:val="000000"/>
                <w:sz w:val="16"/>
                <w:szCs w:val="16"/>
                <w:lang w:val="en-GB"/>
              </w:rPr>
              <w:t xml:space="preserve">Indicative </w:t>
            </w:r>
            <w:r w:rsidR="00EC0EE4">
              <w:rPr>
                <w:color w:val="000000"/>
                <w:sz w:val="16"/>
                <w:szCs w:val="16"/>
                <w:lang w:val="en-GB"/>
              </w:rPr>
              <w:t>i</w:t>
            </w:r>
            <w:r w:rsidRPr="00253DEA">
              <w:rPr>
                <w:color w:val="000000"/>
                <w:sz w:val="16"/>
                <w:szCs w:val="16"/>
                <w:lang w:val="en-GB"/>
              </w:rPr>
              <w:t xml:space="preserve">ndicator </w:t>
            </w:r>
            <w:r w:rsidRPr="00253DEA">
              <w:rPr>
                <w:color w:val="000000"/>
                <w:sz w:val="16"/>
                <w:szCs w:val="16"/>
              </w:rPr>
              <w:t>3</w:t>
            </w:r>
            <w:r w:rsidRPr="00253DEA">
              <w:rPr>
                <w:color w:val="000000"/>
                <w:sz w:val="16"/>
                <w:szCs w:val="16"/>
                <w:lang w:val="en-GB"/>
              </w:rPr>
              <w:t>.</w:t>
            </w:r>
            <w:r w:rsidRPr="00253DEA">
              <w:rPr>
                <w:color w:val="000000"/>
                <w:sz w:val="16"/>
                <w:szCs w:val="16"/>
              </w:rPr>
              <w:t>1.1</w:t>
            </w:r>
            <w:r w:rsidR="00EC0EE4">
              <w:rPr>
                <w:color w:val="000000"/>
                <w:sz w:val="16"/>
                <w:szCs w:val="16"/>
                <w:lang w:val="en-GB"/>
              </w:rPr>
              <w:t>.</w:t>
            </w:r>
            <w:r w:rsidRPr="00253DEA">
              <w:rPr>
                <w:color w:val="000000"/>
                <w:sz w:val="16"/>
                <w:szCs w:val="16"/>
                <w:lang w:val="en-GB"/>
              </w:rPr>
              <w:t xml:space="preserve"> </w:t>
            </w:r>
            <w:r w:rsidRPr="006651CC">
              <w:rPr>
                <w:color w:val="000000"/>
                <w:sz w:val="16"/>
                <w:szCs w:val="16"/>
                <w:lang w:val="en-GB"/>
              </w:rPr>
              <w:t xml:space="preserve">The proportion of administrative procedures carried out in relation to legal entities and individual entrepreneurs in electronic form, </w:t>
            </w:r>
            <w:r w:rsidR="00191127">
              <w:rPr>
                <w:color w:val="000000"/>
                <w:sz w:val="16"/>
                <w:szCs w:val="16"/>
                <w:lang w:val="en-GB"/>
              </w:rPr>
              <w:t>of</w:t>
            </w:r>
            <w:r w:rsidR="00191127" w:rsidRPr="006651CC">
              <w:rPr>
                <w:color w:val="000000"/>
                <w:sz w:val="16"/>
                <w:szCs w:val="16"/>
                <w:lang w:val="en-GB"/>
              </w:rPr>
              <w:t xml:space="preserve"> </w:t>
            </w:r>
            <w:r w:rsidRPr="006651CC">
              <w:rPr>
                <w:color w:val="000000"/>
                <w:sz w:val="16"/>
                <w:szCs w:val="16"/>
                <w:lang w:val="en-GB"/>
              </w:rPr>
              <w:t>the total number of administrative procedures carried out in relation to legal entities and individual entrepreneurs</w:t>
            </w:r>
          </w:p>
          <w:p w14:paraId="3155891E" w14:textId="1EB116A5" w:rsidR="00CE7B57" w:rsidRPr="004464D1" w:rsidRDefault="00CE7B57" w:rsidP="00073629">
            <w:pPr>
              <w:pStyle w:val="ListParagraph"/>
              <w:tabs>
                <w:tab w:val="left" w:pos="1620"/>
              </w:tabs>
              <w:spacing w:after="120"/>
              <w:ind w:left="360"/>
              <w:rPr>
                <w:color w:val="000000"/>
                <w:sz w:val="16"/>
                <w:szCs w:val="16"/>
                <w:lang w:val="en-GB"/>
              </w:rPr>
            </w:pPr>
            <w:r w:rsidRPr="004464D1">
              <w:rPr>
                <w:color w:val="000000"/>
                <w:sz w:val="16"/>
                <w:szCs w:val="16"/>
                <w:lang w:val="en-GB"/>
              </w:rPr>
              <w:t xml:space="preserve">Baseline </w:t>
            </w:r>
            <w:r w:rsidR="000362E5" w:rsidRPr="004464D1">
              <w:rPr>
                <w:color w:val="000000"/>
                <w:sz w:val="16"/>
                <w:szCs w:val="16"/>
                <w:lang w:val="en-GB"/>
              </w:rPr>
              <w:t>(2018)</w:t>
            </w:r>
            <w:r w:rsidRPr="004464D1">
              <w:rPr>
                <w:color w:val="000000"/>
                <w:sz w:val="16"/>
                <w:szCs w:val="16"/>
                <w:lang w:val="en-GB"/>
              </w:rPr>
              <w:t xml:space="preserve">: 16.8% </w:t>
            </w:r>
          </w:p>
          <w:p w14:paraId="397A1BA4" w14:textId="4AC364A6" w:rsidR="00CE7B57" w:rsidRPr="000D260E" w:rsidRDefault="00CE7B57" w:rsidP="00073629">
            <w:pPr>
              <w:pStyle w:val="ListParagraph"/>
              <w:tabs>
                <w:tab w:val="left" w:pos="1620"/>
              </w:tabs>
              <w:spacing w:after="120"/>
              <w:ind w:left="360"/>
              <w:rPr>
                <w:color w:val="000000"/>
                <w:sz w:val="16"/>
                <w:szCs w:val="16"/>
                <w:lang w:val="en-GB"/>
              </w:rPr>
            </w:pPr>
            <w:r w:rsidRPr="000D260E">
              <w:rPr>
                <w:color w:val="000000"/>
                <w:sz w:val="16"/>
                <w:szCs w:val="16"/>
                <w:lang w:val="en-GB"/>
              </w:rPr>
              <w:t xml:space="preserve">Target </w:t>
            </w:r>
            <w:r w:rsidR="009A6639" w:rsidRPr="000D260E">
              <w:rPr>
                <w:color w:val="000000"/>
                <w:sz w:val="16"/>
                <w:szCs w:val="16"/>
                <w:lang w:val="en-GB"/>
              </w:rPr>
              <w:t>(2025)</w:t>
            </w:r>
            <w:r w:rsidRPr="000D260E">
              <w:rPr>
                <w:color w:val="000000"/>
                <w:sz w:val="16"/>
                <w:szCs w:val="16"/>
                <w:lang w:val="en-GB"/>
              </w:rPr>
              <w:t xml:space="preserve">: 30% </w:t>
            </w:r>
          </w:p>
          <w:p w14:paraId="1C8330F5" w14:textId="3860F431" w:rsidR="00CE7B57" w:rsidRPr="000D260E" w:rsidRDefault="00CE7B57" w:rsidP="006651CC">
            <w:pPr>
              <w:pStyle w:val="ListParagraph"/>
              <w:tabs>
                <w:tab w:val="left" w:pos="1620"/>
              </w:tabs>
              <w:spacing w:after="160"/>
              <w:ind w:left="360"/>
              <w:rPr>
                <w:color w:val="000000"/>
                <w:sz w:val="16"/>
                <w:szCs w:val="16"/>
                <w:lang w:val="en-GB"/>
              </w:rPr>
            </w:pPr>
            <w:r w:rsidRPr="000D260E">
              <w:rPr>
                <w:color w:val="000000"/>
                <w:sz w:val="16"/>
                <w:szCs w:val="16"/>
                <w:lang w:val="en-GB"/>
              </w:rPr>
              <w:t>Data source, frequency: Belstat</w:t>
            </w:r>
            <w:r w:rsidR="002B45E5" w:rsidRPr="000D260E">
              <w:rPr>
                <w:color w:val="000000"/>
                <w:sz w:val="16"/>
                <w:szCs w:val="16"/>
                <w:lang w:val="en-GB"/>
              </w:rPr>
              <w:t>, annual</w:t>
            </w:r>
          </w:p>
          <w:p w14:paraId="5F39B29D" w14:textId="6CEEA03A" w:rsidR="00CE7B57" w:rsidRPr="004464D1" w:rsidRDefault="00CE7B57" w:rsidP="00073629">
            <w:pPr>
              <w:pStyle w:val="ListParagraph"/>
              <w:tabs>
                <w:tab w:val="left" w:pos="1620"/>
              </w:tabs>
              <w:spacing w:after="120"/>
              <w:ind w:left="360"/>
              <w:rPr>
                <w:color w:val="000000"/>
                <w:sz w:val="16"/>
                <w:szCs w:val="16"/>
                <w:lang w:val="en-GB"/>
              </w:rPr>
            </w:pPr>
            <w:r w:rsidRPr="000D260E">
              <w:rPr>
                <w:color w:val="000000"/>
                <w:sz w:val="16"/>
                <w:szCs w:val="16"/>
                <w:lang w:val="en-GB"/>
              </w:rPr>
              <w:t xml:space="preserve">Indicative </w:t>
            </w:r>
            <w:r w:rsidR="00191127">
              <w:rPr>
                <w:color w:val="000000"/>
                <w:sz w:val="16"/>
                <w:szCs w:val="16"/>
                <w:lang w:val="en-GB"/>
              </w:rPr>
              <w:t>i</w:t>
            </w:r>
            <w:r w:rsidRPr="000D260E">
              <w:rPr>
                <w:color w:val="000000"/>
                <w:sz w:val="16"/>
                <w:szCs w:val="16"/>
                <w:lang w:val="en-GB"/>
              </w:rPr>
              <w:t xml:space="preserve">ndicator </w:t>
            </w:r>
            <w:r w:rsidRPr="000D260E">
              <w:rPr>
                <w:color w:val="000000"/>
                <w:sz w:val="16"/>
                <w:szCs w:val="16"/>
              </w:rPr>
              <w:t>3</w:t>
            </w:r>
            <w:r w:rsidRPr="000D260E">
              <w:rPr>
                <w:color w:val="000000"/>
                <w:sz w:val="16"/>
                <w:szCs w:val="16"/>
                <w:lang w:val="en-GB"/>
              </w:rPr>
              <w:t>.</w:t>
            </w:r>
            <w:r w:rsidRPr="000D260E">
              <w:rPr>
                <w:color w:val="000000"/>
                <w:sz w:val="16"/>
                <w:szCs w:val="16"/>
              </w:rPr>
              <w:t>1.2</w:t>
            </w:r>
            <w:r w:rsidR="00EA36E4">
              <w:rPr>
                <w:color w:val="000000"/>
                <w:sz w:val="16"/>
                <w:szCs w:val="16"/>
              </w:rPr>
              <w:t>.</w:t>
            </w:r>
            <w:r w:rsidRPr="000D260E">
              <w:rPr>
                <w:color w:val="000000"/>
                <w:sz w:val="16"/>
                <w:szCs w:val="16"/>
                <w:lang w:val="en-GB"/>
              </w:rPr>
              <w:t xml:space="preserve"> </w:t>
            </w:r>
            <w:r w:rsidRPr="006651CC">
              <w:rPr>
                <w:color w:val="000000"/>
                <w:sz w:val="16"/>
                <w:szCs w:val="16"/>
                <w:lang w:val="en-GB"/>
              </w:rPr>
              <w:t>Number of new digital systems/solutions developed to enhance public administration in key sectors</w:t>
            </w:r>
          </w:p>
          <w:p w14:paraId="438612AB" w14:textId="21EE0FA0" w:rsidR="00CE7B57" w:rsidRPr="004464D1" w:rsidRDefault="00CE7B57" w:rsidP="00073629">
            <w:pPr>
              <w:pStyle w:val="ListParagraph"/>
              <w:tabs>
                <w:tab w:val="left" w:pos="1620"/>
              </w:tabs>
              <w:spacing w:after="120"/>
              <w:ind w:left="360"/>
              <w:rPr>
                <w:color w:val="000000"/>
                <w:sz w:val="16"/>
                <w:szCs w:val="16"/>
                <w:lang w:val="en-GB"/>
              </w:rPr>
            </w:pPr>
            <w:r w:rsidRPr="004464D1">
              <w:rPr>
                <w:color w:val="000000"/>
                <w:sz w:val="16"/>
                <w:szCs w:val="16"/>
                <w:lang w:val="en-GB"/>
              </w:rPr>
              <w:t xml:space="preserve">Baseline </w:t>
            </w:r>
            <w:r w:rsidR="000362E5" w:rsidRPr="004464D1">
              <w:rPr>
                <w:color w:val="000000"/>
                <w:sz w:val="16"/>
                <w:szCs w:val="16"/>
                <w:lang w:val="en-GB"/>
              </w:rPr>
              <w:t>(2019)</w:t>
            </w:r>
            <w:r w:rsidRPr="004464D1">
              <w:rPr>
                <w:color w:val="000000"/>
                <w:sz w:val="16"/>
                <w:szCs w:val="16"/>
                <w:lang w:val="en-GB"/>
              </w:rPr>
              <w:t xml:space="preserve">: 0 </w:t>
            </w:r>
          </w:p>
          <w:p w14:paraId="0986F79A" w14:textId="539ED6D0" w:rsidR="00CE7B57" w:rsidRPr="004464D1" w:rsidRDefault="00CE7B57" w:rsidP="00073629">
            <w:pPr>
              <w:pStyle w:val="ListParagraph"/>
              <w:tabs>
                <w:tab w:val="left" w:pos="1620"/>
              </w:tabs>
              <w:spacing w:after="120"/>
              <w:ind w:left="360"/>
              <w:rPr>
                <w:color w:val="000000"/>
                <w:sz w:val="16"/>
                <w:szCs w:val="16"/>
                <w:lang w:val="en-GB"/>
              </w:rPr>
            </w:pPr>
            <w:r w:rsidRPr="004464D1">
              <w:rPr>
                <w:color w:val="000000"/>
                <w:sz w:val="16"/>
                <w:szCs w:val="16"/>
                <w:lang w:val="en-GB"/>
              </w:rPr>
              <w:t xml:space="preserve">Target </w:t>
            </w:r>
            <w:r w:rsidR="009A6639" w:rsidRPr="004464D1">
              <w:rPr>
                <w:color w:val="000000"/>
                <w:sz w:val="16"/>
                <w:szCs w:val="16"/>
                <w:lang w:val="en-GB"/>
              </w:rPr>
              <w:t>(2025)</w:t>
            </w:r>
            <w:r w:rsidRPr="004464D1">
              <w:rPr>
                <w:color w:val="000000"/>
                <w:sz w:val="16"/>
                <w:szCs w:val="16"/>
                <w:lang w:val="en-GB"/>
              </w:rPr>
              <w:t>:</w:t>
            </w:r>
            <w:r w:rsidRPr="006651CC">
              <w:rPr>
                <w:sz w:val="16"/>
                <w:szCs w:val="16"/>
              </w:rPr>
              <w:t xml:space="preserve"> </w:t>
            </w:r>
            <w:r w:rsidRPr="004464D1">
              <w:rPr>
                <w:color w:val="000000"/>
                <w:sz w:val="16"/>
                <w:szCs w:val="16"/>
                <w:lang w:val="en-GB"/>
              </w:rPr>
              <w:t>10</w:t>
            </w:r>
          </w:p>
          <w:p w14:paraId="19D57B61" w14:textId="4FE69EE0" w:rsidR="00CE7B57" w:rsidRPr="00253DEA" w:rsidRDefault="00CE7B57" w:rsidP="00073629">
            <w:pPr>
              <w:pStyle w:val="ListParagraph"/>
              <w:tabs>
                <w:tab w:val="left" w:pos="1620"/>
              </w:tabs>
              <w:spacing w:after="120"/>
              <w:ind w:left="360"/>
              <w:rPr>
                <w:color w:val="000000"/>
                <w:sz w:val="16"/>
                <w:szCs w:val="16"/>
                <w:lang w:val="en-GB"/>
              </w:rPr>
            </w:pPr>
            <w:r w:rsidRPr="000D260E">
              <w:rPr>
                <w:color w:val="000000"/>
                <w:sz w:val="16"/>
                <w:szCs w:val="16"/>
                <w:lang w:val="en-GB"/>
              </w:rPr>
              <w:t>Data source, frequency: Project</w:t>
            </w:r>
            <w:r w:rsidRPr="00253DEA">
              <w:rPr>
                <w:color w:val="000000"/>
                <w:sz w:val="16"/>
                <w:szCs w:val="16"/>
                <w:lang w:val="en-GB"/>
              </w:rPr>
              <w:t xml:space="preserve"> reports</w:t>
            </w:r>
            <w:r w:rsidR="002B45E5" w:rsidRPr="00253DEA">
              <w:rPr>
                <w:color w:val="000000"/>
                <w:sz w:val="16"/>
                <w:szCs w:val="16"/>
                <w:lang w:val="en-GB"/>
              </w:rPr>
              <w:t>; annual</w:t>
            </w:r>
          </w:p>
          <w:p w14:paraId="2C7ACDF3" w14:textId="744C1DA0" w:rsidR="00CE7B57" w:rsidRPr="006651CC" w:rsidRDefault="00CE7B57" w:rsidP="00073629">
            <w:pPr>
              <w:tabs>
                <w:tab w:val="left" w:pos="1620"/>
              </w:tabs>
              <w:spacing w:after="160"/>
              <w:rPr>
                <w:b/>
                <w:bCs/>
                <w:color w:val="000000"/>
                <w:sz w:val="18"/>
                <w:szCs w:val="18"/>
                <w:lang w:val="en-GB"/>
              </w:rPr>
            </w:pPr>
            <w:r w:rsidRPr="006651CC">
              <w:rPr>
                <w:b/>
                <w:bCs/>
                <w:color w:val="000000"/>
                <w:sz w:val="18"/>
                <w:szCs w:val="18"/>
                <w:lang w:val="en-GB"/>
              </w:rPr>
              <w:t xml:space="preserve">Output </w:t>
            </w:r>
            <w:r w:rsidRPr="006651CC">
              <w:rPr>
                <w:b/>
                <w:bCs/>
                <w:color w:val="000000"/>
                <w:sz w:val="18"/>
                <w:szCs w:val="18"/>
              </w:rPr>
              <w:t>3</w:t>
            </w:r>
            <w:r w:rsidRPr="006651CC">
              <w:rPr>
                <w:b/>
                <w:bCs/>
                <w:color w:val="000000"/>
                <w:sz w:val="18"/>
                <w:szCs w:val="18"/>
                <w:lang w:val="en-GB"/>
              </w:rPr>
              <w:t>.2</w:t>
            </w:r>
            <w:r w:rsidR="00EA36E4">
              <w:rPr>
                <w:b/>
                <w:bCs/>
                <w:color w:val="000000"/>
                <w:sz w:val="18"/>
                <w:szCs w:val="18"/>
                <w:lang w:val="en-GB"/>
              </w:rPr>
              <w:t>.</w:t>
            </w:r>
            <w:r w:rsidRPr="00073629">
              <w:rPr>
                <w:b/>
                <w:bCs/>
                <w:color w:val="000000"/>
                <w:sz w:val="18"/>
                <w:szCs w:val="18"/>
                <w:lang w:val="en-GB"/>
              </w:rPr>
              <w:t xml:space="preserve"> </w:t>
            </w:r>
            <w:r w:rsidR="00CE3B64" w:rsidRPr="00073629">
              <w:rPr>
                <w:b/>
                <w:bCs/>
                <w:color w:val="000000"/>
                <w:sz w:val="18"/>
                <w:szCs w:val="18"/>
                <w:lang w:val="en-GB"/>
              </w:rPr>
              <w:t xml:space="preserve">Development of a national urban policy </w:t>
            </w:r>
            <w:r w:rsidR="00EA36E4">
              <w:rPr>
                <w:b/>
                <w:bCs/>
                <w:color w:val="000000"/>
                <w:sz w:val="18"/>
                <w:szCs w:val="18"/>
                <w:lang w:val="en-GB"/>
              </w:rPr>
              <w:t>that</w:t>
            </w:r>
            <w:r w:rsidR="00EA36E4" w:rsidRPr="006651CC">
              <w:rPr>
                <w:b/>
                <w:bCs/>
                <w:color w:val="000000"/>
                <w:sz w:val="18"/>
                <w:szCs w:val="18"/>
                <w:lang w:val="en-GB"/>
              </w:rPr>
              <w:t xml:space="preserve"> </w:t>
            </w:r>
            <w:r w:rsidR="00CE3B64" w:rsidRPr="006651CC">
              <w:rPr>
                <w:b/>
                <w:bCs/>
                <w:color w:val="000000"/>
                <w:sz w:val="18"/>
                <w:szCs w:val="18"/>
                <w:lang w:val="en-GB"/>
              </w:rPr>
              <w:t xml:space="preserve">integrates fully the </w:t>
            </w:r>
            <w:r w:rsidR="00EA36E4">
              <w:rPr>
                <w:b/>
                <w:bCs/>
                <w:color w:val="000000"/>
                <w:sz w:val="18"/>
                <w:szCs w:val="18"/>
                <w:lang w:val="en-GB"/>
              </w:rPr>
              <w:t>‘</w:t>
            </w:r>
            <w:r w:rsidR="00CE3B64" w:rsidRPr="006651CC">
              <w:rPr>
                <w:b/>
                <w:bCs/>
                <w:color w:val="000000"/>
                <w:sz w:val="18"/>
                <w:szCs w:val="18"/>
                <w:lang w:val="en-GB"/>
              </w:rPr>
              <w:t>smart city</w:t>
            </w:r>
            <w:r w:rsidR="00EA36E4">
              <w:rPr>
                <w:b/>
                <w:bCs/>
                <w:color w:val="000000"/>
                <w:sz w:val="18"/>
                <w:szCs w:val="18"/>
                <w:lang w:val="en-GB"/>
              </w:rPr>
              <w:t>’</w:t>
            </w:r>
            <w:r w:rsidR="00CE3B64" w:rsidRPr="006651CC">
              <w:rPr>
                <w:b/>
                <w:bCs/>
                <w:color w:val="000000"/>
                <w:sz w:val="18"/>
                <w:szCs w:val="18"/>
                <w:lang w:val="en-GB"/>
              </w:rPr>
              <w:t xml:space="preserve"> (</w:t>
            </w:r>
            <w:r w:rsidR="00EA36E4">
              <w:rPr>
                <w:b/>
                <w:bCs/>
                <w:color w:val="000000"/>
                <w:sz w:val="18"/>
                <w:szCs w:val="18"/>
                <w:lang w:val="en-GB"/>
              </w:rPr>
              <w:t>‘</w:t>
            </w:r>
            <w:r w:rsidR="00CE3B64" w:rsidRPr="00073629">
              <w:rPr>
                <w:b/>
                <w:bCs/>
                <w:color w:val="000000"/>
                <w:sz w:val="18"/>
                <w:szCs w:val="18"/>
                <w:lang w:val="en-GB"/>
              </w:rPr>
              <w:t>smart district</w:t>
            </w:r>
            <w:r w:rsidR="00EA36E4">
              <w:rPr>
                <w:b/>
                <w:bCs/>
                <w:color w:val="000000"/>
                <w:sz w:val="18"/>
                <w:szCs w:val="18"/>
                <w:lang w:val="en-GB"/>
              </w:rPr>
              <w:t>’</w:t>
            </w:r>
            <w:r w:rsidR="00CE3B64" w:rsidRPr="006651CC">
              <w:rPr>
                <w:b/>
                <w:bCs/>
                <w:color w:val="000000"/>
                <w:sz w:val="18"/>
                <w:szCs w:val="18"/>
                <w:lang w:val="en-GB"/>
              </w:rPr>
              <w:t xml:space="preserve">) concepts </w:t>
            </w:r>
            <w:r w:rsidR="0025753C" w:rsidRPr="006651CC">
              <w:rPr>
                <w:b/>
                <w:bCs/>
                <w:color w:val="000000"/>
                <w:sz w:val="18"/>
                <w:szCs w:val="18"/>
                <w:lang w:val="en-GB"/>
              </w:rPr>
              <w:t>and piloting solutions s</w:t>
            </w:r>
            <w:r w:rsidR="00CE3B64" w:rsidRPr="006651CC">
              <w:rPr>
                <w:b/>
                <w:bCs/>
                <w:color w:val="000000"/>
                <w:sz w:val="18"/>
                <w:szCs w:val="18"/>
                <w:lang w:val="en-GB"/>
              </w:rPr>
              <w:t xml:space="preserve">upported </w:t>
            </w:r>
          </w:p>
          <w:p w14:paraId="538E282F" w14:textId="4BF28A15" w:rsidR="00CE7B57" w:rsidRPr="004464D1" w:rsidRDefault="00CE7B57" w:rsidP="00073629">
            <w:pPr>
              <w:pStyle w:val="ListParagraph"/>
              <w:tabs>
                <w:tab w:val="left" w:pos="1620"/>
              </w:tabs>
              <w:spacing w:after="120"/>
              <w:ind w:left="360"/>
              <w:rPr>
                <w:color w:val="000000"/>
                <w:sz w:val="16"/>
                <w:szCs w:val="16"/>
                <w:lang w:val="en-GB"/>
              </w:rPr>
            </w:pPr>
            <w:r w:rsidRPr="00253DEA">
              <w:rPr>
                <w:color w:val="000000"/>
                <w:sz w:val="16"/>
                <w:szCs w:val="16"/>
                <w:lang w:val="en-GB"/>
              </w:rPr>
              <w:t xml:space="preserve">Indicative </w:t>
            </w:r>
            <w:r w:rsidR="00EA36E4">
              <w:rPr>
                <w:color w:val="000000"/>
                <w:sz w:val="16"/>
                <w:szCs w:val="16"/>
                <w:lang w:val="en-GB"/>
              </w:rPr>
              <w:t>i</w:t>
            </w:r>
            <w:r w:rsidRPr="00253DEA">
              <w:rPr>
                <w:color w:val="000000"/>
                <w:sz w:val="16"/>
                <w:szCs w:val="16"/>
                <w:lang w:val="en-GB"/>
              </w:rPr>
              <w:t xml:space="preserve">ndicator </w:t>
            </w:r>
            <w:r w:rsidRPr="00253DEA">
              <w:rPr>
                <w:color w:val="000000"/>
                <w:sz w:val="16"/>
                <w:szCs w:val="16"/>
              </w:rPr>
              <w:t>3</w:t>
            </w:r>
            <w:r w:rsidRPr="00253DEA">
              <w:rPr>
                <w:color w:val="000000"/>
                <w:sz w:val="16"/>
                <w:szCs w:val="16"/>
                <w:lang w:val="en-GB"/>
              </w:rPr>
              <w:t>.2</w:t>
            </w:r>
            <w:r w:rsidRPr="00253DEA">
              <w:rPr>
                <w:color w:val="000000"/>
                <w:sz w:val="16"/>
                <w:szCs w:val="16"/>
              </w:rPr>
              <w:t>.1</w:t>
            </w:r>
            <w:r w:rsidR="00EA36E4">
              <w:rPr>
                <w:color w:val="000000"/>
                <w:sz w:val="16"/>
                <w:szCs w:val="16"/>
                <w:lang w:val="en-GB"/>
              </w:rPr>
              <w:t>.</w:t>
            </w:r>
            <w:r w:rsidRPr="004464D1">
              <w:rPr>
                <w:color w:val="000000"/>
                <w:sz w:val="16"/>
                <w:szCs w:val="16"/>
                <w:lang w:val="en-GB"/>
              </w:rPr>
              <w:t xml:space="preserve"> </w:t>
            </w:r>
            <w:r w:rsidRPr="006651CC">
              <w:rPr>
                <w:color w:val="000000"/>
                <w:sz w:val="16"/>
                <w:szCs w:val="16"/>
                <w:lang w:val="en-GB"/>
              </w:rPr>
              <w:t xml:space="preserve">SDG </w:t>
            </w:r>
            <w:r w:rsidR="00EA36E4">
              <w:rPr>
                <w:color w:val="000000"/>
                <w:sz w:val="16"/>
                <w:szCs w:val="16"/>
                <w:lang w:val="en-GB"/>
              </w:rPr>
              <w:t>n</w:t>
            </w:r>
            <w:r w:rsidRPr="006651CC">
              <w:rPr>
                <w:color w:val="000000"/>
                <w:sz w:val="16"/>
                <w:szCs w:val="16"/>
                <w:lang w:val="en-GB"/>
              </w:rPr>
              <w:t xml:space="preserve">ational </w:t>
            </w:r>
            <w:r w:rsidR="00EA36E4">
              <w:rPr>
                <w:color w:val="000000"/>
                <w:sz w:val="16"/>
                <w:szCs w:val="16"/>
                <w:lang w:val="en-GB"/>
              </w:rPr>
              <w:t>i</w:t>
            </w:r>
            <w:r w:rsidRPr="006651CC">
              <w:rPr>
                <w:color w:val="000000"/>
                <w:sz w:val="16"/>
                <w:szCs w:val="16"/>
                <w:lang w:val="en-GB"/>
              </w:rPr>
              <w:t>ndicator: 11.</w:t>
            </w:r>
            <w:r w:rsidR="00684D89" w:rsidRPr="006651CC">
              <w:rPr>
                <w:color w:val="000000"/>
                <w:sz w:val="16"/>
                <w:szCs w:val="16"/>
                <w:lang w:val="en-GB"/>
              </w:rPr>
              <w:t>2</w:t>
            </w:r>
            <w:r w:rsidRPr="006651CC">
              <w:rPr>
                <w:color w:val="000000"/>
                <w:sz w:val="16"/>
                <w:szCs w:val="16"/>
                <w:lang w:val="en-GB"/>
              </w:rPr>
              <w:t>.1</w:t>
            </w:r>
            <w:r w:rsidR="00F64E60">
              <w:rPr>
                <w:color w:val="000000"/>
                <w:sz w:val="16"/>
                <w:szCs w:val="16"/>
                <w:lang w:val="en-GB"/>
              </w:rPr>
              <w:t>.</w:t>
            </w:r>
            <w:r w:rsidRPr="006651CC">
              <w:rPr>
                <w:color w:val="000000"/>
                <w:sz w:val="16"/>
                <w:szCs w:val="16"/>
                <w:lang w:val="en-GB"/>
              </w:rPr>
              <w:t xml:space="preserve"> </w:t>
            </w:r>
            <w:r w:rsidR="00684D89" w:rsidRPr="006651CC">
              <w:rPr>
                <w:color w:val="000000"/>
                <w:sz w:val="16"/>
                <w:szCs w:val="16"/>
                <w:lang w:val="en-GB"/>
              </w:rPr>
              <w:t xml:space="preserve">Proportion of population that has convenient access to public transport, by sex and </w:t>
            </w:r>
            <w:r w:rsidR="00C730D5" w:rsidRPr="006651CC">
              <w:rPr>
                <w:color w:val="000000"/>
                <w:sz w:val="16"/>
                <w:szCs w:val="16"/>
                <w:lang w:val="en-GB"/>
              </w:rPr>
              <w:t>place of residence</w:t>
            </w:r>
            <w:r w:rsidR="00684D89" w:rsidRPr="006651CC">
              <w:rPr>
                <w:color w:val="000000"/>
                <w:sz w:val="16"/>
                <w:szCs w:val="16"/>
                <w:lang w:val="en-GB"/>
              </w:rPr>
              <w:t xml:space="preserve"> (</w:t>
            </w:r>
            <w:r w:rsidR="00EA36E4">
              <w:rPr>
                <w:color w:val="000000"/>
                <w:sz w:val="16"/>
                <w:szCs w:val="16"/>
                <w:lang w:val="en-GB"/>
              </w:rPr>
              <w:t>%</w:t>
            </w:r>
            <w:r w:rsidR="00684D89" w:rsidRPr="006651CC">
              <w:rPr>
                <w:color w:val="000000"/>
                <w:sz w:val="16"/>
                <w:szCs w:val="16"/>
                <w:lang w:val="en-GB"/>
              </w:rPr>
              <w:t>)</w:t>
            </w:r>
          </w:p>
          <w:p w14:paraId="0FA871DD" w14:textId="03F3EFCF" w:rsidR="00CE7B57" w:rsidRPr="000D260E" w:rsidRDefault="00CE7B57" w:rsidP="00073629">
            <w:pPr>
              <w:pStyle w:val="ListParagraph"/>
              <w:tabs>
                <w:tab w:val="left" w:pos="1620"/>
              </w:tabs>
              <w:spacing w:after="120"/>
              <w:ind w:left="360"/>
              <w:rPr>
                <w:color w:val="000000"/>
                <w:sz w:val="16"/>
                <w:szCs w:val="16"/>
                <w:lang w:val="en-GB"/>
              </w:rPr>
            </w:pPr>
            <w:r w:rsidRPr="004464D1">
              <w:rPr>
                <w:color w:val="000000"/>
                <w:sz w:val="16"/>
                <w:szCs w:val="16"/>
                <w:lang w:val="en-GB"/>
              </w:rPr>
              <w:t xml:space="preserve">Baseline </w:t>
            </w:r>
            <w:r w:rsidR="002B5CCE" w:rsidRPr="004464D1">
              <w:rPr>
                <w:color w:val="000000"/>
                <w:sz w:val="16"/>
                <w:szCs w:val="16"/>
                <w:lang w:val="en-GB"/>
              </w:rPr>
              <w:t>(201</w:t>
            </w:r>
            <w:r w:rsidR="00E22C45">
              <w:rPr>
                <w:color w:val="000000"/>
                <w:sz w:val="16"/>
                <w:szCs w:val="16"/>
                <w:lang w:val="en-GB"/>
              </w:rPr>
              <w:t>9</w:t>
            </w:r>
            <w:r w:rsidR="002B5CCE" w:rsidRPr="004464D1">
              <w:rPr>
                <w:color w:val="000000"/>
                <w:sz w:val="16"/>
                <w:szCs w:val="16"/>
                <w:lang w:val="en-GB"/>
              </w:rPr>
              <w:t>)</w:t>
            </w:r>
            <w:r w:rsidRPr="004464D1">
              <w:rPr>
                <w:color w:val="000000"/>
                <w:sz w:val="16"/>
                <w:szCs w:val="16"/>
                <w:lang w:val="en-GB"/>
              </w:rPr>
              <w:t>:</w:t>
            </w:r>
            <w:r w:rsidR="005028AB" w:rsidRPr="004464D1">
              <w:rPr>
                <w:color w:val="000000"/>
                <w:sz w:val="16"/>
                <w:szCs w:val="16"/>
                <w:lang w:val="en-GB"/>
              </w:rPr>
              <w:t xml:space="preserve"> </w:t>
            </w:r>
            <w:r w:rsidR="00684D89" w:rsidRPr="004464D1">
              <w:rPr>
                <w:color w:val="000000"/>
                <w:sz w:val="16"/>
                <w:szCs w:val="16"/>
                <w:lang w:val="en-GB"/>
              </w:rPr>
              <w:t>8</w:t>
            </w:r>
            <w:r w:rsidR="00E22C45">
              <w:rPr>
                <w:color w:val="000000"/>
                <w:sz w:val="16"/>
                <w:szCs w:val="16"/>
                <w:lang w:val="en-GB"/>
              </w:rPr>
              <w:t>4</w:t>
            </w:r>
            <w:r w:rsidR="00684D89" w:rsidRPr="004464D1">
              <w:rPr>
                <w:color w:val="000000"/>
                <w:sz w:val="16"/>
                <w:szCs w:val="16"/>
                <w:lang w:val="en-GB"/>
              </w:rPr>
              <w:t>.</w:t>
            </w:r>
            <w:r w:rsidR="00E22C45">
              <w:rPr>
                <w:color w:val="000000"/>
                <w:sz w:val="16"/>
                <w:szCs w:val="16"/>
                <w:lang w:val="en-GB"/>
              </w:rPr>
              <w:t>2</w:t>
            </w:r>
            <w:r w:rsidR="00684D89" w:rsidRPr="004464D1">
              <w:rPr>
                <w:color w:val="000000"/>
                <w:sz w:val="16"/>
                <w:szCs w:val="16"/>
                <w:lang w:val="en-GB"/>
              </w:rPr>
              <w:t>; men – 8</w:t>
            </w:r>
            <w:r w:rsidR="00E22C45">
              <w:rPr>
                <w:color w:val="000000"/>
                <w:sz w:val="16"/>
                <w:szCs w:val="16"/>
                <w:lang w:val="en-GB"/>
              </w:rPr>
              <w:t>4.5</w:t>
            </w:r>
            <w:r w:rsidR="00684D89" w:rsidRPr="004464D1">
              <w:rPr>
                <w:color w:val="000000"/>
                <w:sz w:val="16"/>
                <w:szCs w:val="16"/>
                <w:lang w:val="en-GB"/>
              </w:rPr>
              <w:t>; women – 8</w:t>
            </w:r>
            <w:r w:rsidR="00E22C45">
              <w:rPr>
                <w:color w:val="000000"/>
                <w:sz w:val="16"/>
                <w:szCs w:val="16"/>
                <w:lang w:val="en-GB"/>
              </w:rPr>
              <w:t>3</w:t>
            </w:r>
            <w:r w:rsidR="00684D89" w:rsidRPr="004464D1">
              <w:rPr>
                <w:color w:val="000000"/>
                <w:sz w:val="16"/>
                <w:szCs w:val="16"/>
                <w:lang w:val="en-GB"/>
              </w:rPr>
              <w:t>.</w:t>
            </w:r>
            <w:r w:rsidR="00E22C45">
              <w:rPr>
                <w:color w:val="000000"/>
                <w:sz w:val="16"/>
                <w:szCs w:val="16"/>
                <w:lang w:val="en-GB"/>
              </w:rPr>
              <w:t>9</w:t>
            </w:r>
            <w:r w:rsidR="00684D89" w:rsidRPr="004464D1">
              <w:rPr>
                <w:color w:val="000000"/>
                <w:sz w:val="16"/>
                <w:szCs w:val="16"/>
                <w:lang w:val="en-GB"/>
              </w:rPr>
              <w:t>: cities and urban settlements – 9</w:t>
            </w:r>
            <w:r w:rsidR="00E22C45">
              <w:rPr>
                <w:color w:val="000000"/>
                <w:sz w:val="16"/>
                <w:szCs w:val="16"/>
                <w:lang w:val="en-GB"/>
              </w:rPr>
              <w:t>1</w:t>
            </w:r>
            <w:r w:rsidR="00684D89" w:rsidRPr="004464D1">
              <w:rPr>
                <w:color w:val="000000"/>
                <w:sz w:val="16"/>
                <w:szCs w:val="16"/>
                <w:lang w:val="en-GB"/>
              </w:rPr>
              <w:t xml:space="preserve">.5; rural settlements – </w:t>
            </w:r>
            <w:r w:rsidR="00E22C45">
              <w:rPr>
                <w:color w:val="000000"/>
                <w:sz w:val="16"/>
                <w:szCs w:val="16"/>
                <w:lang w:val="en-GB"/>
              </w:rPr>
              <w:t>63</w:t>
            </w:r>
            <w:r w:rsidR="00684D89" w:rsidRPr="004464D1">
              <w:rPr>
                <w:color w:val="000000"/>
                <w:sz w:val="16"/>
                <w:szCs w:val="16"/>
                <w:lang w:val="en-GB"/>
              </w:rPr>
              <w:t>.</w:t>
            </w:r>
            <w:r w:rsidR="00E22C45">
              <w:rPr>
                <w:color w:val="000000"/>
                <w:sz w:val="16"/>
                <w:szCs w:val="16"/>
                <w:lang w:val="en-GB"/>
              </w:rPr>
              <w:t>9</w:t>
            </w:r>
            <w:r w:rsidR="00684D89" w:rsidRPr="004464D1">
              <w:rPr>
                <w:color w:val="000000"/>
                <w:sz w:val="16"/>
                <w:szCs w:val="16"/>
                <w:lang w:val="en-GB"/>
              </w:rPr>
              <w:t xml:space="preserve"> </w:t>
            </w:r>
          </w:p>
          <w:p w14:paraId="4C24D625" w14:textId="74A880D8" w:rsidR="00CE7B57" w:rsidRPr="00036D14" w:rsidRDefault="00CE7B57" w:rsidP="00073629">
            <w:pPr>
              <w:pStyle w:val="ListParagraph"/>
              <w:tabs>
                <w:tab w:val="left" w:pos="1620"/>
              </w:tabs>
              <w:spacing w:after="120"/>
              <w:ind w:left="360"/>
              <w:rPr>
                <w:color w:val="000000"/>
                <w:sz w:val="16"/>
                <w:szCs w:val="16"/>
                <w:lang w:val="en-GB"/>
              </w:rPr>
            </w:pPr>
            <w:r w:rsidRPr="00036D14">
              <w:rPr>
                <w:color w:val="000000"/>
                <w:sz w:val="16"/>
                <w:szCs w:val="16"/>
                <w:lang w:val="en-GB"/>
              </w:rPr>
              <w:t xml:space="preserve">Target </w:t>
            </w:r>
            <w:r w:rsidR="009A6639" w:rsidRPr="00036D14">
              <w:rPr>
                <w:color w:val="000000"/>
                <w:sz w:val="16"/>
                <w:szCs w:val="16"/>
                <w:lang w:val="en-GB"/>
              </w:rPr>
              <w:t>(2025)</w:t>
            </w:r>
            <w:r w:rsidRPr="00036D14">
              <w:rPr>
                <w:color w:val="000000"/>
                <w:sz w:val="16"/>
                <w:szCs w:val="16"/>
                <w:lang w:val="en-GB"/>
              </w:rPr>
              <w:t>:</w:t>
            </w:r>
            <w:r w:rsidR="005028AB" w:rsidRPr="00036D14">
              <w:rPr>
                <w:color w:val="000000"/>
                <w:sz w:val="16"/>
                <w:szCs w:val="16"/>
                <w:lang w:val="en-GB"/>
              </w:rPr>
              <w:t xml:space="preserve"> </w:t>
            </w:r>
            <w:r w:rsidR="002600A8" w:rsidRPr="00036D14">
              <w:rPr>
                <w:color w:val="000000"/>
                <w:sz w:val="16"/>
                <w:szCs w:val="16"/>
                <w:lang w:val="en-GB"/>
              </w:rPr>
              <w:t>90</w:t>
            </w:r>
            <w:r w:rsidR="00684D89" w:rsidRPr="00036D14">
              <w:rPr>
                <w:color w:val="000000"/>
                <w:sz w:val="16"/>
                <w:szCs w:val="16"/>
                <w:lang w:val="en-GB"/>
              </w:rPr>
              <w:t xml:space="preserve"> </w:t>
            </w:r>
          </w:p>
          <w:p w14:paraId="3C381F62" w14:textId="5953AC08" w:rsidR="00CE7B57" w:rsidRPr="00EA36E4" w:rsidRDefault="00CE7B57" w:rsidP="00073629">
            <w:pPr>
              <w:pStyle w:val="ListParagraph"/>
              <w:tabs>
                <w:tab w:val="left" w:pos="1620"/>
              </w:tabs>
              <w:spacing w:after="120"/>
              <w:ind w:left="360"/>
              <w:rPr>
                <w:b/>
                <w:bCs/>
                <w:color w:val="000000"/>
                <w:sz w:val="16"/>
                <w:szCs w:val="16"/>
                <w:highlight w:val="yellow"/>
                <w:lang w:val="en-GB"/>
              </w:rPr>
            </w:pPr>
            <w:r w:rsidRPr="00EA36E4">
              <w:rPr>
                <w:color w:val="000000"/>
                <w:sz w:val="16"/>
                <w:szCs w:val="16"/>
                <w:lang w:val="en-GB"/>
              </w:rPr>
              <w:t>Data source, frequency</w:t>
            </w:r>
            <w:r w:rsidR="005028AB" w:rsidRPr="00EA36E4">
              <w:rPr>
                <w:color w:val="000000"/>
                <w:sz w:val="16"/>
                <w:szCs w:val="16"/>
                <w:lang w:val="en-GB"/>
              </w:rPr>
              <w:t>: NRP</w:t>
            </w:r>
            <w:r w:rsidR="002B45E5" w:rsidRPr="00EA36E4">
              <w:rPr>
                <w:color w:val="000000"/>
                <w:sz w:val="16"/>
                <w:szCs w:val="16"/>
                <w:lang w:val="en-GB"/>
              </w:rPr>
              <w:t>; annual</w:t>
            </w:r>
          </w:p>
          <w:p w14:paraId="645EE617" w14:textId="56C6C943" w:rsidR="00CE7B57" w:rsidRPr="004464D1" w:rsidRDefault="00CE7B57" w:rsidP="00073629">
            <w:pPr>
              <w:pStyle w:val="ListParagraph"/>
              <w:tabs>
                <w:tab w:val="left" w:pos="1620"/>
              </w:tabs>
              <w:spacing w:after="120"/>
              <w:ind w:left="360"/>
              <w:rPr>
                <w:color w:val="000000"/>
                <w:sz w:val="16"/>
                <w:szCs w:val="16"/>
                <w:lang w:val="en-GB"/>
              </w:rPr>
            </w:pPr>
            <w:r w:rsidRPr="00EA36E4">
              <w:rPr>
                <w:color w:val="000000"/>
                <w:sz w:val="16"/>
                <w:szCs w:val="16"/>
                <w:lang w:val="en-GB"/>
              </w:rPr>
              <w:lastRenderedPageBreak/>
              <w:t xml:space="preserve">Indicative </w:t>
            </w:r>
            <w:r w:rsidR="00EA36E4">
              <w:rPr>
                <w:color w:val="000000"/>
                <w:sz w:val="16"/>
                <w:szCs w:val="16"/>
                <w:lang w:val="en-GB"/>
              </w:rPr>
              <w:t>i</w:t>
            </w:r>
            <w:r w:rsidRPr="00EA36E4">
              <w:rPr>
                <w:color w:val="000000"/>
                <w:sz w:val="16"/>
                <w:szCs w:val="16"/>
                <w:lang w:val="en-GB"/>
              </w:rPr>
              <w:t xml:space="preserve">ndicator </w:t>
            </w:r>
            <w:r w:rsidRPr="00EA36E4">
              <w:rPr>
                <w:color w:val="000000"/>
                <w:sz w:val="16"/>
                <w:szCs w:val="16"/>
              </w:rPr>
              <w:t>3</w:t>
            </w:r>
            <w:r w:rsidRPr="00EA36E4">
              <w:rPr>
                <w:color w:val="000000"/>
                <w:sz w:val="16"/>
                <w:szCs w:val="16"/>
                <w:lang w:val="en-GB"/>
              </w:rPr>
              <w:t>.2</w:t>
            </w:r>
            <w:r w:rsidRPr="00EA36E4">
              <w:rPr>
                <w:color w:val="000000"/>
                <w:sz w:val="16"/>
                <w:szCs w:val="16"/>
              </w:rPr>
              <w:t>.</w:t>
            </w:r>
            <w:r w:rsidR="00EE500B" w:rsidRPr="00EA36E4">
              <w:rPr>
                <w:color w:val="000000"/>
                <w:sz w:val="16"/>
                <w:szCs w:val="16"/>
              </w:rPr>
              <w:t>2</w:t>
            </w:r>
            <w:r w:rsidR="00EA36E4">
              <w:rPr>
                <w:color w:val="000000"/>
                <w:sz w:val="16"/>
                <w:szCs w:val="16"/>
                <w:lang w:val="en-GB"/>
              </w:rPr>
              <w:t>.</w:t>
            </w:r>
            <w:r w:rsidRPr="00EA36E4">
              <w:rPr>
                <w:color w:val="000000"/>
                <w:sz w:val="16"/>
                <w:szCs w:val="16"/>
                <w:lang w:val="en-GB"/>
              </w:rPr>
              <w:t xml:space="preserve"> </w:t>
            </w:r>
            <w:r w:rsidR="00B057FE" w:rsidRPr="00F8737E">
              <w:rPr>
                <w:color w:val="000000"/>
                <w:sz w:val="16"/>
                <w:szCs w:val="16"/>
                <w:lang w:val="en-GB"/>
              </w:rPr>
              <w:t xml:space="preserve">Number of concepts of the development of </w:t>
            </w:r>
            <w:r w:rsidR="00EA36E4">
              <w:rPr>
                <w:color w:val="000000"/>
                <w:sz w:val="16"/>
                <w:szCs w:val="16"/>
                <w:lang w:val="en-GB"/>
              </w:rPr>
              <w:t>‘</w:t>
            </w:r>
            <w:r w:rsidR="00B057FE" w:rsidRPr="00073629">
              <w:rPr>
                <w:color w:val="000000"/>
                <w:sz w:val="16"/>
                <w:szCs w:val="16"/>
                <w:lang w:val="en-GB"/>
              </w:rPr>
              <w:t>smart cities</w:t>
            </w:r>
            <w:r w:rsidR="00EA36E4">
              <w:rPr>
                <w:color w:val="000000"/>
                <w:sz w:val="16"/>
                <w:szCs w:val="16"/>
                <w:lang w:val="en-GB"/>
              </w:rPr>
              <w:t>’</w:t>
            </w:r>
            <w:r w:rsidR="00B057FE" w:rsidRPr="00F8737E">
              <w:rPr>
                <w:color w:val="000000"/>
                <w:sz w:val="16"/>
                <w:szCs w:val="16"/>
                <w:lang w:val="en-GB"/>
              </w:rPr>
              <w:t xml:space="preserve"> developed at the national level</w:t>
            </w:r>
            <w:r w:rsidRPr="00F8737E">
              <w:rPr>
                <w:color w:val="000000"/>
                <w:sz w:val="16"/>
                <w:szCs w:val="16"/>
                <w:lang w:val="en-GB"/>
              </w:rPr>
              <w:t xml:space="preserve"> </w:t>
            </w:r>
          </w:p>
          <w:p w14:paraId="27ADE177" w14:textId="6E4474C9" w:rsidR="00CE7B57" w:rsidRPr="00806156" w:rsidRDefault="00CE7B57" w:rsidP="00073629">
            <w:pPr>
              <w:pStyle w:val="ListParagraph"/>
              <w:tabs>
                <w:tab w:val="left" w:pos="1620"/>
              </w:tabs>
              <w:spacing w:after="120"/>
              <w:ind w:left="360"/>
              <w:rPr>
                <w:color w:val="000000"/>
                <w:sz w:val="16"/>
                <w:szCs w:val="16"/>
                <w:lang w:val="en-GB"/>
              </w:rPr>
            </w:pPr>
            <w:r w:rsidRPr="004464D1">
              <w:rPr>
                <w:color w:val="000000"/>
                <w:sz w:val="16"/>
                <w:szCs w:val="16"/>
                <w:lang w:val="en-GB"/>
              </w:rPr>
              <w:t xml:space="preserve">Baseline </w:t>
            </w:r>
            <w:r w:rsidR="002B5CCE" w:rsidRPr="004464D1">
              <w:rPr>
                <w:color w:val="000000"/>
                <w:sz w:val="16"/>
                <w:szCs w:val="16"/>
                <w:lang w:val="en-GB"/>
              </w:rPr>
              <w:t>(201</w:t>
            </w:r>
            <w:r w:rsidR="00B057FE" w:rsidRPr="004464D1">
              <w:rPr>
                <w:color w:val="000000"/>
                <w:sz w:val="16"/>
                <w:szCs w:val="16"/>
                <w:lang w:val="en-GB"/>
              </w:rPr>
              <w:t>9</w:t>
            </w:r>
            <w:r w:rsidR="002B5CCE" w:rsidRPr="004464D1">
              <w:rPr>
                <w:color w:val="000000"/>
                <w:sz w:val="16"/>
                <w:szCs w:val="16"/>
                <w:lang w:val="en-GB"/>
              </w:rPr>
              <w:t>)</w:t>
            </w:r>
            <w:r w:rsidRPr="004464D1">
              <w:rPr>
                <w:color w:val="000000"/>
                <w:sz w:val="16"/>
                <w:szCs w:val="16"/>
                <w:lang w:val="en-GB"/>
              </w:rPr>
              <w:t>:</w:t>
            </w:r>
            <w:r w:rsidR="005028AB" w:rsidRPr="004464D1">
              <w:rPr>
                <w:color w:val="000000"/>
                <w:sz w:val="16"/>
                <w:szCs w:val="16"/>
                <w:lang w:val="en-GB"/>
              </w:rPr>
              <w:t xml:space="preserve"> </w:t>
            </w:r>
            <w:r w:rsidR="00B057FE" w:rsidRPr="00806156">
              <w:rPr>
                <w:color w:val="000000"/>
                <w:sz w:val="16"/>
                <w:szCs w:val="16"/>
                <w:lang w:val="en-GB"/>
              </w:rPr>
              <w:t>0</w:t>
            </w:r>
          </w:p>
          <w:p w14:paraId="54AF554A" w14:textId="301CEFC6" w:rsidR="00CE7B57" w:rsidRPr="000D260E" w:rsidRDefault="00CE7B57" w:rsidP="00073629">
            <w:pPr>
              <w:pStyle w:val="ListParagraph"/>
              <w:tabs>
                <w:tab w:val="left" w:pos="1620"/>
              </w:tabs>
              <w:spacing w:after="120"/>
              <w:ind w:left="360"/>
              <w:rPr>
                <w:color w:val="000000"/>
                <w:sz w:val="16"/>
                <w:szCs w:val="16"/>
                <w:lang w:val="en-GB"/>
              </w:rPr>
            </w:pPr>
            <w:r w:rsidRPr="000D260E">
              <w:rPr>
                <w:color w:val="000000"/>
                <w:sz w:val="16"/>
                <w:szCs w:val="16"/>
                <w:lang w:val="en-GB"/>
              </w:rPr>
              <w:t xml:space="preserve">Target </w:t>
            </w:r>
            <w:r w:rsidR="009A6639" w:rsidRPr="000D260E">
              <w:rPr>
                <w:color w:val="000000"/>
                <w:sz w:val="16"/>
                <w:szCs w:val="16"/>
                <w:lang w:val="en-GB"/>
              </w:rPr>
              <w:t>(2025)</w:t>
            </w:r>
            <w:r w:rsidRPr="000D260E">
              <w:rPr>
                <w:color w:val="000000"/>
                <w:sz w:val="16"/>
                <w:szCs w:val="16"/>
                <w:lang w:val="en-GB"/>
              </w:rPr>
              <w:t>:</w:t>
            </w:r>
            <w:r w:rsidR="005028AB" w:rsidRPr="000D260E">
              <w:rPr>
                <w:color w:val="000000"/>
                <w:sz w:val="16"/>
                <w:szCs w:val="16"/>
                <w:lang w:val="en-GB"/>
              </w:rPr>
              <w:t xml:space="preserve"> </w:t>
            </w:r>
            <w:r w:rsidR="00B057FE" w:rsidRPr="000D260E">
              <w:rPr>
                <w:color w:val="000000"/>
                <w:sz w:val="16"/>
                <w:szCs w:val="16"/>
                <w:lang w:val="en-GB"/>
              </w:rPr>
              <w:t>11</w:t>
            </w:r>
          </w:p>
          <w:p w14:paraId="6567E786" w14:textId="70B493BE" w:rsidR="00CE7B57" w:rsidRPr="00EA36E4" w:rsidRDefault="00CE7B57" w:rsidP="00073629">
            <w:pPr>
              <w:pStyle w:val="ListParagraph"/>
              <w:tabs>
                <w:tab w:val="left" w:pos="1620"/>
              </w:tabs>
              <w:spacing w:after="120"/>
              <w:ind w:left="360"/>
              <w:rPr>
                <w:b/>
                <w:bCs/>
                <w:color w:val="000000"/>
                <w:sz w:val="16"/>
                <w:szCs w:val="16"/>
                <w:lang w:val="en-GB"/>
              </w:rPr>
            </w:pPr>
            <w:r w:rsidRPr="00036D14">
              <w:rPr>
                <w:color w:val="000000"/>
                <w:sz w:val="16"/>
                <w:szCs w:val="16"/>
                <w:lang w:val="en-GB"/>
              </w:rPr>
              <w:t>Data source, frequency</w:t>
            </w:r>
            <w:r w:rsidR="005028AB" w:rsidRPr="00036D14">
              <w:rPr>
                <w:color w:val="000000"/>
                <w:sz w:val="16"/>
                <w:szCs w:val="16"/>
                <w:lang w:val="en-GB"/>
              </w:rPr>
              <w:t xml:space="preserve">: </w:t>
            </w:r>
            <w:r w:rsidR="00EA36E4">
              <w:rPr>
                <w:color w:val="000000"/>
                <w:sz w:val="16"/>
                <w:szCs w:val="16"/>
                <w:lang w:val="en-GB"/>
              </w:rPr>
              <w:t>MCI</w:t>
            </w:r>
            <w:r w:rsidR="002B45E5" w:rsidRPr="00EA36E4">
              <w:rPr>
                <w:color w:val="000000"/>
                <w:sz w:val="16"/>
                <w:szCs w:val="16"/>
                <w:lang w:val="en-GB"/>
              </w:rPr>
              <w:t>; annual</w:t>
            </w:r>
          </w:p>
          <w:p w14:paraId="0A3F2A50" w14:textId="4EAE0D13" w:rsidR="00CE7B57" w:rsidRPr="007C190F" w:rsidRDefault="00CE7B57" w:rsidP="00F8737E">
            <w:pPr>
              <w:tabs>
                <w:tab w:val="left" w:pos="1620"/>
              </w:tabs>
              <w:spacing w:after="160"/>
              <w:rPr>
                <w:sz w:val="18"/>
                <w:szCs w:val="18"/>
              </w:rPr>
            </w:pPr>
            <w:r w:rsidRPr="00F8737E">
              <w:rPr>
                <w:b/>
                <w:bCs/>
                <w:color w:val="000000"/>
                <w:sz w:val="18"/>
                <w:szCs w:val="18"/>
                <w:lang w:val="en-GB"/>
              </w:rPr>
              <w:t>Output 3.3</w:t>
            </w:r>
            <w:r w:rsidR="006C1966">
              <w:rPr>
                <w:b/>
                <w:bCs/>
                <w:color w:val="000000"/>
                <w:sz w:val="18"/>
                <w:szCs w:val="18"/>
                <w:lang w:val="en-GB"/>
              </w:rPr>
              <w:t>.</w:t>
            </w:r>
            <w:r w:rsidR="00715A80" w:rsidRPr="007C190F">
              <w:rPr>
                <w:b/>
                <w:bCs/>
                <w:color w:val="000000"/>
                <w:sz w:val="18"/>
                <w:szCs w:val="18"/>
                <w:lang w:val="en-GB"/>
              </w:rPr>
              <w:t xml:space="preserve"> </w:t>
            </w:r>
            <w:r w:rsidR="006E6147" w:rsidRPr="007C190F">
              <w:rPr>
                <w:b/>
                <w:bCs/>
                <w:color w:val="000000"/>
                <w:sz w:val="18"/>
                <w:szCs w:val="18"/>
                <w:lang w:val="en-GB"/>
              </w:rPr>
              <w:t>Development of additional education in the field of ICT</w:t>
            </w:r>
            <w:r w:rsidR="00715A80" w:rsidRPr="007C190F">
              <w:rPr>
                <w:b/>
                <w:bCs/>
                <w:color w:val="000000"/>
                <w:sz w:val="18"/>
                <w:szCs w:val="18"/>
                <w:lang w:val="en-GB"/>
              </w:rPr>
              <w:t xml:space="preserve"> </w:t>
            </w:r>
            <w:r w:rsidR="006E6147" w:rsidRPr="007C190F">
              <w:rPr>
                <w:b/>
                <w:bCs/>
                <w:color w:val="000000"/>
                <w:sz w:val="18"/>
                <w:szCs w:val="18"/>
                <w:lang w:val="en-GB"/>
              </w:rPr>
              <w:t xml:space="preserve">and other skills in demand on the </w:t>
            </w:r>
            <w:r w:rsidR="001635CC" w:rsidRPr="007C190F">
              <w:rPr>
                <w:b/>
                <w:bCs/>
                <w:color w:val="000000"/>
                <w:sz w:val="18"/>
                <w:szCs w:val="18"/>
                <w:lang w:val="en-GB"/>
              </w:rPr>
              <w:t>labour</w:t>
            </w:r>
            <w:r w:rsidR="006E6147" w:rsidRPr="007C190F">
              <w:rPr>
                <w:b/>
                <w:bCs/>
                <w:color w:val="000000"/>
                <w:sz w:val="18"/>
                <w:szCs w:val="18"/>
                <w:lang w:val="en-GB"/>
              </w:rPr>
              <w:t xml:space="preserve"> market </w:t>
            </w:r>
            <w:r w:rsidR="00715A80" w:rsidRPr="007C190F">
              <w:rPr>
                <w:b/>
                <w:bCs/>
                <w:color w:val="000000"/>
                <w:sz w:val="18"/>
                <w:szCs w:val="18"/>
                <w:lang w:val="en-GB"/>
              </w:rPr>
              <w:t>enhanced</w:t>
            </w:r>
            <w:r w:rsidR="00616B67" w:rsidRPr="007C190F">
              <w:rPr>
                <w:b/>
                <w:bCs/>
                <w:color w:val="000000"/>
                <w:sz w:val="18"/>
                <w:szCs w:val="18"/>
                <w:lang w:val="en-GB"/>
              </w:rPr>
              <w:t xml:space="preserve"> with a focus on employability of vulnerable groups</w:t>
            </w:r>
          </w:p>
          <w:p w14:paraId="17E2025B" w14:textId="428BCDC0" w:rsidR="00CE7B57" w:rsidRPr="00253DEA" w:rsidRDefault="00CE7B57" w:rsidP="007C190F">
            <w:pPr>
              <w:pStyle w:val="ListParagraph"/>
              <w:tabs>
                <w:tab w:val="left" w:pos="1620"/>
              </w:tabs>
              <w:spacing w:after="120"/>
              <w:ind w:left="360"/>
              <w:rPr>
                <w:color w:val="000000"/>
                <w:sz w:val="16"/>
                <w:szCs w:val="16"/>
                <w:lang w:val="en-GB"/>
              </w:rPr>
            </w:pPr>
            <w:r w:rsidRPr="00253DEA">
              <w:rPr>
                <w:color w:val="000000"/>
                <w:sz w:val="16"/>
                <w:szCs w:val="16"/>
                <w:lang w:val="en-GB"/>
              </w:rPr>
              <w:t xml:space="preserve">Indicative </w:t>
            </w:r>
            <w:r w:rsidR="006C1966">
              <w:rPr>
                <w:color w:val="000000"/>
                <w:sz w:val="16"/>
                <w:szCs w:val="16"/>
                <w:lang w:val="en-GB"/>
              </w:rPr>
              <w:t>i</w:t>
            </w:r>
            <w:r w:rsidRPr="00253DEA">
              <w:rPr>
                <w:color w:val="000000"/>
                <w:sz w:val="16"/>
                <w:szCs w:val="16"/>
                <w:lang w:val="en-GB"/>
              </w:rPr>
              <w:t xml:space="preserve">ndicator </w:t>
            </w:r>
            <w:r w:rsidRPr="00253DEA">
              <w:rPr>
                <w:color w:val="000000"/>
                <w:sz w:val="16"/>
                <w:szCs w:val="16"/>
              </w:rPr>
              <w:t>3</w:t>
            </w:r>
            <w:r w:rsidRPr="00253DEA">
              <w:rPr>
                <w:color w:val="000000"/>
                <w:sz w:val="16"/>
                <w:szCs w:val="16"/>
                <w:lang w:val="en-GB"/>
              </w:rPr>
              <w:t>.3</w:t>
            </w:r>
            <w:r w:rsidRPr="00253DEA">
              <w:rPr>
                <w:color w:val="000000"/>
                <w:sz w:val="16"/>
                <w:szCs w:val="16"/>
              </w:rPr>
              <w:t>.</w:t>
            </w:r>
            <w:r w:rsidR="00693CDD" w:rsidRPr="00253DEA">
              <w:rPr>
                <w:color w:val="000000"/>
                <w:sz w:val="16"/>
                <w:szCs w:val="16"/>
              </w:rPr>
              <w:t>1</w:t>
            </w:r>
            <w:r w:rsidR="006C1966">
              <w:rPr>
                <w:color w:val="000000"/>
                <w:sz w:val="16"/>
                <w:szCs w:val="16"/>
                <w:lang w:val="en-GB"/>
              </w:rPr>
              <w:t>.</w:t>
            </w:r>
            <w:r w:rsidRPr="00253DEA">
              <w:rPr>
                <w:color w:val="000000"/>
                <w:sz w:val="16"/>
                <w:szCs w:val="16"/>
                <w:lang w:val="en-GB"/>
              </w:rPr>
              <w:t xml:space="preserve"> </w:t>
            </w:r>
            <w:r w:rsidRPr="007C190F">
              <w:rPr>
                <w:color w:val="000000"/>
                <w:sz w:val="16"/>
                <w:szCs w:val="16"/>
                <w:lang w:val="en-GB"/>
              </w:rPr>
              <w:t xml:space="preserve">Number of people engaged in non-formal education and trainings </w:t>
            </w:r>
            <w:r w:rsidR="006C1966">
              <w:rPr>
                <w:color w:val="000000"/>
                <w:sz w:val="16"/>
                <w:szCs w:val="16"/>
                <w:lang w:val="en-GB"/>
              </w:rPr>
              <w:t>i</w:t>
            </w:r>
            <w:r w:rsidRPr="007C190F">
              <w:rPr>
                <w:color w:val="000000"/>
                <w:sz w:val="16"/>
                <w:szCs w:val="16"/>
                <w:lang w:val="en-GB"/>
              </w:rPr>
              <w:t>n business administration, information and communication technologies</w:t>
            </w:r>
          </w:p>
          <w:p w14:paraId="54811780" w14:textId="0084EEA5" w:rsidR="00CE7B57" w:rsidRPr="00253DEA" w:rsidRDefault="00CE7B57" w:rsidP="00073629">
            <w:pPr>
              <w:pStyle w:val="ListParagraph"/>
              <w:tabs>
                <w:tab w:val="left" w:pos="1620"/>
              </w:tabs>
              <w:spacing w:after="120"/>
              <w:ind w:left="360"/>
              <w:rPr>
                <w:color w:val="000000"/>
                <w:sz w:val="16"/>
                <w:szCs w:val="16"/>
                <w:lang w:val="en-GB"/>
              </w:rPr>
            </w:pPr>
            <w:r w:rsidRPr="00253DEA">
              <w:rPr>
                <w:color w:val="000000"/>
                <w:sz w:val="16"/>
                <w:szCs w:val="16"/>
                <w:lang w:val="en-GB"/>
              </w:rPr>
              <w:t xml:space="preserve">Baseline </w:t>
            </w:r>
            <w:r w:rsidR="004A476D" w:rsidRPr="00253DEA">
              <w:rPr>
                <w:color w:val="000000"/>
                <w:sz w:val="16"/>
                <w:szCs w:val="16"/>
                <w:lang w:val="en-GB"/>
              </w:rPr>
              <w:t>(2020)</w:t>
            </w:r>
            <w:r w:rsidRPr="00253DEA">
              <w:rPr>
                <w:color w:val="000000"/>
                <w:sz w:val="16"/>
                <w:szCs w:val="16"/>
                <w:lang w:val="en-GB"/>
              </w:rPr>
              <w:t xml:space="preserve">: 0 </w:t>
            </w:r>
          </w:p>
          <w:p w14:paraId="776F7D69" w14:textId="21E48979" w:rsidR="00CE7B57" w:rsidRPr="00253DEA" w:rsidRDefault="00CE7B57" w:rsidP="00073629">
            <w:pPr>
              <w:pStyle w:val="ListParagraph"/>
              <w:tabs>
                <w:tab w:val="left" w:pos="1620"/>
              </w:tabs>
              <w:spacing w:after="120"/>
              <w:ind w:left="360"/>
              <w:rPr>
                <w:color w:val="000000"/>
                <w:sz w:val="16"/>
                <w:szCs w:val="16"/>
                <w:lang w:val="en-GB"/>
              </w:rPr>
            </w:pPr>
            <w:r w:rsidRPr="00253DEA">
              <w:rPr>
                <w:color w:val="000000"/>
                <w:sz w:val="16"/>
                <w:szCs w:val="16"/>
                <w:lang w:val="en-GB"/>
              </w:rPr>
              <w:t xml:space="preserve">Target </w:t>
            </w:r>
            <w:r w:rsidR="004A476D" w:rsidRPr="00253DEA">
              <w:rPr>
                <w:color w:val="000000"/>
                <w:sz w:val="16"/>
                <w:szCs w:val="16"/>
                <w:lang w:val="en-GB"/>
              </w:rPr>
              <w:t>(2025)</w:t>
            </w:r>
            <w:r w:rsidRPr="00253DEA">
              <w:rPr>
                <w:color w:val="000000"/>
                <w:sz w:val="16"/>
                <w:szCs w:val="16"/>
                <w:lang w:val="en-GB"/>
              </w:rPr>
              <w:t xml:space="preserve">: 600 </w:t>
            </w:r>
          </w:p>
          <w:p w14:paraId="0B2B2547" w14:textId="0CBD7584" w:rsidR="00CE7B57" w:rsidRPr="00253DEA" w:rsidRDefault="00CE7B57" w:rsidP="00073629">
            <w:pPr>
              <w:pStyle w:val="ListParagraph"/>
              <w:tabs>
                <w:tab w:val="left" w:pos="1620"/>
              </w:tabs>
              <w:spacing w:after="120"/>
              <w:ind w:left="360"/>
              <w:rPr>
                <w:color w:val="000000"/>
                <w:sz w:val="16"/>
                <w:szCs w:val="16"/>
                <w:lang w:val="en-GB"/>
              </w:rPr>
            </w:pPr>
            <w:r w:rsidRPr="00253DEA">
              <w:rPr>
                <w:color w:val="000000"/>
                <w:sz w:val="16"/>
                <w:szCs w:val="16"/>
                <w:lang w:val="en-GB"/>
              </w:rPr>
              <w:t>Data source, frequency: Project reports</w:t>
            </w:r>
            <w:r w:rsidR="002B45E5" w:rsidRPr="00253DEA">
              <w:rPr>
                <w:color w:val="000000"/>
                <w:sz w:val="16"/>
                <w:szCs w:val="16"/>
                <w:lang w:val="en-GB"/>
              </w:rPr>
              <w:t>; annual</w:t>
            </w:r>
          </w:p>
          <w:p w14:paraId="061F0CCB" w14:textId="77777777" w:rsidR="005F70DE" w:rsidRDefault="005F70DE" w:rsidP="007C190F">
            <w:pPr>
              <w:tabs>
                <w:tab w:val="left" w:pos="1620"/>
              </w:tabs>
              <w:spacing w:after="160"/>
              <w:rPr>
                <w:b/>
                <w:bCs/>
                <w:color w:val="000000"/>
                <w:sz w:val="18"/>
                <w:szCs w:val="18"/>
                <w:lang w:val="en-GB"/>
              </w:rPr>
            </w:pPr>
          </w:p>
          <w:p w14:paraId="10CE01EC" w14:textId="6EE29946" w:rsidR="00CE7B57" w:rsidRPr="005F70DE" w:rsidRDefault="00CE7B57" w:rsidP="007C190F">
            <w:pPr>
              <w:tabs>
                <w:tab w:val="left" w:pos="1620"/>
              </w:tabs>
              <w:spacing w:after="160"/>
              <w:rPr>
                <w:b/>
                <w:bCs/>
                <w:sz w:val="18"/>
                <w:szCs w:val="18"/>
              </w:rPr>
            </w:pPr>
            <w:r w:rsidRPr="005F70DE">
              <w:rPr>
                <w:b/>
                <w:bCs/>
                <w:color w:val="000000"/>
                <w:sz w:val="18"/>
                <w:szCs w:val="18"/>
                <w:lang w:val="en-GB"/>
              </w:rPr>
              <w:t>Output 3.</w:t>
            </w:r>
            <w:r w:rsidRPr="005F70DE">
              <w:rPr>
                <w:b/>
                <w:bCs/>
                <w:color w:val="000000"/>
                <w:sz w:val="18"/>
                <w:szCs w:val="18"/>
              </w:rPr>
              <w:t>4</w:t>
            </w:r>
            <w:r w:rsidR="006C1966" w:rsidRPr="005F70DE">
              <w:rPr>
                <w:b/>
                <w:bCs/>
                <w:color w:val="000000"/>
                <w:sz w:val="18"/>
                <w:szCs w:val="18"/>
                <w:lang w:val="en-GB"/>
              </w:rPr>
              <w:t>.</w:t>
            </w:r>
            <w:r w:rsidRPr="005F70DE">
              <w:rPr>
                <w:b/>
                <w:bCs/>
                <w:color w:val="000000"/>
                <w:sz w:val="18"/>
                <w:szCs w:val="18"/>
                <w:lang w:val="en-GB"/>
              </w:rPr>
              <w:t xml:space="preserve"> </w:t>
            </w:r>
            <w:r w:rsidR="00C74579" w:rsidRPr="005F70DE">
              <w:rPr>
                <w:b/>
                <w:bCs/>
                <w:sz w:val="18"/>
                <w:szCs w:val="18"/>
              </w:rPr>
              <w:t>A</w:t>
            </w:r>
            <w:r w:rsidRPr="005F70DE">
              <w:rPr>
                <w:b/>
                <w:bCs/>
                <w:sz w:val="18"/>
                <w:szCs w:val="18"/>
              </w:rPr>
              <w:t xml:space="preserve"> system of e-participation </w:t>
            </w:r>
            <w:r w:rsidR="00C74579" w:rsidRPr="005F70DE">
              <w:rPr>
                <w:b/>
                <w:bCs/>
                <w:sz w:val="18"/>
                <w:szCs w:val="18"/>
              </w:rPr>
              <w:t>to improve public engagement</w:t>
            </w:r>
            <w:r w:rsidRPr="005F70DE">
              <w:rPr>
                <w:b/>
                <w:bCs/>
                <w:sz w:val="18"/>
                <w:szCs w:val="18"/>
              </w:rPr>
              <w:t xml:space="preserve"> in the life of the society </w:t>
            </w:r>
            <w:r w:rsidR="00415673" w:rsidRPr="005F70DE">
              <w:rPr>
                <w:b/>
                <w:bCs/>
                <w:sz w:val="18"/>
                <w:szCs w:val="18"/>
              </w:rPr>
              <w:t xml:space="preserve">and </w:t>
            </w:r>
            <w:r w:rsidRPr="005F70DE">
              <w:rPr>
                <w:b/>
                <w:bCs/>
                <w:sz w:val="18"/>
                <w:szCs w:val="18"/>
              </w:rPr>
              <w:t xml:space="preserve">decision making </w:t>
            </w:r>
            <w:r w:rsidR="00C74579" w:rsidRPr="005F70DE">
              <w:rPr>
                <w:b/>
                <w:bCs/>
                <w:sz w:val="18"/>
                <w:szCs w:val="18"/>
              </w:rPr>
              <w:t xml:space="preserve">developed and </w:t>
            </w:r>
            <w:r w:rsidR="00415673" w:rsidRPr="005F70DE">
              <w:rPr>
                <w:b/>
                <w:bCs/>
                <w:sz w:val="18"/>
                <w:szCs w:val="18"/>
              </w:rPr>
              <w:t>promoted</w:t>
            </w:r>
          </w:p>
          <w:p w14:paraId="3BCD6841" w14:textId="1238F2D5" w:rsidR="00CE7B57" w:rsidRPr="00253DEA" w:rsidRDefault="00CE7B57" w:rsidP="007C190F">
            <w:pPr>
              <w:pStyle w:val="ListParagraph"/>
              <w:tabs>
                <w:tab w:val="left" w:pos="1620"/>
              </w:tabs>
              <w:spacing w:after="120"/>
              <w:ind w:left="360"/>
              <w:rPr>
                <w:color w:val="000000"/>
                <w:sz w:val="16"/>
                <w:szCs w:val="16"/>
                <w:lang w:val="en-GB"/>
              </w:rPr>
            </w:pPr>
            <w:r w:rsidRPr="00253DEA">
              <w:rPr>
                <w:color w:val="000000"/>
                <w:sz w:val="16"/>
                <w:szCs w:val="16"/>
                <w:lang w:val="en-GB"/>
              </w:rPr>
              <w:t xml:space="preserve">Indicative </w:t>
            </w:r>
            <w:r w:rsidR="006C1966">
              <w:rPr>
                <w:color w:val="000000"/>
                <w:sz w:val="16"/>
                <w:szCs w:val="16"/>
                <w:lang w:val="en-GB"/>
              </w:rPr>
              <w:t>i</w:t>
            </w:r>
            <w:r w:rsidRPr="00253DEA">
              <w:rPr>
                <w:color w:val="000000"/>
                <w:sz w:val="16"/>
                <w:szCs w:val="16"/>
                <w:lang w:val="en-GB"/>
              </w:rPr>
              <w:t>ndicator 3.</w:t>
            </w:r>
            <w:r w:rsidRPr="00253DEA">
              <w:rPr>
                <w:color w:val="000000"/>
                <w:sz w:val="16"/>
                <w:szCs w:val="16"/>
              </w:rPr>
              <w:t>4.</w:t>
            </w:r>
            <w:r w:rsidR="004C6CEA" w:rsidRPr="00253DEA">
              <w:rPr>
                <w:color w:val="000000"/>
                <w:sz w:val="16"/>
                <w:szCs w:val="16"/>
              </w:rPr>
              <w:t>1</w:t>
            </w:r>
            <w:r w:rsidRPr="00253DEA">
              <w:rPr>
                <w:color w:val="000000"/>
                <w:sz w:val="16"/>
                <w:szCs w:val="16"/>
                <w:lang w:val="en-GB"/>
              </w:rPr>
              <w:t xml:space="preserve">: </w:t>
            </w:r>
            <w:r w:rsidR="006C1966">
              <w:rPr>
                <w:color w:val="000000"/>
                <w:sz w:val="16"/>
                <w:szCs w:val="16"/>
                <w:lang w:val="en-GB"/>
              </w:rPr>
              <w:t>P</w:t>
            </w:r>
            <w:r w:rsidRPr="007C190F">
              <w:rPr>
                <w:color w:val="000000"/>
                <w:sz w:val="16"/>
                <w:szCs w:val="16"/>
                <w:lang w:val="en-GB"/>
              </w:rPr>
              <w:t>roportion of the population using the Internet to interact with government, including for obtaining information, in the total population aged 6-72 years</w:t>
            </w:r>
            <w:r w:rsidR="00046BE8" w:rsidRPr="007C190F">
              <w:rPr>
                <w:color w:val="000000"/>
                <w:sz w:val="16"/>
                <w:szCs w:val="16"/>
                <w:lang w:val="en-GB"/>
              </w:rPr>
              <w:t xml:space="preserve"> (%)</w:t>
            </w:r>
            <w:r w:rsidRPr="007C190F">
              <w:rPr>
                <w:color w:val="000000"/>
                <w:sz w:val="16"/>
                <w:szCs w:val="16"/>
                <w:lang w:val="en-GB"/>
              </w:rPr>
              <w:t xml:space="preserve">  </w:t>
            </w:r>
          </w:p>
          <w:p w14:paraId="52255749" w14:textId="1BCEB78C" w:rsidR="00CE7B57" w:rsidRPr="00253DEA" w:rsidRDefault="00CE7B57" w:rsidP="00073629">
            <w:pPr>
              <w:pStyle w:val="ListParagraph"/>
              <w:tabs>
                <w:tab w:val="left" w:pos="1620"/>
              </w:tabs>
              <w:spacing w:after="120"/>
              <w:ind w:left="360"/>
              <w:rPr>
                <w:color w:val="000000"/>
                <w:sz w:val="16"/>
                <w:szCs w:val="16"/>
                <w:lang w:val="en-GB"/>
              </w:rPr>
            </w:pPr>
            <w:r w:rsidRPr="00253DEA">
              <w:rPr>
                <w:color w:val="000000"/>
                <w:sz w:val="16"/>
                <w:szCs w:val="16"/>
                <w:lang w:val="en-GB"/>
              </w:rPr>
              <w:t xml:space="preserve">Baseline </w:t>
            </w:r>
            <w:r w:rsidR="00FE0559" w:rsidRPr="00253DEA">
              <w:rPr>
                <w:color w:val="000000"/>
                <w:sz w:val="16"/>
                <w:szCs w:val="16"/>
                <w:lang w:val="en-GB"/>
              </w:rPr>
              <w:t>(2018)</w:t>
            </w:r>
            <w:r w:rsidRPr="00253DEA">
              <w:rPr>
                <w:color w:val="000000"/>
                <w:sz w:val="16"/>
                <w:szCs w:val="16"/>
                <w:lang w:val="en-GB"/>
              </w:rPr>
              <w:t xml:space="preserve">: 13.1 </w:t>
            </w:r>
          </w:p>
          <w:p w14:paraId="7D9264E8" w14:textId="7289CECA" w:rsidR="00CE7B57" w:rsidRPr="00253DEA" w:rsidRDefault="00CE7B57" w:rsidP="00073629">
            <w:pPr>
              <w:pStyle w:val="ListParagraph"/>
              <w:tabs>
                <w:tab w:val="left" w:pos="1620"/>
              </w:tabs>
              <w:spacing w:after="120"/>
              <w:ind w:left="360"/>
              <w:rPr>
                <w:color w:val="000000"/>
                <w:sz w:val="16"/>
                <w:szCs w:val="16"/>
                <w:lang w:val="en-GB"/>
              </w:rPr>
            </w:pPr>
            <w:r w:rsidRPr="00253DEA">
              <w:rPr>
                <w:color w:val="000000"/>
                <w:sz w:val="16"/>
                <w:szCs w:val="16"/>
                <w:lang w:val="en-GB"/>
              </w:rPr>
              <w:t xml:space="preserve">Target </w:t>
            </w:r>
            <w:r w:rsidR="009A6639" w:rsidRPr="00253DEA">
              <w:rPr>
                <w:color w:val="000000"/>
                <w:sz w:val="16"/>
                <w:szCs w:val="16"/>
                <w:lang w:val="en-GB"/>
              </w:rPr>
              <w:t>(2025)</w:t>
            </w:r>
            <w:r w:rsidRPr="00253DEA">
              <w:rPr>
                <w:color w:val="000000"/>
                <w:sz w:val="16"/>
                <w:szCs w:val="16"/>
                <w:lang w:val="en-GB"/>
              </w:rPr>
              <w:t xml:space="preserve">: 20 </w:t>
            </w:r>
          </w:p>
          <w:p w14:paraId="70433541" w14:textId="722E2231" w:rsidR="006C1966" w:rsidRPr="005F70DE" w:rsidRDefault="00CE7B57" w:rsidP="005F70DE">
            <w:pPr>
              <w:pStyle w:val="ListParagraph"/>
              <w:tabs>
                <w:tab w:val="left" w:pos="1620"/>
              </w:tabs>
              <w:spacing w:after="120"/>
              <w:ind w:left="360"/>
              <w:rPr>
                <w:color w:val="000000"/>
                <w:sz w:val="16"/>
                <w:szCs w:val="16"/>
                <w:lang w:val="en-GB"/>
              </w:rPr>
            </w:pPr>
            <w:r w:rsidRPr="00253DEA">
              <w:rPr>
                <w:color w:val="000000"/>
                <w:sz w:val="16"/>
                <w:szCs w:val="16"/>
                <w:lang w:val="en-GB"/>
              </w:rPr>
              <w:t>Data source, frequency: Belstat</w:t>
            </w:r>
            <w:r w:rsidR="002B45E5" w:rsidRPr="00253DEA">
              <w:rPr>
                <w:color w:val="000000"/>
                <w:sz w:val="16"/>
                <w:szCs w:val="16"/>
                <w:lang w:val="en-GB"/>
              </w:rPr>
              <w:t>; annual</w:t>
            </w:r>
          </w:p>
        </w:tc>
        <w:tc>
          <w:tcPr>
            <w:tcW w:w="701" w:type="pct"/>
            <w:vMerge w:val="restart"/>
            <w:shd w:val="clear" w:color="auto" w:fill="auto"/>
          </w:tcPr>
          <w:p w14:paraId="63D19D57" w14:textId="7BA80E3B" w:rsidR="00077B57" w:rsidRDefault="00CE7B57" w:rsidP="00073629">
            <w:pPr>
              <w:tabs>
                <w:tab w:val="left" w:pos="1620"/>
              </w:tabs>
              <w:spacing w:after="120"/>
              <w:rPr>
                <w:color w:val="000000"/>
                <w:sz w:val="16"/>
                <w:szCs w:val="16"/>
                <w:lang w:val="en-GB"/>
              </w:rPr>
            </w:pPr>
            <w:r w:rsidRPr="00253DEA">
              <w:rPr>
                <w:color w:val="000000"/>
                <w:sz w:val="16"/>
                <w:szCs w:val="16"/>
                <w:lang w:val="en-GB"/>
              </w:rPr>
              <w:lastRenderedPageBreak/>
              <w:t>Ministry of Communications and Informatization</w:t>
            </w:r>
            <w:r w:rsidR="00EA36E4">
              <w:rPr>
                <w:color w:val="000000"/>
                <w:sz w:val="16"/>
                <w:szCs w:val="16"/>
                <w:lang w:val="en-GB"/>
              </w:rPr>
              <w:t xml:space="preserve"> (MCI)</w:t>
            </w:r>
          </w:p>
          <w:p w14:paraId="53FF611B" w14:textId="0363E9E2" w:rsidR="00077B57" w:rsidRDefault="00CE7B57" w:rsidP="00073629">
            <w:pPr>
              <w:tabs>
                <w:tab w:val="left" w:pos="1620"/>
              </w:tabs>
              <w:spacing w:after="120"/>
              <w:rPr>
                <w:color w:val="000000"/>
                <w:sz w:val="16"/>
                <w:szCs w:val="16"/>
                <w:lang w:val="en-GB"/>
              </w:rPr>
            </w:pPr>
            <w:r w:rsidRPr="00253DEA">
              <w:rPr>
                <w:color w:val="000000"/>
                <w:sz w:val="16"/>
                <w:szCs w:val="16"/>
                <w:lang w:val="en-GB"/>
              </w:rPr>
              <w:t>Ministry of Justice</w:t>
            </w:r>
          </w:p>
          <w:p w14:paraId="0F8AA02A" w14:textId="1D151914" w:rsidR="00077B57" w:rsidRDefault="00CE7B57" w:rsidP="00073629">
            <w:pPr>
              <w:tabs>
                <w:tab w:val="left" w:pos="1620"/>
              </w:tabs>
              <w:spacing w:after="120"/>
              <w:rPr>
                <w:color w:val="000000"/>
                <w:sz w:val="16"/>
                <w:szCs w:val="16"/>
                <w:lang w:val="en-GB"/>
              </w:rPr>
            </w:pPr>
            <w:r w:rsidRPr="00253DEA">
              <w:rPr>
                <w:color w:val="000000"/>
                <w:sz w:val="16"/>
                <w:szCs w:val="16"/>
                <w:lang w:val="en-GB"/>
              </w:rPr>
              <w:t>National Cent</w:t>
            </w:r>
            <w:r w:rsidR="00077B57">
              <w:rPr>
                <w:color w:val="000000"/>
                <w:sz w:val="16"/>
                <w:szCs w:val="16"/>
                <w:lang w:val="en-GB"/>
              </w:rPr>
              <w:t>re</w:t>
            </w:r>
            <w:r w:rsidRPr="00253DEA">
              <w:rPr>
                <w:color w:val="000000"/>
                <w:sz w:val="16"/>
                <w:szCs w:val="16"/>
                <w:lang w:val="en-GB"/>
              </w:rPr>
              <w:t xml:space="preserve"> of Legal Information</w:t>
            </w:r>
          </w:p>
          <w:p w14:paraId="19F01F05" w14:textId="40437AD1" w:rsidR="00077B57" w:rsidRDefault="00077B57" w:rsidP="00073629">
            <w:pPr>
              <w:tabs>
                <w:tab w:val="left" w:pos="1620"/>
              </w:tabs>
              <w:spacing w:after="120"/>
              <w:rPr>
                <w:color w:val="000000"/>
                <w:sz w:val="16"/>
                <w:szCs w:val="16"/>
                <w:lang w:val="en-GB"/>
              </w:rPr>
            </w:pPr>
            <w:r>
              <w:rPr>
                <w:color w:val="000000"/>
                <w:sz w:val="16"/>
                <w:szCs w:val="16"/>
                <w:lang w:val="en-GB"/>
              </w:rPr>
              <w:t>MOE</w:t>
            </w:r>
          </w:p>
          <w:p w14:paraId="35EDB099" w14:textId="549D312F" w:rsidR="00077B57" w:rsidRDefault="00CE7B57" w:rsidP="00073629">
            <w:pPr>
              <w:tabs>
                <w:tab w:val="left" w:pos="1620"/>
              </w:tabs>
              <w:spacing w:after="120"/>
              <w:rPr>
                <w:sz w:val="16"/>
                <w:szCs w:val="16"/>
                <w:lang w:val="en-GB"/>
              </w:rPr>
            </w:pPr>
            <w:r w:rsidRPr="00253DEA">
              <w:rPr>
                <w:sz w:val="16"/>
                <w:szCs w:val="16"/>
                <w:lang w:val="en-GB"/>
              </w:rPr>
              <w:t xml:space="preserve">Ministry of Architecture and Construction </w:t>
            </w:r>
          </w:p>
          <w:p w14:paraId="2D74BD74" w14:textId="0A87C786" w:rsidR="00EB3E26" w:rsidRDefault="00EB3E26" w:rsidP="00073629">
            <w:pPr>
              <w:tabs>
                <w:tab w:val="left" w:pos="1620"/>
              </w:tabs>
              <w:spacing w:after="120"/>
              <w:rPr>
                <w:sz w:val="16"/>
                <w:szCs w:val="16"/>
                <w:lang w:val="en-GB"/>
              </w:rPr>
            </w:pPr>
            <w:r>
              <w:rPr>
                <w:sz w:val="16"/>
                <w:szCs w:val="16"/>
                <w:lang w:val="en-GB"/>
              </w:rPr>
              <w:t>State Border Committee</w:t>
            </w:r>
          </w:p>
          <w:p w14:paraId="15FE1F72" w14:textId="5776327A" w:rsidR="00EB3E26" w:rsidRDefault="00EB3E26" w:rsidP="00073629">
            <w:pPr>
              <w:tabs>
                <w:tab w:val="left" w:pos="1620"/>
              </w:tabs>
              <w:spacing w:after="120"/>
              <w:rPr>
                <w:sz w:val="16"/>
                <w:szCs w:val="16"/>
                <w:lang w:val="en-GB"/>
              </w:rPr>
            </w:pPr>
            <w:r>
              <w:rPr>
                <w:sz w:val="16"/>
                <w:szCs w:val="16"/>
                <w:lang w:val="en-GB"/>
              </w:rPr>
              <w:t>State Customs Committee</w:t>
            </w:r>
          </w:p>
          <w:p w14:paraId="6C7B59A5" w14:textId="71258938" w:rsidR="00EB3E26" w:rsidRDefault="00EB3E26" w:rsidP="00073629">
            <w:pPr>
              <w:tabs>
                <w:tab w:val="left" w:pos="1620"/>
              </w:tabs>
              <w:spacing w:after="120"/>
              <w:rPr>
                <w:sz w:val="16"/>
                <w:szCs w:val="16"/>
                <w:lang w:val="en-GB"/>
              </w:rPr>
            </w:pPr>
            <w:r w:rsidRPr="00EB3E26">
              <w:rPr>
                <w:sz w:val="16"/>
                <w:szCs w:val="16"/>
                <w:lang w:val="en-GB"/>
              </w:rPr>
              <w:t>State Committee on Science and Technology</w:t>
            </w:r>
          </w:p>
          <w:p w14:paraId="4BFF84EC" w14:textId="022468C9" w:rsidR="00077B57" w:rsidRDefault="00036D14" w:rsidP="00073629">
            <w:pPr>
              <w:tabs>
                <w:tab w:val="left" w:pos="1620"/>
              </w:tabs>
              <w:spacing w:after="120"/>
              <w:rPr>
                <w:sz w:val="16"/>
                <w:szCs w:val="16"/>
                <w:lang w:val="en-GB"/>
              </w:rPr>
            </w:pPr>
            <w:r>
              <w:rPr>
                <w:sz w:val="16"/>
                <w:szCs w:val="16"/>
                <w:lang w:val="en-GB"/>
              </w:rPr>
              <w:t>NCES</w:t>
            </w:r>
          </w:p>
          <w:p w14:paraId="2D0221E1" w14:textId="77777777" w:rsidR="00077B57" w:rsidRDefault="00077B57" w:rsidP="00077B57">
            <w:pPr>
              <w:tabs>
                <w:tab w:val="left" w:pos="1620"/>
              </w:tabs>
              <w:spacing w:after="120"/>
              <w:rPr>
                <w:sz w:val="16"/>
                <w:szCs w:val="16"/>
                <w:lang w:val="en-GB"/>
              </w:rPr>
            </w:pPr>
            <w:r>
              <w:rPr>
                <w:sz w:val="16"/>
                <w:szCs w:val="16"/>
                <w:lang w:val="en-GB"/>
              </w:rPr>
              <w:t>A</w:t>
            </w:r>
            <w:r w:rsidRPr="00253DEA">
              <w:rPr>
                <w:sz w:val="16"/>
                <w:szCs w:val="16"/>
                <w:lang w:val="en-GB"/>
              </w:rPr>
              <w:t>cademic and educational institutions</w:t>
            </w:r>
          </w:p>
          <w:p w14:paraId="45DA74E0" w14:textId="01C6AD1C" w:rsidR="00077B57" w:rsidRDefault="00077B57" w:rsidP="00077B57">
            <w:pPr>
              <w:tabs>
                <w:tab w:val="left" w:pos="1620"/>
              </w:tabs>
              <w:spacing w:after="120"/>
              <w:rPr>
                <w:sz w:val="16"/>
                <w:szCs w:val="16"/>
                <w:lang w:val="en-GB"/>
              </w:rPr>
            </w:pPr>
            <w:r>
              <w:rPr>
                <w:sz w:val="16"/>
                <w:szCs w:val="16"/>
                <w:lang w:val="en-GB"/>
              </w:rPr>
              <w:t>L</w:t>
            </w:r>
            <w:r w:rsidRPr="00253DEA">
              <w:rPr>
                <w:sz w:val="16"/>
                <w:szCs w:val="16"/>
                <w:lang w:val="en-GB"/>
              </w:rPr>
              <w:t>ocal authorities</w:t>
            </w:r>
          </w:p>
          <w:p w14:paraId="3DEBC624" w14:textId="17BDF237" w:rsidR="00073629" w:rsidRDefault="00073629" w:rsidP="00077B57">
            <w:pPr>
              <w:tabs>
                <w:tab w:val="left" w:pos="1620"/>
              </w:tabs>
              <w:spacing w:after="120"/>
              <w:rPr>
                <w:sz w:val="16"/>
                <w:szCs w:val="16"/>
                <w:lang w:val="en-GB"/>
              </w:rPr>
            </w:pPr>
            <w:r>
              <w:rPr>
                <w:sz w:val="16"/>
                <w:szCs w:val="16"/>
                <w:lang w:val="en-GB"/>
              </w:rPr>
              <w:t>Private sector</w:t>
            </w:r>
          </w:p>
          <w:p w14:paraId="5D5EE676" w14:textId="7B631561" w:rsidR="00CE7B57" w:rsidRPr="00253DEA" w:rsidRDefault="00077B57" w:rsidP="00073629">
            <w:pPr>
              <w:tabs>
                <w:tab w:val="left" w:pos="1620"/>
              </w:tabs>
              <w:spacing w:after="120"/>
              <w:rPr>
                <w:color w:val="000000"/>
                <w:sz w:val="16"/>
                <w:szCs w:val="16"/>
                <w:lang w:val="en-GB"/>
              </w:rPr>
            </w:pPr>
            <w:r>
              <w:rPr>
                <w:sz w:val="16"/>
                <w:szCs w:val="16"/>
                <w:lang w:val="en-GB"/>
              </w:rPr>
              <w:t>NGOs</w:t>
            </w:r>
          </w:p>
          <w:p w14:paraId="1CBC33C8" w14:textId="77777777" w:rsidR="00CE7B57" w:rsidRPr="00253DEA" w:rsidRDefault="00CE7B57" w:rsidP="00073629">
            <w:pPr>
              <w:tabs>
                <w:tab w:val="left" w:pos="1620"/>
              </w:tabs>
              <w:spacing w:after="120"/>
              <w:rPr>
                <w:b/>
                <w:bCs/>
                <w:color w:val="000000"/>
                <w:sz w:val="16"/>
                <w:szCs w:val="16"/>
                <w:lang w:val="en-GB"/>
              </w:rPr>
            </w:pPr>
          </w:p>
        </w:tc>
        <w:tc>
          <w:tcPr>
            <w:tcW w:w="682" w:type="pct"/>
            <w:shd w:val="clear" w:color="auto" w:fill="auto"/>
            <w:tcMar>
              <w:top w:w="15" w:type="dxa"/>
              <w:left w:w="108" w:type="dxa"/>
              <w:bottom w:w="0" w:type="dxa"/>
              <w:right w:w="108" w:type="dxa"/>
            </w:tcMar>
          </w:tcPr>
          <w:p w14:paraId="7B1B3D3E" w14:textId="402855F0" w:rsidR="00CE7B57" w:rsidRPr="00253DEA" w:rsidRDefault="00CE7B57" w:rsidP="00073629">
            <w:pPr>
              <w:tabs>
                <w:tab w:val="left" w:pos="1620"/>
              </w:tabs>
              <w:spacing w:after="120"/>
              <w:rPr>
                <w:b/>
                <w:color w:val="000000"/>
                <w:sz w:val="16"/>
                <w:szCs w:val="16"/>
              </w:rPr>
            </w:pPr>
            <w:r w:rsidRPr="00253DEA">
              <w:rPr>
                <w:b/>
                <w:color w:val="000000"/>
                <w:sz w:val="16"/>
                <w:szCs w:val="16"/>
              </w:rPr>
              <w:t>Regular</w:t>
            </w:r>
            <w:r w:rsidR="003C611C" w:rsidRPr="00253DEA">
              <w:rPr>
                <w:b/>
                <w:color w:val="000000"/>
                <w:sz w:val="16"/>
                <w:szCs w:val="16"/>
              </w:rPr>
              <w:t>: $400</w:t>
            </w:r>
          </w:p>
        </w:tc>
      </w:tr>
      <w:tr w:rsidR="00CE7B57" w:rsidRPr="00253DEA" w14:paraId="26E3BA9D" w14:textId="77777777" w:rsidTr="00253DEA">
        <w:tc>
          <w:tcPr>
            <w:tcW w:w="971" w:type="pct"/>
            <w:vMerge/>
            <w:shd w:val="clear" w:color="auto" w:fill="auto"/>
            <w:tcMar>
              <w:top w:w="72" w:type="dxa"/>
              <w:left w:w="144" w:type="dxa"/>
              <w:bottom w:w="72" w:type="dxa"/>
              <w:right w:w="144" w:type="dxa"/>
            </w:tcMar>
            <w:vAlign w:val="center"/>
          </w:tcPr>
          <w:p w14:paraId="0A6FA3E3" w14:textId="77777777" w:rsidR="00CE7B57" w:rsidRPr="00253DEA" w:rsidRDefault="00CE7B57" w:rsidP="006651CC">
            <w:pPr>
              <w:tabs>
                <w:tab w:val="left" w:pos="1620"/>
              </w:tabs>
              <w:spacing w:after="120"/>
              <w:jc w:val="center"/>
              <w:rPr>
                <w:b/>
                <w:bCs/>
                <w:color w:val="000000"/>
                <w:sz w:val="16"/>
                <w:szCs w:val="16"/>
                <w:lang w:val="en-GB"/>
              </w:rPr>
            </w:pPr>
          </w:p>
        </w:tc>
        <w:tc>
          <w:tcPr>
            <w:tcW w:w="918" w:type="pct"/>
            <w:vMerge/>
            <w:shd w:val="clear" w:color="auto" w:fill="auto"/>
            <w:vAlign w:val="center"/>
          </w:tcPr>
          <w:p w14:paraId="77EEF681" w14:textId="77777777" w:rsidR="00CE7B57" w:rsidRPr="00253DEA" w:rsidRDefault="00CE7B57" w:rsidP="006651CC">
            <w:pPr>
              <w:tabs>
                <w:tab w:val="left" w:pos="1620"/>
              </w:tabs>
              <w:spacing w:after="120"/>
              <w:jc w:val="center"/>
              <w:rPr>
                <w:b/>
                <w:color w:val="000000"/>
                <w:sz w:val="16"/>
                <w:szCs w:val="16"/>
              </w:rPr>
            </w:pPr>
          </w:p>
        </w:tc>
        <w:tc>
          <w:tcPr>
            <w:tcW w:w="1728" w:type="pct"/>
            <w:vMerge/>
            <w:shd w:val="clear" w:color="auto" w:fill="auto"/>
            <w:tcMar>
              <w:top w:w="72" w:type="dxa"/>
              <w:left w:w="144" w:type="dxa"/>
              <w:bottom w:w="72" w:type="dxa"/>
              <w:right w:w="144" w:type="dxa"/>
            </w:tcMar>
            <w:vAlign w:val="center"/>
          </w:tcPr>
          <w:p w14:paraId="2573B82A" w14:textId="77777777" w:rsidR="00CE7B57" w:rsidRPr="00253DEA" w:rsidRDefault="00CE7B57" w:rsidP="006651CC">
            <w:pPr>
              <w:tabs>
                <w:tab w:val="left" w:pos="1620"/>
              </w:tabs>
              <w:spacing w:after="120"/>
              <w:jc w:val="center"/>
              <w:rPr>
                <w:b/>
                <w:bCs/>
                <w:color w:val="000000"/>
                <w:sz w:val="16"/>
                <w:szCs w:val="16"/>
                <w:lang w:val="en-GB"/>
              </w:rPr>
            </w:pPr>
          </w:p>
        </w:tc>
        <w:tc>
          <w:tcPr>
            <w:tcW w:w="701" w:type="pct"/>
            <w:vMerge/>
            <w:shd w:val="clear" w:color="auto" w:fill="auto"/>
            <w:vAlign w:val="center"/>
          </w:tcPr>
          <w:p w14:paraId="636CDC20" w14:textId="77777777" w:rsidR="00CE7B57" w:rsidRPr="00253DEA" w:rsidRDefault="00CE7B57" w:rsidP="006651CC">
            <w:pPr>
              <w:tabs>
                <w:tab w:val="left" w:pos="1620"/>
              </w:tabs>
              <w:spacing w:after="120"/>
              <w:jc w:val="center"/>
              <w:rPr>
                <w:b/>
                <w:bCs/>
                <w:color w:val="000000"/>
                <w:sz w:val="16"/>
                <w:szCs w:val="16"/>
                <w:lang w:val="en-GB"/>
              </w:rPr>
            </w:pPr>
          </w:p>
        </w:tc>
        <w:tc>
          <w:tcPr>
            <w:tcW w:w="682" w:type="pct"/>
            <w:shd w:val="clear" w:color="auto" w:fill="auto"/>
            <w:tcMar>
              <w:top w:w="15" w:type="dxa"/>
              <w:left w:w="108" w:type="dxa"/>
              <w:bottom w:w="0" w:type="dxa"/>
              <w:right w:w="108" w:type="dxa"/>
            </w:tcMar>
          </w:tcPr>
          <w:p w14:paraId="6245B2A8" w14:textId="03F75388" w:rsidR="00CE7B57" w:rsidRPr="00253DEA" w:rsidRDefault="00CE7B57" w:rsidP="006651CC">
            <w:pPr>
              <w:tabs>
                <w:tab w:val="left" w:pos="1620"/>
              </w:tabs>
              <w:spacing w:after="120"/>
              <w:rPr>
                <w:b/>
                <w:color w:val="000000"/>
                <w:sz w:val="16"/>
                <w:szCs w:val="16"/>
              </w:rPr>
            </w:pPr>
            <w:r w:rsidRPr="00253DEA">
              <w:rPr>
                <w:b/>
                <w:color w:val="000000"/>
                <w:sz w:val="16"/>
                <w:szCs w:val="16"/>
              </w:rPr>
              <w:t>Other</w:t>
            </w:r>
            <w:r w:rsidR="0002584D" w:rsidRPr="00253DEA">
              <w:rPr>
                <w:b/>
                <w:color w:val="000000"/>
                <w:sz w:val="16"/>
                <w:szCs w:val="16"/>
              </w:rPr>
              <w:t>: $</w:t>
            </w:r>
            <w:r w:rsidR="00CA166A" w:rsidRPr="00253DEA">
              <w:rPr>
                <w:b/>
                <w:color w:val="000000"/>
                <w:sz w:val="16"/>
                <w:szCs w:val="16"/>
              </w:rPr>
              <w:t>6</w:t>
            </w:r>
            <w:r w:rsidR="0002584D" w:rsidRPr="00253DEA">
              <w:rPr>
                <w:b/>
                <w:color w:val="000000"/>
                <w:sz w:val="16"/>
                <w:szCs w:val="16"/>
              </w:rPr>
              <w:t>,</w:t>
            </w:r>
            <w:r w:rsidR="00CA166A" w:rsidRPr="00253DEA">
              <w:rPr>
                <w:b/>
                <w:color w:val="000000"/>
                <w:sz w:val="16"/>
                <w:szCs w:val="16"/>
              </w:rPr>
              <w:t>3</w:t>
            </w:r>
            <w:r w:rsidR="0002584D" w:rsidRPr="00253DEA">
              <w:rPr>
                <w:b/>
                <w:color w:val="000000"/>
                <w:sz w:val="16"/>
                <w:szCs w:val="16"/>
              </w:rPr>
              <w:t>00</w:t>
            </w:r>
          </w:p>
        </w:tc>
      </w:tr>
    </w:tbl>
    <w:p w14:paraId="0C686479" w14:textId="77777777" w:rsidR="005F70DE" w:rsidRDefault="005F70DE">
      <w:r>
        <w:br w:type="page"/>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541"/>
        <w:gridCol w:w="2402"/>
        <w:gridCol w:w="4522"/>
        <w:gridCol w:w="1835"/>
        <w:gridCol w:w="1785"/>
      </w:tblGrid>
      <w:tr w:rsidR="00CE7B57" w:rsidRPr="00253DEA" w14:paraId="635BA250" w14:textId="77777777" w:rsidTr="00253DEA">
        <w:tc>
          <w:tcPr>
            <w:tcW w:w="5000" w:type="pct"/>
            <w:gridSpan w:val="5"/>
            <w:shd w:val="clear" w:color="auto" w:fill="auto"/>
            <w:tcMar>
              <w:top w:w="72" w:type="dxa"/>
              <w:left w:w="144" w:type="dxa"/>
              <w:bottom w:w="72" w:type="dxa"/>
              <w:right w:w="144" w:type="dxa"/>
            </w:tcMar>
          </w:tcPr>
          <w:p w14:paraId="4951D4C0" w14:textId="703A6CAF" w:rsidR="00CE7B57" w:rsidRPr="00253DEA" w:rsidRDefault="00F64E60" w:rsidP="006651CC">
            <w:pPr>
              <w:tabs>
                <w:tab w:val="left" w:pos="1620"/>
              </w:tabs>
              <w:spacing w:after="120"/>
              <w:rPr>
                <w:color w:val="000000"/>
                <w:sz w:val="16"/>
                <w:szCs w:val="16"/>
              </w:rPr>
            </w:pPr>
            <w:r w:rsidRPr="00F64E60">
              <w:rPr>
                <w:b/>
                <w:bCs/>
                <w:color w:val="000000"/>
                <w:szCs w:val="16"/>
                <w:lang w:val="en-GB"/>
              </w:rPr>
              <w:lastRenderedPageBreak/>
              <w:t>National priority or goal:</w:t>
            </w:r>
            <w:r w:rsidR="00CE7B57" w:rsidRPr="00253DEA">
              <w:rPr>
                <w:b/>
                <w:bCs/>
                <w:color w:val="000000"/>
                <w:sz w:val="16"/>
                <w:szCs w:val="16"/>
                <w:lang w:val="en-GB"/>
              </w:rPr>
              <w:t xml:space="preserve"> </w:t>
            </w:r>
            <w:r w:rsidR="00CE7B57" w:rsidRPr="00253DEA">
              <w:rPr>
                <w:b/>
                <w:bCs/>
                <w:color w:val="000000"/>
                <w:szCs w:val="16"/>
                <w:lang w:val="en-GB"/>
              </w:rPr>
              <w:t xml:space="preserve">Resilient development of </w:t>
            </w:r>
            <w:r w:rsidR="008C3F4F">
              <w:rPr>
                <w:b/>
                <w:bCs/>
                <w:color w:val="000000"/>
                <w:szCs w:val="16"/>
                <w:lang w:val="en-GB"/>
              </w:rPr>
              <w:t xml:space="preserve">the institution of </w:t>
            </w:r>
            <w:r w:rsidR="00CE7B57" w:rsidRPr="00253DEA">
              <w:rPr>
                <w:b/>
                <w:bCs/>
                <w:color w:val="000000"/>
                <w:szCs w:val="16"/>
                <w:lang w:val="en-GB"/>
              </w:rPr>
              <w:t>famil</w:t>
            </w:r>
            <w:r w:rsidR="008C3F4F">
              <w:rPr>
                <w:b/>
                <w:bCs/>
                <w:color w:val="000000"/>
                <w:szCs w:val="16"/>
                <w:lang w:val="en-GB"/>
              </w:rPr>
              <w:t>y</w:t>
            </w:r>
            <w:r w:rsidR="00035BC0">
              <w:rPr>
                <w:b/>
                <w:bCs/>
                <w:color w:val="000000"/>
                <w:szCs w:val="16"/>
                <w:lang w:val="en-GB"/>
              </w:rPr>
              <w:t>,</w:t>
            </w:r>
            <w:r w:rsidR="00CE7B57" w:rsidRPr="00253DEA">
              <w:rPr>
                <w:b/>
                <w:bCs/>
                <w:color w:val="000000"/>
                <w:szCs w:val="16"/>
                <w:lang w:val="en-GB"/>
              </w:rPr>
              <w:t xml:space="preserve"> quality growth of human potential; </w:t>
            </w:r>
            <w:r>
              <w:rPr>
                <w:b/>
                <w:bCs/>
                <w:color w:val="000000"/>
                <w:szCs w:val="16"/>
                <w:lang w:val="en-GB"/>
              </w:rPr>
              <w:t>p</w:t>
            </w:r>
            <w:r w:rsidR="00CE7B57" w:rsidRPr="00253DEA">
              <w:rPr>
                <w:b/>
                <w:bCs/>
                <w:color w:val="000000"/>
                <w:szCs w:val="16"/>
                <w:lang w:val="en-GB"/>
              </w:rPr>
              <w:t xml:space="preserve">roductive employment and decent income; </w:t>
            </w:r>
            <w:r>
              <w:rPr>
                <w:b/>
                <w:bCs/>
                <w:color w:val="000000"/>
                <w:szCs w:val="16"/>
                <w:lang w:val="en-GB"/>
              </w:rPr>
              <w:t>d</w:t>
            </w:r>
            <w:r w:rsidR="00CE7B57" w:rsidRPr="00253DEA">
              <w:rPr>
                <w:b/>
                <w:bCs/>
                <w:color w:val="000000"/>
                <w:szCs w:val="16"/>
                <w:lang w:val="en-GB"/>
              </w:rPr>
              <w:t>eveloped business environment and resilient</w:t>
            </w:r>
            <w:r>
              <w:rPr>
                <w:b/>
                <w:bCs/>
                <w:color w:val="000000"/>
                <w:szCs w:val="16"/>
                <w:lang w:val="en-GB"/>
              </w:rPr>
              <w:t>,</w:t>
            </w:r>
            <w:r w:rsidR="00CE7B57" w:rsidRPr="00253DEA">
              <w:rPr>
                <w:b/>
                <w:bCs/>
                <w:color w:val="000000"/>
                <w:szCs w:val="16"/>
                <w:lang w:val="en-GB"/>
              </w:rPr>
              <w:t xml:space="preserve"> sustainable infrastructure</w:t>
            </w:r>
            <w:r w:rsidR="008C3F4F">
              <w:rPr>
                <w:b/>
                <w:bCs/>
                <w:color w:val="000000"/>
                <w:szCs w:val="16"/>
                <w:lang w:val="en-GB"/>
              </w:rPr>
              <w:t>.</w:t>
            </w:r>
          </w:p>
        </w:tc>
      </w:tr>
      <w:tr w:rsidR="00CE7B57" w:rsidRPr="00253DEA" w14:paraId="2E8A714B" w14:textId="77777777" w:rsidTr="00253DEA">
        <w:tc>
          <w:tcPr>
            <w:tcW w:w="5000" w:type="pct"/>
            <w:gridSpan w:val="5"/>
            <w:shd w:val="clear" w:color="auto" w:fill="auto"/>
            <w:tcMar>
              <w:top w:w="72" w:type="dxa"/>
              <w:left w:w="144" w:type="dxa"/>
              <w:bottom w:w="72" w:type="dxa"/>
              <w:right w:w="144" w:type="dxa"/>
            </w:tcMar>
          </w:tcPr>
          <w:p w14:paraId="4D6ECBBA" w14:textId="50075CF2" w:rsidR="00CE7B57" w:rsidRPr="00253DEA" w:rsidRDefault="00F64E60" w:rsidP="006651CC">
            <w:pPr>
              <w:tabs>
                <w:tab w:val="left" w:pos="1620"/>
              </w:tabs>
              <w:spacing w:after="120"/>
              <w:rPr>
                <w:b/>
                <w:bCs/>
                <w:color w:val="000000"/>
                <w:szCs w:val="16"/>
              </w:rPr>
            </w:pPr>
            <w:r>
              <w:rPr>
                <w:b/>
                <w:bCs/>
              </w:rPr>
              <w:t>UNSDCF</w:t>
            </w:r>
            <w:r w:rsidRPr="00F64E60">
              <w:rPr>
                <w:b/>
                <w:bCs/>
              </w:rPr>
              <w:t xml:space="preserve"> (or equivalent) outcome involving </w:t>
            </w:r>
            <w:r w:rsidR="00CE7B57" w:rsidRPr="00F8737E">
              <w:rPr>
                <w:b/>
                <w:bCs/>
              </w:rPr>
              <w:t>UNDP #4</w:t>
            </w:r>
            <w:r>
              <w:rPr>
                <w:b/>
                <w:bCs/>
              </w:rPr>
              <w:t>.</w:t>
            </w:r>
            <w:r w:rsidR="002D311F" w:rsidRPr="00253DEA">
              <w:rPr>
                <w:b/>
                <w:bCs/>
                <w:color w:val="000000"/>
                <w:sz w:val="16"/>
                <w:szCs w:val="16"/>
              </w:rPr>
              <w:t xml:space="preserve"> </w:t>
            </w:r>
            <w:r w:rsidR="009E0BF5" w:rsidRPr="00253DEA">
              <w:rPr>
                <w:b/>
                <w:bCs/>
              </w:rPr>
              <w:t xml:space="preserve">By 2025, improvements in data collection, gender equality policies, and child and gender budgeting have created conditions for men and women of all ages, including those aged 65 years and older, as well as girls and boys, to better realize their rights and </w:t>
            </w:r>
            <w:r w:rsidRPr="00253DEA">
              <w:rPr>
                <w:b/>
                <w:bCs/>
              </w:rPr>
              <w:t>i</w:t>
            </w:r>
            <w:r>
              <w:rPr>
                <w:b/>
                <w:bCs/>
              </w:rPr>
              <w:t>mprov</w:t>
            </w:r>
            <w:r w:rsidRPr="00253DEA">
              <w:rPr>
                <w:b/>
                <w:bCs/>
              </w:rPr>
              <w:t xml:space="preserve">e </w:t>
            </w:r>
            <w:r w:rsidR="009E0BF5" w:rsidRPr="00253DEA">
              <w:rPr>
                <w:b/>
                <w:bCs/>
              </w:rPr>
              <w:t>the quality of their lives, including through increased opportunities for employment and better protection from gender-based and domestic violence.</w:t>
            </w:r>
          </w:p>
        </w:tc>
      </w:tr>
      <w:tr w:rsidR="00CE7B57" w:rsidRPr="00253DEA" w14:paraId="12A850B5" w14:textId="77777777" w:rsidTr="00253DEA">
        <w:tc>
          <w:tcPr>
            <w:tcW w:w="5000" w:type="pct"/>
            <w:gridSpan w:val="5"/>
            <w:shd w:val="clear" w:color="auto" w:fill="auto"/>
            <w:tcMar>
              <w:top w:w="72" w:type="dxa"/>
              <w:left w:w="144" w:type="dxa"/>
              <w:bottom w:w="72" w:type="dxa"/>
              <w:right w:w="144" w:type="dxa"/>
            </w:tcMar>
          </w:tcPr>
          <w:p w14:paraId="1029121B" w14:textId="614D6023" w:rsidR="00CE7B57" w:rsidRPr="00253DEA" w:rsidRDefault="00F64E60" w:rsidP="00F8737E">
            <w:pPr>
              <w:tabs>
                <w:tab w:val="left" w:pos="1620"/>
              </w:tabs>
              <w:spacing w:after="120"/>
              <w:rPr>
                <w:b/>
                <w:bCs/>
                <w:color w:val="000000"/>
                <w:sz w:val="16"/>
                <w:szCs w:val="16"/>
                <w:lang w:val="en-GB"/>
              </w:rPr>
            </w:pPr>
            <w:r w:rsidRPr="00F64E60">
              <w:rPr>
                <w:b/>
                <w:bCs/>
                <w:color w:val="000000"/>
              </w:rPr>
              <w:t xml:space="preserve">Related Strategic Plan </w:t>
            </w:r>
            <w:r>
              <w:rPr>
                <w:b/>
                <w:bCs/>
                <w:color w:val="000000"/>
              </w:rPr>
              <w:t>o</w:t>
            </w:r>
            <w:r w:rsidRPr="00F64E60">
              <w:rPr>
                <w:b/>
                <w:bCs/>
                <w:color w:val="000000"/>
              </w:rPr>
              <w:t>utcome:</w:t>
            </w:r>
            <w:r w:rsidRPr="00253DEA">
              <w:rPr>
                <w:b/>
                <w:bCs/>
                <w:color w:val="000000"/>
                <w:sz w:val="16"/>
                <w:szCs w:val="16"/>
              </w:rPr>
              <w:t xml:space="preserve"> </w:t>
            </w:r>
            <w:r w:rsidR="00CE7B57" w:rsidRPr="00253DEA">
              <w:rPr>
                <w:b/>
                <w:bCs/>
                <w:color w:val="000000"/>
              </w:rPr>
              <w:t>Outcome 2 – Accelerate structural transformations for sustainable development</w:t>
            </w:r>
          </w:p>
        </w:tc>
      </w:tr>
      <w:tr w:rsidR="00CE7B57" w:rsidRPr="00253DEA" w14:paraId="7FBDADE1" w14:textId="77777777" w:rsidTr="00253DEA">
        <w:tc>
          <w:tcPr>
            <w:tcW w:w="971" w:type="pct"/>
            <w:vMerge w:val="restart"/>
            <w:shd w:val="clear" w:color="auto" w:fill="auto"/>
            <w:tcMar>
              <w:top w:w="72" w:type="dxa"/>
              <w:left w:w="144" w:type="dxa"/>
              <w:bottom w:w="72" w:type="dxa"/>
              <w:right w:w="144" w:type="dxa"/>
            </w:tcMar>
          </w:tcPr>
          <w:p w14:paraId="7A6C4052" w14:textId="028AD207" w:rsidR="00CE7B57" w:rsidRPr="00253DEA" w:rsidRDefault="00CE7B57" w:rsidP="006651CC">
            <w:pPr>
              <w:tabs>
                <w:tab w:val="left" w:pos="1620"/>
              </w:tabs>
              <w:spacing w:after="120"/>
              <w:rPr>
                <w:sz w:val="16"/>
                <w:szCs w:val="16"/>
                <w:lang w:val="en-GB"/>
              </w:rPr>
            </w:pPr>
            <w:r w:rsidRPr="00253DEA">
              <w:rPr>
                <w:sz w:val="16"/>
                <w:szCs w:val="16"/>
                <w:lang w:val="en-GB"/>
              </w:rPr>
              <w:t xml:space="preserve">SDG </w:t>
            </w:r>
            <w:r w:rsidR="00F64E60">
              <w:rPr>
                <w:sz w:val="16"/>
                <w:szCs w:val="16"/>
                <w:lang w:val="en-GB"/>
              </w:rPr>
              <w:t>n</w:t>
            </w:r>
            <w:r w:rsidRPr="00253DEA">
              <w:rPr>
                <w:sz w:val="16"/>
                <w:szCs w:val="16"/>
                <w:lang w:val="en-GB"/>
              </w:rPr>
              <w:t xml:space="preserve">ational </w:t>
            </w:r>
            <w:r w:rsidR="00F64E60">
              <w:rPr>
                <w:sz w:val="16"/>
                <w:szCs w:val="16"/>
                <w:lang w:val="en-GB"/>
              </w:rPr>
              <w:t>i</w:t>
            </w:r>
            <w:r w:rsidRPr="00253DEA">
              <w:rPr>
                <w:sz w:val="16"/>
                <w:szCs w:val="16"/>
                <w:lang w:val="en-GB"/>
              </w:rPr>
              <w:t>ndicator:</w:t>
            </w:r>
            <w:r w:rsidR="004B3978" w:rsidRPr="00253DEA">
              <w:rPr>
                <w:sz w:val="16"/>
                <w:szCs w:val="16"/>
                <w:lang w:val="en-GB"/>
              </w:rPr>
              <w:t xml:space="preserve"> </w:t>
            </w:r>
            <w:r w:rsidRPr="00253DEA">
              <w:rPr>
                <w:sz w:val="16"/>
                <w:szCs w:val="16"/>
                <w:lang w:val="en-GB"/>
              </w:rPr>
              <w:t>5.</w:t>
            </w:r>
            <w:r w:rsidR="004B3978" w:rsidRPr="00253DEA">
              <w:rPr>
                <w:sz w:val="16"/>
                <w:szCs w:val="16"/>
                <w:lang w:val="en-GB"/>
              </w:rPr>
              <w:t>5</w:t>
            </w:r>
            <w:r w:rsidRPr="00253DEA">
              <w:rPr>
                <w:sz w:val="16"/>
                <w:szCs w:val="16"/>
                <w:lang w:val="en-GB"/>
              </w:rPr>
              <w:t xml:space="preserve">.1. </w:t>
            </w:r>
            <w:r w:rsidR="004B3978" w:rsidRPr="00253DEA">
              <w:rPr>
                <w:sz w:val="16"/>
                <w:szCs w:val="16"/>
                <w:lang w:val="en-GB"/>
              </w:rPr>
              <w:t>Proportion of seats held by women in (a) national parliaments and (b)</w:t>
            </w:r>
            <w:r w:rsidR="00F64E60">
              <w:rPr>
                <w:sz w:val="16"/>
                <w:szCs w:val="16"/>
                <w:lang w:val="en-GB"/>
              </w:rPr>
              <w:t> </w:t>
            </w:r>
            <w:r w:rsidR="004B3978" w:rsidRPr="00253DEA">
              <w:rPr>
                <w:sz w:val="16"/>
                <w:szCs w:val="16"/>
                <w:lang w:val="en-GB"/>
              </w:rPr>
              <w:t>local governments (</w:t>
            </w:r>
            <w:r w:rsidR="00F64E60">
              <w:rPr>
                <w:sz w:val="16"/>
                <w:szCs w:val="16"/>
                <w:lang w:val="en-GB"/>
              </w:rPr>
              <w:t>%</w:t>
            </w:r>
            <w:r w:rsidR="007C190F">
              <w:rPr>
                <w:sz w:val="16"/>
                <w:szCs w:val="16"/>
                <w:lang w:val="en-GB"/>
              </w:rPr>
              <w:t>)</w:t>
            </w:r>
          </w:p>
          <w:p w14:paraId="25EC947C" w14:textId="20187CA5" w:rsidR="00CE7B57" w:rsidRPr="00253DEA" w:rsidRDefault="00CE7B57" w:rsidP="006651CC">
            <w:pPr>
              <w:tabs>
                <w:tab w:val="left" w:pos="1620"/>
              </w:tabs>
              <w:spacing w:after="120"/>
              <w:rPr>
                <w:sz w:val="16"/>
                <w:szCs w:val="16"/>
                <w:lang w:val="en-GB"/>
              </w:rPr>
            </w:pPr>
            <w:r w:rsidRPr="00253DEA">
              <w:rPr>
                <w:sz w:val="16"/>
                <w:szCs w:val="16"/>
                <w:lang w:val="en-GB"/>
              </w:rPr>
              <w:t>Baseline</w:t>
            </w:r>
            <w:r w:rsidR="004B3978" w:rsidRPr="00253DEA">
              <w:rPr>
                <w:sz w:val="16"/>
                <w:szCs w:val="16"/>
                <w:lang w:val="en-GB"/>
              </w:rPr>
              <w:t xml:space="preserve"> (2018)</w:t>
            </w:r>
            <w:r w:rsidRPr="00253DEA">
              <w:rPr>
                <w:sz w:val="16"/>
                <w:szCs w:val="16"/>
                <w:lang w:val="en-GB"/>
              </w:rPr>
              <w:t xml:space="preserve">: </w:t>
            </w:r>
            <w:r w:rsidR="00F64E60">
              <w:rPr>
                <w:sz w:val="16"/>
                <w:szCs w:val="16"/>
                <w:lang w:val="en-GB"/>
              </w:rPr>
              <w:t>(</w:t>
            </w:r>
            <w:r w:rsidR="004B3978" w:rsidRPr="00253DEA">
              <w:rPr>
                <w:sz w:val="16"/>
                <w:szCs w:val="16"/>
                <w:lang w:val="en-GB"/>
              </w:rPr>
              <w:t>a) national parliaments – 34.55; (b) local governments – 48.2</w:t>
            </w:r>
          </w:p>
          <w:p w14:paraId="000914EB" w14:textId="6B3BB20E" w:rsidR="00CE7B57" w:rsidRPr="00253DEA" w:rsidRDefault="00CE7B57" w:rsidP="006651CC">
            <w:pPr>
              <w:tabs>
                <w:tab w:val="left" w:pos="1620"/>
              </w:tabs>
              <w:spacing w:after="120"/>
              <w:rPr>
                <w:sz w:val="16"/>
                <w:szCs w:val="16"/>
                <w:lang w:val="en-GB"/>
              </w:rPr>
            </w:pPr>
            <w:r w:rsidRPr="00253DEA">
              <w:rPr>
                <w:sz w:val="16"/>
                <w:szCs w:val="16"/>
                <w:lang w:val="en-GB"/>
              </w:rPr>
              <w:t>Target</w:t>
            </w:r>
            <w:r w:rsidR="004B3978" w:rsidRPr="00253DEA">
              <w:rPr>
                <w:sz w:val="16"/>
                <w:szCs w:val="16"/>
                <w:lang w:val="en-GB"/>
              </w:rPr>
              <w:t xml:space="preserve"> (2025)</w:t>
            </w:r>
            <w:r w:rsidRPr="00253DEA">
              <w:rPr>
                <w:sz w:val="16"/>
                <w:szCs w:val="16"/>
                <w:lang w:val="en-GB"/>
              </w:rPr>
              <w:t>:</w:t>
            </w:r>
            <w:r w:rsidR="00F64E60">
              <w:rPr>
                <w:sz w:val="16"/>
                <w:szCs w:val="16"/>
                <w:lang w:val="en-GB"/>
              </w:rPr>
              <w:t xml:space="preserve"> (</w:t>
            </w:r>
            <w:r w:rsidR="00D0340B" w:rsidRPr="00253DEA">
              <w:rPr>
                <w:sz w:val="16"/>
                <w:szCs w:val="16"/>
                <w:lang w:val="en-GB"/>
              </w:rPr>
              <w:t xml:space="preserve">a) 40; </w:t>
            </w:r>
            <w:r w:rsidR="00F64E60">
              <w:rPr>
                <w:sz w:val="16"/>
                <w:szCs w:val="16"/>
                <w:lang w:val="en-GB"/>
              </w:rPr>
              <w:t>(</w:t>
            </w:r>
            <w:r w:rsidR="00D0340B" w:rsidRPr="00253DEA">
              <w:rPr>
                <w:sz w:val="16"/>
                <w:szCs w:val="16"/>
                <w:lang w:val="en-GB"/>
              </w:rPr>
              <w:t>b) 50</w:t>
            </w:r>
          </w:p>
          <w:p w14:paraId="777433DD" w14:textId="77777777" w:rsidR="00CE7B57" w:rsidRPr="00253DEA" w:rsidRDefault="00CE7B57" w:rsidP="006651CC">
            <w:pPr>
              <w:tabs>
                <w:tab w:val="left" w:pos="1620"/>
              </w:tabs>
              <w:spacing w:after="120"/>
              <w:rPr>
                <w:sz w:val="16"/>
                <w:szCs w:val="16"/>
                <w:lang w:val="en-GB"/>
              </w:rPr>
            </w:pPr>
            <w:r w:rsidRPr="00253DEA">
              <w:rPr>
                <w:sz w:val="16"/>
                <w:szCs w:val="16"/>
                <w:lang w:val="en-GB"/>
              </w:rPr>
              <w:t>Source: NRP</w:t>
            </w:r>
          </w:p>
          <w:p w14:paraId="3FF6A3D7" w14:textId="77777777" w:rsidR="00CE7B57" w:rsidRPr="00253DEA" w:rsidRDefault="00CE7B57" w:rsidP="006651CC">
            <w:pPr>
              <w:tabs>
                <w:tab w:val="left" w:pos="1620"/>
              </w:tabs>
              <w:spacing w:after="120"/>
              <w:rPr>
                <w:b/>
                <w:bCs/>
                <w:color w:val="000000"/>
                <w:sz w:val="16"/>
                <w:szCs w:val="16"/>
                <w:lang w:val="en-GB"/>
              </w:rPr>
            </w:pPr>
          </w:p>
          <w:p w14:paraId="4EEDFE18" w14:textId="70EE1BB0" w:rsidR="00CE7B57" w:rsidRPr="00253DEA" w:rsidRDefault="00D8589D" w:rsidP="006651CC">
            <w:pPr>
              <w:tabs>
                <w:tab w:val="left" w:pos="1620"/>
              </w:tabs>
              <w:spacing w:after="120"/>
              <w:rPr>
                <w:sz w:val="16"/>
                <w:szCs w:val="16"/>
                <w:lang w:val="en-GB"/>
              </w:rPr>
            </w:pPr>
            <w:r w:rsidRPr="00253DEA">
              <w:rPr>
                <w:sz w:val="16"/>
                <w:szCs w:val="16"/>
                <w:lang w:val="en-GB"/>
              </w:rPr>
              <w:t>The Global Gender Gap Index ranking of Belarus</w:t>
            </w:r>
          </w:p>
          <w:p w14:paraId="55DA1AD4" w14:textId="377BF417" w:rsidR="00D8589D" w:rsidRPr="00253DEA" w:rsidRDefault="00D8589D" w:rsidP="006651CC">
            <w:pPr>
              <w:tabs>
                <w:tab w:val="left" w:pos="1620"/>
              </w:tabs>
              <w:spacing w:after="120"/>
              <w:rPr>
                <w:sz w:val="16"/>
                <w:szCs w:val="16"/>
                <w:lang w:val="en-GB"/>
              </w:rPr>
            </w:pPr>
            <w:r w:rsidRPr="00253DEA">
              <w:rPr>
                <w:sz w:val="16"/>
                <w:szCs w:val="16"/>
                <w:lang w:val="en-GB"/>
              </w:rPr>
              <w:t>Baseline (2019): 27</w:t>
            </w:r>
          </w:p>
          <w:p w14:paraId="2B4413DA" w14:textId="71BE9AFB" w:rsidR="00D8589D" w:rsidRPr="00253DEA" w:rsidRDefault="00D8589D" w:rsidP="006651CC">
            <w:pPr>
              <w:tabs>
                <w:tab w:val="left" w:pos="1620"/>
              </w:tabs>
              <w:spacing w:after="120"/>
              <w:rPr>
                <w:sz w:val="16"/>
                <w:szCs w:val="16"/>
                <w:lang w:val="en-GB"/>
              </w:rPr>
            </w:pPr>
            <w:r w:rsidRPr="00253DEA">
              <w:rPr>
                <w:sz w:val="16"/>
                <w:szCs w:val="16"/>
                <w:lang w:val="en-GB"/>
              </w:rPr>
              <w:t>Target (2025): 20</w:t>
            </w:r>
          </w:p>
          <w:p w14:paraId="6DBA6E0E" w14:textId="26C218BB" w:rsidR="00D8589D" w:rsidRPr="00253DEA" w:rsidRDefault="00D8589D" w:rsidP="006651CC">
            <w:pPr>
              <w:tabs>
                <w:tab w:val="left" w:pos="1620"/>
              </w:tabs>
              <w:spacing w:after="120"/>
              <w:rPr>
                <w:sz w:val="16"/>
                <w:szCs w:val="16"/>
                <w:lang w:val="en-GB"/>
              </w:rPr>
            </w:pPr>
            <w:r w:rsidRPr="00253DEA">
              <w:rPr>
                <w:sz w:val="16"/>
                <w:szCs w:val="16"/>
                <w:lang w:val="en-GB"/>
              </w:rPr>
              <w:t>Source: World Bank</w:t>
            </w:r>
          </w:p>
          <w:p w14:paraId="5DC4B649" w14:textId="77777777" w:rsidR="00CE7B57" w:rsidRPr="00253DEA" w:rsidRDefault="00CE7B57" w:rsidP="006651CC">
            <w:pPr>
              <w:tabs>
                <w:tab w:val="left" w:pos="1620"/>
              </w:tabs>
              <w:spacing w:after="120"/>
              <w:rPr>
                <w:b/>
                <w:bCs/>
                <w:color w:val="000000"/>
                <w:sz w:val="16"/>
                <w:szCs w:val="16"/>
                <w:lang w:val="en-GB"/>
              </w:rPr>
            </w:pPr>
          </w:p>
        </w:tc>
        <w:tc>
          <w:tcPr>
            <w:tcW w:w="918" w:type="pct"/>
            <w:vMerge w:val="restart"/>
            <w:shd w:val="clear" w:color="auto" w:fill="auto"/>
          </w:tcPr>
          <w:p w14:paraId="5E920235" w14:textId="3D4C1A42" w:rsidR="00CE7B57" w:rsidRPr="00253DEA" w:rsidRDefault="00CE7B57" w:rsidP="006651CC">
            <w:pPr>
              <w:pStyle w:val="ListParagraph"/>
              <w:numPr>
                <w:ilvl w:val="0"/>
                <w:numId w:val="5"/>
              </w:numPr>
              <w:tabs>
                <w:tab w:val="left" w:pos="1620"/>
              </w:tabs>
              <w:spacing w:after="120"/>
              <w:rPr>
                <w:sz w:val="16"/>
                <w:szCs w:val="16"/>
                <w:lang w:val="en-GB"/>
              </w:rPr>
            </w:pPr>
            <w:r w:rsidRPr="00253DEA">
              <w:rPr>
                <w:sz w:val="16"/>
                <w:szCs w:val="16"/>
                <w:lang w:val="en-GB"/>
              </w:rPr>
              <w:t>Belstat</w:t>
            </w:r>
          </w:p>
          <w:p w14:paraId="2B983AAF" w14:textId="0A1003D9" w:rsidR="00A97C1F" w:rsidRPr="00253DEA" w:rsidRDefault="00A97C1F" w:rsidP="006651CC">
            <w:pPr>
              <w:pStyle w:val="ListParagraph"/>
              <w:numPr>
                <w:ilvl w:val="0"/>
                <w:numId w:val="5"/>
              </w:numPr>
              <w:tabs>
                <w:tab w:val="left" w:pos="1620"/>
              </w:tabs>
              <w:spacing w:after="120"/>
              <w:rPr>
                <w:sz w:val="16"/>
                <w:szCs w:val="16"/>
                <w:lang w:val="en-GB"/>
              </w:rPr>
            </w:pPr>
            <w:r w:rsidRPr="00253DEA">
              <w:rPr>
                <w:sz w:val="16"/>
                <w:szCs w:val="16"/>
                <w:lang w:val="en-GB"/>
              </w:rPr>
              <w:t>NRP</w:t>
            </w:r>
          </w:p>
          <w:p w14:paraId="14789D64" w14:textId="3E6CD308" w:rsidR="00CE7B57" w:rsidRPr="00253DEA" w:rsidRDefault="00F64E60" w:rsidP="006651CC">
            <w:pPr>
              <w:pStyle w:val="ListParagraph"/>
              <w:numPr>
                <w:ilvl w:val="0"/>
                <w:numId w:val="5"/>
              </w:numPr>
              <w:tabs>
                <w:tab w:val="left" w:pos="1620"/>
              </w:tabs>
              <w:spacing w:after="120"/>
              <w:rPr>
                <w:sz w:val="16"/>
                <w:szCs w:val="16"/>
                <w:lang w:val="en-GB"/>
              </w:rPr>
            </w:pPr>
            <w:r>
              <w:rPr>
                <w:sz w:val="16"/>
                <w:szCs w:val="16"/>
                <w:lang w:val="en-GB"/>
              </w:rPr>
              <w:t>MOE</w:t>
            </w:r>
          </w:p>
          <w:p w14:paraId="16CA0950" w14:textId="4CEB5C11" w:rsidR="00D45291" w:rsidRPr="00253DEA" w:rsidRDefault="00D45291" w:rsidP="006651CC">
            <w:pPr>
              <w:pStyle w:val="ListParagraph"/>
              <w:numPr>
                <w:ilvl w:val="0"/>
                <w:numId w:val="5"/>
              </w:numPr>
              <w:tabs>
                <w:tab w:val="left" w:pos="1620"/>
              </w:tabs>
              <w:spacing w:after="120"/>
              <w:rPr>
                <w:sz w:val="16"/>
                <w:szCs w:val="16"/>
                <w:lang w:val="en-GB"/>
              </w:rPr>
            </w:pPr>
            <w:r w:rsidRPr="00253DEA">
              <w:rPr>
                <w:sz w:val="16"/>
                <w:szCs w:val="16"/>
                <w:lang w:val="en-GB"/>
              </w:rPr>
              <w:t>M</w:t>
            </w:r>
            <w:r w:rsidR="00F64E60">
              <w:rPr>
                <w:sz w:val="16"/>
                <w:szCs w:val="16"/>
                <w:lang w:val="en-GB"/>
              </w:rPr>
              <w:t>OH</w:t>
            </w:r>
          </w:p>
          <w:p w14:paraId="01AD1D6E" w14:textId="77777777" w:rsidR="00CE7B57" w:rsidRPr="00253DEA" w:rsidRDefault="00CE7B57" w:rsidP="006651CC">
            <w:pPr>
              <w:tabs>
                <w:tab w:val="left" w:pos="1620"/>
              </w:tabs>
              <w:spacing w:after="120"/>
              <w:rPr>
                <w:b/>
                <w:color w:val="000000"/>
                <w:sz w:val="16"/>
                <w:szCs w:val="16"/>
                <w:lang w:val="en-GB"/>
              </w:rPr>
            </w:pPr>
          </w:p>
          <w:p w14:paraId="694EC074" w14:textId="75942A43" w:rsidR="00407D2C" w:rsidRPr="00253DEA" w:rsidRDefault="00407D2C" w:rsidP="006651CC">
            <w:pPr>
              <w:tabs>
                <w:tab w:val="left" w:pos="1620"/>
              </w:tabs>
              <w:spacing w:after="120"/>
              <w:rPr>
                <w:sz w:val="16"/>
                <w:szCs w:val="16"/>
              </w:rPr>
            </w:pPr>
            <w:r w:rsidRPr="00253DEA">
              <w:rPr>
                <w:sz w:val="16"/>
                <w:szCs w:val="16"/>
              </w:rPr>
              <w:t>Frequency: annual</w:t>
            </w:r>
          </w:p>
          <w:p w14:paraId="6D6BCCE5" w14:textId="45F27631" w:rsidR="00407D2C" w:rsidRPr="00253DEA" w:rsidRDefault="00407D2C" w:rsidP="006651CC">
            <w:pPr>
              <w:tabs>
                <w:tab w:val="left" w:pos="1620"/>
              </w:tabs>
              <w:spacing w:after="120"/>
              <w:rPr>
                <w:b/>
                <w:color w:val="000000"/>
                <w:sz w:val="16"/>
                <w:szCs w:val="16"/>
                <w:lang w:val="en-GB"/>
              </w:rPr>
            </w:pPr>
          </w:p>
        </w:tc>
        <w:tc>
          <w:tcPr>
            <w:tcW w:w="1728" w:type="pct"/>
            <w:vMerge w:val="restart"/>
            <w:shd w:val="clear" w:color="auto" w:fill="auto"/>
            <w:tcMar>
              <w:top w:w="72" w:type="dxa"/>
              <w:left w:w="144" w:type="dxa"/>
              <w:bottom w:w="72" w:type="dxa"/>
              <w:right w:w="144" w:type="dxa"/>
            </w:tcMar>
          </w:tcPr>
          <w:p w14:paraId="5BA06E84" w14:textId="74461309" w:rsidR="00CE7B57" w:rsidRPr="006651CC" w:rsidRDefault="00CE7B57" w:rsidP="006651CC">
            <w:pPr>
              <w:tabs>
                <w:tab w:val="left" w:pos="1620"/>
              </w:tabs>
              <w:spacing w:after="160"/>
              <w:rPr>
                <w:b/>
                <w:bCs/>
                <w:color w:val="000000"/>
                <w:sz w:val="18"/>
                <w:szCs w:val="18"/>
                <w:lang w:val="en-GB"/>
              </w:rPr>
            </w:pPr>
            <w:r w:rsidRPr="006651CC">
              <w:rPr>
                <w:b/>
                <w:bCs/>
                <w:color w:val="000000"/>
                <w:sz w:val="18"/>
                <w:szCs w:val="18"/>
                <w:lang w:val="en-GB"/>
              </w:rPr>
              <w:t>Output 4.1</w:t>
            </w:r>
            <w:r w:rsidR="00F64E60">
              <w:rPr>
                <w:b/>
                <w:bCs/>
                <w:color w:val="000000"/>
                <w:sz w:val="18"/>
                <w:szCs w:val="18"/>
                <w:lang w:val="en-GB"/>
              </w:rPr>
              <w:t>.</w:t>
            </w:r>
            <w:r w:rsidRPr="006651CC">
              <w:rPr>
                <w:b/>
                <w:bCs/>
                <w:color w:val="000000"/>
                <w:sz w:val="18"/>
                <w:szCs w:val="18"/>
                <w:lang w:val="en-GB"/>
              </w:rPr>
              <w:t xml:space="preserve"> </w:t>
            </w:r>
            <w:r w:rsidR="00F64E60">
              <w:rPr>
                <w:b/>
                <w:bCs/>
                <w:color w:val="000000"/>
                <w:sz w:val="18"/>
                <w:szCs w:val="18"/>
                <w:lang w:val="en-GB"/>
              </w:rPr>
              <w:t>N</w:t>
            </w:r>
            <w:r w:rsidR="00732F6E" w:rsidRPr="006651CC">
              <w:rPr>
                <w:b/>
                <w:bCs/>
                <w:color w:val="000000"/>
                <w:sz w:val="18"/>
                <w:szCs w:val="18"/>
                <w:lang w:val="en-GB"/>
              </w:rPr>
              <w:t>ational</w:t>
            </w:r>
            <w:r w:rsidRPr="006651CC">
              <w:rPr>
                <w:b/>
                <w:bCs/>
                <w:color w:val="000000"/>
                <w:sz w:val="18"/>
                <w:szCs w:val="18"/>
                <w:lang w:val="en-GB"/>
              </w:rPr>
              <w:t xml:space="preserve"> system of collection, monitoring, analysis, and use of disaggregated data</w:t>
            </w:r>
            <w:r w:rsidR="00CE1466" w:rsidRPr="006651CC">
              <w:rPr>
                <w:b/>
                <w:bCs/>
                <w:color w:val="000000"/>
                <w:sz w:val="18"/>
                <w:szCs w:val="18"/>
                <w:lang w:val="en-GB"/>
              </w:rPr>
              <w:t xml:space="preserve"> </w:t>
            </w:r>
            <w:r w:rsidR="007F058B" w:rsidRPr="006651CC">
              <w:rPr>
                <w:b/>
                <w:bCs/>
                <w:color w:val="000000"/>
                <w:sz w:val="18"/>
                <w:szCs w:val="18"/>
                <w:lang w:val="en-GB"/>
              </w:rPr>
              <w:t>strengthened</w:t>
            </w:r>
            <w:r w:rsidRPr="006651CC">
              <w:rPr>
                <w:b/>
                <w:bCs/>
                <w:color w:val="000000"/>
                <w:sz w:val="18"/>
                <w:szCs w:val="18"/>
                <w:lang w:val="en-GB"/>
              </w:rPr>
              <w:t xml:space="preserve"> in accordance with the human rights-based approach</w:t>
            </w:r>
            <w:r w:rsidR="002F7366" w:rsidRPr="006651CC">
              <w:rPr>
                <w:b/>
                <w:bCs/>
                <w:color w:val="000000"/>
                <w:sz w:val="18"/>
                <w:szCs w:val="18"/>
                <w:lang w:val="en-GB"/>
              </w:rPr>
              <w:t>,</w:t>
            </w:r>
            <w:r w:rsidRPr="006651CC">
              <w:rPr>
                <w:b/>
                <w:bCs/>
                <w:color w:val="000000"/>
                <w:sz w:val="18"/>
                <w:szCs w:val="18"/>
                <w:lang w:val="en-GB"/>
              </w:rPr>
              <w:t xml:space="preserve"> gender equality</w:t>
            </w:r>
            <w:r w:rsidR="002F7366" w:rsidRPr="006651CC">
              <w:rPr>
                <w:b/>
                <w:bCs/>
                <w:color w:val="000000"/>
                <w:sz w:val="18"/>
                <w:szCs w:val="18"/>
                <w:lang w:val="en-GB"/>
              </w:rPr>
              <w:t xml:space="preserve"> and </w:t>
            </w:r>
            <w:r w:rsidR="00F64E60">
              <w:rPr>
                <w:b/>
                <w:bCs/>
                <w:color w:val="000000"/>
                <w:sz w:val="18"/>
                <w:szCs w:val="18"/>
                <w:lang w:val="en-GB"/>
              </w:rPr>
              <w:t>‘</w:t>
            </w:r>
            <w:r w:rsidR="002F7366" w:rsidRPr="006651CC">
              <w:rPr>
                <w:b/>
                <w:bCs/>
                <w:color w:val="000000"/>
                <w:sz w:val="18"/>
                <w:szCs w:val="18"/>
                <w:lang w:val="en-GB"/>
              </w:rPr>
              <w:t>leaving no one behind</w:t>
            </w:r>
            <w:r w:rsidR="00F64E60">
              <w:rPr>
                <w:b/>
                <w:bCs/>
                <w:color w:val="000000"/>
                <w:sz w:val="18"/>
                <w:szCs w:val="18"/>
                <w:lang w:val="en-GB"/>
              </w:rPr>
              <w:t>’</w:t>
            </w:r>
            <w:r w:rsidRPr="006651CC">
              <w:rPr>
                <w:b/>
                <w:bCs/>
                <w:color w:val="000000"/>
                <w:sz w:val="18"/>
                <w:szCs w:val="18"/>
                <w:lang w:val="en-GB"/>
              </w:rPr>
              <w:t xml:space="preserve"> principles</w:t>
            </w:r>
          </w:p>
          <w:p w14:paraId="1B6FF3D9" w14:textId="7969D3D4" w:rsidR="00CE7B57" w:rsidRPr="00806156" w:rsidRDefault="00CE7B57" w:rsidP="007C190F">
            <w:pPr>
              <w:pStyle w:val="ListParagraph"/>
              <w:tabs>
                <w:tab w:val="left" w:pos="1620"/>
              </w:tabs>
              <w:spacing w:after="120"/>
              <w:ind w:left="360"/>
              <w:rPr>
                <w:color w:val="000000"/>
                <w:sz w:val="16"/>
                <w:szCs w:val="16"/>
                <w:lang w:val="en-GB"/>
              </w:rPr>
            </w:pPr>
            <w:r w:rsidRPr="00806156">
              <w:rPr>
                <w:color w:val="000000"/>
                <w:sz w:val="16"/>
                <w:szCs w:val="16"/>
                <w:lang w:val="en-GB"/>
              </w:rPr>
              <w:t xml:space="preserve">Indicative </w:t>
            </w:r>
            <w:r w:rsidR="00F64E60">
              <w:rPr>
                <w:color w:val="000000"/>
                <w:sz w:val="16"/>
                <w:szCs w:val="16"/>
                <w:lang w:val="en-GB"/>
              </w:rPr>
              <w:t>i</w:t>
            </w:r>
            <w:r w:rsidRPr="00806156">
              <w:rPr>
                <w:color w:val="000000"/>
                <w:sz w:val="16"/>
                <w:szCs w:val="16"/>
                <w:lang w:val="en-GB"/>
              </w:rPr>
              <w:t>ndicator 4.1</w:t>
            </w:r>
            <w:r w:rsidRPr="00806156">
              <w:rPr>
                <w:color w:val="000000"/>
                <w:sz w:val="16"/>
                <w:szCs w:val="16"/>
              </w:rPr>
              <w:t>.</w:t>
            </w:r>
            <w:r w:rsidR="0074017E" w:rsidRPr="00806156">
              <w:rPr>
                <w:color w:val="000000"/>
                <w:sz w:val="16"/>
                <w:szCs w:val="16"/>
              </w:rPr>
              <w:t>1</w:t>
            </w:r>
            <w:r w:rsidR="00F64E60">
              <w:rPr>
                <w:color w:val="000000"/>
                <w:sz w:val="16"/>
                <w:szCs w:val="16"/>
                <w:lang w:val="en-GB"/>
              </w:rPr>
              <w:t>.</w:t>
            </w:r>
            <w:r w:rsidRPr="00806156">
              <w:rPr>
                <w:color w:val="000000"/>
                <w:sz w:val="16"/>
                <w:szCs w:val="16"/>
                <w:lang w:val="en-GB"/>
              </w:rPr>
              <w:t xml:space="preserve"> </w:t>
            </w:r>
            <w:r w:rsidRPr="006651CC">
              <w:rPr>
                <w:color w:val="000000"/>
                <w:sz w:val="16"/>
                <w:szCs w:val="16"/>
                <w:lang w:val="en-GB"/>
              </w:rPr>
              <w:t xml:space="preserve">SDG </w:t>
            </w:r>
            <w:r w:rsidR="00F64E60">
              <w:rPr>
                <w:color w:val="000000"/>
                <w:sz w:val="16"/>
                <w:szCs w:val="16"/>
                <w:lang w:val="en-GB"/>
              </w:rPr>
              <w:t>n</w:t>
            </w:r>
            <w:r w:rsidRPr="006651CC">
              <w:rPr>
                <w:color w:val="000000"/>
                <w:sz w:val="16"/>
                <w:szCs w:val="16"/>
                <w:lang w:val="en-GB"/>
              </w:rPr>
              <w:t xml:space="preserve">ational </w:t>
            </w:r>
            <w:r w:rsidR="00F64E60">
              <w:rPr>
                <w:color w:val="000000"/>
                <w:sz w:val="16"/>
                <w:szCs w:val="16"/>
                <w:lang w:val="en-GB"/>
              </w:rPr>
              <w:t>i</w:t>
            </w:r>
            <w:r w:rsidRPr="006651CC">
              <w:rPr>
                <w:color w:val="000000"/>
                <w:sz w:val="16"/>
                <w:szCs w:val="16"/>
                <w:lang w:val="en-GB"/>
              </w:rPr>
              <w:t xml:space="preserve">ndicator: </w:t>
            </w:r>
            <w:r w:rsidR="00F60D2C" w:rsidRPr="00F60D2C">
              <w:rPr>
                <w:color w:val="000000"/>
                <w:sz w:val="16"/>
                <w:szCs w:val="16"/>
                <w:lang w:val="en-GB"/>
              </w:rPr>
              <w:t>17.18.1.1 The number of global indicators formed to monitor the achievement of the Sustainable Development Goals (units)</w:t>
            </w:r>
          </w:p>
          <w:p w14:paraId="30EA99C2" w14:textId="066A59C2" w:rsidR="00CE7B57" w:rsidRPr="00806156" w:rsidRDefault="00CE7B57" w:rsidP="006651CC">
            <w:pPr>
              <w:pStyle w:val="ListParagraph"/>
              <w:tabs>
                <w:tab w:val="left" w:pos="1620"/>
              </w:tabs>
              <w:spacing w:after="120"/>
              <w:ind w:left="360"/>
              <w:rPr>
                <w:color w:val="000000"/>
                <w:sz w:val="16"/>
                <w:szCs w:val="16"/>
                <w:lang w:val="en-GB"/>
              </w:rPr>
            </w:pPr>
            <w:r w:rsidRPr="00806156">
              <w:rPr>
                <w:color w:val="000000"/>
                <w:sz w:val="16"/>
                <w:szCs w:val="16"/>
                <w:lang w:val="en-GB"/>
              </w:rPr>
              <w:t xml:space="preserve">Baseline </w:t>
            </w:r>
            <w:r w:rsidR="001368A8" w:rsidRPr="00806156">
              <w:rPr>
                <w:color w:val="000000"/>
                <w:sz w:val="16"/>
                <w:szCs w:val="16"/>
                <w:lang w:val="en-GB"/>
              </w:rPr>
              <w:t>(2018)</w:t>
            </w:r>
            <w:r w:rsidRPr="00806156">
              <w:rPr>
                <w:color w:val="000000"/>
                <w:sz w:val="16"/>
                <w:szCs w:val="16"/>
                <w:lang w:val="en-GB"/>
              </w:rPr>
              <w:t xml:space="preserve">: 74 </w:t>
            </w:r>
          </w:p>
          <w:p w14:paraId="33197DB8" w14:textId="686F8F21" w:rsidR="00CE7B57" w:rsidRPr="00077B57" w:rsidRDefault="00CE7B57" w:rsidP="006651CC">
            <w:pPr>
              <w:pStyle w:val="ListParagraph"/>
              <w:tabs>
                <w:tab w:val="left" w:pos="1620"/>
              </w:tabs>
              <w:spacing w:after="120"/>
              <w:ind w:left="360"/>
              <w:rPr>
                <w:color w:val="000000"/>
                <w:sz w:val="16"/>
                <w:szCs w:val="16"/>
                <w:lang w:val="en-GB"/>
              </w:rPr>
            </w:pPr>
            <w:r w:rsidRPr="00077B57">
              <w:rPr>
                <w:color w:val="000000"/>
                <w:sz w:val="16"/>
                <w:szCs w:val="16"/>
                <w:lang w:val="en-GB"/>
              </w:rPr>
              <w:t xml:space="preserve">Target </w:t>
            </w:r>
            <w:r w:rsidR="004953EC" w:rsidRPr="00077B57">
              <w:rPr>
                <w:color w:val="000000"/>
                <w:sz w:val="16"/>
                <w:szCs w:val="16"/>
                <w:lang w:val="en-GB"/>
              </w:rPr>
              <w:t>(2025)</w:t>
            </w:r>
            <w:r w:rsidRPr="00077B57">
              <w:rPr>
                <w:color w:val="000000"/>
                <w:sz w:val="16"/>
                <w:szCs w:val="16"/>
                <w:lang w:val="en-GB"/>
              </w:rPr>
              <w:t>:</w:t>
            </w:r>
            <w:r w:rsidR="00F60D2C">
              <w:rPr>
                <w:color w:val="000000"/>
                <w:sz w:val="16"/>
                <w:szCs w:val="16"/>
                <w:lang w:val="en-GB"/>
              </w:rPr>
              <w:t xml:space="preserve"> 9</w:t>
            </w:r>
            <w:r w:rsidR="00F07622">
              <w:rPr>
                <w:color w:val="000000"/>
                <w:sz w:val="16"/>
                <w:szCs w:val="16"/>
                <w:lang w:val="en-GB"/>
              </w:rPr>
              <w:t>3</w:t>
            </w:r>
          </w:p>
          <w:p w14:paraId="73F8D84D" w14:textId="1F092F9D" w:rsidR="00CE7B57" w:rsidRPr="00253DEA" w:rsidRDefault="00CE7B57" w:rsidP="006651CC">
            <w:pPr>
              <w:pStyle w:val="ListParagraph"/>
              <w:tabs>
                <w:tab w:val="left" w:pos="1620"/>
              </w:tabs>
              <w:spacing w:after="120"/>
              <w:ind w:left="360"/>
              <w:rPr>
                <w:color w:val="000000"/>
                <w:sz w:val="16"/>
                <w:szCs w:val="16"/>
                <w:lang w:val="en-GB"/>
              </w:rPr>
            </w:pPr>
            <w:r w:rsidRPr="00253DEA">
              <w:rPr>
                <w:color w:val="000000"/>
                <w:sz w:val="16"/>
                <w:szCs w:val="16"/>
                <w:lang w:val="en-GB"/>
              </w:rPr>
              <w:t>Data source, frequency: NRP</w:t>
            </w:r>
            <w:r w:rsidR="0043372B" w:rsidRPr="00253DEA">
              <w:rPr>
                <w:color w:val="000000"/>
                <w:sz w:val="16"/>
                <w:szCs w:val="16"/>
                <w:lang w:val="en-GB"/>
              </w:rPr>
              <w:t>, annual</w:t>
            </w:r>
          </w:p>
          <w:p w14:paraId="2C8F07B9" w14:textId="77777777" w:rsidR="00CE7B57" w:rsidRPr="00253DEA" w:rsidRDefault="00CE7B57" w:rsidP="006651CC">
            <w:pPr>
              <w:tabs>
                <w:tab w:val="left" w:pos="1620"/>
              </w:tabs>
              <w:spacing w:after="120"/>
              <w:rPr>
                <w:color w:val="000000"/>
                <w:sz w:val="16"/>
                <w:szCs w:val="16"/>
                <w:lang w:val="en-GB"/>
              </w:rPr>
            </w:pPr>
          </w:p>
          <w:p w14:paraId="06280087" w14:textId="6B82A802" w:rsidR="00CE7B57" w:rsidRPr="006651CC" w:rsidRDefault="00CE7B57" w:rsidP="007C190F">
            <w:pPr>
              <w:tabs>
                <w:tab w:val="left" w:pos="1620"/>
              </w:tabs>
              <w:spacing w:after="160"/>
              <w:rPr>
                <w:b/>
                <w:bCs/>
                <w:color w:val="000000"/>
                <w:sz w:val="18"/>
                <w:szCs w:val="18"/>
                <w:lang w:val="en-GB"/>
              </w:rPr>
            </w:pPr>
            <w:r w:rsidRPr="006651CC">
              <w:rPr>
                <w:b/>
                <w:bCs/>
                <w:color w:val="000000"/>
                <w:sz w:val="18"/>
                <w:szCs w:val="18"/>
                <w:lang w:val="en-GB"/>
              </w:rPr>
              <w:t>Output 4.2</w:t>
            </w:r>
            <w:r w:rsidR="00F64E60">
              <w:rPr>
                <w:b/>
                <w:bCs/>
                <w:color w:val="000000"/>
                <w:sz w:val="18"/>
                <w:szCs w:val="18"/>
                <w:lang w:val="en-GB"/>
              </w:rPr>
              <w:t>.</w:t>
            </w:r>
            <w:r w:rsidRPr="007C190F">
              <w:rPr>
                <w:b/>
                <w:bCs/>
                <w:color w:val="000000"/>
                <w:sz w:val="18"/>
                <w:szCs w:val="18"/>
                <w:lang w:val="en-GB"/>
              </w:rPr>
              <w:t xml:space="preserve"> </w:t>
            </w:r>
            <w:r w:rsidR="007F058B" w:rsidRPr="007C190F">
              <w:rPr>
                <w:b/>
                <w:bCs/>
                <w:color w:val="000000"/>
                <w:sz w:val="18"/>
                <w:szCs w:val="18"/>
                <w:lang w:val="en-GB"/>
              </w:rPr>
              <w:t>M</w:t>
            </w:r>
            <w:r w:rsidRPr="007C190F">
              <w:rPr>
                <w:b/>
                <w:bCs/>
                <w:color w:val="000000"/>
                <w:sz w:val="18"/>
                <w:szCs w:val="18"/>
                <w:lang w:val="en-GB"/>
              </w:rPr>
              <w:t xml:space="preserve">easures and </w:t>
            </w:r>
            <w:r w:rsidR="007F058B" w:rsidRPr="007C190F">
              <w:rPr>
                <w:b/>
                <w:bCs/>
                <w:color w:val="000000"/>
                <w:sz w:val="18"/>
                <w:szCs w:val="18"/>
                <w:lang w:val="en-GB"/>
              </w:rPr>
              <w:t>solution</w:t>
            </w:r>
            <w:r w:rsidRPr="007C190F">
              <w:rPr>
                <w:b/>
                <w:bCs/>
                <w:color w:val="000000"/>
                <w:sz w:val="18"/>
                <w:szCs w:val="18"/>
                <w:lang w:val="en-GB"/>
              </w:rPr>
              <w:t>s to reduce discriminatory practices</w:t>
            </w:r>
            <w:r w:rsidR="009C038C" w:rsidRPr="007C190F">
              <w:rPr>
                <w:b/>
                <w:bCs/>
                <w:color w:val="000000"/>
                <w:sz w:val="18"/>
                <w:szCs w:val="18"/>
                <w:lang w:val="en-GB"/>
              </w:rPr>
              <w:t>,</w:t>
            </w:r>
            <w:r w:rsidR="00CE1466" w:rsidRPr="007C190F">
              <w:rPr>
                <w:b/>
                <w:bCs/>
                <w:color w:val="000000"/>
                <w:sz w:val="18"/>
                <w:szCs w:val="18"/>
                <w:lang w:val="en-GB"/>
              </w:rPr>
              <w:t xml:space="preserve"> </w:t>
            </w:r>
            <w:r w:rsidRPr="007C190F">
              <w:rPr>
                <w:b/>
                <w:bCs/>
                <w:color w:val="000000"/>
                <w:sz w:val="18"/>
                <w:szCs w:val="18"/>
                <w:lang w:val="en-GB"/>
              </w:rPr>
              <w:t>narrow the wage gap</w:t>
            </w:r>
            <w:r w:rsidR="00F64E60">
              <w:rPr>
                <w:b/>
                <w:bCs/>
                <w:color w:val="000000"/>
                <w:sz w:val="18"/>
                <w:szCs w:val="18"/>
                <w:lang w:val="en-GB"/>
              </w:rPr>
              <w:t>,</w:t>
            </w:r>
            <w:r w:rsidRPr="006651CC">
              <w:rPr>
                <w:b/>
                <w:bCs/>
                <w:color w:val="000000"/>
                <w:sz w:val="18"/>
                <w:szCs w:val="18"/>
                <w:lang w:val="en-GB"/>
              </w:rPr>
              <w:t xml:space="preserve"> and introduce gender aspects into state program</w:t>
            </w:r>
            <w:r w:rsidR="00411D17" w:rsidRPr="006651CC">
              <w:rPr>
                <w:b/>
                <w:bCs/>
                <w:color w:val="000000"/>
                <w:sz w:val="18"/>
                <w:szCs w:val="18"/>
                <w:lang w:val="en-GB"/>
              </w:rPr>
              <w:t>me</w:t>
            </w:r>
            <w:r w:rsidRPr="006651CC">
              <w:rPr>
                <w:b/>
                <w:bCs/>
                <w:color w:val="000000"/>
                <w:sz w:val="18"/>
                <w:szCs w:val="18"/>
                <w:lang w:val="en-GB"/>
              </w:rPr>
              <w:t>s o</w:t>
            </w:r>
            <w:r w:rsidR="009C038C" w:rsidRPr="006651CC">
              <w:rPr>
                <w:b/>
                <w:bCs/>
                <w:color w:val="000000"/>
                <w:sz w:val="18"/>
                <w:szCs w:val="18"/>
                <w:lang w:val="en-GB"/>
              </w:rPr>
              <w:t>n</w:t>
            </w:r>
            <w:r w:rsidRPr="006651CC">
              <w:rPr>
                <w:b/>
                <w:bCs/>
                <w:color w:val="000000"/>
                <w:sz w:val="18"/>
                <w:szCs w:val="18"/>
                <w:lang w:val="en-GB"/>
              </w:rPr>
              <w:t xml:space="preserve"> entrepreneurship develo</w:t>
            </w:r>
            <w:r w:rsidR="009C038C" w:rsidRPr="006651CC">
              <w:rPr>
                <w:b/>
                <w:bCs/>
                <w:color w:val="000000"/>
                <w:sz w:val="18"/>
                <w:szCs w:val="18"/>
                <w:lang w:val="en-GB"/>
              </w:rPr>
              <w:t>ped</w:t>
            </w:r>
          </w:p>
          <w:p w14:paraId="38180760" w14:textId="3523EBDA" w:rsidR="00CE7B57" w:rsidRPr="00806156" w:rsidRDefault="00CE7B57" w:rsidP="007C190F">
            <w:pPr>
              <w:pStyle w:val="ListParagraph"/>
              <w:tabs>
                <w:tab w:val="left" w:pos="1620"/>
              </w:tabs>
              <w:spacing w:after="120"/>
              <w:ind w:left="360"/>
              <w:rPr>
                <w:color w:val="000000"/>
                <w:sz w:val="16"/>
                <w:szCs w:val="16"/>
                <w:lang w:val="en-GB"/>
              </w:rPr>
            </w:pPr>
            <w:r w:rsidRPr="00806156">
              <w:rPr>
                <w:color w:val="000000"/>
                <w:sz w:val="16"/>
                <w:szCs w:val="16"/>
                <w:lang w:val="en-GB"/>
              </w:rPr>
              <w:t xml:space="preserve">Indicative </w:t>
            </w:r>
            <w:r w:rsidR="00F64E60">
              <w:rPr>
                <w:color w:val="000000"/>
                <w:sz w:val="16"/>
                <w:szCs w:val="16"/>
                <w:lang w:val="en-GB"/>
              </w:rPr>
              <w:t>i</w:t>
            </w:r>
            <w:r w:rsidRPr="00806156">
              <w:rPr>
                <w:color w:val="000000"/>
                <w:sz w:val="16"/>
                <w:szCs w:val="16"/>
                <w:lang w:val="en-GB"/>
              </w:rPr>
              <w:t>ndicator 4.2</w:t>
            </w:r>
            <w:r w:rsidRPr="00806156">
              <w:rPr>
                <w:color w:val="000000"/>
                <w:sz w:val="16"/>
                <w:szCs w:val="16"/>
              </w:rPr>
              <w:t>.1</w:t>
            </w:r>
            <w:r w:rsidR="00F64E60">
              <w:rPr>
                <w:color w:val="000000"/>
                <w:sz w:val="16"/>
                <w:szCs w:val="16"/>
                <w:lang w:val="en-GB"/>
              </w:rPr>
              <w:t>.</w:t>
            </w:r>
            <w:r w:rsidRPr="00806156">
              <w:rPr>
                <w:color w:val="000000"/>
                <w:sz w:val="16"/>
                <w:szCs w:val="16"/>
                <w:lang w:val="en-GB"/>
              </w:rPr>
              <w:t xml:space="preserve"> </w:t>
            </w:r>
            <w:r w:rsidRPr="006651CC">
              <w:rPr>
                <w:color w:val="000000"/>
                <w:sz w:val="16"/>
                <w:szCs w:val="16"/>
                <w:lang w:val="en-GB"/>
              </w:rPr>
              <w:t xml:space="preserve">SDG </w:t>
            </w:r>
            <w:r w:rsidR="00F64E60">
              <w:rPr>
                <w:color w:val="000000"/>
                <w:sz w:val="16"/>
                <w:szCs w:val="16"/>
                <w:lang w:val="en-GB"/>
              </w:rPr>
              <w:t>n</w:t>
            </w:r>
            <w:r w:rsidRPr="007C190F">
              <w:rPr>
                <w:color w:val="000000"/>
                <w:sz w:val="16"/>
                <w:szCs w:val="16"/>
                <w:lang w:val="en-GB"/>
              </w:rPr>
              <w:t xml:space="preserve">ational </w:t>
            </w:r>
            <w:r w:rsidR="00F64E60">
              <w:rPr>
                <w:color w:val="000000"/>
                <w:sz w:val="16"/>
                <w:szCs w:val="16"/>
                <w:lang w:val="en-GB"/>
              </w:rPr>
              <w:t>i</w:t>
            </w:r>
            <w:r w:rsidRPr="006651CC">
              <w:rPr>
                <w:color w:val="000000"/>
                <w:sz w:val="16"/>
                <w:szCs w:val="16"/>
                <w:lang w:val="en-GB"/>
              </w:rPr>
              <w:t>ndicator: 8.5.1.1. Ratio of average wages of women and men (</w:t>
            </w:r>
            <w:r w:rsidR="00F64E60">
              <w:rPr>
                <w:color w:val="000000"/>
                <w:sz w:val="16"/>
                <w:szCs w:val="16"/>
                <w:lang w:val="en-GB"/>
              </w:rPr>
              <w:t>%</w:t>
            </w:r>
            <w:r w:rsidRPr="006651CC">
              <w:rPr>
                <w:color w:val="000000"/>
                <w:sz w:val="16"/>
                <w:szCs w:val="16"/>
                <w:lang w:val="en-GB"/>
              </w:rPr>
              <w:t>)</w:t>
            </w:r>
          </w:p>
          <w:p w14:paraId="0CDFC1F3" w14:textId="207DA80B" w:rsidR="00CE7B57" w:rsidRPr="00806156" w:rsidRDefault="00CE7B57" w:rsidP="006651CC">
            <w:pPr>
              <w:pStyle w:val="ListParagraph"/>
              <w:tabs>
                <w:tab w:val="left" w:pos="1620"/>
              </w:tabs>
              <w:spacing w:after="120"/>
              <w:ind w:left="360"/>
              <w:rPr>
                <w:color w:val="000000"/>
                <w:sz w:val="16"/>
                <w:szCs w:val="16"/>
                <w:lang w:val="en-GB"/>
              </w:rPr>
            </w:pPr>
            <w:r w:rsidRPr="00806156">
              <w:rPr>
                <w:color w:val="000000"/>
                <w:sz w:val="16"/>
                <w:szCs w:val="16"/>
                <w:lang w:val="en-GB"/>
              </w:rPr>
              <w:t xml:space="preserve">Baseline </w:t>
            </w:r>
            <w:r w:rsidR="003F7370" w:rsidRPr="00806156">
              <w:rPr>
                <w:color w:val="000000"/>
                <w:sz w:val="16"/>
                <w:szCs w:val="16"/>
                <w:lang w:val="en-GB"/>
              </w:rPr>
              <w:t>(2018)</w:t>
            </w:r>
            <w:r w:rsidRPr="00806156">
              <w:rPr>
                <w:color w:val="000000"/>
                <w:sz w:val="16"/>
                <w:szCs w:val="16"/>
                <w:lang w:val="en-GB"/>
              </w:rPr>
              <w:t xml:space="preserve">: 72.7 </w:t>
            </w:r>
          </w:p>
          <w:p w14:paraId="7F20331B" w14:textId="32B4942E" w:rsidR="00CE7B57" w:rsidRPr="00077B57" w:rsidRDefault="00CE7B57" w:rsidP="006651CC">
            <w:pPr>
              <w:pStyle w:val="ListParagraph"/>
              <w:tabs>
                <w:tab w:val="left" w:pos="1620"/>
              </w:tabs>
              <w:spacing w:after="120"/>
              <w:ind w:left="360"/>
              <w:rPr>
                <w:color w:val="000000"/>
                <w:sz w:val="16"/>
                <w:szCs w:val="16"/>
                <w:lang w:val="en-GB"/>
              </w:rPr>
            </w:pPr>
            <w:r w:rsidRPr="00077B57">
              <w:rPr>
                <w:color w:val="000000"/>
                <w:sz w:val="16"/>
                <w:szCs w:val="16"/>
                <w:lang w:val="en-GB"/>
              </w:rPr>
              <w:t xml:space="preserve">Target </w:t>
            </w:r>
            <w:r w:rsidR="0043372B" w:rsidRPr="00077B57">
              <w:rPr>
                <w:color w:val="000000"/>
                <w:sz w:val="16"/>
                <w:szCs w:val="16"/>
                <w:lang w:val="en-GB"/>
              </w:rPr>
              <w:t>(2025)</w:t>
            </w:r>
            <w:r w:rsidRPr="00077B57">
              <w:rPr>
                <w:color w:val="000000"/>
                <w:sz w:val="16"/>
                <w:szCs w:val="16"/>
                <w:lang w:val="en-GB"/>
              </w:rPr>
              <w:t xml:space="preserve">: 80 </w:t>
            </w:r>
          </w:p>
          <w:p w14:paraId="11559CFB" w14:textId="191BF811" w:rsidR="00CE7B57" w:rsidRPr="00036D14" w:rsidRDefault="00CE7B57" w:rsidP="006651CC">
            <w:pPr>
              <w:pStyle w:val="ListParagraph"/>
              <w:tabs>
                <w:tab w:val="left" w:pos="1620"/>
              </w:tabs>
              <w:spacing w:after="160"/>
              <w:ind w:left="360"/>
              <w:rPr>
                <w:color w:val="000000"/>
                <w:sz w:val="16"/>
                <w:szCs w:val="16"/>
                <w:lang w:val="en-GB"/>
              </w:rPr>
            </w:pPr>
            <w:r w:rsidRPr="00036D14">
              <w:rPr>
                <w:color w:val="000000"/>
                <w:sz w:val="16"/>
                <w:szCs w:val="16"/>
                <w:lang w:val="en-GB"/>
              </w:rPr>
              <w:t>Data source, frequency: NRP</w:t>
            </w:r>
            <w:r w:rsidR="0043372B" w:rsidRPr="00036D14">
              <w:rPr>
                <w:color w:val="000000"/>
                <w:sz w:val="16"/>
                <w:szCs w:val="16"/>
                <w:lang w:val="en-GB"/>
              </w:rPr>
              <w:t>, annual</w:t>
            </w:r>
          </w:p>
          <w:p w14:paraId="286034B0" w14:textId="706ADB56" w:rsidR="00CE7B57" w:rsidRPr="00806156" w:rsidRDefault="00CE7B57" w:rsidP="007C190F">
            <w:pPr>
              <w:pStyle w:val="ListParagraph"/>
              <w:tabs>
                <w:tab w:val="left" w:pos="1620"/>
              </w:tabs>
              <w:spacing w:after="120"/>
              <w:ind w:left="360"/>
              <w:rPr>
                <w:color w:val="000000"/>
                <w:sz w:val="16"/>
                <w:szCs w:val="16"/>
                <w:lang w:val="en-GB"/>
              </w:rPr>
            </w:pPr>
            <w:r w:rsidRPr="00F64E60">
              <w:rPr>
                <w:color w:val="000000"/>
                <w:sz w:val="16"/>
                <w:szCs w:val="16"/>
                <w:lang w:val="en-GB"/>
              </w:rPr>
              <w:t xml:space="preserve">Indicative </w:t>
            </w:r>
            <w:r w:rsidR="00F64E60">
              <w:rPr>
                <w:color w:val="000000"/>
                <w:sz w:val="16"/>
                <w:szCs w:val="16"/>
                <w:lang w:val="en-GB"/>
              </w:rPr>
              <w:t>i</w:t>
            </w:r>
            <w:r w:rsidRPr="00F64E60">
              <w:rPr>
                <w:color w:val="000000"/>
                <w:sz w:val="16"/>
                <w:szCs w:val="16"/>
                <w:lang w:val="en-GB"/>
              </w:rPr>
              <w:t>ndicator 4.</w:t>
            </w:r>
            <w:r w:rsidRPr="00F64E60">
              <w:rPr>
                <w:color w:val="000000"/>
                <w:sz w:val="16"/>
                <w:szCs w:val="16"/>
              </w:rPr>
              <w:t>2.</w:t>
            </w:r>
            <w:r w:rsidRPr="00F64E60">
              <w:rPr>
                <w:color w:val="000000"/>
                <w:sz w:val="16"/>
                <w:szCs w:val="16"/>
                <w:lang w:val="en-GB"/>
              </w:rPr>
              <w:t>2</w:t>
            </w:r>
            <w:r w:rsidR="00F64E60">
              <w:rPr>
                <w:color w:val="000000"/>
                <w:sz w:val="16"/>
                <w:szCs w:val="16"/>
                <w:lang w:val="en-GB"/>
              </w:rPr>
              <w:t>.</w:t>
            </w:r>
            <w:r w:rsidRPr="00F64E60">
              <w:rPr>
                <w:color w:val="000000"/>
                <w:sz w:val="16"/>
                <w:szCs w:val="16"/>
                <w:lang w:val="en-GB"/>
              </w:rPr>
              <w:t xml:space="preserve"> </w:t>
            </w:r>
            <w:r w:rsidRPr="006651CC">
              <w:rPr>
                <w:color w:val="000000"/>
                <w:sz w:val="16"/>
                <w:szCs w:val="16"/>
                <w:lang w:val="en-GB"/>
              </w:rPr>
              <w:t xml:space="preserve">SDG </w:t>
            </w:r>
            <w:r w:rsidR="00F64E60">
              <w:rPr>
                <w:color w:val="000000"/>
                <w:sz w:val="16"/>
                <w:szCs w:val="16"/>
                <w:lang w:val="en-GB"/>
              </w:rPr>
              <w:t>n</w:t>
            </w:r>
            <w:r w:rsidRPr="007C190F">
              <w:rPr>
                <w:color w:val="000000"/>
                <w:sz w:val="16"/>
                <w:szCs w:val="16"/>
                <w:lang w:val="en-GB"/>
              </w:rPr>
              <w:t xml:space="preserve">ational </w:t>
            </w:r>
            <w:r w:rsidR="00F64E60">
              <w:rPr>
                <w:color w:val="000000"/>
                <w:sz w:val="16"/>
                <w:szCs w:val="16"/>
                <w:lang w:val="en-GB"/>
              </w:rPr>
              <w:t>i</w:t>
            </w:r>
            <w:r w:rsidRPr="006651CC">
              <w:rPr>
                <w:color w:val="000000"/>
                <w:sz w:val="16"/>
                <w:szCs w:val="16"/>
                <w:lang w:val="en-GB"/>
              </w:rPr>
              <w:t>ndicator: 5.5.2 Proportion of women in managerial positions (</w:t>
            </w:r>
            <w:r w:rsidR="003728D2">
              <w:rPr>
                <w:color w:val="000000"/>
                <w:sz w:val="16"/>
                <w:szCs w:val="16"/>
                <w:lang w:val="en-GB"/>
              </w:rPr>
              <w:t>%</w:t>
            </w:r>
            <w:r w:rsidRPr="006651CC">
              <w:rPr>
                <w:color w:val="000000"/>
                <w:sz w:val="16"/>
                <w:szCs w:val="16"/>
                <w:lang w:val="en-GB"/>
              </w:rPr>
              <w:t>)</w:t>
            </w:r>
          </w:p>
          <w:p w14:paraId="0DD21DA1" w14:textId="3B3F62A8" w:rsidR="00CE7B57" w:rsidRPr="00806156" w:rsidRDefault="00CE7B57" w:rsidP="006651CC">
            <w:pPr>
              <w:pStyle w:val="ListParagraph"/>
              <w:tabs>
                <w:tab w:val="left" w:pos="1620"/>
              </w:tabs>
              <w:spacing w:after="120"/>
              <w:ind w:left="360"/>
              <w:rPr>
                <w:color w:val="000000"/>
                <w:sz w:val="16"/>
                <w:szCs w:val="16"/>
                <w:lang w:val="en-GB"/>
              </w:rPr>
            </w:pPr>
            <w:r w:rsidRPr="00806156">
              <w:rPr>
                <w:color w:val="000000"/>
                <w:sz w:val="16"/>
                <w:szCs w:val="16"/>
                <w:lang w:val="en-GB"/>
              </w:rPr>
              <w:t>Baseline</w:t>
            </w:r>
            <w:r w:rsidR="00EE5CF8" w:rsidRPr="00806156">
              <w:rPr>
                <w:color w:val="000000"/>
                <w:sz w:val="16"/>
                <w:szCs w:val="16"/>
                <w:lang w:val="en-GB"/>
              </w:rPr>
              <w:t xml:space="preserve"> </w:t>
            </w:r>
            <w:r w:rsidR="003F7370" w:rsidRPr="00806156">
              <w:rPr>
                <w:color w:val="000000"/>
                <w:sz w:val="16"/>
                <w:szCs w:val="16"/>
                <w:lang w:val="en-GB"/>
              </w:rPr>
              <w:t>(2019)</w:t>
            </w:r>
            <w:r w:rsidRPr="00806156">
              <w:rPr>
                <w:color w:val="000000"/>
                <w:sz w:val="16"/>
                <w:szCs w:val="16"/>
                <w:lang w:val="en-GB"/>
              </w:rPr>
              <w:t xml:space="preserve">: 45.8 </w:t>
            </w:r>
          </w:p>
          <w:p w14:paraId="50C76D39" w14:textId="17C4FF32" w:rsidR="00CE7B57" w:rsidRPr="00253DEA" w:rsidRDefault="00CE7B57" w:rsidP="006651CC">
            <w:pPr>
              <w:pStyle w:val="ListParagraph"/>
              <w:tabs>
                <w:tab w:val="left" w:pos="1620"/>
              </w:tabs>
              <w:spacing w:after="120"/>
              <w:ind w:left="360"/>
              <w:rPr>
                <w:color w:val="000000"/>
                <w:sz w:val="16"/>
                <w:szCs w:val="16"/>
                <w:lang w:val="en-GB"/>
              </w:rPr>
            </w:pPr>
            <w:r w:rsidRPr="00253DEA">
              <w:rPr>
                <w:color w:val="000000"/>
                <w:sz w:val="16"/>
                <w:szCs w:val="16"/>
                <w:lang w:val="en-GB"/>
              </w:rPr>
              <w:t xml:space="preserve">Target </w:t>
            </w:r>
            <w:r w:rsidR="0043372B" w:rsidRPr="00253DEA">
              <w:rPr>
                <w:color w:val="000000"/>
                <w:sz w:val="16"/>
                <w:szCs w:val="16"/>
                <w:lang w:val="en-GB"/>
              </w:rPr>
              <w:t>(2025)</w:t>
            </w:r>
            <w:r w:rsidRPr="00253DEA">
              <w:rPr>
                <w:color w:val="000000"/>
                <w:sz w:val="16"/>
                <w:szCs w:val="16"/>
                <w:lang w:val="en-GB"/>
              </w:rPr>
              <w:t xml:space="preserve">: 47 </w:t>
            </w:r>
          </w:p>
          <w:p w14:paraId="0DB60558" w14:textId="68E27038" w:rsidR="00CE7B57" w:rsidRPr="00253DEA" w:rsidRDefault="00CE7B57" w:rsidP="006651CC">
            <w:pPr>
              <w:pStyle w:val="ListParagraph"/>
              <w:tabs>
                <w:tab w:val="left" w:pos="1620"/>
              </w:tabs>
              <w:spacing w:after="120"/>
              <w:ind w:left="360"/>
              <w:rPr>
                <w:color w:val="000000"/>
                <w:sz w:val="16"/>
                <w:szCs w:val="16"/>
                <w:lang w:val="en-GB"/>
              </w:rPr>
            </w:pPr>
            <w:r w:rsidRPr="00253DEA">
              <w:rPr>
                <w:color w:val="000000"/>
                <w:sz w:val="16"/>
                <w:szCs w:val="16"/>
                <w:lang w:val="en-GB"/>
              </w:rPr>
              <w:t>Data source, frequency: NRP</w:t>
            </w:r>
            <w:r w:rsidR="0043372B" w:rsidRPr="00253DEA">
              <w:rPr>
                <w:color w:val="000000"/>
                <w:sz w:val="16"/>
                <w:szCs w:val="16"/>
                <w:lang w:val="en-GB"/>
              </w:rPr>
              <w:t>, annually.</w:t>
            </w:r>
          </w:p>
          <w:p w14:paraId="5C90ABCE" w14:textId="064C4FF5" w:rsidR="0012186A" w:rsidRPr="00253DEA" w:rsidRDefault="0012186A" w:rsidP="006651CC">
            <w:pPr>
              <w:tabs>
                <w:tab w:val="left" w:pos="1620"/>
              </w:tabs>
              <w:spacing w:after="160"/>
              <w:rPr>
                <w:b/>
                <w:bCs/>
                <w:color w:val="000000"/>
                <w:lang w:val="en-GB"/>
              </w:rPr>
            </w:pPr>
            <w:r w:rsidRPr="006651CC">
              <w:rPr>
                <w:b/>
                <w:bCs/>
                <w:color w:val="000000"/>
                <w:sz w:val="18"/>
                <w:szCs w:val="18"/>
                <w:lang w:val="en-GB"/>
              </w:rPr>
              <w:lastRenderedPageBreak/>
              <w:t>Output 4.3</w:t>
            </w:r>
            <w:r w:rsidR="007C190F">
              <w:rPr>
                <w:b/>
                <w:bCs/>
                <w:color w:val="000000"/>
                <w:sz w:val="18"/>
                <w:szCs w:val="18"/>
                <w:lang w:val="en-GB"/>
              </w:rPr>
              <w:t>.</w:t>
            </w:r>
            <w:r w:rsidRPr="006651CC">
              <w:rPr>
                <w:b/>
                <w:bCs/>
                <w:color w:val="000000"/>
                <w:sz w:val="18"/>
                <w:szCs w:val="18"/>
                <w:lang w:val="en-GB"/>
              </w:rPr>
              <w:t xml:space="preserve"> Measures to </w:t>
            </w:r>
            <w:r w:rsidR="007F058B" w:rsidRPr="006651CC">
              <w:rPr>
                <w:b/>
                <w:bCs/>
                <w:color w:val="000000"/>
                <w:sz w:val="18"/>
                <w:szCs w:val="18"/>
                <w:lang w:val="en-GB"/>
              </w:rPr>
              <w:t>strengthen</w:t>
            </w:r>
            <w:r w:rsidRPr="006651CC">
              <w:rPr>
                <w:b/>
                <w:bCs/>
                <w:color w:val="000000"/>
                <w:sz w:val="18"/>
                <w:szCs w:val="18"/>
                <w:lang w:val="en-GB"/>
              </w:rPr>
              <w:t xml:space="preserve"> the healthcare system, especially at the primary care level, for the </w:t>
            </w:r>
            <w:r w:rsidR="00C6081A" w:rsidRPr="006651CC">
              <w:rPr>
                <w:b/>
                <w:bCs/>
                <w:color w:val="000000"/>
                <w:sz w:val="18"/>
                <w:szCs w:val="18"/>
                <w:lang w:val="en-GB"/>
              </w:rPr>
              <w:t xml:space="preserve">response to COVID-19 and </w:t>
            </w:r>
            <w:r w:rsidRPr="006651CC">
              <w:rPr>
                <w:b/>
                <w:bCs/>
                <w:color w:val="000000"/>
                <w:sz w:val="18"/>
                <w:szCs w:val="18"/>
                <w:lang w:val="en-GB"/>
              </w:rPr>
              <w:t>prevention and control of NCDs, HIV and infectious diseases</w:t>
            </w:r>
            <w:r w:rsidR="00395B02" w:rsidRPr="006651CC">
              <w:rPr>
                <w:b/>
                <w:bCs/>
                <w:color w:val="000000"/>
                <w:sz w:val="18"/>
                <w:szCs w:val="18"/>
                <w:lang w:val="en-GB"/>
              </w:rPr>
              <w:t>, de</w:t>
            </w:r>
            <w:r w:rsidR="007F058B" w:rsidRPr="006651CC">
              <w:rPr>
                <w:b/>
                <w:bCs/>
                <w:color w:val="000000"/>
                <w:sz w:val="18"/>
                <w:szCs w:val="18"/>
                <w:lang w:val="en-GB"/>
              </w:rPr>
              <w:t>velop</w:t>
            </w:r>
            <w:r w:rsidR="00395B02" w:rsidRPr="006651CC">
              <w:rPr>
                <w:b/>
                <w:bCs/>
                <w:color w:val="000000"/>
                <w:sz w:val="18"/>
                <w:szCs w:val="18"/>
                <w:lang w:val="en-GB"/>
              </w:rPr>
              <w:t>ed and introduced</w:t>
            </w:r>
          </w:p>
          <w:p w14:paraId="32FFBC39" w14:textId="014129C2" w:rsidR="00EE5CF8" w:rsidRPr="00806156" w:rsidRDefault="00EE5CF8" w:rsidP="007C190F">
            <w:pPr>
              <w:pStyle w:val="ListParagraph"/>
              <w:tabs>
                <w:tab w:val="left" w:pos="1620"/>
              </w:tabs>
              <w:spacing w:after="120"/>
              <w:ind w:left="360"/>
              <w:rPr>
                <w:color w:val="000000"/>
                <w:sz w:val="16"/>
                <w:szCs w:val="16"/>
                <w:lang w:val="en-GB"/>
              </w:rPr>
            </w:pPr>
            <w:r w:rsidRPr="00253DEA">
              <w:rPr>
                <w:color w:val="000000"/>
                <w:sz w:val="16"/>
                <w:szCs w:val="16"/>
                <w:lang w:val="en-GB"/>
              </w:rPr>
              <w:t xml:space="preserve">Indicative </w:t>
            </w:r>
            <w:r w:rsidR="003728D2">
              <w:rPr>
                <w:color w:val="000000"/>
                <w:sz w:val="16"/>
                <w:szCs w:val="16"/>
                <w:lang w:val="en-GB"/>
              </w:rPr>
              <w:t>i</w:t>
            </w:r>
            <w:r w:rsidRPr="00253DEA">
              <w:rPr>
                <w:color w:val="000000"/>
                <w:sz w:val="16"/>
                <w:szCs w:val="16"/>
                <w:lang w:val="en-GB"/>
              </w:rPr>
              <w:t>ndicator 4</w:t>
            </w:r>
            <w:r w:rsidR="003728D2">
              <w:rPr>
                <w:color w:val="000000"/>
                <w:sz w:val="16"/>
                <w:szCs w:val="16"/>
                <w:lang w:val="en-GB"/>
              </w:rPr>
              <w:t>.</w:t>
            </w:r>
            <w:r w:rsidRPr="00253DEA">
              <w:rPr>
                <w:color w:val="000000"/>
                <w:sz w:val="16"/>
                <w:szCs w:val="16"/>
                <w:lang w:val="en-GB"/>
              </w:rPr>
              <w:t>3</w:t>
            </w:r>
            <w:r w:rsidRPr="00253DEA">
              <w:rPr>
                <w:color w:val="000000"/>
                <w:sz w:val="16"/>
                <w:szCs w:val="16"/>
              </w:rPr>
              <w:t>.1</w:t>
            </w:r>
            <w:r w:rsidR="003728D2">
              <w:rPr>
                <w:color w:val="000000"/>
                <w:sz w:val="16"/>
                <w:szCs w:val="16"/>
              </w:rPr>
              <w:t>.</w:t>
            </w:r>
            <w:r w:rsidRPr="00253DEA">
              <w:rPr>
                <w:color w:val="000000"/>
                <w:sz w:val="16"/>
                <w:szCs w:val="16"/>
              </w:rPr>
              <w:t xml:space="preserve"> </w:t>
            </w:r>
            <w:r w:rsidRPr="006651CC">
              <w:rPr>
                <w:color w:val="000000"/>
                <w:sz w:val="16"/>
                <w:szCs w:val="16"/>
                <w:lang w:val="en-GB"/>
              </w:rPr>
              <w:t xml:space="preserve">SDG </w:t>
            </w:r>
            <w:r w:rsidR="003728D2">
              <w:rPr>
                <w:color w:val="000000"/>
                <w:sz w:val="16"/>
                <w:szCs w:val="16"/>
                <w:lang w:val="en-GB"/>
              </w:rPr>
              <w:t>n</w:t>
            </w:r>
            <w:r w:rsidRPr="007C190F">
              <w:rPr>
                <w:color w:val="000000"/>
                <w:sz w:val="16"/>
                <w:szCs w:val="16"/>
                <w:lang w:val="en-GB"/>
              </w:rPr>
              <w:t xml:space="preserve">ational </w:t>
            </w:r>
            <w:r w:rsidR="003728D2">
              <w:rPr>
                <w:color w:val="000000"/>
                <w:sz w:val="16"/>
                <w:szCs w:val="16"/>
                <w:lang w:val="en-GB"/>
              </w:rPr>
              <w:t>i</w:t>
            </w:r>
            <w:r w:rsidRPr="006651CC">
              <w:rPr>
                <w:color w:val="000000"/>
                <w:sz w:val="16"/>
                <w:szCs w:val="16"/>
                <w:lang w:val="en-GB"/>
              </w:rPr>
              <w:t>ndicator: 3.3.1 Number of new HIV infections per 1,000 uninfected population, by sex and age</w:t>
            </w:r>
          </w:p>
          <w:p w14:paraId="5B4200C7" w14:textId="38A42F3D" w:rsidR="003728D2" w:rsidRDefault="00EE5CF8" w:rsidP="003728D2">
            <w:pPr>
              <w:pStyle w:val="ListParagraph"/>
              <w:tabs>
                <w:tab w:val="left" w:pos="1620"/>
              </w:tabs>
              <w:ind w:left="360"/>
              <w:rPr>
                <w:color w:val="000000"/>
                <w:sz w:val="16"/>
                <w:szCs w:val="16"/>
                <w:lang w:val="en-GB"/>
              </w:rPr>
            </w:pPr>
            <w:r w:rsidRPr="00806156">
              <w:rPr>
                <w:color w:val="000000"/>
                <w:sz w:val="16"/>
                <w:szCs w:val="16"/>
                <w:lang w:val="en-GB"/>
              </w:rPr>
              <w:t xml:space="preserve">Baseline (2018): 0.25; male – 0.33; female – 0.17; </w:t>
            </w:r>
          </w:p>
          <w:p w14:paraId="17E4B56B" w14:textId="0DB50AB5" w:rsidR="00EE5CF8" w:rsidRPr="00806156" w:rsidRDefault="00EE5CF8" w:rsidP="006651CC">
            <w:pPr>
              <w:pStyle w:val="ListParagraph"/>
              <w:tabs>
                <w:tab w:val="left" w:pos="1620"/>
              </w:tabs>
              <w:spacing w:after="120"/>
              <w:ind w:left="360"/>
              <w:rPr>
                <w:color w:val="000000"/>
                <w:sz w:val="16"/>
                <w:szCs w:val="16"/>
                <w:lang w:val="en-GB"/>
              </w:rPr>
            </w:pPr>
            <w:r w:rsidRPr="00806156">
              <w:rPr>
                <w:color w:val="000000"/>
                <w:sz w:val="16"/>
                <w:szCs w:val="16"/>
                <w:lang w:val="en-GB"/>
              </w:rPr>
              <w:t>0-14</w:t>
            </w:r>
            <w:r w:rsidR="003728D2">
              <w:rPr>
                <w:color w:val="000000"/>
                <w:sz w:val="16"/>
                <w:szCs w:val="16"/>
                <w:lang w:val="en-GB"/>
              </w:rPr>
              <w:t xml:space="preserve"> </w:t>
            </w:r>
            <w:r w:rsidRPr="00806156">
              <w:rPr>
                <w:color w:val="000000"/>
                <w:sz w:val="16"/>
                <w:szCs w:val="16"/>
                <w:lang w:val="en-GB"/>
              </w:rPr>
              <w:t>years – 0.004; 15 years and older – 0.30</w:t>
            </w:r>
          </w:p>
          <w:p w14:paraId="3C109420" w14:textId="4B886ED2" w:rsidR="00EE5CF8" w:rsidRPr="00806156" w:rsidRDefault="00EE5CF8" w:rsidP="006651CC">
            <w:pPr>
              <w:pStyle w:val="ListParagraph"/>
              <w:tabs>
                <w:tab w:val="left" w:pos="1620"/>
              </w:tabs>
              <w:spacing w:after="120"/>
              <w:ind w:left="360"/>
              <w:rPr>
                <w:color w:val="000000"/>
                <w:sz w:val="16"/>
                <w:szCs w:val="16"/>
                <w:lang w:val="en-GB"/>
              </w:rPr>
            </w:pPr>
            <w:r w:rsidRPr="00806156">
              <w:rPr>
                <w:color w:val="000000"/>
                <w:sz w:val="16"/>
                <w:szCs w:val="16"/>
                <w:lang w:val="en-GB"/>
              </w:rPr>
              <w:t xml:space="preserve">Target (2025): 0.2 </w:t>
            </w:r>
          </w:p>
          <w:p w14:paraId="1AF7A815" w14:textId="3896E424" w:rsidR="00CE7B57" w:rsidRPr="00253DEA" w:rsidRDefault="00EE5CF8" w:rsidP="006651CC">
            <w:pPr>
              <w:pStyle w:val="ListParagraph"/>
              <w:tabs>
                <w:tab w:val="left" w:pos="1620"/>
              </w:tabs>
              <w:spacing w:after="120"/>
              <w:ind w:left="360"/>
              <w:rPr>
                <w:color w:val="000000"/>
                <w:sz w:val="16"/>
                <w:szCs w:val="16"/>
                <w:lang w:val="en-GB"/>
              </w:rPr>
            </w:pPr>
            <w:r w:rsidRPr="00253DEA">
              <w:rPr>
                <w:color w:val="000000"/>
                <w:sz w:val="16"/>
                <w:szCs w:val="16"/>
                <w:lang w:val="en-GB"/>
              </w:rPr>
              <w:t>Data source, frequency: NRP, annual</w:t>
            </w:r>
          </w:p>
        </w:tc>
        <w:tc>
          <w:tcPr>
            <w:tcW w:w="701" w:type="pct"/>
            <w:vMerge w:val="restart"/>
            <w:shd w:val="clear" w:color="auto" w:fill="auto"/>
          </w:tcPr>
          <w:p w14:paraId="321FB1F6" w14:textId="77777777" w:rsidR="00077B57" w:rsidRDefault="00D45291" w:rsidP="006651CC">
            <w:pPr>
              <w:tabs>
                <w:tab w:val="left" w:pos="1620"/>
              </w:tabs>
              <w:spacing w:after="120"/>
              <w:rPr>
                <w:sz w:val="16"/>
                <w:szCs w:val="16"/>
                <w:lang w:val="en-GB"/>
              </w:rPr>
            </w:pPr>
            <w:r w:rsidRPr="00253DEA">
              <w:rPr>
                <w:sz w:val="16"/>
                <w:szCs w:val="16"/>
                <w:lang w:val="en-GB"/>
              </w:rPr>
              <w:lastRenderedPageBreak/>
              <w:t>M</w:t>
            </w:r>
            <w:r w:rsidR="00077B57">
              <w:rPr>
                <w:sz w:val="16"/>
                <w:szCs w:val="16"/>
                <w:lang w:val="en-GB"/>
              </w:rPr>
              <w:t>OE</w:t>
            </w:r>
          </w:p>
          <w:p w14:paraId="72DCDAEB" w14:textId="675A00E9" w:rsidR="00077B57" w:rsidRDefault="00D45291" w:rsidP="006651CC">
            <w:pPr>
              <w:tabs>
                <w:tab w:val="left" w:pos="1620"/>
              </w:tabs>
              <w:spacing w:after="120"/>
              <w:rPr>
                <w:sz w:val="16"/>
                <w:szCs w:val="16"/>
                <w:lang w:val="en-GB"/>
              </w:rPr>
            </w:pPr>
            <w:r w:rsidRPr="00253DEA">
              <w:rPr>
                <w:sz w:val="16"/>
                <w:szCs w:val="16"/>
                <w:lang w:val="en-GB"/>
              </w:rPr>
              <w:t>Ministry of Labo</w:t>
            </w:r>
            <w:r w:rsidR="00077B57">
              <w:rPr>
                <w:sz w:val="16"/>
                <w:szCs w:val="16"/>
                <w:lang w:val="en-GB"/>
              </w:rPr>
              <w:t>u</w:t>
            </w:r>
            <w:r w:rsidRPr="00253DEA">
              <w:rPr>
                <w:sz w:val="16"/>
                <w:szCs w:val="16"/>
                <w:lang w:val="en-GB"/>
              </w:rPr>
              <w:t>r and Social Protection</w:t>
            </w:r>
          </w:p>
          <w:p w14:paraId="02E1DF89" w14:textId="5BB81C67" w:rsidR="009E5C62" w:rsidRDefault="009E5C62" w:rsidP="006651CC">
            <w:pPr>
              <w:tabs>
                <w:tab w:val="left" w:pos="1620"/>
              </w:tabs>
              <w:spacing w:after="120"/>
              <w:rPr>
                <w:sz w:val="16"/>
                <w:szCs w:val="16"/>
                <w:lang w:val="en-GB"/>
              </w:rPr>
            </w:pPr>
            <w:r>
              <w:rPr>
                <w:sz w:val="16"/>
                <w:szCs w:val="16"/>
                <w:lang w:val="en-GB"/>
              </w:rPr>
              <w:t>Ministry of Health</w:t>
            </w:r>
          </w:p>
          <w:p w14:paraId="065ADBE1" w14:textId="0E94EEDA" w:rsidR="00077B57" w:rsidRDefault="00D45291" w:rsidP="006651CC">
            <w:pPr>
              <w:tabs>
                <w:tab w:val="left" w:pos="1620"/>
              </w:tabs>
              <w:spacing w:after="120"/>
              <w:rPr>
                <w:sz w:val="16"/>
                <w:szCs w:val="16"/>
                <w:lang w:val="en-GB"/>
              </w:rPr>
            </w:pPr>
            <w:r w:rsidRPr="00253DEA">
              <w:rPr>
                <w:sz w:val="16"/>
                <w:szCs w:val="16"/>
                <w:lang w:val="en-GB"/>
              </w:rPr>
              <w:t>National Statistical Committee of the Republic of Belarus</w:t>
            </w:r>
          </w:p>
          <w:p w14:paraId="0378BBA6" w14:textId="77777777" w:rsidR="00077B57" w:rsidRDefault="00077B57" w:rsidP="00077B57">
            <w:pPr>
              <w:tabs>
                <w:tab w:val="left" w:pos="1620"/>
              </w:tabs>
              <w:spacing w:after="120"/>
              <w:rPr>
                <w:sz w:val="16"/>
                <w:szCs w:val="16"/>
                <w:lang w:val="en-GB"/>
              </w:rPr>
            </w:pPr>
            <w:r>
              <w:rPr>
                <w:sz w:val="16"/>
                <w:szCs w:val="16"/>
                <w:lang w:val="en-GB"/>
              </w:rPr>
              <w:t>A</w:t>
            </w:r>
            <w:r w:rsidRPr="00253DEA">
              <w:rPr>
                <w:sz w:val="16"/>
                <w:szCs w:val="16"/>
                <w:lang w:val="en-GB"/>
              </w:rPr>
              <w:t>cademic and educational institutions</w:t>
            </w:r>
          </w:p>
          <w:p w14:paraId="49C3936A" w14:textId="4D75FD17" w:rsidR="00077B57" w:rsidRDefault="00077B57" w:rsidP="00077B57">
            <w:pPr>
              <w:tabs>
                <w:tab w:val="left" w:pos="1620"/>
              </w:tabs>
              <w:spacing w:after="120"/>
              <w:rPr>
                <w:sz w:val="16"/>
                <w:szCs w:val="16"/>
                <w:lang w:val="en-GB"/>
              </w:rPr>
            </w:pPr>
            <w:r>
              <w:rPr>
                <w:sz w:val="16"/>
                <w:szCs w:val="16"/>
                <w:lang w:val="en-GB"/>
              </w:rPr>
              <w:t>L</w:t>
            </w:r>
            <w:r w:rsidRPr="00253DEA">
              <w:rPr>
                <w:sz w:val="16"/>
                <w:szCs w:val="16"/>
                <w:lang w:val="en-GB"/>
              </w:rPr>
              <w:t>ocal authorities</w:t>
            </w:r>
          </w:p>
          <w:p w14:paraId="427B26F5" w14:textId="0600D82D" w:rsidR="007C190F" w:rsidRDefault="007C190F" w:rsidP="00077B57">
            <w:pPr>
              <w:tabs>
                <w:tab w:val="left" w:pos="1620"/>
              </w:tabs>
              <w:spacing w:after="120"/>
              <w:rPr>
                <w:sz w:val="16"/>
                <w:szCs w:val="16"/>
                <w:lang w:val="en-GB"/>
              </w:rPr>
            </w:pPr>
            <w:r>
              <w:rPr>
                <w:sz w:val="16"/>
                <w:szCs w:val="16"/>
                <w:lang w:val="en-GB"/>
              </w:rPr>
              <w:t>Private sector</w:t>
            </w:r>
          </w:p>
          <w:p w14:paraId="6EFB279D" w14:textId="77777777" w:rsidR="00077B57" w:rsidRPr="00253DEA" w:rsidRDefault="00077B57" w:rsidP="00077B57">
            <w:pPr>
              <w:tabs>
                <w:tab w:val="left" w:pos="1620"/>
              </w:tabs>
              <w:spacing w:after="120"/>
              <w:rPr>
                <w:color w:val="000000"/>
                <w:sz w:val="16"/>
                <w:szCs w:val="16"/>
                <w:lang w:val="en-GB"/>
              </w:rPr>
            </w:pPr>
            <w:r>
              <w:rPr>
                <w:sz w:val="16"/>
                <w:szCs w:val="16"/>
                <w:lang w:val="en-GB"/>
              </w:rPr>
              <w:t>NGOs</w:t>
            </w:r>
          </w:p>
          <w:p w14:paraId="2A35246D" w14:textId="77777777" w:rsidR="00CE7B57" w:rsidRPr="00253DEA" w:rsidRDefault="00CE7B57" w:rsidP="006651CC">
            <w:pPr>
              <w:tabs>
                <w:tab w:val="left" w:pos="1620"/>
              </w:tabs>
              <w:spacing w:after="120"/>
              <w:rPr>
                <w:b/>
                <w:bCs/>
                <w:color w:val="000000"/>
                <w:sz w:val="16"/>
                <w:szCs w:val="16"/>
                <w:lang w:val="en-GB"/>
              </w:rPr>
            </w:pPr>
          </w:p>
        </w:tc>
        <w:tc>
          <w:tcPr>
            <w:tcW w:w="682" w:type="pct"/>
            <w:shd w:val="clear" w:color="auto" w:fill="auto"/>
            <w:tcMar>
              <w:top w:w="15" w:type="dxa"/>
              <w:left w:w="108" w:type="dxa"/>
              <w:bottom w:w="0" w:type="dxa"/>
              <w:right w:w="108" w:type="dxa"/>
            </w:tcMar>
          </w:tcPr>
          <w:p w14:paraId="53C3205F" w14:textId="5D1C2325" w:rsidR="00CE7B57" w:rsidRPr="00253DEA" w:rsidRDefault="00CE7B57" w:rsidP="006651CC">
            <w:pPr>
              <w:tabs>
                <w:tab w:val="left" w:pos="1620"/>
              </w:tabs>
              <w:spacing w:after="120"/>
              <w:rPr>
                <w:b/>
                <w:color w:val="000000"/>
                <w:sz w:val="16"/>
                <w:szCs w:val="16"/>
              </w:rPr>
            </w:pPr>
            <w:r w:rsidRPr="00253DEA">
              <w:rPr>
                <w:b/>
                <w:color w:val="000000"/>
                <w:sz w:val="16"/>
                <w:szCs w:val="16"/>
              </w:rPr>
              <w:t>Regular</w:t>
            </w:r>
            <w:r w:rsidR="003C611C" w:rsidRPr="00253DEA">
              <w:rPr>
                <w:b/>
                <w:color w:val="000000"/>
                <w:sz w:val="16"/>
                <w:szCs w:val="16"/>
              </w:rPr>
              <w:t>: $368</w:t>
            </w:r>
          </w:p>
        </w:tc>
      </w:tr>
      <w:tr w:rsidR="00CE7B57" w:rsidRPr="00253DEA" w14:paraId="70BCFCF3" w14:textId="77777777" w:rsidTr="00253DEA">
        <w:tc>
          <w:tcPr>
            <w:tcW w:w="971" w:type="pct"/>
            <w:vMerge/>
            <w:shd w:val="clear" w:color="auto" w:fill="auto"/>
            <w:tcMar>
              <w:top w:w="72" w:type="dxa"/>
              <w:left w:w="144" w:type="dxa"/>
              <w:bottom w:w="72" w:type="dxa"/>
              <w:right w:w="144" w:type="dxa"/>
            </w:tcMar>
            <w:vAlign w:val="center"/>
          </w:tcPr>
          <w:p w14:paraId="2AC49AFC" w14:textId="77777777" w:rsidR="00CE7B57" w:rsidRPr="00253DEA" w:rsidRDefault="00CE7B57" w:rsidP="006651CC">
            <w:pPr>
              <w:tabs>
                <w:tab w:val="left" w:pos="1620"/>
              </w:tabs>
              <w:spacing w:after="120"/>
              <w:jc w:val="center"/>
              <w:rPr>
                <w:b/>
                <w:bCs/>
                <w:color w:val="000000"/>
                <w:sz w:val="16"/>
                <w:szCs w:val="16"/>
                <w:lang w:val="en-GB"/>
              </w:rPr>
            </w:pPr>
          </w:p>
        </w:tc>
        <w:tc>
          <w:tcPr>
            <w:tcW w:w="918" w:type="pct"/>
            <w:vMerge/>
            <w:shd w:val="clear" w:color="auto" w:fill="auto"/>
            <w:vAlign w:val="center"/>
          </w:tcPr>
          <w:p w14:paraId="537A6DF8" w14:textId="77777777" w:rsidR="00CE7B57" w:rsidRPr="00253DEA" w:rsidRDefault="00CE7B57" w:rsidP="006651CC">
            <w:pPr>
              <w:tabs>
                <w:tab w:val="left" w:pos="1620"/>
              </w:tabs>
              <w:spacing w:after="120"/>
              <w:jc w:val="center"/>
              <w:rPr>
                <w:b/>
                <w:color w:val="000000"/>
                <w:sz w:val="16"/>
                <w:szCs w:val="16"/>
              </w:rPr>
            </w:pPr>
          </w:p>
        </w:tc>
        <w:tc>
          <w:tcPr>
            <w:tcW w:w="1728" w:type="pct"/>
            <w:vMerge/>
            <w:shd w:val="clear" w:color="auto" w:fill="auto"/>
            <w:tcMar>
              <w:top w:w="72" w:type="dxa"/>
              <w:left w:w="144" w:type="dxa"/>
              <w:bottom w:w="72" w:type="dxa"/>
              <w:right w:w="144" w:type="dxa"/>
            </w:tcMar>
            <w:vAlign w:val="center"/>
          </w:tcPr>
          <w:p w14:paraId="1AD99452" w14:textId="77777777" w:rsidR="00CE7B57" w:rsidRPr="00253DEA" w:rsidRDefault="00CE7B57" w:rsidP="006651CC">
            <w:pPr>
              <w:tabs>
                <w:tab w:val="left" w:pos="1620"/>
              </w:tabs>
              <w:spacing w:after="120"/>
              <w:jc w:val="center"/>
              <w:rPr>
                <w:b/>
                <w:bCs/>
                <w:color w:val="000000"/>
                <w:sz w:val="16"/>
                <w:szCs w:val="16"/>
                <w:lang w:val="en-GB"/>
              </w:rPr>
            </w:pPr>
          </w:p>
        </w:tc>
        <w:tc>
          <w:tcPr>
            <w:tcW w:w="701" w:type="pct"/>
            <w:vMerge/>
            <w:shd w:val="clear" w:color="auto" w:fill="auto"/>
            <w:vAlign w:val="center"/>
          </w:tcPr>
          <w:p w14:paraId="281BBD5F" w14:textId="77777777" w:rsidR="00CE7B57" w:rsidRPr="00253DEA" w:rsidRDefault="00CE7B57" w:rsidP="006651CC">
            <w:pPr>
              <w:tabs>
                <w:tab w:val="left" w:pos="1620"/>
              </w:tabs>
              <w:spacing w:after="120"/>
              <w:jc w:val="center"/>
              <w:rPr>
                <w:b/>
                <w:bCs/>
                <w:color w:val="000000"/>
                <w:sz w:val="16"/>
                <w:szCs w:val="16"/>
                <w:lang w:val="en-GB"/>
              </w:rPr>
            </w:pPr>
          </w:p>
        </w:tc>
        <w:tc>
          <w:tcPr>
            <w:tcW w:w="682" w:type="pct"/>
            <w:shd w:val="clear" w:color="auto" w:fill="auto"/>
            <w:tcMar>
              <w:top w:w="15" w:type="dxa"/>
              <w:left w:w="108" w:type="dxa"/>
              <w:bottom w:w="0" w:type="dxa"/>
              <w:right w:w="108" w:type="dxa"/>
            </w:tcMar>
          </w:tcPr>
          <w:p w14:paraId="4B3CA619" w14:textId="18685DEF" w:rsidR="00CE7B57" w:rsidRPr="00253DEA" w:rsidRDefault="00CE7B57" w:rsidP="006651CC">
            <w:pPr>
              <w:tabs>
                <w:tab w:val="left" w:pos="1620"/>
              </w:tabs>
              <w:spacing w:after="120"/>
              <w:rPr>
                <w:b/>
                <w:color w:val="000000"/>
                <w:sz w:val="16"/>
                <w:szCs w:val="16"/>
              </w:rPr>
            </w:pPr>
            <w:r w:rsidRPr="00253DEA">
              <w:rPr>
                <w:b/>
                <w:color w:val="000000"/>
                <w:sz w:val="16"/>
                <w:szCs w:val="16"/>
              </w:rPr>
              <w:t>Other</w:t>
            </w:r>
            <w:r w:rsidR="000B4C6A" w:rsidRPr="00253DEA">
              <w:rPr>
                <w:b/>
                <w:color w:val="000000"/>
                <w:sz w:val="16"/>
                <w:szCs w:val="16"/>
              </w:rPr>
              <w:t>: $5,</w:t>
            </w:r>
            <w:r w:rsidR="00CA166A" w:rsidRPr="00253DEA">
              <w:rPr>
                <w:b/>
                <w:color w:val="000000"/>
                <w:sz w:val="16"/>
                <w:szCs w:val="16"/>
              </w:rPr>
              <w:t>62</w:t>
            </w:r>
            <w:r w:rsidR="000B4C6A" w:rsidRPr="00253DEA">
              <w:rPr>
                <w:b/>
                <w:color w:val="000000"/>
                <w:sz w:val="16"/>
                <w:szCs w:val="16"/>
              </w:rPr>
              <w:t>0</w:t>
            </w:r>
          </w:p>
        </w:tc>
      </w:tr>
    </w:tbl>
    <w:p w14:paraId="551B3307" w14:textId="4C6E39D3" w:rsidR="00B8310D" w:rsidRDefault="00B8310D" w:rsidP="006651CC">
      <w:pPr>
        <w:tabs>
          <w:tab w:val="left" w:pos="1620"/>
        </w:tabs>
        <w:spacing w:after="120"/>
        <w:rPr>
          <w:sz w:val="16"/>
          <w:szCs w:val="16"/>
        </w:rPr>
      </w:pPr>
    </w:p>
    <w:p w14:paraId="216AEE8A" w14:textId="258186B3" w:rsidR="00CE7B57" w:rsidRDefault="0024266E" w:rsidP="006651CC">
      <w:pPr>
        <w:tabs>
          <w:tab w:val="left" w:pos="1620"/>
        </w:tabs>
        <w:spacing w:after="120"/>
        <w:rPr>
          <w:sz w:val="16"/>
          <w:szCs w:val="16"/>
        </w:rPr>
      </w:pPr>
      <w:r w:rsidRPr="00915E7E">
        <w:rPr>
          <w:rFonts w:eastAsia="MS Mincho"/>
          <w:noProof/>
          <w:sz w:val="22"/>
          <w:szCs w:val="22"/>
        </w:rPr>
        <mc:AlternateContent>
          <mc:Choice Requires="wps">
            <w:drawing>
              <wp:anchor distT="0" distB="0" distL="114300" distR="114300" simplePos="0" relativeHeight="251658240" behindDoc="0" locked="0" layoutInCell="1" allowOverlap="1" wp14:anchorId="4F8B0982" wp14:editId="6A2C1969">
                <wp:simplePos x="0" y="0"/>
                <wp:positionH relativeFrom="column">
                  <wp:posOffset>3695700</wp:posOffset>
                </wp:positionH>
                <wp:positionV relativeFrom="paragraph">
                  <wp:posOffset>235585</wp:posOffset>
                </wp:positionV>
                <wp:extent cx="9144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BEC39"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18.55pt" to="36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" strokeweight=".25pt"/>
            </w:pict>
          </mc:Fallback>
        </mc:AlternateContent>
      </w:r>
    </w:p>
    <w:sectPr w:rsidR="00CE7B57" w:rsidSect="004E1E23">
      <w:headerReference w:type="even" r:id="rId22"/>
      <w:headerReference w:type="default" r:id="rId23"/>
      <w:footerReference w:type="even" r:id="rId24"/>
      <w:footerReference w:type="default" r:id="rId25"/>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41BF0" w14:textId="77777777" w:rsidR="00DF6131" w:rsidRDefault="00DF6131" w:rsidP="00441061">
      <w:r>
        <w:separator/>
      </w:r>
    </w:p>
  </w:endnote>
  <w:endnote w:type="continuationSeparator" w:id="0">
    <w:p w14:paraId="7D358A2A" w14:textId="77777777" w:rsidR="00DF6131" w:rsidRDefault="00DF6131"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54" w14:textId="77777777" w:rsidR="00F07622" w:rsidRPr="005841A3" w:rsidRDefault="00F07622">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56" w14:textId="6AF35F05" w:rsidR="00F07622" w:rsidRPr="001551D6" w:rsidRDefault="00F07622" w:rsidP="001551D6">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5D45DF">
      <w:rPr>
        <w:b/>
        <w:noProof/>
        <w:sz w:val="17"/>
        <w:szCs w:val="17"/>
      </w:rPr>
      <w:t>17</w:t>
    </w:r>
    <w:r w:rsidRPr="005841A3">
      <w:rPr>
        <w:b/>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C6334" w14:textId="77777777" w:rsidR="00F07622" w:rsidRPr="005841A3" w:rsidRDefault="00F07622" w:rsidP="00203AD0">
    <w:pPr>
      <w:pStyle w:val="Footer"/>
      <w:ind w:firstLine="630"/>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5D45DF">
      <w:rPr>
        <w:b/>
        <w:noProof/>
        <w:sz w:val="17"/>
        <w:szCs w:val="17"/>
      </w:rPr>
      <w:t>14</w:t>
    </w:r>
    <w:r w:rsidRPr="005841A3">
      <w:rPr>
        <w:b/>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DAFD3" w14:textId="77777777" w:rsidR="00203AD0" w:rsidRPr="001551D6" w:rsidRDefault="00203AD0" w:rsidP="00203AD0">
    <w:pPr>
      <w:pStyle w:val="Footer"/>
      <w:ind w:right="580"/>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17</w:t>
    </w:r>
    <w:r w:rsidRPr="005841A3">
      <w:rPr>
        <w:b/>
        <w:sz w:val="17"/>
        <w:szCs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3137862"/>
      <w:docPartObj>
        <w:docPartGallery w:val="Page Numbers (Bottom of Page)"/>
        <w:docPartUnique/>
      </w:docPartObj>
    </w:sdtPr>
    <w:sdtEndPr>
      <w:rPr>
        <w:b/>
        <w:bCs/>
        <w:noProof/>
        <w:sz w:val="17"/>
        <w:szCs w:val="17"/>
      </w:rPr>
    </w:sdtEndPr>
    <w:sdtContent>
      <w:p w14:paraId="0426C724" w14:textId="18238611" w:rsidR="00203AD0" w:rsidRPr="00203AD0" w:rsidRDefault="00203AD0" w:rsidP="00203AD0">
        <w:pPr>
          <w:pStyle w:val="Footer"/>
          <w:ind w:firstLine="810"/>
          <w:rPr>
            <w:b/>
            <w:bCs/>
            <w:sz w:val="17"/>
            <w:szCs w:val="17"/>
          </w:rPr>
        </w:pPr>
        <w:r w:rsidRPr="00203AD0">
          <w:rPr>
            <w:b/>
            <w:bCs/>
            <w:sz w:val="17"/>
            <w:szCs w:val="17"/>
          </w:rPr>
          <w:fldChar w:fldCharType="begin"/>
        </w:r>
        <w:r w:rsidRPr="00203AD0">
          <w:rPr>
            <w:b/>
            <w:bCs/>
            <w:sz w:val="17"/>
            <w:szCs w:val="17"/>
          </w:rPr>
          <w:instrText xml:space="preserve"> PAGE   \* MERGEFORMAT </w:instrText>
        </w:r>
        <w:r w:rsidRPr="00203AD0">
          <w:rPr>
            <w:b/>
            <w:bCs/>
            <w:sz w:val="17"/>
            <w:szCs w:val="17"/>
          </w:rPr>
          <w:fldChar w:fldCharType="separate"/>
        </w:r>
        <w:r w:rsidRPr="00203AD0">
          <w:rPr>
            <w:b/>
            <w:bCs/>
            <w:noProof/>
            <w:sz w:val="17"/>
            <w:szCs w:val="17"/>
          </w:rPr>
          <w:t>2</w:t>
        </w:r>
        <w:r w:rsidRPr="00203AD0">
          <w:rPr>
            <w:b/>
            <w:bCs/>
            <w:noProof/>
            <w:sz w:val="17"/>
            <w:szCs w:val="17"/>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E11EF" w14:textId="77777777" w:rsidR="00203AD0" w:rsidRPr="005841A3" w:rsidRDefault="00203AD0" w:rsidP="00203AD0">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14</w:t>
    </w:r>
    <w:r w:rsidRPr="005841A3">
      <w:rPr>
        <w:b/>
        <w:sz w:val="17"/>
        <w:szCs w:val="17"/>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3C4E4" w14:textId="77777777" w:rsidR="005F70DE" w:rsidRPr="001551D6" w:rsidRDefault="005F70DE" w:rsidP="005F70DE">
    <w:pPr>
      <w:pStyle w:val="Footer"/>
      <w:ind w:right="396"/>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17</w:t>
    </w:r>
    <w:r w:rsidRPr="005841A3">
      <w:rPr>
        <w:b/>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9C997" w14:textId="77777777" w:rsidR="00DF6131" w:rsidRDefault="00DF6131" w:rsidP="00441061">
      <w:r>
        <w:separator/>
      </w:r>
    </w:p>
  </w:footnote>
  <w:footnote w:type="continuationSeparator" w:id="0">
    <w:p w14:paraId="710AABBC" w14:textId="77777777" w:rsidR="00DF6131" w:rsidRDefault="00DF6131" w:rsidP="00441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07622" w:rsidRPr="00F7731C" w14:paraId="0B9D6E76" w14:textId="77777777" w:rsidTr="00103687">
      <w:trPr>
        <w:trHeight w:hRule="exact" w:val="864"/>
      </w:trPr>
      <w:tc>
        <w:tcPr>
          <w:tcW w:w="4838" w:type="dxa"/>
          <w:shd w:val="clear" w:color="auto" w:fill="auto"/>
          <w:vAlign w:val="bottom"/>
        </w:tcPr>
        <w:p w14:paraId="65A5E519" w14:textId="77777777" w:rsidR="00F07622" w:rsidRPr="00F7731C" w:rsidRDefault="00F07622" w:rsidP="005B497B">
          <w:pPr>
            <w:tabs>
              <w:tab w:val="center" w:pos="4320"/>
              <w:tab w:val="right" w:pos="8640"/>
            </w:tabs>
            <w:rPr>
              <w:rFonts w:eastAsiaTheme="minorHAnsi"/>
              <w:noProof/>
              <w:sz w:val="17"/>
            </w:rPr>
          </w:pPr>
        </w:p>
      </w:tc>
      <w:tc>
        <w:tcPr>
          <w:tcW w:w="5028" w:type="dxa"/>
          <w:shd w:val="clear" w:color="auto" w:fill="auto"/>
          <w:vAlign w:val="bottom"/>
        </w:tcPr>
        <w:p w14:paraId="2852CD5F" w14:textId="22178A99" w:rsidR="00F07622" w:rsidRPr="00F7731C" w:rsidRDefault="00F07622" w:rsidP="005B497B">
          <w:pPr>
            <w:tabs>
              <w:tab w:val="center" w:pos="4320"/>
              <w:tab w:val="right" w:pos="8640"/>
            </w:tabs>
            <w:spacing w:after="80"/>
            <w:jc w:val="right"/>
            <w:rPr>
              <w:rFonts w:eastAsiaTheme="minorHAnsi"/>
              <w:b/>
              <w:noProof/>
              <w:sz w:val="17"/>
            </w:rPr>
          </w:pPr>
          <w:r>
            <w:rPr>
              <w:rFonts w:eastAsiaTheme="minorHAnsi"/>
              <w:b/>
              <w:noProof/>
              <w:sz w:val="17"/>
            </w:rPr>
            <w:t>DP/DCP/BLR/4</w:t>
          </w:r>
        </w:p>
      </w:tc>
    </w:tr>
  </w:tbl>
  <w:p w14:paraId="2440D553" w14:textId="77999C71" w:rsidR="00F07622" w:rsidRPr="00916E69" w:rsidRDefault="00F07622">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F07622" w:rsidRPr="00121451" w14:paraId="045E07C1" w14:textId="77777777" w:rsidTr="00103687">
      <w:trPr>
        <w:trHeight w:hRule="exact" w:val="864"/>
      </w:trPr>
      <w:tc>
        <w:tcPr>
          <w:tcW w:w="1267" w:type="dxa"/>
          <w:tcBorders>
            <w:bottom w:val="single" w:sz="4" w:space="0" w:color="auto"/>
          </w:tcBorders>
          <w:shd w:val="clear" w:color="auto" w:fill="auto"/>
          <w:vAlign w:val="bottom"/>
        </w:tcPr>
        <w:p w14:paraId="00691BBA" w14:textId="77777777" w:rsidR="00F07622" w:rsidRPr="00121451" w:rsidRDefault="00F07622" w:rsidP="001F43F0">
          <w:pPr>
            <w:tabs>
              <w:tab w:val="center" w:pos="4320"/>
              <w:tab w:val="right" w:pos="8640"/>
            </w:tabs>
            <w:spacing w:after="120"/>
            <w:rPr>
              <w:rFonts w:eastAsiaTheme="minorHAnsi"/>
              <w:noProof/>
              <w:sz w:val="17"/>
            </w:rPr>
          </w:pPr>
        </w:p>
      </w:tc>
      <w:tc>
        <w:tcPr>
          <w:tcW w:w="1872" w:type="dxa"/>
          <w:tcBorders>
            <w:bottom w:val="single" w:sz="4" w:space="0" w:color="auto"/>
          </w:tcBorders>
          <w:shd w:val="clear" w:color="auto" w:fill="auto"/>
          <w:vAlign w:val="bottom"/>
        </w:tcPr>
        <w:p w14:paraId="5B596604" w14:textId="77777777" w:rsidR="00F07622" w:rsidRPr="00121451" w:rsidRDefault="00F07622" w:rsidP="001F43F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eastAsiaTheme="minorHAnsi"/>
              <w:spacing w:val="2"/>
              <w:w w:val="96"/>
              <w:kern w:val="14"/>
              <w:sz w:val="28"/>
              <w:lang w:val="en-GB"/>
            </w:rPr>
          </w:pPr>
          <w:r w:rsidRPr="00121451">
            <w:rPr>
              <w:rFonts w:eastAsiaTheme="minorHAnsi"/>
              <w:spacing w:val="2"/>
              <w:w w:val="96"/>
              <w:kern w:val="14"/>
              <w:sz w:val="28"/>
              <w:lang w:val="en-GB"/>
            </w:rPr>
            <w:t>United Nations</w:t>
          </w:r>
        </w:p>
      </w:tc>
      <w:tc>
        <w:tcPr>
          <w:tcW w:w="245" w:type="dxa"/>
          <w:tcBorders>
            <w:bottom w:val="single" w:sz="4" w:space="0" w:color="auto"/>
          </w:tcBorders>
          <w:shd w:val="clear" w:color="auto" w:fill="auto"/>
          <w:vAlign w:val="bottom"/>
        </w:tcPr>
        <w:p w14:paraId="0FAB912F" w14:textId="77777777" w:rsidR="00F07622" w:rsidRPr="00121451" w:rsidRDefault="00F07622" w:rsidP="001F43F0">
          <w:pPr>
            <w:tabs>
              <w:tab w:val="center" w:pos="4320"/>
              <w:tab w:val="right" w:pos="8640"/>
            </w:tabs>
            <w:spacing w:after="120"/>
            <w:rPr>
              <w:rFonts w:eastAsiaTheme="minorHAnsi"/>
              <w:noProof/>
              <w:sz w:val="17"/>
            </w:rPr>
          </w:pPr>
        </w:p>
      </w:tc>
      <w:tc>
        <w:tcPr>
          <w:tcW w:w="6523" w:type="dxa"/>
          <w:gridSpan w:val="4"/>
          <w:tcBorders>
            <w:bottom w:val="single" w:sz="4" w:space="0" w:color="auto"/>
          </w:tcBorders>
          <w:shd w:val="clear" w:color="auto" w:fill="auto"/>
          <w:vAlign w:val="bottom"/>
        </w:tcPr>
        <w:p w14:paraId="43ED5EE3" w14:textId="0D5BA860" w:rsidR="00F07622" w:rsidRPr="00121451" w:rsidRDefault="00F07622" w:rsidP="001F43F0">
          <w:pPr>
            <w:suppressAutoHyphens/>
            <w:spacing w:after="80"/>
            <w:jc w:val="right"/>
            <w:rPr>
              <w:rFonts w:eastAsiaTheme="minorHAnsi"/>
              <w:spacing w:val="4"/>
              <w:w w:val="103"/>
              <w:kern w:val="14"/>
              <w:position w:val="-4"/>
              <w:lang w:val="en-GB"/>
            </w:rPr>
          </w:pPr>
          <w:r w:rsidRPr="00121451">
            <w:rPr>
              <w:rFonts w:eastAsiaTheme="minorHAnsi"/>
              <w:spacing w:val="4"/>
              <w:w w:val="103"/>
              <w:kern w:val="14"/>
              <w:position w:val="-4"/>
              <w:sz w:val="40"/>
              <w:lang w:val="en-GB"/>
            </w:rPr>
            <w:t>DP</w:t>
          </w:r>
          <w:r w:rsidRPr="00121451">
            <w:rPr>
              <w:rFonts w:eastAsiaTheme="minorHAnsi"/>
              <w:spacing w:val="4"/>
              <w:w w:val="103"/>
              <w:kern w:val="14"/>
              <w:position w:val="-4"/>
              <w:lang w:val="en-GB"/>
            </w:rPr>
            <w:t>/DCP/</w:t>
          </w:r>
          <w:r>
            <w:rPr>
              <w:rFonts w:eastAsiaTheme="minorHAnsi"/>
              <w:spacing w:val="4"/>
              <w:w w:val="103"/>
              <w:kern w:val="14"/>
              <w:position w:val="-4"/>
              <w:lang w:val="en-GB"/>
            </w:rPr>
            <w:t>BLR</w:t>
          </w:r>
          <w:r w:rsidRPr="00121451">
            <w:rPr>
              <w:rFonts w:eastAsiaTheme="minorHAnsi"/>
              <w:spacing w:val="4"/>
              <w:w w:val="103"/>
              <w:kern w:val="14"/>
              <w:position w:val="-4"/>
              <w:lang w:val="en-GB"/>
            </w:rPr>
            <w:t>/</w:t>
          </w:r>
          <w:r>
            <w:rPr>
              <w:rFonts w:eastAsiaTheme="minorHAnsi"/>
              <w:spacing w:val="4"/>
              <w:w w:val="103"/>
              <w:kern w:val="14"/>
              <w:position w:val="-4"/>
              <w:lang w:val="en-GB"/>
            </w:rPr>
            <w:t>4</w:t>
          </w:r>
        </w:p>
      </w:tc>
    </w:tr>
    <w:tr w:rsidR="00F07622" w:rsidRPr="00121451" w14:paraId="5BF33C5F" w14:textId="77777777" w:rsidTr="00103687">
      <w:trPr>
        <w:gridAfter w:val="1"/>
        <w:wAfter w:w="28" w:type="dxa"/>
        <w:trHeight w:hRule="exact" w:val="2880"/>
      </w:trPr>
      <w:tc>
        <w:tcPr>
          <w:tcW w:w="1267" w:type="dxa"/>
          <w:tcBorders>
            <w:top w:val="single" w:sz="4" w:space="0" w:color="auto"/>
            <w:bottom w:val="single" w:sz="12" w:space="0" w:color="auto"/>
          </w:tcBorders>
          <w:shd w:val="clear" w:color="auto" w:fill="auto"/>
        </w:tcPr>
        <w:p w14:paraId="265C3010" w14:textId="77777777" w:rsidR="00F07622" w:rsidRPr="00121451" w:rsidRDefault="00F07622" w:rsidP="001F43F0">
          <w:pPr>
            <w:tabs>
              <w:tab w:val="center" w:pos="4320"/>
              <w:tab w:val="right" w:pos="8640"/>
            </w:tabs>
            <w:spacing w:before="120"/>
            <w:jc w:val="center"/>
            <w:rPr>
              <w:rFonts w:eastAsiaTheme="minorHAnsi"/>
              <w:noProof/>
              <w:sz w:val="17"/>
            </w:rPr>
          </w:pPr>
          <w:r w:rsidRPr="00121451">
            <w:rPr>
              <w:rFonts w:eastAsiaTheme="minorHAnsi"/>
              <w:noProof/>
              <w:sz w:val="17"/>
            </w:rPr>
            <w:t xml:space="preserve"> </w:t>
          </w:r>
          <w:r w:rsidRPr="00121451">
            <w:rPr>
              <w:rFonts w:eastAsiaTheme="minorHAnsi"/>
              <w:noProof/>
              <w:sz w:val="17"/>
            </w:rPr>
            <w:drawing>
              <wp:inline distT="0" distB="0" distL="0" distR="0" wp14:anchorId="1D5FEAE5" wp14:editId="03C319A1">
                <wp:extent cx="713232" cy="597103"/>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9AC8B16" w14:textId="77777777" w:rsidR="00F07622" w:rsidRPr="00121451" w:rsidRDefault="00F07622" w:rsidP="001F43F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line="330" w:lineRule="exact"/>
            <w:outlineLvl w:val="0"/>
            <w:rPr>
              <w:rFonts w:eastAsiaTheme="minorHAnsi"/>
              <w:b/>
              <w:spacing w:val="-4"/>
              <w:w w:val="98"/>
              <w:kern w:val="14"/>
              <w:sz w:val="34"/>
              <w:lang w:val="en-GB"/>
            </w:rPr>
          </w:pPr>
          <w:r w:rsidRPr="00121451">
            <w:rPr>
              <w:rFonts w:eastAsiaTheme="minorHAnsi"/>
              <w:b/>
              <w:spacing w:val="-4"/>
              <w:w w:val="98"/>
              <w:kern w:val="14"/>
              <w:sz w:val="34"/>
              <w:lang w:val="en-GB"/>
            </w:rPr>
            <w:t>Executive Board of the</w:t>
          </w:r>
          <w:r w:rsidRPr="00121451">
            <w:rPr>
              <w:rFonts w:eastAsiaTheme="minorHAnsi"/>
              <w:b/>
              <w:spacing w:val="-4"/>
              <w:w w:val="98"/>
              <w:kern w:val="14"/>
              <w:sz w:val="34"/>
              <w:lang w:val="en-GB"/>
            </w:rPr>
            <w:br/>
            <w:t>United Nations Development</w:t>
          </w:r>
          <w:r w:rsidRPr="00121451">
            <w:rPr>
              <w:rFonts w:eastAsiaTheme="minorHAnsi"/>
              <w:b/>
              <w:spacing w:val="-4"/>
              <w:w w:val="98"/>
              <w:kern w:val="14"/>
              <w:sz w:val="34"/>
              <w:lang w:val="en-GB"/>
            </w:rPr>
            <w:br/>
            <w:t>Programme, the United Nations</w:t>
          </w:r>
          <w:r w:rsidRPr="00121451">
            <w:rPr>
              <w:rFonts w:eastAsiaTheme="minorHAnsi"/>
              <w:b/>
              <w:spacing w:val="-4"/>
              <w:w w:val="98"/>
              <w:kern w:val="14"/>
              <w:sz w:val="34"/>
              <w:lang w:val="en-GB"/>
            </w:rPr>
            <w:br/>
            <w:t xml:space="preserve">Population Fund and the </w:t>
          </w:r>
          <w:r w:rsidRPr="00121451">
            <w:rPr>
              <w:rFonts w:eastAsiaTheme="minorHAnsi"/>
              <w:b/>
              <w:spacing w:val="-4"/>
              <w:w w:val="98"/>
              <w:kern w:val="14"/>
              <w:sz w:val="34"/>
              <w:lang w:val="en-GB"/>
            </w:rPr>
            <w:br/>
            <w:t>United Nations Office for</w:t>
          </w:r>
          <w:r w:rsidRPr="00121451">
            <w:rPr>
              <w:rFonts w:eastAsiaTheme="minorHAnsi"/>
              <w:b/>
              <w:spacing w:val="-4"/>
              <w:w w:val="98"/>
              <w:kern w:val="14"/>
              <w:sz w:val="34"/>
              <w:lang w:val="en-GB"/>
            </w:rPr>
            <w:br/>
            <w:t>Project Services</w:t>
          </w:r>
        </w:p>
      </w:tc>
      <w:tc>
        <w:tcPr>
          <w:tcW w:w="245" w:type="dxa"/>
          <w:tcBorders>
            <w:top w:val="single" w:sz="4" w:space="0" w:color="auto"/>
            <w:bottom w:val="single" w:sz="12" w:space="0" w:color="auto"/>
          </w:tcBorders>
          <w:shd w:val="clear" w:color="auto" w:fill="auto"/>
        </w:tcPr>
        <w:p w14:paraId="2B60AA74" w14:textId="77777777" w:rsidR="00F07622" w:rsidRPr="00121451" w:rsidRDefault="00F07622" w:rsidP="001F43F0">
          <w:pPr>
            <w:tabs>
              <w:tab w:val="center" w:pos="4320"/>
              <w:tab w:val="right" w:pos="8640"/>
            </w:tabs>
            <w:spacing w:before="109"/>
            <w:rPr>
              <w:rFonts w:eastAsiaTheme="minorHAnsi"/>
              <w:noProof/>
              <w:sz w:val="17"/>
            </w:rPr>
          </w:pPr>
        </w:p>
      </w:tc>
      <w:tc>
        <w:tcPr>
          <w:tcW w:w="3140" w:type="dxa"/>
          <w:tcBorders>
            <w:top w:val="single" w:sz="4" w:space="0" w:color="auto"/>
            <w:bottom w:val="single" w:sz="12" w:space="0" w:color="auto"/>
          </w:tcBorders>
          <w:shd w:val="clear" w:color="auto" w:fill="auto"/>
        </w:tcPr>
        <w:p w14:paraId="3677E75A" w14:textId="77777777" w:rsidR="00F07622" w:rsidRPr="00121451" w:rsidRDefault="00F07622" w:rsidP="001F43F0">
          <w:pPr>
            <w:spacing w:before="240"/>
            <w:rPr>
              <w:rFonts w:eastAsiaTheme="minorHAnsi"/>
              <w:color w:val="010000"/>
              <w:spacing w:val="4"/>
              <w:w w:val="103"/>
              <w:kern w:val="14"/>
              <w:lang w:val="en-GB"/>
            </w:rPr>
          </w:pPr>
          <w:r w:rsidRPr="00121451">
            <w:rPr>
              <w:rFonts w:eastAsiaTheme="minorHAnsi"/>
              <w:color w:val="010000"/>
              <w:spacing w:val="4"/>
              <w:w w:val="103"/>
              <w:kern w:val="14"/>
              <w:lang w:val="en-GB"/>
            </w:rPr>
            <w:t>Distr.: General</w:t>
          </w:r>
        </w:p>
        <w:p w14:paraId="30F33EEA" w14:textId="7394D68E" w:rsidR="00F07622" w:rsidRPr="00121451" w:rsidRDefault="001E463A" w:rsidP="001F43F0">
          <w:pPr>
            <w:rPr>
              <w:rFonts w:eastAsiaTheme="minorHAnsi"/>
              <w:color w:val="010000"/>
              <w:spacing w:val="4"/>
              <w:w w:val="103"/>
              <w:kern w:val="14"/>
              <w:lang w:val="en-GB"/>
            </w:rPr>
          </w:pPr>
          <w:r>
            <w:rPr>
              <w:rFonts w:eastAsiaTheme="minorHAnsi"/>
              <w:color w:val="010000"/>
              <w:spacing w:val="4"/>
              <w:w w:val="103"/>
              <w:kern w:val="14"/>
              <w:lang w:val="en-GB"/>
            </w:rPr>
            <w:t>17</w:t>
          </w:r>
          <w:r w:rsidR="00F07622">
            <w:rPr>
              <w:rFonts w:eastAsiaTheme="minorHAnsi"/>
              <w:color w:val="010000"/>
              <w:spacing w:val="4"/>
              <w:w w:val="103"/>
              <w:kern w:val="14"/>
              <w:lang w:val="en-GB"/>
            </w:rPr>
            <w:t xml:space="preserve"> </w:t>
          </w:r>
          <w:r w:rsidR="00F827B8">
            <w:rPr>
              <w:rFonts w:eastAsiaTheme="minorHAnsi"/>
              <w:color w:val="010000"/>
              <w:spacing w:val="4"/>
              <w:w w:val="103"/>
              <w:kern w:val="14"/>
              <w:lang w:val="en-GB"/>
            </w:rPr>
            <w:t>June</w:t>
          </w:r>
          <w:r w:rsidR="00F07622" w:rsidRPr="00121451">
            <w:rPr>
              <w:rFonts w:eastAsiaTheme="minorHAnsi"/>
              <w:color w:val="010000"/>
              <w:spacing w:val="4"/>
              <w:w w:val="103"/>
              <w:kern w:val="14"/>
              <w:lang w:val="en-GB"/>
            </w:rPr>
            <w:t xml:space="preserve"> 20</w:t>
          </w:r>
          <w:r w:rsidR="00F07622">
            <w:rPr>
              <w:rFonts w:eastAsiaTheme="minorHAnsi"/>
              <w:color w:val="010000"/>
              <w:spacing w:val="4"/>
              <w:w w:val="103"/>
              <w:kern w:val="14"/>
              <w:lang w:val="en-GB"/>
            </w:rPr>
            <w:t>20</w:t>
          </w:r>
        </w:p>
        <w:p w14:paraId="7EC15AF7" w14:textId="77777777" w:rsidR="00F07622" w:rsidRPr="00121451" w:rsidRDefault="00F07622" w:rsidP="001F43F0">
          <w:pPr>
            <w:suppressAutoHyphens/>
            <w:spacing w:line="240" w:lineRule="exact"/>
            <w:rPr>
              <w:rFonts w:eastAsiaTheme="minorHAnsi"/>
              <w:spacing w:val="4"/>
              <w:w w:val="103"/>
              <w:kern w:val="14"/>
              <w:lang w:val="en-GB"/>
            </w:rPr>
          </w:pPr>
        </w:p>
        <w:p w14:paraId="5ACBAC44" w14:textId="77777777" w:rsidR="00F07622" w:rsidRPr="00121451" w:rsidRDefault="00F07622" w:rsidP="001F43F0">
          <w:pPr>
            <w:rPr>
              <w:rFonts w:eastAsiaTheme="minorHAnsi"/>
              <w:color w:val="010000"/>
              <w:spacing w:val="4"/>
              <w:w w:val="103"/>
              <w:kern w:val="14"/>
              <w:lang w:val="en-GB"/>
            </w:rPr>
          </w:pPr>
          <w:r w:rsidRPr="00121451">
            <w:rPr>
              <w:rFonts w:eastAsiaTheme="minorHAnsi"/>
              <w:color w:val="010000"/>
              <w:spacing w:val="4"/>
              <w:w w:val="103"/>
              <w:kern w:val="14"/>
              <w:lang w:val="en-GB"/>
            </w:rPr>
            <w:t>Original: English</w:t>
          </w:r>
        </w:p>
        <w:p w14:paraId="529C9454" w14:textId="77777777" w:rsidR="00F07622" w:rsidRPr="00121451" w:rsidRDefault="00F07622" w:rsidP="001F43F0">
          <w:pPr>
            <w:suppressAutoHyphens/>
            <w:spacing w:line="240" w:lineRule="exact"/>
            <w:rPr>
              <w:rFonts w:eastAsiaTheme="minorHAnsi"/>
              <w:spacing w:val="4"/>
              <w:w w:val="103"/>
              <w:kern w:val="14"/>
              <w:lang w:val="en-GB"/>
            </w:rPr>
          </w:pPr>
        </w:p>
      </w:tc>
    </w:tr>
  </w:tbl>
  <w:p w14:paraId="2440D565" w14:textId="77777777" w:rsidR="00F07622" w:rsidRPr="001F43F0" w:rsidRDefault="00F07622" w:rsidP="001F43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07622" w:rsidRPr="00757F48" w14:paraId="106FCBFA" w14:textId="77777777" w:rsidTr="00103687">
      <w:trPr>
        <w:trHeight w:hRule="exact" w:val="864"/>
      </w:trPr>
      <w:tc>
        <w:tcPr>
          <w:tcW w:w="4838" w:type="dxa"/>
          <w:shd w:val="clear" w:color="auto" w:fill="auto"/>
          <w:vAlign w:val="bottom"/>
        </w:tcPr>
        <w:p w14:paraId="70853E7A" w14:textId="230F243E" w:rsidR="00F07622" w:rsidRPr="00757F48" w:rsidRDefault="00F07622" w:rsidP="005B497B">
          <w:pPr>
            <w:tabs>
              <w:tab w:val="center" w:pos="4320"/>
              <w:tab w:val="right" w:pos="8640"/>
            </w:tabs>
            <w:spacing w:after="80"/>
            <w:rPr>
              <w:rFonts w:eastAsiaTheme="minorHAnsi"/>
              <w:b/>
              <w:noProof/>
              <w:sz w:val="17"/>
            </w:rPr>
          </w:pPr>
          <w:r>
            <w:rPr>
              <w:rFonts w:eastAsiaTheme="minorHAnsi"/>
              <w:b/>
              <w:noProof/>
              <w:sz w:val="17"/>
            </w:rPr>
            <w:t>DP/DCP/BLR/4</w:t>
          </w:r>
        </w:p>
      </w:tc>
      <w:tc>
        <w:tcPr>
          <w:tcW w:w="5028" w:type="dxa"/>
          <w:shd w:val="clear" w:color="auto" w:fill="auto"/>
          <w:vAlign w:val="bottom"/>
        </w:tcPr>
        <w:p w14:paraId="42BAB99E" w14:textId="77777777" w:rsidR="00F07622" w:rsidRPr="00757F48" w:rsidRDefault="00F07622" w:rsidP="005B497B">
          <w:pPr>
            <w:tabs>
              <w:tab w:val="center" w:pos="4320"/>
              <w:tab w:val="right" w:pos="8640"/>
            </w:tabs>
            <w:rPr>
              <w:rFonts w:eastAsiaTheme="minorHAnsi"/>
              <w:noProof/>
              <w:sz w:val="17"/>
            </w:rPr>
          </w:pPr>
        </w:p>
      </w:tc>
    </w:tr>
  </w:tbl>
  <w:p w14:paraId="0163E643" w14:textId="77777777" w:rsidR="00F07622" w:rsidRDefault="00F07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07622" w:rsidRPr="00757F48" w14:paraId="363A3EBB" w14:textId="77777777" w:rsidTr="00103687">
      <w:trPr>
        <w:trHeight w:hRule="exact" w:val="864"/>
      </w:trPr>
      <w:tc>
        <w:tcPr>
          <w:tcW w:w="4838" w:type="dxa"/>
          <w:shd w:val="clear" w:color="auto" w:fill="auto"/>
          <w:vAlign w:val="bottom"/>
        </w:tcPr>
        <w:p w14:paraId="224050C1" w14:textId="77777777" w:rsidR="00F07622" w:rsidRPr="00757F48" w:rsidRDefault="00F07622" w:rsidP="001551D6">
          <w:pPr>
            <w:tabs>
              <w:tab w:val="center" w:pos="4320"/>
              <w:tab w:val="right" w:pos="8640"/>
            </w:tabs>
            <w:spacing w:after="80"/>
            <w:rPr>
              <w:rFonts w:eastAsiaTheme="minorHAnsi"/>
              <w:b/>
              <w:noProof/>
              <w:sz w:val="17"/>
            </w:rPr>
          </w:pPr>
          <w:r>
            <w:rPr>
              <w:rFonts w:eastAsiaTheme="minorHAnsi"/>
              <w:b/>
              <w:noProof/>
              <w:sz w:val="17"/>
            </w:rPr>
            <w:t>DP/DCP/BLR/4</w:t>
          </w:r>
        </w:p>
      </w:tc>
      <w:tc>
        <w:tcPr>
          <w:tcW w:w="5028" w:type="dxa"/>
          <w:shd w:val="clear" w:color="auto" w:fill="auto"/>
          <w:vAlign w:val="bottom"/>
        </w:tcPr>
        <w:p w14:paraId="1866AE52" w14:textId="77777777" w:rsidR="00F07622" w:rsidRPr="00757F48" w:rsidRDefault="00F07622" w:rsidP="001551D6">
          <w:pPr>
            <w:tabs>
              <w:tab w:val="center" w:pos="4320"/>
              <w:tab w:val="right" w:pos="8640"/>
            </w:tabs>
            <w:rPr>
              <w:rFonts w:eastAsiaTheme="minorHAnsi"/>
              <w:noProof/>
              <w:sz w:val="17"/>
            </w:rPr>
          </w:pPr>
        </w:p>
      </w:tc>
    </w:tr>
  </w:tbl>
  <w:p w14:paraId="2B3C9D5B" w14:textId="77777777" w:rsidR="00F07622" w:rsidRPr="001F43F0" w:rsidRDefault="00F07622" w:rsidP="001F43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6A" w14:textId="77777777" w:rsidR="00F07622" w:rsidRDefault="00F07622">
    <w:pPr>
      <w:pStyle w:val="Header"/>
    </w:pPr>
    <w:r>
      <w:rPr>
        <w:noProof/>
        <w:lang w:val="en-US" w:eastAsia="en-US"/>
      </w:rPr>
      <mc:AlternateContent>
        <mc:Choice Requires="wps">
          <w:drawing>
            <wp:anchor distT="0" distB="0" distL="114300" distR="114300" simplePos="0" relativeHeight="251657216" behindDoc="0" locked="0" layoutInCell="0" allowOverlap="1" wp14:anchorId="2440D56D" wp14:editId="1720C92B">
              <wp:simplePos x="0" y="0"/>
              <wp:positionH relativeFrom="column">
                <wp:posOffset>30480</wp:posOffset>
              </wp:positionH>
              <wp:positionV relativeFrom="paragraph">
                <wp:posOffset>-304800</wp:posOffset>
              </wp:positionV>
              <wp:extent cx="8258175" cy="640080"/>
              <wp:effectExtent l="0" t="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817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F07622" w:rsidRPr="005841A3" w14:paraId="2440D571" w14:textId="77777777">
                            <w:trPr>
                              <w:trHeight w:hRule="exact" w:val="864"/>
                            </w:trPr>
                            <w:tc>
                              <w:tcPr>
                                <w:tcW w:w="4838" w:type="dxa"/>
                                <w:tcBorders>
                                  <w:bottom w:val="single" w:sz="4" w:space="0" w:color="auto"/>
                                </w:tcBorders>
                                <w:vAlign w:val="bottom"/>
                              </w:tcPr>
                              <w:p w14:paraId="2440D56F" w14:textId="3D880E63" w:rsidR="00F07622" w:rsidRPr="007C6F85" w:rsidRDefault="00F07622"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BLR/4</w:t>
                                </w:r>
                              </w:p>
                            </w:tc>
                            <w:tc>
                              <w:tcPr>
                                <w:tcW w:w="8276" w:type="dxa"/>
                                <w:tcBorders>
                                  <w:bottom w:val="single" w:sz="4" w:space="0" w:color="auto"/>
                                </w:tcBorders>
                                <w:vAlign w:val="bottom"/>
                              </w:tcPr>
                              <w:p w14:paraId="2440D570" w14:textId="77777777" w:rsidR="00F07622" w:rsidRPr="007C6F85" w:rsidRDefault="00F07622">
                                <w:pPr>
                                  <w:pStyle w:val="Header"/>
                                  <w:rPr>
                                    <w:rFonts w:ascii="Times New Roman" w:hAnsi="Times New Roman"/>
                                    <w:sz w:val="17"/>
                                    <w:szCs w:val="17"/>
                                    <w:lang w:val="en-US" w:eastAsia="en-US"/>
                                  </w:rPr>
                                </w:pPr>
                              </w:p>
                            </w:tc>
                          </w:tr>
                        </w:tbl>
                        <w:p w14:paraId="2440D572" w14:textId="77777777" w:rsidR="00F07622" w:rsidRDefault="00F0762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440D56D" id="_x0000_t202" coordsize="21600,21600" o:spt="202" path="m,l,21600r21600,l21600,xe">
              <v:stroke joinstyle="miter"/>
              <v:path gradientshapeok="t" o:connecttype="rect"/>
            </v:shapetype>
            <v:shape id="Text Box 2" o:spid="_x0000_s1026" type="#_x0000_t202" style="position:absolute;margin-left:2.4pt;margin-top:-24pt;width:650.25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F07622" w:rsidRPr="005841A3" w14:paraId="2440D571" w14:textId="77777777">
                      <w:trPr>
                        <w:trHeight w:hRule="exact" w:val="864"/>
                      </w:trPr>
                      <w:tc>
                        <w:tcPr>
                          <w:tcW w:w="4838" w:type="dxa"/>
                          <w:tcBorders>
                            <w:bottom w:val="single" w:sz="4" w:space="0" w:color="auto"/>
                          </w:tcBorders>
                          <w:vAlign w:val="bottom"/>
                        </w:tcPr>
                        <w:p w14:paraId="2440D56F" w14:textId="3D880E63" w:rsidR="00F07622" w:rsidRPr="007C6F85" w:rsidRDefault="00F07622"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BLR/4</w:t>
                          </w:r>
                        </w:p>
                      </w:tc>
                      <w:tc>
                        <w:tcPr>
                          <w:tcW w:w="8276" w:type="dxa"/>
                          <w:tcBorders>
                            <w:bottom w:val="single" w:sz="4" w:space="0" w:color="auto"/>
                          </w:tcBorders>
                          <w:vAlign w:val="bottom"/>
                        </w:tcPr>
                        <w:p w14:paraId="2440D570" w14:textId="77777777" w:rsidR="00F07622" w:rsidRPr="007C6F85" w:rsidRDefault="00F07622">
                          <w:pPr>
                            <w:pStyle w:val="Header"/>
                            <w:rPr>
                              <w:rFonts w:ascii="Times New Roman" w:hAnsi="Times New Roman"/>
                              <w:sz w:val="17"/>
                              <w:szCs w:val="17"/>
                              <w:lang w:val="en-US" w:eastAsia="en-US"/>
                            </w:rPr>
                          </w:pPr>
                        </w:p>
                      </w:tc>
                    </w:tr>
                  </w:tbl>
                  <w:p w14:paraId="2440D572" w14:textId="77777777" w:rsidR="00F07622" w:rsidRDefault="00F07622"/>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0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212"/>
    </w:tblGrid>
    <w:tr w:rsidR="00F07622" w:rsidRPr="00F7731C" w14:paraId="283C5C5A" w14:textId="77777777" w:rsidTr="00253DEA">
      <w:trPr>
        <w:trHeight w:hRule="exact" w:val="864"/>
      </w:trPr>
      <w:tc>
        <w:tcPr>
          <w:tcW w:w="4838" w:type="dxa"/>
          <w:shd w:val="clear" w:color="auto" w:fill="auto"/>
          <w:vAlign w:val="bottom"/>
        </w:tcPr>
        <w:p w14:paraId="7F39BE17" w14:textId="77777777" w:rsidR="00F07622" w:rsidRPr="00F7731C" w:rsidRDefault="00F07622" w:rsidP="005B497B">
          <w:pPr>
            <w:tabs>
              <w:tab w:val="center" w:pos="4320"/>
              <w:tab w:val="right" w:pos="8640"/>
            </w:tabs>
            <w:rPr>
              <w:rFonts w:eastAsiaTheme="minorHAnsi"/>
              <w:noProof/>
              <w:sz w:val="17"/>
            </w:rPr>
          </w:pPr>
        </w:p>
      </w:tc>
      <w:tc>
        <w:tcPr>
          <w:tcW w:w="8212" w:type="dxa"/>
          <w:shd w:val="clear" w:color="auto" w:fill="auto"/>
          <w:vAlign w:val="bottom"/>
        </w:tcPr>
        <w:p w14:paraId="653E75DC" w14:textId="77777777" w:rsidR="00F07622" w:rsidRPr="00F7731C" w:rsidRDefault="00F07622" w:rsidP="005B497B">
          <w:pPr>
            <w:tabs>
              <w:tab w:val="center" w:pos="4320"/>
              <w:tab w:val="right" w:pos="8640"/>
            </w:tabs>
            <w:spacing w:after="80"/>
            <w:jc w:val="right"/>
            <w:rPr>
              <w:rFonts w:eastAsiaTheme="minorHAnsi"/>
              <w:b/>
              <w:noProof/>
              <w:sz w:val="17"/>
            </w:rPr>
          </w:pPr>
          <w:r>
            <w:rPr>
              <w:rFonts w:eastAsiaTheme="minorHAnsi"/>
              <w:b/>
              <w:noProof/>
              <w:sz w:val="17"/>
            </w:rPr>
            <w:t>DP/DCP/BLR/4</w:t>
          </w:r>
        </w:p>
      </w:tc>
    </w:tr>
  </w:tbl>
  <w:p w14:paraId="2EAFC3F6" w14:textId="77777777" w:rsidR="00F07622" w:rsidRPr="00916E69" w:rsidRDefault="00F07622">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50BC7"/>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DD44160"/>
    <w:multiLevelType w:val="hybridMultilevel"/>
    <w:tmpl w:val="A4920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F012BC"/>
    <w:multiLevelType w:val="hybridMultilevel"/>
    <w:tmpl w:val="AEBAA3C0"/>
    <w:lvl w:ilvl="0" w:tplc="4418B0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E0260"/>
    <w:multiLevelType w:val="hybridMultilevel"/>
    <w:tmpl w:val="992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C5E98"/>
    <w:multiLevelType w:val="hybridMultilevel"/>
    <w:tmpl w:val="4E7A24A8"/>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AC72F0"/>
    <w:multiLevelType w:val="hybridMultilevel"/>
    <w:tmpl w:val="4B4ACAF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188C67E7"/>
    <w:multiLevelType w:val="hybridMultilevel"/>
    <w:tmpl w:val="C86A47E0"/>
    <w:lvl w:ilvl="0" w:tplc="0C8EE990">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F12972"/>
    <w:multiLevelType w:val="multilevel"/>
    <w:tmpl w:val="8528D00C"/>
    <w:lvl w:ilvl="0">
      <w:start w:val="1"/>
      <w:numFmt w:val="bullet"/>
      <w:lvlText w:val="o"/>
      <w:lvlJc w:val="left"/>
      <w:pPr>
        <w:tabs>
          <w:tab w:val="num" w:pos="1140"/>
        </w:tabs>
        <w:ind w:left="1140" w:hanging="570"/>
      </w:pPr>
      <w:rPr>
        <w:rFonts w:ascii="Courier New" w:hAnsi="Courier New" w:cs="Courier New" w:hint="default"/>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650"/>
        </w:tabs>
        <w:ind w:left="1650"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010"/>
        </w:tabs>
        <w:ind w:left="2010" w:hanging="1440"/>
      </w:pPr>
      <w:rPr>
        <w:rFonts w:hint="default"/>
      </w:rPr>
    </w:lvl>
    <w:lvl w:ilvl="7">
      <w:start w:val="1"/>
      <w:numFmt w:val="decimal"/>
      <w:lvlText w:val="%1.%2.%3.%4.%5.%6.%7.%8"/>
      <w:lvlJc w:val="left"/>
      <w:pPr>
        <w:tabs>
          <w:tab w:val="num" w:pos="2010"/>
        </w:tabs>
        <w:ind w:left="2010" w:hanging="1440"/>
      </w:pPr>
      <w:rPr>
        <w:rFonts w:hint="default"/>
      </w:rPr>
    </w:lvl>
    <w:lvl w:ilvl="8">
      <w:start w:val="1"/>
      <w:numFmt w:val="decimal"/>
      <w:lvlText w:val="%1.%2.%3.%4.%5.%6.%7.%8.%9"/>
      <w:lvlJc w:val="left"/>
      <w:pPr>
        <w:tabs>
          <w:tab w:val="num" w:pos="2010"/>
        </w:tabs>
        <w:ind w:left="2010" w:hanging="1440"/>
      </w:pPr>
      <w:rPr>
        <w:rFonts w:hint="default"/>
      </w:rPr>
    </w:lvl>
  </w:abstractNum>
  <w:abstractNum w:abstractNumId="8" w15:restartNumberingAfterBreak="0">
    <w:nsid w:val="24C42F9F"/>
    <w:multiLevelType w:val="hybridMultilevel"/>
    <w:tmpl w:val="C058A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B6AEF"/>
    <w:multiLevelType w:val="hybridMultilevel"/>
    <w:tmpl w:val="8EA2525A"/>
    <w:lvl w:ilvl="0" w:tplc="0436000F">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303115FF"/>
    <w:multiLevelType w:val="hybridMultilevel"/>
    <w:tmpl w:val="03FE75F0"/>
    <w:lvl w:ilvl="0" w:tplc="AB4E437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725E5"/>
    <w:multiLevelType w:val="hybridMultilevel"/>
    <w:tmpl w:val="FCA86D60"/>
    <w:lvl w:ilvl="0" w:tplc="04090001">
      <w:start w:val="1"/>
      <w:numFmt w:val="bullet"/>
      <w:lvlText w:val=""/>
      <w:lvlJc w:val="left"/>
      <w:pPr>
        <w:ind w:left="1620" w:hanging="360"/>
      </w:pPr>
      <w:rPr>
        <w:rFonts w:ascii="Symbol" w:hAnsi="Symbol"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3" w15:restartNumberingAfterBreak="0">
    <w:nsid w:val="347765A9"/>
    <w:multiLevelType w:val="hybridMultilevel"/>
    <w:tmpl w:val="BAA25E2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37917003"/>
    <w:multiLevelType w:val="hybridMultilevel"/>
    <w:tmpl w:val="06FC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955CF6"/>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8DD24AB"/>
    <w:multiLevelType w:val="hybridMultilevel"/>
    <w:tmpl w:val="6F360A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CF0082"/>
    <w:multiLevelType w:val="hybridMultilevel"/>
    <w:tmpl w:val="58C0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9" w15:restartNumberingAfterBreak="0">
    <w:nsid w:val="3EEC19D8"/>
    <w:multiLevelType w:val="hybridMultilevel"/>
    <w:tmpl w:val="B47EC620"/>
    <w:lvl w:ilvl="0" w:tplc="3E5844C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0" w15:restartNumberingAfterBreak="0">
    <w:nsid w:val="4321077D"/>
    <w:multiLevelType w:val="hybridMultilevel"/>
    <w:tmpl w:val="FE36E9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15:restartNumberingAfterBreak="0">
    <w:nsid w:val="461C75DB"/>
    <w:multiLevelType w:val="hybridMultilevel"/>
    <w:tmpl w:val="CCDED580"/>
    <w:lvl w:ilvl="0" w:tplc="C4127B66">
      <w:start w:val="1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465865D2"/>
    <w:multiLevelType w:val="hybridMultilevel"/>
    <w:tmpl w:val="E4C02DEE"/>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D222C4"/>
    <w:multiLevelType w:val="multilevel"/>
    <w:tmpl w:val="EFD8F9FA"/>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BE85B6D"/>
    <w:multiLevelType w:val="hybridMultilevel"/>
    <w:tmpl w:val="4CD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525E90"/>
    <w:multiLevelType w:val="hybridMultilevel"/>
    <w:tmpl w:val="010A180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7" w15:restartNumberingAfterBreak="0">
    <w:nsid w:val="4EA02372"/>
    <w:multiLevelType w:val="hybridMultilevel"/>
    <w:tmpl w:val="B6349452"/>
    <w:lvl w:ilvl="0" w:tplc="9EA0D570">
      <w:start w:val="1"/>
      <w:numFmt w:val="lowerLetter"/>
      <w:lvlText w:val="(%1)"/>
      <w:lvlJc w:val="left"/>
      <w:pPr>
        <w:ind w:left="162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8F73E7"/>
    <w:multiLevelType w:val="hybridMultilevel"/>
    <w:tmpl w:val="4B94007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0"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596F0F"/>
    <w:multiLevelType w:val="hybridMultilevel"/>
    <w:tmpl w:val="B2F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806982"/>
    <w:multiLevelType w:val="multilevel"/>
    <w:tmpl w:val="05ACE57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3"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47651CD"/>
    <w:multiLevelType w:val="hybridMultilevel"/>
    <w:tmpl w:val="B9A6A524"/>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35" w15:restartNumberingAfterBreak="0">
    <w:nsid w:val="64B66A6F"/>
    <w:multiLevelType w:val="hybridMultilevel"/>
    <w:tmpl w:val="0220F42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6" w15:restartNumberingAfterBreak="0">
    <w:nsid w:val="66D543BB"/>
    <w:multiLevelType w:val="hybridMultilevel"/>
    <w:tmpl w:val="1D140CA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37" w15:restartNumberingAfterBreak="0">
    <w:nsid w:val="674D489E"/>
    <w:multiLevelType w:val="multilevel"/>
    <w:tmpl w:val="3D6486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39"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40" w15:restartNumberingAfterBreak="0">
    <w:nsid w:val="6AD2356B"/>
    <w:multiLevelType w:val="hybridMultilevel"/>
    <w:tmpl w:val="0DACEC5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1" w15:restartNumberingAfterBreak="0">
    <w:nsid w:val="6D5A6283"/>
    <w:multiLevelType w:val="multilevel"/>
    <w:tmpl w:val="19982EC8"/>
    <w:lvl w:ilvl="0">
      <w:start w:val="1"/>
      <w:numFmt w:val="bullet"/>
      <w:lvlText w:val="o"/>
      <w:lvlJc w:val="left"/>
      <w:pPr>
        <w:tabs>
          <w:tab w:val="num" w:pos="1140"/>
        </w:tabs>
        <w:ind w:left="1140" w:hanging="570"/>
      </w:pPr>
      <w:rPr>
        <w:rFonts w:ascii="Courier New" w:hAnsi="Courier New" w:cs="Courier New" w:hint="default"/>
        <w:sz w:val="20"/>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sz w:val="20"/>
      </w:rPr>
    </w:lvl>
    <w:lvl w:ilvl="3">
      <w:start w:val="1"/>
      <w:numFmt w:val="decimal"/>
      <w:lvlText w:val="%1.%2.%3.%4"/>
      <w:lvlJc w:val="left"/>
      <w:pPr>
        <w:tabs>
          <w:tab w:val="num" w:pos="1290"/>
        </w:tabs>
        <w:ind w:left="1290" w:hanging="720"/>
      </w:pPr>
      <w:rPr>
        <w:rFonts w:hint="default"/>
        <w:sz w:val="20"/>
      </w:rPr>
    </w:lvl>
    <w:lvl w:ilvl="4">
      <w:start w:val="1"/>
      <w:numFmt w:val="decimal"/>
      <w:lvlText w:val="%1.%2.%3.%4.%5"/>
      <w:lvlJc w:val="left"/>
      <w:pPr>
        <w:tabs>
          <w:tab w:val="num" w:pos="1650"/>
        </w:tabs>
        <w:ind w:left="1650" w:hanging="1080"/>
      </w:pPr>
      <w:rPr>
        <w:rFonts w:hint="default"/>
        <w:sz w:val="20"/>
      </w:rPr>
    </w:lvl>
    <w:lvl w:ilvl="5">
      <w:start w:val="1"/>
      <w:numFmt w:val="decimal"/>
      <w:lvlText w:val="%1.%2.%3.%4.%5.%6"/>
      <w:lvlJc w:val="left"/>
      <w:pPr>
        <w:tabs>
          <w:tab w:val="num" w:pos="1650"/>
        </w:tabs>
        <w:ind w:left="1650" w:hanging="1080"/>
      </w:pPr>
      <w:rPr>
        <w:rFonts w:hint="default"/>
        <w:sz w:val="20"/>
      </w:rPr>
    </w:lvl>
    <w:lvl w:ilvl="6">
      <w:start w:val="1"/>
      <w:numFmt w:val="decimal"/>
      <w:lvlText w:val="%1.%2.%3.%4.%5.%6.%7"/>
      <w:lvlJc w:val="left"/>
      <w:pPr>
        <w:tabs>
          <w:tab w:val="num" w:pos="2010"/>
        </w:tabs>
        <w:ind w:left="2010" w:hanging="1440"/>
      </w:pPr>
      <w:rPr>
        <w:rFonts w:hint="default"/>
        <w:sz w:val="20"/>
      </w:rPr>
    </w:lvl>
    <w:lvl w:ilvl="7">
      <w:start w:val="1"/>
      <w:numFmt w:val="decimal"/>
      <w:lvlText w:val="%1.%2.%3.%4.%5.%6.%7.%8"/>
      <w:lvlJc w:val="left"/>
      <w:pPr>
        <w:tabs>
          <w:tab w:val="num" w:pos="2010"/>
        </w:tabs>
        <w:ind w:left="2010" w:hanging="1440"/>
      </w:pPr>
      <w:rPr>
        <w:rFonts w:hint="default"/>
        <w:sz w:val="20"/>
      </w:rPr>
    </w:lvl>
    <w:lvl w:ilvl="8">
      <w:start w:val="1"/>
      <w:numFmt w:val="decimal"/>
      <w:lvlText w:val="%1.%2.%3.%4.%5.%6.%7.%8.%9"/>
      <w:lvlJc w:val="left"/>
      <w:pPr>
        <w:tabs>
          <w:tab w:val="num" w:pos="2010"/>
        </w:tabs>
        <w:ind w:left="2010" w:hanging="1440"/>
      </w:pPr>
      <w:rPr>
        <w:rFonts w:hint="default"/>
        <w:sz w:val="20"/>
      </w:rPr>
    </w:lvl>
  </w:abstractNum>
  <w:abstractNum w:abstractNumId="42" w15:restartNumberingAfterBreak="0">
    <w:nsid w:val="6E6B41BB"/>
    <w:multiLevelType w:val="multilevel"/>
    <w:tmpl w:val="6A18B4CE"/>
    <w:lvl w:ilvl="0">
      <w:start w:val="1"/>
      <w:numFmt w:val="decimal"/>
      <w:lvlText w:val="%1."/>
      <w:lvlJc w:val="left"/>
      <w:pPr>
        <w:ind w:left="720" w:firstLine="1080"/>
      </w:pPr>
      <w:rPr>
        <w:rFonts w:cs="Times New Roman"/>
        <w:b w:val="0"/>
        <w:i w:val="0"/>
      </w:rPr>
    </w:lvl>
    <w:lvl w:ilvl="1">
      <w:start w:val="1"/>
      <w:numFmt w:val="lowerLetter"/>
      <w:lvlText w:val="%2."/>
      <w:lvlJc w:val="left"/>
      <w:pPr>
        <w:ind w:left="1440" w:firstLine="2520"/>
      </w:pPr>
      <w:rPr>
        <w:rFonts w:cs="Times New Roman"/>
      </w:rPr>
    </w:lvl>
    <w:lvl w:ilvl="2">
      <w:start w:val="1"/>
      <w:numFmt w:val="lowerRoman"/>
      <w:lvlText w:val="%3."/>
      <w:lvlJc w:val="right"/>
      <w:pPr>
        <w:ind w:left="2160" w:firstLine="4140"/>
      </w:pPr>
      <w:rPr>
        <w:rFonts w:cs="Times New Roman"/>
      </w:rPr>
    </w:lvl>
    <w:lvl w:ilvl="3">
      <w:start w:val="1"/>
      <w:numFmt w:val="decimal"/>
      <w:lvlText w:val="%4."/>
      <w:lvlJc w:val="left"/>
      <w:pPr>
        <w:ind w:left="2880" w:firstLine="5400"/>
      </w:pPr>
      <w:rPr>
        <w:rFonts w:cs="Times New Roman"/>
      </w:rPr>
    </w:lvl>
    <w:lvl w:ilvl="4">
      <w:start w:val="1"/>
      <w:numFmt w:val="lowerLetter"/>
      <w:lvlText w:val="%5."/>
      <w:lvlJc w:val="left"/>
      <w:pPr>
        <w:ind w:left="3600" w:firstLine="6840"/>
      </w:pPr>
      <w:rPr>
        <w:rFonts w:cs="Times New Roman"/>
      </w:rPr>
    </w:lvl>
    <w:lvl w:ilvl="5">
      <w:start w:val="1"/>
      <w:numFmt w:val="lowerRoman"/>
      <w:lvlText w:val="%6."/>
      <w:lvlJc w:val="right"/>
      <w:pPr>
        <w:ind w:left="4320" w:firstLine="8460"/>
      </w:pPr>
      <w:rPr>
        <w:rFonts w:cs="Times New Roman"/>
      </w:rPr>
    </w:lvl>
    <w:lvl w:ilvl="6">
      <w:start w:val="1"/>
      <w:numFmt w:val="decimal"/>
      <w:lvlText w:val="%7."/>
      <w:lvlJc w:val="left"/>
      <w:pPr>
        <w:ind w:left="5040" w:firstLine="9720"/>
      </w:pPr>
      <w:rPr>
        <w:rFonts w:cs="Times New Roman"/>
      </w:rPr>
    </w:lvl>
    <w:lvl w:ilvl="7">
      <w:start w:val="1"/>
      <w:numFmt w:val="lowerLetter"/>
      <w:lvlText w:val="%8."/>
      <w:lvlJc w:val="left"/>
      <w:pPr>
        <w:ind w:left="5760" w:firstLine="11160"/>
      </w:pPr>
      <w:rPr>
        <w:rFonts w:cs="Times New Roman"/>
      </w:rPr>
    </w:lvl>
    <w:lvl w:ilvl="8">
      <w:start w:val="1"/>
      <w:numFmt w:val="lowerRoman"/>
      <w:lvlText w:val="%9."/>
      <w:lvlJc w:val="right"/>
      <w:pPr>
        <w:ind w:left="6480" w:firstLine="12780"/>
      </w:pPr>
      <w:rPr>
        <w:rFonts w:cs="Times New Roman"/>
      </w:rPr>
    </w:lvl>
  </w:abstractNum>
  <w:abstractNum w:abstractNumId="43"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FB06B2"/>
    <w:multiLevelType w:val="hybridMultilevel"/>
    <w:tmpl w:val="115C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4F1A2D"/>
    <w:multiLevelType w:val="hybridMultilevel"/>
    <w:tmpl w:val="54F466F0"/>
    <w:lvl w:ilvl="0" w:tplc="C4EC346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4320368"/>
    <w:multiLevelType w:val="multilevel"/>
    <w:tmpl w:val="C5FAB306"/>
    <w:lvl w:ilvl="0">
      <w:start w:val="9"/>
      <w:numFmt w:val="decimal"/>
      <w:lvlText w:val="%1"/>
      <w:lvlJc w:val="left"/>
      <w:pPr>
        <w:tabs>
          <w:tab w:val="num" w:pos="570"/>
        </w:tabs>
        <w:ind w:left="570" w:hanging="570"/>
      </w:pPr>
      <w:rPr>
        <w:rFonts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7B4F67B9"/>
    <w:multiLevelType w:val="multilevel"/>
    <w:tmpl w:val="FD24DCD6"/>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C8974C3"/>
    <w:multiLevelType w:val="hybridMultilevel"/>
    <w:tmpl w:val="EA707C1A"/>
    <w:lvl w:ilvl="0" w:tplc="02F83D3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33"/>
  </w:num>
  <w:num w:numId="3">
    <w:abstractNumId w:val="27"/>
  </w:num>
  <w:num w:numId="4">
    <w:abstractNumId w:val="38"/>
  </w:num>
  <w:num w:numId="5">
    <w:abstractNumId w:val="28"/>
  </w:num>
  <w:num w:numId="6">
    <w:abstractNumId w:val="0"/>
  </w:num>
  <w:num w:numId="7">
    <w:abstractNumId w:val="16"/>
  </w:num>
  <w:num w:numId="8">
    <w:abstractNumId w:val="34"/>
  </w:num>
  <w:num w:numId="9">
    <w:abstractNumId w:val="47"/>
  </w:num>
  <w:num w:numId="10">
    <w:abstractNumId w:val="37"/>
  </w:num>
  <w:num w:numId="11">
    <w:abstractNumId w:val="46"/>
  </w:num>
  <w:num w:numId="12">
    <w:abstractNumId w:val="24"/>
  </w:num>
  <w:num w:numId="13">
    <w:abstractNumId w:val="7"/>
  </w:num>
  <w:num w:numId="14">
    <w:abstractNumId w:val="15"/>
  </w:num>
  <w:num w:numId="15">
    <w:abstractNumId w:val="41"/>
  </w:num>
  <w:num w:numId="16">
    <w:abstractNumId w:val="10"/>
  </w:num>
  <w:num w:numId="17">
    <w:abstractNumId w:val="13"/>
  </w:num>
  <w:num w:numId="18">
    <w:abstractNumId w:val="18"/>
  </w:num>
  <w:num w:numId="19">
    <w:abstractNumId w:val="45"/>
  </w:num>
  <w:num w:numId="20">
    <w:abstractNumId w:val="9"/>
  </w:num>
  <w:num w:numId="21">
    <w:abstractNumId w:val="8"/>
  </w:num>
  <w:num w:numId="22">
    <w:abstractNumId w:val="43"/>
  </w:num>
  <w:num w:numId="23">
    <w:abstractNumId w:val="14"/>
  </w:num>
  <w:num w:numId="24">
    <w:abstractNumId w:val="3"/>
  </w:num>
  <w:num w:numId="25">
    <w:abstractNumId w:val="39"/>
  </w:num>
  <w:num w:numId="26">
    <w:abstractNumId w:val="36"/>
  </w:num>
  <w:num w:numId="27">
    <w:abstractNumId w:val="31"/>
  </w:num>
  <w:num w:numId="28">
    <w:abstractNumId w:val="1"/>
  </w:num>
  <w:num w:numId="29">
    <w:abstractNumId w:val="25"/>
  </w:num>
  <w:num w:numId="30">
    <w:abstractNumId w:val="30"/>
  </w:num>
  <w:num w:numId="31">
    <w:abstractNumId w:val="12"/>
  </w:num>
  <w:num w:numId="32">
    <w:abstractNumId w:val="4"/>
  </w:num>
  <w:num w:numId="33">
    <w:abstractNumId w:val="23"/>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6"/>
  </w:num>
  <w:num w:numId="37">
    <w:abstractNumId w:val="29"/>
  </w:num>
  <w:num w:numId="38">
    <w:abstractNumId w:val="11"/>
  </w:num>
  <w:num w:numId="39">
    <w:abstractNumId w:val="2"/>
  </w:num>
  <w:num w:numId="40">
    <w:abstractNumId w:val="20"/>
  </w:num>
  <w:num w:numId="41">
    <w:abstractNumId w:val="5"/>
  </w:num>
  <w:num w:numId="42">
    <w:abstractNumId w:val="17"/>
  </w:num>
  <w:num w:numId="43">
    <w:abstractNumId w:val="40"/>
  </w:num>
  <w:num w:numId="44">
    <w:abstractNumId w:val="35"/>
  </w:num>
  <w:num w:numId="45">
    <w:abstractNumId w:val="26"/>
  </w:num>
  <w:num w:numId="46">
    <w:abstractNumId w:val="44"/>
  </w:num>
  <w:num w:numId="47">
    <w:abstractNumId w:val="42"/>
  </w:num>
  <w:num w:numId="48">
    <w:abstractNumId w:val="22"/>
  </w:num>
  <w:num w:numId="49">
    <w:abstractNumId w:val="4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6145"/>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09AC"/>
    <w:rsid w:val="000010B5"/>
    <w:rsid w:val="000027D2"/>
    <w:rsid w:val="0000312F"/>
    <w:rsid w:val="00003E8B"/>
    <w:rsid w:val="00005E26"/>
    <w:rsid w:val="00006E59"/>
    <w:rsid w:val="00010062"/>
    <w:rsid w:val="00010117"/>
    <w:rsid w:val="00012FE9"/>
    <w:rsid w:val="0001309E"/>
    <w:rsid w:val="000153EB"/>
    <w:rsid w:val="00015F97"/>
    <w:rsid w:val="00015FDE"/>
    <w:rsid w:val="00016217"/>
    <w:rsid w:val="00016861"/>
    <w:rsid w:val="00017D05"/>
    <w:rsid w:val="00017E01"/>
    <w:rsid w:val="000200CF"/>
    <w:rsid w:val="000205F1"/>
    <w:rsid w:val="00022047"/>
    <w:rsid w:val="00022E51"/>
    <w:rsid w:val="00023AEE"/>
    <w:rsid w:val="0002565F"/>
    <w:rsid w:val="0002584D"/>
    <w:rsid w:val="000274B9"/>
    <w:rsid w:val="0002758B"/>
    <w:rsid w:val="000276A0"/>
    <w:rsid w:val="00030BFF"/>
    <w:rsid w:val="000315DC"/>
    <w:rsid w:val="0003257C"/>
    <w:rsid w:val="000330DB"/>
    <w:rsid w:val="00033A9A"/>
    <w:rsid w:val="0003429F"/>
    <w:rsid w:val="0003562A"/>
    <w:rsid w:val="00035BC0"/>
    <w:rsid w:val="00036095"/>
    <w:rsid w:val="000362E5"/>
    <w:rsid w:val="000367E0"/>
    <w:rsid w:val="00036AF4"/>
    <w:rsid w:val="00036D14"/>
    <w:rsid w:val="00037AD8"/>
    <w:rsid w:val="00041C10"/>
    <w:rsid w:val="00042CD9"/>
    <w:rsid w:val="00043804"/>
    <w:rsid w:val="000441A1"/>
    <w:rsid w:val="00046BE8"/>
    <w:rsid w:val="00046F0B"/>
    <w:rsid w:val="00050869"/>
    <w:rsid w:val="00051E3C"/>
    <w:rsid w:val="00052362"/>
    <w:rsid w:val="00055596"/>
    <w:rsid w:val="00056014"/>
    <w:rsid w:val="000561C1"/>
    <w:rsid w:val="00056204"/>
    <w:rsid w:val="000570D1"/>
    <w:rsid w:val="000571A9"/>
    <w:rsid w:val="000579B8"/>
    <w:rsid w:val="00060290"/>
    <w:rsid w:val="000611AB"/>
    <w:rsid w:val="0006268D"/>
    <w:rsid w:val="00063E24"/>
    <w:rsid w:val="000719C7"/>
    <w:rsid w:val="00072229"/>
    <w:rsid w:val="000728F8"/>
    <w:rsid w:val="0007337E"/>
    <w:rsid w:val="00073629"/>
    <w:rsid w:val="00073CF1"/>
    <w:rsid w:val="00074BD0"/>
    <w:rsid w:val="00074D9A"/>
    <w:rsid w:val="00074DB9"/>
    <w:rsid w:val="000753C4"/>
    <w:rsid w:val="00075DF0"/>
    <w:rsid w:val="000762CA"/>
    <w:rsid w:val="000766A7"/>
    <w:rsid w:val="00077AC8"/>
    <w:rsid w:val="00077B57"/>
    <w:rsid w:val="000803A4"/>
    <w:rsid w:val="000806E3"/>
    <w:rsid w:val="00081F93"/>
    <w:rsid w:val="0008339E"/>
    <w:rsid w:val="0008454B"/>
    <w:rsid w:val="00090AD1"/>
    <w:rsid w:val="00090F4F"/>
    <w:rsid w:val="00091476"/>
    <w:rsid w:val="00091984"/>
    <w:rsid w:val="00092879"/>
    <w:rsid w:val="00094CEC"/>
    <w:rsid w:val="00094E87"/>
    <w:rsid w:val="00095FAC"/>
    <w:rsid w:val="00096257"/>
    <w:rsid w:val="0009661A"/>
    <w:rsid w:val="00097FB2"/>
    <w:rsid w:val="000A151D"/>
    <w:rsid w:val="000A24C5"/>
    <w:rsid w:val="000A24CE"/>
    <w:rsid w:val="000A2D1E"/>
    <w:rsid w:val="000A30A1"/>
    <w:rsid w:val="000A3A38"/>
    <w:rsid w:val="000A3F7F"/>
    <w:rsid w:val="000A47FD"/>
    <w:rsid w:val="000A7192"/>
    <w:rsid w:val="000B0228"/>
    <w:rsid w:val="000B0983"/>
    <w:rsid w:val="000B099B"/>
    <w:rsid w:val="000B2E16"/>
    <w:rsid w:val="000B3A13"/>
    <w:rsid w:val="000B409A"/>
    <w:rsid w:val="000B4BB2"/>
    <w:rsid w:val="000B4C6A"/>
    <w:rsid w:val="000B61BC"/>
    <w:rsid w:val="000B6379"/>
    <w:rsid w:val="000C3EB6"/>
    <w:rsid w:val="000C4E54"/>
    <w:rsid w:val="000C6AF4"/>
    <w:rsid w:val="000C76B0"/>
    <w:rsid w:val="000C7BBE"/>
    <w:rsid w:val="000D0413"/>
    <w:rsid w:val="000D2475"/>
    <w:rsid w:val="000D260E"/>
    <w:rsid w:val="000D442C"/>
    <w:rsid w:val="000D4D24"/>
    <w:rsid w:val="000D4DC4"/>
    <w:rsid w:val="000D671F"/>
    <w:rsid w:val="000E05BD"/>
    <w:rsid w:val="000E2FA1"/>
    <w:rsid w:val="000E30FF"/>
    <w:rsid w:val="000E4DE3"/>
    <w:rsid w:val="000E55D6"/>
    <w:rsid w:val="000E585B"/>
    <w:rsid w:val="000E612D"/>
    <w:rsid w:val="000E66A0"/>
    <w:rsid w:val="000E6AB1"/>
    <w:rsid w:val="000E745A"/>
    <w:rsid w:val="000E7E9E"/>
    <w:rsid w:val="000F0044"/>
    <w:rsid w:val="000F0EFD"/>
    <w:rsid w:val="000F5541"/>
    <w:rsid w:val="000F69F3"/>
    <w:rsid w:val="000F703B"/>
    <w:rsid w:val="000F72ED"/>
    <w:rsid w:val="000F7A4C"/>
    <w:rsid w:val="00101629"/>
    <w:rsid w:val="001018CE"/>
    <w:rsid w:val="001025F3"/>
    <w:rsid w:val="00102F5E"/>
    <w:rsid w:val="00103687"/>
    <w:rsid w:val="00103698"/>
    <w:rsid w:val="00104CE3"/>
    <w:rsid w:val="00106EF8"/>
    <w:rsid w:val="001079CD"/>
    <w:rsid w:val="001101A2"/>
    <w:rsid w:val="00111489"/>
    <w:rsid w:val="00111792"/>
    <w:rsid w:val="00111797"/>
    <w:rsid w:val="00111B19"/>
    <w:rsid w:val="0011226E"/>
    <w:rsid w:val="001129CE"/>
    <w:rsid w:val="00114A64"/>
    <w:rsid w:val="00115F59"/>
    <w:rsid w:val="00116C1A"/>
    <w:rsid w:val="00121554"/>
    <w:rsid w:val="0012186A"/>
    <w:rsid w:val="00121F3E"/>
    <w:rsid w:val="0012229E"/>
    <w:rsid w:val="00123849"/>
    <w:rsid w:val="00123A5E"/>
    <w:rsid w:val="00125010"/>
    <w:rsid w:val="001251C8"/>
    <w:rsid w:val="00125266"/>
    <w:rsid w:val="00125B82"/>
    <w:rsid w:val="001305E6"/>
    <w:rsid w:val="001315CD"/>
    <w:rsid w:val="0013239A"/>
    <w:rsid w:val="00132D93"/>
    <w:rsid w:val="001334D3"/>
    <w:rsid w:val="001368A8"/>
    <w:rsid w:val="0013761A"/>
    <w:rsid w:val="00144198"/>
    <w:rsid w:val="0014423A"/>
    <w:rsid w:val="00146CC6"/>
    <w:rsid w:val="00147042"/>
    <w:rsid w:val="001471A7"/>
    <w:rsid w:val="001506F6"/>
    <w:rsid w:val="001508E6"/>
    <w:rsid w:val="00154032"/>
    <w:rsid w:val="00154378"/>
    <w:rsid w:val="001547D3"/>
    <w:rsid w:val="001551D6"/>
    <w:rsid w:val="001559BD"/>
    <w:rsid w:val="00157F09"/>
    <w:rsid w:val="00157F79"/>
    <w:rsid w:val="0016056D"/>
    <w:rsid w:val="001635CC"/>
    <w:rsid w:val="00163BE2"/>
    <w:rsid w:val="00163E84"/>
    <w:rsid w:val="00165A12"/>
    <w:rsid w:val="001668AA"/>
    <w:rsid w:val="001669B6"/>
    <w:rsid w:val="001675B1"/>
    <w:rsid w:val="0016789D"/>
    <w:rsid w:val="00167C87"/>
    <w:rsid w:val="0017151A"/>
    <w:rsid w:val="00171F01"/>
    <w:rsid w:val="00172EE3"/>
    <w:rsid w:val="00174F19"/>
    <w:rsid w:val="0017510E"/>
    <w:rsid w:val="00176552"/>
    <w:rsid w:val="00177E7E"/>
    <w:rsid w:val="00180BB5"/>
    <w:rsid w:val="001831A0"/>
    <w:rsid w:val="0018356F"/>
    <w:rsid w:val="001874A7"/>
    <w:rsid w:val="001876C5"/>
    <w:rsid w:val="00187D68"/>
    <w:rsid w:val="00190155"/>
    <w:rsid w:val="001906B5"/>
    <w:rsid w:val="001908B5"/>
    <w:rsid w:val="00191127"/>
    <w:rsid w:val="001913A7"/>
    <w:rsid w:val="00192198"/>
    <w:rsid w:val="00193AA5"/>
    <w:rsid w:val="00193BE5"/>
    <w:rsid w:val="00194163"/>
    <w:rsid w:val="00194359"/>
    <w:rsid w:val="00194FEB"/>
    <w:rsid w:val="001970A4"/>
    <w:rsid w:val="00197AD1"/>
    <w:rsid w:val="00197B34"/>
    <w:rsid w:val="001A06B0"/>
    <w:rsid w:val="001A11C0"/>
    <w:rsid w:val="001A17DA"/>
    <w:rsid w:val="001A56EC"/>
    <w:rsid w:val="001A5FE4"/>
    <w:rsid w:val="001B0020"/>
    <w:rsid w:val="001B26D8"/>
    <w:rsid w:val="001B3F87"/>
    <w:rsid w:val="001B4026"/>
    <w:rsid w:val="001B426B"/>
    <w:rsid w:val="001B598C"/>
    <w:rsid w:val="001B62A9"/>
    <w:rsid w:val="001B6419"/>
    <w:rsid w:val="001B67A4"/>
    <w:rsid w:val="001B76A6"/>
    <w:rsid w:val="001B78FE"/>
    <w:rsid w:val="001C07F8"/>
    <w:rsid w:val="001C0A32"/>
    <w:rsid w:val="001C1147"/>
    <w:rsid w:val="001C1D33"/>
    <w:rsid w:val="001C2285"/>
    <w:rsid w:val="001C2D7D"/>
    <w:rsid w:val="001C2F59"/>
    <w:rsid w:val="001C6C08"/>
    <w:rsid w:val="001D0646"/>
    <w:rsid w:val="001D081C"/>
    <w:rsid w:val="001D1B55"/>
    <w:rsid w:val="001D2056"/>
    <w:rsid w:val="001D220F"/>
    <w:rsid w:val="001D29FF"/>
    <w:rsid w:val="001D42D1"/>
    <w:rsid w:val="001D547F"/>
    <w:rsid w:val="001D5F99"/>
    <w:rsid w:val="001D64E5"/>
    <w:rsid w:val="001D65D0"/>
    <w:rsid w:val="001D6EB8"/>
    <w:rsid w:val="001D793A"/>
    <w:rsid w:val="001E05EC"/>
    <w:rsid w:val="001E2165"/>
    <w:rsid w:val="001E40CF"/>
    <w:rsid w:val="001E463A"/>
    <w:rsid w:val="001E4809"/>
    <w:rsid w:val="001E4EB9"/>
    <w:rsid w:val="001E4F4F"/>
    <w:rsid w:val="001E51AC"/>
    <w:rsid w:val="001E602D"/>
    <w:rsid w:val="001F27F4"/>
    <w:rsid w:val="001F3DC0"/>
    <w:rsid w:val="001F43DA"/>
    <w:rsid w:val="001F43F0"/>
    <w:rsid w:val="001F4C5A"/>
    <w:rsid w:val="001F4EA9"/>
    <w:rsid w:val="001F4F73"/>
    <w:rsid w:val="001F6425"/>
    <w:rsid w:val="001F6772"/>
    <w:rsid w:val="001F71CB"/>
    <w:rsid w:val="001F7421"/>
    <w:rsid w:val="00200195"/>
    <w:rsid w:val="00200B5F"/>
    <w:rsid w:val="00201EEF"/>
    <w:rsid w:val="0020245C"/>
    <w:rsid w:val="00202476"/>
    <w:rsid w:val="00202B58"/>
    <w:rsid w:val="00203AD0"/>
    <w:rsid w:val="002047C8"/>
    <w:rsid w:val="002052B3"/>
    <w:rsid w:val="00205453"/>
    <w:rsid w:val="002058F9"/>
    <w:rsid w:val="00205EE1"/>
    <w:rsid w:val="0020650A"/>
    <w:rsid w:val="00207743"/>
    <w:rsid w:val="002078F9"/>
    <w:rsid w:val="00207F32"/>
    <w:rsid w:val="00212B1F"/>
    <w:rsid w:val="00213340"/>
    <w:rsid w:val="00213D7C"/>
    <w:rsid w:val="00214513"/>
    <w:rsid w:val="002155B7"/>
    <w:rsid w:val="00216571"/>
    <w:rsid w:val="0021766A"/>
    <w:rsid w:val="00220C88"/>
    <w:rsid w:val="002225D3"/>
    <w:rsid w:val="00222A35"/>
    <w:rsid w:val="0022301D"/>
    <w:rsid w:val="002236F0"/>
    <w:rsid w:val="00224B2C"/>
    <w:rsid w:val="00226F3A"/>
    <w:rsid w:val="002272E2"/>
    <w:rsid w:val="00227E55"/>
    <w:rsid w:val="00231534"/>
    <w:rsid w:val="002322A7"/>
    <w:rsid w:val="00232AA0"/>
    <w:rsid w:val="00234CDF"/>
    <w:rsid w:val="00236B91"/>
    <w:rsid w:val="00236BF6"/>
    <w:rsid w:val="002405EF"/>
    <w:rsid w:val="00241B23"/>
    <w:rsid w:val="002424C0"/>
    <w:rsid w:val="00242617"/>
    <w:rsid w:val="0024266E"/>
    <w:rsid w:val="00242CAA"/>
    <w:rsid w:val="0024503B"/>
    <w:rsid w:val="0024573D"/>
    <w:rsid w:val="00245D74"/>
    <w:rsid w:val="00246D03"/>
    <w:rsid w:val="00246DDF"/>
    <w:rsid w:val="00252C57"/>
    <w:rsid w:val="00253DEA"/>
    <w:rsid w:val="00253E28"/>
    <w:rsid w:val="002573CC"/>
    <w:rsid w:val="0025753C"/>
    <w:rsid w:val="002600A8"/>
    <w:rsid w:val="00260FAA"/>
    <w:rsid w:val="00262338"/>
    <w:rsid w:val="00263060"/>
    <w:rsid w:val="00263694"/>
    <w:rsid w:val="00263938"/>
    <w:rsid w:val="002646D7"/>
    <w:rsid w:val="00264960"/>
    <w:rsid w:val="00264990"/>
    <w:rsid w:val="002671D7"/>
    <w:rsid w:val="0027259C"/>
    <w:rsid w:val="00273543"/>
    <w:rsid w:val="00274C82"/>
    <w:rsid w:val="00276167"/>
    <w:rsid w:val="0027654D"/>
    <w:rsid w:val="00276C89"/>
    <w:rsid w:val="002810DF"/>
    <w:rsid w:val="002812AB"/>
    <w:rsid w:val="002816D8"/>
    <w:rsid w:val="00281F8F"/>
    <w:rsid w:val="00282A8C"/>
    <w:rsid w:val="002854EE"/>
    <w:rsid w:val="0028565C"/>
    <w:rsid w:val="00285C81"/>
    <w:rsid w:val="002875DE"/>
    <w:rsid w:val="00287E07"/>
    <w:rsid w:val="00290EB3"/>
    <w:rsid w:val="00291018"/>
    <w:rsid w:val="00292846"/>
    <w:rsid w:val="00292A90"/>
    <w:rsid w:val="00294A69"/>
    <w:rsid w:val="00295DAB"/>
    <w:rsid w:val="00296AA1"/>
    <w:rsid w:val="002971D6"/>
    <w:rsid w:val="002A22ED"/>
    <w:rsid w:val="002A2F08"/>
    <w:rsid w:val="002A3641"/>
    <w:rsid w:val="002A495F"/>
    <w:rsid w:val="002A4CE1"/>
    <w:rsid w:val="002A706F"/>
    <w:rsid w:val="002A70EA"/>
    <w:rsid w:val="002A7363"/>
    <w:rsid w:val="002A7F43"/>
    <w:rsid w:val="002B1E06"/>
    <w:rsid w:val="002B365E"/>
    <w:rsid w:val="002B3E6C"/>
    <w:rsid w:val="002B45E5"/>
    <w:rsid w:val="002B489A"/>
    <w:rsid w:val="002B5CCE"/>
    <w:rsid w:val="002B6341"/>
    <w:rsid w:val="002B7B40"/>
    <w:rsid w:val="002C031A"/>
    <w:rsid w:val="002C0526"/>
    <w:rsid w:val="002C0635"/>
    <w:rsid w:val="002C27A8"/>
    <w:rsid w:val="002C333E"/>
    <w:rsid w:val="002C36C8"/>
    <w:rsid w:val="002C51A0"/>
    <w:rsid w:val="002C57E0"/>
    <w:rsid w:val="002C7971"/>
    <w:rsid w:val="002D0584"/>
    <w:rsid w:val="002D2C1F"/>
    <w:rsid w:val="002D2E2A"/>
    <w:rsid w:val="002D311F"/>
    <w:rsid w:val="002D3EE8"/>
    <w:rsid w:val="002D4274"/>
    <w:rsid w:val="002D4F19"/>
    <w:rsid w:val="002D5295"/>
    <w:rsid w:val="002D52BF"/>
    <w:rsid w:val="002D5915"/>
    <w:rsid w:val="002D6630"/>
    <w:rsid w:val="002D68FA"/>
    <w:rsid w:val="002D7ECA"/>
    <w:rsid w:val="002E0141"/>
    <w:rsid w:val="002E0B5D"/>
    <w:rsid w:val="002E0B76"/>
    <w:rsid w:val="002E1495"/>
    <w:rsid w:val="002E2048"/>
    <w:rsid w:val="002E2466"/>
    <w:rsid w:val="002E2900"/>
    <w:rsid w:val="002E3C0D"/>
    <w:rsid w:val="002E43EC"/>
    <w:rsid w:val="002E4883"/>
    <w:rsid w:val="002E5B3C"/>
    <w:rsid w:val="002E62DD"/>
    <w:rsid w:val="002E7A79"/>
    <w:rsid w:val="002F18D0"/>
    <w:rsid w:val="002F1D9E"/>
    <w:rsid w:val="002F2C6E"/>
    <w:rsid w:val="002F3C88"/>
    <w:rsid w:val="002F402D"/>
    <w:rsid w:val="002F4067"/>
    <w:rsid w:val="002F45F0"/>
    <w:rsid w:val="002F47EB"/>
    <w:rsid w:val="002F7339"/>
    <w:rsid w:val="002F7366"/>
    <w:rsid w:val="002F7461"/>
    <w:rsid w:val="002F763A"/>
    <w:rsid w:val="00301A05"/>
    <w:rsid w:val="003025E2"/>
    <w:rsid w:val="00303CB0"/>
    <w:rsid w:val="00305968"/>
    <w:rsid w:val="00306D24"/>
    <w:rsid w:val="00307712"/>
    <w:rsid w:val="00307A7C"/>
    <w:rsid w:val="0031404A"/>
    <w:rsid w:val="00314B7C"/>
    <w:rsid w:val="00314E49"/>
    <w:rsid w:val="00315445"/>
    <w:rsid w:val="00317183"/>
    <w:rsid w:val="00317B5A"/>
    <w:rsid w:val="003204AE"/>
    <w:rsid w:val="003208EF"/>
    <w:rsid w:val="00322F71"/>
    <w:rsid w:val="00323D35"/>
    <w:rsid w:val="003244DA"/>
    <w:rsid w:val="00324846"/>
    <w:rsid w:val="00324ABD"/>
    <w:rsid w:val="00324D9B"/>
    <w:rsid w:val="0032650B"/>
    <w:rsid w:val="003272A6"/>
    <w:rsid w:val="003273CB"/>
    <w:rsid w:val="00327CB4"/>
    <w:rsid w:val="0033125E"/>
    <w:rsid w:val="00332ED2"/>
    <w:rsid w:val="0033325E"/>
    <w:rsid w:val="00335C99"/>
    <w:rsid w:val="00336913"/>
    <w:rsid w:val="0033718C"/>
    <w:rsid w:val="00337407"/>
    <w:rsid w:val="00337BB8"/>
    <w:rsid w:val="00340E02"/>
    <w:rsid w:val="00341F33"/>
    <w:rsid w:val="00342E94"/>
    <w:rsid w:val="00343E6E"/>
    <w:rsid w:val="00343E9A"/>
    <w:rsid w:val="003450C8"/>
    <w:rsid w:val="00345655"/>
    <w:rsid w:val="00345BA7"/>
    <w:rsid w:val="0034782B"/>
    <w:rsid w:val="0035056D"/>
    <w:rsid w:val="00351E5C"/>
    <w:rsid w:val="00351F5A"/>
    <w:rsid w:val="003538F7"/>
    <w:rsid w:val="0035580F"/>
    <w:rsid w:val="00355989"/>
    <w:rsid w:val="00357CB4"/>
    <w:rsid w:val="003604EE"/>
    <w:rsid w:val="00361A31"/>
    <w:rsid w:val="0036286B"/>
    <w:rsid w:val="00363371"/>
    <w:rsid w:val="00363EED"/>
    <w:rsid w:val="003641FD"/>
    <w:rsid w:val="00364989"/>
    <w:rsid w:val="00364D88"/>
    <w:rsid w:val="003664C0"/>
    <w:rsid w:val="00366769"/>
    <w:rsid w:val="00367A28"/>
    <w:rsid w:val="00367E04"/>
    <w:rsid w:val="003728D2"/>
    <w:rsid w:val="003761F2"/>
    <w:rsid w:val="00376A05"/>
    <w:rsid w:val="003774FE"/>
    <w:rsid w:val="003834C4"/>
    <w:rsid w:val="00383806"/>
    <w:rsid w:val="00387F44"/>
    <w:rsid w:val="00390E30"/>
    <w:rsid w:val="00392823"/>
    <w:rsid w:val="00392917"/>
    <w:rsid w:val="003938AC"/>
    <w:rsid w:val="00393ABE"/>
    <w:rsid w:val="0039400E"/>
    <w:rsid w:val="0039458D"/>
    <w:rsid w:val="0039479A"/>
    <w:rsid w:val="00394D61"/>
    <w:rsid w:val="00395201"/>
    <w:rsid w:val="00395B02"/>
    <w:rsid w:val="003979B3"/>
    <w:rsid w:val="003A05FC"/>
    <w:rsid w:val="003A1AC3"/>
    <w:rsid w:val="003A1F5A"/>
    <w:rsid w:val="003A20C4"/>
    <w:rsid w:val="003A2ECE"/>
    <w:rsid w:val="003A3158"/>
    <w:rsid w:val="003A4252"/>
    <w:rsid w:val="003A4847"/>
    <w:rsid w:val="003A539A"/>
    <w:rsid w:val="003A62A4"/>
    <w:rsid w:val="003A6D7C"/>
    <w:rsid w:val="003A7476"/>
    <w:rsid w:val="003A7D86"/>
    <w:rsid w:val="003B0AA1"/>
    <w:rsid w:val="003B243D"/>
    <w:rsid w:val="003B304F"/>
    <w:rsid w:val="003B4650"/>
    <w:rsid w:val="003B529A"/>
    <w:rsid w:val="003B5D18"/>
    <w:rsid w:val="003B5FA4"/>
    <w:rsid w:val="003B6225"/>
    <w:rsid w:val="003B628E"/>
    <w:rsid w:val="003B795D"/>
    <w:rsid w:val="003C1D54"/>
    <w:rsid w:val="003C26A6"/>
    <w:rsid w:val="003C26C1"/>
    <w:rsid w:val="003C5C11"/>
    <w:rsid w:val="003C611C"/>
    <w:rsid w:val="003C6A5A"/>
    <w:rsid w:val="003C6AAD"/>
    <w:rsid w:val="003C76E4"/>
    <w:rsid w:val="003C775E"/>
    <w:rsid w:val="003D06B4"/>
    <w:rsid w:val="003D1D4D"/>
    <w:rsid w:val="003D2665"/>
    <w:rsid w:val="003D2D68"/>
    <w:rsid w:val="003D3682"/>
    <w:rsid w:val="003D37DD"/>
    <w:rsid w:val="003D45DF"/>
    <w:rsid w:val="003D47C6"/>
    <w:rsid w:val="003D5C3C"/>
    <w:rsid w:val="003D5D67"/>
    <w:rsid w:val="003D7E38"/>
    <w:rsid w:val="003D7EAC"/>
    <w:rsid w:val="003E1AFA"/>
    <w:rsid w:val="003E375F"/>
    <w:rsid w:val="003E379A"/>
    <w:rsid w:val="003E4336"/>
    <w:rsid w:val="003E4BEA"/>
    <w:rsid w:val="003E52B0"/>
    <w:rsid w:val="003E64DC"/>
    <w:rsid w:val="003E7A43"/>
    <w:rsid w:val="003F0950"/>
    <w:rsid w:val="003F0B58"/>
    <w:rsid w:val="003F0D40"/>
    <w:rsid w:val="003F2236"/>
    <w:rsid w:val="003F27B7"/>
    <w:rsid w:val="003F4051"/>
    <w:rsid w:val="003F5812"/>
    <w:rsid w:val="003F5878"/>
    <w:rsid w:val="003F625A"/>
    <w:rsid w:val="003F6AA4"/>
    <w:rsid w:val="003F6EA1"/>
    <w:rsid w:val="003F7370"/>
    <w:rsid w:val="00400E4A"/>
    <w:rsid w:val="004010A8"/>
    <w:rsid w:val="004028E7"/>
    <w:rsid w:val="00402E9A"/>
    <w:rsid w:val="00403FA8"/>
    <w:rsid w:val="00404040"/>
    <w:rsid w:val="00404213"/>
    <w:rsid w:val="004048AC"/>
    <w:rsid w:val="00404B8E"/>
    <w:rsid w:val="004068C2"/>
    <w:rsid w:val="00406E61"/>
    <w:rsid w:val="00407D2C"/>
    <w:rsid w:val="00407DD6"/>
    <w:rsid w:val="00410688"/>
    <w:rsid w:val="00411D17"/>
    <w:rsid w:val="004121A6"/>
    <w:rsid w:val="00412559"/>
    <w:rsid w:val="004145F0"/>
    <w:rsid w:val="00415673"/>
    <w:rsid w:val="00415E7F"/>
    <w:rsid w:val="00420288"/>
    <w:rsid w:val="00421C78"/>
    <w:rsid w:val="004224CE"/>
    <w:rsid w:val="00423D5E"/>
    <w:rsid w:val="004244E2"/>
    <w:rsid w:val="00424A78"/>
    <w:rsid w:val="004254DB"/>
    <w:rsid w:val="0042550C"/>
    <w:rsid w:val="00427EEA"/>
    <w:rsid w:val="00430F50"/>
    <w:rsid w:val="00431836"/>
    <w:rsid w:val="004321E6"/>
    <w:rsid w:val="00432693"/>
    <w:rsid w:val="0043278E"/>
    <w:rsid w:val="004332A4"/>
    <w:rsid w:val="0043372B"/>
    <w:rsid w:val="004360AC"/>
    <w:rsid w:val="00436B83"/>
    <w:rsid w:val="00441061"/>
    <w:rsid w:val="0044252E"/>
    <w:rsid w:val="00442CFA"/>
    <w:rsid w:val="0044560C"/>
    <w:rsid w:val="004464D1"/>
    <w:rsid w:val="004501C9"/>
    <w:rsid w:val="00450AE0"/>
    <w:rsid w:val="00450C09"/>
    <w:rsid w:val="00450C70"/>
    <w:rsid w:val="00453344"/>
    <w:rsid w:val="00454E76"/>
    <w:rsid w:val="00457080"/>
    <w:rsid w:val="00460891"/>
    <w:rsid w:val="00462651"/>
    <w:rsid w:val="00462F36"/>
    <w:rsid w:val="004645AD"/>
    <w:rsid w:val="00464FB2"/>
    <w:rsid w:val="004662A8"/>
    <w:rsid w:val="004666B3"/>
    <w:rsid w:val="00466CDC"/>
    <w:rsid w:val="0046745E"/>
    <w:rsid w:val="0047224D"/>
    <w:rsid w:val="004725ED"/>
    <w:rsid w:val="004736BE"/>
    <w:rsid w:val="0047556D"/>
    <w:rsid w:val="00475789"/>
    <w:rsid w:val="00476170"/>
    <w:rsid w:val="004801D4"/>
    <w:rsid w:val="00480284"/>
    <w:rsid w:val="004820B0"/>
    <w:rsid w:val="00482117"/>
    <w:rsid w:val="00482772"/>
    <w:rsid w:val="00482E2F"/>
    <w:rsid w:val="004838C4"/>
    <w:rsid w:val="004842D0"/>
    <w:rsid w:val="00484BE0"/>
    <w:rsid w:val="004859B4"/>
    <w:rsid w:val="00486ACD"/>
    <w:rsid w:val="00490B8D"/>
    <w:rsid w:val="0049255A"/>
    <w:rsid w:val="00492C65"/>
    <w:rsid w:val="0049403F"/>
    <w:rsid w:val="00494323"/>
    <w:rsid w:val="00494349"/>
    <w:rsid w:val="00494485"/>
    <w:rsid w:val="00494855"/>
    <w:rsid w:val="004953EC"/>
    <w:rsid w:val="0049682B"/>
    <w:rsid w:val="0049762B"/>
    <w:rsid w:val="004A0F27"/>
    <w:rsid w:val="004A0F37"/>
    <w:rsid w:val="004A0F68"/>
    <w:rsid w:val="004A1E06"/>
    <w:rsid w:val="004A3608"/>
    <w:rsid w:val="004A476D"/>
    <w:rsid w:val="004A4FBD"/>
    <w:rsid w:val="004A5A95"/>
    <w:rsid w:val="004A76FF"/>
    <w:rsid w:val="004A7810"/>
    <w:rsid w:val="004A7E93"/>
    <w:rsid w:val="004B021E"/>
    <w:rsid w:val="004B3978"/>
    <w:rsid w:val="004B3CFB"/>
    <w:rsid w:val="004B5D6B"/>
    <w:rsid w:val="004B7007"/>
    <w:rsid w:val="004B76F8"/>
    <w:rsid w:val="004C001A"/>
    <w:rsid w:val="004C1FA6"/>
    <w:rsid w:val="004C2869"/>
    <w:rsid w:val="004C4F2C"/>
    <w:rsid w:val="004C5CFD"/>
    <w:rsid w:val="004C6CEA"/>
    <w:rsid w:val="004D0F71"/>
    <w:rsid w:val="004D12C0"/>
    <w:rsid w:val="004D18EA"/>
    <w:rsid w:val="004D2B29"/>
    <w:rsid w:val="004D30EF"/>
    <w:rsid w:val="004D3713"/>
    <w:rsid w:val="004D4DC4"/>
    <w:rsid w:val="004D6254"/>
    <w:rsid w:val="004D6E35"/>
    <w:rsid w:val="004D70FD"/>
    <w:rsid w:val="004D7E99"/>
    <w:rsid w:val="004E00CE"/>
    <w:rsid w:val="004E1E23"/>
    <w:rsid w:val="004E2BDB"/>
    <w:rsid w:val="004E307B"/>
    <w:rsid w:val="004E3295"/>
    <w:rsid w:val="004E7548"/>
    <w:rsid w:val="004E7BCC"/>
    <w:rsid w:val="004F0966"/>
    <w:rsid w:val="004F3306"/>
    <w:rsid w:val="004F3734"/>
    <w:rsid w:val="004F49C3"/>
    <w:rsid w:val="004F4B9F"/>
    <w:rsid w:val="004F50AF"/>
    <w:rsid w:val="004F681D"/>
    <w:rsid w:val="004F6E14"/>
    <w:rsid w:val="005000F9"/>
    <w:rsid w:val="00500A92"/>
    <w:rsid w:val="0050228C"/>
    <w:rsid w:val="005023FF"/>
    <w:rsid w:val="00502857"/>
    <w:rsid w:val="005028AB"/>
    <w:rsid w:val="005044A9"/>
    <w:rsid w:val="00504F68"/>
    <w:rsid w:val="005054DC"/>
    <w:rsid w:val="00505994"/>
    <w:rsid w:val="00505FD4"/>
    <w:rsid w:val="005062F0"/>
    <w:rsid w:val="00506E25"/>
    <w:rsid w:val="00506E9D"/>
    <w:rsid w:val="00507A41"/>
    <w:rsid w:val="0051058A"/>
    <w:rsid w:val="0051069F"/>
    <w:rsid w:val="00511087"/>
    <w:rsid w:val="0051132C"/>
    <w:rsid w:val="005119D0"/>
    <w:rsid w:val="00513483"/>
    <w:rsid w:val="0051367A"/>
    <w:rsid w:val="00513E0C"/>
    <w:rsid w:val="00514A55"/>
    <w:rsid w:val="00514EF5"/>
    <w:rsid w:val="0051782D"/>
    <w:rsid w:val="0052087E"/>
    <w:rsid w:val="0052315E"/>
    <w:rsid w:val="005237F9"/>
    <w:rsid w:val="00523B73"/>
    <w:rsid w:val="00526621"/>
    <w:rsid w:val="00527725"/>
    <w:rsid w:val="00530ED3"/>
    <w:rsid w:val="00533D2D"/>
    <w:rsid w:val="0053438E"/>
    <w:rsid w:val="005343E5"/>
    <w:rsid w:val="005346B7"/>
    <w:rsid w:val="005355EE"/>
    <w:rsid w:val="00535B16"/>
    <w:rsid w:val="005366D0"/>
    <w:rsid w:val="00537E27"/>
    <w:rsid w:val="00540B4D"/>
    <w:rsid w:val="00540FFA"/>
    <w:rsid w:val="00542930"/>
    <w:rsid w:val="00542B95"/>
    <w:rsid w:val="005435B3"/>
    <w:rsid w:val="005443CF"/>
    <w:rsid w:val="00545568"/>
    <w:rsid w:val="00545C22"/>
    <w:rsid w:val="00550849"/>
    <w:rsid w:val="00550866"/>
    <w:rsid w:val="00554BF3"/>
    <w:rsid w:val="00555AA3"/>
    <w:rsid w:val="0055655F"/>
    <w:rsid w:val="0055657D"/>
    <w:rsid w:val="00556CBD"/>
    <w:rsid w:val="005579B9"/>
    <w:rsid w:val="00557A01"/>
    <w:rsid w:val="00560CFA"/>
    <w:rsid w:val="00560D0D"/>
    <w:rsid w:val="005632F1"/>
    <w:rsid w:val="00563F4A"/>
    <w:rsid w:val="005644AD"/>
    <w:rsid w:val="005655A5"/>
    <w:rsid w:val="00565FB1"/>
    <w:rsid w:val="005662FB"/>
    <w:rsid w:val="00567781"/>
    <w:rsid w:val="00567ECC"/>
    <w:rsid w:val="0057019C"/>
    <w:rsid w:val="00570645"/>
    <w:rsid w:val="00571280"/>
    <w:rsid w:val="005713B1"/>
    <w:rsid w:val="00572BE2"/>
    <w:rsid w:val="005735C0"/>
    <w:rsid w:val="0057363E"/>
    <w:rsid w:val="00574941"/>
    <w:rsid w:val="0057624B"/>
    <w:rsid w:val="00576319"/>
    <w:rsid w:val="0057644D"/>
    <w:rsid w:val="0057649A"/>
    <w:rsid w:val="00580B26"/>
    <w:rsid w:val="00583090"/>
    <w:rsid w:val="005835F4"/>
    <w:rsid w:val="00583EFE"/>
    <w:rsid w:val="00584076"/>
    <w:rsid w:val="005841A3"/>
    <w:rsid w:val="00586BE6"/>
    <w:rsid w:val="00586D9A"/>
    <w:rsid w:val="00587607"/>
    <w:rsid w:val="00590EAE"/>
    <w:rsid w:val="0059112A"/>
    <w:rsid w:val="0059116B"/>
    <w:rsid w:val="0059187A"/>
    <w:rsid w:val="00591B65"/>
    <w:rsid w:val="00592A14"/>
    <w:rsid w:val="00593216"/>
    <w:rsid w:val="00594BC3"/>
    <w:rsid w:val="00595AB2"/>
    <w:rsid w:val="00596CA7"/>
    <w:rsid w:val="00596DC8"/>
    <w:rsid w:val="00596E16"/>
    <w:rsid w:val="005976B6"/>
    <w:rsid w:val="00597A78"/>
    <w:rsid w:val="00597DC7"/>
    <w:rsid w:val="005A146C"/>
    <w:rsid w:val="005A16A3"/>
    <w:rsid w:val="005A1C48"/>
    <w:rsid w:val="005A253A"/>
    <w:rsid w:val="005A2AD8"/>
    <w:rsid w:val="005A3152"/>
    <w:rsid w:val="005A326B"/>
    <w:rsid w:val="005A40AF"/>
    <w:rsid w:val="005A64BF"/>
    <w:rsid w:val="005B0565"/>
    <w:rsid w:val="005B209E"/>
    <w:rsid w:val="005B381F"/>
    <w:rsid w:val="005B4421"/>
    <w:rsid w:val="005B45CB"/>
    <w:rsid w:val="005B497B"/>
    <w:rsid w:val="005B4B64"/>
    <w:rsid w:val="005B513F"/>
    <w:rsid w:val="005B5782"/>
    <w:rsid w:val="005B7483"/>
    <w:rsid w:val="005B7929"/>
    <w:rsid w:val="005C0643"/>
    <w:rsid w:val="005C147D"/>
    <w:rsid w:val="005C23AF"/>
    <w:rsid w:val="005C25D1"/>
    <w:rsid w:val="005C29F7"/>
    <w:rsid w:val="005C35A9"/>
    <w:rsid w:val="005C464B"/>
    <w:rsid w:val="005C485A"/>
    <w:rsid w:val="005C4E5F"/>
    <w:rsid w:val="005C6F7D"/>
    <w:rsid w:val="005C74A0"/>
    <w:rsid w:val="005C76AB"/>
    <w:rsid w:val="005D052C"/>
    <w:rsid w:val="005D16FE"/>
    <w:rsid w:val="005D2A75"/>
    <w:rsid w:val="005D34F3"/>
    <w:rsid w:val="005D4084"/>
    <w:rsid w:val="005D45DF"/>
    <w:rsid w:val="005D4777"/>
    <w:rsid w:val="005D4C2B"/>
    <w:rsid w:val="005D5784"/>
    <w:rsid w:val="005E22CD"/>
    <w:rsid w:val="005E37F3"/>
    <w:rsid w:val="005E6B93"/>
    <w:rsid w:val="005E7953"/>
    <w:rsid w:val="005E7E82"/>
    <w:rsid w:val="005F0517"/>
    <w:rsid w:val="005F2C42"/>
    <w:rsid w:val="005F6BAB"/>
    <w:rsid w:val="005F6C28"/>
    <w:rsid w:val="005F70DE"/>
    <w:rsid w:val="005F7AB6"/>
    <w:rsid w:val="005F7E3C"/>
    <w:rsid w:val="00600FA8"/>
    <w:rsid w:val="00602267"/>
    <w:rsid w:val="00603A95"/>
    <w:rsid w:val="006063DA"/>
    <w:rsid w:val="00606CD0"/>
    <w:rsid w:val="00606CE3"/>
    <w:rsid w:val="0060749A"/>
    <w:rsid w:val="0060772C"/>
    <w:rsid w:val="006117B0"/>
    <w:rsid w:val="00611DD3"/>
    <w:rsid w:val="00611E37"/>
    <w:rsid w:val="00611EF0"/>
    <w:rsid w:val="00611FCF"/>
    <w:rsid w:val="00612219"/>
    <w:rsid w:val="00612E04"/>
    <w:rsid w:val="00614277"/>
    <w:rsid w:val="00616B67"/>
    <w:rsid w:val="006173A4"/>
    <w:rsid w:val="00617C44"/>
    <w:rsid w:val="00620086"/>
    <w:rsid w:val="00620444"/>
    <w:rsid w:val="00622074"/>
    <w:rsid w:val="00622650"/>
    <w:rsid w:val="00622AAE"/>
    <w:rsid w:val="00622CE4"/>
    <w:rsid w:val="006234A7"/>
    <w:rsid w:val="00623F8E"/>
    <w:rsid w:val="00624003"/>
    <w:rsid w:val="00625917"/>
    <w:rsid w:val="00625CB4"/>
    <w:rsid w:val="0062789F"/>
    <w:rsid w:val="006301BE"/>
    <w:rsid w:val="0063096E"/>
    <w:rsid w:val="00631C8D"/>
    <w:rsid w:val="00632DB2"/>
    <w:rsid w:val="00633349"/>
    <w:rsid w:val="00633D61"/>
    <w:rsid w:val="0063402B"/>
    <w:rsid w:val="00636570"/>
    <w:rsid w:val="00637330"/>
    <w:rsid w:val="00637859"/>
    <w:rsid w:val="00637901"/>
    <w:rsid w:val="00637E1B"/>
    <w:rsid w:val="006402DF"/>
    <w:rsid w:val="00640BF5"/>
    <w:rsid w:val="0064164B"/>
    <w:rsid w:val="0064223D"/>
    <w:rsid w:val="0064257C"/>
    <w:rsid w:val="006429F2"/>
    <w:rsid w:val="006434EB"/>
    <w:rsid w:val="0064416A"/>
    <w:rsid w:val="00644236"/>
    <w:rsid w:val="00644468"/>
    <w:rsid w:val="00644FF2"/>
    <w:rsid w:val="00645F5E"/>
    <w:rsid w:val="006465D1"/>
    <w:rsid w:val="00647B1E"/>
    <w:rsid w:val="00647C55"/>
    <w:rsid w:val="0065008B"/>
    <w:rsid w:val="006517B8"/>
    <w:rsid w:val="00651FC8"/>
    <w:rsid w:val="00653721"/>
    <w:rsid w:val="00653A3B"/>
    <w:rsid w:val="00653FD9"/>
    <w:rsid w:val="006543A2"/>
    <w:rsid w:val="00654D42"/>
    <w:rsid w:val="00656328"/>
    <w:rsid w:val="00660279"/>
    <w:rsid w:val="00660A94"/>
    <w:rsid w:val="006622B9"/>
    <w:rsid w:val="00662E1E"/>
    <w:rsid w:val="0066371E"/>
    <w:rsid w:val="0066455B"/>
    <w:rsid w:val="006651CC"/>
    <w:rsid w:val="006669D9"/>
    <w:rsid w:val="0067080B"/>
    <w:rsid w:val="00670BC4"/>
    <w:rsid w:val="006718ED"/>
    <w:rsid w:val="006724AD"/>
    <w:rsid w:val="00672BAB"/>
    <w:rsid w:val="0067314A"/>
    <w:rsid w:val="00673D1E"/>
    <w:rsid w:val="0067557E"/>
    <w:rsid w:val="00675E9D"/>
    <w:rsid w:val="006779CF"/>
    <w:rsid w:val="00677A8F"/>
    <w:rsid w:val="00677D63"/>
    <w:rsid w:val="00677F8A"/>
    <w:rsid w:val="006821E3"/>
    <w:rsid w:val="00682214"/>
    <w:rsid w:val="0068261F"/>
    <w:rsid w:val="00683AD6"/>
    <w:rsid w:val="006842AE"/>
    <w:rsid w:val="00684D89"/>
    <w:rsid w:val="00686B10"/>
    <w:rsid w:val="00686D9D"/>
    <w:rsid w:val="006875BA"/>
    <w:rsid w:val="006879FA"/>
    <w:rsid w:val="0069097D"/>
    <w:rsid w:val="00690987"/>
    <w:rsid w:val="00692280"/>
    <w:rsid w:val="00693CDD"/>
    <w:rsid w:val="00693FEA"/>
    <w:rsid w:val="00694C68"/>
    <w:rsid w:val="006952E2"/>
    <w:rsid w:val="006955B7"/>
    <w:rsid w:val="006A5773"/>
    <w:rsid w:val="006A5804"/>
    <w:rsid w:val="006A58F0"/>
    <w:rsid w:val="006A6262"/>
    <w:rsid w:val="006B0372"/>
    <w:rsid w:val="006B0764"/>
    <w:rsid w:val="006B081C"/>
    <w:rsid w:val="006B4467"/>
    <w:rsid w:val="006B5E3A"/>
    <w:rsid w:val="006B6C46"/>
    <w:rsid w:val="006B6C5F"/>
    <w:rsid w:val="006B6E78"/>
    <w:rsid w:val="006B7970"/>
    <w:rsid w:val="006C0039"/>
    <w:rsid w:val="006C17DF"/>
    <w:rsid w:val="006C1927"/>
    <w:rsid w:val="006C1966"/>
    <w:rsid w:val="006C2585"/>
    <w:rsid w:val="006C4008"/>
    <w:rsid w:val="006C4E2C"/>
    <w:rsid w:val="006C5931"/>
    <w:rsid w:val="006C5BA0"/>
    <w:rsid w:val="006C73EF"/>
    <w:rsid w:val="006D1723"/>
    <w:rsid w:val="006D373C"/>
    <w:rsid w:val="006D40D3"/>
    <w:rsid w:val="006D5D3F"/>
    <w:rsid w:val="006D60ED"/>
    <w:rsid w:val="006D6B0B"/>
    <w:rsid w:val="006E1166"/>
    <w:rsid w:val="006E24D9"/>
    <w:rsid w:val="006E2546"/>
    <w:rsid w:val="006E2587"/>
    <w:rsid w:val="006E25BA"/>
    <w:rsid w:val="006E596E"/>
    <w:rsid w:val="006E6147"/>
    <w:rsid w:val="006E65E0"/>
    <w:rsid w:val="006E68AE"/>
    <w:rsid w:val="006F033F"/>
    <w:rsid w:val="006F09C5"/>
    <w:rsid w:val="006F24D8"/>
    <w:rsid w:val="006F2590"/>
    <w:rsid w:val="006F33B8"/>
    <w:rsid w:val="006F4C9C"/>
    <w:rsid w:val="006F640F"/>
    <w:rsid w:val="006F6491"/>
    <w:rsid w:val="006F762A"/>
    <w:rsid w:val="00701B6B"/>
    <w:rsid w:val="007026CB"/>
    <w:rsid w:val="00702D07"/>
    <w:rsid w:val="0070384F"/>
    <w:rsid w:val="00703A9E"/>
    <w:rsid w:val="00703D6D"/>
    <w:rsid w:val="00704095"/>
    <w:rsid w:val="00704152"/>
    <w:rsid w:val="00704FB5"/>
    <w:rsid w:val="00706B71"/>
    <w:rsid w:val="0071022A"/>
    <w:rsid w:val="0071277A"/>
    <w:rsid w:val="00712EE5"/>
    <w:rsid w:val="00713493"/>
    <w:rsid w:val="00713494"/>
    <w:rsid w:val="00713913"/>
    <w:rsid w:val="007139F5"/>
    <w:rsid w:val="00713EA7"/>
    <w:rsid w:val="00714031"/>
    <w:rsid w:val="0071429F"/>
    <w:rsid w:val="00714329"/>
    <w:rsid w:val="0071466E"/>
    <w:rsid w:val="00714A6C"/>
    <w:rsid w:val="00714CD3"/>
    <w:rsid w:val="0071582C"/>
    <w:rsid w:val="00715A80"/>
    <w:rsid w:val="00716174"/>
    <w:rsid w:val="007203D8"/>
    <w:rsid w:val="007206A8"/>
    <w:rsid w:val="0072116D"/>
    <w:rsid w:val="0072226F"/>
    <w:rsid w:val="00724A14"/>
    <w:rsid w:val="00725B78"/>
    <w:rsid w:val="00727082"/>
    <w:rsid w:val="00730E35"/>
    <w:rsid w:val="0073233C"/>
    <w:rsid w:val="00732D0C"/>
    <w:rsid w:val="00732F6E"/>
    <w:rsid w:val="00733482"/>
    <w:rsid w:val="00733EAD"/>
    <w:rsid w:val="00734F54"/>
    <w:rsid w:val="00736D93"/>
    <w:rsid w:val="00737C04"/>
    <w:rsid w:val="00737F64"/>
    <w:rsid w:val="0074017E"/>
    <w:rsid w:val="00741545"/>
    <w:rsid w:val="00741DC5"/>
    <w:rsid w:val="00741E6E"/>
    <w:rsid w:val="007422C9"/>
    <w:rsid w:val="0074235D"/>
    <w:rsid w:val="00744110"/>
    <w:rsid w:val="00744595"/>
    <w:rsid w:val="00744F58"/>
    <w:rsid w:val="0074695A"/>
    <w:rsid w:val="00747A52"/>
    <w:rsid w:val="00750F1E"/>
    <w:rsid w:val="00751C12"/>
    <w:rsid w:val="00752691"/>
    <w:rsid w:val="007528F2"/>
    <w:rsid w:val="007575C4"/>
    <w:rsid w:val="00757D63"/>
    <w:rsid w:val="00757DF7"/>
    <w:rsid w:val="0076176A"/>
    <w:rsid w:val="00762A1B"/>
    <w:rsid w:val="00762D6D"/>
    <w:rsid w:val="00763700"/>
    <w:rsid w:val="0076427C"/>
    <w:rsid w:val="00765217"/>
    <w:rsid w:val="007659AA"/>
    <w:rsid w:val="00766334"/>
    <w:rsid w:val="007670D6"/>
    <w:rsid w:val="007715CB"/>
    <w:rsid w:val="0077266C"/>
    <w:rsid w:val="00772802"/>
    <w:rsid w:val="00773800"/>
    <w:rsid w:val="007746E9"/>
    <w:rsid w:val="00774E58"/>
    <w:rsid w:val="00775066"/>
    <w:rsid w:val="00776406"/>
    <w:rsid w:val="007770E2"/>
    <w:rsid w:val="00777CB6"/>
    <w:rsid w:val="0078005A"/>
    <w:rsid w:val="00780A00"/>
    <w:rsid w:val="00781B6F"/>
    <w:rsid w:val="00781F9C"/>
    <w:rsid w:val="007820ED"/>
    <w:rsid w:val="00782DFD"/>
    <w:rsid w:val="00784424"/>
    <w:rsid w:val="00785474"/>
    <w:rsid w:val="00786EFF"/>
    <w:rsid w:val="0078772C"/>
    <w:rsid w:val="00787B99"/>
    <w:rsid w:val="00787D01"/>
    <w:rsid w:val="0079007E"/>
    <w:rsid w:val="007907C8"/>
    <w:rsid w:val="00790B0B"/>
    <w:rsid w:val="007925B6"/>
    <w:rsid w:val="007934F5"/>
    <w:rsid w:val="0079421C"/>
    <w:rsid w:val="0079526D"/>
    <w:rsid w:val="00795A2C"/>
    <w:rsid w:val="00796523"/>
    <w:rsid w:val="00796818"/>
    <w:rsid w:val="00797309"/>
    <w:rsid w:val="00797390"/>
    <w:rsid w:val="007A05B6"/>
    <w:rsid w:val="007A1C0A"/>
    <w:rsid w:val="007A1C59"/>
    <w:rsid w:val="007A1FE4"/>
    <w:rsid w:val="007A2DE9"/>
    <w:rsid w:val="007A4397"/>
    <w:rsid w:val="007A5B41"/>
    <w:rsid w:val="007B002C"/>
    <w:rsid w:val="007B01C7"/>
    <w:rsid w:val="007B2296"/>
    <w:rsid w:val="007B3A76"/>
    <w:rsid w:val="007B5792"/>
    <w:rsid w:val="007B5E7A"/>
    <w:rsid w:val="007C190F"/>
    <w:rsid w:val="007C2934"/>
    <w:rsid w:val="007C2F22"/>
    <w:rsid w:val="007C31E2"/>
    <w:rsid w:val="007C5CE1"/>
    <w:rsid w:val="007C6EF1"/>
    <w:rsid w:val="007C6F85"/>
    <w:rsid w:val="007D0569"/>
    <w:rsid w:val="007D16B1"/>
    <w:rsid w:val="007D18B7"/>
    <w:rsid w:val="007D19E4"/>
    <w:rsid w:val="007D2001"/>
    <w:rsid w:val="007D262F"/>
    <w:rsid w:val="007D3F28"/>
    <w:rsid w:val="007D5673"/>
    <w:rsid w:val="007D7400"/>
    <w:rsid w:val="007D7761"/>
    <w:rsid w:val="007D79FF"/>
    <w:rsid w:val="007E02A7"/>
    <w:rsid w:val="007E0C0A"/>
    <w:rsid w:val="007E2312"/>
    <w:rsid w:val="007E43D8"/>
    <w:rsid w:val="007E468A"/>
    <w:rsid w:val="007E51A5"/>
    <w:rsid w:val="007E5629"/>
    <w:rsid w:val="007E5FA1"/>
    <w:rsid w:val="007E6578"/>
    <w:rsid w:val="007E7F4C"/>
    <w:rsid w:val="007E7FEE"/>
    <w:rsid w:val="007F058B"/>
    <w:rsid w:val="007F0B43"/>
    <w:rsid w:val="007F2EC6"/>
    <w:rsid w:val="007F3018"/>
    <w:rsid w:val="007F56EB"/>
    <w:rsid w:val="007F61E4"/>
    <w:rsid w:val="007F6862"/>
    <w:rsid w:val="007F717C"/>
    <w:rsid w:val="008013FC"/>
    <w:rsid w:val="00802634"/>
    <w:rsid w:val="0080355E"/>
    <w:rsid w:val="008060C3"/>
    <w:rsid w:val="00806156"/>
    <w:rsid w:val="008063A1"/>
    <w:rsid w:val="00807F00"/>
    <w:rsid w:val="008106E3"/>
    <w:rsid w:val="008111CE"/>
    <w:rsid w:val="008116BF"/>
    <w:rsid w:val="00812095"/>
    <w:rsid w:val="008134BD"/>
    <w:rsid w:val="008137FB"/>
    <w:rsid w:val="008139A5"/>
    <w:rsid w:val="00814656"/>
    <w:rsid w:val="00820E45"/>
    <w:rsid w:val="00821410"/>
    <w:rsid w:val="00821E2C"/>
    <w:rsid w:val="00822021"/>
    <w:rsid w:val="00822835"/>
    <w:rsid w:val="0082459B"/>
    <w:rsid w:val="0082464C"/>
    <w:rsid w:val="00826758"/>
    <w:rsid w:val="008313D1"/>
    <w:rsid w:val="00831D6F"/>
    <w:rsid w:val="0083211B"/>
    <w:rsid w:val="00833261"/>
    <w:rsid w:val="0083388F"/>
    <w:rsid w:val="008353E0"/>
    <w:rsid w:val="008365F0"/>
    <w:rsid w:val="00837A26"/>
    <w:rsid w:val="00841534"/>
    <w:rsid w:val="008425E8"/>
    <w:rsid w:val="00845ED1"/>
    <w:rsid w:val="008462F1"/>
    <w:rsid w:val="00846930"/>
    <w:rsid w:val="008505D8"/>
    <w:rsid w:val="00850FDE"/>
    <w:rsid w:val="00852876"/>
    <w:rsid w:val="00852C2E"/>
    <w:rsid w:val="008543F5"/>
    <w:rsid w:val="00855004"/>
    <w:rsid w:val="008572C4"/>
    <w:rsid w:val="0085733E"/>
    <w:rsid w:val="008575A6"/>
    <w:rsid w:val="0085765A"/>
    <w:rsid w:val="008604A8"/>
    <w:rsid w:val="00860E64"/>
    <w:rsid w:val="008611F8"/>
    <w:rsid w:val="008616F7"/>
    <w:rsid w:val="00861AFA"/>
    <w:rsid w:val="00863C61"/>
    <w:rsid w:val="00865522"/>
    <w:rsid w:val="00865821"/>
    <w:rsid w:val="00865ADF"/>
    <w:rsid w:val="00865F29"/>
    <w:rsid w:val="0086644C"/>
    <w:rsid w:val="008666B5"/>
    <w:rsid w:val="008703B3"/>
    <w:rsid w:val="00871F13"/>
    <w:rsid w:val="0087266C"/>
    <w:rsid w:val="00872998"/>
    <w:rsid w:val="008734A8"/>
    <w:rsid w:val="00875131"/>
    <w:rsid w:val="00876985"/>
    <w:rsid w:val="008771AF"/>
    <w:rsid w:val="008808E6"/>
    <w:rsid w:val="00883780"/>
    <w:rsid w:val="00883B99"/>
    <w:rsid w:val="00883BAA"/>
    <w:rsid w:val="00884BAB"/>
    <w:rsid w:val="00885066"/>
    <w:rsid w:val="00885F85"/>
    <w:rsid w:val="0088665E"/>
    <w:rsid w:val="00887F48"/>
    <w:rsid w:val="008906DB"/>
    <w:rsid w:val="00890B7A"/>
    <w:rsid w:val="008915C1"/>
    <w:rsid w:val="008923C8"/>
    <w:rsid w:val="008924B5"/>
    <w:rsid w:val="00893260"/>
    <w:rsid w:val="008932A8"/>
    <w:rsid w:val="00893756"/>
    <w:rsid w:val="00894A9E"/>
    <w:rsid w:val="008950F6"/>
    <w:rsid w:val="00895338"/>
    <w:rsid w:val="00896815"/>
    <w:rsid w:val="00897DA3"/>
    <w:rsid w:val="008A0744"/>
    <w:rsid w:val="008A0A6E"/>
    <w:rsid w:val="008A0D0F"/>
    <w:rsid w:val="008A2F6D"/>
    <w:rsid w:val="008A2FB3"/>
    <w:rsid w:val="008A398B"/>
    <w:rsid w:val="008A54F7"/>
    <w:rsid w:val="008A5601"/>
    <w:rsid w:val="008A59AD"/>
    <w:rsid w:val="008A5D6E"/>
    <w:rsid w:val="008A75A5"/>
    <w:rsid w:val="008A7A25"/>
    <w:rsid w:val="008B0EEB"/>
    <w:rsid w:val="008B105A"/>
    <w:rsid w:val="008B149A"/>
    <w:rsid w:val="008B1F55"/>
    <w:rsid w:val="008B431D"/>
    <w:rsid w:val="008B51FD"/>
    <w:rsid w:val="008B6269"/>
    <w:rsid w:val="008B6766"/>
    <w:rsid w:val="008B70F5"/>
    <w:rsid w:val="008B7186"/>
    <w:rsid w:val="008B7192"/>
    <w:rsid w:val="008C1159"/>
    <w:rsid w:val="008C15AA"/>
    <w:rsid w:val="008C1939"/>
    <w:rsid w:val="008C3396"/>
    <w:rsid w:val="008C3F4F"/>
    <w:rsid w:val="008C621C"/>
    <w:rsid w:val="008C697C"/>
    <w:rsid w:val="008C6F32"/>
    <w:rsid w:val="008C7448"/>
    <w:rsid w:val="008C75ED"/>
    <w:rsid w:val="008C7649"/>
    <w:rsid w:val="008D1997"/>
    <w:rsid w:val="008D279E"/>
    <w:rsid w:val="008D3458"/>
    <w:rsid w:val="008D4986"/>
    <w:rsid w:val="008D5706"/>
    <w:rsid w:val="008D78F9"/>
    <w:rsid w:val="008E03B0"/>
    <w:rsid w:val="008E0991"/>
    <w:rsid w:val="008E1A58"/>
    <w:rsid w:val="008E1FBF"/>
    <w:rsid w:val="008E338E"/>
    <w:rsid w:val="008E339C"/>
    <w:rsid w:val="008E48BC"/>
    <w:rsid w:val="008E57FE"/>
    <w:rsid w:val="008F1818"/>
    <w:rsid w:val="008F25F6"/>
    <w:rsid w:val="008F2665"/>
    <w:rsid w:val="008F37B7"/>
    <w:rsid w:val="008F507E"/>
    <w:rsid w:val="008F5251"/>
    <w:rsid w:val="008F6376"/>
    <w:rsid w:val="00900CC2"/>
    <w:rsid w:val="00900DDE"/>
    <w:rsid w:val="00901770"/>
    <w:rsid w:val="009017F6"/>
    <w:rsid w:val="009019FB"/>
    <w:rsid w:val="009020B7"/>
    <w:rsid w:val="00902985"/>
    <w:rsid w:val="00902AA5"/>
    <w:rsid w:val="009052B7"/>
    <w:rsid w:val="00905B05"/>
    <w:rsid w:val="0090753C"/>
    <w:rsid w:val="0090759D"/>
    <w:rsid w:val="00907FF6"/>
    <w:rsid w:val="0091156F"/>
    <w:rsid w:val="00911B66"/>
    <w:rsid w:val="00912A7E"/>
    <w:rsid w:val="0091443B"/>
    <w:rsid w:val="00914879"/>
    <w:rsid w:val="00915330"/>
    <w:rsid w:val="00916E69"/>
    <w:rsid w:val="00917416"/>
    <w:rsid w:val="00917525"/>
    <w:rsid w:val="0091777D"/>
    <w:rsid w:val="00917C39"/>
    <w:rsid w:val="0092057D"/>
    <w:rsid w:val="0092113B"/>
    <w:rsid w:val="009218DE"/>
    <w:rsid w:val="00922A5C"/>
    <w:rsid w:val="00922D00"/>
    <w:rsid w:val="009233CC"/>
    <w:rsid w:val="00923F17"/>
    <w:rsid w:val="00925FCC"/>
    <w:rsid w:val="009266DA"/>
    <w:rsid w:val="00927F35"/>
    <w:rsid w:val="00930DE8"/>
    <w:rsid w:val="00930E33"/>
    <w:rsid w:val="009318DD"/>
    <w:rsid w:val="009352C3"/>
    <w:rsid w:val="00935413"/>
    <w:rsid w:val="00935F5D"/>
    <w:rsid w:val="0093669F"/>
    <w:rsid w:val="009368E0"/>
    <w:rsid w:val="009378F1"/>
    <w:rsid w:val="00941D77"/>
    <w:rsid w:val="009421C8"/>
    <w:rsid w:val="0094260B"/>
    <w:rsid w:val="00942661"/>
    <w:rsid w:val="00944C96"/>
    <w:rsid w:val="00945307"/>
    <w:rsid w:val="0094558D"/>
    <w:rsid w:val="0094697C"/>
    <w:rsid w:val="00946BE9"/>
    <w:rsid w:val="00946FCE"/>
    <w:rsid w:val="009515BC"/>
    <w:rsid w:val="0095349A"/>
    <w:rsid w:val="00953B5B"/>
    <w:rsid w:val="00953ED0"/>
    <w:rsid w:val="0095492E"/>
    <w:rsid w:val="00955F7D"/>
    <w:rsid w:val="0095627F"/>
    <w:rsid w:val="00956B21"/>
    <w:rsid w:val="0096164A"/>
    <w:rsid w:val="0096242F"/>
    <w:rsid w:val="00962E3B"/>
    <w:rsid w:val="00962FF5"/>
    <w:rsid w:val="00963395"/>
    <w:rsid w:val="0096381E"/>
    <w:rsid w:val="00963FF7"/>
    <w:rsid w:val="00964A4E"/>
    <w:rsid w:val="00965B02"/>
    <w:rsid w:val="00965C07"/>
    <w:rsid w:val="00965D2D"/>
    <w:rsid w:val="0096653F"/>
    <w:rsid w:val="00967444"/>
    <w:rsid w:val="00970A16"/>
    <w:rsid w:val="00971847"/>
    <w:rsid w:val="00972964"/>
    <w:rsid w:val="00973097"/>
    <w:rsid w:val="00973690"/>
    <w:rsid w:val="009745A9"/>
    <w:rsid w:val="0097630D"/>
    <w:rsid w:val="0097762F"/>
    <w:rsid w:val="00977C0A"/>
    <w:rsid w:val="009816B8"/>
    <w:rsid w:val="00983B45"/>
    <w:rsid w:val="00983B5C"/>
    <w:rsid w:val="00983E40"/>
    <w:rsid w:val="00984280"/>
    <w:rsid w:val="00984694"/>
    <w:rsid w:val="00985E12"/>
    <w:rsid w:val="0098766F"/>
    <w:rsid w:val="00987C7E"/>
    <w:rsid w:val="00991FB6"/>
    <w:rsid w:val="00992675"/>
    <w:rsid w:val="00993912"/>
    <w:rsid w:val="00994050"/>
    <w:rsid w:val="009952F6"/>
    <w:rsid w:val="00995BC2"/>
    <w:rsid w:val="009962CF"/>
    <w:rsid w:val="009969D6"/>
    <w:rsid w:val="009A2F5A"/>
    <w:rsid w:val="009A4543"/>
    <w:rsid w:val="009A4B0E"/>
    <w:rsid w:val="009A4E5B"/>
    <w:rsid w:val="009A5DB1"/>
    <w:rsid w:val="009A6639"/>
    <w:rsid w:val="009A6F89"/>
    <w:rsid w:val="009A7C5A"/>
    <w:rsid w:val="009A7E51"/>
    <w:rsid w:val="009B089B"/>
    <w:rsid w:val="009B21B9"/>
    <w:rsid w:val="009B22AE"/>
    <w:rsid w:val="009B2B00"/>
    <w:rsid w:val="009B2B18"/>
    <w:rsid w:val="009B2FAD"/>
    <w:rsid w:val="009B32E3"/>
    <w:rsid w:val="009B4CD0"/>
    <w:rsid w:val="009B4DA7"/>
    <w:rsid w:val="009B56E0"/>
    <w:rsid w:val="009C038C"/>
    <w:rsid w:val="009C21C6"/>
    <w:rsid w:val="009C2B7D"/>
    <w:rsid w:val="009C383B"/>
    <w:rsid w:val="009C3A80"/>
    <w:rsid w:val="009C40B9"/>
    <w:rsid w:val="009C41EC"/>
    <w:rsid w:val="009C43F5"/>
    <w:rsid w:val="009C5238"/>
    <w:rsid w:val="009D090E"/>
    <w:rsid w:val="009D12B4"/>
    <w:rsid w:val="009D1926"/>
    <w:rsid w:val="009D1E70"/>
    <w:rsid w:val="009D2135"/>
    <w:rsid w:val="009D2FA7"/>
    <w:rsid w:val="009D3673"/>
    <w:rsid w:val="009D4166"/>
    <w:rsid w:val="009D4A72"/>
    <w:rsid w:val="009D4CAE"/>
    <w:rsid w:val="009D55F9"/>
    <w:rsid w:val="009D5837"/>
    <w:rsid w:val="009D5A11"/>
    <w:rsid w:val="009D765F"/>
    <w:rsid w:val="009D7760"/>
    <w:rsid w:val="009E0BF5"/>
    <w:rsid w:val="009E16E6"/>
    <w:rsid w:val="009E1C0D"/>
    <w:rsid w:val="009E1E62"/>
    <w:rsid w:val="009E2953"/>
    <w:rsid w:val="009E30CE"/>
    <w:rsid w:val="009E434D"/>
    <w:rsid w:val="009E4BA2"/>
    <w:rsid w:val="009E4CDF"/>
    <w:rsid w:val="009E5C62"/>
    <w:rsid w:val="009E7C7C"/>
    <w:rsid w:val="009F01D1"/>
    <w:rsid w:val="009F04C3"/>
    <w:rsid w:val="009F0760"/>
    <w:rsid w:val="009F16BB"/>
    <w:rsid w:val="009F3B29"/>
    <w:rsid w:val="009F4860"/>
    <w:rsid w:val="009F5559"/>
    <w:rsid w:val="009F6736"/>
    <w:rsid w:val="00A00057"/>
    <w:rsid w:val="00A00485"/>
    <w:rsid w:val="00A01A5F"/>
    <w:rsid w:val="00A025AC"/>
    <w:rsid w:val="00A02C96"/>
    <w:rsid w:val="00A02E65"/>
    <w:rsid w:val="00A0340A"/>
    <w:rsid w:val="00A0440C"/>
    <w:rsid w:val="00A047AE"/>
    <w:rsid w:val="00A04C82"/>
    <w:rsid w:val="00A0585F"/>
    <w:rsid w:val="00A0694A"/>
    <w:rsid w:val="00A06C19"/>
    <w:rsid w:val="00A0750D"/>
    <w:rsid w:val="00A077AC"/>
    <w:rsid w:val="00A07A33"/>
    <w:rsid w:val="00A10A30"/>
    <w:rsid w:val="00A1137C"/>
    <w:rsid w:val="00A113D7"/>
    <w:rsid w:val="00A11F0F"/>
    <w:rsid w:val="00A12A68"/>
    <w:rsid w:val="00A1426B"/>
    <w:rsid w:val="00A16126"/>
    <w:rsid w:val="00A165DB"/>
    <w:rsid w:val="00A20043"/>
    <w:rsid w:val="00A2083D"/>
    <w:rsid w:val="00A21C6C"/>
    <w:rsid w:val="00A2365A"/>
    <w:rsid w:val="00A23C34"/>
    <w:rsid w:val="00A24133"/>
    <w:rsid w:val="00A24B81"/>
    <w:rsid w:val="00A262BF"/>
    <w:rsid w:val="00A26776"/>
    <w:rsid w:val="00A27809"/>
    <w:rsid w:val="00A27F77"/>
    <w:rsid w:val="00A30533"/>
    <w:rsid w:val="00A317B0"/>
    <w:rsid w:val="00A31BF6"/>
    <w:rsid w:val="00A34591"/>
    <w:rsid w:val="00A34E44"/>
    <w:rsid w:val="00A35651"/>
    <w:rsid w:val="00A35B8F"/>
    <w:rsid w:val="00A3640F"/>
    <w:rsid w:val="00A3735C"/>
    <w:rsid w:val="00A37B39"/>
    <w:rsid w:val="00A37ECF"/>
    <w:rsid w:val="00A40CE2"/>
    <w:rsid w:val="00A421C8"/>
    <w:rsid w:val="00A42FAE"/>
    <w:rsid w:val="00A43553"/>
    <w:rsid w:val="00A47176"/>
    <w:rsid w:val="00A475C5"/>
    <w:rsid w:val="00A4768C"/>
    <w:rsid w:val="00A50A68"/>
    <w:rsid w:val="00A50D3B"/>
    <w:rsid w:val="00A50E38"/>
    <w:rsid w:val="00A510C6"/>
    <w:rsid w:val="00A518AA"/>
    <w:rsid w:val="00A525E7"/>
    <w:rsid w:val="00A52F9E"/>
    <w:rsid w:val="00A534AF"/>
    <w:rsid w:val="00A539ED"/>
    <w:rsid w:val="00A56348"/>
    <w:rsid w:val="00A56A58"/>
    <w:rsid w:val="00A5703F"/>
    <w:rsid w:val="00A57D39"/>
    <w:rsid w:val="00A60CB2"/>
    <w:rsid w:val="00A61825"/>
    <w:rsid w:val="00A6316B"/>
    <w:rsid w:val="00A65316"/>
    <w:rsid w:val="00A66A3B"/>
    <w:rsid w:val="00A674FF"/>
    <w:rsid w:val="00A70F69"/>
    <w:rsid w:val="00A72611"/>
    <w:rsid w:val="00A73001"/>
    <w:rsid w:val="00A73ABB"/>
    <w:rsid w:val="00A751A1"/>
    <w:rsid w:val="00A75BC4"/>
    <w:rsid w:val="00A76D2C"/>
    <w:rsid w:val="00A77746"/>
    <w:rsid w:val="00A806AA"/>
    <w:rsid w:val="00A83BF6"/>
    <w:rsid w:val="00A84BAC"/>
    <w:rsid w:val="00A87B4F"/>
    <w:rsid w:val="00A87F31"/>
    <w:rsid w:val="00A90806"/>
    <w:rsid w:val="00A90D27"/>
    <w:rsid w:val="00A9103B"/>
    <w:rsid w:val="00A91284"/>
    <w:rsid w:val="00A918A7"/>
    <w:rsid w:val="00A92871"/>
    <w:rsid w:val="00A955EB"/>
    <w:rsid w:val="00A9591E"/>
    <w:rsid w:val="00A96A9C"/>
    <w:rsid w:val="00A97C1F"/>
    <w:rsid w:val="00AA16DD"/>
    <w:rsid w:val="00AA1F49"/>
    <w:rsid w:val="00AA3A2E"/>
    <w:rsid w:val="00AA4099"/>
    <w:rsid w:val="00AA4660"/>
    <w:rsid w:val="00AA495E"/>
    <w:rsid w:val="00AA4D5A"/>
    <w:rsid w:val="00AA6913"/>
    <w:rsid w:val="00AB17B6"/>
    <w:rsid w:val="00AB2190"/>
    <w:rsid w:val="00AB33D5"/>
    <w:rsid w:val="00AB39EB"/>
    <w:rsid w:val="00AB3F27"/>
    <w:rsid w:val="00AB3FD9"/>
    <w:rsid w:val="00AB7DE7"/>
    <w:rsid w:val="00AC01D4"/>
    <w:rsid w:val="00AC03AB"/>
    <w:rsid w:val="00AC0650"/>
    <w:rsid w:val="00AC1BE7"/>
    <w:rsid w:val="00AC275F"/>
    <w:rsid w:val="00AC3CD0"/>
    <w:rsid w:val="00AC3EE4"/>
    <w:rsid w:val="00AC50A4"/>
    <w:rsid w:val="00AC5A95"/>
    <w:rsid w:val="00AC6074"/>
    <w:rsid w:val="00AC6471"/>
    <w:rsid w:val="00AC7484"/>
    <w:rsid w:val="00AD0129"/>
    <w:rsid w:val="00AD1751"/>
    <w:rsid w:val="00AD2B6E"/>
    <w:rsid w:val="00AD2D5C"/>
    <w:rsid w:val="00AD340D"/>
    <w:rsid w:val="00AD3443"/>
    <w:rsid w:val="00AD3E9B"/>
    <w:rsid w:val="00AD4B3C"/>
    <w:rsid w:val="00AD4BEB"/>
    <w:rsid w:val="00AD66C0"/>
    <w:rsid w:val="00AD68A5"/>
    <w:rsid w:val="00AE08A3"/>
    <w:rsid w:val="00AE185D"/>
    <w:rsid w:val="00AE1960"/>
    <w:rsid w:val="00AE1BFE"/>
    <w:rsid w:val="00AE22F5"/>
    <w:rsid w:val="00AE3842"/>
    <w:rsid w:val="00AE3D83"/>
    <w:rsid w:val="00AE4374"/>
    <w:rsid w:val="00AE466A"/>
    <w:rsid w:val="00AE47E9"/>
    <w:rsid w:val="00AE485C"/>
    <w:rsid w:val="00AE7696"/>
    <w:rsid w:val="00AE7D4F"/>
    <w:rsid w:val="00AE7FE4"/>
    <w:rsid w:val="00AF0117"/>
    <w:rsid w:val="00AF0B87"/>
    <w:rsid w:val="00AF17D3"/>
    <w:rsid w:val="00AF1D77"/>
    <w:rsid w:val="00AF1E50"/>
    <w:rsid w:val="00AF2CA1"/>
    <w:rsid w:val="00AF38BA"/>
    <w:rsid w:val="00AF4F67"/>
    <w:rsid w:val="00AF5811"/>
    <w:rsid w:val="00AF647D"/>
    <w:rsid w:val="00AF6509"/>
    <w:rsid w:val="00AF6673"/>
    <w:rsid w:val="00B00BBE"/>
    <w:rsid w:val="00B01453"/>
    <w:rsid w:val="00B0456E"/>
    <w:rsid w:val="00B050DD"/>
    <w:rsid w:val="00B057FE"/>
    <w:rsid w:val="00B06A05"/>
    <w:rsid w:val="00B06BF6"/>
    <w:rsid w:val="00B06E97"/>
    <w:rsid w:val="00B06F7F"/>
    <w:rsid w:val="00B100F0"/>
    <w:rsid w:val="00B1402E"/>
    <w:rsid w:val="00B142FD"/>
    <w:rsid w:val="00B14865"/>
    <w:rsid w:val="00B21D50"/>
    <w:rsid w:val="00B229BE"/>
    <w:rsid w:val="00B22F9B"/>
    <w:rsid w:val="00B234B4"/>
    <w:rsid w:val="00B23747"/>
    <w:rsid w:val="00B23E0A"/>
    <w:rsid w:val="00B24090"/>
    <w:rsid w:val="00B2540C"/>
    <w:rsid w:val="00B257E3"/>
    <w:rsid w:val="00B25BBC"/>
    <w:rsid w:val="00B260C7"/>
    <w:rsid w:val="00B27494"/>
    <w:rsid w:val="00B279B9"/>
    <w:rsid w:val="00B27BFD"/>
    <w:rsid w:val="00B307CA"/>
    <w:rsid w:val="00B30FD0"/>
    <w:rsid w:val="00B34F48"/>
    <w:rsid w:val="00B420F4"/>
    <w:rsid w:val="00B43252"/>
    <w:rsid w:val="00B4331E"/>
    <w:rsid w:val="00B439F8"/>
    <w:rsid w:val="00B43B5B"/>
    <w:rsid w:val="00B43B75"/>
    <w:rsid w:val="00B44C1A"/>
    <w:rsid w:val="00B45DF2"/>
    <w:rsid w:val="00B461A1"/>
    <w:rsid w:val="00B47961"/>
    <w:rsid w:val="00B51BA0"/>
    <w:rsid w:val="00B535BD"/>
    <w:rsid w:val="00B53701"/>
    <w:rsid w:val="00B5509D"/>
    <w:rsid w:val="00B55158"/>
    <w:rsid w:val="00B56A26"/>
    <w:rsid w:val="00B56AF6"/>
    <w:rsid w:val="00B573E6"/>
    <w:rsid w:val="00B6110A"/>
    <w:rsid w:val="00B6176A"/>
    <w:rsid w:val="00B6301A"/>
    <w:rsid w:val="00B64799"/>
    <w:rsid w:val="00B64CAD"/>
    <w:rsid w:val="00B65050"/>
    <w:rsid w:val="00B651FA"/>
    <w:rsid w:val="00B657C0"/>
    <w:rsid w:val="00B66751"/>
    <w:rsid w:val="00B66B7C"/>
    <w:rsid w:val="00B66CD7"/>
    <w:rsid w:val="00B67AA6"/>
    <w:rsid w:val="00B67E3D"/>
    <w:rsid w:val="00B7066C"/>
    <w:rsid w:val="00B717D8"/>
    <w:rsid w:val="00B718E0"/>
    <w:rsid w:val="00B72DF3"/>
    <w:rsid w:val="00B74146"/>
    <w:rsid w:val="00B747A3"/>
    <w:rsid w:val="00B75A27"/>
    <w:rsid w:val="00B75A30"/>
    <w:rsid w:val="00B75E52"/>
    <w:rsid w:val="00B76F6C"/>
    <w:rsid w:val="00B8080B"/>
    <w:rsid w:val="00B811EF"/>
    <w:rsid w:val="00B81568"/>
    <w:rsid w:val="00B82B8F"/>
    <w:rsid w:val="00B8310D"/>
    <w:rsid w:val="00B831B9"/>
    <w:rsid w:val="00B86119"/>
    <w:rsid w:val="00B8652E"/>
    <w:rsid w:val="00B86EF1"/>
    <w:rsid w:val="00B87EB1"/>
    <w:rsid w:val="00B90674"/>
    <w:rsid w:val="00B91FFF"/>
    <w:rsid w:val="00B9234D"/>
    <w:rsid w:val="00B934E3"/>
    <w:rsid w:val="00B94323"/>
    <w:rsid w:val="00B94444"/>
    <w:rsid w:val="00B944D9"/>
    <w:rsid w:val="00B95583"/>
    <w:rsid w:val="00B9566B"/>
    <w:rsid w:val="00B95F92"/>
    <w:rsid w:val="00B9604A"/>
    <w:rsid w:val="00B961B7"/>
    <w:rsid w:val="00B963D4"/>
    <w:rsid w:val="00B9758A"/>
    <w:rsid w:val="00B9772B"/>
    <w:rsid w:val="00BA1F5F"/>
    <w:rsid w:val="00BA2578"/>
    <w:rsid w:val="00BA2DEF"/>
    <w:rsid w:val="00BA35F2"/>
    <w:rsid w:val="00BA42FB"/>
    <w:rsid w:val="00BA4768"/>
    <w:rsid w:val="00BA4861"/>
    <w:rsid w:val="00BA4A92"/>
    <w:rsid w:val="00BA516F"/>
    <w:rsid w:val="00BA628C"/>
    <w:rsid w:val="00BA7059"/>
    <w:rsid w:val="00BB0051"/>
    <w:rsid w:val="00BB02C6"/>
    <w:rsid w:val="00BB1082"/>
    <w:rsid w:val="00BB2127"/>
    <w:rsid w:val="00BB3805"/>
    <w:rsid w:val="00BB3CE0"/>
    <w:rsid w:val="00BB41EE"/>
    <w:rsid w:val="00BB4589"/>
    <w:rsid w:val="00BB52A5"/>
    <w:rsid w:val="00BB5893"/>
    <w:rsid w:val="00BB5EE3"/>
    <w:rsid w:val="00BB6740"/>
    <w:rsid w:val="00BB7EA1"/>
    <w:rsid w:val="00BB7F81"/>
    <w:rsid w:val="00BC02F0"/>
    <w:rsid w:val="00BC2149"/>
    <w:rsid w:val="00BC269B"/>
    <w:rsid w:val="00BC27AD"/>
    <w:rsid w:val="00BC27D2"/>
    <w:rsid w:val="00BC299D"/>
    <w:rsid w:val="00BC6D0F"/>
    <w:rsid w:val="00BD26DC"/>
    <w:rsid w:val="00BD35E1"/>
    <w:rsid w:val="00BD3A56"/>
    <w:rsid w:val="00BD54FC"/>
    <w:rsid w:val="00BD5F9C"/>
    <w:rsid w:val="00BD63C3"/>
    <w:rsid w:val="00BD67CE"/>
    <w:rsid w:val="00BD76A4"/>
    <w:rsid w:val="00BE0186"/>
    <w:rsid w:val="00BE0D5B"/>
    <w:rsid w:val="00BE1C8A"/>
    <w:rsid w:val="00BE27A5"/>
    <w:rsid w:val="00BE479C"/>
    <w:rsid w:val="00BE4857"/>
    <w:rsid w:val="00BE5847"/>
    <w:rsid w:val="00BE5BE0"/>
    <w:rsid w:val="00BE5D1D"/>
    <w:rsid w:val="00BE697B"/>
    <w:rsid w:val="00BE70E8"/>
    <w:rsid w:val="00BF0E76"/>
    <w:rsid w:val="00BF19DC"/>
    <w:rsid w:val="00BF2B3E"/>
    <w:rsid w:val="00BF2DAF"/>
    <w:rsid w:val="00BF4B89"/>
    <w:rsid w:val="00BF4B8B"/>
    <w:rsid w:val="00BF4E1B"/>
    <w:rsid w:val="00BF5AB9"/>
    <w:rsid w:val="00C01083"/>
    <w:rsid w:val="00C03E36"/>
    <w:rsid w:val="00C0480F"/>
    <w:rsid w:val="00C04C9A"/>
    <w:rsid w:val="00C1043C"/>
    <w:rsid w:val="00C10D90"/>
    <w:rsid w:val="00C12A51"/>
    <w:rsid w:val="00C12C65"/>
    <w:rsid w:val="00C12CD1"/>
    <w:rsid w:val="00C15494"/>
    <w:rsid w:val="00C1591E"/>
    <w:rsid w:val="00C173EE"/>
    <w:rsid w:val="00C20CD6"/>
    <w:rsid w:val="00C20D36"/>
    <w:rsid w:val="00C21038"/>
    <w:rsid w:val="00C2286B"/>
    <w:rsid w:val="00C2396B"/>
    <w:rsid w:val="00C26865"/>
    <w:rsid w:val="00C268B5"/>
    <w:rsid w:val="00C2785F"/>
    <w:rsid w:val="00C30BA6"/>
    <w:rsid w:val="00C31246"/>
    <w:rsid w:val="00C31467"/>
    <w:rsid w:val="00C33F0C"/>
    <w:rsid w:val="00C3409D"/>
    <w:rsid w:val="00C34CCB"/>
    <w:rsid w:val="00C34D57"/>
    <w:rsid w:val="00C3505B"/>
    <w:rsid w:val="00C35515"/>
    <w:rsid w:val="00C35807"/>
    <w:rsid w:val="00C35A4B"/>
    <w:rsid w:val="00C36696"/>
    <w:rsid w:val="00C36720"/>
    <w:rsid w:val="00C36777"/>
    <w:rsid w:val="00C37518"/>
    <w:rsid w:val="00C37F00"/>
    <w:rsid w:val="00C421C9"/>
    <w:rsid w:val="00C42A3A"/>
    <w:rsid w:val="00C437C6"/>
    <w:rsid w:val="00C4517F"/>
    <w:rsid w:val="00C45232"/>
    <w:rsid w:val="00C46E94"/>
    <w:rsid w:val="00C4713F"/>
    <w:rsid w:val="00C51509"/>
    <w:rsid w:val="00C52097"/>
    <w:rsid w:val="00C52A1F"/>
    <w:rsid w:val="00C52BA5"/>
    <w:rsid w:val="00C52C41"/>
    <w:rsid w:val="00C52F47"/>
    <w:rsid w:val="00C53323"/>
    <w:rsid w:val="00C54D8C"/>
    <w:rsid w:val="00C55933"/>
    <w:rsid w:val="00C57493"/>
    <w:rsid w:val="00C57F70"/>
    <w:rsid w:val="00C605E6"/>
    <w:rsid w:val="00C60704"/>
    <w:rsid w:val="00C6081A"/>
    <w:rsid w:val="00C609E7"/>
    <w:rsid w:val="00C619E9"/>
    <w:rsid w:val="00C63647"/>
    <w:rsid w:val="00C64D07"/>
    <w:rsid w:val="00C66CEF"/>
    <w:rsid w:val="00C66F8A"/>
    <w:rsid w:val="00C670FE"/>
    <w:rsid w:val="00C71087"/>
    <w:rsid w:val="00C71E3C"/>
    <w:rsid w:val="00C7221D"/>
    <w:rsid w:val="00C730D5"/>
    <w:rsid w:val="00C73C17"/>
    <w:rsid w:val="00C74579"/>
    <w:rsid w:val="00C75492"/>
    <w:rsid w:val="00C77C78"/>
    <w:rsid w:val="00C809B6"/>
    <w:rsid w:val="00C80DD5"/>
    <w:rsid w:val="00C8146C"/>
    <w:rsid w:val="00C8231E"/>
    <w:rsid w:val="00C83356"/>
    <w:rsid w:val="00C846DD"/>
    <w:rsid w:val="00C85CA6"/>
    <w:rsid w:val="00C85E24"/>
    <w:rsid w:val="00C87171"/>
    <w:rsid w:val="00C873DA"/>
    <w:rsid w:val="00C90A7F"/>
    <w:rsid w:val="00C9147E"/>
    <w:rsid w:val="00C925ED"/>
    <w:rsid w:val="00C9339F"/>
    <w:rsid w:val="00C94609"/>
    <w:rsid w:val="00C94AA8"/>
    <w:rsid w:val="00C96618"/>
    <w:rsid w:val="00C96A10"/>
    <w:rsid w:val="00C9753B"/>
    <w:rsid w:val="00CA06DC"/>
    <w:rsid w:val="00CA0C87"/>
    <w:rsid w:val="00CA166A"/>
    <w:rsid w:val="00CA19CD"/>
    <w:rsid w:val="00CA1E89"/>
    <w:rsid w:val="00CA1F28"/>
    <w:rsid w:val="00CA20F3"/>
    <w:rsid w:val="00CA2747"/>
    <w:rsid w:val="00CA4A62"/>
    <w:rsid w:val="00CA5436"/>
    <w:rsid w:val="00CA561E"/>
    <w:rsid w:val="00CA5B58"/>
    <w:rsid w:val="00CA659E"/>
    <w:rsid w:val="00CA6A39"/>
    <w:rsid w:val="00CA7D13"/>
    <w:rsid w:val="00CA7DAD"/>
    <w:rsid w:val="00CB23DD"/>
    <w:rsid w:val="00CB2757"/>
    <w:rsid w:val="00CB2FE7"/>
    <w:rsid w:val="00CB3B57"/>
    <w:rsid w:val="00CB42AE"/>
    <w:rsid w:val="00CB5100"/>
    <w:rsid w:val="00CB6768"/>
    <w:rsid w:val="00CB6BBA"/>
    <w:rsid w:val="00CB768F"/>
    <w:rsid w:val="00CB777E"/>
    <w:rsid w:val="00CC0848"/>
    <w:rsid w:val="00CC17DB"/>
    <w:rsid w:val="00CC2B78"/>
    <w:rsid w:val="00CC2F01"/>
    <w:rsid w:val="00CC3168"/>
    <w:rsid w:val="00CC586C"/>
    <w:rsid w:val="00CC6453"/>
    <w:rsid w:val="00CD21E2"/>
    <w:rsid w:val="00CD28F0"/>
    <w:rsid w:val="00CD2D8A"/>
    <w:rsid w:val="00CD31EA"/>
    <w:rsid w:val="00CD4201"/>
    <w:rsid w:val="00CD4B6F"/>
    <w:rsid w:val="00CD692F"/>
    <w:rsid w:val="00CE0392"/>
    <w:rsid w:val="00CE1466"/>
    <w:rsid w:val="00CE2303"/>
    <w:rsid w:val="00CE3B64"/>
    <w:rsid w:val="00CE5481"/>
    <w:rsid w:val="00CE5866"/>
    <w:rsid w:val="00CE5F18"/>
    <w:rsid w:val="00CE6F6F"/>
    <w:rsid w:val="00CE7B55"/>
    <w:rsid w:val="00CE7B57"/>
    <w:rsid w:val="00CF003F"/>
    <w:rsid w:val="00CF0045"/>
    <w:rsid w:val="00CF0418"/>
    <w:rsid w:val="00CF276C"/>
    <w:rsid w:val="00CF30F0"/>
    <w:rsid w:val="00CF3B6A"/>
    <w:rsid w:val="00CF4C2E"/>
    <w:rsid w:val="00CF7194"/>
    <w:rsid w:val="00CF74AE"/>
    <w:rsid w:val="00CF7C90"/>
    <w:rsid w:val="00CF7EA0"/>
    <w:rsid w:val="00D00600"/>
    <w:rsid w:val="00D00A29"/>
    <w:rsid w:val="00D02612"/>
    <w:rsid w:val="00D0329F"/>
    <w:rsid w:val="00D0340B"/>
    <w:rsid w:val="00D04372"/>
    <w:rsid w:val="00D04F9C"/>
    <w:rsid w:val="00D05DB1"/>
    <w:rsid w:val="00D06299"/>
    <w:rsid w:val="00D1045D"/>
    <w:rsid w:val="00D11E83"/>
    <w:rsid w:val="00D1294C"/>
    <w:rsid w:val="00D133AA"/>
    <w:rsid w:val="00D13B0B"/>
    <w:rsid w:val="00D13CCF"/>
    <w:rsid w:val="00D14CF7"/>
    <w:rsid w:val="00D1576E"/>
    <w:rsid w:val="00D15BBC"/>
    <w:rsid w:val="00D15E67"/>
    <w:rsid w:val="00D20599"/>
    <w:rsid w:val="00D20ABB"/>
    <w:rsid w:val="00D2424E"/>
    <w:rsid w:val="00D24AEE"/>
    <w:rsid w:val="00D25315"/>
    <w:rsid w:val="00D25894"/>
    <w:rsid w:val="00D26A33"/>
    <w:rsid w:val="00D3073E"/>
    <w:rsid w:val="00D31676"/>
    <w:rsid w:val="00D316C8"/>
    <w:rsid w:val="00D337D5"/>
    <w:rsid w:val="00D33FB9"/>
    <w:rsid w:val="00D34817"/>
    <w:rsid w:val="00D35F74"/>
    <w:rsid w:val="00D365BB"/>
    <w:rsid w:val="00D37617"/>
    <w:rsid w:val="00D3795A"/>
    <w:rsid w:val="00D37AB5"/>
    <w:rsid w:val="00D40C74"/>
    <w:rsid w:val="00D43282"/>
    <w:rsid w:val="00D43EA4"/>
    <w:rsid w:val="00D44508"/>
    <w:rsid w:val="00D45291"/>
    <w:rsid w:val="00D4610E"/>
    <w:rsid w:val="00D4652B"/>
    <w:rsid w:val="00D47810"/>
    <w:rsid w:val="00D50BE2"/>
    <w:rsid w:val="00D50CDB"/>
    <w:rsid w:val="00D5128E"/>
    <w:rsid w:val="00D52FD0"/>
    <w:rsid w:val="00D54385"/>
    <w:rsid w:val="00D55240"/>
    <w:rsid w:val="00D574F4"/>
    <w:rsid w:val="00D57C86"/>
    <w:rsid w:val="00D606D9"/>
    <w:rsid w:val="00D6259C"/>
    <w:rsid w:val="00D62779"/>
    <w:rsid w:val="00D63972"/>
    <w:rsid w:val="00D63B91"/>
    <w:rsid w:val="00D64A4A"/>
    <w:rsid w:val="00D6679C"/>
    <w:rsid w:val="00D72F5D"/>
    <w:rsid w:val="00D7370C"/>
    <w:rsid w:val="00D73EE6"/>
    <w:rsid w:val="00D742D2"/>
    <w:rsid w:val="00D744DC"/>
    <w:rsid w:val="00D74556"/>
    <w:rsid w:val="00D75CF7"/>
    <w:rsid w:val="00D75F59"/>
    <w:rsid w:val="00D776C3"/>
    <w:rsid w:val="00D80153"/>
    <w:rsid w:val="00D814BC"/>
    <w:rsid w:val="00D81AC7"/>
    <w:rsid w:val="00D83E45"/>
    <w:rsid w:val="00D842CD"/>
    <w:rsid w:val="00D8495C"/>
    <w:rsid w:val="00D8589D"/>
    <w:rsid w:val="00D86737"/>
    <w:rsid w:val="00D8696A"/>
    <w:rsid w:val="00D86D94"/>
    <w:rsid w:val="00D87824"/>
    <w:rsid w:val="00D87AD9"/>
    <w:rsid w:val="00D90419"/>
    <w:rsid w:val="00D90551"/>
    <w:rsid w:val="00D90F5A"/>
    <w:rsid w:val="00D9153B"/>
    <w:rsid w:val="00D9160A"/>
    <w:rsid w:val="00D95903"/>
    <w:rsid w:val="00D95D78"/>
    <w:rsid w:val="00D96E9E"/>
    <w:rsid w:val="00D9757C"/>
    <w:rsid w:val="00DA064E"/>
    <w:rsid w:val="00DA071A"/>
    <w:rsid w:val="00DA0810"/>
    <w:rsid w:val="00DA3FCE"/>
    <w:rsid w:val="00DA4B42"/>
    <w:rsid w:val="00DA5F02"/>
    <w:rsid w:val="00DA6313"/>
    <w:rsid w:val="00DA6D53"/>
    <w:rsid w:val="00DA73EB"/>
    <w:rsid w:val="00DB2BE7"/>
    <w:rsid w:val="00DB37A9"/>
    <w:rsid w:val="00DB4203"/>
    <w:rsid w:val="00DB4E09"/>
    <w:rsid w:val="00DB5EF0"/>
    <w:rsid w:val="00DB6B88"/>
    <w:rsid w:val="00DB737B"/>
    <w:rsid w:val="00DB7CA1"/>
    <w:rsid w:val="00DC094F"/>
    <w:rsid w:val="00DC24B5"/>
    <w:rsid w:val="00DC25DA"/>
    <w:rsid w:val="00DC4325"/>
    <w:rsid w:val="00DC4915"/>
    <w:rsid w:val="00DC4C59"/>
    <w:rsid w:val="00DC5149"/>
    <w:rsid w:val="00DC5B77"/>
    <w:rsid w:val="00DC6087"/>
    <w:rsid w:val="00DC68E1"/>
    <w:rsid w:val="00DC7FCE"/>
    <w:rsid w:val="00DD0452"/>
    <w:rsid w:val="00DD0E74"/>
    <w:rsid w:val="00DD1B88"/>
    <w:rsid w:val="00DD334C"/>
    <w:rsid w:val="00DD3C08"/>
    <w:rsid w:val="00DD6234"/>
    <w:rsid w:val="00DD65C0"/>
    <w:rsid w:val="00DD7439"/>
    <w:rsid w:val="00DD76C7"/>
    <w:rsid w:val="00DE0476"/>
    <w:rsid w:val="00DE15F6"/>
    <w:rsid w:val="00DE1B2F"/>
    <w:rsid w:val="00DE1C5A"/>
    <w:rsid w:val="00DE2AAC"/>
    <w:rsid w:val="00DE2DCC"/>
    <w:rsid w:val="00DE33F5"/>
    <w:rsid w:val="00DE394D"/>
    <w:rsid w:val="00DE4B91"/>
    <w:rsid w:val="00DE5E04"/>
    <w:rsid w:val="00DE6634"/>
    <w:rsid w:val="00DE6CFF"/>
    <w:rsid w:val="00DF023D"/>
    <w:rsid w:val="00DF1125"/>
    <w:rsid w:val="00DF22E5"/>
    <w:rsid w:val="00DF27AC"/>
    <w:rsid w:val="00DF28E7"/>
    <w:rsid w:val="00DF2FD1"/>
    <w:rsid w:val="00DF399A"/>
    <w:rsid w:val="00DF3DDA"/>
    <w:rsid w:val="00DF447B"/>
    <w:rsid w:val="00DF4DCA"/>
    <w:rsid w:val="00DF53EA"/>
    <w:rsid w:val="00DF6131"/>
    <w:rsid w:val="00DF6280"/>
    <w:rsid w:val="00DF7B14"/>
    <w:rsid w:val="00DF7B16"/>
    <w:rsid w:val="00E00009"/>
    <w:rsid w:val="00E011A3"/>
    <w:rsid w:val="00E01533"/>
    <w:rsid w:val="00E01C46"/>
    <w:rsid w:val="00E01EC0"/>
    <w:rsid w:val="00E01EF4"/>
    <w:rsid w:val="00E02CF2"/>
    <w:rsid w:val="00E0464E"/>
    <w:rsid w:val="00E04947"/>
    <w:rsid w:val="00E04B2D"/>
    <w:rsid w:val="00E06263"/>
    <w:rsid w:val="00E069F7"/>
    <w:rsid w:val="00E06C35"/>
    <w:rsid w:val="00E0710D"/>
    <w:rsid w:val="00E07F71"/>
    <w:rsid w:val="00E101C6"/>
    <w:rsid w:val="00E10FA8"/>
    <w:rsid w:val="00E114D8"/>
    <w:rsid w:val="00E1256E"/>
    <w:rsid w:val="00E1347F"/>
    <w:rsid w:val="00E146D7"/>
    <w:rsid w:val="00E156F2"/>
    <w:rsid w:val="00E15C87"/>
    <w:rsid w:val="00E1621B"/>
    <w:rsid w:val="00E21114"/>
    <w:rsid w:val="00E219C1"/>
    <w:rsid w:val="00E22815"/>
    <w:rsid w:val="00E22B84"/>
    <w:rsid w:val="00E22C45"/>
    <w:rsid w:val="00E25E8A"/>
    <w:rsid w:val="00E26045"/>
    <w:rsid w:val="00E26B55"/>
    <w:rsid w:val="00E26BDB"/>
    <w:rsid w:val="00E27304"/>
    <w:rsid w:val="00E303A8"/>
    <w:rsid w:val="00E304D5"/>
    <w:rsid w:val="00E319BA"/>
    <w:rsid w:val="00E3244F"/>
    <w:rsid w:val="00E33084"/>
    <w:rsid w:val="00E337F5"/>
    <w:rsid w:val="00E339E4"/>
    <w:rsid w:val="00E34EBC"/>
    <w:rsid w:val="00E3529F"/>
    <w:rsid w:val="00E352D0"/>
    <w:rsid w:val="00E36CF2"/>
    <w:rsid w:val="00E371AA"/>
    <w:rsid w:val="00E37211"/>
    <w:rsid w:val="00E37848"/>
    <w:rsid w:val="00E4034D"/>
    <w:rsid w:val="00E404B3"/>
    <w:rsid w:val="00E41EE7"/>
    <w:rsid w:val="00E42084"/>
    <w:rsid w:val="00E44854"/>
    <w:rsid w:val="00E4540D"/>
    <w:rsid w:val="00E45513"/>
    <w:rsid w:val="00E50B82"/>
    <w:rsid w:val="00E51630"/>
    <w:rsid w:val="00E51D5E"/>
    <w:rsid w:val="00E525F7"/>
    <w:rsid w:val="00E52EC5"/>
    <w:rsid w:val="00E540D4"/>
    <w:rsid w:val="00E546F6"/>
    <w:rsid w:val="00E552CC"/>
    <w:rsid w:val="00E55808"/>
    <w:rsid w:val="00E559EA"/>
    <w:rsid w:val="00E56402"/>
    <w:rsid w:val="00E5696D"/>
    <w:rsid w:val="00E56E45"/>
    <w:rsid w:val="00E6161C"/>
    <w:rsid w:val="00E62DEC"/>
    <w:rsid w:val="00E63233"/>
    <w:rsid w:val="00E63FE6"/>
    <w:rsid w:val="00E65960"/>
    <w:rsid w:val="00E65F8A"/>
    <w:rsid w:val="00E66ECB"/>
    <w:rsid w:val="00E67486"/>
    <w:rsid w:val="00E70462"/>
    <w:rsid w:val="00E71AFC"/>
    <w:rsid w:val="00E727CE"/>
    <w:rsid w:val="00E73D84"/>
    <w:rsid w:val="00E7455F"/>
    <w:rsid w:val="00E749E1"/>
    <w:rsid w:val="00E8007A"/>
    <w:rsid w:val="00E80578"/>
    <w:rsid w:val="00E80B43"/>
    <w:rsid w:val="00E82B77"/>
    <w:rsid w:val="00E833CB"/>
    <w:rsid w:val="00E83995"/>
    <w:rsid w:val="00E83CBA"/>
    <w:rsid w:val="00E83D2E"/>
    <w:rsid w:val="00E83FB2"/>
    <w:rsid w:val="00E844D4"/>
    <w:rsid w:val="00E84EBF"/>
    <w:rsid w:val="00E90615"/>
    <w:rsid w:val="00E90779"/>
    <w:rsid w:val="00E90C86"/>
    <w:rsid w:val="00E916D8"/>
    <w:rsid w:val="00E91FE0"/>
    <w:rsid w:val="00E92CD1"/>
    <w:rsid w:val="00E95AC2"/>
    <w:rsid w:val="00E97167"/>
    <w:rsid w:val="00E97787"/>
    <w:rsid w:val="00E97DBB"/>
    <w:rsid w:val="00EA0169"/>
    <w:rsid w:val="00EA093A"/>
    <w:rsid w:val="00EA3455"/>
    <w:rsid w:val="00EA36E4"/>
    <w:rsid w:val="00EA3781"/>
    <w:rsid w:val="00EA5023"/>
    <w:rsid w:val="00EA509F"/>
    <w:rsid w:val="00EA7061"/>
    <w:rsid w:val="00EA7105"/>
    <w:rsid w:val="00EA7656"/>
    <w:rsid w:val="00EA7C5B"/>
    <w:rsid w:val="00EB13FE"/>
    <w:rsid w:val="00EB1B2F"/>
    <w:rsid w:val="00EB2271"/>
    <w:rsid w:val="00EB254B"/>
    <w:rsid w:val="00EB3045"/>
    <w:rsid w:val="00EB39F1"/>
    <w:rsid w:val="00EB3E26"/>
    <w:rsid w:val="00EB3E46"/>
    <w:rsid w:val="00EB460F"/>
    <w:rsid w:val="00EB472E"/>
    <w:rsid w:val="00EB5434"/>
    <w:rsid w:val="00EB5D6C"/>
    <w:rsid w:val="00EB6A9B"/>
    <w:rsid w:val="00EB76D6"/>
    <w:rsid w:val="00EB78C0"/>
    <w:rsid w:val="00EB7B61"/>
    <w:rsid w:val="00EC010A"/>
    <w:rsid w:val="00EC0178"/>
    <w:rsid w:val="00EC049F"/>
    <w:rsid w:val="00EC0EE4"/>
    <w:rsid w:val="00EC100D"/>
    <w:rsid w:val="00EC11E3"/>
    <w:rsid w:val="00EC1458"/>
    <w:rsid w:val="00EC16A6"/>
    <w:rsid w:val="00EC4093"/>
    <w:rsid w:val="00EC53B3"/>
    <w:rsid w:val="00ED024E"/>
    <w:rsid w:val="00ED119D"/>
    <w:rsid w:val="00ED194C"/>
    <w:rsid w:val="00ED2277"/>
    <w:rsid w:val="00ED2C26"/>
    <w:rsid w:val="00ED36ED"/>
    <w:rsid w:val="00ED3898"/>
    <w:rsid w:val="00ED38BF"/>
    <w:rsid w:val="00ED5DB2"/>
    <w:rsid w:val="00ED5EC2"/>
    <w:rsid w:val="00EE0151"/>
    <w:rsid w:val="00EE0D2E"/>
    <w:rsid w:val="00EE0DF2"/>
    <w:rsid w:val="00EE1124"/>
    <w:rsid w:val="00EE21DD"/>
    <w:rsid w:val="00EE500B"/>
    <w:rsid w:val="00EE566E"/>
    <w:rsid w:val="00EE56DF"/>
    <w:rsid w:val="00EE587F"/>
    <w:rsid w:val="00EE5A36"/>
    <w:rsid w:val="00EE5CF8"/>
    <w:rsid w:val="00EE5ED7"/>
    <w:rsid w:val="00EE64CC"/>
    <w:rsid w:val="00EE6D6B"/>
    <w:rsid w:val="00EF08CA"/>
    <w:rsid w:val="00EF1A24"/>
    <w:rsid w:val="00EF1BF1"/>
    <w:rsid w:val="00EF1DC2"/>
    <w:rsid w:val="00EF3D34"/>
    <w:rsid w:val="00EF5716"/>
    <w:rsid w:val="00EF5B0C"/>
    <w:rsid w:val="00EF642D"/>
    <w:rsid w:val="00EF6BA7"/>
    <w:rsid w:val="00EF71E1"/>
    <w:rsid w:val="00F003B9"/>
    <w:rsid w:val="00F01BD5"/>
    <w:rsid w:val="00F024E3"/>
    <w:rsid w:val="00F0264E"/>
    <w:rsid w:val="00F02815"/>
    <w:rsid w:val="00F03BD0"/>
    <w:rsid w:val="00F041B2"/>
    <w:rsid w:val="00F0505F"/>
    <w:rsid w:val="00F05EAF"/>
    <w:rsid w:val="00F06B2F"/>
    <w:rsid w:val="00F06D7C"/>
    <w:rsid w:val="00F07622"/>
    <w:rsid w:val="00F1049D"/>
    <w:rsid w:val="00F119F0"/>
    <w:rsid w:val="00F147FD"/>
    <w:rsid w:val="00F15FC1"/>
    <w:rsid w:val="00F166CE"/>
    <w:rsid w:val="00F17762"/>
    <w:rsid w:val="00F22E23"/>
    <w:rsid w:val="00F23C5A"/>
    <w:rsid w:val="00F23E91"/>
    <w:rsid w:val="00F25EAC"/>
    <w:rsid w:val="00F261BC"/>
    <w:rsid w:val="00F277D4"/>
    <w:rsid w:val="00F279CE"/>
    <w:rsid w:val="00F27FA7"/>
    <w:rsid w:val="00F304DC"/>
    <w:rsid w:val="00F30A70"/>
    <w:rsid w:val="00F30B42"/>
    <w:rsid w:val="00F30E40"/>
    <w:rsid w:val="00F31104"/>
    <w:rsid w:val="00F33E65"/>
    <w:rsid w:val="00F34E93"/>
    <w:rsid w:val="00F40823"/>
    <w:rsid w:val="00F4089E"/>
    <w:rsid w:val="00F40EEC"/>
    <w:rsid w:val="00F42F26"/>
    <w:rsid w:val="00F43F5A"/>
    <w:rsid w:val="00F44511"/>
    <w:rsid w:val="00F4474B"/>
    <w:rsid w:val="00F46D11"/>
    <w:rsid w:val="00F47B6F"/>
    <w:rsid w:val="00F5044E"/>
    <w:rsid w:val="00F5097D"/>
    <w:rsid w:val="00F51275"/>
    <w:rsid w:val="00F513E5"/>
    <w:rsid w:val="00F5219B"/>
    <w:rsid w:val="00F527A6"/>
    <w:rsid w:val="00F53138"/>
    <w:rsid w:val="00F534C0"/>
    <w:rsid w:val="00F540D4"/>
    <w:rsid w:val="00F54930"/>
    <w:rsid w:val="00F5523B"/>
    <w:rsid w:val="00F564A5"/>
    <w:rsid w:val="00F60D2C"/>
    <w:rsid w:val="00F62196"/>
    <w:rsid w:val="00F623B6"/>
    <w:rsid w:val="00F6280F"/>
    <w:rsid w:val="00F62819"/>
    <w:rsid w:val="00F6355F"/>
    <w:rsid w:val="00F6394B"/>
    <w:rsid w:val="00F639B6"/>
    <w:rsid w:val="00F64E60"/>
    <w:rsid w:val="00F6653B"/>
    <w:rsid w:val="00F6768C"/>
    <w:rsid w:val="00F708D9"/>
    <w:rsid w:val="00F720FB"/>
    <w:rsid w:val="00F721C2"/>
    <w:rsid w:val="00F73755"/>
    <w:rsid w:val="00F80602"/>
    <w:rsid w:val="00F81376"/>
    <w:rsid w:val="00F8146E"/>
    <w:rsid w:val="00F814DF"/>
    <w:rsid w:val="00F81E48"/>
    <w:rsid w:val="00F827B8"/>
    <w:rsid w:val="00F8361F"/>
    <w:rsid w:val="00F84C20"/>
    <w:rsid w:val="00F85CB4"/>
    <w:rsid w:val="00F86B99"/>
    <w:rsid w:val="00F871C7"/>
    <w:rsid w:val="00F8737E"/>
    <w:rsid w:val="00F87614"/>
    <w:rsid w:val="00F91B88"/>
    <w:rsid w:val="00F92112"/>
    <w:rsid w:val="00F9230A"/>
    <w:rsid w:val="00F92366"/>
    <w:rsid w:val="00F92753"/>
    <w:rsid w:val="00F93881"/>
    <w:rsid w:val="00F9598E"/>
    <w:rsid w:val="00F96B32"/>
    <w:rsid w:val="00F9735A"/>
    <w:rsid w:val="00F97592"/>
    <w:rsid w:val="00F97CBB"/>
    <w:rsid w:val="00FA2C5F"/>
    <w:rsid w:val="00FA3842"/>
    <w:rsid w:val="00FA3EFD"/>
    <w:rsid w:val="00FA42F4"/>
    <w:rsid w:val="00FA53F7"/>
    <w:rsid w:val="00FA5B09"/>
    <w:rsid w:val="00FA6502"/>
    <w:rsid w:val="00FA7068"/>
    <w:rsid w:val="00FA7B63"/>
    <w:rsid w:val="00FA7B72"/>
    <w:rsid w:val="00FB0730"/>
    <w:rsid w:val="00FB0BC1"/>
    <w:rsid w:val="00FB14A0"/>
    <w:rsid w:val="00FB2461"/>
    <w:rsid w:val="00FB2680"/>
    <w:rsid w:val="00FB34A3"/>
    <w:rsid w:val="00FB4227"/>
    <w:rsid w:val="00FB4E4A"/>
    <w:rsid w:val="00FB59BF"/>
    <w:rsid w:val="00FB6D3A"/>
    <w:rsid w:val="00FB760E"/>
    <w:rsid w:val="00FB7924"/>
    <w:rsid w:val="00FB7F35"/>
    <w:rsid w:val="00FC11D6"/>
    <w:rsid w:val="00FC29AC"/>
    <w:rsid w:val="00FC2C10"/>
    <w:rsid w:val="00FC48DD"/>
    <w:rsid w:val="00FC569E"/>
    <w:rsid w:val="00FC67E5"/>
    <w:rsid w:val="00FC6BFF"/>
    <w:rsid w:val="00FC7B5F"/>
    <w:rsid w:val="00FD04EB"/>
    <w:rsid w:val="00FD1036"/>
    <w:rsid w:val="00FD1062"/>
    <w:rsid w:val="00FD131D"/>
    <w:rsid w:val="00FD3049"/>
    <w:rsid w:val="00FD3DAC"/>
    <w:rsid w:val="00FD5177"/>
    <w:rsid w:val="00FD5398"/>
    <w:rsid w:val="00FD690B"/>
    <w:rsid w:val="00FD79EB"/>
    <w:rsid w:val="00FE0559"/>
    <w:rsid w:val="00FE35E1"/>
    <w:rsid w:val="00FE3AFC"/>
    <w:rsid w:val="00FE6D86"/>
    <w:rsid w:val="00FE7FB0"/>
    <w:rsid w:val="00FF0DA7"/>
    <w:rsid w:val="00FF22E5"/>
    <w:rsid w:val="00FF2BE7"/>
    <w:rsid w:val="00FF3276"/>
    <w:rsid w:val="00FF4397"/>
    <w:rsid w:val="00FF4A98"/>
    <w:rsid w:val="00FF5B26"/>
    <w:rsid w:val="00FF69CB"/>
    <w:rsid w:val="00FF6B3D"/>
    <w:rsid w:val="00FF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440D39D"/>
  <w15:docId w15:val="{556CB5F8-0802-465B-8588-544A685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7B57"/>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3">
    <w:name w:val="heading 3"/>
    <w:basedOn w:val="Normal"/>
    <w:next w:val="Normal"/>
    <w:link w:val="Heading3Char"/>
    <w:semiHidden/>
    <w:unhideWhenUsed/>
    <w:qFormat/>
    <w:locked/>
    <w:rsid w:val="00FB268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uiPriority w:val="99"/>
    <w:semiHidden/>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BVI fnr,Footnote text,Ref. de nota al pie1,Times 10 Point, Exposant 3 Point,Footnote symbol,Footnote reference number,Exposant 3 Point,EN Footnote Reference,note TESI,16 Point,Superscript 6 Point,(NECG) Footnote Reference,сноска"/>
    <w:link w:val="BVIfnrCarCar"/>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List Paragraph1,Bullets,Akapit z listą BS"/>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semiHidden/>
    <w:rsid w:val="00D6679C"/>
    <w:rPr>
      <w:rFonts w:ascii="Courier" w:hAnsi="Courier"/>
      <w:lang w:val="en-US" w:eastAsia="en-US"/>
    </w:rPr>
  </w:style>
  <w:style w:type="character" w:customStyle="1" w:styleId="ListParagraphChar">
    <w:name w:val="List Paragraph Char"/>
    <w:aliases w:val="List Paragraph (numbered (a)) Char,List Paragraph1 Char,Bullets Char,Akapit z listą BS Char"/>
    <w:link w:val="ListParagraph"/>
    <w:uiPriority w:val="34"/>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UnresolvedMention1">
    <w:name w:val="Unresolved Mention1"/>
    <w:basedOn w:val="DefaultParagraphFont"/>
    <w:uiPriority w:val="99"/>
    <w:semiHidden/>
    <w:unhideWhenUsed/>
    <w:rsid w:val="00523B73"/>
    <w:rPr>
      <w:color w:val="605E5C"/>
      <w:shd w:val="clear" w:color="auto" w:fill="E1DFDD"/>
    </w:rPr>
  </w:style>
  <w:style w:type="character" w:customStyle="1" w:styleId="Heading3Char">
    <w:name w:val="Heading 3 Char"/>
    <w:basedOn w:val="DefaultParagraphFont"/>
    <w:link w:val="Heading3"/>
    <w:semiHidden/>
    <w:rsid w:val="00FB2680"/>
    <w:rPr>
      <w:rFonts w:asciiTheme="majorHAnsi" w:eastAsiaTheme="majorEastAsia" w:hAnsiTheme="majorHAnsi" w:cstheme="majorBidi"/>
      <w:color w:val="243F60" w:themeColor="accent1" w:themeShade="7F"/>
      <w:sz w:val="24"/>
      <w:szCs w:val="24"/>
      <w:lang w:val="en-US" w:eastAsia="en-US"/>
    </w:rPr>
  </w:style>
  <w:style w:type="paragraph" w:customStyle="1" w:styleId="BVIfnrCarCar">
    <w:name w:val="BVI fnr Car Car"/>
    <w:aliases w:val="BVI fnr Car,BVI fnr Car Car Car Car,BVI fnr Char Char Char Char Char Char Char,BVI fnr Car Car Car Car Char"/>
    <w:basedOn w:val="Normal"/>
    <w:link w:val="FootnoteReference"/>
    <w:uiPriority w:val="99"/>
    <w:rsid w:val="002A22ED"/>
    <w:pPr>
      <w:spacing w:before="120" w:after="160" w:line="240" w:lineRule="exact"/>
    </w:pPr>
    <w:rPr>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394400049">
      <w:bodyDiv w:val="1"/>
      <w:marLeft w:val="0"/>
      <w:marRight w:val="0"/>
      <w:marTop w:val="0"/>
      <w:marBottom w:val="0"/>
      <w:divBdr>
        <w:top w:val="none" w:sz="0" w:space="0" w:color="auto"/>
        <w:left w:val="none" w:sz="0" w:space="0" w:color="auto"/>
        <w:bottom w:val="none" w:sz="0" w:space="0" w:color="auto"/>
        <w:right w:val="none" w:sz="0" w:space="0" w:color="auto"/>
      </w:divBdr>
    </w:div>
    <w:div w:id="809787493">
      <w:bodyDiv w:val="1"/>
      <w:marLeft w:val="0"/>
      <w:marRight w:val="0"/>
      <w:marTop w:val="0"/>
      <w:marBottom w:val="0"/>
      <w:divBdr>
        <w:top w:val="none" w:sz="0" w:space="0" w:color="auto"/>
        <w:left w:val="none" w:sz="0" w:space="0" w:color="auto"/>
        <w:bottom w:val="none" w:sz="0" w:space="0" w:color="auto"/>
        <w:right w:val="none" w:sz="0" w:space="0" w:color="auto"/>
      </w:divBdr>
      <w:divsChild>
        <w:div w:id="303967253">
          <w:marLeft w:val="0"/>
          <w:marRight w:val="0"/>
          <w:marTop w:val="90"/>
          <w:marBottom w:val="0"/>
          <w:divBdr>
            <w:top w:val="none" w:sz="0" w:space="0" w:color="auto"/>
            <w:left w:val="none" w:sz="0" w:space="0" w:color="auto"/>
            <w:bottom w:val="none" w:sz="0" w:space="0" w:color="auto"/>
            <w:right w:val="none" w:sz="0" w:space="0" w:color="auto"/>
          </w:divBdr>
          <w:divsChild>
            <w:div w:id="58982457">
              <w:marLeft w:val="0"/>
              <w:marRight w:val="0"/>
              <w:marTop w:val="0"/>
              <w:marBottom w:val="0"/>
              <w:divBdr>
                <w:top w:val="none" w:sz="0" w:space="0" w:color="auto"/>
                <w:left w:val="none" w:sz="0" w:space="0" w:color="auto"/>
                <w:bottom w:val="none" w:sz="0" w:space="0" w:color="auto"/>
                <w:right w:val="none" w:sz="0" w:space="0" w:color="auto"/>
              </w:divBdr>
              <w:divsChild>
                <w:div w:id="563754905">
                  <w:marLeft w:val="0"/>
                  <w:marRight w:val="0"/>
                  <w:marTop w:val="0"/>
                  <w:marBottom w:val="0"/>
                  <w:divBdr>
                    <w:top w:val="none" w:sz="0" w:space="0" w:color="auto"/>
                    <w:left w:val="none" w:sz="0" w:space="0" w:color="auto"/>
                    <w:bottom w:val="none" w:sz="0" w:space="0" w:color="auto"/>
                    <w:right w:val="none" w:sz="0" w:space="0" w:color="auto"/>
                  </w:divBdr>
                  <w:divsChild>
                    <w:div w:id="632293311">
                      <w:marLeft w:val="0"/>
                      <w:marRight w:val="0"/>
                      <w:marTop w:val="0"/>
                      <w:marBottom w:val="405"/>
                      <w:divBdr>
                        <w:top w:val="none" w:sz="0" w:space="0" w:color="auto"/>
                        <w:left w:val="none" w:sz="0" w:space="0" w:color="auto"/>
                        <w:bottom w:val="none" w:sz="0" w:space="0" w:color="auto"/>
                        <w:right w:val="none" w:sz="0" w:space="0" w:color="auto"/>
                      </w:divBdr>
                      <w:divsChild>
                        <w:div w:id="1727147989">
                          <w:marLeft w:val="0"/>
                          <w:marRight w:val="0"/>
                          <w:marTop w:val="0"/>
                          <w:marBottom w:val="0"/>
                          <w:divBdr>
                            <w:top w:val="none" w:sz="0" w:space="0" w:color="auto"/>
                            <w:left w:val="none" w:sz="0" w:space="0" w:color="auto"/>
                            <w:bottom w:val="none" w:sz="0" w:space="0" w:color="auto"/>
                            <w:right w:val="none" w:sz="0" w:space="0" w:color="auto"/>
                          </w:divBdr>
                          <w:divsChild>
                            <w:div w:id="1597447182">
                              <w:marLeft w:val="0"/>
                              <w:marRight w:val="0"/>
                              <w:marTop w:val="0"/>
                              <w:marBottom w:val="0"/>
                              <w:divBdr>
                                <w:top w:val="none" w:sz="0" w:space="0" w:color="auto"/>
                                <w:left w:val="none" w:sz="0" w:space="0" w:color="auto"/>
                                <w:bottom w:val="none" w:sz="0" w:space="0" w:color="auto"/>
                                <w:right w:val="none" w:sz="0" w:space="0" w:color="auto"/>
                              </w:divBdr>
                              <w:divsChild>
                                <w:div w:id="14526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502455">
      <w:bodyDiv w:val="1"/>
      <w:marLeft w:val="0"/>
      <w:marRight w:val="0"/>
      <w:marTop w:val="0"/>
      <w:marBottom w:val="0"/>
      <w:divBdr>
        <w:top w:val="none" w:sz="0" w:space="0" w:color="auto"/>
        <w:left w:val="none" w:sz="0" w:space="0" w:color="auto"/>
        <w:bottom w:val="none" w:sz="0" w:space="0" w:color="auto"/>
        <w:right w:val="none" w:sz="0" w:space="0" w:color="auto"/>
      </w:divBdr>
      <w:divsChild>
        <w:div w:id="1076828516">
          <w:marLeft w:val="0"/>
          <w:marRight w:val="0"/>
          <w:marTop w:val="0"/>
          <w:marBottom w:val="0"/>
          <w:divBdr>
            <w:top w:val="none" w:sz="0" w:space="0" w:color="auto"/>
            <w:left w:val="none" w:sz="0" w:space="0" w:color="auto"/>
            <w:bottom w:val="none" w:sz="0" w:space="0" w:color="auto"/>
            <w:right w:val="none" w:sz="0" w:space="0" w:color="auto"/>
          </w:divBdr>
        </w:div>
        <w:div w:id="614291363">
          <w:marLeft w:val="0"/>
          <w:marRight w:val="0"/>
          <w:marTop w:val="150"/>
          <w:marBottom w:val="0"/>
          <w:divBdr>
            <w:top w:val="none" w:sz="0" w:space="0" w:color="auto"/>
            <w:left w:val="none" w:sz="0" w:space="0" w:color="auto"/>
            <w:bottom w:val="none" w:sz="0" w:space="0" w:color="auto"/>
            <w:right w:val="none" w:sz="0" w:space="0" w:color="auto"/>
          </w:divBdr>
        </w:div>
      </w:divsChild>
    </w:div>
    <w:div w:id="894317464">
      <w:bodyDiv w:val="1"/>
      <w:marLeft w:val="0"/>
      <w:marRight w:val="0"/>
      <w:marTop w:val="0"/>
      <w:marBottom w:val="0"/>
      <w:divBdr>
        <w:top w:val="none" w:sz="0" w:space="0" w:color="auto"/>
        <w:left w:val="none" w:sz="0" w:space="0" w:color="auto"/>
        <w:bottom w:val="none" w:sz="0" w:space="0" w:color="auto"/>
        <w:right w:val="none" w:sz="0" w:space="0" w:color="auto"/>
      </w:divBdr>
    </w:div>
    <w:div w:id="950933384">
      <w:bodyDiv w:val="1"/>
      <w:marLeft w:val="0"/>
      <w:marRight w:val="0"/>
      <w:marTop w:val="0"/>
      <w:marBottom w:val="0"/>
      <w:divBdr>
        <w:top w:val="none" w:sz="0" w:space="0" w:color="auto"/>
        <w:left w:val="none" w:sz="0" w:space="0" w:color="auto"/>
        <w:bottom w:val="none" w:sz="0" w:space="0" w:color="auto"/>
        <w:right w:val="none" w:sz="0" w:space="0" w:color="auto"/>
      </w:divBdr>
    </w:div>
    <w:div w:id="967081838">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s://popp.undp.org/SitePages/POPPSubject.aspx?SBJID=7&amp;Menu=BusinessUnit"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yperlink" Target="https://popp.undp.org/" TargetMode="Externa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20F576-A7C3-452A-AA1C-5E906F410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3.xml><?xml version="1.0" encoding="utf-8"?>
<ds:datastoreItem xmlns:ds="http://schemas.openxmlformats.org/officeDocument/2006/customXml" ds:itemID="{3BCDB6B2-58FC-4993-B00C-C880EA9DAEC2}">
  <ds:schemaRefs>
    <ds:schemaRef ds:uri="http://schemas.openxmlformats.org/officeDocument/2006/bibliography"/>
  </ds:schemaRefs>
</ds:datastoreItem>
</file>

<file path=customXml/itemProps4.xml><?xml version="1.0" encoding="utf-8"?>
<ds:datastoreItem xmlns:ds="http://schemas.openxmlformats.org/officeDocument/2006/customXml" ds:itemID="{A163C48D-7F62-4D2D-8219-0D81AFFED2D0}">
  <ds:schemaRefs>
    <ds:schemaRef ds:uri="http://schemas.microsoft.com/office/infopath/2007/PartnerControls"/>
    <ds:schemaRef ds:uri="33856b32-dbbd-4996-9e5d-776de7c2e4f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a8946dc4-2e98-472c-b2e6-ca9019b8dfd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6051</Words>
  <Characters>37457</Characters>
  <Application>Microsoft Office Word</Application>
  <DocSecurity>0</DocSecurity>
  <Lines>851</Lines>
  <Paragraphs>362</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43146</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5</cp:revision>
  <cp:lastPrinted>2020-02-19T12:10:00Z</cp:lastPrinted>
  <dcterms:created xsi:type="dcterms:W3CDTF">2020-06-17T18:18:00Z</dcterms:created>
  <dcterms:modified xsi:type="dcterms:W3CDTF">2020-06-17T18:29:00Z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_dlc_DocIdItemGuid">
    <vt:lpwstr>69585c71-b8d2-4120-8101-8530b3223faf</vt:lpwstr>
  </property>
  <property fmtid="{D5CDD505-2E9C-101B-9397-08002B2CF9AE}" pid="4" name="_NewReviewCycle">
    <vt:lpwstr/>
  </property>
  <property fmtid="{D5CDD505-2E9C-101B-9397-08002B2CF9AE}" pid="5" name="_AdHocReviewCycleID">
    <vt:i4>2064936778</vt:i4>
  </property>
  <property fmtid="{D5CDD505-2E9C-101B-9397-08002B2CF9AE}" pid="6" name="_EmailSubject">
    <vt:lpwstr>Belarus CPD, final</vt:lpwstr>
  </property>
  <property fmtid="{D5CDD505-2E9C-101B-9397-08002B2CF9AE}" pid="7" name="_AuthorEmail">
    <vt:lpwstr>ekaterina.paniklova@undp.org</vt:lpwstr>
  </property>
  <property fmtid="{D5CDD505-2E9C-101B-9397-08002B2CF9AE}" pid="8" name="_AuthorEmailDisplayName">
    <vt:lpwstr>Ekaterina Paniklova</vt:lpwstr>
  </property>
  <property fmtid="{D5CDD505-2E9C-101B-9397-08002B2CF9AE}" pid="9" name="_ReviewingToolsShownOnce">
    <vt:lpwstr/>
  </property>
</Properties>
</file>