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A4F5F1" w14:textId="61CBCA99" w:rsidR="003E54F5" w:rsidRPr="003E54F5" w:rsidRDefault="003E54F5" w:rsidP="003E54F5">
      <w:pPr>
        <w:suppressAutoHyphens/>
        <w:spacing w:after="60"/>
        <w:rPr>
          <w:rFonts w:ascii="Times New Roman" w:hAnsi="Times New Roman"/>
          <w:b/>
          <w:bCs/>
          <w:color w:val="000000"/>
          <w:sz w:val="28"/>
          <w:szCs w:val="28"/>
          <w:lang w:val="en-GB"/>
        </w:rPr>
      </w:pPr>
      <w:bookmarkStart w:id="0" w:name="_GoBack"/>
      <w:bookmarkEnd w:id="0"/>
      <w:r w:rsidRPr="003E54F5">
        <w:rPr>
          <w:rFonts w:ascii="Times New Roman" w:hAnsi="Times New Roman"/>
          <w:b/>
          <w:bCs/>
          <w:color w:val="000000"/>
          <w:sz w:val="28"/>
          <w:szCs w:val="28"/>
          <w:lang w:val="en-GB"/>
        </w:rPr>
        <w:t xml:space="preserve">Annex I. </w:t>
      </w:r>
    </w:p>
    <w:p w14:paraId="6FA4F5F2" w14:textId="56A7461C" w:rsidR="003E54F5" w:rsidRPr="003E54F5" w:rsidRDefault="003E54F5" w:rsidP="003E54F5">
      <w:pPr>
        <w:suppressAutoHyphens/>
        <w:spacing w:after="60"/>
        <w:rPr>
          <w:rFonts w:ascii="Times New Roman" w:hAnsi="Times New Roman"/>
          <w:b/>
          <w:bCs/>
          <w:color w:val="000000"/>
          <w:spacing w:val="-2"/>
          <w:sz w:val="28"/>
          <w:lang w:val="en-GB"/>
        </w:rPr>
      </w:pPr>
      <w:r w:rsidRPr="003E54F5">
        <w:rPr>
          <w:rFonts w:ascii="Times New Roman" w:hAnsi="Times New Roman"/>
          <w:b/>
          <w:bCs/>
          <w:color w:val="000000"/>
          <w:spacing w:val="-2"/>
          <w:sz w:val="28"/>
          <w:lang w:val="en-GB"/>
        </w:rPr>
        <w:t>UNDP overview</w:t>
      </w:r>
    </w:p>
    <w:p w14:paraId="6FA4F5F4" w14:textId="083E5445" w:rsidR="003E54F5" w:rsidRDefault="003E54F5" w:rsidP="00BE4EC0">
      <w:pPr>
        <w:numPr>
          <w:ilvl w:val="0"/>
          <w:numId w:val="3"/>
        </w:numPr>
        <w:tabs>
          <w:tab w:val="left" w:pos="360"/>
        </w:tabs>
        <w:suppressAutoHyphens/>
        <w:spacing w:line="240" w:lineRule="exact"/>
        <w:ind w:right="720" w:hanging="1785"/>
        <w:rPr>
          <w:rFonts w:ascii="Times New Roman" w:hAnsi="Times New Roman"/>
          <w:b/>
          <w:bCs/>
          <w:snapToGrid w:val="0"/>
          <w:color w:val="000000"/>
          <w:szCs w:val="24"/>
          <w:lang w:val="en-GB"/>
        </w:rPr>
      </w:pPr>
      <w:r w:rsidRPr="003E54F5">
        <w:rPr>
          <w:rFonts w:ascii="Times New Roman" w:hAnsi="Times New Roman"/>
          <w:b/>
          <w:bCs/>
          <w:snapToGrid w:val="0"/>
          <w:color w:val="000000"/>
          <w:szCs w:val="24"/>
          <w:lang w:val="en-GB"/>
        </w:rPr>
        <w:t>Statement of financial performance for</w:t>
      </w:r>
      <w:r w:rsidR="005833F0">
        <w:rPr>
          <w:rFonts w:ascii="Times New Roman" w:hAnsi="Times New Roman"/>
          <w:b/>
          <w:bCs/>
          <w:snapToGrid w:val="0"/>
          <w:color w:val="000000"/>
          <w:szCs w:val="24"/>
          <w:lang w:val="en-GB"/>
        </w:rPr>
        <w:t xml:space="preserve"> the year ended 31 December 201</w:t>
      </w:r>
      <w:r w:rsidR="003D59D8">
        <w:rPr>
          <w:rFonts w:ascii="Times New Roman" w:hAnsi="Times New Roman"/>
          <w:b/>
          <w:bCs/>
          <w:snapToGrid w:val="0"/>
          <w:color w:val="000000"/>
          <w:szCs w:val="24"/>
          <w:lang w:val="en-GB"/>
        </w:rPr>
        <w:t>7</w:t>
      </w:r>
    </w:p>
    <w:p w14:paraId="4E0B0D18" w14:textId="0A29F29E" w:rsidR="00BE4EC0" w:rsidRPr="00FB2146" w:rsidRDefault="00BE4EC0" w:rsidP="00BE4EC0">
      <w:pPr>
        <w:tabs>
          <w:tab w:val="left" w:pos="360"/>
        </w:tabs>
        <w:suppressAutoHyphens/>
        <w:spacing w:line="240" w:lineRule="exact"/>
        <w:ind w:left="1785" w:right="720" w:hanging="1425"/>
        <w:rPr>
          <w:rFonts w:ascii="Times New Roman" w:hAnsi="Times New Roman"/>
          <w:b/>
          <w:bCs/>
          <w:snapToGrid w:val="0"/>
          <w:color w:val="000000"/>
          <w:sz w:val="28"/>
          <w:szCs w:val="24"/>
          <w:lang w:val="en-GB"/>
        </w:rPr>
      </w:pPr>
      <w:r w:rsidRPr="00FB2146">
        <w:rPr>
          <w:rFonts w:ascii="Times New Roman" w:hAnsi="Times New Roman"/>
          <w:iCs/>
          <w:color w:val="000000"/>
          <w:sz w:val="16"/>
          <w:szCs w:val="15"/>
        </w:rPr>
        <w:t>(Thousands of United States dollars)</w:t>
      </w:r>
    </w:p>
    <w:p w14:paraId="6FA4F5F5" w14:textId="4378342C" w:rsidR="003E54F5" w:rsidRDefault="00A10E7B" w:rsidP="003E54F5">
      <w:pPr>
        <w:tabs>
          <w:tab w:val="left" w:pos="1800"/>
        </w:tabs>
        <w:suppressAutoHyphens/>
        <w:spacing w:line="240" w:lineRule="exact"/>
        <w:ind w:left="1425"/>
        <w:rPr>
          <w:rFonts w:ascii="Times New Roman" w:hAnsi="Times New Roman"/>
          <w:b/>
          <w:bCs/>
          <w:snapToGrid w:val="0"/>
          <w:color w:val="000000"/>
          <w:szCs w:val="24"/>
          <w:lang w:val="en-GB"/>
        </w:rPr>
      </w:pPr>
      <w:r w:rsidRPr="003D59D8">
        <w:rPr>
          <w:noProof/>
        </w:rPr>
        <w:drawing>
          <wp:anchor distT="0" distB="0" distL="114300" distR="114300" simplePos="0" relativeHeight="251677696" behindDoc="0" locked="0" layoutInCell="1" allowOverlap="1" wp14:anchorId="20D50285" wp14:editId="0517879A">
            <wp:simplePos x="0" y="0"/>
            <wp:positionH relativeFrom="column">
              <wp:posOffset>3175</wp:posOffset>
            </wp:positionH>
            <wp:positionV relativeFrom="paragraph">
              <wp:posOffset>241935</wp:posOffset>
            </wp:positionV>
            <wp:extent cx="8258175" cy="4023360"/>
            <wp:effectExtent l="0" t="0" r="952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58175" cy="4023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FA4F741" w14:textId="3CE54AED" w:rsidR="005833F0" w:rsidRDefault="005833F0" w:rsidP="00E02EA4">
      <w:pPr>
        <w:tabs>
          <w:tab w:val="left" w:pos="1800"/>
        </w:tabs>
        <w:suppressAutoHyphens/>
        <w:spacing w:line="240" w:lineRule="exact"/>
        <w:rPr>
          <w:rFonts w:ascii="Times New Roman" w:hAnsi="Times New Roman"/>
          <w:b/>
          <w:bCs/>
          <w:snapToGrid w:val="0"/>
          <w:color w:val="000000"/>
          <w:szCs w:val="24"/>
          <w:lang w:val="en-GB"/>
        </w:rPr>
      </w:pPr>
    </w:p>
    <w:p w14:paraId="43F7358F" w14:textId="7DCE7C92" w:rsidR="00E02EA4" w:rsidRDefault="00E02EA4" w:rsidP="00041A83">
      <w:pPr>
        <w:tabs>
          <w:tab w:val="left" w:pos="430"/>
        </w:tabs>
        <w:suppressAutoHyphens/>
        <w:outlineLvl w:val="6"/>
        <w:rPr>
          <w:rFonts w:ascii="Times New Roman" w:hAnsi="Times New Roman"/>
          <w:i/>
          <w:spacing w:val="4"/>
          <w:w w:val="103"/>
          <w:kern w:val="14"/>
          <w:sz w:val="14"/>
          <w:szCs w:val="14"/>
          <w:lang w:val="en-GB"/>
        </w:rPr>
      </w:pPr>
    </w:p>
    <w:p w14:paraId="6FA4F742" w14:textId="201DD2D7" w:rsidR="003E54F5" w:rsidRPr="003E54F5" w:rsidRDefault="003E54F5" w:rsidP="00041A83">
      <w:pPr>
        <w:tabs>
          <w:tab w:val="left" w:pos="430"/>
        </w:tabs>
        <w:suppressAutoHyphens/>
        <w:outlineLvl w:val="6"/>
        <w:rPr>
          <w:rFonts w:ascii="Times New Roman" w:hAnsi="Times New Roman"/>
          <w:spacing w:val="4"/>
          <w:w w:val="103"/>
          <w:kern w:val="14"/>
          <w:sz w:val="14"/>
          <w:szCs w:val="14"/>
          <w:lang w:val="en-GB"/>
        </w:rPr>
      </w:pPr>
      <w:r w:rsidRPr="003E54F5">
        <w:rPr>
          <w:rFonts w:ascii="Times New Roman" w:hAnsi="Times New Roman"/>
          <w:i/>
          <w:spacing w:val="4"/>
          <w:w w:val="103"/>
          <w:kern w:val="14"/>
          <w:sz w:val="14"/>
          <w:szCs w:val="14"/>
          <w:lang w:val="en-GB"/>
        </w:rPr>
        <w:t>Source:</w:t>
      </w:r>
      <w:r w:rsidRPr="003E54F5">
        <w:rPr>
          <w:rFonts w:ascii="Times New Roman" w:hAnsi="Times New Roman"/>
          <w:spacing w:val="4"/>
          <w:w w:val="103"/>
          <w:kern w:val="14"/>
          <w:sz w:val="14"/>
          <w:szCs w:val="14"/>
          <w:lang w:val="en-GB"/>
        </w:rPr>
        <w:t xml:space="preserve"> Table 2a, DP/201</w:t>
      </w:r>
      <w:r w:rsidR="00603FAE">
        <w:rPr>
          <w:rFonts w:ascii="Times New Roman" w:hAnsi="Times New Roman"/>
          <w:spacing w:val="4"/>
          <w:w w:val="103"/>
          <w:kern w:val="14"/>
          <w:sz w:val="14"/>
          <w:szCs w:val="14"/>
          <w:lang w:val="en-GB"/>
        </w:rPr>
        <w:t>7</w:t>
      </w:r>
      <w:r w:rsidRPr="003E54F5">
        <w:rPr>
          <w:rFonts w:ascii="Times New Roman" w:hAnsi="Times New Roman"/>
          <w:spacing w:val="4"/>
          <w:w w:val="103"/>
          <w:kern w:val="14"/>
          <w:sz w:val="14"/>
          <w:szCs w:val="14"/>
          <w:lang w:val="en-GB"/>
        </w:rPr>
        <w:t>/</w:t>
      </w:r>
      <w:r w:rsidR="00603FAE">
        <w:rPr>
          <w:rFonts w:ascii="Times New Roman" w:hAnsi="Times New Roman"/>
          <w:spacing w:val="4"/>
          <w:w w:val="103"/>
          <w:kern w:val="14"/>
          <w:sz w:val="14"/>
          <w:szCs w:val="14"/>
          <w:lang w:val="en-GB"/>
        </w:rPr>
        <w:t>3</w:t>
      </w:r>
      <w:r w:rsidR="0080202A">
        <w:rPr>
          <w:rFonts w:ascii="Times New Roman" w:hAnsi="Times New Roman"/>
          <w:spacing w:val="4"/>
          <w:w w:val="103"/>
          <w:kern w:val="14"/>
          <w:sz w:val="14"/>
          <w:szCs w:val="14"/>
          <w:lang w:val="en-GB"/>
        </w:rPr>
        <w:t>0</w:t>
      </w:r>
      <w:r w:rsidR="008E12EB">
        <w:rPr>
          <w:rFonts w:ascii="Times New Roman" w:hAnsi="Times New Roman"/>
          <w:spacing w:val="4"/>
          <w:w w:val="103"/>
          <w:kern w:val="14"/>
          <w:sz w:val="14"/>
          <w:szCs w:val="14"/>
          <w:lang w:val="en-GB"/>
        </w:rPr>
        <w:t xml:space="preserve"> </w:t>
      </w:r>
      <w:r w:rsidRPr="003E54F5">
        <w:rPr>
          <w:rFonts w:ascii="Times New Roman" w:hAnsi="Times New Roman"/>
          <w:spacing w:val="4"/>
          <w:w w:val="103"/>
          <w:kern w:val="14"/>
          <w:sz w:val="14"/>
          <w:szCs w:val="14"/>
          <w:lang w:val="en-GB"/>
        </w:rPr>
        <w:t>Add.1.</w:t>
      </w:r>
      <w:r w:rsidR="000A76F3">
        <w:rPr>
          <w:rFonts w:ascii="Times New Roman" w:hAnsi="Times New Roman"/>
          <w:spacing w:val="4"/>
          <w:w w:val="103"/>
          <w:kern w:val="14"/>
          <w:sz w:val="14"/>
          <w:szCs w:val="14"/>
          <w:lang w:val="en-GB"/>
        </w:rPr>
        <w:t xml:space="preserve"> Annex 1 expenses presented based on cost classifications.</w:t>
      </w:r>
    </w:p>
    <w:p w14:paraId="6FA4F743" w14:textId="05B7E892" w:rsidR="003E54F5" w:rsidRPr="003E54F5" w:rsidRDefault="003E54F5" w:rsidP="003E54F5">
      <w:pPr>
        <w:suppressAutoHyphens/>
        <w:spacing w:line="276" w:lineRule="auto"/>
        <w:rPr>
          <w:rFonts w:ascii="Times New Roman" w:hAnsi="Times New Roman"/>
          <w:spacing w:val="4"/>
          <w:w w:val="103"/>
          <w:kern w:val="14"/>
          <w:sz w:val="12"/>
          <w:lang w:val="en-GB"/>
        </w:rPr>
      </w:pPr>
      <w:r w:rsidRPr="003E54F5">
        <w:rPr>
          <w:rFonts w:ascii="Times New Roman" w:hAnsi="Times New Roman"/>
          <w:color w:val="000000"/>
          <w:sz w:val="19"/>
          <w:szCs w:val="19"/>
          <w:vertAlign w:val="superscript"/>
          <w:lang w:val="en-GB"/>
        </w:rPr>
        <w:t>a/</w:t>
      </w:r>
      <w:r w:rsidRPr="003E54F5">
        <w:rPr>
          <w:rFonts w:ascii="Times New Roman" w:hAnsi="Times New Roman"/>
          <w:spacing w:val="4"/>
          <w:w w:val="103"/>
          <w:kern w:val="14"/>
          <w:sz w:val="14"/>
          <w:szCs w:val="14"/>
          <w:lang w:val="en-GB"/>
        </w:rPr>
        <w:t>Includes general management support service cost.</w:t>
      </w:r>
    </w:p>
    <w:p w14:paraId="6FA4F744" w14:textId="230D97D0" w:rsidR="003E54F5" w:rsidRDefault="003E54F5" w:rsidP="003E54F5">
      <w:pPr>
        <w:suppressAutoHyphens/>
        <w:spacing w:line="276" w:lineRule="auto"/>
        <w:rPr>
          <w:rFonts w:ascii="Times New Roman" w:hAnsi="Times New Roman"/>
          <w:spacing w:val="4"/>
          <w:w w:val="103"/>
          <w:kern w:val="14"/>
          <w:sz w:val="14"/>
          <w:szCs w:val="14"/>
          <w:lang w:val="en-GB"/>
        </w:rPr>
      </w:pPr>
      <w:r w:rsidRPr="003E54F5">
        <w:rPr>
          <w:rFonts w:ascii="Times New Roman" w:hAnsi="Times New Roman"/>
          <w:color w:val="000000"/>
          <w:sz w:val="19"/>
          <w:szCs w:val="19"/>
          <w:vertAlign w:val="superscript"/>
          <w:lang w:val="en-GB"/>
        </w:rPr>
        <w:t>b/</w:t>
      </w:r>
      <w:r w:rsidRPr="003E54F5">
        <w:rPr>
          <w:rFonts w:ascii="Times New Roman" w:hAnsi="Times New Roman"/>
          <w:spacing w:val="4"/>
          <w:w w:val="103"/>
          <w:kern w:val="14"/>
          <w:sz w:val="14"/>
          <w:szCs w:val="14"/>
          <w:lang w:val="en-GB"/>
        </w:rPr>
        <w:t>This adjustment is required to remove the effect of internal UNDP cost recovery.</w:t>
      </w:r>
    </w:p>
    <w:p w14:paraId="5B85D263" w14:textId="17417FB3" w:rsidR="00A10E7B" w:rsidRDefault="00A10E7B" w:rsidP="003E54F5">
      <w:pPr>
        <w:suppressAutoHyphens/>
        <w:spacing w:line="276" w:lineRule="auto"/>
        <w:rPr>
          <w:rFonts w:ascii="Times New Roman" w:hAnsi="Times New Roman"/>
          <w:spacing w:val="4"/>
          <w:w w:val="103"/>
          <w:kern w:val="14"/>
          <w:sz w:val="14"/>
          <w:szCs w:val="14"/>
          <w:lang w:val="en-GB"/>
        </w:rPr>
      </w:pPr>
    </w:p>
    <w:p w14:paraId="46CCA1DC" w14:textId="77777777" w:rsidR="00A10E7B" w:rsidRDefault="00A10E7B" w:rsidP="003E54F5">
      <w:pPr>
        <w:suppressAutoHyphens/>
        <w:spacing w:line="276" w:lineRule="auto"/>
        <w:rPr>
          <w:rFonts w:ascii="Times New Roman" w:hAnsi="Times New Roman"/>
          <w:spacing w:val="4"/>
          <w:w w:val="103"/>
          <w:kern w:val="14"/>
          <w:sz w:val="14"/>
          <w:szCs w:val="14"/>
          <w:lang w:val="en-GB"/>
        </w:rPr>
      </w:pPr>
    </w:p>
    <w:p w14:paraId="09DBB014" w14:textId="608EA1DF" w:rsidR="00D7159D" w:rsidRDefault="00D7159D" w:rsidP="003E54F5">
      <w:pPr>
        <w:suppressAutoHyphens/>
        <w:spacing w:line="276" w:lineRule="auto"/>
        <w:rPr>
          <w:rFonts w:ascii="Times New Roman" w:hAnsi="Times New Roman"/>
          <w:spacing w:val="4"/>
          <w:w w:val="103"/>
          <w:kern w:val="14"/>
          <w:sz w:val="14"/>
          <w:szCs w:val="14"/>
          <w:lang w:val="en-GB"/>
        </w:rPr>
      </w:pPr>
    </w:p>
    <w:p w14:paraId="6FA4F745" w14:textId="005187EC" w:rsidR="003E54F5" w:rsidRPr="007602D5" w:rsidRDefault="003E54F5" w:rsidP="007602D5">
      <w:pPr>
        <w:pStyle w:val="ListParagraph"/>
        <w:numPr>
          <w:ilvl w:val="0"/>
          <w:numId w:val="3"/>
        </w:numPr>
        <w:tabs>
          <w:tab w:val="left" w:pos="2250"/>
        </w:tabs>
        <w:suppressAutoHyphens/>
        <w:spacing w:line="240" w:lineRule="exact"/>
        <w:ind w:left="450" w:hanging="450"/>
        <w:rPr>
          <w:rFonts w:ascii="Times New Roman" w:hAnsi="Times New Roman"/>
          <w:b/>
          <w:bCs/>
          <w:spacing w:val="4"/>
          <w:w w:val="103"/>
          <w:kern w:val="14"/>
          <w:szCs w:val="24"/>
          <w:lang w:val="en-GB"/>
        </w:rPr>
      </w:pPr>
      <w:r w:rsidRPr="007602D5">
        <w:rPr>
          <w:rFonts w:ascii="Times New Roman" w:hAnsi="Times New Roman"/>
          <w:b/>
          <w:bCs/>
          <w:spacing w:val="4"/>
          <w:w w:val="103"/>
          <w:kern w:val="14"/>
          <w:szCs w:val="24"/>
          <w:lang w:val="en-GB"/>
        </w:rPr>
        <w:lastRenderedPageBreak/>
        <w:t>Statement of financial position as at 31 December 201</w:t>
      </w:r>
      <w:r w:rsidR="003D59D8">
        <w:rPr>
          <w:rFonts w:ascii="Times New Roman" w:hAnsi="Times New Roman"/>
          <w:b/>
          <w:bCs/>
          <w:spacing w:val="4"/>
          <w:w w:val="103"/>
          <w:kern w:val="14"/>
          <w:szCs w:val="24"/>
          <w:lang w:val="en-GB"/>
        </w:rPr>
        <w:t>7</w:t>
      </w:r>
    </w:p>
    <w:p w14:paraId="0F6D2087" w14:textId="3C02D1EF" w:rsidR="00BE4EC0" w:rsidRPr="00FB2146" w:rsidRDefault="00BE4EC0" w:rsidP="00BE4EC0">
      <w:pPr>
        <w:tabs>
          <w:tab w:val="left" w:pos="360"/>
        </w:tabs>
        <w:suppressAutoHyphens/>
        <w:spacing w:line="240" w:lineRule="exact"/>
        <w:ind w:left="540" w:right="720" w:hanging="90"/>
        <w:rPr>
          <w:rFonts w:ascii="Times New Roman" w:hAnsi="Times New Roman"/>
          <w:iCs/>
          <w:color w:val="000000"/>
          <w:sz w:val="16"/>
          <w:szCs w:val="15"/>
        </w:rPr>
      </w:pPr>
      <w:r w:rsidRPr="00FB2146">
        <w:rPr>
          <w:rFonts w:ascii="Times New Roman" w:hAnsi="Times New Roman"/>
          <w:iCs/>
          <w:color w:val="000000"/>
          <w:sz w:val="16"/>
          <w:szCs w:val="15"/>
        </w:rPr>
        <w:t>(Thousands of United States dollars)</w:t>
      </w:r>
    </w:p>
    <w:p w14:paraId="4447EC85" w14:textId="2299DD34" w:rsidR="006E47EA" w:rsidRDefault="006E47EA" w:rsidP="00BE4EC0">
      <w:pPr>
        <w:tabs>
          <w:tab w:val="left" w:pos="360"/>
        </w:tabs>
        <w:suppressAutoHyphens/>
        <w:spacing w:line="240" w:lineRule="exact"/>
        <w:ind w:left="540" w:right="720" w:hanging="90"/>
        <w:rPr>
          <w:rFonts w:ascii="Times New Roman" w:hAnsi="Times New Roman"/>
          <w:i/>
          <w:iCs/>
          <w:color w:val="000000"/>
          <w:sz w:val="16"/>
          <w:szCs w:val="15"/>
        </w:rPr>
      </w:pPr>
    </w:p>
    <w:p w14:paraId="0108D862" w14:textId="6379692F" w:rsidR="00921EA5" w:rsidRDefault="003D59D8" w:rsidP="00921EA5">
      <w:pPr>
        <w:tabs>
          <w:tab w:val="left" w:pos="450"/>
        </w:tabs>
        <w:spacing w:after="60"/>
        <w:ind w:left="450" w:hanging="360"/>
      </w:pPr>
      <w:r w:rsidRPr="003D59D8">
        <w:rPr>
          <w:noProof/>
        </w:rPr>
        <w:drawing>
          <wp:inline distT="0" distB="0" distL="0" distR="0" wp14:anchorId="560A69D0" wp14:editId="70E78C3A">
            <wp:extent cx="8572500" cy="57054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3241" cy="5705968"/>
                    </a:xfrm>
                    <a:prstGeom prst="rect">
                      <a:avLst/>
                    </a:prstGeom>
                    <a:noFill/>
                    <a:ln>
                      <a:noFill/>
                    </a:ln>
                  </pic:spPr>
                </pic:pic>
              </a:graphicData>
            </a:graphic>
          </wp:inline>
        </w:drawing>
      </w:r>
    </w:p>
    <w:p w14:paraId="6FA4F746" w14:textId="3B4EE58D" w:rsidR="003E54F5" w:rsidRPr="003E54F5" w:rsidDel="0037458C" w:rsidRDefault="003E54F5" w:rsidP="00921EA5">
      <w:pPr>
        <w:tabs>
          <w:tab w:val="left" w:pos="450"/>
        </w:tabs>
        <w:spacing w:after="60"/>
        <w:ind w:left="450" w:hanging="360"/>
        <w:rPr>
          <w:rFonts w:ascii="Times New Roman" w:hAnsi="Times New Roman"/>
          <w:spacing w:val="4"/>
          <w:w w:val="103"/>
          <w:kern w:val="14"/>
          <w:sz w:val="20"/>
          <w:lang w:val="en-GB"/>
        </w:rPr>
      </w:pPr>
      <w:r w:rsidRPr="003E54F5">
        <w:rPr>
          <w:rFonts w:ascii="Times New Roman" w:hAnsi="Times New Roman"/>
          <w:i/>
          <w:iCs/>
          <w:snapToGrid w:val="0"/>
          <w:color w:val="000000"/>
          <w:szCs w:val="24"/>
          <w:lang w:val="en-GB"/>
        </w:rPr>
        <w:lastRenderedPageBreak/>
        <w:t xml:space="preserve">                                             </w:t>
      </w:r>
    </w:p>
    <w:p w14:paraId="12EF8AC6" w14:textId="77777777" w:rsidR="00F56175" w:rsidRDefault="003E54F5" w:rsidP="00BE4EC0">
      <w:pPr>
        <w:suppressAutoHyphens/>
        <w:spacing w:after="60"/>
        <w:ind w:firstLine="90"/>
        <w:rPr>
          <w:rFonts w:ascii="Times New Roman" w:hAnsi="Times New Roman"/>
          <w:b/>
          <w:bCs/>
          <w:color w:val="000000"/>
          <w:sz w:val="28"/>
          <w:szCs w:val="28"/>
          <w:lang w:val="en-GB"/>
        </w:rPr>
      </w:pPr>
      <w:r w:rsidRPr="003E54F5">
        <w:rPr>
          <w:rFonts w:ascii="Times New Roman" w:hAnsi="Times New Roman"/>
          <w:b/>
          <w:bCs/>
          <w:color w:val="000000"/>
          <w:sz w:val="28"/>
          <w:szCs w:val="28"/>
          <w:lang w:val="en-GB"/>
        </w:rPr>
        <w:t>Annex II.</w:t>
      </w:r>
    </w:p>
    <w:p w14:paraId="6FA4F99B" w14:textId="339BC874" w:rsidR="003E54F5" w:rsidRDefault="003E54F5" w:rsidP="00BE4EC0">
      <w:pPr>
        <w:suppressAutoHyphens/>
        <w:spacing w:after="60"/>
        <w:ind w:firstLine="90"/>
        <w:rPr>
          <w:rFonts w:ascii="Times New Roman" w:hAnsi="Times New Roman"/>
          <w:b/>
          <w:bCs/>
          <w:color w:val="000000"/>
          <w:sz w:val="28"/>
          <w:szCs w:val="28"/>
          <w:lang w:val="en-GB"/>
        </w:rPr>
      </w:pPr>
      <w:r w:rsidRPr="003E54F5">
        <w:rPr>
          <w:rFonts w:ascii="Times New Roman" w:hAnsi="Times New Roman"/>
          <w:b/>
          <w:bCs/>
          <w:color w:val="000000"/>
          <w:sz w:val="28"/>
          <w:szCs w:val="28"/>
          <w:lang w:val="en-GB"/>
        </w:rPr>
        <w:t>Regular resources – comparison of budget to actual, 201</w:t>
      </w:r>
      <w:r w:rsidR="003D59D8">
        <w:rPr>
          <w:rFonts w:ascii="Times New Roman" w:hAnsi="Times New Roman"/>
          <w:b/>
          <w:bCs/>
          <w:color w:val="000000"/>
          <w:sz w:val="28"/>
          <w:szCs w:val="28"/>
          <w:lang w:val="en-GB"/>
        </w:rPr>
        <w:t>7</w:t>
      </w:r>
    </w:p>
    <w:p w14:paraId="15201DAD" w14:textId="77777777" w:rsidR="00BE4EC0" w:rsidRPr="00FB2146" w:rsidRDefault="00BE4EC0" w:rsidP="00BE4EC0">
      <w:pPr>
        <w:tabs>
          <w:tab w:val="left" w:pos="360"/>
        </w:tabs>
        <w:suppressAutoHyphens/>
        <w:spacing w:line="240" w:lineRule="exact"/>
        <w:ind w:left="1785" w:right="720" w:hanging="1695"/>
        <w:rPr>
          <w:rFonts w:ascii="Times New Roman" w:hAnsi="Times New Roman"/>
          <w:b/>
          <w:bCs/>
          <w:snapToGrid w:val="0"/>
          <w:color w:val="000000"/>
          <w:sz w:val="28"/>
          <w:szCs w:val="24"/>
          <w:lang w:val="en-GB"/>
        </w:rPr>
      </w:pPr>
      <w:r w:rsidRPr="00FB2146">
        <w:rPr>
          <w:rFonts w:ascii="Times New Roman" w:hAnsi="Times New Roman"/>
          <w:iCs/>
          <w:color w:val="000000"/>
          <w:sz w:val="16"/>
          <w:szCs w:val="15"/>
        </w:rPr>
        <w:t>(Thousands of United States dollars)</w:t>
      </w:r>
    </w:p>
    <w:p w14:paraId="13ABA7CE" w14:textId="77777777" w:rsidR="003A1C5F" w:rsidRDefault="003A1C5F" w:rsidP="00634F26">
      <w:pPr>
        <w:suppressAutoHyphens/>
        <w:spacing w:after="120"/>
        <w:ind w:left="1267" w:right="738"/>
        <w:rPr>
          <w:rFonts w:ascii="Times New Roman" w:hAnsi="Times New Roman"/>
          <w:b/>
          <w:bCs/>
          <w:color w:val="000000"/>
          <w:spacing w:val="-2"/>
          <w:sz w:val="28"/>
        </w:rPr>
      </w:pPr>
    </w:p>
    <w:p w14:paraId="3B5133F2" w14:textId="13DE8D1A" w:rsidR="003A1C5F" w:rsidRDefault="003D59D8" w:rsidP="006916C6">
      <w:pPr>
        <w:suppressAutoHyphens/>
        <w:spacing w:after="120"/>
        <w:ind w:left="1267" w:right="738" w:hanging="1087"/>
        <w:rPr>
          <w:rFonts w:ascii="Times New Roman" w:hAnsi="Times New Roman"/>
          <w:b/>
          <w:bCs/>
          <w:color w:val="000000"/>
          <w:spacing w:val="-2"/>
          <w:sz w:val="28"/>
        </w:rPr>
      </w:pPr>
      <w:r w:rsidRPr="003D59D8">
        <w:rPr>
          <w:noProof/>
        </w:rPr>
        <w:drawing>
          <wp:inline distT="0" distB="0" distL="0" distR="0" wp14:anchorId="4076C13D" wp14:editId="62651F90">
            <wp:extent cx="7562850" cy="39719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62850" cy="3971925"/>
                    </a:xfrm>
                    <a:prstGeom prst="rect">
                      <a:avLst/>
                    </a:prstGeom>
                    <a:noFill/>
                    <a:ln>
                      <a:noFill/>
                    </a:ln>
                  </pic:spPr>
                </pic:pic>
              </a:graphicData>
            </a:graphic>
          </wp:inline>
        </w:drawing>
      </w:r>
    </w:p>
    <w:p w14:paraId="3542A7E7" w14:textId="60D2EB87" w:rsidR="003A1C5F" w:rsidRDefault="003A1C5F" w:rsidP="00634F26">
      <w:pPr>
        <w:suppressAutoHyphens/>
        <w:spacing w:after="120"/>
        <w:ind w:left="1267" w:right="738"/>
        <w:rPr>
          <w:rFonts w:ascii="Times New Roman" w:hAnsi="Times New Roman"/>
          <w:b/>
          <w:bCs/>
          <w:color w:val="000000"/>
          <w:spacing w:val="-2"/>
          <w:sz w:val="28"/>
        </w:rPr>
      </w:pPr>
    </w:p>
    <w:p w14:paraId="16A2924E" w14:textId="082F416B" w:rsidR="00603FAE" w:rsidRDefault="00603FAE" w:rsidP="00634F26">
      <w:pPr>
        <w:suppressAutoHyphens/>
        <w:spacing w:after="120"/>
        <w:ind w:left="1267" w:right="738"/>
        <w:rPr>
          <w:rFonts w:ascii="Times New Roman" w:hAnsi="Times New Roman"/>
          <w:b/>
          <w:bCs/>
          <w:color w:val="000000"/>
          <w:spacing w:val="-2"/>
          <w:sz w:val="28"/>
        </w:rPr>
      </w:pPr>
    </w:p>
    <w:p w14:paraId="17ED47E4" w14:textId="77777777" w:rsidR="00603FAE" w:rsidRDefault="00603FAE" w:rsidP="00634F26">
      <w:pPr>
        <w:suppressAutoHyphens/>
        <w:spacing w:after="120"/>
        <w:ind w:left="1267" w:right="738"/>
        <w:rPr>
          <w:rFonts w:ascii="Times New Roman" w:hAnsi="Times New Roman"/>
          <w:b/>
          <w:bCs/>
          <w:color w:val="000000"/>
          <w:spacing w:val="-2"/>
          <w:sz w:val="28"/>
        </w:rPr>
      </w:pPr>
    </w:p>
    <w:p w14:paraId="04C6F9BB" w14:textId="6CE9DD45" w:rsidR="00F56175" w:rsidRDefault="004C50EC" w:rsidP="00BE4EC0">
      <w:pPr>
        <w:suppressAutoHyphens/>
        <w:spacing w:after="60"/>
        <w:ind w:left="720" w:hanging="720"/>
        <w:rPr>
          <w:rFonts w:ascii="Times New Roman" w:hAnsi="Times New Roman"/>
          <w:b/>
          <w:bCs/>
          <w:color w:val="000000"/>
          <w:sz w:val="28"/>
          <w:szCs w:val="28"/>
          <w:lang w:val="en-GB"/>
        </w:rPr>
      </w:pPr>
      <w:r w:rsidRPr="00881E2C">
        <w:rPr>
          <w:rFonts w:ascii="Times New Roman" w:hAnsi="Times New Roman"/>
          <w:b/>
          <w:bCs/>
          <w:color w:val="000000"/>
          <w:sz w:val="28"/>
          <w:szCs w:val="28"/>
          <w:lang w:val="en-GB"/>
        </w:rPr>
        <w:lastRenderedPageBreak/>
        <w:t>Annex I</w:t>
      </w:r>
      <w:r w:rsidR="007602D5">
        <w:rPr>
          <w:rFonts w:ascii="Times New Roman" w:hAnsi="Times New Roman"/>
          <w:b/>
          <w:bCs/>
          <w:color w:val="000000"/>
          <w:sz w:val="28"/>
          <w:szCs w:val="28"/>
          <w:lang w:val="en-GB"/>
        </w:rPr>
        <w:t>II</w:t>
      </w:r>
      <w:r w:rsidRPr="00881E2C">
        <w:rPr>
          <w:rFonts w:ascii="Times New Roman" w:hAnsi="Times New Roman"/>
          <w:b/>
          <w:bCs/>
          <w:color w:val="000000"/>
          <w:sz w:val="28"/>
          <w:szCs w:val="28"/>
          <w:lang w:val="en-GB"/>
        </w:rPr>
        <w:t>.</w:t>
      </w:r>
    </w:p>
    <w:p w14:paraId="0B171440" w14:textId="2FC1B655" w:rsidR="004C50EC" w:rsidRPr="00083FDF" w:rsidRDefault="004C50EC" w:rsidP="00083FDF">
      <w:pPr>
        <w:pStyle w:val="ListParagraph"/>
        <w:numPr>
          <w:ilvl w:val="0"/>
          <w:numId w:val="10"/>
        </w:numPr>
        <w:suppressAutoHyphens/>
        <w:spacing w:after="60"/>
        <w:ind w:left="450" w:hanging="450"/>
        <w:rPr>
          <w:rFonts w:ascii="Times New Roman" w:hAnsi="Times New Roman"/>
          <w:b/>
          <w:bCs/>
          <w:color w:val="000000"/>
          <w:sz w:val="28"/>
          <w:szCs w:val="28"/>
          <w:lang w:val="en-GB"/>
        </w:rPr>
      </w:pPr>
      <w:r w:rsidRPr="00083FDF">
        <w:rPr>
          <w:rFonts w:ascii="Times New Roman" w:hAnsi="Times New Roman"/>
          <w:b/>
          <w:bCs/>
          <w:color w:val="000000"/>
          <w:sz w:val="28"/>
          <w:szCs w:val="28"/>
          <w:lang w:val="en-GB"/>
        </w:rPr>
        <w:t xml:space="preserve">Integrated </w:t>
      </w:r>
      <w:r w:rsidR="00081689">
        <w:rPr>
          <w:rFonts w:ascii="Times New Roman" w:hAnsi="Times New Roman"/>
          <w:b/>
          <w:bCs/>
          <w:color w:val="000000"/>
          <w:sz w:val="28"/>
          <w:szCs w:val="28"/>
          <w:lang w:val="en-GB"/>
        </w:rPr>
        <w:t xml:space="preserve">resources plan </w:t>
      </w:r>
      <w:r w:rsidRPr="00083FDF">
        <w:rPr>
          <w:rFonts w:ascii="Times New Roman" w:hAnsi="Times New Roman"/>
          <w:b/>
          <w:bCs/>
          <w:color w:val="000000"/>
          <w:sz w:val="28"/>
          <w:szCs w:val="28"/>
          <w:lang w:val="en-GB"/>
        </w:rPr>
        <w:t>compared to 2014</w:t>
      </w:r>
      <w:r w:rsidR="007B2C86">
        <w:rPr>
          <w:rFonts w:ascii="Times New Roman" w:hAnsi="Times New Roman"/>
          <w:b/>
          <w:bCs/>
          <w:color w:val="000000"/>
          <w:sz w:val="28"/>
          <w:szCs w:val="28"/>
          <w:lang w:val="en-GB"/>
        </w:rPr>
        <w:t>-201</w:t>
      </w:r>
      <w:r w:rsidR="003D59D8">
        <w:rPr>
          <w:rFonts w:ascii="Times New Roman" w:hAnsi="Times New Roman"/>
          <w:b/>
          <w:bCs/>
          <w:color w:val="000000"/>
          <w:sz w:val="28"/>
          <w:szCs w:val="28"/>
          <w:lang w:val="en-GB"/>
        </w:rPr>
        <w:t>7</w:t>
      </w:r>
      <w:r w:rsidRPr="00083FDF">
        <w:rPr>
          <w:rFonts w:ascii="Times New Roman" w:hAnsi="Times New Roman"/>
          <w:b/>
          <w:bCs/>
          <w:color w:val="000000"/>
          <w:sz w:val="28"/>
          <w:szCs w:val="28"/>
          <w:lang w:val="en-GB"/>
        </w:rPr>
        <w:t xml:space="preserve"> actuals</w:t>
      </w:r>
    </w:p>
    <w:p w14:paraId="2FFB5E4F" w14:textId="5CC1444B" w:rsidR="00BE4EC0" w:rsidRDefault="0019047E" w:rsidP="00BE4EC0">
      <w:pPr>
        <w:tabs>
          <w:tab w:val="left" w:pos="360"/>
        </w:tabs>
        <w:suppressAutoHyphens/>
        <w:spacing w:line="240" w:lineRule="exact"/>
        <w:ind w:left="1785" w:right="720" w:hanging="1785"/>
        <w:rPr>
          <w:rFonts w:ascii="Times New Roman" w:hAnsi="Times New Roman"/>
          <w:iCs/>
          <w:color w:val="000000"/>
          <w:sz w:val="16"/>
          <w:szCs w:val="15"/>
        </w:rPr>
      </w:pPr>
      <w:r>
        <w:rPr>
          <w:rFonts w:ascii="Times New Roman" w:hAnsi="Times New Roman"/>
          <w:i/>
          <w:iCs/>
          <w:color w:val="000000"/>
          <w:sz w:val="16"/>
          <w:szCs w:val="15"/>
        </w:rPr>
        <w:tab/>
      </w:r>
      <w:r w:rsidR="00BE4EC0" w:rsidRPr="00FB2146">
        <w:rPr>
          <w:rFonts w:ascii="Times New Roman" w:hAnsi="Times New Roman"/>
          <w:iCs/>
          <w:color w:val="000000"/>
          <w:sz w:val="16"/>
          <w:szCs w:val="15"/>
        </w:rPr>
        <w:t>(Millions of United States dollars)</w:t>
      </w:r>
    </w:p>
    <w:p w14:paraId="7D65C683" w14:textId="77777777" w:rsidR="00A10E7B" w:rsidRPr="00FB2146" w:rsidRDefault="00A10E7B" w:rsidP="00BE4EC0">
      <w:pPr>
        <w:tabs>
          <w:tab w:val="left" w:pos="360"/>
        </w:tabs>
        <w:suppressAutoHyphens/>
        <w:spacing w:line="240" w:lineRule="exact"/>
        <w:ind w:left="1785" w:right="720" w:hanging="1785"/>
        <w:rPr>
          <w:rFonts w:ascii="Times New Roman" w:hAnsi="Times New Roman"/>
          <w:iCs/>
          <w:color w:val="000000"/>
          <w:sz w:val="16"/>
          <w:szCs w:val="15"/>
        </w:rPr>
      </w:pPr>
    </w:p>
    <w:p w14:paraId="639C2178" w14:textId="3EB4EB0F" w:rsidR="007B2C86" w:rsidRDefault="003D59D8" w:rsidP="004C50EC">
      <w:pPr>
        <w:suppressAutoHyphens/>
        <w:spacing w:after="60"/>
        <w:rPr>
          <w:noProof/>
        </w:rPr>
      </w:pPr>
      <w:r w:rsidRPr="003D59D8">
        <w:rPr>
          <w:noProof/>
        </w:rPr>
        <w:drawing>
          <wp:inline distT="0" distB="0" distL="0" distR="0" wp14:anchorId="63B1B3BB" wp14:editId="48035BCF">
            <wp:extent cx="8665616" cy="5357308"/>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684556" cy="5369017"/>
                    </a:xfrm>
                    <a:prstGeom prst="rect">
                      <a:avLst/>
                    </a:prstGeom>
                    <a:noFill/>
                    <a:ln>
                      <a:noFill/>
                    </a:ln>
                  </pic:spPr>
                </pic:pic>
              </a:graphicData>
            </a:graphic>
          </wp:inline>
        </w:drawing>
      </w:r>
    </w:p>
    <w:p w14:paraId="6466606C" w14:textId="36FC295D" w:rsidR="00081689" w:rsidRDefault="003D59D8" w:rsidP="007602D5">
      <w:pPr>
        <w:suppressAutoHyphens/>
        <w:spacing w:after="60"/>
        <w:ind w:left="720" w:hanging="360"/>
        <w:rPr>
          <w:rFonts w:ascii="Times New Roman" w:hAnsi="Times New Roman"/>
          <w:b/>
          <w:bCs/>
          <w:color w:val="000000"/>
          <w:sz w:val="28"/>
          <w:szCs w:val="28"/>
          <w:lang w:val="en-GB"/>
        </w:rPr>
      </w:pPr>
      <w:r w:rsidRPr="003D59D8">
        <w:rPr>
          <w:noProof/>
        </w:rPr>
        <w:lastRenderedPageBreak/>
        <w:drawing>
          <wp:inline distT="0" distB="0" distL="0" distR="0" wp14:anchorId="514383DD" wp14:editId="619AF466">
            <wp:extent cx="8153400" cy="91884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2">
                      <a:extLst>
                        <a:ext uri="{28A0092B-C50C-407E-A947-70E740481C1C}">
                          <a14:useLocalDpi xmlns:a14="http://schemas.microsoft.com/office/drawing/2010/main" val="0"/>
                        </a:ext>
                      </a:extLst>
                    </a:blip>
                    <a:srcRect r="8359"/>
                    <a:stretch/>
                  </pic:blipFill>
                  <pic:spPr bwMode="auto">
                    <a:xfrm>
                      <a:off x="0" y="0"/>
                      <a:ext cx="8266014" cy="931536"/>
                    </a:xfrm>
                    <a:prstGeom prst="rect">
                      <a:avLst/>
                    </a:prstGeom>
                    <a:noFill/>
                    <a:ln>
                      <a:noFill/>
                    </a:ln>
                    <a:extLst>
                      <a:ext uri="{53640926-AAD7-44D8-BBD7-CCE9431645EC}">
                        <a14:shadowObscured xmlns:a14="http://schemas.microsoft.com/office/drawing/2010/main"/>
                      </a:ext>
                    </a:extLst>
                  </pic:spPr>
                </pic:pic>
              </a:graphicData>
            </a:graphic>
          </wp:inline>
        </w:drawing>
      </w:r>
    </w:p>
    <w:p w14:paraId="4D3ECF0E" w14:textId="488177E9" w:rsidR="00081689" w:rsidRDefault="00081689" w:rsidP="007602D5">
      <w:pPr>
        <w:suppressAutoHyphens/>
        <w:spacing w:after="60"/>
        <w:ind w:left="720" w:hanging="360"/>
        <w:rPr>
          <w:rFonts w:ascii="Times New Roman" w:hAnsi="Times New Roman"/>
          <w:b/>
          <w:bCs/>
          <w:color w:val="000000"/>
          <w:sz w:val="28"/>
          <w:szCs w:val="28"/>
          <w:lang w:val="en-GB"/>
        </w:rPr>
      </w:pPr>
    </w:p>
    <w:p w14:paraId="1C9A6CF2" w14:textId="77777777" w:rsidR="00A45BEC" w:rsidRPr="00A45BEC" w:rsidRDefault="00A45BEC" w:rsidP="00A45BEC">
      <w:pPr>
        <w:suppressAutoHyphens/>
        <w:spacing w:after="60"/>
        <w:ind w:left="720" w:hanging="360"/>
        <w:rPr>
          <w:rFonts w:ascii="Times New Roman" w:hAnsi="Times New Roman"/>
          <w:b/>
          <w:bCs/>
          <w:color w:val="000000"/>
          <w:sz w:val="22"/>
          <w:szCs w:val="28"/>
          <w:lang w:val="en-GB"/>
        </w:rPr>
      </w:pPr>
      <w:r w:rsidRPr="00A45BEC">
        <w:rPr>
          <w:rFonts w:ascii="Times New Roman" w:hAnsi="Times New Roman"/>
          <w:b/>
          <w:bCs/>
          <w:color w:val="000000"/>
          <w:sz w:val="22"/>
          <w:szCs w:val="28"/>
          <w:lang w:val="en-GB"/>
        </w:rPr>
        <w:t>Summary of institutional component of the integrated budget expenditures by category:</w:t>
      </w:r>
    </w:p>
    <w:p w14:paraId="29E211B1" w14:textId="033C53B9" w:rsidR="00A45BEC" w:rsidRDefault="00A45BEC" w:rsidP="00A45BEC">
      <w:pPr>
        <w:suppressAutoHyphens/>
        <w:spacing w:after="60"/>
        <w:ind w:left="720" w:hanging="360"/>
        <w:rPr>
          <w:rFonts w:ascii="Times New Roman" w:hAnsi="Times New Roman"/>
          <w:b/>
          <w:bCs/>
          <w:color w:val="000000"/>
          <w:sz w:val="22"/>
          <w:szCs w:val="28"/>
          <w:lang w:val="en-GB"/>
        </w:rPr>
      </w:pPr>
      <w:r w:rsidRPr="00A45BEC">
        <w:rPr>
          <w:rFonts w:ascii="Times New Roman" w:hAnsi="Times New Roman"/>
          <w:b/>
          <w:bCs/>
          <w:color w:val="000000"/>
          <w:sz w:val="22"/>
          <w:szCs w:val="28"/>
          <w:lang w:val="en-GB"/>
        </w:rPr>
        <w:t>2014-201</w:t>
      </w:r>
      <w:r w:rsidR="003D59D8">
        <w:rPr>
          <w:rFonts w:ascii="Times New Roman" w:hAnsi="Times New Roman"/>
          <w:b/>
          <w:bCs/>
          <w:color w:val="000000"/>
          <w:sz w:val="22"/>
          <w:szCs w:val="28"/>
          <w:lang w:val="en-GB"/>
        </w:rPr>
        <w:t>7</w:t>
      </w:r>
      <w:r w:rsidRPr="00A45BEC">
        <w:rPr>
          <w:rFonts w:ascii="Times New Roman" w:hAnsi="Times New Roman"/>
          <w:b/>
          <w:bCs/>
          <w:color w:val="000000"/>
          <w:sz w:val="22"/>
          <w:szCs w:val="28"/>
          <w:lang w:val="en-GB"/>
        </w:rPr>
        <w:t xml:space="preserve"> actual expenditures</w:t>
      </w:r>
    </w:p>
    <w:p w14:paraId="3C64993A" w14:textId="77777777" w:rsidR="00DF2569" w:rsidRPr="00A45BEC" w:rsidRDefault="00DF2569" w:rsidP="00A45BEC">
      <w:pPr>
        <w:suppressAutoHyphens/>
        <w:spacing w:after="60"/>
        <w:ind w:left="720" w:hanging="360"/>
        <w:rPr>
          <w:rFonts w:ascii="Times New Roman" w:hAnsi="Times New Roman"/>
          <w:b/>
          <w:bCs/>
          <w:color w:val="000000"/>
          <w:sz w:val="22"/>
          <w:szCs w:val="28"/>
          <w:lang w:val="en-GB"/>
        </w:rPr>
      </w:pPr>
    </w:p>
    <w:p w14:paraId="20E3E1C9" w14:textId="35AC67AA" w:rsidR="00081689" w:rsidRDefault="00DF2569" w:rsidP="007602D5">
      <w:pPr>
        <w:suppressAutoHyphens/>
        <w:spacing w:after="60"/>
        <w:ind w:left="720" w:hanging="360"/>
        <w:rPr>
          <w:rFonts w:ascii="Times New Roman" w:hAnsi="Times New Roman"/>
          <w:b/>
          <w:bCs/>
          <w:color w:val="000000"/>
          <w:sz w:val="28"/>
          <w:szCs w:val="28"/>
          <w:lang w:val="en-GB"/>
        </w:rPr>
      </w:pPr>
      <w:r w:rsidRPr="00DF2569">
        <w:rPr>
          <w:noProof/>
        </w:rPr>
        <w:drawing>
          <wp:inline distT="0" distB="0" distL="0" distR="0" wp14:anchorId="22E3AAE6" wp14:editId="45708081">
            <wp:extent cx="8153400" cy="160401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154737" cy="1604273"/>
                    </a:xfrm>
                    <a:prstGeom prst="rect">
                      <a:avLst/>
                    </a:prstGeom>
                    <a:noFill/>
                    <a:ln>
                      <a:noFill/>
                    </a:ln>
                  </pic:spPr>
                </pic:pic>
              </a:graphicData>
            </a:graphic>
          </wp:inline>
        </w:drawing>
      </w:r>
    </w:p>
    <w:p w14:paraId="4569BB38" w14:textId="77777777" w:rsidR="00081689" w:rsidRDefault="00081689" w:rsidP="007602D5">
      <w:pPr>
        <w:suppressAutoHyphens/>
        <w:spacing w:after="60"/>
        <w:ind w:left="720" w:hanging="360"/>
        <w:rPr>
          <w:rFonts w:ascii="Times New Roman" w:hAnsi="Times New Roman"/>
          <w:b/>
          <w:bCs/>
          <w:color w:val="000000"/>
          <w:sz w:val="28"/>
          <w:szCs w:val="28"/>
          <w:lang w:val="en-GB"/>
        </w:rPr>
      </w:pPr>
    </w:p>
    <w:p w14:paraId="2F3FDCA8" w14:textId="77777777" w:rsidR="00081689" w:rsidRDefault="00081689" w:rsidP="007602D5">
      <w:pPr>
        <w:suppressAutoHyphens/>
        <w:spacing w:after="60"/>
        <w:ind w:left="720" w:hanging="360"/>
        <w:rPr>
          <w:rFonts w:ascii="Times New Roman" w:hAnsi="Times New Roman"/>
          <w:b/>
          <w:bCs/>
          <w:color w:val="000000"/>
          <w:sz w:val="28"/>
          <w:szCs w:val="28"/>
          <w:lang w:val="en-GB"/>
        </w:rPr>
      </w:pPr>
    </w:p>
    <w:p w14:paraId="004C9CDC" w14:textId="77777777" w:rsidR="00081689" w:rsidRDefault="00081689" w:rsidP="007602D5">
      <w:pPr>
        <w:suppressAutoHyphens/>
        <w:spacing w:after="60"/>
        <w:ind w:left="720" w:hanging="360"/>
        <w:rPr>
          <w:rFonts w:ascii="Times New Roman" w:hAnsi="Times New Roman"/>
          <w:b/>
          <w:bCs/>
          <w:color w:val="000000"/>
          <w:sz w:val="28"/>
          <w:szCs w:val="28"/>
          <w:lang w:val="en-GB"/>
        </w:rPr>
      </w:pPr>
    </w:p>
    <w:p w14:paraId="7065015D" w14:textId="77777777" w:rsidR="00081689" w:rsidRDefault="00081689" w:rsidP="007602D5">
      <w:pPr>
        <w:suppressAutoHyphens/>
        <w:spacing w:after="60"/>
        <w:ind w:left="720" w:hanging="360"/>
        <w:rPr>
          <w:rFonts w:ascii="Times New Roman" w:hAnsi="Times New Roman"/>
          <w:b/>
          <w:bCs/>
          <w:color w:val="000000"/>
          <w:sz w:val="28"/>
          <w:szCs w:val="28"/>
          <w:lang w:val="en-GB"/>
        </w:rPr>
      </w:pPr>
    </w:p>
    <w:p w14:paraId="7646D8CA" w14:textId="64CA32D9" w:rsidR="007602D5" w:rsidRDefault="007602D5" w:rsidP="007602D5">
      <w:pPr>
        <w:suppressAutoHyphens/>
        <w:spacing w:after="60"/>
        <w:ind w:left="720" w:hanging="360"/>
        <w:rPr>
          <w:rFonts w:ascii="Times New Roman" w:hAnsi="Times New Roman"/>
          <w:b/>
          <w:bCs/>
          <w:color w:val="000000"/>
          <w:sz w:val="28"/>
          <w:szCs w:val="28"/>
          <w:lang w:val="en-GB"/>
        </w:rPr>
      </w:pPr>
    </w:p>
    <w:p w14:paraId="16F7A8FC" w14:textId="77777777" w:rsidR="007602D5" w:rsidRDefault="007602D5" w:rsidP="00881E2C">
      <w:pPr>
        <w:suppressAutoHyphens/>
        <w:spacing w:after="60"/>
        <w:ind w:left="720" w:firstLine="360"/>
        <w:rPr>
          <w:rFonts w:ascii="Times New Roman" w:hAnsi="Times New Roman"/>
          <w:b/>
          <w:bCs/>
          <w:color w:val="000000"/>
          <w:sz w:val="28"/>
          <w:szCs w:val="28"/>
          <w:lang w:val="en-GB"/>
        </w:rPr>
      </w:pPr>
    </w:p>
    <w:p w14:paraId="361A78BB" w14:textId="4CCE2DBA" w:rsidR="00BF4077" w:rsidRDefault="00BF4077">
      <w:pPr>
        <w:rPr>
          <w:rFonts w:ascii="Times New Roman" w:hAnsi="Times New Roman"/>
          <w:b/>
          <w:bCs/>
          <w:color w:val="000000"/>
          <w:sz w:val="28"/>
          <w:szCs w:val="28"/>
          <w:lang w:val="en-GB"/>
        </w:rPr>
      </w:pPr>
      <w:r>
        <w:rPr>
          <w:rFonts w:ascii="Times New Roman" w:hAnsi="Times New Roman"/>
          <w:b/>
          <w:bCs/>
          <w:color w:val="000000"/>
          <w:sz w:val="28"/>
          <w:szCs w:val="28"/>
          <w:lang w:val="en-GB"/>
        </w:rPr>
        <w:br w:type="page"/>
      </w:r>
    </w:p>
    <w:p w14:paraId="208E8DA5" w14:textId="77777777" w:rsidR="00E55082" w:rsidRDefault="0004305D" w:rsidP="00083FDF">
      <w:pPr>
        <w:pStyle w:val="ListParagraph"/>
        <w:numPr>
          <w:ilvl w:val="0"/>
          <w:numId w:val="10"/>
        </w:numPr>
        <w:suppressAutoHyphens/>
        <w:spacing w:after="60"/>
        <w:ind w:left="450" w:hanging="450"/>
        <w:rPr>
          <w:rFonts w:ascii="Times New Roman" w:hAnsi="Times New Roman"/>
          <w:b/>
          <w:bCs/>
          <w:color w:val="000000"/>
          <w:sz w:val="28"/>
          <w:szCs w:val="24"/>
          <w:lang w:val="en-GB"/>
        </w:rPr>
      </w:pPr>
      <w:r>
        <w:rPr>
          <w:rFonts w:ascii="Times New Roman" w:hAnsi="Times New Roman"/>
          <w:b/>
          <w:bCs/>
          <w:color w:val="000000"/>
          <w:sz w:val="28"/>
          <w:szCs w:val="24"/>
          <w:lang w:val="en-GB"/>
        </w:rPr>
        <w:lastRenderedPageBreak/>
        <w:t>I</w:t>
      </w:r>
      <w:r w:rsidR="00083FDF" w:rsidRPr="00083FDF">
        <w:rPr>
          <w:rFonts w:ascii="Times New Roman" w:hAnsi="Times New Roman"/>
          <w:b/>
          <w:bCs/>
          <w:color w:val="000000"/>
          <w:sz w:val="28"/>
          <w:szCs w:val="24"/>
          <w:lang w:val="en-GB"/>
        </w:rPr>
        <w:t>nstitutional components of the integrated resources plan by functional cluster</w:t>
      </w:r>
    </w:p>
    <w:p w14:paraId="66718FE4" w14:textId="4017201D" w:rsidR="00EF376B" w:rsidRPr="00083FDF" w:rsidRDefault="00E55082" w:rsidP="00E55082">
      <w:pPr>
        <w:pStyle w:val="ListParagraph"/>
        <w:suppressAutoHyphens/>
        <w:spacing w:after="60"/>
        <w:ind w:left="1890" w:firstLine="270"/>
        <w:rPr>
          <w:rFonts w:ascii="Times New Roman" w:hAnsi="Times New Roman"/>
          <w:b/>
          <w:bCs/>
          <w:color w:val="000000"/>
          <w:sz w:val="28"/>
          <w:szCs w:val="24"/>
          <w:lang w:val="en-GB"/>
        </w:rPr>
      </w:pPr>
      <w:r w:rsidRPr="00E55082">
        <w:rPr>
          <w:rFonts w:ascii="Times New Roman" w:hAnsi="Times New Roman"/>
          <w:b/>
          <w:bCs/>
          <w:color w:val="000000"/>
          <w:sz w:val="28"/>
          <w:szCs w:val="24"/>
          <w:lang w:val="en-GB"/>
        </w:rPr>
        <w:t>2014-2017 estimates compared with 2014-201</w:t>
      </w:r>
      <w:r w:rsidR="008B79A7">
        <w:rPr>
          <w:rFonts w:ascii="Times New Roman" w:hAnsi="Times New Roman"/>
          <w:b/>
          <w:bCs/>
          <w:color w:val="000000"/>
          <w:sz w:val="28"/>
          <w:szCs w:val="24"/>
          <w:lang w:val="en-GB"/>
        </w:rPr>
        <w:t>7</w:t>
      </w:r>
      <w:r w:rsidRPr="00E55082">
        <w:rPr>
          <w:rFonts w:ascii="Times New Roman" w:hAnsi="Times New Roman"/>
          <w:b/>
          <w:bCs/>
          <w:color w:val="000000"/>
          <w:sz w:val="28"/>
          <w:szCs w:val="24"/>
          <w:lang w:val="en-GB"/>
        </w:rPr>
        <w:t xml:space="preserve"> actuals</w:t>
      </w:r>
    </w:p>
    <w:p w14:paraId="0D9ECEF5" w14:textId="600BDBEF" w:rsidR="00083FDF" w:rsidRDefault="00AB1862" w:rsidP="00083FDF">
      <w:pPr>
        <w:tabs>
          <w:tab w:val="left" w:pos="360"/>
        </w:tabs>
        <w:suppressAutoHyphens/>
        <w:spacing w:line="240" w:lineRule="exact"/>
        <w:ind w:right="720"/>
        <w:rPr>
          <w:rFonts w:ascii="Times New Roman" w:hAnsi="Times New Roman"/>
          <w:iCs/>
          <w:color w:val="000000"/>
          <w:sz w:val="16"/>
          <w:szCs w:val="15"/>
        </w:rPr>
      </w:pPr>
      <w:r w:rsidRPr="00AB1862">
        <w:rPr>
          <w:noProof/>
        </w:rPr>
        <w:drawing>
          <wp:anchor distT="0" distB="0" distL="114300" distR="114300" simplePos="0" relativeHeight="251682816" behindDoc="0" locked="0" layoutInCell="1" allowOverlap="1" wp14:anchorId="44F23A53" wp14:editId="417A2529">
            <wp:simplePos x="0" y="0"/>
            <wp:positionH relativeFrom="column">
              <wp:posOffset>227965</wp:posOffset>
            </wp:positionH>
            <wp:positionV relativeFrom="paragraph">
              <wp:posOffset>298450</wp:posOffset>
            </wp:positionV>
            <wp:extent cx="7820025" cy="5313680"/>
            <wp:effectExtent l="0" t="0" r="9525" b="127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820025" cy="5313680"/>
                    </a:xfrm>
                    <a:prstGeom prst="rect">
                      <a:avLst/>
                    </a:prstGeom>
                    <a:noFill/>
                    <a:ln>
                      <a:noFill/>
                    </a:ln>
                  </pic:spPr>
                </pic:pic>
              </a:graphicData>
            </a:graphic>
            <wp14:sizeRelH relativeFrom="margin">
              <wp14:pctWidth>0</wp14:pctWidth>
            </wp14:sizeRelH>
          </wp:anchor>
        </w:drawing>
      </w:r>
      <w:r w:rsidR="0019047E">
        <w:rPr>
          <w:rFonts w:ascii="Times New Roman" w:hAnsi="Times New Roman"/>
          <w:i/>
          <w:iCs/>
          <w:color w:val="000000"/>
          <w:sz w:val="16"/>
          <w:szCs w:val="15"/>
        </w:rPr>
        <w:tab/>
      </w:r>
      <w:r w:rsidR="00083FDF" w:rsidRPr="00A578CD">
        <w:rPr>
          <w:rFonts w:ascii="Times New Roman" w:hAnsi="Times New Roman"/>
          <w:iCs/>
          <w:color w:val="000000"/>
          <w:sz w:val="16"/>
          <w:szCs w:val="15"/>
        </w:rPr>
        <w:t>(Millions of United States dollars)</w:t>
      </w:r>
    </w:p>
    <w:p w14:paraId="6430DFB4" w14:textId="12ED236F" w:rsidR="00DB0466" w:rsidRPr="00295774" w:rsidRDefault="00DB26B2" w:rsidP="00295774">
      <w:pPr>
        <w:suppressAutoHyphens/>
        <w:spacing w:line="240" w:lineRule="exact"/>
        <w:ind w:left="540" w:hanging="540"/>
        <w:contextualSpacing/>
        <w:rPr>
          <w:rFonts w:ascii="Times New Roman" w:hAnsi="Times New Roman"/>
          <w:b/>
          <w:bCs/>
          <w:color w:val="000000"/>
          <w:sz w:val="28"/>
          <w:szCs w:val="24"/>
          <w:lang w:val="en-GB"/>
        </w:rPr>
      </w:pPr>
      <w:r w:rsidRPr="00DB26B2">
        <w:rPr>
          <w:rFonts w:ascii="Times New Roman" w:hAnsi="Times New Roman"/>
          <w:b/>
          <w:spacing w:val="4"/>
          <w:w w:val="103"/>
          <w:kern w:val="14"/>
          <w:sz w:val="28"/>
          <w:szCs w:val="28"/>
          <w:lang w:val="en-GB"/>
        </w:rPr>
        <w:lastRenderedPageBreak/>
        <w:t>C.</w:t>
      </w:r>
      <w:r w:rsidR="00295774">
        <w:rPr>
          <w:rFonts w:ascii="Times New Roman" w:hAnsi="Times New Roman"/>
          <w:b/>
          <w:spacing w:val="4"/>
          <w:w w:val="103"/>
          <w:kern w:val="14"/>
          <w:sz w:val="28"/>
          <w:szCs w:val="28"/>
          <w:lang w:val="en-GB"/>
        </w:rPr>
        <w:tab/>
      </w:r>
      <w:r w:rsidRPr="00295774">
        <w:rPr>
          <w:rFonts w:ascii="Times New Roman" w:hAnsi="Times New Roman"/>
          <w:b/>
          <w:bCs/>
          <w:color w:val="000000"/>
          <w:sz w:val="28"/>
          <w:szCs w:val="24"/>
          <w:lang w:val="en-GB"/>
        </w:rPr>
        <w:t>Resources allocated to posts by location</w:t>
      </w:r>
    </w:p>
    <w:p w14:paraId="04682A03" w14:textId="0378E920" w:rsidR="00DB0466" w:rsidRPr="00A578CD" w:rsidRDefault="00DB26B2" w:rsidP="00295774">
      <w:pPr>
        <w:suppressAutoHyphens/>
        <w:spacing w:line="240" w:lineRule="exact"/>
        <w:ind w:firstLine="540"/>
        <w:contextualSpacing/>
        <w:rPr>
          <w:rFonts w:ascii="Times New Roman" w:hAnsi="Times New Roman"/>
          <w:spacing w:val="4"/>
          <w:w w:val="103"/>
          <w:kern w:val="14"/>
          <w:sz w:val="16"/>
          <w:lang w:val="en-GB"/>
        </w:rPr>
      </w:pPr>
      <w:r w:rsidRPr="00A578CD">
        <w:rPr>
          <w:rFonts w:ascii="Times New Roman" w:hAnsi="Times New Roman"/>
          <w:spacing w:val="4"/>
          <w:w w:val="103"/>
          <w:kern w:val="14"/>
          <w:sz w:val="16"/>
          <w:lang w:val="en-GB"/>
        </w:rPr>
        <w:t>(Thousands of United States dollars)</w:t>
      </w:r>
    </w:p>
    <w:p w14:paraId="6BECF2F1" w14:textId="0B0FA417" w:rsidR="00DB26B2" w:rsidRDefault="00F4301F" w:rsidP="003370F3">
      <w:pPr>
        <w:suppressAutoHyphens/>
        <w:spacing w:line="240" w:lineRule="exact"/>
        <w:contextualSpacing/>
        <w:rPr>
          <w:rFonts w:ascii="Times New Roman" w:hAnsi="Times New Roman"/>
          <w:i/>
          <w:spacing w:val="4"/>
          <w:w w:val="103"/>
          <w:kern w:val="14"/>
          <w:sz w:val="16"/>
          <w:lang w:val="en-GB"/>
        </w:rPr>
      </w:pPr>
      <w:r w:rsidRPr="00F4301F">
        <w:rPr>
          <w:noProof/>
        </w:rPr>
        <w:drawing>
          <wp:anchor distT="0" distB="0" distL="114300" distR="114300" simplePos="0" relativeHeight="251678720" behindDoc="0" locked="0" layoutInCell="1" allowOverlap="1" wp14:anchorId="6CDA0238" wp14:editId="75A1D033">
            <wp:simplePos x="0" y="0"/>
            <wp:positionH relativeFrom="column">
              <wp:posOffset>314960</wp:posOffset>
            </wp:positionH>
            <wp:positionV relativeFrom="paragraph">
              <wp:posOffset>135255</wp:posOffset>
            </wp:positionV>
            <wp:extent cx="7196455" cy="5474970"/>
            <wp:effectExtent l="0" t="0" r="4445"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196455" cy="54749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C310880" w14:textId="424FD0F2" w:rsidR="00DB26B2" w:rsidRPr="00DB26B2" w:rsidRDefault="00DB26B2" w:rsidP="003370F3">
      <w:pPr>
        <w:suppressAutoHyphens/>
        <w:spacing w:line="240" w:lineRule="exact"/>
        <w:contextualSpacing/>
        <w:rPr>
          <w:rFonts w:ascii="Times New Roman" w:hAnsi="Times New Roman"/>
          <w:i/>
          <w:spacing w:val="4"/>
          <w:w w:val="103"/>
          <w:kern w:val="14"/>
          <w:sz w:val="16"/>
          <w:lang w:val="en-GB"/>
        </w:rPr>
      </w:pPr>
    </w:p>
    <w:p w14:paraId="496F1104" w14:textId="3A28CCB6" w:rsidR="00DB26B2" w:rsidRDefault="00DB26B2" w:rsidP="003370F3">
      <w:pPr>
        <w:suppressAutoHyphens/>
        <w:spacing w:line="240" w:lineRule="exact"/>
        <w:contextualSpacing/>
        <w:rPr>
          <w:rFonts w:ascii="Times New Roman" w:hAnsi="Times New Roman"/>
          <w:sz w:val="20"/>
        </w:rPr>
      </w:pPr>
      <w:r>
        <w:rPr>
          <w:w w:val="103"/>
          <w:lang w:val="en-GB"/>
        </w:rPr>
        <w:fldChar w:fldCharType="begin"/>
      </w:r>
      <w:r>
        <w:rPr>
          <w:w w:val="103"/>
          <w:lang w:val="en-GB"/>
        </w:rPr>
        <w:instrText xml:space="preserve"> LINK Excel.Sheet.12 "\\\\hq.undpad.undp.org\\of$\\data1\\home\\mya.pieschel\\EB Annual Review\\2015\\Report and annex\\Annex III C_Staff costs 2015_ by location_final_thousands.xlsx" "thousands!R4C2:R111C9" \a \f 4 \h </w:instrText>
      </w:r>
      <w:r>
        <w:rPr>
          <w:w w:val="103"/>
          <w:lang w:val="en-GB"/>
        </w:rPr>
        <w:fldChar w:fldCharType="separate"/>
      </w:r>
    </w:p>
    <w:p w14:paraId="2B206199" w14:textId="16E3B2D0" w:rsidR="00DB0466" w:rsidRDefault="00DB26B2" w:rsidP="003370F3">
      <w:pPr>
        <w:suppressAutoHyphens/>
        <w:spacing w:line="240" w:lineRule="exact"/>
        <w:contextualSpacing/>
        <w:rPr>
          <w:rFonts w:ascii="Times New Roman" w:hAnsi="Times New Roman"/>
          <w:b/>
          <w:spacing w:val="4"/>
          <w:w w:val="103"/>
          <w:kern w:val="14"/>
          <w:sz w:val="20"/>
          <w:lang w:val="en-GB"/>
        </w:rPr>
      </w:pPr>
      <w:r>
        <w:rPr>
          <w:rFonts w:ascii="Times New Roman" w:hAnsi="Times New Roman"/>
          <w:b/>
          <w:spacing w:val="4"/>
          <w:w w:val="103"/>
          <w:kern w:val="14"/>
          <w:sz w:val="20"/>
          <w:lang w:val="en-GB"/>
        </w:rPr>
        <w:fldChar w:fldCharType="end"/>
      </w:r>
    </w:p>
    <w:p w14:paraId="144D0061" w14:textId="1E4470A9" w:rsidR="00DB0466" w:rsidRDefault="00DB0466" w:rsidP="003370F3">
      <w:pPr>
        <w:suppressAutoHyphens/>
        <w:spacing w:line="240" w:lineRule="exact"/>
        <w:contextualSpacing/>
        <w:rPr>
          <w:rFonts w:ascii="Times New Roman" w:hAnsi="Times New Roman"/>
          <w:b/>
          <w:spacing w:val="4"/>
          <w:w w:val="103"/>
          <w:kern w:val="14"/>
          <w:sz w:val="20"/>
          <w:lang w:val="en-GB"/>
        </w:rPr>
      </w:pPr>
    </w:p>
    <w:p w14:paraId="69143BE3" w14:textId="0229532F" w:rsidR="00DB0466" w:rsidRDefault="00DB0466" w:rsidP="003370F3">
      <w:pPr>
        <w:suppressAutoHyphens/>
        <w:spacing w:line="240" w:lineRule="exact"/>
        <w:contextualSpacing/>
        <w:rPr>
          <w:rFonts w:ascii="Times New Roman" w:hAnsi="Times New Roman"/>
          <w:b/>
          <w:spacing w:val="4"/>
          <w:w w:val="103"/>
          <w:kern w:val="14"/>
          <w:sz w:val="20"/>
          <w:lang w:val="en-GB"/>
        </w:rPr>
      </w:pPr>
    </w:p>
    <w:p w14:paraId="484A6B93" w14:textId="09054D0E" w:rsidR="00DB0466" w:rsidRDefault="00DB0466" w:rsidP="003370F3">
      <w:pPr>
        <w:suppressAutoHyphens/>
        <w:spacing w:line="240" w:lineRule="exact"/>
        <w:contextualSpacing/>
        <w:rPr>
          <w:rFonts w:ascii="Times New Roman" w:hAnsi="Times New Roman"/>
          <w:b/>
          <w:spacing w:val="4"/>
          <w:w w:val="103"/>
          <w:kern w:val="14"/>
          <w:sz w:val="20"/>
          <w:lang w:val="en-GB"/>
        </w:rPr>
      </w:pPr>
    </w:p>
    <w:p w14:paraId="6A0DC6C2" w14:textId="1AF7919D" w:rsidR="00DB0466" w:rsidRDefault="00DB0466" w:rsidP="003370F3">
      <w:pPr>
        <w:suppressAutoHyphens/>
        <w:spacing w:line="240" w:lineRule="exact"/>
        <w:contextualSpacing/>
        <w:rPr>
          <w:rFonts w:ascii="Times New Roman" w:hAnsi="Times New Roman"/>
          <w:b/>
          <w:spacing w:val="4"/>
          <w:w w:val="103"/>
          <w:kern w:val="14"/>
          <w:sz w:val="20"/>
          <w:lang w:val="en-GB"/>
        </w:rPr>
      </w:pPr>
    </w:p>
    <w:p w14:paraId="2D8EF0F2" w14:textId="7C041463" w:rsidR="00DB0466" w:rsidRDefault="00DB0466" w:rsidP="003370F3">
      <w:pPr>
        <w:suppressAutoHyphens/>
        <w:spacing w:line="240" w:lineRule="exact"/>
        <w:contextualSpacing/>
        <w:rPr>
          <w:rFonts w:ascii="Times New Roman" w:hAnsi="Times New Roman"/>
          <w:b/>
          <w:spacing w:val="4"/>
          <w:w w:val="103"/>
          <w:kern w:val="14"/>
          <w:sz w:val="20"/>
          <w:lang w:val="en-GB"/>
        </w:rPr>
      </w:pPr>
    </w:p>
    <w:p w14:paraId="5FBE400A" w14:textId="72DB76DE" w:rsidR="00DB0466" w:rsidRDefault="00DB0466" w:rsidP="003370F3">
      <w:pPr>
        <w:suppressAutoHyphens/>
        <w:spacing w:line="240" w:lineRule="exact"/>
        <w:contextualSpacing/>
        <w:rPr>
          <w:rFonts w:ascii="Times New Roman" w:hAnsi="Times New Roman"/>
          <w:b/>
          <w:spacing w:val="4"/>
          <w:w w:val="103"/>
          <w:kern w:val="14"/>
          <w:sz w:val="20"/>
          <w:lang w:val="en-GB"/>
        </w:rPr>
      </w:pPr>
    </w:p>
    <w:p w14:paraId="20ABAE74" w14:textId="556299E2" w:rsidR="00DB0466" w:rsidRDefault="00DB0466" w:rsidP="003370F3">
      <w:pPr>
        <w:suppressAutoHyphens/>
        <w:spacing w:line="240" w:lineRule="exact"/>
        <w:contextualSpacing/>
        <w:rPr>
          <w:rFonts w:ascii="Times New Roman" w:hAnsi="Times New Roman"/>
          <w:b/>
          <w:spacing w:val="4"/>
          <w:w w:val="103"/>
          <w:kern w:val="14"/>
          <w:sz w:val="20"/>
          <w:lang w:val="en-GB"/>
        </w:rPr>
      </w:pPr>
    </w:p>
    <w:p w14:paraId="7550646A" w14:textId="5A94CDB3" w:rsidR="00DB0466" w:rsidRDefault="00DB0466" w:rsidP="003370F3">
      <w:pPr>
        <w:suppressAutoHyphens/>
        <w:spacing w:line="240" w:lineRule="exact"/>
        <w:contextualSpacing/>
        <w:rPr>
          <w:rFonts w:ascii="Times New Roman" w:hAnsi="Times New Roman"/>
          <w:b/>
          <w:spacing w:val="4"/>
          <w:w w:val="103"/>
          <w:kern w:val="14"/>
          <w:sz w:val="20"/>
          <w:lang w:val="en-GB"/>
        </w:rPr>
      </w:pPr>
    </w:p>
    <w:p w14:paraId="28293344" w14:textId="77777777" w:rsidR="00DB0466" w:rsidRDefault="00DB0466" w:rsidP="003370F3">
      <w:pPr>
        <w:suppressAutoHyphens/>
        <w:spacing w:line="240" w:lineRule="exact"/>
        <w:contextualSpacing/>
        <w:rPr>
          <w:rFonts w:ascii="Times New Roman" w:hAnsi="Times New Roman"/>
          <w:b/>
          <w:spacing w:val="4"/>
          <w:w w:val="103"/>
          <w:kern w:val="14"/>
          <w:sz w:val="20"/>
          <w:lang w:val="en-GB"/>
        </w:rPr>
      </w:pPr>
    </w:p>
    <w:p w14:paraId="4FA07BD0" w14:textId="033AAF82" w:rsidR="00DB0466" w:rsidRDefault="00DB0466" w:rsidP="003370F3">
      <w:pPr>
        <w:suppressAutoHyphens/>
        <w:spacing w:line="240" w:lineRule="exact"/>
        <w:contextualSpacing/>
        <w:rPr>
          <w:rFonts w:ascii="Times New Roman" w:hAnsi="Times New Roman"/>
          <w:b/>
          <w:spacing w:val="4"/>
          <w:w w:val="103"/>
          <w:kern w:val="14"/>
          <w:sz w:val="20"/>
          <w:lang w:val="en-GB"/>
        </w:rPr>
      </w:pPr>
    </w:p>
    <w:p w14:paraId="5ABAB8AC" w14:textId="7C026431" w:rsidR="00DB0466" w:rsidRDefault="00DB0466" w:rsidP="003370F3">
      <w:pPr>
        <w:suppressAutoHyphens/>
        <w:spacing w:line="240" w:lineRule="exact"/>
        <w:contextualSpacing/>
        <w:rPr>
          <w:rFonts w:ascii="Times New Roman" w:hAnsi="Times New Roman"/>
          <w:b/>
          <w:spacing w:val="4"/>
          <w:w w:val="103"/>
          <w:kern w:val="14"/>
          <w:sz w:val="20"/>
          <w:lang w:val="en-GB"/>
        </w:rPr>
      </w:pPr>
    </w:p>
    <w:p w14:paraId="484B7DB8" w14:textId="77777777" w:rsidR="00DB0466" w:rsidRDefault="00DB0466" w:rsidP="003370F3">
      <w:pPr>
        <w:suppressAutoHyphens/>
        <w:spacing w:line="240" w:lineRule="exact"/>
        <w:contextualSpacing/>
        <w:rPr>
          <w:rFonts w:ascii="Times New Roman" w:hAnsi="Times New Roman"/>
          <w:b/>
          <w:spacing w:val="4"/>
          <w:w w:val="103"/>
          <w:kern w:val="14"/>
          <w:sz w:val="20"/>
          <w:lang w:val="en-GB"/>
        </w:rPr>
      </w:pPr>
    </w:p>
    <w:p w14:paraId="1322D084" w14:textId="77777777" w:rsidR="00DB0466" w:rsidRDefault="00DB0466" w:rsidP="003370F3">
      <w:pPr>
        <w:suppressAutoHyphens/>
        <w:spacing w:line="240" w:lineRule="exact"/>
        <w:contextualSpacing/>
        <w:rPr>
          <w:rFonts w:ascii="Times New Roman" w:hAnsi="Times New Roman"/>
          <w:b/>
          <w:spacing w:val="4"/>
          <w:w w:val="103"/>
          <w:kern w:val="14"/>
          <w:sz w:val="20"/>
          <w:lang w:val="en-GB"/>
        </w:rPr>
      </w:pPr>
    </w:p>
    <w:p w14:paraId="39A6152C" w14:textId="77777777" w:rsidR="00DB0466" w:rsidRDefault="00DB0466" w:rsidP="003370F3">
      <w:pPr>
        <w:suppressAutoHyphens/>
        <w:spacing w:line="240" w:lineRule="exact"/>
        <w:contextualSpacing/>
        <w:rPr>
          <w:rFonts w:ascii="Times New Roman" w:hAnsi="Times New Roman"/>
          <w:b/>
          <w:spacing w:val="4"/>
          <w:w w:val="103"/>
          <w:kern w:val="14"/>
          <w:sz w:val="20"/>
          <w:lang w:val="en-GB"/>
        </w:rPr>
      </w:pPr>
    </w:p>
    <w:p w14:paraId="3386FBD2" w14:textId="1F3C68C9" w:rsidR="00DB0466" w:rsidRDefault="00DB0466" w:rsidP="003370F3">
      <w:pPr>
        <w:suppressAutoHyphens/>
        <w:spacing w:line="240" w:lineRule="exact"/>
        <w:contextualSpacing/>
        <w:rPr>
          <w:rFonts w:ascii="Times New Roman" w:hAnsi="Times New Roman"/>
          <w:b/>
          <w:spacing w:val="4"/>
          <w:w w:val="103"/>
          <w:kern w:val="14"/>
          <w:sz w:val="20"/>
          <w:lang w:val="en-GB"/>
        </w:rPr>
      </w:pPr>
    </w:p>
    <w:p w14:paraId="5C778207" w14:textId="77777777" w:rsidR="00DB0466" w:rsidRDefault="00DB0466" w:rsidP="003370F3">
      <w:pPr>
        <w:suppressAutoHyphens/>
        <w:spacing w:line="240" w:lineRule="exact"/>
        <w:contextualSpacing/>
        <w:rPr>
          <w:rFonts w:ascii="Times New Roman" w:hAnsi="Times New Roman"/>
          <w:b/>
          <w:spacing w:val="4"/>
          <w:w w:val="103"/>
          <w:kern w:val="14"/>
          <w:sz w:val="20"/>
          <w:lang w:val="en-GB"/>
        </w:rPr>
      </w:pPr>
    </w:p>
    <w:p w14:paraId="6FC41F1B" w14:textId="77777777" w:rsidR="00DB0466" w:rsidRDefault="00DB0466" w:rsidP="003370F3">
      <w:pPr>
        <w:suppressAutoHyphens/>
        <w:spacing w:line="240" w:lineRule="exact"/>
        <w:contextualSpacing/>
        <w:rPr>
          <w:rFonts w:ascii="Times New Roman" w:hAnsi="Times New Roman"/>
          <w:b/>
          <w:spacing w:val="4"/>
          <w:w w:val="103"/>
          <w:kern w:val="14"/>
          <w:sz w:val="20"/>
          <w:lang w:val="en-GB"/>
        </w:rPr>
      </w:pPr>
    </w:p>
    <w:p w14:paraId="51EA4379" w14:textId="77777777" w:rsidR="00DB0466" w:rsidRDefault="00DB0466" w:rsidP="003370F3">
      <w:pPr>
        <w:suppressAutoHyphens/>
        <w:spacing w:line="240" w:lineRule="exact"/>
        <w:contextualSpacing/>
        <w:rPr>
          <w:rFonts w:ascii="Times New Roman" w:hAnsi="Times New Roman"/>
          <w:b/>
          <w:spacing w:val="4"/>
          <w:w w:val="103"/>
          <w:kern w:val="14"/>
          <w:sz w:val="20"/>
          <w:lang w:val="en-GB"/>
        </w:rPr>
      </w:pPr>
    </w:p>
    <w:p w14:paraId="232B4BC1" w14:textId="6275369D" w:rsidR="00DB0466" w:rsidRDefault="00DB0466" w:rsidP="003370F3">
      <w:pPr>
        <w:suppressAutoHyphens/>
        <w:spacing w:line="240" w:lineRule="exact"/>
        <w:contextualSpacing/>
        <w:rPr>
          <w:rFonts w:ascii="Times New Roman" w:hAnsi="Times New Roman"/>
          <w:b/>
          <w:spacing w:val="4"/>
          <w:w w:val="103"/>
          <w:kern w:val="14"/>
          <w:sz w:val="20"/>
          <w:lang w:val="en-GB"/>
        </w:rPr>
      </w:pPr>
    </w:p>
    <w:p w14:paraId="4F05F9F0" w14:textId="77777777" w:rsidR="00DB0466" w:rsidRDefault="00DB0466" w:rsidP="003370F3">
      <w:pPr>
        <w:suppressAutoHyphens/>
        <w:spacing w:line="240" w:lineRule="exact"/>
        <w:contextualSpacing/>
        <w:rPr>
          <w:rFonts w:ascii="Times New Roman" w:hAnsi="Times New Roman"/>
          <w:b/>
          <w:spacing w:val="4"/>
          <w:w w:val="103"/>
          <w:kern w:val="14"/>
          <w:sz w:val="20"/>
          <w:lang w:val="en-GB"/>
        </w:rPr>
      </w:pPr>
    </w:p>
    <w:p w14:paraId="33524953" w14:textId="32293E9B" w:rsidR="00DB0466" w:rsidRDefault="00DB0466" w:rsidP="003370F3">
      <w:pPr>
        <w:suppressAutoHyphens/>
        <w:spacing w:line="240" w:lineRule="exact"/>
        <w:contextualSpacing/>
        <w:rPr>
          <w:rFonts w:ascii="Times New Roman" w:hAnsi="Times New Roman"/>
          <w:b/>
          <w:spacing w:val="4"/>
          <w:w w:val="103"/>
          <w:kern w:val="14"/>
          <w:sz w:val="20"/>
          <w:lang w:val="en-GB"/>
        </w:rPr>
      </w:pPr>
    </w:p>
    <w:p w14:paraId="76D3C685" w14:textId="77777777" w:rsidR="00DB0466" w:rsidRDefault="00DB0466" w:rsidP="003370F3">
      <w:pPr>
        <w:suppressAutoHyphens/>
        <w:spacing w:line="240" w:lineRule="exact"/>
        <w:contextualSpacing/>
        <w:rPr>
          <w:rFonts w:ascii="Times New Roman" w:hAnsi="Times New Roman"/>
          <w:b/>
          <w:spacing w:val="4"/>
          <w:w w:val="103"/>
          <w:kern w:val="14"/>
          <w:sz w:val="20"/>
          <w:lang w:val="en-GB"/>
        </w:rPr>
      </w:pPr>
    </w:p>
    <w:p w14:paraId="3573E68F" w14:textId="728A0932" w:rsidR="00DB0466" w:rsidRDefault="00DB0466" w:rsidP="003370F3">
      <w:pPr>
        <w:suppressAutoHyphens/>
        <w:spacing w:line="240" w:lineRule="exact"/>
        <w:contextualSpacing/>
        <w:rPr>
          <w:rFonts w:ascii="Times New Roman" w:hAnsi="Times New Roman"/>
          <w:b/>
          <w:spacing w:val="4"/>
          <w:w w:val="103"/>
          <w:kern w:val="14"/>
          <w:sz w:val="20"/>
          <w:lang w:val="en-GB"/>
        </w:rPr>
      </w:pPr>
    </w:p>
    <w:p w14:paraId="3A60DABC" w14:textId="7546FA2C" w:rsidR="00DB0466" w:rsidRDefault="00DB0466" w:rsidP="003370F3">
      <w:pPr>
        <w:suppressAutoHyphens/>
        <w:spacing w:line="240" w:lineRule="exact"/>
        <w:contextualSpacing/>
        <w:rPr>
          <w:rFonts w:ascii="Times New Roman" w:hAnsi="Times New Roman"/>
          <w:b/>
          <w:spacing w:val="4"/>
          <w:w w:val="103"/>
          <w:kern w:val="14"/>
          <w:sz w:val="20"/>
          <w:lang w:val="en-GB"/>
        </w:rPr>
      </w:pPr>
    </w:p>
    <w:p w14:paraId="30B42F85" w14:textId="008457B6" w:rsidR="00DB0466" w:rsidRDefault="00DB0466" w:rsidP="003370F3">
      <w:pPr>
        <w:suppressAutoHyphens/>
        <w:spacing w:line="240" w:lineRule="exact"/>
        <w:contextualSpacing/>
        <w:rPr>
          <w:rFonts w:ascii="Times New Roman" w:hAnsi="Times New Roman"/>
          <w:b/>
          <w:spacing w:val="4"/>
          <w:w w:val="103"/>
          <w:kern w:val="14"/>
          <w:sz w:val="20"/>
          <w:lang w:val="en-GB"/>
        </w:rPr>
      </w:pPr>
    </w:p>
    <w:p w14:paraId="0B8FD743" w14:textId="77777777" w:rsidR="00DB0466" w:rsidRDefault="00DB0466" w:rsidP="003370F3">
      <w:pPr>
        <w:suppressAutoHyphens/>
        <w:spacing w:line="240" w:lineRule="exact"/>
        <w:contextualSpacing/>
        <w:rPr>
          <w:rFonts w:ascii="Times New Roman" w:hAnsi="Times New Roman"/>
          <w:b/>
          <w:spacing w:val="4"/>
          <w:w w:val="103"/>
          <w:kern w:val="14"/>
          <w:sz w:val="20"/>
          <w:lang w:val="en-GB"/>
        </w:rPr>
      </w:pPr>
    </w:p>
    <w:p w14:paraId="2841E5EE" w14:textId="77777777" w:rsidR="00DB0466" w:rsidRDefault="00DB0466" w:rsidP="003370F3">
      <w:pPr>
        <w:suppressAutoHyphens/>
        <w:spacing w:line="240" w:lineRule="exact"/>
        <w:contextualSpacing/>
        <w:rPr>
          <w:rFonts w:ascii="Times New Roman" w:hAnsi="Times New Roman"/>
          <w:b/>
          <w:spacing w:val="4"/>
          <w:w w:val="103"/>
          <w:kern w:val="14"/>
          <w:sz w:val="20"/>
          <w:lang w:val="en-GB"/>
        </w:rPr>
      </w:pPr>
    </w:p>
    <w:p w14:paraId="031EA4F8" w14:textId="77777777" w:rsidR="00DB0466" w:rsidRDefault="00DB0466" w:rsidP="003370F3">
      <w:pPr>
        <w:suppressAutoHyphens/>
        <w:spacing w:line="240" w:lineRule="exact"/>
        <w:contextualSpacing/>
        <w:rPr>
          <w:rFonts w:ascii="Times New Roman" w:hAnsi="Times New Roman"/>
          <w:b/>
          <w:spacing w:val="4"/>
          <w:w w:val="103"/>
          <w:kern w:val="14"/>
          <w:sz w:val="20"/>
          <w:lang w:val="en-GB"/>
        </w:rPr>
      </w:pPr>
    </w:p>
    <w:p w14:paraId="49AB78D6" w14:textId="77777777" w:rsidR="00DB0466" w:rsidRDefault="00DB0466" w:rsidP="003370F3">
      <w:pPr>
        <w:suppressAutoHyphens/>
        <w:spacing w:line="240" w:lineRule="exact"/>
        <w:contextualSpacing/>
        <w:rPr>
          <w:rFonts w:ascii="Times New Roman" w:hAnsi="Times New Roman"/>
          <w:b/>
          <w:spacing w:val="4"/>
          <w:w w:val="103"/>
          <w:kern w:val="14"/>
          <w:sz w:val="20"/>
          <w:lang w:val="en-GB"/>
        </w:rPr>
      </w:pPr>
    </w:p>
    <w:p w14:paraId="5247932B" w14:textId="77777777" w:rsidR="00DB0466" w:rsidRDefault="00DB0466" w:rsidP="003370F3">
      <w:pPr>
        <w:suppressAutoHyphens/>
        <w:spacing w:line="240" w:lineRule="exact"/>
        <w:contextualSpacing/>
        <w:rPr>
          <w:rFonts w:ascii="Times New Roman" w:hAnsi="Times New Roman"/>
          <w:b/>
          <w:spacing w:val="4"/>
          <w:w w:val="103"/>
          <w:kern w:val="14"/>
          <w:sz w:val="20"/>
          <w:lang w:val="en-GB"/>
        </w:rPr>
      </w:pPr>
    </w:p>
    <w:p w14:paraId="1EE5B8E8" w14:textId="77777777" w:rsidR="00DB0466" w:rsidRDefault="00DB0466" w:rsidP="003370F3">
      <w:pPr>
        <w:suppressAutoHyphens/>
        <w:spacing w:line="240" w:lineRule="exact"/>
        <w:contextualSpacing/>
        <w:rPr>
          <w:rFonts w:ascii="Times New Roman" w:hAnsi="Times New Roman"/>
          <w:b/>
          <w:spacing w:val="4"/>
          <w:w w:val="103"/>
          <w:kern w:val="14"/>
          <w:sz w:val="20"/>
          <w:lang w:val="en-GB"/>
        </w:rPr>
      </w:pPr>
    </w:p>
    <w:p w14:paraId="6DF35F6A" w14:textId="77777777" w:rsidR="00DB0466" w:rsidRDefault="00DB0466" w:rsidP="003370F3">
      <w:pPr>
        <w:suppressAutoHyphens/>
        <w:spacing w:line="240" w:lineRule="exact"/>
        <w:contextualSpacing/>
        <w:rPr>
          <w:rFonts w:ascii="Times New Roman" w:hAnsi="Times New Roman"/>
          <w:b/>
          <w:spacing w:val="4"/>
          <w:w w:val="103"/>
          <w:kern w:val="14"/>
          <w:sz w:val="20"/>
          <w:lang w:val="en-GB"/>
        </w:rPr>
      </w:pPr>
    </w:p>
    <w:p w14:paraId="2CA05C1F" w14:textId="77777777" w:rsidR="00DB0466" w:rsidRDefault="00DB0466" w:rsidP="003370F3">
      <w:pPr>
        <w:suppressAutoHyphens/>
        <w:spacing w:line="240" w:lineRule="exact"/>
        <w:contextualSpacing/>
        <w:rPr>
          <w:rFonts w:ascii="Times New Roman" w:hAnsi="Times New Roman"/>
          <w:b/>
          <w:spacing w:val="4"/>
          <w:w w:val="103"/>
          <w:kern w:val="14"/>
          <w:sz w:val="20"/>
          <w:lang w:val="en-GB"/>
        </w:rPr>
      </w:pPr>
    </w:p>
    <w:p w14:paraId="1EFAD96C" w14:textId="77777777" w:rsidR="00DB0466" w:rsidRDefault="00DB0466" w:rsidP="003370F3">
      <w:pPr>
        <w:suppressAutoHyphens/>
        <w:spacing w:line="240" w:lineRule="exact"/>
        <w:contextualSpacing/>
        <w:rPr>
          <w:rFonts w:ascii="Times New Roman" w:hAnsi="Times New Roman"/>
          <w:b/>
          <w:spacing w:val="4"/>
          <w:w w:val="103"/>
          <w:kern w:val="14"/>
          <w:sz w:val="20"/>
          <w:lang w:val="en-GB"/>
        </w:rPr>
      </w:pPr>
    </w:p>
    <w:p w14:paraId="500F10CC" w14:textId="7EE6DB7F" w:rsidR="00330668" w:rsidRDefault="00F4301F" w:rsidP="003370F3">
      <w:pPr>
        <w:suppressAutoHyphens/>
        <w:spacing w:line="240" w:lineRule="exact"/>
        <w:contextualSpacing/>
        <w:rPr>
          <w:rFonts w:ascii="Times New Roman" w:hAnsi="Times New Roman"/>
          <w:b/>
          <w:spacing w:val="4"/>
          <w:w w:val="103"/>
          <w:kern w:val="14"/>
          <w:sz w:val="20"/>
          <w:lang w:val="en-GB"/>
        </w:rPr>
      </w:pPr>
      <w:r w:rsidRPr="00F4301F">
        <w:rPr>
          <w:noProof/>
        </w:rPr>
        <w:lastRenderedPageBreak/>
        <w:drawing>
          <wp:anchor distT="0" distB="0" distL="114300" distR="114300" simplePos="0" relativeHeight="251679744" behindDoc="0" locked="0" layoutInCell="1" allowOverlap="1" wp14:anchorId="58E8DDA4" wp14:editId="7E2AF655">
            <wp:simplePos x="0" y="0"/>
            <wp:positionH relativeFrom="column">
              <wp:posOffset>325755</wp:posOffset>
            </wp:positionH>
            <wp:positionV relativeFrom="paragraph">
              <wp:posOffset>0</wp:posOffset>
            </wp:positionV>
            <wp:extent cx="7250430" cy="6088380"/>
            <wp:effectExtent l="0" t="0" r="7620" b="762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250430" cy="60883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873B4A4" w14:textId="50CAACAB" w:rsidR="00DB0466" w:rsidRDefault="00DB0466" w:rsidP="003370F3">
      <w:pPr>
        <w:suppressAutoHyphens/>
        <w:spacing w:line="240" w:lineRule="exact"/>
        <w:contextualSpacing/>
        <w:rPr>
          <w:rFonts w:ascii="Times New Roman" w:hAnsi="Times New Roman"/>
          <w:b/>
          <w:spacing w:val="4"/>
          <w:w w:val="103"/>
          <w:kern w:val="14"/>
          <w:sz w:val="20"/>
          <w:lang w:val="en-GB"/>
        </w:rPr>
      </w:pPr>
    </w:p>
    <w:p w14:paraId="29E5B818" w14:textId="1E00A5BA" w:rsidR="00DB0466" w:rsidRDefault="00DB0466" w:rsidP="003370F3">
      <w:pPr>
        <w:suppressAutoHyphens/>
        <w:spacing w:line="240" w:lineRule="exact"/>
        <w:contextualSpacing/>
        <w:rPr>
          <w:rFonts w:ascii="Times New Roman" w:hAnsi="Times New Roman"/>
          <w:b/>
          <w:spacing w:val="4"/>
          <w:w w:val="103"/>
          <w:kern w:val="14"/>
          <w:sz w:val="20"/>
          <w:lang w:val="en-GB"/>
        </w:rPr>
      </w:pPr>
    </w:p>
    <w:p w14:paraId="6CD43341" w14:textId="508457A5" w:rsidR="00DB0466" w:rsidRDefault="00DB0466" w:rsidP="003370F3">
      <w:pPr>
        <w:suppressAutoHyphens/>
        <w:spacing w:line="240" w:lineRule="exact"/>
        <w:contextualSpacing/>
        <w:rPr>
          <w:rFonts w:ascii="Times New Roman" w:hAnsi="Times New Roman"/>
          <w:b/>
          <w:spacing w:val="4"/>
          <w:w w:val="103"/>
          <w:kern w:val="14"/>
          <w:sz w:val="20"/>
          <w:lang w:val="en-GB"/>
        </w:rPr>
      </w:pPr>
    </w:p>
    <w:p w14:paraId="23BF29D8" w14:textId="33AA1D36" w:rsidR="00DB0466" w:rsidRDefault="00DB0466" w:rsidP="003370F3">
      <w:pPr>
        <w:suppressAutoHyphens/>
        <w:spacing w:line="240" w:lineRule="exact"/>
        <w:contextualSpacing/>
        <w:rPr>
          <w:rFonts w:ascii="Times New Roman" w:hAnsi="Times New Roman"/>
          <w:b/>
          <w:spacing w:val="4"/>
          <w:w w:val="103"/>
          <w:kern w:val="14"/>
          <w:sz w:val="20"/>
          <w:lang w:val="en-GB"/>
        </w:rPr>
      </w:pPr>
    </w:p>
    <w:p w14:paraId="77B5063A" w14:textId="048153F8" w:rsidR="00DB0466" w:rsidRDefault="00DB0466" w:rsidP="003370F3">
      <w:pPr>
        <w:suppressAutoHyphens/>
        <w:spacing w:line="240" w:lineRule="exact"/>
        <w:contextualSpacing/>
        <w:rPr>
          <w:rFonts w:ascii="Times New Roman" w:hAnsi="Times New Roman"/>
          <w:b/>
          <w:spacing w:val="4"/>
          <w:w w:val="103"/>
          <w:kern w:val="14"/>
          <w:sz w:val="20"/>
          <w:lang w:val="en-GB"/>
        </w:rPr>
      </w:pPr>
    </w:p>
    <w:p w14:paraId="76BCD933" w14:textId="73DB0162" w:rsidR="00DB0466" w:rsidRDefault="00DB0466" w:rsidP="003370F3">
      <w:pPr>
        <w:suppressAutoHyphens/>
        <w:spacing w:line="240" w:lineRule="exact"/>
        <w:contextualSpacing/>
        <w:rPr>
          <w:rFonts w:ascii="Times New Roman" w:hAnsi="Times New Roman"/>
          <w:b/>
          <w:spacing w:val="4"/>
          <w:w w:val="103"/>
          <w:kern w:val="14"/>
          <w:sz w:val="20"/>
          <w:lang w:val="en-GB"/>
        </w:rPr>
      </w:pPr>
    </w:p>
    <w:p w14:paraId="45E57CBA" w14:textId="3FC79A66" w:rsidR="00DB0466" w:rsidRDefault="00DB0466" w:rsidP="003370F3">
      <w:pPr>
        <w:suppressAutoHyphens/>
        <w:spacing w:line="240" w:lineRule="exact"/>
        <w:contextualSpacing/>
        <w:rPr>
          <w:rFonts w:ascii="Times New Roman" w:hAnsi="Times New Roman"/>
          <w:b/>
          <w:spacing w:val="4"/>
          <w:w w:val="103"/>
          <w:kern w:val="14"/>
          <w:sz w:val="20"/>
          <w:lang w:val="en-GB"/>
        </w:rPr>
      </w:pPr>
    </w:p>
    <w:p w14:paraId="0FEEC783" w14:textId="44B659BD" w:rsidR="00DB0466" w:rsidRDefault="00DB0466" w:rsidP="003370F3">
      <w:pPr>
        <w:suppressAutoHyphens/>
        <w:spacing w:line="240" w:lineRule="exact"/>
        <w:contextualSpacing/>
        <w:rPr>
          <w:rFonts w:ascii="Times New Roman" w:hAnsi="Times New Roman"/>
          <w:b/>
          <w:spacing w:val="4"/>
          <w:w w:val="103"/>
          <w:kern w:val="14"/>
          <w:sz w:val="20"/>
          <w:lang w:val="en-GB"/>
        </w:rPr>
      </w:pPr>
    </w:p>
    <w:p w14:paraId="56689B32" w14:textId="77777777" w:rsidR="00DB0466" w:rsidRDefault="00DB0466" w:rsidP="003370F3">
      <w:pPr>
        <w:suppressAutoHyphens/>
        <w:spacing w:line="240" w:lineRule="exact"/>
        <w:contextualSpacing/>
        <w:rPr>
          <w:rFonts w:ascii="Times New Roman" w:hAnsi="Times New Roman"/>
          <w:b/>
          <w:spacing w:val="4"/>
          <w:w w:val="103"/>
          <w:kern w:val="14"/>
          <w:sz w:val="20"/>
          <w:lang w:val="en-GB"/>
        </w:rPr>
      </w:pPr>
    </w:p>
    <w:p w14:paraId="0616A642" w14:textId="77777777" w:rsidR="00DB0466" w:rsidRDefault="00DB0466" w:rsidP="003370F3">
      <w:pPr>
        <w:suppressAutoHyphens/>
        <w:spacing w:line="240" w:lineRule="exact"/>
        <w:contextualSpacing/>
        <w:rPr>
          <w:rFonts w:ascii="Times New Roman" w:hAnsi="Times New Roman"/>
          <w:b/>
          <w:spacing w:val="4"/>
          <w:w w:val="103"/>
          <w:kern w:val="14"/>
          <w:sz w:val="20"/>
          <w:lang w:val="en-GB"/>
        </w:rPr>
      </w:pPr>
    </w:p>
    <w:p w14:paraId="2DF4E454" w14:textId="4E9C2703" w:rsidR="00DB0466" w:rsidRDefault="00DB0466" w:rsidP="003370F3">
      <w:pPr>
        <w:suppressAutoHyphens/>
        <w:spacing w:line="240" w:lineRule="exact"/>
        <w:contextualSpacing/>
        <w:rPr>
          <w:rFonts w:ascii="Times New Roman" w:hAnsi="Times New Roman"/>
          <w:b/>
          <w:spacing w:val="4"/>
          <w:w w:val="103"/>
          <w:kern w:val="14"/>
          <w:sz w:val="20"/>
          <w:lang w:val="en-GB"/>
        </w:rPr>
      </w:pPr>
    </w:p>
    <w:p w14:paraId="26E846C1" w14:textId="77777777" w:rsidR="00DB0466" w:rsidRDefault="00DB0466" w:rsidP="003370F3">
      <w:pPr>
        <w:suppressAutoHyphens/>
        <w:spacing w:line="240" w:lineRule="exact"/>
        <w:contextualSpacing/>
        <w:rPr>
          <w:rFonts w:ascii="Times New Roman" w:hAnsi="Times New Roman"/>
          <w:b/>
          <w:spacing w:val="4"/>
          <w:w w:val="103"/>
          <w:kern w:val="14"/>
          <w:sz w:val="20"/>
          <w:lang w:val="en-GB"/>
        </w:rPr>
      </w:pPr>
    </w:p>
    <w:p w14:paraId="37EF2498" w14:textId="77777777" w:rsidR="00DB0466" w:rsidRDefault="00DB0466" w:rsidP="003370F3">
      <w:pPr>
        <w:suppressAutoHyphens/>
        <w:spacing w:line="240" w:lineRule="exact"/>
        <w:contextualSpacing/>
        <w:rPr>
          <w:rFonts w:ascii="Times New Roman" w:hAnsi="Times New Roman"/>
          <w:b/>
          <w:spacing w:val="4"/>
          <w:w w:val="103"/>
          <w:kern w:val="14"/>
          <w:sz w:val="20"/>
          <w:lang w:val="en-GB"/>
        </w:rPr>
      </w:pPr>
    </w:p>
    <w:p w14:paraId="6C5BA3D2" w14:textId="7E7C1A66" w:rsidR="00DB0466" w:rsidRDefault="00DB0466" w:rsidP="003370F3">
      <w:pPr>
        <w:suppressAutoHyphens/>
        <w:spacing w:line="240" w:lineRule="exact"/>
        <w:contextualSpacing/>
        <w:rPr>
          <w:rFonts w:ascii="Times New Roman" w:hAnsi="Times New Roman"/>
          <w:b/>
          <w:spacing w:val="4"/>
          <w:w w:val="103"/>
          <w:kern w:val="14"/>
          <w:sz w:val="20"/>
          <w:lang w:val="en-GB"/>
        </w:rPr>
      </w:pPr>
    </w:p>
    <w:p w14:paraId="12A8AFDE" w14:textId="6E45E4D6" w:rsidR="00DB0466" w:rsidRDefault="00DB0466" w:rsidP="003370F3">
      <w:pPr>
        <w:suppressAutoHyphens/>
        <w:spacing w:line="240" w:lineRule="exact"/>
        <w:contextualSpacing/>
        <w:rPr>
          <w:rFonts w:ascii="Times New Roman" w:hAnsi="Times New Roman"/>
          <w:b/>
          <w:spacing w:val="4"/>
          <w:w w:val="103"/>
          <w:kern w:val="14"/>
          <w:sz w:val="20"/>
          <w:lang w:val="en-GB"/>
        </w:rPr>
      </w:pPr>
    </w:p>
    <w:p w14:paraId="6C6FA5CC" w14:textId="7E41AFCC" w:rsidR="00DB0466" w:rsidRDefault="00DB0466" w:rsidP="003370F3">
      <w:pPr>
        <w:suppressAutoHyphens/>
        <w:spacing w:line="240" w:lineRule="exact"/>
        <w:contextualSpacing/>
        <w:rPr>
          <w:rFonts w:ascii="Times New Roman" w:hAnsi="Times New Roman"/>
          <w:b/>
          <w:spacing w:val="4"/>
          <w:w w:val="103"/>
          <w:kern w:val="14"/>
          <w:sz w:val="20"/>
          <w:lang w:val="en-GB"/>
        </w:rPr>
      </w:pPr>
    </w:p>
    <w:p w14:paraId="12386E43" w14:textId="2DF84DD1" w:rsidR="00DB0466" w:rsidRDefault="00DB0466" w:rsidP="003370F3">
      <w:pPr>
        <w:suppressAutoHyphens/>
        <w:spacing w:line="240" w:lineRule="exact"/>
        <w:contextualSpacing/>
        <w:rPr>
          <w:rFonts w:ascii="Times New Roman" w:hAnsi="Times New Roman"/>
          <w:b/>
          <w:spacing w:val="4"/>
          <w:w w:val="103"/>
          <w:kern w:val="14"/>
          <w:sz w:val="20"/>
          <w:lang w:val="en-GB"/>
        </w:rPr>
      </w:pPr>
    </w:p>
    <w:p w14:paraId="19EAAA3A" w14:textId="77777777" w:rsidR="00DB0466" w:rsidRDefault="00DB0466" w:rsidP="003370F3">
      <w:pPr>
        <w:suppressAutoHyphens/>
        <w:spacing w:line="240" w:lineRule="exact"/>
        <w:contextualSpacing/>
        <w:rPr>
          <w:rFonts w:ascii="Times New Roman" w:hAnsi="Times New Roman"/>
          <w:b/>
          <w:spacing w:val="4"/>
          <w:w w:val="103"/>
          <w:kern w:val="14"/>
          <w:sz w:val="20"/>
          <w:lang w:val="en-GB"/>
        </w:rPr>
      </w:pPr>
    </w:p>
    <w:p w14:paraId="5A913B26" w14:textId="77777777" w:rsidR="00DB0466" w:rsidRDefault="00DB0466" w:rsidP="003370F3">
      <w:pPr>
        <w:suppressAutoHyphens/>
        <w:spacing w:line="240" w:lineRule="exact"/>
        <w:contextualSpacing/>
        <w:rPr>
          <w:rFonts w:ascii="Times New Roman" w:hAnsi="Times New Roman"/>
          <w:b/>
          <w:spacing w:val="4"/>
          <w:w w:val="103"/>
          <w:kern w:val="14"/>
          <w:sz w:val="20"/>
          <w:lang w:val="en-GB"/>
        </w:rPr>
      </w:pPr>
    </w:p>
    <w:p w14:paraId="109716F8" w14:textId="08B7C389" w:rsidR="00DB0466" w:rsidRDefault="00DB0466" w:rsidP="003370F3">
      <w:pPr>
        <w:suppressAutoHyphens/>
        <w:spacing w:line="240" w:lineRule="exact"/>
        <w:contextualSpacing/>
        <w:rPr>
          <w:rFonts w:ascii="Times New Roman" w:hAnsi="Times New Roman"/>
          <w:b/>
          <w:spacing w:val="4"/>
          <w:w w:val="103"/>
          <w:kern w:val="14"/>
          <w:sz w:val="20"/>
          <w:lang w:val="en-GB"/>
        </w:rPr>
      </w:pPr>
    </w:p>
    <w:p w14:paraId="0F58ECBB" w14:textId="77777777" w:rsidR="00DB0466" w:rsidRDefault="00DB0466" w:rsidP="003370F3">
      <w:pPr>
        <w:suppressAutoHyphens/>
        <w:spacing w:line="240" w:lineRule="exact"/>
        <w:contextualSpacing/>
        <w:rPr>
          <w:rFonts w:ascii="Times New Roman" w:hAnsi="Times New Roman"/>
          <w:b/>
          <w:spacing w:val="4"/>
          <w:w w:val="103"/>
          <w:kern w:val="14"/>
          <w:sz w:val="20"/>
          <w:lang w:val="en-GB"/>
        </w:rPr>
      </w:pPr>
    </w:p>
    <w:p w14:paraId="617E8418" w14:textId="7DF33685" w:rsidR="00DB0466" w:rsidRDefault="00DB0466" w:rsidP="003370F3">
      <w:pPr>
        <w:suppressAutoHyphens/>
        <w:spacing w:line="240" w:lineRule="exact"/>
        <w:contextualSpacing/>
        <w:rPr>
          <w:rFonts w:ascii="Times New Roman" w:hAnsi="Times New Roman"/>
          <w:b/>
          <w:spacing w:val="4"/>
          <w:w w:val="103"/>
          <w:kern w:val="14"/>
          <w:sz w:val="20"/>
          <w:lang w:val="en-GB"/>
        </w:rPr>
      </w:pPr>
    </w:p>
    <w:p w14:paraId="4D9E7578" w14:textId="77777777" w:rsidR="00DB0466" w:rsidRDefault="00DB0466" w:rsidP="003370F3">
      <w:pPr>
        <w:suppressAutoHyphens/>
        <w:spacing w:line="240" w:lineRule="exact"/>
        <w:contextualSpacing/>
        <w:rPr>
          <w:rFonts w:ascii="Times New Roman" w:hAnsi="Times New Roman"/>
          <w:b/>
          <w:spacing w:val="4"/>
          <w:w w:val="103"/>
          <w:kern w:val="14"/>
          <w:sz w:val="20"/>
          <w:lang w:val="en-GB"/>
        </w:rPr>
      </w:pPr>
    </w:p>
    <w:p w14:paraId="530D53E2" w14:textId="77777777" w:rsidR="00DB0466" w:rsidRDefault="00DB0466" w:rsidP="003370F3">
      <w:pPr>
        <w:suppressAutoHyphens/>
        <w:spacing w:line="240" w:lineRule="exact"/>
        <w:contextualSpacing/>
        <w:rPr>
          <w:rFonts w:ascii="Times New Roman" w:hAnsi="Times New Roman"/>
          <w:b/>
          <w:spacing w:val="4"/>
          <w:w w:val="103"/>
          <w:kern w:val="14"/>
          <w:sz w:val="20"/>
          <w:lang w:val="en-GB"/>
        </w:rPr>
      </w:pPr>
    </w:p>
    <w:p w14:paraId="4157F665" w14:textId="77777777" w:rsidR="00DB0466" w:rsidRDefault="00DB0466" w:rsidP="003370F3">
      <w:pPr>
        <w:suppressAutoHyphens/>
        <w:spacing w:line="240" w:lineRule="exact"/>
        <w:contextualSpacing/>
        <w:rPr>
          <w:rFonts w:ascii="Times New Roman" w:hAnsi="Times New Roman"/>
          <w:b/>
          <w:spacing w:val="4"/>
          <w:w w:val="103"/>
          <w:kern w:val="14"/>
          <w:sz w:val="20"/>
          <w:lang w:val="en-GB"/>
        </w:rPr>
      </w:pPr>
    </w:p>
    <w:p w14:paraId="66944CBE" w14:textId="19664911" w:rsidR="00DB0466" w:rsidRDefault="00DB0466" w:rsidP="003370F3">
      <w:pPr>
        <w:suppressAutoHyphens/>
        <w:spacing w:line="240" w:lineRule="exact"/>
        <w:contextualSpacing/>
        <w:rPr>
          <w:rFonts w:ascii="Times New Roman" w:hAnsi="Times New Roman"/>
          <w:b/>
          <w:spacing w:val="4"/>
          <w:w w:val="103"/>
          <w:kern w:val="14"/>
          <w:sz w:val="20"/>
          <w:lang w:val="en-GB"/>
        </w:rPr>
      </w:pPr>
    </w:p>
    <w:p w14:paraId="6250FCDF" w14:textId="58B932C8" w:rsidR="00DB0466" w:rsidRDefault="00DB0466" w:rsidP="003370F3">
      <w:pPr>
        <w:suppressAutoHyphens/>
        <w:spacing w:line="240" w:lineRule="exact"/>
        <w:contextualSpacing/>
        <w:rPr>
          <w:rFonts w:ascii="Times New Roman" w:hAnsi="Times New Roman"/>
          <w:b/>
          <w:spacing w:val="4"/>
          <w:w w:val="103"/>
          <w:kern w:val="14"/>
          <w:sz w:val="20"/>
          <w:lang w:val="en-GB"/>
        </w:rPr>
      </w:pPr>
    </w:p>
    <w:p w14:paraId="5801EDC6" w14:textId="3922CBF5" w:rsidR="00DB0466" w:rsidRDefault="00DB0466" w:rsidP="003370F3">
      <w:pPr>
        <w:suppressAutoHyphens/>
        <w:spacing w:line="240" w:lineRule="exact"/>
        <w:contextualSpacing/>
        <w:rPr>
          <w:rFonts w:ascii="Times New Roman" w:hAnsi="Times New Roman"/>
          <w:b/>
          <w:spacing w:val="4"/>
          <w:w w:val="103"/>
          <w:kern w:val="14"/>
          <w:sz w:val="20"/>
          <w:lang w:val="en-GB"/>
        </w:rPr>
      </w:pPr>
    </w:p>
    <w:p w14:paraId="5D0B9AF2" w14:textId="1493CE83" w:rsidR="00DB0466" w:rsidRDefault="00DB0466" w:rsidP="003370F3">
      <w:pPr>
        <w:suppressAutoHyphens/>
        <w:spacing w:line="240" w:lineRule="exact"/>
        <w:contextualSpacing/>
        <w:rPr>
          <w:rFonts w:ascii="Times New Roman" w:hAnsi="Times New Roman"/>
          <w:b/>
          <w:spacing w:val="4"/>
          <w:w w:val="103"/>
          <w:kern w:val="14"/>
          <w:sz w:val="20"/>
          <w:lang w:val="en-GB"/>
        </w:rPr>
      </w:pPr>
    </w:p>
    <w:p w14:paraId="214423D6" w14:textId="77777777" w:rsidR="00DB0466" w:rsidRDefault="00DB0466" w:rsidP="003370F3">
      <w:pPr>
        <w:suppressAutoHyphens/>
        <w:spacing w:line="240" w:lineRule="exact"/>
        <w:contextualSpacing/>
        <w:rPr>
          <w:rFonts w:ascii="Times New Roman" w:hAnsi="Times New Roman"/>
          <w:b/>
          <w:spacing w:val="4"/>
          <w:w w:val="103"/>
          <w:kern w:val="14"/>
          <w:sz w:val="20"/>
          <w:lang w:val="en-GB"/>
        </w:rPr>
      </w:pPr>
    </w:p>
    <w:p w14:paraId="4E1F8E20" w14:textId="4C048E25" w:rsidR="00DB0466" w:rsidRDefault="00DB0466" w:rsidP="003370F3">
      <w:pPr>
        <w:suppressAutoHyphens/>
        <w:spacing w:line="240" w:lineRule="exact"/>
        <w:contextualSpacing/>
        <w:rPr>
          <w:rFonts w:ascii="Times New Roman" w:hAnsi="Times New Roman"/>
          <w:b/>
          <w:spacing w:val="4"/>
          <w:w w:val="103"/>
          <w:kern w:val="14"/>
          <w:sz w:val="20"/>
          <w:lang w:val="en-GB"/>
        </w:rPr>
      </w:pPr>
    </w:p>
    <w:p w14:paraId="2B9C431C" w14:textId="7BF07657" w:rsidR="00DB0466" w:rsidRDefault="00DB0466" w:rsidP="003370F3">
      <w:pPr>
        <w:suppressAutoHyphens/>
        <w:spacing w:line="240" w:lineRule="exact"/>
        <w:contextualSpacing/>
        <w:rPr>
          <w:rFonts w:ascii="Times New Roman" w:hAnsi="Times New Roman"/>
          <w:b/>
          <w:spacing w:val="4"/>
          <w:w w:val="103"/>
          <w:kern w:val="14"/>
          <w:sz w:val="20"/>
          <w:lang w:val="en-GB"/>
        </w:rPr>
      </w:pPr>
    </w:p>
    <w:p w14:paraId="24C748B7" w14:textId="10AFE529" w:rsidR="00DB0466" w:rsidRDefault="00DB0466" w:rsidP="003370F3">
      <w:pPr>
        <w:suppressAutoHyphens/>
        <w:spacing w:line="240" w:lineRule="exact"/>
        <w:contextualSpacing/>
        <w:rPr>
          <w:rFonts w:ascii="Times New Roman" w:hAnsi="Times New Roman"/>
          <w:b/>
          <w:spacing w:val="4"/>
          <w:w w:val="103"/>
          <w:kern w:val="14"/>
          <w:sz w:val="20"/>
          <w:lang w:val="en-GB"/>
        </w:rPr>
      </w:pPr>
    </w:p>
    <w:p w14:paraId="0C3D4929" w14:textId="3320E4EC" w:rsidR="00DB0466" w:rsidRDefault="00DB0466" w:rsidP="003370F3">
      <w:pPr>
        <w:suppressAutoHyphens/>
        <w:spacing w:line="240" w:lineRule="exact"/>
        <w:contextualSpacing/>
        <w:rPr>
          <w:rFonts w:ascii="Times New Roman" w:hAnsi="Times New Roman"/>
          <w:b/>
          <w:spacing w:val="4"/>
          <w:w w:val="103"/>
          <w:kern w:val="14"/>
          <w:sz w:val="20"/>
          <w:lang w:val="en-GB"/>
        </w:rPr>
      </w:pPr>
    </w:p>
    <w:p w14:paraId="262C519C" w14:textId="0973D346" w:rsidR="00DB0466" w:rsidRDefault="00DB0466" w:rsidP="003370F3">
      <w:pPr>
        <w:suppressAutoHyphens/>
        <w:spacing w:line="240" w:lineRule="exact"/>
        <w:contextualSpacing/>
        <w:rPr>
          <w:rFonts w:ascii="Times New Roman" w:hAnsi="Times New Roman"/>
          <w:b/>
          <w:spacing w:val="4"/>
          <w:w w:val="103"/>
          <w:kern w:val="14"/>
          <w:sz w:val="20"/>
          <w:lang w:val="en-GB"/>
        </w:rPr>
      </w:pPr>
    </w:p>
    <w:p w14:paraId="0D438B7E" w14:textId="3D28D98D" w:rsidR="00DB0466" w:rsidRDefault="00DB0466" w:rsidP="003370F3">
      <w:pPr>
        <w:suppressAutoHyphens/>
        <w:spacing w:line="240" w:lineRule="exact"/>
        <w:contextualSpacing/>
        <w:rPr>
          <w:rFonts w:ascii="Times New Roman" w:hAnsi="Times New Roman"/>
          <w:b/>
          <w:spacing w:val="4"/>
          <w:w w:val="103"/>
          <w:kern w:val="14"/>
          <w:sz w:val="20"/>
          <w:lang w:val="en-GB"/>
        </w:rPr>
      </w:pPr>
    </w:p>
    <w:p w14:paraId="734B0EA0" w14:textId="0AD3A06D" w:rsidR="00DB0466" w:rsidRDefault="00DB0466" w:rsidP="003370F3">
      <w:pPr>
        <w:suppressAutoHyphens/>
        <w:spacing w:line="240" w:lineRule="exact"/>
        <w:contextualSpacing/>
        <w:rPr>
          <w:rFonts w:ascii="Times New Roman" w:hAnsi="Times New Roman"/>
          <w:b/>
          <w:spacing w:val="4"/>
          <w:w w:val="103"/>
          <w:kern w:val="14"/>
          <w:sz w:val="20"/>
          <w:lang w:val="en-GB"/>
        </w:rPr>
      </w:pPr>
    </w:p>
    <w:p w14:paraId="217D16A0" w14:textId="32828F42" w:rsidR="00DB0466" w:rsidRDefault="00DB0466" w:rsidP="003370F3">
      <w:pPr>
        <w:suppressAutoHyphens/>
        <w:spacing w:line="240" w:lineRule="exact"/>
        <w:contextualSpacing/>
        <w:rPr>
          <w:rFonts w:ascii="Times New Roman" w:hAnsi="Times New Roman"/>
          <w:b/>
          <w:spacing w:val="4"/>
          <w:w w:val="103"/>
          <w:kern w:val="14"/>
          <w:sz w:val="20"/>
          <w:lang w:val="en-GB"/>
        </w:rPr>
      </w:pPr>
    </w:p>
    <w:p w14:paraId="56D9AD66" w14:textId="00C2A2C3" w:rsidR="00DB0466" w:rsidRDefault="00DB0466" w:rsidP="003370F3">
      <w:pPr>
        <w:suppressAutoHyphens/>
        <w:spacing w:line="240" w:lineRule="exact"/>
        <w:contextualSpacing/>
        <w:rPr>
          <w:rFonts w:ascii="Times New Roman" w:hAnsi="Times New Roman"/>
          <w:b/>
          <w:spacing w:val="4"/>
          <w:w w:val="103"/>
          <w:kern w:val="14"/>
          <w:sz w:val="20"/>
          <w:lang w:val="en-GB"/>
        </w:rPr>
      </w:pPr>
    </w:p>
    <w:p w14:paraId="77DE0183" w14:textId="794F14D3" w:rsidR="00DB0466" w:rsidRDefault="00F4301F" w:rsidP="003370F3">
      <w:pPr>
        <w:suppressAutoHyphens/>
        <w:spacing w:line="240" w:lineRule="exact"/>
        <w:contextualSpacing/>
        <w:rPr>
          <w:rFonts w:ascii="Times New Roman" w:hAnsi="Times New Roman"/>
          <w:b/>
          <w:spacing w:val="4"/>
          <w:w w:val="103"/>
          <w:kern w:val="14"/>
          <w:sz w:val="20"/>
          <w:lang w:val="en-GB"/>
        </w:rPr>
      </w:pPr>
      <w:r w:rsidRPr="00F4301F">
        <w:rPr>
          <w:noProof/>
        </w:rPr>
        <w:lastRenderedPageBreak/>
        <w:drawing>
          <wp:anchor distT="0" distB="0" distL="114300" distR="114300" simplePos="0" relativeHeight="251680768" behindDoc="0" locked="0" layoutInCell="1" allowOverlap="1" wp14:anchorId="3B10A595" wp14:editId="268AF27E">
            <wp:simplePos x="0" y="0"/>
            <wp:positionH relativeFrom="column">
              <wp:posOffset>358364</wp:posOffset>
            </wp:positionH>
            <wp:positionV relativeFrom="paragraph">
              <wp:posOffset>187</wp:posOffset>
            </wp:positionV>
            <wp:extent cx="7250430" cy="6121026"/>
            <wp:effectExtent l="0" t="0" r="762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250430" cy="612102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AECE82B" w14:textId="4FFFFAC9" w:rsidR="00DB0466" w:rsidRDefault="00DB0466" w:rsidP="003370F3">
      <w:pPr>
        <w:suppressAutoHyphens/>
        <w:spacing w:line="240" w:lineRule="exact"/>
        <w:contextualSpacing/>
        <w:rPr>
          <w:rFonts w:ascii="Times New Roman" w:hAnsi="Times New Roman"/>
          <w:b/>
          <w:spacing w:val="4"/>
          <w:w w:val="103"/>
          <w:kern w:val="14"/>
          <w:sz w:val="20"/>
          <w:lang w:val="en-GB"/>
        </w:rPr>
      </w:pPr>
    </w:p>
    <w:p w14:paraId="0D936A8D" w14:textId="002FFDD1" w:rsidR="00DB0466" w:rsidRDefault="00DB0466" w:rsidP="003370F3">
      <w:pPr>
        <w:suppressAutoHyphens/>
        <w:spacing w:line="240" w:lineRule="exact"/>
        <w:contextualSpacing/>
        <w:rPr>
          <w:rFonts w:ascii="Times New Roman" w:hAnsi="Times New Roman"/>
          <w:b/>
          <w:spacing w:val="4"/>
          <w:w w:val="103"/>
          <w:kern w:val="14"/>
          <w:sz w:val="20"/>
          <w:lang w:val="en-GB"/>
        </w:rPr>
      </w:pPr>
    </w:p>
    <w:p w14:paraId="6B6B6E26" w14:textId="77777777" w:rsidR="00DB0466" w:rsidRDefault="00DB0466" w:rsidP="003370F3">
      <w:pPr>
        <w:suppressAutoHyphens/>
        <w:spacing w:line="240" w:lineRule="exact"/>
        <w:contextualSpacing/>
        <w:rPr>
          <w:rFonts w:ascii="Times New Roman" w:hAnsi="Times New Roman"/>
          <w:b/>
          <w:spacing w:val="4"/>
          <w:w w:val="103"/>
          <w:kern w:val="14"/>
          <w:sz w:val="20"/>
          <w:lang w:val="en-GB"/>
        </w:rPr>
      </w:pPr>
    </w:p>
    <w:p w14:paraId="136D9A39" w14:textId="15F4D119" w:rsidR="00DB0466" w:rsidRDefault="00DB0466" w:rsidP="003370F3">
      <w:pPr>
        <w:suppressAutoHyphens/>
        <w:spacing w:line="240" w:lineRule="exact"/>
        <w:contextualSpacing/>
        <w:rPr>
          <w:rFonts w:ascii="Times New Roman" w:hAnsi="Times New Roman"/>
          <w:b/>
          <w:spacing w:val="4"/>
          <w:w w:val="103"/>
          <w:kern w:val="14"/>
          <w:sz w:val="20"/>
          <w:lang w:val="en-GB"/>
        </w:rPr>
      </w:pPr>
    </w:p>
    <w:p w14:paraId="6EC23E44" w14:textId="77777777" w:rsidR="00DB0466" w:rsidRDefault="00DB0466" w:rsidP="003370F3">
      <w:pPr>
        <w:suppressAutoHyphens/>
        <w:spacing w:line="240" w:lineRule="exact"/>
        <w:contextualSpacing/>
        <w:rPr>
          <w:rFonts w:ascii="Times New Roman" w:hAnsi="Times New Roman"/>
          <w:b/>
          <w:spacing w:val="4"/>
          <w:w w:val="103"/>
          <w:kern w:val="14"/>
          <w:sz w:val="20"/>
          <w:lang w:val="en-GB"/>
        </w:rPr>
      </w:pPr>
    </w:p>
    <w:p w14:paraId="2CDBB46F" w14:textId="6AF93813" w:rsidR="00DB0466" w:rsidRDefault="00DB0466" w:rsidP="003370F3">
      <w:pPr>
        <w:suppressAutoHyphens/>
        <w:spacing w:line="240" w:lineRule="exact"/>
        <w:contextualSpacing/>
        <w:rPr>
          <w:rFonts w:ascii="Times New Roman" w:hAnsi="Times New Roman"/>
          <w:b/>
          <w:spacing w:val="4"/>
          <w:w w:val="103"/>
          <w:kern w:val="14"/>
          <w:sz w:val="20"/>
          <w:lang w:val="en-GB"/>
        </w:rPr>
      </w:pPr>
    </w:p>
    <w:p w14:paraId="03A5D860" w14:textId="77777777" w:rsidR="00DB0466" w:rsidRDefault="00DB0466" w:rsidP="003370F3">
      <w:pPr>
        <w:suppressAutoHyphens/>
        <w:spacing w:line="240" w:lineRule="exact"/>
        <w:contextualSpacing/>
        <w:rPr>
          <w:rFonts w:ascii="Times New Roman" w:hAnsi="Times New Roman"/>
          <w:b/>
          <w:spacing w:val="4"/>
          <w:w w:val="103"/>
          <w:kern w:val="14"/>
          <w:sz w:val="20"/>
          <w:lang w:val="en-GB"/>
        </w:rPr>
      </w:pPr>
    </w:p>
    <w:p w14:paraId="0C6A8A62" w14:textId="77777777" w:rsidR="00DB0466" w:rsidRDefault="00DB0466" w:rsidP="003370F3">
      <w:pPr>
        <w:suppressAutoHyphens/>
        <w:spacing w:line="240" w:lineRule="exact"/>
        <w:contextualSpacing/>
        <w:rPr>
          <w:rFonts w:ascii="Times New Roman" w:hAnsi="Times New Roman"/>
          <w:b/>
          <w:spacing w:val="4"/>
          <w:w w:val="103"/>
          <w:kern w:val="14"/>
          <w:sz w:val="20"/>
          <w:lang w:val="en-GB"/>
        </w:rPr>
      </w:pPr>
    </w:p>
    <w:p w14:paraId="6E4B8B38" w14:textId="5D225EE0" w:rsidR="00DB0466" w:rsidRDefault="00DB0466" w:rsidP="003370F3">
      <w:pPr>
        <w:suppressAutoHyphens/>
        <w:spacing w:line="240" w:lineRule="exact"/>
        <w:contextualSpacing/>
        <w:rPr>
          <w:rFonts w:ascii="Times New Roman" w:hAnsi="Times New Roman"/>
          <w:b/>
          <w:spacing w:val="4"/>
          <w:w w:val="103"/>
          <w:kern w:val="14"/>
          <w:sz w:val="20"/>
          <w:lang w:val="en-GB"/>
        </w:rPr>
      </w:pPr>
    </w:p>
    <w:p w14:paraId="6328D755" w14:textId="77777777" w:rsidR="00DB0466" w:rsidRDefault="00DB0466" w:rsidP="003370F3">
      <w:pPr>
        <w:suppressAutoHyphens/>
        <w:spacing w:line="240" w:lineRule="exact"/>
        <w:contextualSpacing/>
        <w:rPr>
          <w:rFonts w:ascii="Times New Roman" w:hAnsi="Times New Roman"/>
          <w:b/>
          <w:spacing w:val="4"/>
          <w:w w:val="103"/>
          <w:kern w:val="14"/>
          <w:sz w:val="20"/>
          <w:lang w:val="en-GB"/>
        </w:rPr>
      </w:pPr>
    </w:p>
    <w:p w14:paraId="30D9B89D" w14:textId="77777777" w:rsidR="00DB0466" w:rsidRDefault="00DB0466" w:rsidP="003370F3">
      <w:pPr>
        <w:suppressAutoHyphens/>
        <w:spacing w:line="240" w:lineRule="exact"/>
        <w:contextualSpacing/>
        <w:rPr>
          <w:rFonts w:ascii="Times New Roman" w:hAnsi="Times New Roman"/>
          <w:b/>
          <w:spacing w:val="4"/>
          <w:w w:val="103"/>
          <w:kern w:val="14"/>
          <w:sz w:val="20"/>
          <w:lang w:val="en-GB"/>
        </w:rPr>
      </w:pPr>
    </w:p>
    <w:p w14:paraId="2B8C259F" w14:textId="77777777" w:rsidR="00DB0466" w:rsidRDefault="00DB0466" w:rsidP="003370F3">
      <w:pPr>
        <w:suppressAutoHyphens/>
        <w:spacing w:line="240" w:lineRule="exact"/>
        <w:contextualSpacing/>
        <w:rPr>
          <w:rFonts w:ascii="Times New Roman" w:hAnsi="Times New Roman"/>
          <w:b/>
          <w:spacing w:val="4"/>
          <w:w w:val="103"/>
          <w:kern w:val="14"/>
          <w:sz w:val="20"/>
          <w:lang w:val="en-GB"/>
        </w:rPr>
      </w:pPr>
    </w:p>
    <w:p w14:paraId="3A8BFC49" w14:textId="77777777" w:rsidR="00DB0466" w:rsidRDefault="00DB0466" w:rsidP="003370F3">
      <w:pPr>
        <w:suppressAutoHyphens/>
        <w:spacing w:line="240" w:lineRule="exact"/>
        <w:contextualSpacing/>
        <w:rPr>
          <w:rFonts w:ascii="Times New Roman" w:hAnsi="Times New Roman"/>
          <w:b/>
          <w:spacing w:val="4"/>
          <w:w w:val="103"/>
          <w:kern w:val="14"/>
          <w:sz w:val="20"/>
          <w:lang w:val="en-GB"/>
        </w:rPr>
      </w:pPr>
    </w:p>
    <w:p w14:paraId="275A46DA" w14:textId="77777777" w:rsidR="00DB0466" w:rsidRDefault="00DB0466" w:rsidP="003370F3">
      <w:pPr>
        <w:suppressAutoHyphens/>
        <w:spacing w:line="240" w:lineRule="exact"/>
        <w:contextualSpacing/>
        <w:rPr>
          <w:rFonts w:ascii="Times New Roman" w:hAnsi="Times New Roman"/>
          <w:b/>
          <w:spacing w:val="4"/>
          <w:w w:val="103"/>
          <w:kern w:val="14"/>
          <w:sz w:val="20"/>
          <w:lang w:val="en-GB"/>
        </w:rPr>
      </w:pPr>
    </w:p>
    <w:p w14:paraId="4D5CD3DD" w14:textId="77777777" w:rsidR="00DB0466" w:rsidRDefault="00DB0466" w:rsidP="003370F3">
      <w:pPr>
        <w:suppressAutoHyphens/>
        <w:spacing w:line="240" w:lineRule="exact"/>
        <w:contextualSpacing/>
        <w:rPr>
          <w:rFonts w:ascii="Times New Roman" w:hAnsi="Times New Roman"/>
          <w:b/>
          <w:spacing w:val="4"/>
          <w:w w:val="103"/>
          <w:kern w:val="14"/>
          <w:sz w:val="20"/>
          <w:lang w:val="en-GB"/>
        </w:rPr>
      </w:pPr>
    </w:p>
    <w:p w14:paraId="7D38A7BD" w14:textId="77777777" w:rsidR="00DB0466" w:rsidRDefault="00DB0466" w:rsidP="003370F3">
      <w:pPr>
        <w:suppressAutoHyphens/>
        <w:spacing w:line="240" w:lineRule="exact"/>
        <w:contextualSpacing/>
        <w:rPr>
          <w:rFonts w:ascii="Times New Roman" w:hAnsi="Times New Roman"/>
          <w:b/>
          <w:spacing w:val="4"/>
          <w:w w:val="103"/>
          <w:kern w:val="14"/>
          <w:sz w:val="20"/>
          <w:lang w:val="en-GB"/>
        </w:rPr>
      </w:pPr>
    </w:p>
    <w:p w14:paraId="0187F16E" w14:textId="77777777" w:rsidR="00DB0466" w:rsidRDefault="00DB0466" w:rsidP="003370F3">
      <w:pPr>
        <w:suppressAutoHyphens/>
        <w:spacing w:line="240" w:lineRule="exact"/>
        <w:contextualSpacing/>
        <w:rPr>
          <w:rFonts w:ascii="Times New Roman" w:hAnsi="Times New Roman"/>
          <w:b/>
          <w:spacing w:val="4"/>
          <w:w w:val="103"/>
          <w:kern w:val="14"/>
          <w:sz w:val="20"/>
          <w:lang w:val="en-GB"/>
        </w:rPr>
      </w:pPr>
    </w:p>
    <w:p w14:paraId="5745AE80" w14:textId="77777777" w:rsidR="00DB0466" w:rsidRDefault="00DB0466" w:rsidP="003370F3">
      <w:pPr>
        <w:suppressAutoHyphens/>
        <w:spacing w:line="240" w:lineRule="exact"/>
        <w:contextualSpacing/>
        <w:rPr>
          <w:rFonts w:ascii="Times New Roman" w:hAnsi="Times New Roman"/>
          <w:b/>
          <w:spacing w:val="4"/>
          <w:w w:val="103"/>
          <w:kern w:val="14"/>
          <w:sz w:val="20"/>
          <w:lang w:val="en-GB"/>
        </w:rPr>
      </w:pPr>
    </w:p>
    <w:p w14:paraId="27443E6B" w14:textId="77777777" w:rsidR="00DB0466" w:rsidRDefault="00DB0466" w:rsidP="003370F3">
      <w:pPr>
        <w:suppressAutoHyphens/>
        <w:spacing w:line="240" w:lineRule="exact"/>
        <w:contextualSpacing/>
        <w:rPr>
          <w:rFonts w:ascii="Times New Roman" w:hAnsi="Times New Roman"/>
          <w:b/>
          <w:spacing w:val="4"/>
          <w:w w:val="103"/>
          <w:kern w:val="14"/>
          <w:sz w:val="20"/>
          <w:lang w:val="en-GB"/>
        </w:rPr>
      </w:pPr>
    </w:p>
    <w:p w14:paraId="001B4C9E" w14:textId="77777777" w:rsidR="00DB0466" w:rsidRDefault="00DB0466" w:rsidP="003370F3">
      <w:pPr>
        <w:suppressAutoHyphens/>
        <w:spacing w:line="240" w:lineRule="exact"/>
        <w:contextualSpacing/>
        <w:rPr>
          <w:rFonts w:ascii="Times New Roman" w:hAnsi="Times New Roman"/>
          <w:b/>
          <w:spacing w:val="4"/>
          <w:w w:val="103"/>
          <w:kern w:val="14"/>
          <w:sz w:val="20"/>
          <w:lang w:val="en-GB"/>
        </w:rPr>
      </w:pPr>
    </w:p>
    <w:p w14:paraId="3256F04A" w14:textId="77777777" w:rsidR="00DB0466" w:rsidRDefault="00DB0466" w:rsidP="003370F3">
      <w:pPr>
        <w:suppressAutoHyphens/>
        <w:spacing w:line="240" w:lineRule="exact"/>
        <w:contextualSpacing/>
        <w:rPr>
          <w:rFonts w:ascii="Times New Roman" w:hAnsi="Times New Roman"/>
          <w:b/>
          <w:spacing w:val="4"/>
          <w:w w:val="103"/>
          <w:kern w:val="14"/>
          <w:sz w:val="20"/>
          <w:lang w:val="en-GB"/>
        </w:rPr>
      </w:pPr>
    </w:p>
    <w:p w14:paraId="4C4D04C6" w14:textId="77777777" w:rsidR="00DB0466" w:rsidRDefault="00DB0466" w:rsidP="003370F3">
      <w:pPr>
        <w:suppressAutoHyphens/>
        <w:spacing w:line="240" w:lineRule="exact"/>
        <w:contextualSpacing/>
        <w:rPr>
          <w:rFonts w:ascii="Times New Roman" w:hAnsi="Times New Roman"/>
          <w:b/>
          <w:spacing w:val="4"/>
          <w:w w:val="103"/>
          <w:kern w:val="14"/>
          <w:sz w:val="20"/>
          <w:lang w:val="en-GB"/>
        </w:rPr>
      </w:pPr>
    </w:p>
    <w:p w14:paraId="41BD0981" w14:textId="77777777" w:rsidR="00DB0466" w:rsidRDefault="00DB0466" w:rsidP="003370F3">
      <w:pPr>
        <w:suppressAutoHyphens/>
        <w:spacing w:line="240" w:lineRule="exact"/>
        <w:contextualSpacing/>
        <w:rPr>
          <w:rFonts w:ascii="Times New Roman" w:hAnsi="Times New Roman"/>
          <w:b/>
          <w:spacing w:val="4"/>
          <w:w w:val="103"/>
          <w:kern w:val="14"/>
          <w:sz w:val="20"/>
          <w:lang w:val="en-GB"/>
        </w:rPr>
      </w:pPr>
    </w:p>
    <w:p w14:paraId="0C227115" w14:textId="77777777" w:rsidR="00DB0466" w:rsidRDefault="00DB0466" w:rsidP="003370F3">
      <w:pPr>
        <w:suppressAutoHyphens/>
        <w:spacing w:line="240" w:lineRule="exact"/>
        <w:contextualSpacing/>
        <w:rPr>
          <w:rFonts w:ascii="Times New Roman" w:hAnsi="Times New Roman"/>
          <w:b/>
          <w:spacing w:val="4"/>
          <w:w w:val="103"/>
          <w:kern w:val="14"/>
          <w:sz w:val="20"/>
          <w:lang w:val="en-GB"/>
        </w:rPr>
      </w:pPr>
    </w:p>
    <w:p w14:paraId="2058F697" w14:textId="77777777" w:rsidR="00DB0466" w:rsidRDefault="00DB0466" w:rsidP="003370F3">
      <w:pPr>
        <w:suppressAutoHyphens/>
        <w:spacing w:line="240" w:lineRule="exact"/>
        <w:contextualSpacing/>
        <w:rPr>
          <w:rFonts w:ascii="Times New Roman" w:hAnsi="Times New Roman"/>
          <w:b/>
          <w:spacing w:val="4"/>
          <w:w w:val="103"/>
          <w:kern w:val="14"/>
          <w:sz w:val="20"/>
          <w:lang w:val="en-GB"/>
        </w:rPr>
      </w:pPr>
    </w:p>
    <w:p w14:paraId="0FF8CF08" w14:textId="77777777" w:rsidR="00DB0466" w:rsidRDefault="00DB0466" w:rsidP="003370F3">
      <w:pPr>
        <w:suppressAutoHyphens/>
        <w:spacing w:line="240" w:lineRule="exact"/>
        <w:contextualSpacing/>
        <w:rPr>
          <w:rFonts w:ascii="Times New Roman" w:hAnsi="Times New Roman"/>
          <w:b/>
          <w:spacing w:val="4"/>
          <w:w w:val="103"/>
          <w:kern w:val="14"/>
          <w:sz w:val="20"/>
          <w:lang w:val="en-GB"/>
        </w:rPr>
      </w:pPr>
    </w:p>
    <w:p w14:paraId="572B2705" w14:textId="77777777" w:rsidR="00DB0466" w:rsidRDefault="00DB0466" w:rsidP="003370F3">
      <w:pPr>
        <w:suppressAutoHyphens/>
        <w:spacing w:line="240" w:lineRule="exact"/>
        <w:contextualSpacing/>
        <w:rPr>
          <w:rFonts w:ascii="Times New Roman" w:hAnsi="Times New Roman"/>
          <w:b/>
          <w:spacing w:val="4"/>
          <w:w w:val="103"/>
          <w:kern w:val="14"/>
          <w:sz w:val="20"/>
          <w:lang w:val="en-GB"/>
        </w:rPr>
      </w:pPr>
    </w:p>
    <w:p w14:paraId="2D84BEBD" w14:textId="77777777" w:rsidR="00DB0466" w:rsidRDefault="00DB0466" w:rsidP="003370F3">
      <w:pPr>
        <w:suppressAutoHyphens/>
        <w:spacing w:line="240" w:lineRule="exact"/>
        <w:contextualSpacing/>
        <w:rPr>
          <w:rFonts w:ascii="Times New Roman" w:hAnsi="Times New Roman"/>
          <w:b/>
          <w:spacing w:val="4"/>
          <w:w w:val="103"/>
          <w:kern w:val="14"/>
          <w:sz w:val="20"/>
          <w:lang w:val="en-GB"/>
        </w:rPr>
      </w:pPr>
    </w:p>
    <w:p w14:paraId="58961CEB" w14:textId="77777777" w:rsidR="00DB0466" w:rsidRDefault="00DB0466" w:rsidP="003370F3">
      <w:pPr>
        <w:suppressAutoHyphens/>
        <w:spacing w:line="240" w:lineRule="exact"/>
        <w:contextualSpacing/>
        <w:rPr>
          <w:rFonts w:ascii="Times New Roman" w:hAnsi="Times New Roman"/>
          <w:b/>
          <w:spacing w:val="4"/>
          <w:w w:val="103"/>
          <w:kern w:val="14"/>
          <w:sz w:val="20"/>
          <w:lang w:val="en-GB"/>
        </w:rPr>
      </w:pPr>
    </w:p>
    <w:p w14:paraId="11E04F6C" w14:textId="77777777" w:rsidR="00DB0466" w:rsidRDefault="00DB0466" w:rsidP="003370F3">
      <w:pPr>
        <w:suppressAutoHyphens/>
        <w:spacing w:line="240" w:lineRule="exact"/>
        <w:contextualSpacing/>
        <w:rPr>
          <w:rFonts w:ascii="Times New Roman" w:hAnsi="Times New Roman"/>
          <w:b/>
          <w:spacing w:val="4"/>
          <w:w w:val="103"/>
          <w:kern w:val="14"/>
          <w:sz w:val="20"/>
          <w:lang w:val="en-GB"/>
        </w:rPr>
      </w:pPr>
    </w:p>
    <w:p w14:paraId="655392DC" w14:textId="77777777" w:rsidR="00DB0466" w:rsidRDefault="00DB0466" w:rsidP="003370F3">
      <w:pPr>
        <w:suppressAutoHyphens/>
        <w:spacing w:line="240" w:lineRule="exact"/>
        <w:contextualSpacing/>
        <w:rPr>
          <w:rFonts w:ascii="Times New Roman" w:hAnsi="Times New Roman"/>
          <w:b/>
          <w:spacing w:val="4"/>
          <w:w w:val="103"/>
          <w:kern w:val="14"/>
          <w:sz w:val="20"/>
          <w:lang w:val="en-GB"/>
        </w:rPr>
      </w:pPr>
    </w:p>
    <w:p w14:paraId="5235FDB4" w14:textId="77777777" w:rsidR="00DB0466" w:rsidRDefault="00DB0466" w:rsidP="003370F3">
      <w:pPr>
        <w:suppressAutoHyphens/>
        <w:spacing w:line="240" w:lineRule="exact"/>
        <w:contextualSpacing/>
        <w:rPr>
          <w:rFonts w:ascii="Times New Roman" w:hAnsi="Times New Roman"/>
          <w:b/>
          <w:spacing w:val="4"/>
          <w:w w:val="103"/>
          <w:kern w:val="14"/>
          <w:sz w:val="20"/>
          <w:lang w:val="en-GB"/>
        </w:rPr>
      </w:pPr>
    </w:p>
    <w:p w14:paraId="7C52BEEC" w14:textId="569BB89F" w:rsidR="00DB0466" w:rsidRDefault="00DB0466" w:rsidP="003370F3">
      <w:pPr>
        <w:suppressAutoHyphens/>
        <w:spacing w:line="240" w:lineRule="exact"/>
        <w:contextualSpacing/>
        <w:rPr>
          <w:rFonts w:ascii="Times New Roman" w:hAnsi="Times New Roman"/>
          <w:b/>
          <w:spacing w:val="4"/>
          <w:w w:val="103"/>
          <w:kern w:val="14"/>
          <w:sz w:val="20"/>
          <w:lang w:val="en-GB"/>
        </w:rPr>
      </w:pPr>
    </w:p>
    <w:p w14:paraId="0D737074" w14:textId="0248CD56" w:rsidR="00DB0466" w:rsidRDefault="00DB0466" w:rsidP="003370F3">
      <w:pPr>
        <w:suppressAutoHyphens/>
        <w:spacing w:line="240" w:lineRule="exact"/>
        <w:contextualSpacing/>
        <w:rPr>
          <w:rFonts w:ascii="Times New Roman" w:hAnsi="Times New Roman"/>
          <w:b/>
          <w:spacing w:val="4"/>
          <w:w w:val="103"/>
          <w:kern w:val="14"/>
          <w:sz w:val="20"/>
          <w:lang w:val="en-GB"/>
        </w:rPr>
      </w:pPr>
    </w:p>
    <w:p w14:paraId="20ADCA6A" w14:textId="1056EDDE" w:rsidR="00DB0466" w:rsidRDefault="00DB0466" w:rsidP="003370F3">
      <w:pPr>
        <w:suppressAutoHyphens/>
        <w:spacing w:line="240" w:lineRule="exact"/>
        <w:contextualSpacing/>
        <w:rPr>
          <w:rFonts w:ascii="Times New Roman" w:hAnsi="Times New Roman"/>
          <w:b/>
          <w:spacing w:val="4"/>
          <w:w w:val="103"/>
          <w:kern w:val="14"/>
          <w:sz w:val="20"/>
          <w:lang w:val="en-GB"/>
        </w:rPr>
      </w:pPr>
    </w:p>
    <w:p w14:paraId="463B07CB" w14:textId="37B9DA82" w:rsidR="00DB0466" w:rsidRDefault="00DB0466" w:rsidP="003370F3">
      <w:pPr>
        <w:suppressAutoHyphens/>
        <w:spacing w:line="240" w:lineRule="exact"/>
        <w:contextualSpacing/>
        <w:rPr>
          <w:rFonts w:ascii="Times New Roman" w:hAnsi="Times New Roman"/>
          <w:b/>
          <w:spacing w:val="4"/>
          <w:w w:val="103"/>
          <w:kern w:val="14"/>
          <w:sz w:val="20"/>
          <w:lang w:val="en-GB"/>
        </w:rPr>
      </w:pPr>
    </w:p>
    <w:p w14:paraId="61A6D4EE" w14:textId="0F1146A0" w:rsidR="00DB0466" w:rsidRDefault="00DB0466" w:rsidP="003370F3">
      <w:pPr>
        <w:suppressAutoHyphens/>
        <w:spacing w:line="240" w:lineRule="exact"/>
        <w:contextualSpacing/>
        <w:rPr>
          <w:rFonts w:ascii="Times New Roman" w:hAnsi="Times New Roman"/>
          <w:b/>
          <w:spacing w:val="4"/>
          <w:w w:val="103"/>
          <w:kern w:val="14"/>
          <w:sz w:val="20"/>
          <w:lang w:val="en-GB"/>
        </w:rPr>
      </w:pPr>
    </w:p>
    <w:p w14:paraId="584394A9" w14:textId="150E0DC7" w:rsidR="00DB0466" w:rsidRDefault="00DB0466" w:rsidP="003370F3">
      <w:pPr>
        <w:suppressAutoHyphens/>
        <w:spacing w:line="240" w:lineRule="exact"/>
        <w:contextualSpacing/>
        <w:rPr>
          <w:rFonts w:ascii="Times New Roman" w:hAnsi="Times New Roman"/>
          <w:b/>
          <w:spacing w:val="4"/>
          <w:w w:val="103"/>
          <w:kern w:val="14"/>
          <w:sz w:val="20"/>
          <w:lang w:val="en-GB"/>
        </w:rPr>
      </w:pPr>
    </w:p>
    <w:p w14:paraId="33AB0E4F" w14:textId="4CFD7BE5" w:rsidR="00DB0466" w:rsidRDefault="00DB0466" w:rsidP="003370F3">
      <w:pPr>
        <w:suppressAutoHyphens/>
        <w:spacing w:line="240" w:lineRule="exact"/>
        <w:contextualSpacing/>
        <w:rPr>
          <w:rFonts w:ascii="Times New Roman" w:hAnsi="Times New Roman"/>
          <w:b/>
          <w:spacing w:val="4"/>
          <w:w w:val="103"/>
          <w:kern w:val="14"/>
          <w:sz w:val="20"/>
          <w:lang w:val="en-GB"/>
        </w:rPr>
      </w:pPr>
    </w:p>
    <w:p w14:paraId="65A1BE8F" w14:textId="2AEE0661" w:rsidR="00DB0466" w:rsidRDefault="003D26E6" w:rsidP="003370F3">
      <w:pPr>
        <w:suppressAutoHyphens/>
        <w:spacing w:line="240" w:lineRule="exact"/>
        <w:contextualSpacing/>
        <w:rPr>
          <w:noProof/>
        </w:rPr>
      </w:pPr>
      <w:r w:rsidRPr="003D26E6">
        <w:rPr>
          <w:noProof/>
        </w:rPr>
        <w:lastRenderedPageBreak/>
        <w:drawing>
          <wp:anchor distT="0" distB="0" distL="114300" distR="114300" simplePos="0" relativeHeight="251681792" behindDoc="0" locked="0" layoutInCell="1" allowOverlap="1" wp14:anchorId="4BC6349F" wp14:editId="1E73AFED">
            <wp:simplePos x="0" y="0"/>
            <wp:positionH relativeFrom="column">
              <wp:posOffset>422910</wp:posOffset>
            </wp:positionH>
            <wp:positionV relativeFrom="paragraph">
              <wp:posOffset>0</wp:posOffset>
            </wp:positionV>
            <wp:extent cx="7250430" cy="5981065"/>
            <wp:effectExtent l="0" t="0" r="7620" b="635"/>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250430" cy="59810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F874B7A" w14:textId="48E9C408" w:rsidR="000E6470" w:rsidRDefault="000E6470" w:rsidP="003370F3">
      <w:pPr>
        <w:suppressAutoHyphens/>
        <w:spacing w:line="240" w:lineRule="exact"/>
        <w:contextualSpacing/>
        <w:rPr>
          <w:noProof/>
        </w:rPr>
      </w:pPr>
    </w:p>
    <w:p w14:paraId="4B123189" w14:textId="1929A4F5" w:rsidR="000E6470" w:rsidRDefault="000E6470" w:rsidP="003370F3">
      <w:pPr>
        <w:suppressAutoHyphens/>
        <w:spacing w:line="240" w:lineRule="exact"/>
        <w:contextualSpacing/>
        <w:rPr>
          <w:noProof/>
        </w:rPr>
      </w:pPr>
    </w:p>
    <w:p w14:paraId="58A16E08" w14:textId="44071E2B" w:rsidR="000E6470" w:rsidRDefault="000E6470" w:rsidP="003370F3">
      <w:pPr>
        <w:suppressAutoHyphens/>
        <w:spacing w:line="240" w:lineRule="exact"/>
        <w:contextualSpacing/>
        <w:rPr>
          <w:noProof/>
        </w:rPr>
      </w:pPr>
    </w:p>
    <w:p w14:paraId="601D3BB9" w14:textId="5C891BD2" w:rsidR="000E6470" w:rsidRDefault="000E6470" w:rsidP="003370F3">
      <w:pPr>
        <w:suppressAutoHyphens/>
        <w:spacing w:line="240" w:lineRule="exact"/>
        <w:contextualSpacing/>
        <w:rPr>
          <w:noProof/>
        </w:rPr>
      </w:pPr>
    </w:p>
    <w:p w14:paraId="12FD2B8C" w14:textId="157C4EB0" w:rsidR="000E6470" w:rsidRDefault="000E6470" w:rsidP="003370F3">
      <w:pPr>
        <w:suppressAutoHyphens/>
        <w:spacing w:line="240" w:lineRule="exact"/>
        <w:contextualSpacing/>
        <w:rPr>
          <w:noProof/>
        </w:rPr>
      </w:pPr>
    </w:p>
    <w:p w14:paraId="5CE36B96" w14:textId="1BA3356F" w:rsidR="000E6470" w:rsidRDefault="000E6470" w:rsidP="003370F3">
      <w:pPr>
        <w:suppressAutoHyphens/>
        <w:spacing w:line="240" w:lineRule="exact"/>
        <w:contextualSpacing/>
        <w:rPr>
          <w:noProof/>
        </w:rPr>
      </w:pPr>
    </w:p>
    <w:p w14:paraId="5F4591EE" w14:textId="0AFC308E" w:rsidR="000E6470" w:rsidRDefault="000E6470" w:rsidP="003370F3">
      <w:pPr>
        <w:suppressAutoHyphens/>
        <w:spacing w:line="240" w:lineRule="exact"/>
        <w:contextualSpacing/>
        <w:rPr>
          <w:noProof/>
        </w:rPr>
      </w:pPr>
    </w:p>
    <w:p w14:paraId="07DF69F1" w14:textId="20EFF86D" w:rsidR="000E6470" w:rsidRDefault="000E6470" w:rsidP="003370F3">
      <w:pPr>
        <w:suppressAutoHyphens/>
        <w:spacing w:line="240" w:lineRule="exact"/>
        <w:contextualSpacing/>
        <w:rPr>
          <w:noProof/>
        </w:rPr>
      </w:pPr>
    </w:p>
    <w:p w14:paraId="311A3814" w14:textId="55E61FDF" w:rsidR="000E6470" w:rsidRDefault="000E6470" w:rsidP="003370F3">
      <w:pPr>
        <w:suppressAutoHyphens/>
        <w:spacing w:line="240" w:lineRule="exact"/>
        <w:contextualSpacing/>
        <w:rPr>
          <w:noProof/>
        </w:rPr>
      </w:pPr>
    </w:p>
    <w:p w14:paraId="78618839" w14:textId="50B3E738" w:rsidR="000E6470" w:rsidRDefault="000E6470" w:rsidP="003370F3">
      <w:pPr>
        <w:suppressAutoHyphens/>
        <w:spacing w:line="240" w:lineRule="exact"/>
        <w:contextualSpacing/>
        <w:rPr>
          <w:noProof/>
        </w:rPr>
      </w:pPr>
    </w:p>
    <w:p w14:paraId="20BA3A92" w14:textId="2365A3BF" w:rsidR="000E6470" w:rsidRDefault="000E6470" w:rsidP="003370F3">
      <w:pPr>
        <w:suppressAutoHyphens/>
        <w:spacing w:line="240" w:lineRule="exact"/>
        <w:contextualSpacing/>
        <w:rPr>
          <w:noProof/>
        </w:rPr>
      </w:pPr>
    </w:p>
    <w:p w14:paraId="0D478C6A" w14:textId="0CE27090" w:rsidR="000E6470" w:rsidRDefault="000E6470" w:rsidP="003370F3">
      <w:pPr>
        <w:suppressAutoHyphens/>
        <w:spacing w:line="240" w:lineRule="exact"/>
        <w:contextualSpacing/>
        <w:rPr>
          <w:noProof/>
        </w:rPr>
      </w:pPr>
    </w:p>
    <w:p w14:paraId="660504AD" w14:textId="69913BCF" w:rsidR="000E6470" w:rsidRDefault="000E6470" w:rsidP="003370F3">
      <w:pPr>
        <w:suppressAutoHyphens/>
        <w:spacing w:line="240" w:lineRule="exact"/>
        <w:contextualSpacing/>
        <w:rPr>
          <w:noProof/>
        </w:rPr>
      </w:pPr>
    </w:p>
    <w:p w14:paraId="03B061AC" w14:textId="209FC56C" w:rsidR="000E6470" w:rsidRDefault="000E6470" w:rsidP="003370F3">
      <w:pPr>
        <w:suppressAutoHyphens/>
        <w:spacing w:line="240" w:lineRule="exact"/>
        <w:contextualSpacing/>
        <w:rPr>
          <w:noProof/>
        </w:rPr>
      </w:pPr>
    </w:p>
    <w:p w14:paraId="2C659415" w14:textId="4FEEA6EB" w:rsidR="000E6470" w:rsidRDefault="000E6470" w:rsidP="003370F3">
      <w:pPr>
        <w:suppressAutoHyphens/>
        <w:spacing w:line="240" w:lineRule="exact"/>
        <w:contextualSpacing/>
        <w:rPr>
          <w:noProof/>
        </w:rPr>
      </w:pPr>
    </w:p>
    <w:p w14:paraId="1186758B" w14:textId="6E5805BF" w:rsidR="000E6470" w:rsidRDefault="000E6470" w:rsidP="003370F3">
      <w:pPr>
        <w:suppressAutoHyphens/>
        <w:spacing w:line="240" w:lineRule="exact"/>
        <w:contextualSpacing/>
        <w:rPr>
          <w:noProof/>
        </w:rPr>
      </w:pPr>
    </w:p>
    <w:p w14:paraId="41E16FB1" w14:textId="0086A429" w:rsidR="000E6470" w:rsidRDefault="000E6470" w:rsidP="003370F3">
      <w:pPr>
        <w:suppressAutoHyphens/>
        <w:spacing w:line="240" w:lineRule="exact"/>
        <w:contextualSpacing/>
        <w:rPr>
          <w:noProof/>
        </w:rPr>
      </w:pPr>
    </w:p>
    <w:p w14:paraId="4854579D" w14:textId="66B20E02" w:rsidR="000E6470" w:rsidRDefault="000E6470" w:rsidP="003370F3">
      <w:pPr>
        <w:suppressAutoHyphens/>
        <w:spacing w:line="240" w:lineRule="exact"/>
        <w:contextualSpacing/>
        <w:rPr>
          <w:noProof/>
        </w:rPr>
      </w:pPr>
    </w:p>
    <w:p w14:paraId="57D03E36" w14:textId="6AEF9580" w:rsidR="000E6470" w:rsidRDefault="000E6470" w:rsidP="003370F3">
      <w:pPr>
        <w:suppressAutoHyphens/>
        <w:spacing w:line="240" w:lineRule="exact"/>
        <w:contextualSpacing/>
        <w:rPr>
          <w:noProof/>
        </w:rPr>
      </w:pPr>
    </w:p>
    <w:p w14:paraId="04474152" w14:textId="3CA196F8" w:rsidR="000E6470" w:rsidRDefault="000E6470" w:rsidP="003370F3">
      <w:pPr>
        <w:suppressAutoHyphens/>
        <w:spacing w:line="240" w:lineRule="exact"/>
        <w:contextualSpacing/>
        <w:rPr>
          <w:noProof/>
        </w:rPr>
      </w:pPr>
    </w:p>
    <w:p w14:paraId="1E297A11" w14:textId="383CAD13" w:rsidR="000E6470" w:rsidRDefault="000E6470" w:rsidP="003370F3">
      <w:pPr>
        <w:suppressAutoHyphens/>
        <w:spacing w:line="240" w:lineRule="exact"/>
        <w:contextualSpacing/>
        <w:rPr>
          <w:noProof/>
        </w:rPr>
      </w:pPr>
    </w:p>
    <w:p w14:paraId="0AC89603" w14:textId="4C2F97FA" w:rsidR="000E6470" w:rsidRDefault="000E6470" w:rsidP="003370F3">
      <w:pPr>
        <w:suppressAutoHyphens/>
        <w:spacing w:line="240" w:lineRule="exact"/>
        <w:contextualSpacing/>
        <w:rPr>
          <w:noProof/>
        </w:rPr>
      </w:pPr>
    </w:p>
    <w:p w14:paraId="58E63613" w14:textId="12B55218" w:rsidR="000E6470" w:rsidRDefault="000E6470" w:rsidP="003370F3">
      <w:pPr>
        <w:suppressAutoHyphens/>
        <w:spacing w:line="240" w:lineRule="exact"/>
        <w:contextualSpacing/>
        <w:rPr>
          <w:noProof/>
        </w:rPr>
      </w:pPr>
    </w:p>
    <w:p w14:paraId="511B185E" w14:textId="1782AA17" w:rsidR="000E6470" w:rsidRDefault="000E6470" w:rsidP="003370F3">
      <w:pPr>
        <w:suppressAutoHyphens/>
        <w:spacing w:line="240" w:lineRule="exact"/>
        <w:contextualSpacing/>
        <w:rPr>
          <w:noProof/>
        </w:rPr>
      </w:pPr>
    </w:p>
    <w:p w14:paraId="0AC3E2F7" w14:textId="17E6D076" w:rsidR="000E6470" w:rsidRDefault="000E6470" w:rsidP="003370F3">
      <w:pPr>
        <w:suppressAutoHyphens/>
        <w:spacing w:line="240" w:lineRule="exact"/>
        <w:contextualSpacing/>
        <w:rPr>
          <w:noProof/>
        </w:rPr>
      </w:pPr>
    </w:p>
    <w:p w14:paraId="0CD7F139" w14:textId="534DCD94" w:rsidR="000E6470" w:rsidRDefault="000E6470" w:rsidP="003370F3">
      <w:pPr>
        <w:suppressAutoHyphens/>
        <w:spacing w:line="240" w:lineRule="exact"/>
        <w:contextualSpacing/>
        <w:rPr>
          <w:noProof/>
        </w:rPr>
      </w:pPr>
    </w:p>
    <w:p w14:paraId="6AD4979B" w14:textId="78C90446" w:rsidR="000E6470" w:rsidRDefault="000E6470" w:rsidP="003370F3">
      <w:pPr>
        <w:suppressAutoHyphens/>
        <w:spacing w:line="240" w:lineRule="exact"/>
        <w:contextualSpacing/>
        <w:rPr>
          <w:noProof/>
        </w:rPr>
      </w:pPr>
    </w:p>
    <w:p w14:paraId="52B5F215" w14:textId="2914E4D3" w:rsidR="000E6470" w:rsidRDefault="000E6470" w:rsidP="003370F3">
      <w:pPr>
        <w:suppressAutoHyphens/>
        <w:spacing w:line="240" w:lineRule="exact"/>
        <w:contextualSpacing/>
        <w:rPr>
          <w:noProof/>
        </w:rPr>
      </w:pPr>
    </w:p>
    <w:p w14:paraId="219B3A49" w14:textId="5B17CEDF" w:rsidR="000E6470" w:rsidRDefault="000E6470" w:rsidP="003370F3">
      <w:pPr>
        <w:suppressAutoHyphens/>
        <w:spacing w:line="240" w:lineRule="exact"/>
        <w:contextualSpacing/>
        <w:rPr>
          <w:noProof/>
        </w:rPr>
      </w:pPr>
    </w:p>
    <w:p w14:paraId="3B681E5F" w14:textId="246208CA" w:rsidR="000E6470" w:rsidRDefault="000E6470" w:rsidP="003370F3">
      <w:pPr>
        <w:suppressAutoHyphens/>
        <w:spacing w:line="240" w:lineRule="exact"/>
        <w:contextualSpacing/>
        <w:rPr>
          <w:noProof/>
        </w:rPr>
      </w:pPr>
    </w:p>
    <w:p w14:paraId="5FF804E6" w14:textId="48E0CB63" w:rsidR="000E6470" w:rsidRDefault="000E6470" w:rsidP="003370F3">
      <w:pPr>
        <w:suppressAutoHyphens/>
        <w:spacing w:line="240" w:lineRule="exact"/>
        <w:contextualSpacing/>
        <w:rPr>
          <w:noProof/>
        </w:rPr>
      </w:pPr>
    </w:p>
    <w:p w14:paraId="72E77B04" w14:textId="3567316E" w:rsidR="000E6470" w:rsidRDefault="000E6470" w:rsidP="003370F3">
      <w:pPr>
        <w:suppressAutoHyphens/>
        <w:spacing w:line="240" w:lineRule="exact"/>
        <w:contextualSpacing/>
        <w:rPr>
          <w:noProof/>
        </w:rPr>
      </w:pPr>
    </w:p>
    <w:p w14:paraId="52E00EDE" w14:textId="78A7468B" w:rsidR="000E6470" w:rsidRDefault="000E6470" w:rsidP="003370F3">
      <w:pPr>
        <w:suppressAutoHyphens/>
        <w:spacing w:line="240" w:lineRule="exact"/>
        <w:contextualSpacing/>
        <w:rPr>
          <w:noProof/>
        </w:rPr>
      </w:pPr>
    </w:p>
    <w:p w14:paraId="444A31EA" w14:textId="6D69BBBE" w:rsidR="000E6470" w:rsidRDefault="000E6470" w:rsidP="003370F3">
      <w:pPr>
        <w:suppressAutoHyphens/>
        <w:spacing w:line="240" w:lineRule="exact"/>
        <w:contextualSpacing/>
        <w:rPr>
          <w:noProof/>
        </w:rPr>
      </w:pPr>
    </w:p>
    <w:p w14:paraId="0C544AC8" w14:textId="18C59DB8" w:rsidR="000E6470" w:rsidRDefault="000E6470" w:rsidP="003370F3">
      <w:pPr>
        <w:suppressAutoHyphens/>
        <w:spacing w:line="240" w:lineRule="exact"/>
        <w:contextualSpacing/>
        <w:rPr>
          <w:noProof/>
        </w:rPr>
      </w:pPr>
    </w:p>
    <w:p w14:paraId="7040651F" w14:textId="717448D3" w:rsidR="000E6470" w:rsidRDefault="000E6470" w:rsidP="003370F3">
      <w:pPr>
        <w:suppressAutoHyphens/>
        <w:spacing w:line="240" w:lineRule="exact"/>
        <w:contextualSpacing/>
        <w:rPr>
          <w:noProof/>
        </w:rPr>
      </w:pPr>
    </w:p>
    <w:p w14:paraId="151ABC84" w14:textId="3DBEE327" w:rsidR="000E6470" w:rsidRDefault="000E6470" w:rsidP="003370F3">
      <w:pPr>
        <w:suppressAutoHyphens/>
        <w:spacing w:line="240" w:lineRule="exact"/>
        <w:contextualSpacing/>
        <w:rPr>
          <w:noProof/>
        </w:rPr>
      </w:pPr>
    </w:p>
    <w:p w14:paraId="5F1D28C8" w14:textId="7CB263C8" w:rsidR="000E6470" w:rsidRDefault="000E6470" w:rsidP="003370F3">
      <w:pPr>
        <w:suppressAutoHyphens/>
        <w:spacing w:line="240" w:lineRule="exact"/>
        <w:contextualSpacing/>
        <w:rPr>
          <w:noProof/>
        </w:rPr>
      </w:pPr>
    </w:p>
    <w:p w14:paraId="62AAFBC5" w14:textId="5489A82E" w:rsidR="000E6470" w:rsidRDefault="000E6470" w:rsidP="003370F3">
      <w:pPr>
        <w:suppressAutoHyphens/>
        <w:spacing w:line="240" w:lineRule="exact"/>
        <w:contextualSpacing/>
        <w:rPr>
          <w:noProof/>
        </w:rPr>
      </w:pPr>
    </w:p>
    <w:p w14:paraId="753B517B" w14:textId="77777777" w:rsidR="000E6470" w:rsidRDefault="000E6470" w:rsidP="003370F3">
      <w:pPr>
        <w:suppressAutoHyphens/>
        <w:spacing w:line="240" w:lineRule="exact"/>
        <w:contextualSpacing/>
        <w:rPr>
          <w:rFonts w:ascii="Times New Roman" w:hAnsi="Times New Roman"/>
          <w:b/>
          <w:spacing w:val="4"/>
          <w:w w:val="103"/>
          <w:kern w:val="14"/>
          <w:sz w:val="20"/>
          <w:lang w:val="en-GB"/>
        </w:rPr>
      </w:pPr>
    </w:p>
    <w:p w14:paraId="2AFFF6BB" w14:textId="77777777" w:rsidR="00A10E7B" w:rsidRPr="00A10E7B" w:rsidRDefault="00A10E7B" w:rsidP="00A10E7B">
      <w:pPr>
        <w:tabs>
          <w:tab w:val="center" w:pos="4320"/>
          <w:tab w:val="right" w:pos="8640"/>
        </w:tabs>
        <w:rPr>
          <w:rFonts w:ascii="Times New Roman" w:hAnsi="Times New Roman"/>
          <w:b/>
          <w:bCs/>
          <w:color w:val="000000"/>
          <w:sz w:val="28"/>
          <w:szCs w:val="28"/>
        </w:rPr>
      </w:pPr>
      <w:r w:rsidRPr="00A10E7B">
        <w:rPr>
          <w:rFonts w:ascii="Times New Roman" w:hAnsi="Times New Roman"/>
          <w:b/>
          <w:bCs/>
          <w:color w:val="000000"/>
          <w:sz w:val="28"/>
          <w:szCs w:val="28"/>
        </w:rPr>
        <w:t xml:space="preserve">Annex IV. </w:t>
      </w:r>
    </w:p>
    <w:p w14:paraId="38A924D3" w14:textId="77777777" w:rsidR="00A10E7B" w:rsidRPr="00A10E7B" w:rsidRDefault="00A10E7B" w:rsidP="00A10E7B">
      <w:pPr>
        <w:jc w:val="both"/>
        <w:rPr>
          <w:rFonts w:ascii="Times New Roman" w:hAnsi="Times New Roman"/>
          <w:szCs w:val="24"/>
        </w:rPr>
      </w:pPr>
      <w:r w:rsidRPr="00A10E7B">
        <w:rPr>
          <w:rFonts w:ascii="Times New Roman" w:eastAsia="Calibri" w:hAnsi="Times New Roman"/>
          <w:b/>
          <w:bCs/>
          <w:color w:val="000000"/>
          <w:szCs w:val="28"/>
        </w:rPr>
        <w:t>General Management Support waivers</w:t>
      </w:r>
      <w:r w:rsidRPr="00A10E7B">
        <w:rPr>
          <w:rFonts w:ascii="Times New Roman" w:hAnsi="Times New Roman"/>
          <w:szCs w:val="24"/>
        </w:rPr>
        <w:t xml:space="preserve"> </w:t>
      </w:r>
    </w:p>
    <w:p w14:paraId="4BF671AB" w14:textId="77777777" w:rsidR="00A10E7B" w:rsidRPr="00A10E7B" w:rsidRDefault="00A10E7B" w:rsidP="00A10E7B">
      <w:pPr>
        <w:jc w:val="both"/>
        <w:rPr>
          <w:rFonts w:ascii="Times New Roman" w:hAnsi="Times New Roman"/>
          <w:szCs w:val="24"/>
        </w:rPr>
      </w:pPr>
    </w:p>
    <w:p w14:paraId="48737DBE" w14:textId="395BF556" w:rsidR="00A10E7B" w:rsidRPr="00A10E7B" w:rsidRDefault="00A10E7B" w:rsidP="00A10E7B">
      <w:pPr>
        <w:jc w:val="both"/>
        <w:rPr>
          <w:rFonts w:ascii="Times New Roman" w:hAnsi="Times New Roman"/>
          <w:szCs w:val="24"/>
        </w:rPr>
      </w:pPr>
      <w:r w:rsidRPr="00A10E7B">
        <w:rPr>
          <w:rFonts w:ascii="Times New Roman" w:hAnsi="Times New Roman"/>
          <w:szCs w:val="24"/>
        </w:rPr>
        <w:t>During 2017, the s</w:t>
      </w:r>
      <w:r w:rsidR="00E83613">
        <w:rPr>
          <w:rFonts w:ascii="Times New Roman" w:hAnsi="Times New Roman"/>
          <w:szCs w:val="24"/>
        </w:rPr>
        <w:t>ix</w:t>
      </w:r>
      <w:r w:rsidRPr="00A10E7B">
        <w:rPr>
          <w:rFonts w:ascii="Times New Roman" w:hAnsi="Times New Roman"/>
          <w:szCs w:val="24"/>
        </w:rPr>
        <w:t xml:space="preserve"> waivers, as listed below, were granted:</w:t>
      </w:r>
    </w:p>
    <w:p w14:paraId="11ABCCF3" w14:textId="77777777" w:rsidR="00A10E7B" w:rsidRPr="00A10E7B" w:rsidRDefault="00A10E7B" w:rsidP="00A10E7B">
      <w:pPr>
        <w:ind w:left="360"/>
        <w:contextualSpacing/>
        <w:jc w:val="both"/>
        <w:rPr>
          <w:rFonts w:ascii="Times New Roman" w:hAnsi="Times New Roman"/>
          <w:bCs/>
          <w:szCs w:val="24"/>
        </w:rPr>
      </w:pPr>
    </w:p>
    <w:p w14:paraId="06E24179" w14:textId="77777777" w:rsidR="00A10E7B" w:rsidRPr="00A10E7B" w:rsidRDefault="00A10E7B" w:rsidP="00A10E7B">
      <w:pPr>
        <w:jc w:val="both"/>
        <w:rPr>
          <w:rFonts w:ascii="Times New Roman" w:hAnsi="Times New Roman"/>
          <w:b/>
          <w:bCs/>
          <w:szCs w:val="24"/>
          <w:highlight w:val="yellow"/>
        </w:rPr>
      </w:pPr>
      <w:r w:rsidRPr="00A10E7B">
        <w:rPr>
          <w:rFonts w:ascii="Times New Roman" w:hAnsi="Times New Roman"/>
          <w:b/>
          <w:bCs/>
          <w:szCs w:val="24"/>
        </w:rPr>
        <w:t>A.    Five One-time waivers to a reduced fee:</w:t>
      </w:r>
    </w:p>
    <w:p w14:paraId="30F68577" w14:textId="77777777" w:rsidR="00A10E7B" w:rsidRPr="00A10E7B" w:rsidRDefault="00A10E7B" w:rsidP="00A10E7B">
      <w:pPr>
        <w:jc w:val="both"/>
        <w:rPr>
          <w:rFonts w:ascii="Times New Roman" w:hAnsi="Times New Roman"/>
          <w:szCs w:val="24"/>
        </w:rPr>
      </w:pPr>
    </w:p>
    <w:p w14:paraId="7C6AFD25" w14:textId="77777777" w:rsidR="00A10E7B" w:rsidRPr="00A10E7B" w:rsidRDefault="00A10E7B" w:rsidP="00A10E7B">
      <w:pPr>
        <w:numPr>
          <w:ilvl w:val="0"/>
          <w:numId w:val="22"/>
        </w:numPr>
        <w:ind w:left="810"/>
        <w:contextualSpacing/>
        <w:jc w:val="both"/>
        <w:rPr>
          <w:rFonts w:ascii="Times New Roman" w:hAnsi="Times New Roman"/>
          <w:szCs w:val="24"/>
        </w:rPr>
      </w:pPr>
      <w:r w:rsidRPr="00A10E7B">
        <w:rPr>
          <w:rFonts w:ascii="Times New Roman" w:hAnsi="Times New Roman"/>
          <w:szCs w:val="24"/>
        </w:rPr>
        <w:t>a reduced (3 per cent) fee for a contribution to the "Yemen Emergency Crisis Response    Project II";</w:t>
      </w:r>
    </w:p>
    <w:p w14:paraId="2F7E6942" w14:textId="77777777" w:rsidR="00A10E7B" w:rsidRPr="00A10E7B" w:rsidRDefault="00A10E7B" w:rsidP="00A10E7B">
      <w:pPr>
        <w:numPr>
          <w:ilvl w:val="0"/>
          <w:numId w:val="22"/>
        </w:numPr>
        <w:ind w:left="810"/>
        <w:contextualSpacing/>
        <w:jc w:val="both"/>
        <w:rPr>
          <w:rFonts w:ascii="Times New Roman" w:hAnsi="Times New Roman"/>
          <w:szCs w:val="24"/>
        </w:rPr>
      </w:pPr>
      <w:r w:rsidRPr="00A10E7B">
        <w:rPr>
          <w:rFonts w:ascii="Times New Roman" w:hAnsi="Times New Roman"/>
          <w:szCs w:val="24"/>
        </w:rPr>
        <w:t xml:space="preserve">a reduced (3.5 per cent) fee for a contribution to "Repair works for the reconstruction of 1,100 damaged houses for non-refugees affected population in Gaza Strip; rehabilitate five sport fields and a cultural center”; </w:t>
      </w:r>
    </w:p>
    <w:p w14:paraId="1F98C359" w14:textId="77777777" w:rsidR="00A10E7B" w:rsidRPr="00A10E7B" w:rsidRDefault="00A10E7B" w:rsidP="00A10E7B">
      <w:pPr>
        <w:numPr>
          <w:ilvl w:val="0"/>
          <w:numId w:val="22"/>
        </w:numPr>
        <w:ind w:left="810"/>
        <w:contextualSpacing/>
        <w:jc w:val="both"/>
        <w:rPr>
          <w:rFonts w:ascii="Times New Roman" w:hAnsi="Times New Roman"/>
          <w:szCs w:val="24"/>
        </w:rPr>
      </w:pPr>
      <w:r w:rsidRPr="00A10E7B">
        <w:rPr>
          <w:rFonts w:ascii="Times New Roman" w:hAnsi="Times New Roman"/>
          <w:szCs w:val="24"/>
        </w:rPr>
        <w:t>a reduced (4 per cent) fee for a contribution to "</w:t>
      </w:r>
      <w:r w:rsidRPr="00A10E7B">
        <w:rPr>
          <w:rFonts w:ascii="Times New Roman" w:eastAsia="Calibri" w:hAnsi="Times New Roman"/>
          <w:szCs w:val="24"/>
        </w:rPr>
        <w:t xml:space="preserve"> </w:t>
      </w:r>
      <w:r w:rsidRPr="00A10E7B">
        <w:rPr>
          <w:rFonts w:ascii="Times New Roman" w:hAnsi="Times New Roman"/>
          <w:szCs w:val="24"/>
        </w:rPr>
        <w:t>Supporting the Implementation of the 2030 Agenda for Sustainable Development in Asia Pacific”;</w:t>
      </w:r>
    </w:p>
    <w:p w14:paraId="428AF3EA" w14:textId="77777777" w:rsidR="00A10E7B" w:rsidRPr="00A10E7B" w:rsidRDefault="00A10E7B" w:rsidP="00A10E7B">
      <w:pPr>
        <w:numPr>
          <w:ilvl w:val="0"/>
          <w:numId w:val="22"/>
        </w:numPr>
        <w:ind w:left="810"/>
        <w:contextualSpacing/>
        <w:jc w:val="both"/>
        <w:rPr>
          <w:rFonts w:ascii="Times New Roman" w:hAnsi="Times New Roman"/>
          <w:szCs w:val="24"/>
        </w:rPr>
      </w:pPr>
      <w:r w:rsidRPr="00A10E7B">
        <w:rPr>
          <w:rFonts w:ascii="Times New Roman" w:hAnsi="Times New Roman"/>
          <w:szCs w:val="24"/>
        </w:rPr>
        <w:t>a reduced (5 per cent) fee for a contribution for "Capacity Building and Institutional Strengthening on the National Framework for Access and Benefit Sharing under the Nagoya Protocol” in Brazil;</w:t>
      </w:r>
    </w:p>
    <w:p w14:paraId="67BC35E4" w14:textId="77777777" w:rsidR="00A10E7B" w:rsidRPr="00A10E7B" w:rsidRDefault="00A10E7B" w:rsidP="00A10E7B">
      <w:pPr>
        <w:numPr>
          <w:ilvl w:val="0"/>
          <w:numId w:val="22"/>
        </w:numPr>
        <w:ind w:left="810"/>
        <w:contextualSpacing/>
        <w:jc w:val="both"/>
        <w:rPr>
          <w:rFonts w:ascii="Times New Roman" w:hAnsi="Times New Roman"/>
          <w:szCs w:val="24"/>
        </w:rPr>
      </w:pPr>
      <w:r w:rsidRPr="00A10E7B">
        <w:rPr>
          <w:rFonts w:ascii="Times New Roman" w:hAnsi="Times New Roman"/>
          <w:szCs w:val="24"/>
        </w:rPr>
        <w:t>a reduced (4 per cent) fee for a contribution from Global Fund for "</w:t>
      </w:r>
      <w:r w:rsidRPr="00A10E7B">
        <w:rPr>
          <w:rFonts w:ascii="Times New Roman" w:eastAsia="Calibri" w:hAnsi="Times New Roman"/>
          <w:szCs w:val="24"/>
        </w:rPr>
        <w:t xml:space="preserve"> </w:t>
      </w:r>
      <w:r w:rsidRPr="00A10E7B">
        <w:rPr>
          <w:rFonts w:ascii="Times New Roman" w:hAnsi="Times New Roman"/>
          <w:szCs w:val="24"/>
        </w:rPr>
        <w:t>Commitment Towards Fast Tracking 90-90-90 Targets and Ending AIDS by 2030” in Zimbabwe;</w:t>
      </w:r>
    </w:p>
    <w:p w14:paraId="3A6C5C85" w14:textId="77777777" w:rsidR="00A10E7B" w:rsidRPr="00A10E7B" w:rsidRDefault="00A10E7B" w:rsidP="00A10E7B">
      <w:pPr>
        <w:ind w:left="360" w:hanging="360"/>
        <w:jc w:val="both"/>
        <w:rPr>
          <w:rFonts w:ascii="Times New Roman" w:hAnsi="Times New Roman"/>
          <w:szCs w:val="24"/>
        </w:rPr>
      </w:pPr>
    </w:p>
    <w:p w14:paraId="6A263B59" w14:textId="74141A6A" w:rsidR="00A10E7B" w:rsidRPr="00A10E7B" w:rsidRDefault="00A10E7B" w:rsidP="00A10E7B">
      <w:pPr>
        <w:ind w:right="1260"/>
        <w:jc w:val="both"/>
        <w:rPr>
          <w:rFonts w:ascii="Times New Roman" w:hAnsi="Times New Roman"/>
          <w:b/>
          <w:bCs/>
          <w:szCs w:val="24"/>
        </w:rPr>
      </w:pPr>
      <w:r w:rsidRPr="00A10E7B">
        <w:rPr>
          <w:rFonts w:ascii="Times New Roman" w:hAnsi="Times New Roman"/>
          <w:b/>
          <w:bCs/>
          <w:szCs w:val="24"/>
        </w:rPr>
        <w:t xml:space="preserve">B.    </w:t>
      </w:r>
      <w:r w:rsidR="0018308A" w:rsidRPr="0018308A">
        <w:rPr>
          <w:rFonts w:ascii="Times New Roman" w:hAnsi="Times New Roman"/>
          <w:b/>
          <w:bCs/>
          <w:szCs w:val="24"/>
        </w:rPr>
        <w:t>One exceptional approval due to previous arrangements:</w:t>
      </w:r>
    </w:p>
    <w:p w14:paraId="57BFA7C9" w14:textId="77777777" w:rsidR="00A10E7B" w:rsidRPr="00A10E7B" w:rsidRDefault="00A10E7B" w:rsidP="00A10E7B">
      <w:pPr>
        <w:jc w:val="both"/>
        <w:rPr>
          <w:rFonts w:ascii="Times New Roman" w:hAnsi="Times New Roman"/>
          <w:b/>
          <w:bCs/>
          <w:szCs w:val="24"/>
        </w:rPr>
      </w:pPr>
    </w:p>
    <w:p w14:paraId="6E94BDC8" w14:textId="77777777" w:rsidR="00A10E7B" w:rsidRPr="00A10E7B" w:rsidRDefault="00A10E7B" w:rsidP="00A10E7B">
      <w:pPr>
        <w:numPr>
          <w:ilvl w:val="0"/>
          <w:numId w:val="21"/>
        </w:numPr>
        <w:ind w:left="810"/>
        <w:contextualSpacing/>
        <w:jc w:val="both"/>
        <w:rPr>
          <w:rFonts w:ascii="Times New Roman" w:hAnsi="Times New Roman"/>
          <w:szCs w:val="24"/>
        </w:rPr>
      </w:pPr>
      <w:r w:rsidRPr="00A10E7B">
        <w:rPr>
          <w:rFonts w:ascii="Times New Roman" w:hAnsi="Times New Roman"/>
          <w:szCs w:val="24"/>
        </w:rPr>
        <w:t xml:space="preserve">no fee for a contribution to "Joint Training </w:t>
      </w:r>
      <w:proofErr w:type="spellStart"/>
      <w:r w:rsidRPr="00A10E7B">
        <w:rPr>
          <w:rFonts w:ascii="Times New Roman" w:hAnsi="Times New Roman"/>
          <w:szCs w:val="24"/>
        </w:rPr>
        <w:t>Programme</w:t>
      </w:r>
      <w:proofErr w:type="spellEnd"/>
      <w:r w:rsidRPr="00A10E7B">
        <w:rPr>
          <w:rFonts w:ascii="Times New Roman" w:hAnsi="Times New Roman"/>
          <w:szCs w:val="24"/>
        </w:rPr>
        <w:t xml:space="preserve">” with the </w:t>
      </w:r>
      <w:r w:rsidRPr="00A10E7B">
        <w:rPr>
          <w:rFonts w:ascii="Times New Roman" w:eastAsia="Calibri" w:hAnsi="Times New Roman"/>
          <w:szCs w:val="24"/>
        </w:rPr>
        <w:t>Global Centre for Public Service Excellence (</w:t>
      </w:r>
      <w:r w:rsidRPr="00A10E7B">
        <w:rPr>
          <w:rFonts w:ascii="Times New Roman" w:hAnsi="Times New Roman"/>
          <w:szCs w:val="24"/>
        </w:rPr>
        <w:t>GCPSE</w:t>
      </w:r>
      <w:r w:rsidRPr="00A10E7B">
        <w:rPr>
          <w:rFonts w:ascii="Times New Roman" w:eastAsia="Calibri" w:hAnsi="Times New Roman"/>
          <w:szCs w:val="24"/>
          <w:lang w:val="en"/>
        </w:rPr>
        <w:t xml:space="preserve">) </w:t>
      </w:r>
      <w:r w:rsidRPr="00A10E7B">
        <w:rPr>
          <w:rFonts w:ascii="Times New Roman" w:hAnsi="Times New Roman"/>
          <w:szCs w:val="24"/>
        </w:rPr>
        <w:t>in Singapore;</w:t>
      </w:r>
    </w:p>
    <w:p w14:paraId="7DD1BEC6" w14:textId="77777777" w:rsidR="00A10E7B" w:rsidRPr="00A10E7B" w:rsidRDefault="00A10E7B" w:rsidP="00A10E7B">
      <w:pPr>
        <w:jc w:val="both"/>
        <w:rPr>
          <w:rFonts w:ascii="Times New Roman" w:hAnsi="Times New Roman"/>
          <w:color w:val="FF0000"/>
          <w:szCs w:val="24"/>
        </w:rPr>
      </w:pPr>
    </w:p>
    <w:p w14:paraId="5EB902C1" w14:textId="77777777" w:rsidR="0018308A" w:rsidRPr="0018308A" w:rsidRDefault="0018308A" w:rsidP="0018308A">
      <w:pPr>
        <w:rPr>
          <w:rFonts w:ascii="Times New Roman" w:hAnsi="Times New Roman"/>
          <w:color w:val="000000"/>
          <w:szCs w:val="24"/>
        </w:rPr>
      </w:pPr>
      <w:r w:rsidRPr="0018308A">
        <w:rPr>
          <w:rFonts w:ascii="Times New Roman" w:hAnsi="Times New Roman"/>
          <w:color w:val="000000"/>
          <w:szCs w:val="24"/>
        </w:rPr>
        <w:t xml:space="preserve">In addition, based on the waiver approved and reported in 2014, a reduced (4 per cent) fee was applied for contributions in 2017 to “Law &amp; Order Trust Fund for Afghanistan – MOIA (Ministry of Interior Affairs) Afghanistan Development Outcome – Capacities for reform and accountable and efficient MOIA management and oversight are improved with integrated civilian and uniformed leadership and management and Support to payroll management”. </w:t>
      </w:r>
    </w:p>
    <w:p w14:paraId="7AAB95AE" w14:textId="77777777" w:rsidR="0018308A" w:rsidRPr="0018308A" w:rsidRDefault="0018308A" w:rsidP="0018308A">
      <w:pPr>
        <w:rPr>
          <w:rFonts w:ascii="Times New Roman" w:hAnsi="Times New Roman"/>
          <w:color w:val="000000"/>
          <w:szCs w:val="24"/>
        </w:rPr>
      </w:pPr>
    </w:p>
    <w:p w14:paraId="347EAF21" w14:textId="239A1FCF" w:rsidR="00A10E7B" w:rsidRPr="00A10E7B" w:rsidRDefault="0018308A" w:rsidP="0018308A">
      <w:pPr>
        <w:rPr>
          <w:rFonts w:ascii="Times New Roman" w:eastAsia="Calibri" w:hAnsi="Times New Roman"/>
          <w:szCs w:val="24"/>
        </w:rPr>
      </w:pPr>
      <w:r w:rsidRPr="0018308A">
        <w:rPr>
          <w:rFonts w:ascii="Times New Roman" w:hAnsi="Times New Roman"/>
          <w:color w:val="000000"/>
          <w:szCs w:val="24"/>
        </w:rPr>
        <w:t>During 2017, the contributions received from the European Commission, UNOCHA/CERF, the UN Trust Fund for Human Security (UNTFHS), Global Fund to Fight AIDS, Tuberculosis and Malaria (GFATM), Montreal Protocol projects with budgets above $250,000 and Multi-Donor Trust Fund (MDTF) projects administered by Multi-Partner Trust Office (MPTFO) are all received at the rate of 7% given past framework agreements.</w:t>
      </w:r>
    </w:p>
    <w:p w14:paraId="76157DD3" w14:textId="77777777" w:rsidR="00C516D2" w:rsidRDefault="00C516D2" w:rsidP="007602D5">
      <w:pPr>
        <w:suppressAutoHyphens/>
        <w:spacing w:after="60"/>
        <w:ind w:left="720" w:hanging="720"/>
        <w:rPr>
          <w:rFonts w:ascii="Times New Roman" w:hAnsi="Times New Roman"/>
          <w:b/>
          <w:bCs/>
          <w:color w:val="000000"/>
          <w:sz w:val="28"/>
          <w:szCs w:val="28"/>
          <w:lang w:val="en-GB"/>
        </w:rPr>
      </w:pPr>
    </w:p>
    <w:p w14:paraId="6E89AA8D" w14:textId="77777777" w:rsidR="00C516D2" w:rsidRDefault="00C516D2" w:rsidP="007602D5">
      <w:pPr>
        <w:suppressAutoHyphens/>
        <w:spacing w:after="60"/>
        <w:ind w:left="720" w:hanging="720"/>
        <w:rPr>
          <w:rFonts w:ascii="Times New Roman" w:hAnsi="Times New Roman"/>
          <w:b/>
          <w:bCs/>
          <w:color w:val="000000"/>
          <w:sz w:val="28"/>
          <w:szCs w:val="28"/>
          <w:lang w:val="en-GB"/>
        </w:rPr>
      </w:pPr>
    </w:p>
    <w:p w14:paraId="746E9D1F" w14:textId="77777777" w:rsidR="00C516D2" w:rsidRDefault="00C516D2" w:rsidP="007602D5">
      <w:pPr>
        <w:suppressAutoHyphens/>
        <w:spacing w:after="60"/>
        <w:ind w:left="720" w:hanging="720"/>
        <w:rPr>
          <w:rFonts w:ascii="Times New Roman" w:hAnsi="Times New Roman"/>
          <w:b/>
          <w:bCs/>
          <w:color w:val="000000"/>
          <w:sz w:val="28"/>
          <w:szCs w:val="28"/>
          <w:lang w:val="en-GB"/>
        </w:rPr>
      </w:pPr>
    </w:p>
    <w:p w14:paraId="2D1621F5" w14:textId="68D27A19" w:rsidR="00DF132F" w:rsidRDefault="00DF132F" w:rsidP="007602D5">
      <w:pPr>
        <w:suppressAutoHyphens/>
        <w:spacing w:after="60"/>
        <w:ind w:left="720" w:hanging="720"/>
        <w:rPr>
          <w:rFonts w:ascii="Times New Roman" w:hAnsi="Times New Roman"/>
          <w:b/>
          <w:bCs/>
          <w:color w:val="000000"/>
          <w:sz w:val="28"/>
          <w:szCs w:val="28"/>
          <w:lang w:val="en-GB"/>
        </w:rPr>
      </w:pPr>
      <w:r>
        <w:rPr>
          <w:rFonts w:ascii="Times New Roman" w:hAnsi="Times New Roman"/>
          <w:b/>
          <w:bCs/>
          <w:color w:val="000000"/>
          <w:sz w:val="28"/>
          <w:szCs w:val="28"/>
          <w:lang w:val="en-GB"/>
        </w:rPr>
        <w:t>Annex V.</w:t>
      </w:r>
    </w:p>
    <w:p w14:paraId="6FA4FA0D" w14:textId="6A28C871" w:rsidR="00881E2C" w:rsidRDefault="00881E2C" w:rsidP="007602D5">
      <w:pPr>
        <w:suppressAutoHyphens/>
        <w:spacing w:after="60"/>
        <w:ind w:left="720" w:hanging="720"/>
        <w:rPr>
          <w:rFonts w:ascii="Times New Roman" w:hAnsi="Times New Roman"/>
          <w:b/>
          <w:bCs/>
          <w:color w:val="000000"/>
          <w:sz w:val="28"/>
          <w:szCs w:val="28"/>
          <w:lang w:val="en-GB"/>
        </w:rPr>
      </w:pPr>
      <w:r w:rsidRPr="00881E2C">
        <w:rPr>
          <w:rFonts w:ascii="Times New Roman" w:hAnsi="Times New Roman"/>
          <w:b/>
          <w:bCs/>
          <w:color w:val="000000"/>
          <w:sz w:val="28"/>
          <w:szCs w:val="28"/>
          <w:lang w:val="en-GB"/>
        </w:rPr>
        <w:t xml:space="preserve">United Nations Capital Development Fund </w:t>
      </w:r>
      <w:r w:rsidR="007602D5">
        <w:rPr>
          <w:rFonts w:ascii="Times New Roman" w:hAnsi="Times New Roman"/>
          <w:b/>
          <w:bCs/>
          <w:color w:val="000000"/>
          <w:sz w:val="28"/>
          <w:szCs w:val="28"/>
          <w:lang w:val="en-GB"/>
        </w:rPr>
        <w:t>–</w:t>
      </w:r>
      <w:r w:rsidRPr="00881E2C">
        <w:rPr>
          <w:rFonts w:ascii="Times New Roman" w:hAnsi="Times New Roman"/>
          <w:b/>
          <w:bCs/>
          <w:color w:val="000000"/>
          <w:sz w:val="28"/>
          <w:szCs w:val="28"/>
          <w:lang w:val="en-GB"/>
        </w:rPr>
        <w:t xml:space="preserve"> overview</w:t>
      </w:r>
    </w:p>
    <w:p w14:paraId="33EDC72C" w14:textId="47312825" w:rsidR="007602D5" w:rsidRDefault="007602D5" w:rsidP="007602D5">
      <w:pPr>
        <w:pStyle w:val="ListParagraph"/>
        <w:numPr>
          <w:ilvl w:val="0"/>
          <w:numId w:val="9"/>
        </w:numPr>
        <w:suppressAutoHyphens/>
        <w:spacing w:after="60"/>
        <w:ind w:hanging="420"/>
        <w:rPr>
          <w:rFonts w:ascii="Times New Roman" w:hAnsi="Times New Roman"/>
          <w:b/>
          <w:bCs/>
          <w:color w:val="000000"/>
          <w:spacing w:val="-2"/>
          <w:szCs w:val="28"/>
          <w:lang w:val="en-GB"/>
        </w:rPr>
      </w:pPr>
      <w:r w:rsidRPr="00F56175">
        <w:rPr>
          <w:rFonts w:ascii="Times New Roman" w:hAnsi="Times New Roman"/>
          <w:b/>
          <w:bCs/>
          <w:color w:val="000000"/>
          <w:spacing w:val="-2"/>
          <w:szCs w:val="28"/>
          <w:lang w:val="en-GB"/>
        </w:rPr>
        <w:t>Statement of financial performance for</w:t>
      </w:r>
      <w:r w:rsidR="00A768F5">
        <w:rPr>
          <w:rFonts w:ascii="Times New Roman" w:hAnsi="Times New Roman"/>
          <w:b/>
          <w:bCs/>
          <w:color w:val="000000"/>
          <w:spacing w:val="-2"/>
          <w:szCs w:val="28"/>
          <w:lang w:val="en-GB"/>
        </w:rPr>
        <w:t xml:space="preserve"> the year ended 31 December 201</w:t>
      </w:r>
      <w:r w:rsidR="008E7D31">
        <w:rPr>
          <w:rFonts w:ascii="Times New Roman" w:hAnsi="Times New Roman"/>
          <w:b/>
          <w:bCs/>
          <w:color w:val="000000"/>
          <w:spacing w:val="-2"/>
          <w:szCs w:val="28"/>
          <w:lang w:val="en-GB"/>
        </w:rPr>
        <w:t>7</w:t>
      </w:r>
    </w:p>
    <w:p w14:paraId="35862FFB" w14:textId="5BE9FB86" w:rsidR="00B93CD7" w:rsidRPr="00A578CD" w:rsidRDefault="00B93CD7" w:rsidP="0019047E">
      <w:pPr>
        <w:suppressAutoHyphens/>
        <w:spacing w:after="60"/>
        <w:ind w:firstLine="420"/>
        <w:rPr>
          <w:rFonts w:ascii="Times New Roman" w:hAnsi="Times New Roman"/>
          <w:iCs/>
          <w:color w:val="000000"/>
          <w:sz w:val="16"/>
          <w:szCs w:val="15"/>
        </w:rPr>
      </w:pPr>
      <w:r w:rsidRPr="00A578CD">
        <w:rPr>
          <w:rFonts w:ascii="Times New Roman" w:hAnsi="Times New Roman"/>
          <w:iCs/>
          <w:color w:val="000000"/>
          <w:sz w:val="16"/>
          <w:szCs w:val="15"/>
        </w:rPr>
        <w:t>(Thousands of United States dollars)</w:t>
      </w:r>
    </w:p>
    <w:p w14:paraId="3A63204B" w14:textId="77777777" w:rsidR="00A45BEC" w:rsidRDefault="00A45BEC" w:rsidP="0019047E">
      <w:pPr>
        <w:suppressAutoHyphens/>
        <w:spacing w:after="60"/>
        <w:ind w:firstLine="420"/>
        <w:rPr>
          <w:rFonts w:ascii="Times New Roman" w:hAnsi="Times New Roman"/>
          <w:i/>
          <w:iCs/>
          <w:color w:val="000000"/>
          <w:sz w:val="16"/>
          <w:szCs w:val="15"/>
        </w:rPr>
      </w:pPr>
    </w:p>
    <w:p w14:paraId="2AF62927" w14:textId="50DE622A" w:rsidR="00E207E1" w:rsidRDefault="00315109" w:rsidP="00B93CD7">
      <w:pPr>
        <w:suppressAutoHyphens/>
        <w:spacing w:after="60"/>
        <w:rPr>
          <w:rFonts w:ascii="Times New Roman" w:hAnsi="Times New Roman"/>
          <w:b/>
          <w:bCs/>
          <w:color w:val="000000"/>
          <w:spacing w:val="-2"/>
          <w:szCs w:val="28"/>
          <w:lang w:val="en-GB"/>
        </w:rPr>
      </w:pPr>
      <w:r w:rsidRPr="00315109">
        <w:rPr>
          <w:noProof/>
        </w:rPr>
        <w:drawing>
          <wp:inline distT="0" distB="0" distL="0" distR="0" wp14:anchorId="17C5B8FA" wp14:editId="1B71A787">
            <wp:extent cx="8248650" cy="39052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249636" cy="3905717"/>
                    </a:xfrm>
                    <a:prstGeom prst="rect">
                      <a:avLst/>
                    </a:prstGeom>
                    <a:noFill/>
                    <a:ln>
                      <a:noFill/>
                    </a:ln>
                  </pic:spPr>
                </pic:pic>
              </a:graphicData>
            </a:graphic>
          </wp:inline>
        </w:drawing>
      </w:r>
    </w:p>
    <w:p w14:paraId="016AEB2A" w14:textId="77777777" w:rsidR="00A45BEC" w:rsidRDefault="00A45BEC" w:rsidP="00B93CD7">
      <w:pPr>
        <w:suppressAutoHyphens/>
        <w:spacing w:after="60"/>
        <w:rPr>
          <w:rFonts w:ascii="Times New Roman" w:hAnsi="Times New Roman"/>
          <w:b/>
          <w:bCs/>
          <w:color w:val="000000"/>
          <w:spacing w:val="-2"/>
          <w:szCs w:val="28"/>
          <w:lang w:val="en-GB"/>
        </w:rPr>
      </w:pPr>
    </w:p>
    <w:p w14:paraId="252D8D3B" w14:textId="2CC56C01" w:rsidR="00A45BEC" w:rsidRPr="00881E2C" w:rsidRDefault="00A45BEC" w:rsidP="00A45BEC">
      <w:pPr>
        <w:suppressAutoHyphens/>
        <w:spacing w:line="276" w:lineRule="auto"/>
        <w:rPr>
          <w:rFonts w:ascii="Times New Roman" w:hAnsi="Times New Roman"/>
          <w:spacing w:val="4"/>
          <w:w w:val="103"/>
          <w:kern w:val="14"/>
          <w:sz w:val="12"/>
          <w:lang w:val="en-GB"/>
        </w:rPr>
      </w:pPr>
      <w:r w:rsidRPr="00881E2C">
        <w:rPr>
          <w:rFonts w:ascii="Times New Roman" w:hAnsi="Times New Roman"/>
          <w:color w:val="000000"/>
          <w:sz w:val="19"/>
          <w:szCs w:val="19"/>
          <w:vertAlign w:val="superscript"/>
          <w:lang w:val="en-GB"/>
        </w:rPr>
        <w:t>a/</w:t>
      </w:r>
      <w:r w:rsidRPr="00881E2C">
        <w:rPr>
          <w:rFonts w:ascii="Times New Roman" w:hAnsi="Times New Roman"/>
          <w:spacing w:val="4"/>
          <w:w w:val="103"/>
          <w:kern w:val="14"/>
          <w:sz w:val="14"/>
          <w:szCs w:val="14"/>
          <w:lang w:val="en-GB"/>
        </w:rPr>
        <w:t>Includes general management support service cost.</w:t>
      </w:r>
    </w:p>
    <w:p w14:paraId="5F8FDAB0" w14:textId="77777777" w:rsidR="00A45BEC" w:rsidRPr="00881E2C" w:rsidRDefault="00A45BEC" w:rsidP="00A45BEC">
      <w:pPr>
        <w:suppressAutoHyphens/>
        <w:spacing w:line="276" w:lineRule="auto"/>
        <w:rPr>
          <w:rFonts w:ascii="Times New Roman" w:hAnsi="Times New Roman"/>
          <w:spacing w:val="4"/>
          <w:w w:val="103"/>
          <w:kern w:val="14"/>
          <w:sz w:val="14"/>
          <w:szCs w:val="14"/>
          <w:lang w:val="en-GB"/>
        </w:rPr>
      </w:pPr>
      <w:r w:rsidRPr="00881E2C">
        <w:rPr>
          <w:rFonts w:ascii="Times New Roman" w:hAnsi="Times New Roman"/>
          <w:color w:val="000000"/>
          <w:sz w:val="19"/>
          <w:szCs w:val="19"/>
          <w:vertAlign w:val="superscript"/>
          <w:lang w:val="en-GB"/>
        </w:rPr>
        <w:t>b/</w:t>
      </w:r>
      <w:r w:rsidRPr="00881E2C">
        <w:rPr>
          <w:rFonts w:ascii="Times New Roman" w:hAnsi="Times New Roman"/>
          <w:spacing w:val="4"/>
          <w:w w:val="103"/>
          <w:kern w:val="14"/>
          <w:sz w:val="14"/>
          <w:szCs w:val="14"/>
          <w:lang w:val="en-GB"/>
        </w:rPr>
        <w:t>This adjustment is required to remove the effect of internal UNDP cost recovery.</w:t>
      </w:r>
    </w:p>
    <w:p w14:paraId="643482C0" w14:textId="70DE1CEB" w:rsidR="00E207E1" w:rsidRDefault="00E207E1" w:rsidP="00881E2C">
      <w:pPr>
        <w:spacing w:after="60"/>
        <w:rPr>
          <w:rFonts w:ascii="Times New Roman" w:hAnsi="Times New Roman"/>
          <w:i/>
          <w:iCs/>
          <w:snapToGrid w:val="0"/>
          <w:color w:val="000000"/>
          <w:szCs w:val="24"/>
          <w:lang w:val="en-GB"/>
        </w:rPr>
      </w:pPr>
    </w:p>
    <w:p w14:paraId="6FA4FA0F" w14:textId="64B4BDB2" w:rsidR="00881E2C" w:rsidRPr="00881E2C" w:rsidRDefault="00881E2C" w:rsidP="00881E2C">
      <w:pPr>
        <w:spacing w:after="60"/>
        <w:rPr>
          <w:rFonts w:ascii="Times New Roman" w:hAnsi="Times New Roman"/>
          <w:spacing w:val="4"/>
          <w:w w:val="103"/>
          <w:kern w:val="14"/>
          <w:sz w:val="20"/>
          <w:lang w:val="en-GB"/>
        </w:rPr>
      </w:pPr>
      <w:r w:rsidRPr="00881E2C">
        <w:rPr>
          <w:rFonts w:ascii="Times New Roman" w:hAnsi="Times New Roman"/>
          <w:i/>
          <w:iCs/>
          <w:snapToGrid w:val="0"/>
          <w:color w:val="000000"/>
          <w:szCs w:val="24"/>
          <w:lang w:val="en-GB"/>
        </w:rPr>
        <w:t xml:space="preserve">                                                        </w:t>
      </w:r>
    </w:p>
    <w:p w14:paraId="6FA4FB0B" w14:textId="6B0E65A7" w:rsidR="00881E2C" w:rsidRPr="00881E2C" w:rsidRDefault="00881E2C" w:rsidP="00F56175">
      <w:pPr>
        <w:suppressAutoHyphens/>
        <w:spacing w:line="240" w:lineRule="exact"/>
        <w:ind w:left="1980" w:hanging="1980"/>
        <w:rPr>
          <w:rFonts w:ascii="Times New Roman" w:hAnsi="Times New Roman"/>
          <w:b/>
          <w:bCs/>
          <w:spacing w:val="4"/>
          <w:w w:val="103"/>
          <w:kern w:val="14"/>
          <w:szCs w:val="24"/>
          <w:lang w:val="en-GB"/>
        </w:rPr>
      </w:pPr>
      <w:r w:rsidRPr="00881E2C">
        <w:rPr>
          <w:rFonts w:ascii="Times New Roman" w:hAnsi="Times New Roman"/>
          <w:b/>
          <w:bCs/>
          <w:spacing w:val="4"/>
          <w:w w:val="103"/>
          <w:kern w:val="14"/>
          <w:szCs w:val="24"/>
          <w:lang w:val="en-GB"/>
        </w:rPr>
        <w:lastRenderedPageBreak/>
        <w:t xml:space="preserve">B. </w:t>
      </w:r>
      <w:r w:rsidR="00F56175">
        <w:rPr>
          <w:rFonts w:ascii="Times New Roman" w:hAnsi="Times New Roman"/>
          <w:b/>
          <w:bCs/>
          <w:spacing w:val="4"/>
          <w:w w:val="103"/>
          <w:kern w:val="14"/>
          <w:szCs w:val="24"/>
          <w:lang w:val="en-GB"/>
        </w:rPr>
        <w:t xml:space="preserve"> </w:t>
      </w:r>
      <w:r w:rsidRPr="00881E2C">
        <w:rPr>
          <w:rFonts w:ascii="Times New Roman" w:hAnsi="Times New Roman"/>
          <w:b/>
          <w:bCs/>
          <w:spacing w:val="4"/>
          <w:w w:val="103"/>
          <w:kern w:val="14"/>
          <w:szCs w:val="24"/>
          <w:lang w:val="en-GB"/>
        </w:rPr>
        <w:t>Statement of financial position as at 31 December 201</w:t>
      </w:r>
      <w:r w:rsidR="00315109">
        <w:rPr>
          <w:rFonts w:ascii="Times New Roman" w:hAnsi="Times New Roman"/>
          <w:b/>
          <w:bCs/>
          <w:spacing w:val="4"/>
          <w:w w:val="103"/>
          <w:kern w:val="14"/>
          <w:szCs w:val="24"/>
          <w:lang w:val="en-GB"/>
        </w:rPr>
        <w:t>7</w:t>
      </w:r>
    </w:p>
    <w:p w14:paraId="1C868C9D" w14:textId="77FC2EC2" w:rsidR="0050176B" w:rsidRDefault="0050176B" w:rsidP="0050176B">
      <w:pPr>
        <w:spacing w:after="60"/>
        <w:rPr>
          <w:rFonts w:ascii="Times New Roman" w:hAnsi="Times New Roman"/>
          <w:i/>
          <w:iCs/>
          <w:snapToGrid w:val="0"/>
          <w:color w:val="000000"/>
          <w:sz w:val="22"/>
          <w:szCs w:val="22"/>
          <w:lang w:val="en-GB"/>
        </w:rPr>
      </w:pPr>
    </w:p>
    <w:p w14:paraId="6FA4FB0C" w14:textId="5FF132BD" w:rsidR="00881E2C" w:rsidRPr="00881E2C" w:rsidRDefault="00AA5B88" w:rsidP="0050176B">
      <w:pPr>
        <w:spacing w:after="60"/>
        <w:rPr>
          <w:rFonts w:ascii="Times New Roman" w:hAnsi="Times New Roman"/>
          <w:spacing w:val="4"/>
          <w:w w:val="103"/>
          <w:kern w:val="14"/>
          <w:sz w:val="20"/>
          <w:lang w:val="en-GB"/>
        </w:rPr>
      </w:pPr>
      <w:r w:rsidRPr="00AA5B88">
        <w:rPr>
          <w:noProof/>
        </w:rPr>
        <w:drawing>
          <wp:inline distT="0" distB="0" distL="0" distR="0" wp14:anchorId="6F9F0585" wp14:editId="34BB80B9">
            <wp:extent cx="8620125" cy="51054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620427" cy="5105579"/>
                    </a:xfrm>
                    <a:prstGeom prst="rect">
                      <a:avLst/>
                    </a:prstGeom>
                    <a:noFill/>
                    <a:ln>
                      <a:noFill/>
                    </a:ln>
                  </pic:spPr>
                </pic:pic>
              </a:graphicData>
            </a:graphic>
          </wp:inline>
        </w:drawing>
      </w:r>
      <w:r w:rsidR="00881E2C" w:rsidRPr="00881E2C">
        <w:rPr>
          <w:rFonts w:ascii="Times New Roman" w:hAnsi="Times New Roman"/>
          <w:i/>
          <w:iCs/>
          <w:snapToGrid w:val="0"/>
          <w:color w:val="000000"/>
          <w:sz w:val="22"/>
          <w:szCs w:val="22"/>
          <w:lang w:val="en-GB"/>
        </w:rPr>
        <w:t xml:space="preserve">                                     </w:t>
      </w:r>
    </w:p>
    <w:p w14:paraId="6FA4FCE3" w14:textId="77777777" w:rsidR="00881E2C" w:rsidRDefault="00881E2C" w:rsidP="0050176B">
      <w:pPr>
        <w:suppressAutoHyphens/>
        <w:spacing w:after="120"/>
        <w:ind w:right="738"/>
        <w:rPr>
          <w:rFonts w:ascii="Times New Roman" w:hAnsi="Times New Roman"/>
          <w:b/>
          <w:bCs/>
          <w:color w:val="000000"/>
          <w:spacing w:val="-2"/>
          <w:sz w:val="28"/>
        </w:rPr>
      </w:pPr>
    </w:p>
    <w:p w14:paraId="6FA4FCE5" w14:textId="77777777" w:rsidR="00E43691" w:rsidRDefault="00E43691" w:rsidP="007657B4">
      <w:pPr>
        <w:suppressAutoHyphens/>
        <w:spacing w:after="120"/>
        <w:ind w:right="738"/>
        <w:rPr>
          <w:rFonts w:ascii="Times New Roman" w:hAnsi="Times New Roman"/>
          <w:b/>
          <w:bCs/>
          <w:color w:val="000000"/>
          <w:spacing w:val="-2"/>
          <w:sz w:val="28"/>
        </w:rPr>
        <w:sectPr w:rsidR="00E43691" w:rsidSect="00A10E7B">
          <w:headerReference w:type="even" r:id="rId21"/>
          <w:headerReference w:type="default" r:id="rId22"/>
          <w:footerReference w:type="even" r:id="rId23"/>
          <w:footerReference w:type="default" r:id="rId24"/>
          <w:endnotePr>
            <w:numFmt w:val="decimal"/>
          </w:endnotePr>
          <w:type w:val="continuous"/>
          <w:pgSz w:w="15840" w:h="12240" w:orient="landscape"/>
          <w:pgMar w:top="1526" w:right="1890" w:bottom="990" w:left="1350" w:header="720" w:footer="720" w:gutter="0"/>
          <w:cols w:space="720"/>
          <w:noEndnote/>
          <w:docGrid w:linePitch="326"/>
        </w:sectPr>
      </w:pPr>
    </w:p>
    <w:p w14:paraId="62279D11" w14:textId="77777777" w:rsidR="00DA706F" w:rsidRDefault="00DA706F" w:rsidP="00A10E7B">
      <w:pPr>
        <w:suppressAutoHyphens/>
        <w:spacing w:after="120"/>
        <w:ind w:right="738"/>
        <w:rPr>
          <w:rFonts w:ascii="Times New Roman" w:hAnsi="Times New Roman"/>
          <w:b/>
          <w:bCs/>
          <w:color w:val="000000"/>
          <w:spacing w:val="-2"/>
          <w:sz w:val="28"/>
        </w:rPr>
      </w:pPr>
    </w:p>
    <w:p w14:paraId="6FA4FCE6" w14:textId="622C8CEF" w:rsidR="00C14DEE" w:rsidRDefault="00083FDF" w:rsidP="00A10E7B">
      <w:pPr>
        <w:suppressAutoHyphens/>
        <w:spacing w:after="120"/>
        <w:ind w:right="738"/>
        <w:rPr>
          <w:rFonts w:ascii="Times New Roman" w:hAnsi="Times New Roman"/>
          <w:b/>
          <w:bCs/>
          <w:color w:val="000000"/>
          <w:spacing w:val="-2"/>
          <w:sz w:val="28"/>
        </w:rPr>
      </w:pPr>
      <w:r>
        <w:rPr>
          <w:rFonts w:ascii="Times New Roman" w:hAnsi="Times New Roman"/>
          <w:b/>
          <w:bCs/>
          <w:color w:val="000000"/>
          <w:spacing w:val="-2"/>
          <w:sz w:val="28"/>
        </w:rPr>
        <w:t xml:space="preserve">Annex </w:t>
      </w:r>
      <w:r w:rsidR="00C14DEE">
        <w:rPr>
          <w:rFonts w:ascii="Times New Roman" w:hAnsi="Times New Roman"/>
          <w:b/>
          <w:bCs/>
          <w:color w:val="000000"/>
          <w:spacing w:val="-2"/>
          <w:sz w:val="28"/>
        </w:rPr>
        <w:t>V</w:t>
      </w:r>
      <w:r w:rsidR="00A10E7B">
        <w:rPr>
          <w:rFonts w:ascii="Times New Roman" w:hAnsi="Times New Roman"/>
          <w:b/>
          <w:bCs/>
          <w:color w:val="000000"/>
          <w:spacing w:val="-2"/>
          <w:sz w:val="28"/>
        </w:rPr>
        <w:t>I</w:t>
      </w:r>
      <w:r w:rsidR="00FD7B87">
        <w:rPr>
          <w:rFonts w:ascii="Times New Roman" w:hAnsi="Times New Roman"/>
          <w:b/>
          <w:bCs/>
          <w:color w:val="000000"/>
          <w:spacing w:val="-2"/>
          <w:sz w:val="28"/>
        </w:rPr>
        <w:t>.</w:t>
      </w:r>
    </w:p>
    <w:p w14:paraId="6FA4FCE7" w14:textId="1913D411" w:rsidR="00634F26" w:rsidRPr="00AD7765" w:rsidRDefault="00634F26" w:rsidP="00A10E7B">
      <w:pPr>
        <w:suppressAutoHyphens/>
        <w:spacing w:after="120"/>
        <w:ind w:right="738"/>
        <w:rPr>
          <w:rFonts w:ascii="Times New Roman" w:hAnsi="Times New Roman"/>
          <w:b/>
          <w:bCs/>
          <w:color w:val="000000"/>
          <w:spacing w:val="-2"/>
          <w:sz w:val="28"/>
        </w:rPr>
      </w:pPr>
      <w:r w:rsidRPr="00AD7765">
        <w:rPr>
          <w:rFonts w:ascii="Times New Roman" w:hAnsi="Times New Roman"/>
          <w:b/>
          <w:bCs/>
          <w:color w:val="000000"/>
          <w:spacing w:val="-2"/>
          <w:sz w:val="28"/>
        </w:rPr>
        <w:t>Explanations of terms used in DP/201</w:t>
      </w:r>
      <w:r w:rsidR="00AA5B88">
        <w:rPr>
          <w:rFonts w:ascii="Times New Roman" w:hAnsi="Times New Roman"/>
          <w:b/>
          <w:bCs/>
          <w:color w:val="000000"/>
          <w:spacing w:val="-2"/>
          <w:sz w:val="28"/>
        </w:rPr>
        <w:t>8</w:t>
      </w:r>
      <w:r w:rsidRPr="00AD7765">
        <w:rPr>
          <w:rFonts w:ascii="Times New Roman" w:hAnsi="Times New Roman"/>
          <w:b/>
          <w:bCs/>
          <w:color w:val="000000"/>
          <w:spacing w:val="-2"/>
          <w:sz w:val="28"/>
        </w:rPr>
        <w:t>/</w:t>
      </w:r>
      <w:r w:rsidR="00AA5B88">
        <w:rPr>
          <w:rFonts w:ascii="Times New Roman" w:hAnsi="Times New Roman"/>
          <w:b/>
          <w:bCs/>
          <w:color w:val="000000"/>
          <w:spacing w:val="-2"/>
          <w:sz w:val="28"/>
        </w:rPr>
        <w:t>19</w:t>
      </w:r>
      <w:r w:rsidRPr="00AD7765">
        <w:rPr>
          <w:rFonts w:ascii="Times New Roman" w:hAnsi="Times New Roman"/>
          <w:b/>
          <w:bCs/>
          <w:color w:val="000000"/>
          <w:spacing w:val="-2"/>
          <w:sz w:val="28"/>
        </w:rPr>
        <w:t xml:space="preserve"> and DP/201</w:t>
      </w:r>
      <w:r w:rsidR="00AA5B88">
        <w:rPr>
          <w:rFonts w:ascii="Times New Roman" w:hAnsi="Times New Roman"/>
          <w:b/>
          <w:bCs/>
          <w:color w:val="000000"/>
          <w:spacing w:val="-2"/>
          <w:sz w:val="28"/>
        </w:rPr>
        <w:t>8</w:t>
      </w:r>
      <w:r w:rsidRPr="00AD7765">
        <w:rPr>
          <w:rFonts w:ascii="Times New Roman" w:hAnsi="Times New Roman"/>
          <w:b/>
          <w:bCs/>
          <w:color w:val="000000"/>
          <w:spacing w:val="-2"/>
          <w:sz w:val="28"/>
        </w:rPr>
        <w:t>/</w:t>
      </w:r>
      <w:r w:rsidR="00AA5B88">
        <w:rPr>
          <w:rFonts w:ascii="Times New Roman" w:hAnsi="Times New Roman"/>
          <w:b/>
          <w:bCs/>
          <w:color w:val="000000"/>
          <w:spacing w:val="-2"/>
          <w:sz w:val="28"/>
        </w:rPr>
        <w:t>19</w:t>
      </w:r>
      <w:r w:rsidRPr="00AD7765">
        <w:rPr>
          <w:rFonts w:ascii="Times New Roman" w:hAnsi="Times New Roman"/>
          <w:b/>
          <w:bCs/>
          <w:color w:val="000000"/>
          <w:spacing w:val="-2"/>
          <w:sz w:val="28"/>
        </w:rPr>
        <w:t>/Add.1</w:t>
      </w:r>
    </w:p>
    <w:p w14:paraId="2C5C77A9" w14:textId="77777777" w:rsidR="00DA706F" w:rsidRDefault="00DA706F" w:rsidP="00A10E7B">
      <w:pPr>
        <w:tabs>
          <w:tab w:val="left" w:pos="1260"/>
        </w:tabs>
        <w:suppressAutoHyphens/>
        <w:spacing w:after="120"/>
        <w:ind w:right="1267"/>
        <w:jc w:val="both"/>
        <w:rPr>
          <w:rFonts w:ascii="Times New Roman" w:hAnsi="Times New Roman"/>
          <w:i/>
          <w:spacing w:val="4"/>
          <w:w w:val="103"/>
          <w:kern w:val="14"/>
          <w:sz w:val="20"/>
        </w:rPr>
      </w:pPr>
    </w:p>
    <w:p w14:paraId="6FA4FCE8" w14:textId="24C172C3" w:rsidR="00662761" w:rsidRPr="00AD7765" w:rsidRDefault="00662761" w:rsidP="00A10E7B">
      <w:pPr>
        <w:tabs>
          <w:tab w:val="left" w:pos="1260"/>
        </w:tabs>
        <w:suppressAutoHyphens/>
        <w:spacing w:after="120"/>
        <w:ind w:right="1267"/>
        <w:jc w:val="both"/>
        <w:rPr>
          <w:rFonts w:ascii="Times New Roman" w:hAnsi="Times New Roman"/>
          <w:spacing w:val="4"/>
          <w:w w:val="103"/>
          <w:kern w:val="14"/>
          <w:sz w:val="20"/>
        </w:rPr>
      </w:pPr>
      <w:r w:rsidRPr="00AD7765">
        <w:rPr>
          <w:rFonts w:ascii="Times New Roman" w:hAnsi="Times New Roman"/>
          <w:i/>
          <w:spacing w:val="4"/>
          <w:w w:val="103"/>
          <w:kern w:val="14"/>
          <w:sz w:val="20"/>
        </w:rPr>
        <w:t xml:space="preserve">Accumulated surplus: </w:t>
      </w:r>
      <w:r w:rsidRPr="00AD7765">
        <w:rPr>
          <w:rFonts w:ascii="Times New Roman" w:hAnsi="Times New Roman"/>
          <w:spacing w:val="4"/>
          <w:w w:val="103"/>
          <w:kern w:val="14"/>
          <w:sz w:val="20"/>
        </w:rPr>
        <w:t>Formerly referred to as ‘unexpended resources or unspent balance’. It represents</w:t>
      </w:r>
      <w:r w:rsidR="000E3632" w:rsidRPr="00AD7765">
        <w:rPr>
          <w:rFonts w:ascii="Times New Roman" w:hAnsi="Times New Roman"/>
          <w:spacing w:val="4"/>
          <w:w w:val="103"/>
          <w:kern w:val="14"/>
          <w:sz w:val="20"/>
        </w:rPr>
        <w:t xml:space="preserve"> </w:t>
      </w:r>
      <w:r w:rsidRPr="00AD7765">
        <w:rPr>
          <w:rFonts w:ascii="Times New Roman" w:hAnsi="Times New Roman"/>
          <w:spacing w:val="4"/>
          <w:w w:val="103"/>
          <w:kern w:val="14"/>
          <w:sz w:val="20"/>
        </w:rPr>
        <w:t xml:space="preserve">accumulated funds at the end of the reporting period. </w:t>
      </w:r>
    </w:p>
    <w:p w14:paraId="6FA4FCE9" w14:textId="748B46C0" w:rsidR="00634F26" w:rsidRPr="00AD7765" w:rsidRDefault="00634F26" w:rsidP="00A10E7B">
      <w:pPr>
        <w:spacing w:after="120"/>
        <w:ind w:right="1267"/>
        <w:jc w:val="both"/>
        <w:rPr>
          <w:rFonts w:ascii="Times New Roman" w:hAnsi="Times New Roman"/>
          <w:sz w:val="20"/>
        </w:rPr>
      </w:pPr>
      <w:r w:rsidRPr="00AD7765">
        <w:rPr>
          <w:rFonts w:ascii="Times New Roman" w:hAnsi="Times New Roman"/>
          <w:i/>
          <w:sz w:val="20"/>
        </w:rPr>
        <w:t xml:space="preserve">Bilateral </w:t>
      </w:r>
      <w:r w:rsidR="008F7962">
        <w:rPr>
          <w:rFonts w:ascii="Times New Roman" w:hAnsi="Times New Roman"/>
          <w:i/>
          <w:sz w:val="20"/>
        </w:rPr>
        <w:t>governments</w:t>
      </w:r>
      <w:r w:rsidRPr="00AD7765">
        <w:rPr>
          <w:rFonts w:ascii="Times New Roman" w:hAnsi="Times New Roman"/>
          <w:i/>
          <w:sz w:val="20"/>
        </w:rPr>
        <w:t>:</w:t>
      </w:r>
      <w:r w:rsidRPr="00AD7765">
        <w:rPr>
          <w:rFonts w:ascii="Times New Roman" w:hAnsi="Times New Roman"/>
          <w:sz w:val="20"/>
        </w:rPr>
        <w:t xml:space="preserve"> </w:t>
      </w:r>
      <w:r w:rsidR="00E45DDE">
        <w:rPr>
          <w:rFonts w:ascii="Times New Roman" w:hAnsi="Times New Roman"/>
          <w:sz w:val="20"/>
        </w:rPr>
        <w:t xml:space="preserve">Governments of the </w:t>
      </w:r>
      <w:r w:rsidRPr="00AD7765">
        <w:rPr>
          <w:rFonts w:ascii="Times New Roman" w:hAnsi="Times New Roman"/>
          <w:sz w:val="20"/>
        </w:rPr>
        <w:t>Member</w:t>
      </w:r>
      <w:r w:rsidR="007F306E">
        <w:rPr>
          <w:rFonts w:ascii="Times New Roman" w:hAnsi="Times New Roman"/>
          <w:sz w:val="20"/>
        </w:rPr>
        <w:t xml:space="preserve"> States </w:t>
      </w:r>
      <w:r w:rsidR="007F306E" w:rsidRPr="00AD7765">
        <w:rPr>
          <w:rFonts w:ascii="Times New Roman" w:hAnsi="Times New Roman"/>
          <w:sz w:val="20"/>
        </w:rPr>
        <w:t>that contribute to UNDP regular resources and other resources</w:t>
      </w:r>
      <w:r w:rsidR="007F306E">
        <w:rPr>
          <w:rFonts w:ascii="Times New Roman" w:hAnsi="Times New Roman"/>
          <w:sz w:val="20"/>
        </w:rPr>
        <w:t xml:space="preserve">, </w:t>
      </w:r>
      <w:r w:rsidR="00F5512C">
        <w:rPr>
          <w:rFonts w:ascii="Times New Roman" w:hAnsi="Times New Roman"/>
          <w:sz w:val="20"/>
        </w:rPr>
        <w:t xml:space="preserve">comprising </w:t>
      </w:r>
      <w:r w:rsidRPr="00AD7765">
        <w:rPr>
          <w:rFonts w:ascii="Times New Roman" w:hAnsi="Times New Roman"/>
          <w:sz w:val="20"/>
        </w:rPr>
        <w:t xml:space="preserve">the Development Assistance Committee of the </w:t>
      </w:r>
      <w:proofErr w:type="spellStart"/>
      <w:r w:rsidRPr="00AD7765">
        <w:rPr>
          <w:rFonts w:ascii="Times New Roman" w:hAnsi="Times New Roman"/>
          <w:sz w:val="20"/>
        </w:rPr>
        <w:t>Organisation</w:t>
      </w:r>
      <w:proofErr w:type="spellEnd"/>
      <w:r w:rsidRPr="00AD7765">
        <w:rPr>
          <w:rFonts w:ascii="Times New Roman" w:hAnsi="Times New Roman"/>
          <w:sz w:val="20"/>
        </w:rPr>
        <w:t xml:space="preserve"> for Economic Co-opera</w:t>
      </w:r>
      <w:r w:rsidR="007F306E">
        <w:rPr>
          <w:rFonts w:ascii="Times New Roman" w:hAnsi="Times New Roman"/>
          <w:sz w:val="20"/>
        </w:rPr>
        <w:t xml:space="preserve">tion and Development (OECD/DAC) </w:t>
      </w:r>
      <w:r w:rsidR="00E45DDE">
        <w:rPr>
          <w:rFonts w:ascii="Times New Roman" w:hAnsi="Times New Roman"/>
          <w:sz w:val="20"/>
        </w:rPr>
        <w:t>members</w:t>
      </w:r>
      <w:r w:rsidR="00513F4D">
        <w:rPr>
          <w:rFonts w:ascii="Times New Roman" w:hAnsi="Times New Roman"/>
          <w:sz w:val="20"/>
        </w:rPr>
        <w:t>,</w:t>
      </w:r>
      <w:r w:rsidR="00E45DDE">
        <w:rPr>
          <w:rFonts w:ascii="Times New Roman" w:hAnsi="Times New Roman"/>
          <w:sz w:val="20"/>
        </w:rPr>
        <w:t xml:space="preserve"> </w:t>
      </w:r>
      <w:r w:rsidR="007F306E">
        <w:rPr>
          <w:rFonts w:ascii="Times New Roman" w:hAnsi="Times New Roman"/>
          <w:sz w:val="20"/>
        </w:rPr>
        <w:t xml:space="preserve">and non-members of OECD/DAC including </w:t>
      </w:r>
      <w:proofErr w:type="spellStart"/>
      <w:r w:rsidR="007F306E">
        <w:rPr>
          <w:rFonts w:ascii="Times New Roman" w:hAnsi="Times New Roman"/>
          <w:sz w:val="20"/>
        </w:rPr>
        <w:t>programme</w:t>
      </w:r>
      <w:proofErr w:type="spellEnd"/>
      <w:r w:rsidR="007F306E">
        <w:rPr>
          <w:rFonts w:ascii="Times New Roman" w:hAnsi="Times New Roman"/>
          <w:sz w:val="20"/>
        </w:rPr>
        <w:t xml:space="preserve"> countries</w:t>
      </w:r>
      <w:r w:rsidRPr="00AD7765">
        <w:rPr>
          <w:rFonts w:ascii="Times New Roman" w:hAnsi="Times New Roman"/>
          <w:sz w:val="20"/>
        </w:rPr>
        <w:t>.</w:t>
      </w:r>
    </w:p>
    <w:p w14:paraId="6FA4FCEA" w14:textId="77777777" w:rsidR="00454FCC" w:rsidRPr="00454FCC" w:rsidRDefault="00864721" w:rsidP="00A10E7B">
      <w:pPr>
        <w:ind w:right="1267"/>
        <w:jc w:val="both"/>
        <w:rPr>
          <w:rFonts w:ascii="Times New Roman" w:hAnsi="Times New Roman"/>
          <w:sz w:val="20"/>
          <w:lang w:val="en-GB" w:eastAsia="en-GB"/>
        </w:rPr>
      </w:pPr>
      <w:r w:rsidRPr="00053A25">
        <w:rPr>
          <w:rFonts w:ascii="Times New Roman" w:hAnsi="Times New Roman"/>
          <w:bCs/>
          <w:i/>
          <w:sz w:val="20"/>
          <w:lang w:val="en-GB" w:eastAsia="en-GB"/>
        </w:rPr>
        <w:t>Cert</w:t>
      </w:r>
      <w:r w:rsidRPr="009C474C">
        <w:rPr>
          <w:rFonts w:ascii="Times New Roman" w:hAnsi="Times New Roman"/>
          <w:bCs/>
          <w:i/>
          <w:sz w:val="20"/>
          <w:lang w:val="en-GB" w:eastAsia="en-GB"/>
        </w:rPr>
        <w:t>ified Emission Reductions (CER</w:t>
      </w:r>
      <w:r w:rsidR="009C474C" w:rsidRPr="009C474C">
        <w:rPr>
          <w:rFonts w:ascii="Times New Roman" w:hAnsi="Times New Roman"/>
          <w:bCs/>
          <w:i/>
          <w:sz w:val="20"/>
          <w:lang w:val="en-GB" w:eastAsia="en-GB"/>
        </w:rPr>
        <w:t>)</w:t>
      </w:r>
      <w:r w:rsidRPr="009C474C">
        <w:rPr>
          <w:rFonts w:ascii="Times New Roman" w:hAnsi="Times New Roman"/>
          <w:bCs/>
          <w:i/>
          <w:sz w:val="20"/>
          <w:lang w:val="en-GB" w:eastAsia="en-GB"/>
        </w:rPr>
        <w:t>s:</w:t>
      </w:r>
      <w:r w:rsidRPr="0026282B">
        <w:rPr>
          <w:rFonts w:ascii="Times New Roman" w:hAnsi="Times New Roman"/>
          <w:b/>
          <w:bCs/>
          <w:i/>
          <w:sz w:val="20"/>
          <w:lang w:val="en-GB" w:eastAsia="en-GB"/>
        </w:rPr>
        <w:t xml:space="preserve"> </w:t>
      </w:r>
      <w:r w:rsidRPr="0026282B">
        <w:rPr>
          <w:rFonts w:ascii="Times New Roman" w:hAnsi="Times New Roman"/>
          <w:sz w:val="20"/>
          <w:lang w:val="en-GB" w:eastAsia="en-GB"/>
        </w:rPr>
        <w:t xml:space="preserve"> </w:t>
      </w:r>
      <w:r w:rsidR="00454FCC" w:rsidRPr="00454FCC">
        <w:rPr>
          <w:rFonts w:ascii="Times New Roman" w:hAnsi="Times New Roman"/>
          <w:sz w:val="20"/>
          <w:lang w:val="en-GB" w:eastAsia="en-GB"/>
        </w:rPr>
        <w:t>Under the Kyoto Protocol industrialized countries are offered the opportunity to offset greenhouse gas (GHG) emissions by procuring credits from Clean Development Mechanism (CDM) projects located in developing countries. A CER basically allows an entity to pay for the reduction of GHG emissions elsewhere and is often more cost-effective than reducing the GHG emissions from their own operations or is used where GHG emissions cannot be avoided. UN</w:t>
      </w:r>
      <w:r w:rsidR="00454FCC">
        <w:rPr>
          <w:rFonts w:ascii="Times New Roman" w:hAnsi="Times New Roman"/>
          <w:sz w:val="20"/>
          <w:lang w:val="en-GB" w:eastAsia="en-GB"/>
        </w:rPr>
        <w:t xml:space="preserve">DP is committed to buying only </w:t>
      </w:r>
      <w:r w:rsidR="00454FCC" w:rsidRPr="00454FCC">
        <w:rPr>
          <w:rFonts w:ascii="Times New Roman" w:hAnsi="Times New Roman"/>
          <w:sz w:val="20"/>
          <w:lang w:val="en-GB" w:eastAsia="en-GB"/>
        </w:rPr>
        <w:t>very credible, UNFCCC-issued credits (“Gold Standard”) which also deliver tangible sustainable development benefits. For details please refer to the EG-approved HQ Emission Reduction Strategy (</w:t>
      </w:r>
      <w:hyperlink r:id="rId25" w:history="1">
        <w:r w:rsidR="00454FCC" w:rsidRPr="00454FCC">
          <w:rPr>
            <w:rStyle w:val="Hyperlink"/>
            <w:rFonts w:ascii="Times New Roman" w:hAnsi="Times New Roman"/>
            <w:color w:val="auto"/>
            <w:sz w:val="20"/>
            <w:lang w:val="en-GB" w:eastAsia="en-GB"/>
          </w:rPr>
          <w:t>https://undp.unteamworks.org/node/369936</w:t>
        </w:r>
      </w:hyperlink>
      <w:r w:rsidR="00454FCC" w:rsidRPr="00454FCC">
        <w:rPr>
          <w:rFonts w:ascii="Times New Roman" w:hAnsi="Times New Roman"/>
          <w:sz w:val="20"/>
          <w:lang w:val="en-GB" w:eastAsia="en-GB"/>
        </w:rPr>
        <w:t xml:space="preserve">). </w:t>
      </w:r>
    </w:p>
    <w:p w14:paraId="6FA4FCEB" w14:textId="77777777" w:rsidR="00864721" w:rsidRPr="00053A25" w:rsidRDefault="00864721" w:rsidP="00A10E7B">
      <w:pPr>
        <w:ind w:right="1260"/>
        <w:jc w:val="both"/>
        <w:rPr>
          <w:rFonts w:ascii="Times New Roman" w:hAnsi="Times New Roman"/>
          <w:color w:val="1F497D"/>
          <w:sz w:val="20"/>
          <w:lang w:val="en-GB" w:eastAsia="en-GB"/>
        </w:rPr>
      </w:pPr>
    </w:p>
    <w:p w14:paraId="6FA4FCEC" w14:textId="77777777" w:rsidR="00634F26" w:rsidRPr="00AD7765" w:rsidRDefault="00634F26" w:rsidP="00A10E7B">
      <w:pPr>
        <w:suppressAutoHyphens/>
        <w:autoSpaceDE w:val="0"/>
        <w:autoSpaceDN w:val="0"/>
        <w:adjustRightInd w:val="0"/>
        <w:spacing w:after="120"/>
        <w:ind w:right="1267"/>
        <w:jc w:val="both"/>
        <w:rPr>
          <w:rFonts w:ascii="Times New Roman" w:hAnsi="Times New Roman"/>
          <w:bCs/>
          <w:spacing w:val="4"/>
          <w:w w:val="103"/>
          <w:kern w:val="14"/>
          <w:sz w:val="20"/>
        </w:rPr>
      </w:pPr>
      <w:r w:rsidRPr="00AD7765">
        <w:rPr>
          <w:rFonts w:ascii="Times New Roman" w:hAnsi="Times New Roman"/>
          <w:bCs/>
          <w:i/>
          <w:spacing w:val="4"/>
          <w:w w:val="103"/>
          <w:kern w:val="14"/>
          <w:sz w:val="20"/>
        </w:rPr>
        <w:t xml:space="preserve">Cost classification: </w:t>
      </w:r>
      <w:r w:rsidRPr="00AD7765">
        <w:rPr>
          <w:rFonts w:ascii="Times New Roman" w:hAnsi="Times New Roman"/>
          <w:bCs/>
          <w:spacing w:val="4"/>
          <w:w w:val="103"/>
          <w:kern w:val="14"/>
          <w:sz w:val="20"/>
        </w:rPr>
        <w:t xml:space="preserve">Set of criteria and the process of determining </w:t>
      </w:r>
      <w:proofErr w:type="spellStart"/>
      <w:r w:rsidRPr="00AD7765">
        <w:rPr>
          <w:rFonts w:ascii="Times New Roman" w:hAnsi="Times New Roman"/>
          <w:bCs/>
          <w:spacing w:val="4"/>
          <w:w w:val="103"/>
          <w:kern w:val="14"/>
          <w:sz w:val="20"/>
        </w:rPr>
        <w:t>programme</w:t>
      </w:r>
      <w:proofErr w:type="spellEnd"/>
      <w:r w:rsidRPr="00AD7765">
        <w:rPr>
          <w:rFonts w:ascii="Times New Roman" w:hAnsi="Times New Roman"/>
          <w:bCs/>
          <w:spacing w:val="4"/>
          <w:w w:val="103"/>
          <w:kern w:val="14"/>
          <w:sz w:val="20"/>
        </w:rPr>
        <w:t xml:space="preserve"> implementation vs. administration costs, and clarifying distinctions between those.</w:t>
      </w:r>
    </w:p>
    <w:p w14:paraId="6FA4FCED" w14:textId="77777777" w:rsidR="00B1400D" w:rsidRPr="00AD7765" w:rsidRDefault="00B1400D" w:rsidP="00A10E7B">
      <w:pPr>
        <w:suppressAutoHyphens/>
        <w:autoSpaceDE w:val="0"/>
        <w:autoSpaceDN w:val="0"/>
        <w:adjustRightInd w:val="0"/>
        <w:spacing w:after="120"/>
        <w:ind w:right="1267"/>
        <w:jc w:val="both"/>
        <w:rPr>
          <w:rFonts w:ascii="Times New Roman" w:hAnsi="Times New Roman"/>
          <w:bCs/>
          <w:spacing w:val="4"/>
          <w:w w:val="103"/>
          <w:kern w:val="14"/>
          <w:sz w:val="20"/>
        </w:rPr>
      </w:pPr>
      <w:r w:rsidRPr="00AD7765">
        <w:rPr>
          <w:rFonts w:ascii="Times New Roman" w:hAnsi="Times New Roman"/>
          <w:bCs/>
          <w:i/>
          <w:spacing w:val="4"/>
          <w:w w:val="103"/>
          <w:kern w:val="14"/>
          <w:sz w:val="20"/>
        </w:rPr>
        <w:t xml:space="preserve">Development activities: </w:t>
      </w:r>
      <w:r w:rsidRPr="00AD7765">
        <w:rPr>
          <w:rFonts w:ascii="Times New Roman" w:hAnsi="Times New Roman"/>
          <w:bCs/>
          <w:spacing w:val="4"/>
          <w:w w:val="103"/>
          <w:kern w:val="14"/>
          <w:sz w:val="20"/>
        </w:rPr>
        <w:t>Activities associated with ‘</w:t>
      </w:r>
      <w:proofErr w:type="spellStart"/>
      <w:r w:rsidRPr="00AD7765">
        <w:rPr>
          <w:rFonts w:ascii="Times New Roman" w:hAnsi="Times New Roman"/>
          <w:bCs/>
          <w:spacing w:val="4"/>
          <w:w w:val="103"/>
          <w:kern w:val="14"/>
          <w:sz w:val="20"/>
        </w:rPr>
        <w:t>programmes</w:t>
      </w:r>
      <w:proofErr w:type="spellEnd"/>
      <w:r w:rsidR="00AD7765">
        <w:rPr>
          <w:rFonts w:ascii="Times New Roman" w:hAnsi="Times New Roman"/>
          <w:bCs/>
          <w:spacing w:val="4"/>
          <w:w w:val="103"/>
          <w:kern w:val="14"/>
          <w:sz w:val="20"/>
        </w:rPr>
        <w:t>’</w:t>
      </w:r>
      <w:r w:rsidRPr="00AD7765">
        <w:rPr>
          <w:rFonts w:ascii="Times New Roman" w:hAnsi="Times New Roman"/>
          <w:bCs/>
          <w:spacing w:val="4"/>
          <w:w w:val="103"/>
          <w:kern w:val="14"/>
          <w:sz w:val="20"/>
        </w:rPr>
        <w:t xml:space="preserve"> and ‘development effectiveness</w:t>
      </w:r>
      <w:r w:rsidR="00AD7765">
        <w:rPr>
          <w:rFonts w:ascii="Times New Roman" w:hAnsi="Times New Roman"/>
          <w:bCs/>
          <w:spacing w:val="4"/>
          <w:w w:val="103"/>
          <w:kern w:val="14"/>
          <w:sz w:val="20"/>
        </w:rPr>
        <w:t>,</w:t>
      </w:r>
      <w:r w:rsidRPr="00AD7765">
        <w:rPr>
          <w:rFonts w:ascii="Times New Roman" w:hAnsi="Times New Roman"/>
          <w:bCs/>
          <w:spacing w:val="4"/>
          <w:w w:val="103"/>
          <w:kern w:val="14"/>
          <w:sz w:val="20"/>
        </w:rPr>
        <w:t>’ activities essential for achieving development results.</w:t>
      </w:r>
    </w:p>
    <w:p w14:paraId="6FA4FCEE" w14:textId="39933658" w:rsidR="00B1400D" w:rsidRPr="00AD7765" w:rsidRDefault="00B1400D" w:rsidP="00DA706F">
      <w:pPr>
        <w:numPr>
          <w:ilvl w:val="0"/>
          <w:numId w:val="2"/>
        </w:numPr>
        <w:suppressAutoHyphens/>
        <w:autoSpaceDE w:val="0"/>
        <w:autoSpaceDN w:val="0"/>
        <w:adjustRightInd w:val="0"/>
        <w:spacing w:after="120" w:line="240" w:lineRule="exact"/>
        <w:ind w:left="1080" w:right="1267" w:hanging="450"/>
        <w:jc w:val="both"/>
        <w:rPr>
          <w:rFonts w:ascii="Times New Roman" w:eastAsia="Calibri" w:hAnsi="Times New Roman"/>
          <w:bCs/>
          <w:i/>
          <w:spacing w:val="4"/>
          <w:w w:val="103"/>
          <w:kern w:val="14"/>
          <w:sz w:val="20"/>
          <w:lang w:val="en-GB"/>
        </w:rPr>
      </w:pPr>
      <w:r w:rsidRPr="00AD7765">
        <w:rPr>
          <w:rFonts w:ascii="Times New Roman" w:eastAsia="Calibri" w:hAnsi="Times New Roman"/>
          <w:bCs/>
          <w:i/>
          <w:spacing w:val="4"/>
          <w:w w:val="103"/>
          <w:kern w:val="14"/>
          <w:sz w:val="20"/>
          <w:lang w:val="en-GB"/>
        </w:rPr>
        <w:t xml:space="preserve">Programmes: </w:t>
      </w:r>
      <w:r w:rsidRPr="00AD7765">
        <w:rPr>
          <w:rFonts w:ascii="Times New Roman" w:eastAsia="Calibri" w:hAnsi="Times New Roman"/>
          <w:bCs/>
          <w:spacing w:val="4"/>
          <w:w w:val="103"/>
          <w:kern w:val="14"/>
          <w:sz w:val="20"/>
          <w:lang w:val="en-GB"/>
        </w:rPr>
        <w:t xml:space="preserve">Activities </w:t>
      </w:r>
      <w:r w:rsidR="00333924">
        <w:rPr>
          <w:rFonts w:ascii="Times New Roman" w:eastAsia="Calibri" w:hAnsi="Times New Roman"/>
          <w:bCs/>
          <w:spacing w:val="4"/>
          <w:w w:val="103"/>
          <w:kern w:val="14"/>
          <w:sz w:val="20"/>
          <w:lang w:val="en-GB"/>
        </w:rPr>
        <w:t xml:space="preserve">traced to </w:t>
      </w:r>
      <w:r w:rsidRPr="00AD7765">
        <w:rPr>
          <w:rFonts w:ascii="Times New Roman" w:eastAsia="Calibri" w:hAnsi="Times New Roman"/>
          <w:bCs/>
          <w:spacing w:val="4"/>
          <w:w w:val="103"/>
          <w:kern w:val="14"/>
          <w:sz w:val="20"/>
          <w:lang w:val="en-GB"/>
        </w:rPr>
        <w:t>specific programme components or projects</w:t>
      </w:r>
      <w:r w:rsidR="00333924">
        <w:rPr>
          <w:rFonts w:ascii="Times New Roman" w:eastAsia="Calibri" w:hAnsi="Times New Roman"/>
          <w:bCs/>
          <w:spacing w:val="4"/>
          <w:w w:val="103"/>
          <w:kern w:val="14"/>
          <w:sz w:val="20"/>
          <w:lang w:val="en-GB"/>
        </w:rPr>
        <w:t>, which</w:t>
      </w:r>
      <w:r w:rsidR="00454FCC">
        <w:rPr>
          <w:rFonts w:ascii="Times New Roman" w:eastAsia="Calibri" w:hAnsi="Times New Roman"/>
          <w:bCs/>
          <w:spacing w:val="4"/>
          <w:w w:val="103"/>
          <w:kern w:val="14"/>
          <w:sz w:val="20"/>
          <w:lang w:val="en-GB"/>
        </w:rPr>
        <w:t xml:space="preserve"> </w:t>
      </w:r>
      <w:r w:rsidRPr="00AD7765">
        <w:rPr>
          <w:rFonts w:ascii="Times New Roman" w:eastAsia="Calibri" w:hAnsi="Times New Roman"/>
          <w:bCs/>
          <w:spacing w:val="4"/>
          <w:w w:val="103"/>
          <w:kern w:val="14"/>
          <w:sz w:val="20"/>
          <w:lang w:val="en-GB"/>
        </w:rPr>
        <w:t>contribute to deliver</w:t>
      </w:r>
      <w:r w:rsidR="00333924">
        <w:rPr>
          <w:rFonts w:ascii="Times New Roman" w:eastAsia="Calibri" w:hAnsi="Times New Roman"/>
          <w:bCs/>
          <w:spacing w:val="4"/>
          <w:w w:val="103"/>
          <w:kern w:val="14"/>
          <w:sz w:val="20"/>
          <w:lang w:val="en-GB"/>
        </w:rPr>
        <w:t>ing</w:t>
      </w:r>
      <w:r w:rsidRPr="00AD7765">
        <w:rPr>
          <w:rFonts w:ascii="Times New Roman" w:eastAsia="Calibri" w:hAnsi="Times New Roman"/>
          <w:bCs/>
          <w:spacing w:val="4"/>
          <w:w w:val="103"/>
          <w:kern w:val="14"/>
          <w:sz w:val="20"/>
          <w:lang w:val="en-GB"/>
        </w:rPr>
        <w:t xml:space="preserve"> development results </w:t>
      </w:r>
      <w:r w:rsidR="00333924">
        <w:rPr>
          <w:rFonts w:ascii="Times New Roman" w:eastAsia="Calibri" w:hAnsi="Times New Roman"/>
          <w:bCs/>
          <w:spacing w:val="4"/>
          <w:w w:val="103"/>
          <w:kern w:val="14"/>
          <w:sz w:val="20"/>
          <w:lang w:val="en-GB"/>
        </w:rPr>
        <w:t>contained</w:t>
      </w:r>
      <w:r w:rsidR="00513F4D">
        <w:rPr>
          <w:rFonts w:ascii="Times New Roman" w:eastAsia="Calibri" w:hAnsi="Times New Roman"/>
          <w:bCs/>
          <w:spacing w:val="4"/>
          <w:w w:val="103"/>
          <w:kern w:val="14"/>
          <w:sz w:val="20"/>
          <w:lang w:val="en-GB"/>
        </w:rPr>
        <w:t xml:space="preserve"> i</w:t>
      </w:r>
      <w:r w:rsidRPr="00AD7765">
        <w:rPr>
          <w:rFonts w:ascii="Times New Roman" w:eastAsia="Calibri" w:hAnsi="Times New Roman"/>
          <w:bCs/>
          <w:spacing w:val="4"/>
          <w:w w:val="103"/>
          <w:kern w:val="14"/>
          <w:sz w:val="20"/>
          <w:lang w:val="en-GB"/>
        </w:rPr>
        <w:t>n country/regional/global programme documents or other programming arrangements.</w:t>
      </w:r>
    </w:p>
    <w:p w14:paraId="6FA4FCEF" w14:textId="77777777" w:rsidR="00B1400D" w:rsidRPr="00AD7765" w:rsidRDefault="00B1400D" w:rsidP="00DA706F">
      <w:pPr>
        <w:numPr>
          <w:ilvl w:val="0"/>
          <w:numId w:val="2"/>
        </w:numPr>
        <w:suppressAutoHyphens/>
        <w:autoSpaceDE w:val="0"/>
        <w:autoSpaceDN w:val="0"/>
        <w:adjustRightInd w:val="0"/>
        <w:spacing w:after="120" w:line="240" w:lineRule="exact"/>
        <w:ind w:left="1080" w:right="1267" w:hanging="450"/>
        <w:jc w:val="both"/>
        <w:rPr>
          <w:rFonts w:ascii="Times New Roman" w:eastAsia="Calibri" w:hAnsi="Times New Roman"/>
          <w:bCs/>
          <w:spacing w:val="4"/>
          <w:w w:val="103"/>
          <w:kern w:val="14"/>
          <w:sz w:val="20"/>
          <w:lang w:val="en-GB"/>
        </w:rPr>
      </w:pPr>
      <w:r w:rsidRPr="00AD7765">
        <w:rPr>
          <w:rFonts w:ascii="Times New Roman" w:eastAsia="Calibri" w:hAnsi="Times New Roman"/>
          <w:bCs/>
          <w:i/>
          <w:spacing w:val="4"/>
          <w:w w:val="103"/>
          <w:kern w:val="14"/>
          <w:sz w:val="20"/>
          <w:lang w:val="en-GB"/>
        </w:rPr>
        <w:t xml:space="preserve">Development effectiveness activities: </w:t>
      </w:r>
      <w:r w:rsidRPr="00AD7765">
        <w:rPr>
          <w:rFonts w:ascii="Times New Roman" w:eastAsia="Calibri" w:hAnsi="Times New Roman"/>
          <w:bCs/>
          <w:spacing w:val="4"/>
          <w:w w:val="103"/>
          <w:kern w:val="14"/>
          <w:sz w:val="20"/>
          <w:lang w:val="en-GB"/>
        </w:rPr>
        <w:t>Activities of a policy-advisory, technical and implementation nature needed to achieve the objectives of programmes and projects in UNDP’s areas of focus. While essential to the delivery of development results, they are not included in specific programme components or projects in country, regional, or global programme documents.</w:t>
      </w:r>
    </w:p>
    <w:p w14:paraId="6FA4FCF0" w14:textId="497C7DDE" w:rsidR="006516C4" w:rsidRPr="006516C4" w:rsidRDefault="00662761" w:rsidP="00A10E7B">
      <w:pPr>
        <w:suppressAutoHyphens/>
        <w:spacing w:after="120"/>
        <w:ind w:right="1267"/>
        <w:jc w:val="both"/>
        <w:rPr>
          <w:rFonts w:ascii="Times New Roman" w:hAnsi="Times New Roman"/>
          <w:spacing w:val="4"/>
          <w:sz w:val="20"/>
          <w:lang w:val="en-GB"/>
        </w:rPr>
      </w:pPr>
      <w:r w:rsidRPr="00AD7765">
        <w:rPr>
          <w:rFonts w:ascii="Times New Roman" w:hAnsi="Times New Roman"/>
          <w:bCs/>
          <w:i/>
          <w:spacing w:val="4"/>
          <w:w w:val="103"/>
          <w:kern w:val="14"/>
          <w:sz w:val="20"/>
        </w:rPr>
        <w:t>Elimination:</w:t>
      </w:r>
      <w:r w:rsidRPr="00AD7765">
        <w:rPr>
          <w:rFonts w:ascii="Times New Roman" w:hAnsi="Times New Roman"/>
          <w:bCs/>
          <w:spacing w:val="4"/>
          <w:w w:val="103"/>
          <w:kern w:val="14"/>
          <w:sz w:val="20"/>
        </w:rPr>
        <w:t xml:space="preserve"> </w:t>
      </w:r>
      <w:r w:rsidR="000E3632" w:rsidRPr="00AD7765">
        <w:rPr>
          <w:rFonts w:ascii="Times New Roman" w:hAnsi="Times New Roman"/>
          <w:bCs/>
          <w:spacing w:val="4"/>
          <w:w w:val="103"/>
          <w:kern w:val="14"/>
          <w:sz w:val="20"/>
        </w:rPr>
        <w:t xml:space="preserve">Represents </w:t>
      </w:r>
      <w:r w:rsidR="00F5512C">
        <w:rPr>
          <w:rFonts w:ascii="Times New Roman" w:hAnsi="Times New Roman"/>
          <w:bCs/>
          <w:spacing w:val="4"/>
          <w:w w:val="103"/>
          <w:kern w:val="14"/>
          <w:sz w:val="20"/>
        </w:rPr>
        <w:t>the accounting adjustment to remove the effect of internal UNDP cost-recovery revenue and general management support expense from total UNDP amounts.</w:t>
      </w:r>
    </w:p>
    <w:p w14:paraId="6FA4FCF1" w14:textId="59EAA7D6" w:rsidR="007F75AA" w:rsidRPr="00AD7765" w:rsidRDefault="000E3632" w:rsidP="00A10E7B">
      <w:pPr>
        <w:tabs>
          <w:tab w:val="left" w:pos="1260"/>
        </w:tabs>
        <w:suppressAutoHyphens/>
        <w:spacing w:after="120"/>
        <w:ind w:right="1267"/>
        <w:jc w:val="both"/>
        <w:rPr>
          <w:rFonts w:ascii="Times New Roman" w:hAnsi="Times New Roman"/>
          <w:i/>
          <w:color w:val="000000"/>
          <w:sz w:val="20"/>
          <w:szCs w:val="22"/>
        </w:rPr>
      </w:pPr>
      <w:r w:rsidRPr="00AD7765">
        <w:rPr>
          <w:rFonts w:ascii="Times New Roman" w:hAnsi="Times New Roman"/>
          <w:i/>
          <w:iCs/>
          <w:color w:val="000000"/>
          <w:sz w:val="20"/>
        </w:rPr>
        <w:t xml:space="preserve">Expenditure: </w:t>
      </w:r>
      <w:r w:rsidR="00333924" w:rsidRPr="00053A25">
        <w:rPr>
          <w:rFonts w:ascii="Times New Roman" w:hAnsi="Times New Roman"/>
          <w:iCs/>
          <w:color w:val="000000"/>
          <w:sz w:val="20"/>
        </w:rPr>
        <w:t>Utilization of available financial resources</w:t>
      </w:r>
      <w:r w:rsidR="00333924">
        <w:rPr>
          <w:rFonts w:ascii="Times New Roman" w:hAnsi="Times New Roman"/>
          <w:iCs/>
          <w:color w:val="000000"/>
          <w:sz w:val="20"/>
        </w:rPr>
        <w:t xml:space="preserve">, across harmonized cost classification categories </w:t>
      </w:r>
    </w:p>
    <w:p w14:paraId="6FA4FCF2" w14:textId="18F4F4BB" w:rsidR="000562BE" w:rsidRPr="00AD7765" w:rsidRDefault="00B1400D" w:rsidP="00A10E7B">
      <w:pPr>
        <w:tabs>
          <w:tab w:val="left" w:pos="1260"/>
        </w:tabs>
        <w:suppressAutoHyphens/>
        <w:spacing w:after="120"/>
        <w:ind w:right="1267"/>
        <w:jc w:val="both"/>
        <w:rPr>
          <w:rFonts w:ascii="Times New Roman" w:hAnsi="Times New Roman"/>
          <w:bCs/>
          <w:spacing w:val="4"/>
          <w:w w:val="103"/>
          <w:kern w:val="14"/>
          <w:sz w:val="20"/>
        </w:rPr>
      </w:pPr>
      <w:r w:rsidRPr="00AD7765">
        <w:rPr>
          <w:rFonts w:ascii="Times New Roman" w:hAnsi="Times New Roman"/>
          <w:bCs/>
          <w:i/>
          <w:spacing w:val="4"/>
          <w:w w:val="103"/>
          <w:kern w:val="14"/>
          <w:sz w:val="20"/>
        </w:rPr>
        <w:t>E</w:t>
      </w:r>
      <w:r w:rsidR="000562BE" w:rsidRPr="00AD7765">
        <w:rPr>
          <w:rFonts w:ascii="Times New Roman" w:hAnsi="Times New Roman"/>
          <w:bCs/>
          <w:i/>
          <w:spacing w:val="4"/>
          <w:w w:val="103"/>
          <w:kern w:val="14"/>
          <w:sz w:val="20"/>
        </w:rPr>
        <w:t>xpenses:</w:t>
      </w:r>
      <w:r w:rsidR="000562BE" w:rsidRPr="00AD7765">
        <w:rPr>
          <w:rFonts w:ascii="Times New Roman" w:hAnsi="Times New Roman"/>
          <w:bCs/>
          <w:spacing w:val="4"/>
          <w:w w:val="103"/>
          <w:kern w:val="14"/>
          <w:sz w:val="20"/>
        </w:rPr>
        <w:tab/>
        <w:t>Expenses include disbursements and accruals for goods received and services rendered, and the use or impairment of assets, dependent on the implementation arrangement.</w:t>
      </w:r>
    </w:p>
    <w:p w14:paraId="6FA4FCF3" w14:textId="77777777" w:rsidR="00634F26" w:rsidRPr="00AD7765" w:rsidRDefault="00634F26" w:rsidP="00A10E7B">
      <w:pPr>
        <w:suppressAutoHyphens/>
        <w:spacing w:after="120"/>
        <w:ind w:right="1267"/>
        <w:jc w:val="both"/>
        <w:rPr>
          <w:rFonts w:ascii="Times New Roman" w:hAnsi="Times New Roman"/>
          <w:spacing w:val="4"/>
          <w:w w:val="103"/>
          <w:kern w:val="14"/>
          <w:sz w:val="20"/>
        </w:rPr>
      </w:pPr>
      <w:r w:rsidRPr="00AD7765">
        <w:rPr>
          <w:rFonts w:ascii="Times New Roman" w:hAnsi="Times New Roman"/>
          <w:i/>
          <w:iCs/>
          <w:spacing w:val="4"/>
          <w:w w:val="103"/>
          <w:kern w:val="14"/>
          <w:sz w:val="20"/>
        </w:rPr>
        <w:t xml:space="preserve">Funds administered by UNDP: </w:t>
      </w:r>
      <w:r w:rsidRPr="00AD7765">
        <w:rPr>
          <w:rFonts w:ascii="Times New Roman" w:hAnsi="Times New Roman"/>
          <w:spacing w:val="4"/>
          <w:w w:val="103"/>
          <w:kern w:val="14"/>
          <w:sz w:val="20"/>
        </w:rPr>
        <w:t xml:space="preserve">Funds established by the General Assembly and administered by UNDP.  United Nations Capital Development Fund (UNCDF) is the only fund administered by UNDP. </w:t>
      </w:r>
    </w:p>
    <w:p w14:paraId="6FA4FCF4" w14:textId="77777777" w:rsidR="00634F26" w:rsidRPr="00AD7765" w:rsidRDefault="00634F26" w:rsidP="00A10E7B">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ind w:right="1267"/>
        <w:jc w:val="both"/>
        <w:rPr>
          <w:rFonts w:ascii="Times New Roman" w:hAnsi="Times New Roman"/>
          <w:spacing w:val="4"/>
          <w:w w:val="103"/>
          <w:kern w:val="14"/>
          <w:sz w:val="20"/>
        </w:rPr>
      </w:pPr>
      <w:r w:rsidRPr="00AD7765">
        <w:rPr>
          <w:rFonts w:ascii="Times New Roman" w:hAnsi="Times New Roman"/>
          <w:i/>
          <w:iCs/>
          <w:spacing w:val="4"/>
          <w:w w:val="103"/>
          <w:kern w:val="14"/>
          <w:sz w:val="20"/>
        </w:rPr>
        <w:t>Government contributions towards local office costs</w:t>
      </w:r>
      <w:r w:rsidRPr="00AD7765">
        <w:rPr>
          <w:rFonts w:ascii="Times New Roman" w:hAnsi="Times New Roman"/>
          <w:spacing w:val="4"/>
          <w:w w:val="103"/>
          <w:kern w:val="14"/>
          <w:sz w:val="20"/>
        </w:rPr>
        <w:t xml:space="preserve"> </w:t>
      </w:r>
      <w:r w:rsidRPr="00AD7765">
        <w:rPr>
          <w:rFonts w:ascii="Times New Roman" w:hAnsi="Times New Roman"/>
          <w:i/>
          <w:spacing w:val="4"/>
          <w:w w:val="103"/>
          <w:kern w:val="14"/>
          <w:sz w:val="20"/>
        </w:rPr>
        <w:t xml:space="preserve">(GLOC): </w:t>
      </w:r>
      <w:r w:rsidRPr="00AD7765">
        <w:rPr>
          <w:rFonts w:ascii="Times New Roman" w:hAnsi="Times New Roman"/>
          <w:spacing w:val="4"/>
          <w:w w:val="103"/>
          <w:kern w:val="14"/>
          <w:sz w:val="20"/>
        </w:rPr>
        <w:t>Contributions in the f</w:t>
      </w:r>
      <w:r w:rsidR="000562BE" w:rsidRPr="00AD7765">
        <w:rPr>
          <w:rFonts w:ascii="Times New Roman" w:hAnsi="Times New Roman"/>
          <w:spacing w:val="4"/>
          <w:w w:val="103"/>
          <w:kern w:val="14"/>
          <w:sz w:val="20"/>
        </w:rPr>
        <w:t>orm of cash, or by provision in-</w:t>
      </w:r>
      <w:r w:rsidRPr="00AD7765">
        <w:rPr>
          <w:rFonts w:ascii="Times New Roman" w:hAnsi="Times New Roman"/>
          <w:spacing w:val="4"/>
          <w:w w:val="103"/>
          <w:kern w:val="14"/>
          <w:sz w:val="20"/>
        </w:rPr>
        <w:t>kind of specific goods, services and facilities that a host Government makes towards meeting the expenses of maintaining a UNDP country office.</w:t>
      </w:r>
    </w:p>
    <w:p w14:paraId="68C49AEE" w14:textId="77777777" w:rsidR="003831E9" w:rsidRDefault="00634F26" w:rsidP="00A10E7B">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ind w:right="1267"/>
        <w:jc w:val="both"/>
        <w:rPr>
          <w:rFonts w:ascii="Times New Roman" w:hAnsi="Times New Roman"/>
          <w:spacing w:val="4"/>
          <w:w w:val="103"/>
          <w:kern w:val="14"/>
          <w:sz w:val="20"/>
          <w:lang w:val="en-GB"/>
        </w:rPr>
      </w:pPr>
      <w:r w:rsidRPr="00AD7765">
        <w:rPr>
          <w:rFonts w:ascii="Times New Roman" w:hAnsi="Times New Roman"/>
          <w:i/>
          <w:spacing w:val="4"/>
          <w:w w:val="103"/>
          <w:kern w:val="14"/>
          <w:sz w:val="20"/>
          <w:lang w:val="en-GB"/>
        </w:rPr>
        <w:t xml:space="preserve">Institutional budget: </w:t>
      </w:r>
      <w:r w:rsidRPr="00AD7765">
        <w:rPr>
          <w:rFonts w:ascii="Times New Roman" w:hAnsi="Times New Roman"/>
          <w:spacing w:val="4"/>
          <w:w w:val="103"/>
          <w:kern w:val="14"/>
          <w:sz w:val="20"/>
          <w:lang w:val="en-GB"/>
        </w:rPr>
        <w:t xml:space="preserve">The institutional </w:t>
      </w:r>
      <w:r w:rsidR="00333924">
        <w:rPr>
          <w:rFonts w:ascii="Times New Roman" w:hAnsi="Times New Roman"/>
          <w:spacing w:val="4"/>
          <w:w w:val="103"/>
          <w:kern w:val="14"/>
          <w:sz w:val="20"/>
          <w:lang w:val="en-GB"/>
        </w:rPr>
        <w:t>component of the integrated budget covering activities over a period based on a set of defined results from the strategic plan.</w:t>
      </w:r>
    </w:p>
    <w:p w14:paraId="6FA4FCF5" w14:textId="01810A0F" w:rsidR="000E3632" w:rsidRPr="00AD7765" w:rsidRDefault="00662761" w:rsidP="00A10E7B">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ind w:right="1267"/>
        <w:jc w:val="both"/>
        <w:rPr>
          <w:rFonts w:ascii="Times New Roman" w:hAnsi="Times New Roman"/>
          <w:spacing w:val="4"/>
          <w:w w:val="103"/>
          <w:kern w:val="14"/>
          <w:sz w:val="20"/>
          <w:lang w:val="en-GB"/>
        </w:rPr>
      </w:pPr>
      <w:r w:rsidRPr="00AD7765">
        <w:rPr>
          <w:rFonts w:ascii="Times New Roman" w:hAnsi="Times New Roman"/>
          <w:i/>
          <w:spacing w:val="4"/>
          <w:w w:val="103"/>
          <w:kern w:val="14"/>
          <w:sz w:val="20"/>
          <w:lang w:val="en-GB"/>
        </w:rPr>
        <w:lastRenderedPageBreak/>
        <w:t>IPSAS:</w:t>
      </w:r>
      <w:r w:rsidRPr="00AD7765">
        <w:rPr>
          <w:rFonts w:ascii="Times New Roman" w:hAnsi="Times New Roman"/>
          <w:spacing w:val="4"/>
          <w:w w:val="103"/>
          <w:kern w:val="14"/>
          <w:sz w:val="20"/>
          <w:lang w:val="en-GB"/>
        </w:rPr>
        <w:t xml:space="preserve"> </w:t>
      </w:r>
      <w:r w:rsidRPr="00AD7765">
        <w:rPr>
          <w:rFonts w:ascii="Times New Roman" w:hAnsi="Times New Roman"/>
          <w:i/>
          <w:spacing w:val="4"/>
          <w:w w:val="103"/>
          <w:kern w:val="14"/>
          <w:sz w:val="20"/>
          <w:lang w:val="en-GB"/>
        </w:rPr>
        <w:t xml:space="preserve">International </w:t>
      </w:r>
      <w:proofErr w:type="gramStart"/>
      <w:r w:rsidRPr="00AD7765">
        <w:rPr>
          <w:rFonts w:ascii="Times New Roman" w:hAnsi="Times New Roman"/>
          <w:i/>
          <w:spacing w:val="4"/>
          <w:w w:val="103"/>
          <w:kern w:val="14"/>
          <w:sz w:val="20"/>
          <w:lang w:val="en-GB"/>
        </w:rPr>
        <w:t>Public Sector</w:t>
      </w:r>
      <w:proofErr w:type="gramEnd"/>
      <w:r w:rsidRPr="00AD7765">
        <w:rPr>
          <w:rFonts w:ascii="Times New Roman" w:hAnsi="Times New Roman"/>
          <w:i/>
          <w:spacing w:val="4"/>
          <w:w w:val="103"/>
          <w:kern w:val="14"/>
          <w:sz w:val="20"/>
          <w:lang w:val="en-GB"/>
        </w:rPr>
        <w:t xml:space="preserve"> Accounting Standards</w:t>
      </w:r>
      <w:r w:rsidRPr="00AD7765">
        <w:rPr>
          <w:rFonts w:ascii="Times New Roman" w:hAnsi="Times New Roman"/>
          <w:spacing w:val="4"/>
          <w:w w:val="103"/>
          <w:kern w:val="14"/>
          <w:sz w:val="20"/>
          <w:lang w:val="en-GB"/>
        </w:rPr>
        <w:t xml:space="preserve">: Independently developed accounting standards which have been considered the best accounting practice by public sector </w:t>
      </w:r>
      <w:r w:rsidR="00C23D9B">
        <w:rPr>
          <w:rFonts w:ascii="Times New Roman" w:hAnsi="Times New Roman"/>
          <w:spacing w:val="4"/>
          <w:w w:val="103"/>
          <w:kern w:val="14"/>
          <w:sz w:val="20"/>
          <w:lang w:val="en-GB"/>
        </w:rPr>
        <w:t>orga</w:t>
      </w:r>
      <w:r w:rsidR="00A76E0F">
        <w:rPr>
          <w:rFonts w:ascii="Times New Roman" w:hAnsi="Times New Roman"/>
          <w:spacing w:val="4"/>
          <w:w w:val="103"/>
          <w:kern w:val="14"/>
          <w:sz w:val="20"/>
          <w:lang w:val="en-GB"/>
        </w:rPr>
        <w:t>nisation</w:t>
      </w:r>
      <w:r w:rsidRPr="00AD7765">
        <w:rPr>
          <w:rFonts w:ascii="Times New Roman" w:hAnsi="Times New Roman"/>
          <w:spacing w:val="4"/>
          <w:w w:val="103"/>
          <w:kern w:val="14"/>
          <w:sz w:val="20"/>
          <w:lang w:val="en-GB"/>
        </w:rPr>
        <w:t xml:space="preserve">s. </w:t>
      </w:r>
    </w:p>
    <w:p w14:paraId="6FA4FCF6" w14:textId="77777777" w:rsidR="00634F26" w:rsidRPr="00AD7765" w:rsidRDefault="00634F26" w:rsidP="00A10E7B">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ind w:right="1267"/>
        <w:jc w:val="both"/>
        <w:rPr>
          <w:rFonts w:ascii="Times New Roman" w:hAnsi="Times New Roman"/>
          <w:color w:val="000000"/>
          <w:spacing w:val="4"/>
          <w:w w:val="103"/>
          <w:kern w:val="14"/>
          <w:sz w:val="20"/>
        </w:rPr>
      </w:pPr>
      <w:r w:rsidRPr="00AD7765">
        <w:rPr>
          <w:rFonts w:ascii="Times New Roman" w:hAnsi="Times New Roman"/>
          <w:i/>
          <w:color w:val="000000"/>
          <w:spacing w:val="4"/>
          <w:w w:val="103"/>
          <w:kern w:val="14"/>
          <w:sz w:val="20"/>
        </w:rPr>
        <w:t xml:space="preserve">Joint </w:t>
      </w:r>
      <w:proofErr w:type="spellStart"/>
      <w:r w:rsidRPr="00AD7765">
        <w:rPr>
          <w:rFonts w:ascii="Times New Roman" w:hAnsi="Times New Roman"/>
          <w:i/>
          <w:color w:val="000000"/>
          <w:spacing w:val="4"/>
          <w:w w:val="103"/>
          <w:kern w:val="14"/>
          <w:sz w:val="20"/>
        </w:rPr>
        <w:t>programmes</w:t>
      </w:r>
      <w:proofErr w:type="spellEnd"/>
      <w:r w:rsidRPr="00AD7765">
        <w:rPr>
          <w:rFonts w:ascii="Times New Roman" w:hAnsi="Times New Roman"/>
          <w:i/>
          <w:color w:val="000000"/>
          <w:spacing w:val="4"/>
          <w:w w:val="103"/>
          <w:kern w:val="14"/>
          <w:sz w:val="20"/>
        </w:rPr>
        <w:t xml:space="preserve">: </w:t>
      </w:r>
      <w:r w:rsidRPr="00AD7765">
        <w:rPr>
          <w:rFonts w:ascii="Times New Roman" w:hAnsi="Times New Roman"/>
          <w:color w:val="000000"/>
          <w:spacing w:val="4"/>
          <w:w w:val="103"/>
          <w:kern w:val="14"/>
          <w:sz w:val="20"/>
        </w:rPr>
        <w:t xml:space="preserve">Collective efforts through which United Nations </w:t>
      </w:r>
      <w:proofErr w:type="spellStart"/>
      <w:r w:rsidR="00C23D9B">
        <w:rPr>
          <w:rFonts w:ascii="Times New Roman" w:hAnsi="Times New Roman"/>
          <w:color w:val="000000"/>
          <w:spacing w:val="4"/>
          <w:w w:val="103"/>
          <w:kern w:val="14"/>
          <w:sz w:val="20"/>
        </w:rPr>
        <w:t>organisations</w:t>
      </w:r>
      <w:proofErr w:type="spellEnd"/>
      <w:r w:rsidRPr="00AD7765">
        <w:rPr>
          <w:rFonts w:ascii="Times New Roman" w:hAnsi="Times New Roman"/>
          <w:color w:val="000000"/>
          <w:spacing w:val="4"/>
          <w:w w:val="103"/>
          <w:kern w:val="14"/>
          <w:sz w:val="20"/>
        </w:rPr>
        <w:t xml:space="preserve"> and national partners work together to prepare, implement, monitor and evaluate the activities aimed at effectively and efficiently achieving the Millennium Development Goals and other international commitments arising from United Nations conferences, summits, conventions and human rights instruments.</w:t>
      </w:r>
    </w:p>
    <w:p w14:paraId="223F8B80" w14:textId="63DC0D3D" w:rsidR="005B013F" w:rsidRPr="003D7FCF" w:rsidRDefault="005B013F" w:rsidP="005B013F">
      <w:pPr>
        <w:suppressAutoHyphens/>
        <w:spacing w:after="120"/>
        <w:ind w:right="1267"/>
        <w:jc w:val="both"/>
        <w:rPr>
          <w:rFonts w:ascii="Times New Roman" w:hAnsi="Times New Roman"/>
          <w:bCs/>
          <w:spacing w:val="4"/>
          <w:w w:val="103"/>
          <w:kern w:val="14"/>
          <w:sz w:val="20"/>
        </w:rPr>
      </w:pPr>
      <w:r w:rsidRPr="003D7FCF">
        <w:rPr>
          <w:rFonts w:ascii="Times New Roman" w:hAnsi="Times New Roman"/>
          <w:bCs/>
          <w:i/>
          <w:spacing w:val="4"/>
          <w:w w:val="103"/>
          <w:kern w:val="14"/>
          <w:sz w:val="20"/>
        </w:rPr>
        <w:t xml:space="preserve">Low-income countries (LICs), Middle-income countries (MICs): </w:t>
      </w:r>
      <w:r w:rsidRPr="003D7FCF">
        <w:rPr>
          <w:rFonts w:ascii="Times New Roman" w:hAnsi="Times New Roman"/>
          <w:bCs/>
          <w:spacing w:val="4"/>
          <w:w w:val="103"/>
          <w:kern w:val="14"/>
          <w:sz w:val="20"/>
        </w:rPr>
        <w:t xml:space="preserve">On the basis of their GNI per capita, countries are grouped into the following categories: </w:t>
      </w:r>
      <w:bookmarkStart w:id="1" w:name="_Hlk517887335"/>
      <w:r w:rsidRPr="003D7FCF">
        <w:rPr>
          <w:rFonts w:ascii="Times New Roman" w:hAnsi="Times New Roman"/>
          <w:bCs/>
          <w:spacing w:val="4"/>
          <w:w w:val="103"/>
          <w:kern w:val="14"/>
          <w:sz w:val="20"/>
        </w:rPr>
        <w:t>low income countries (LICs), middle income countries (MICs),</w:t>
      </w:r>
      <w:bookmarkEnd w:id="1"/>
      <w:r w:rsidRPr="003D7FCF">
        <w:rPr>
          <w:rFonts w:ascii="Times New Roman" w:hAnsi="Times New Roman"/>
          <w:bCs/>
          <w:spacing w:val="4"/>
          <w:w w:val="103"/>
          <w:kern w:val="14"/>
          <w:sz w:val="20"/>
        </w:rPr>
        <w:t xml:space="preserve"> transitional net-contributing countries and net-contributing countries (NCCs). </w:t>
      </w:r>
    </w:p>
    <w:p w14:paraId="7AD77188" w14:textId="505D2E25" w:rsidR="005B013F" w:rsidRPr="003D7FCF" w:rsidRDefault="005B013F" w:rsidP="005B013F">
      <w:pPr>
        <w:suppressAutoHyphens/>
        <w:spacing w:after="120"/>
        <w:ind w:left="1260" w:right="1267" w:hanging="540"/>
        <w:jc w:val="both"/>
        <w:rPr>
          <w:rFonts w:ascii="Times New Roman" w:hAnsi="Times New Roman"/>
          <w:bCs/>
          <w:spacing w:val="4"/>
          <w:w w:val="103"/>
          <w:kern w:val="14"/>
          <w:sz w:val="20"/>
        </w:rPr>
      </w:pPr>
      <w:r w:rsidRPr="003D7FCF">
        <w:rPr>
          <w:rFonts w:ascii="Times New Roman" w:hAnsi="Times New Roman"/>
          <w:bCs/>
          <w:spacing w:val="4"/>
          <w:w w:val="103"/>
          <w:kern w:val="14"/>
          <w:sz w:val="20"/>
        </w:rPr>
        <w:t>(a)</w:t>
      </w:r>
      <w:r w:rsidRPr="003D7FCF">
        <w:rPr>
          <w:rFonts w:ascii="Times New Roman" w:hAnsi="Times New Roman"/>
          <w:bCs/>
          <w:spacing w:val="4"/>
          <w:w w:val="103"/>
          <w:kern w:val="14"/>
          <w:sz w:val="20"/>
        </w:rPr>
        <w:tab/>
        <w:t xml:space="preserve">LICs are defined as countries with 2010-2013 an average GNI per capita of less than $1,280. </w:t>
      </w:r>
    </w:p>
    <w:p w14:paraId="362B6BE9" w14:textId="729823EA" w:rsidR="005B013F" w:rsidRPr="003D7FCF" w:rsidRDefault="005B013F" w:rsidP="00B8440D">
      <w:pPr>
        <w:suppressAutoHyphens/>
        <w:spacing w:after="120"/>
        <w:ind w:left="1260" w:right="1267" w:hanging="540"/>
        <w:jc w:val="both"/>
        <w:rPr>
          <w:rFonts w:ascii="Times New Roman" w:hAnsi="Times New Roman"/>
          <w:bCs/>
          <w:spacing w:val="4"/>
          <w:w w:val="103"/>
          <w:kern w:val="14"/>
          <w:sz w:val="20"/>
        </w:rPr>
      </w:pPr>
      <w:r w:rsidRPr="003D7FCF">
        <w:rPr>
          <w:rFonts w:ascii="Times New Roman" w:hAnsi="Times New Roman"/>
          <w:bCs/>
          <w:spacing w:val="4"/>
          <w:w w:val="103"/>
          <w:kern w:val="14"/>
          <w:sz w:val="20"/>
        </w:rPr>
        <w:t>(b)</w:t>
      </w:r>
      <w:r w:rsidRPr="003D7FCF">
        <w:rPr>
          <w:rFonts w:ascii="Times New Roman" w:hAnsi="Times New Roman"/>
          <w:bCs/>
          <w:spacing w:val="4"/>
          <w:w w:val="103"/>
          <w:kern w:val="14"/>
          <w:sz w:val="20"/>
        </w:rPr>
        <w:tab/>
        <w:t xml:space="preserve">MICs are defined as countries with 2010-2013 an average GNI per capita of between $1,281 and $12,475. There are two groups of MICs: </w:t>
      </w:r>
    </w:p>
    <w:p w14:paraId="3AD7AD13" w14:textId="0BD07507" w:rsidR="005B013F" w:rsidRPr="003D7FCF" w:rsidRDefault="005B013F" w:rsidP="00B8440D">
      <w:pPr>
        <w:pStyle w:val="ListParagraph"/>
        <w:numPr>
          <w:ilvl w:val="1"/>
          <w:numId w:val="24"/>
        </w:numPr>
        <w:suppressAutoHyphens/>
        <w:spacing w:after="120"/>
        <w:ind w:left="1710" w:right="1267" w:hanging="450"/>
        <w:jc w:val="both"/>
        <w:rPr>
          <w:rFonts w:ascii="Times New Roman" w:hAnsi="Times New Roman"/>
          <w:bCs/>
          <w:spacing w:val="4"/>
          <w:w w:val="103"/>
          <w:kern w:val="14"/>
          <w:sz w:val="20"/>
        </w:rPr>
      </w:pPr>
      <w:r w:rsidRPr="003D7FCF">
        <w:rPr>
          <w:rFonts w:ascii="Times New Roman" w:hAnsi="Times New Roman"/>
          <w:bCs/>
          <w:spacing w:val="4"/>
          <w:w w:val="103"/>
          <w:kern w:val="14"/>
          <w:sz w:val="20"/>
        </w:rPr>
        <w:t>MICs with levels of GNI per capita of between $1,281 and $6,660.</w:t>
      </w:r>
    </w:p>
    <w:p w14:paraId="7F178D29" w14:textId="0DD06227" w:rsidR="005B013F" w:rsidRPr="003D7FCF" w:rsidRDefault="005B013F" w:rsidP="00B8440D">
      <w:pPr>
        <w:pStyle w:val="ListParagraph"/>
        <w:numPr>
          <w:ilvl w:val="1"/>
          <w:numId w:val="24"/>
        </w:numPr>
        <w:suppressAutoHyphens/>
        <w:spacing w:after="120"/>
        <w:ind w:left="1710" w:right="1267" w:hanging="450"/>
        <w:jc w:val="both"/>
        <w:rPr>
          <w:rFonts w:ascii="Times New Roman" w:hAnsi="Times New Roman"/>
          <w:bCs/>
          <w:spacing w:val="4"/>
          <w:w w:val="103"/>
          <w:kern w:val="14"/>
          <w:sz w:val="20"/>
        </w:rPr>
      </w:pPr>
      <w:r w:rsidRPr="003D7FCF">
        <w:rPr>
          <w:rFonts w:ascii="Times New Roman" w:hAnsi="Times New Roman"/>
          <w:bCs/>
          <w:spacing w:val="4"/>
          <w:w w:val="103"/>
          <w:kern w:val="14"/>
          <w:sz w:val="20"/>
        </w:rPr>
        <w:t>MICs with high levels of GNI per capita of between $6,660 and $12,475 per capita;</w:t>
      </w:r>
    </w:p>
    <w:p w14:paraId="458F673D" w14:textId="77777777" w:rsidR="005B013F" w:rsidRPr="003D7FCF" w:rsidRDefault="005B013F" w:rsidP="00B8440D">
      <w:pPr>
        <w:suppressAutoHyphens/>
        <w:spacing w:after="120"/>
        <w:ind w:left="1260" w:right="1267" w:hanging="540"/>
        <w:jc w:val="both"/>
        <w:rPr>
          <w:rFonts w:ascii="Times New Roman" w:hAnsi="Times New Roman"/>
          <w:bCs/>
          <w:spacing w:val="4"/>
          <w:w w:val="103"/>
          <w:kern w:val="14"/>
          <w:sz w:val="20"/>
        </w:rPr>
      </w:pPr>
      <w:r w:rsidRPr="003D7FCF">
        <w:rPr>
          <w:rFonts w:ascii="Times New Roman" w:hAnsi="Times New Roman"/>
          <w:bCs/>
          <w:spacing w:val="4"/>
          <w:w w:val="103"/>
          <w:kern w:val="14"/>
          <w:sz w:val="20"/>
        </w:rPr>
        <w:t>(c)</w:t>
      </w:r>
      <w:r w:rsidRPr="003D7FCF">
        <w:rPr>
          <w:rFonts w:ascii="Times New Roman" w:hAnsi="Times New Roman"/>
          <w:bCs/>
          <w:spacing w:val="4"/>
          <w:w w:val="103"/>
          <w:kern w:val="14"/>
          <w:sz w:val="20"/>
        </w:rPr>
        <w:tab/>
        <w:t xml:space="preserve">Transitional NCCs are defined as countries with 2010-2013 average GNI per capita greater than $12,475 for the first time in 2016-2017 (as compared to the previous biennial budget period 2014-2015). </w:t>
      </w:r>
    </w:p>
    <w:p w14:paraId="2978670E" w14:textId="77777777" w:rsidR="005B013F" w:rsidRPr="003D7FCF" w:rsidRDefault="005B013F" w:rsidP="00B8440D">
      <w:pPr>
        <w:suppressAutoHyphens/>
        <w:spacing w:after="120"/>
        <w:ind w:left="1260" w:right="1267" w:hanging="540"/>
        <w:jc w:val="both"/>
        <w:rPr>
          <w:rFonts w:ascii="Times New Roman" w:hAnsi="Times New Roman"/>
          <w:bCs/>
          <w:spacing w:val="4"/>
          <w:w w:val="103"/>
          <w:kern w:val="14"/>
          <w:sz w:val="20"/>
        </w:rPr>
      </w:pPr>
      <w:r w:rsidRPr="003D7FCF">
        <w:rPr>
          <w:rFonts w:ascii="Times New Roman" w:hAnsi="Times New Roman"/>
          <w:bCs/>
          <w:spacing w:val="4"/>
          <w:w w:val="103"/>
          <w:kern w:val="14"/>
          <w:sz w:val="20"/>
        </w:rPr>
        <w:t>(d)</w:t>
      </w:r>
      <w:r w:rsidRPr="003D7FCF">
        <w:rPr>
          <w:rFonts w:ascii="Times New Roman" w:hAnsi="Times New Roman"/>
          <w:bCs/>
          <w:spacing w:val="4"/>
          <w:w w:val="103"/>
          <w:kern w:val="14"/>
          <w:sz w:val="20"/>
        </w:rPr>
        <w:tab/>
        <w:t>NCCs are defined as countries with 2010-2013 average GNI per capita greater than $12,475 for the second consecutive Integrated Budget period (i.e. in 2014-2015 as well as 2016-17).</w:t>
      </w:r>
    </w:p>
    <w:p w14:paraId="3DFDFD70" w14:textId="77777777" w:rsidR="005B013F" w:rsidRPr="00B8440D" w:rsidRDefault="005B013F" w:rsidP="00B8440D">
      <w:pPr>
        <w:suppressAutoHyphens/>
        <w:spacing w:after="120"/>
        <w:ind w:left="720" w:right="1267"/>
        <w:jc w:val="both"/>
        <w:rPr>
          <w:rFonts w:ascii="Times New Roman" w:hAnsi="Times New Roman"/>
          <w:bCs/>
          <w:spacing w:val="4"/>
          <w:w w:val="103"/>
          <w:kern w:val="14"/>
          <w:sz w:val="20"/>
        </w:rPr>
      </w:pPr>
      <w:r w:rsidRPr="003D7FCF">
        <w:rPr>
          <w:rFonts w:ascii="Times New Roman" w:hAnsi="Times New Roman"/>
          <w:bCs/>
          <w:spacing w:val="4"/>
          <w:w w:val="103"/>
          <w:kern w:val="14"/>
          <w:sz w:val="20"/>
        </w:rPr>
        <w:t>The Executive Board decided in decision 2012/28 that there would be a system of biennial updates. In this regard, a four-year approach for GNI per capita averaging are applied, with the average GNI per capita of the years 2008-2011 applied to the first two years of the Integrated Budget, 2014-2015, and the average GNI per capita of the years 2010-2013 applied to the last two years of the Integrated Budget, 2016-2017.</w:t>
      </w:r>
    </w:p>
    <w:p w14:paraId="6FA4FCF8" w14:textId="4892ACDA" w:rsidR="00B1400D" w:rsidRPr="00AD7765" w:rsidRDefault="00B1400D" w:rsidP="005B013F">
      <w:pPr>
        <w:suppressAutoHyphens/>
        <w:spacing w:after="120"/>
        <w:ind w:right="1267"/>
        <w:jc w:val="both"/>
        <w:rPr>
          <w:rFonts w:ascii="Times New Roman" w:hAnsi="Times New Roman"/>
          <w:spacing w:val="4"/>
          <w:w w:val="103"/>
          <w:kern w:val="14"/>
          <w:sz w:val="20"/>
          <w:lang w:val="en-GB"/>
        </w:rPr>
      </w:pPr>
      <w:r w:rsidRPr="00AD7765">
        <w:rPr>
          <w:rFonts w:ascii="Times New Roman" w:hAnsi="Times New Roman"/>
          <w:bCs/>
          <w:i/>
          <w:spacing w:val="4"/>
          <w:w w:val="103"/>
          <w:kern w:val="14"/>
          <w:sz w:val="20"/>
        </w:rPr>
        <w:t>Management activities:</w:t>
      </w:r>
      <w:r w:rsidRPr="00AD7765">
        <w:rPr>
          <w:rFonts w:ascii="Times New Roman" w:hAnsi="Times New Roman"/>
          <w:bCs/>
          <w:spacing w:val="4"/>
          <w:w w:val="103"/>
          <w:kern w:val="14"/>
          <w:sz w:val="20"/>
        </w:rPr>
        <w:t xml:space="preserve"> </w:t>
      </w:r>
      <w:r w:rsidRPr="00AD7765">
        <w:rPr>
          <w:rFonts w:ascii="Times New Roman" w:hAnsi="Times New Roman"/>
          <w:spacing w:val="4"/>
          <w:w w:val="103"/>
          <w:kern w:val="14"/>
          <w:sz w:val="20"/>
          <w:lang w:val="en-GB"/>
        </w:rPr>
        <w:t xml:space="preserve">Activities whose primary function is the promotion of the identity, direction and well-being of an </w:t>
      </w:r>
      <w:r w:rsidR="00C23D9B">
        <w:rPr>
          <w:rFonts w:ascii="Times New Roman" w:hAnsi="Times New Roman"/>
          <w:spacing w:val="4"/>
          <w:w w:val="103"/>
          <w:kern w:val="14"/>
          <w:sz w:val="20"/>
          <w:lang w:val="en-GB"/>
        </w:rPr>
        <w:t>organisation</w:t>
      </w:r>
      <w:r w:rsidRPr="00AD7765">
        <w:rPr>
          <w:rFonts w:ascii="Times New Roman" w:hAnsi="Times New Roman"/>
          <w:spacing w:val="4"/>
          <w:w w:val="103"/>
          <w:kern w:val="14"/>
          <w:sz w:val="20"/>
          <w:lang w:val="en-GB"/>
        </w:rPr>
        <w:t>. These include executive direction, representation, external relations and partnerships, corporate communications, legal, oversight, audit, corporate evaluation, information technology, finance, administration, security and human resources.</w:t>
      </w:r>
    </w:p>
    <w:p w14:paraId="6FA4FCF9" w14:textId="77777777" w:rsidR="00634F26" w:rsidRPr="00AD7765" w:rsidRDefault="00634F26" w:rsidP="00A10E7B">
      <w:pPr>
        <w:spacing w:after="120"/>
        <w:ind w:right="1267"/>
        <w:jc w:val="both"/>
        <w:rPr>
          <w:rFonts w:ascii="Times New Roman" w:hAnsi="Times New Roman"/>
          <w:color w:val="000000"/>
          <w:spacing w:val="4"/>
          <w:w w:val="103"/>
          <w:kern w:val="14"/>
          <w:sz w:val="20"/>
        </w:rPr>
      </w:pPr>
      <w:r w:rsidRPr="00AD7765">
        <w:rPr>
          <w:rFonts w:ascii="Times New Roman" w:hAnsi="Times New Roman"/>
          <w:i/>
          <w:spacing w:val="4"/>
          <w:w w:val="103"/>
          <w:kern w:val="14"/>
          <w:sz w:val="20"/>
          <w:shd w:val="clear" w:color="auto" w:fill="FFFFFF"/>
        </w:rPr>
        <w:t>Management service agreements</w:t>
      </w:r>
      <w:r w:rsidRPr="00AD7765">
        <w:rPr>
          <w:rFonts w:ascii="Times New Roman" w:hAnsi="Times New Roman"/>
          <w:spacing w:val="4"/>
          <w:w w:val="103"/>
          <w:kern w:val="14"/>
          <w:sz w:val="20"/>
          <w:shd w:val="clear" w:color="auto" w:fill="FFFFFF"/>
        </w:rPr>
        <w:t xml:space="preserve"> (MSAs):</w:t>
      </w:r>
      <w:r w:rsidRPr="00AD7765">
        <w:rPr>
          <w:rFonts w:ascii="Times New Roman" w:hAnsi="Times New Roman"/>
          <w:color w:val="000000"/>
          <w:spacing w:val="4"/>
          <w:w w:val="103"/>
          <w:kern w:val="14"/>
          <w:sz w:val="20"/>
        </w:rPr>
        <w:t xml:space="preserve"> Management service agreement (MSA) signed with a donor to prepare for receiving contributions to deliver management and other support services to recipient governments under a specific </w:t>
      </w:r>
      <w:proofErr w:type="spellStart"/>
      <w:r w:rsidRPr="00AD7765">
        <w:rPr>
          <w:rFonts w:ascii="Times New Roman" w:hAnsi="Times New Roman"/>
          <w:color w:val="000000"/>
          <w:spacing w:val="4"/>
          <w:w w:val="103"/>
          <w:kern w:val="14"/>
          <w:sz w:val="20"/>
        </w:rPr>
        <w:t>programme</w:t>
      </w:r>
      <w:proofErr w:type="spellEnd"/>
      <w:r w:rsidRPr="00AD7765">
        <w:rPr>
          <w:rFonts w:ascii="Times New Roman" w:hAnsi="Times New Roman"/>
          <w:color w:val="000000"/>
          <w:spacing w:val="4"/>
          <w:w w:val="103"/>
          <w:kern w:val="14"/>
          <w:sz w:val="20"/>
        </w:rPr>
        <w:t xml:space="preserve"> or project.</w:t>
      </w:r>
    </w:p>
    <w:p w14:paraId="6FA4FCFA" w14:textId="23A201DD" w:rsidR="00634F26" w:rsidRPr="00AD7765" w:rsidRDefault="00634F26" w:rsidP="00A10E7B">
      <w:pPr>
        <w:spacing w:after="120"/>
        <w:ind w:right="1267"/>
        <w:jc w:val="both"/>
        <w:rPr>
          <w:rFonts w:ascii="Times New Roman" w:hAnsi="Times New Roman"/>
          <w:sz w:val="20"/>
        </w:rPr>
      </w:pPr>
      <w:r w:rsidRPr="00AD7765">
        <w:rPr>
          <w:rFonts w:ascii="Times New Roman" w:hAnsi="Times New Roman"/>
          <w:i/>
          <w:sz w:val="20"/>
        </w:rPr>
        <w:t xml:space="preserve">Multilateral sources: </w:t>
      </w:r>
      <w:r w:rsidRPr="00C83B4C">
        <w:rPr>
          <w:rFonts w:ascii="Times New Roman" w:hAnsi="Times New Roman"/>
          <w:sz w:val="20"/>
        </w:rPr>
        <w:t>M</w:t>
      </w:r>
      <w:r w:rsidRPr="00AD7765">
        <w:rPr>
          <w:rFonts w:ascii="Times New Roman" w:hAnsi="Times New Roman"/>
          <w:sz w:val="20"/>
        </w:rPr>
        <w:t xml:space="preserve">ultilateral partners, such as regional development banks, international financial institutions, United Nations </w:t>
      </w:r>
      <w:proofErr w:type="spellStart"/>
      <w:r w:rsidR="00C23D9B">
        <w:rPr>
          <w:rFonts w:ascii="Times New Roman" w:hAnsi="Times New Roman"/>
          <w:sz w:val="20"/>
        </w:rPr>
        <w:t>organisations</w:t>
      </w:r>
      <w:proofErr w:type="spellEnd"/>
      <w:r w:rsidR="006C6D79">
        <w:rPr>
          <w:rFonts w:ascii="Times New Roman" w:hAnsi="Times New Roman"/>
          <w:sz w:val="20"/>
        </w:rPr>
        <w:t xml:space="preserve">, foundations </w:t>
      </w:r>
      <w:r w:rsidRPr="00AD7765">
        <w:rPr>
          <w:rFonts w:ascii="Times New Roman" w:hAnsi="Times New Roman"/>
          <w:sz w:val="20"/>
        </w:rPr>
        <w:t>and the private sector, which contribute to other resources.</w:t>
      </w:r>
    </w:p>
    <w:p w14:paraId="6FA4FCFB" w14:textId="77777777" w:rsidR="00634F26" w:rsidRPr="00AD7765" w:rsidRDefault="00634F26" w:rsidP="002B563A">
      <w:pPr>
        <w:tabs>
          <w:tab w:val="left" w:pos="1267"/>
          <w:tab w:val="left" w:pos="1530"/>
          <w:tab w:val="left" w:pos="2218"/>
          <w:tab w:val="left" w:pos="2693"/>
          <w:tab w:val="left" w:pos="3182"/>
          <w:tab w:val="left" w:pos="3658"/>
          <w:tab w:val="left" w:pos="4133"/>
          <w:tab w:val="left" w:pos="4622"/>
          <w:tab w:val="left" w:pos="5098"/>
          <w:tab w:val="left" w:pos="5573"/>
          <w:tab w:val="left" w:pos="6048"/>
        </w:tabs>
        <w:suppressAutoHyphens/>
        <w:spacing w:after="120"/>
        <w:ind w:right="1267"/>
        <w:jc w:val="both"/>
        <w:rPr>
          <w:rFonts w:ascii="Times New Roman" w:hAnsi="Times New Roman"/>
          <w:iCs/>
          <w:spacing w:val="4"/>
          <w:w w:val="103"/>
          <w:kern w:val="14"/>
          <w:sz w:val="20"/>
        </w:rPr>
      </w:pPr>
      <w:r w:rsidRPr="00AD7765">
        <w:rPr>
          <w:rFonts w:ascii="Times New Roman" w:hAnsi="Times New Roman"/>
          <w:i/>
          <w:iCs/>
          <w:spacing w:val="4"/>
          <w:w w:val="103"/>
          <w:kern w:val="14"/>
          <w:sz w:val="20"/>
        </w:rPr>
        <w:t xml:space="preserve">Other expenses: </w:t>
      </w:r>
      <w:r w:rsidRPr="00AD7765">
        <w:rPr>
          <w:rFonts w:ascii="Times New Roman" w:hAnsi="Times New Roman"/>
          <w:iCs/>
          <w:spacing w:val="4"/>
          <w:w w:val="103"/>
          <w:kern w:val="14"/>
          <w:sz w:val="20"/>
        </w:rPr>
        <w:t>Expenses on activities other than those covered under the four broad cost classifications</w:t>
      </w:r>
      <w:r w:rsidRPr="00AD7765">
        <w:rPr>
          <w:rFonts w:ascii="Times New Roman" w:hAnsi="Times New Roman"/>
          <w:spacing w:val="4"/>
          <w:w w:val="103"/>
          <w:kern w:val="14"/>
          <w:sz w:val="20"/>
        </w:rPr>
        <w:t xml:space="preserve"> (i.e., development, management, United Nations development coordination and special purpose)</w:t>
      </w:r>
      <w:r w:rsidRPr="00AD7765">
        <w:rPr>
          <w:rFonts w:ascii="Times New Roman" w:hAnsi="Times New Roman"/>
          <w:iCs/>
          <w:spacing w:val="4"/>
          <w:w w:val="103"/>
          <w:kern w:val="14"/>
          <w:sz w:val="20"/>
        </w:rPr>
        <w:t xml:space="preserve">. </w:t>
      </w:r>
    </w:p>
    <w:p w14:paraId="3880F008" w14:textId="54011040" w:rsidR="002B563A" w:rsidRDefault="00B1400D" w:rsidP="002B563A">
      <w:pPr>
        <w:tabs>
          <w:tab w:val="left" w:pos="1267"/>
          <w:tab w:val="left" w:pos="1620"/>
          <w:tab w:val="left" w:pos="2218"/>
          <w:tab w:val="left" w:pos="2693"/>
          <w:tab w:val="left" w:pos="3182"/>
          <w:tab w:val="left" w:pos="3658"/>
          <w:tab w:val="left" w:pos="4133"/>
          <w:tab w:val="left" w:pos="4622"/>
          <w:tab w:val="left" w:pos="5098"/>
          <w:tab w:val="left" w:pos="5573"/>
          <w:tab w:val="left" w:pos="6048"/>
        </w:tabs>
        <w:suppressAutoHyphens/>
        <w:spacing w:after="120"/>
        <w:ind w:right="1267"/>
        <w:jc w:val="both"/>
        <w:rPr>
          <w:rFonts w:ascii="Times New Roman" w:hAnsi="Times New Roman"/>
          <w:i/>
          <w:iCs/>
          <w:spacing w:val="4"/>
          <w:w w:val="103"/>
          <w:kern w:val="14"/>
          <w:sz w:val="20"/>
        </w:rPr>
      </w:pPr>
      <w:r w:rsidRPr="00AD7765">
        <w:rPr>
          <w:rFonts w:ascii="Times New Roman" w:hAnsi="Times New Roman"/>
          <w:i/>
          <w:iCs/>
          <w:spacing w:val="4"/>
          <w:w w:val="103"/>
          <w:kern w:val="14"/>
          <w:sz w:val="20"/>
        </w:rPr>
        <w:t>Other resources:</w:t>
      </w:r>
      <w:r w:rsidR="002B563A">
        <w:rPr>
          <w:rFonts w:ascii="Times New Roman" w:hAnsi="Times New Roman"/>
          <w:i/>
          <w:iCs/>
          <w:spacing w:val="4"/>
          <w:w w:val="103"/>
          <w:kern w:val="14"/>
          <w:sz w:val="20"/>
        </w:rPr>
        <w:tab/>
      </w:r>
      <w:r w:rsidR="00B8440D" w:rsidRPr="00B8440D">
        <w:rPr>
          <w:rFonts w:ascii="Times New Roman" w:hAnsi="Times New Roman"/>
          <w:iCs/>
          <w:spacing w:val="4"/>
          <w:w w:val="103"/>
          <w:kern w:val="14"/>
          <w:sz w:val="20"/>
        </w:rPr>
        <w:t xml:space="preserve">Resources of a voluntarily funded </w:t>
      </w:r>
      <w:proofErr w:type="spellStart"/>
      <w:r w:rsidR="00B8440D" w:rsidRPr="00B8440D">
        <w:rPr>
          <w:rFonts w:ascii="Times New Roman" w:hAnsi="Times New Roman"/>
          <w:iCs/>
          <w:spacing w:val="4"/>
          <w:w w:val="103"/>
          <w:kern w:val="14"/>
          <w:sz w:val="20"/>
        </w:rPr>
        <w:t>organisation</w:t>
      </w:r>
      <w:proofErr w:type="spellEnd"/>
      <w:r w:rsidR="00B8440D" w:rsidRPr="00B8440D">
        <w:rPr>
          <w:rFonts w:ascii="Times New Roman" w:hAnsi="Times New Roman"/>
          <w:iCs/>
          <w:spacing w:val="4"/>
          <w:w w:val="103"/>
          <w:kern w:val="14"/>
          <w:sz w:val="20"/>
        </w:rPr>
        <w:t xml:space="preserve"> that are received for a specific </w:t>
      </w:r>
      <w:r w:rsidR="004A74A3">
        <w:rPr>
          <w:rFonts w:ascii="Times New Roman" w:hAnsi="Times New Roman"/>
          <w:iCs/>
          <w:spacing w:val="4"/>
          <w:w w:val="103"/>
          <w:kern w:val="14"/>
          <w:sz w:val="20"/>
        </w:rPr>
        <w:t xml:space="preserve">theme, </w:t>
      </w:r>
      <w:proofErr w:type="spellStart"/>
      <w:r w:rsidR="00B8440D" w:rsidRPr="00B8440D">
        <w:rPr>
          <w:rFonts w:ascii="Times New Roman" w:hAnsi="Times New Roman"/>
          <w:iCs/>
          <w:spacing w:val="4"/>
          <w:w w:val="103"/>
          <w:kern w:val="14"/>
          <w:sz w:val="20"/>
        </w:rPr>
        <w:t>programme</w:t>
      </w:r>
      <w:proofErr w:type="spellEnd"/>
      <w:r w:rsidR="00B8440D" w:rsidRPr="00B8440D">
        <w:rPr>
          <w:rFonts w:ascii="Times New Roman" w:hAnsi="Times New Roman"/>
          <w:iCs/>
          <w:spacing w:val="4"/>
          <w:w w:val="103"/>
          <w:kern w:val="14"/>
          <w:sz w:val="20"/>
        </w:rPr>
        <w:t xml:space="preserve"> purpose and for the provision of specific services to third parties. Resources that fall under this category are: cost-sharing, trust funds established by the Administrator, reimbursable support services and miscellaneous activities.</w:t>
      </w:r>
    </w:p>
    <w:p w14:paraId="6FA4FCFD" w14:textId="23B6A727" w:rsidR="00634F26" w:rsidRPr="00AD7765" w:rsidRDefault="00634F26" w:rsidP="00A10E7B">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ind w:right="1267"/>
        <w:jc w:val="both"/>
        <w:rPr>
          <w:rFonts w:ascii="Times New Roman" w:hAnsi="Times New Roman"/>
          <w:iCs/>
          <w:spacing w:val="4"/>
          <w:w w:val="103"/>
          <w:kern w:val="14"/>
          <w:sz w:val="20"/>
        </w:rPr>
      </w:pPr>
      <w:r w:rsidRPr="00AD7765">
        <w:rPr>
          <w:rFonts w:ascii="Times New Roman" w:hAnsi="Times New Roman"/>
          <w:i/>
          <w:iCs/>
          <w:spacing w:val="4"/>
          <w:w w:val="103"/>
          <w:kern w:val="14"/>
          <w:sz w:val="20"/>
        </w:rPr>
        <w:t xml:space="preserve">Overall UNDP contributions: </w:t>
      </w:r>
      <w:r w:rsidRPr="00AD7765">
        <w:rPr>
          <w:rFonts w:ascii="Times New Roman" w:hAnsi="Times New Roman"/>
          <w:iCs/>
          <w:spacing w:val="4"/>
          <w:w w:val="103"/>
          <w:kern w:val="14"/>
          <w:sz w:val="20"/>
        </w:rPr>
        <w:t>Contribu</w:t>
      </w:r>
      <w:r w:rsidR="00C83B4C">
        <w:rPr>
          <w:rFonts w:ascii="Times New Roman" w:hAnsi="Times New Roman"/>
          <w:iCs/>
          <w:spacing w:val="4"/>
          <w:w w:val="103"/>
          <w:kern w:val="14"/>
          <w:sz w:val="20"/>
        </w:rPr>
        <w:t>tions to UNDP regular resources and</w:t>
      </w:r>
      <w:r w:rsidRPr="00AD7765">
        <w:rPr>
          <w:rFonts w:ascii="Times New Roman" w:hAnsi="Times New Roman"/>
          <w:iCs/>
          <w:spacing w:val="4"/>
          <w:w w:val="103"/>
          <w:kern w:val="14"/>
          <w:sz w:val="20"/>
        </w:rPr>
        <w:t xml:space="preserve"> other resources.</w:t>
      </w:r>
    </w:p>
    <w:p w14:paraId="64A09477" w14:textId="77777777" w:rsidR="00686B26" w:rsidRDefault="000E25A7" w:rsidP="00A10E7B">
      <w:pPr>
        <w:pStyle w:val="SingleTxt"/>
        <w:spacing w:line="240" w:lineRule="auto"/>
        <w:ind w:left="0"/>
        <w:rPr>
          <w:iCs/>
          <w:lang w:val="en-US"/>
        </w:rPr>
      </w:pPr>
      <w:r>
        <w:rPr>
          <w:i/>
          <w:iCs/>
          <w:lang w:val="en-US"/>
        </w:rPr>
        <w:lastRenderedPageBreak/>
        <w:t xml:space="preserve">Operational reserve: </w:t>
      </w:r>
      <w:r w:rsidR="00686B26" w:rsidRPr="00686B26">
        <w:rPr>
          <w:iCs/>
          <w:lang w:val="en-US"/>
        </w:rPr>
        <w:t>A reserve established in 1979 by the Governing Council (now the Executive Board)</w:t>
      </w:r>
      <w:r w:rsidR="00686B26">
        <w:rPr>
          <w:iCs/>
          <w:lang w:val="en-US"/>
        </w:rPr>
        <w:t xml:space="preserve"> of UNDP to ensure adequate liquidity of UNDP by funding such reserve through a defined formula that is calculated yearly.</w:t>
      </w:r>
    </w:p>
    <w:p w14:paraId="1AB6454E" w14:textId="77777777" w:rsidR="00B8440D" w:rsidRDefault="00777C57" w:rsidP="00A10E7B">
      <w:pPr>
        <w:pStyle w:val="SingleTxt"/>
        <w:spacing w:line="240" w:lineRule="auto"/>
        <w:ind w:left="0"/>
        <w:rPr>
          <w:lang w:val="en-US"/>
        </w:rPr>
      </w:pPr>
      <w:bookmarkStart w:id="2" w:name="_Hlk517888035"/>
      <w:r w:rsidRPr="00AD7765">
        <w:rPr>
          <w:i/>
          <w:iCs/>
          <w:lang w:val="en-US"/>
        </w:rPr>
        <w:t xml:space="preserve">Regular resources: </w:t>
      </w:r>
      <w:bookmarkEnd w:id="2"/>
      <w:r w:rsidR="00B8440D" w:rsidRPr="00AD7765">
        <w:rPr>
          <w:lang w:val="en-US"/>
        </w:rPr>
        <w:t xml:space="preserve">Resources of UNDP which are commingled and untied. They include </w:t>
      </w:r>
      <w:r w:rsidR="00B8440D">
        <w:rPr>
          <w:lang w:val="en-US"/>
        </w:rPr>
        <w:t xml:space="preserve">voluntary </w:t>
      </w:r>
      <w:r w:rsidR="00B8440D" w:rsidRPr="00AD7765">
        <w:rPr>
          <w:lang w:val="en-US"/>
        </w:rPr>
        <w:t>contributions, contributions from governmental, intergovernmental or non-governmental sources, and related interest earnings and miscellaneous income.</w:t>
      </w:r>
    </w:p>
    <w:p w14:paraId="72B9B35F" w14:textId="64257BB4" w:rsidR="00DD34F5" w:rsidRDefault="00C03711" w:rsidP="00A10E7B">
      <w:pPr>
        <w:suppressAutoHyphens/>
        <w:spacing w:after="120"/>
        <w:ind w:right="1267"/>
        <w:jc w:val="both"/>
        <w:rPr>
          <w:rFonts w:ascii="Times New Roman" w:hAnsi="Times New Roman"/>
          <w:spacing w:val="4"/>
          <w:w w:val="103"/>
          <w:kern w:val="14"/>
          <w:sz w:val="20"/>
        </w:rPr>
      </w:pPr>
      <w:r>
        <w:rPr>
          <w:rFonts w:ascii="Times New Roman" w:hAnsi="Times New Roman"/>
          <w:bCs/>
          <w:i/>
          <w:spacing w:val="4"/>
          <w:w w:val="103"/>
          <w:kern w:val="14"/>
          <w:sz w:val="20"/>
        </w:rPr>
        <w:t xml:space="preserve">Reimbursable support services and miscellaneous activities: </w:t>
      </w:r>
      <w:r>
        <w:rPr>
          <w:rFonts w:ascii="Times New Roman" w:hAnsi="Times New Roman"/>
          <w:bCs/>
          <w:spacing w:val="4"/>
          <w:w w:val="103"/>
          <w:kern w:val="14"/>
          <w:sz w:val="20"/>
        </w:rPr>
        <w:t>Resources of UNDP other resources</w:t>
      </w:r>
      <w:r w:rsidR="00DD34F5">
        <w:rPr>
          <w:rFonts w:ascii="Times New Roman" w:hAnsi="Times New Roman"/>
          <w:bCs/>
          <w:spacing w:val="4"/>
          <w:w w:val="103"/>
          <w:kern w:val="14"/>
          <w:sz w:val="20"/>
        </w:rPr>
        <w:t xml:space="preserve"> (other than cost-sharing and trust funds). Such funds are received for the provision of management and other support services to third parties. It comprises the following activities: </w:t>
      </w:r>
      <w:r w:rsidR="00DD34F5" w:rsidRPr="00AD7765">
        <w:rPr>
          <w:rFonts w:ascii="Times New Roman" w:hAnsi="Times New Roman"/>
          <w:spacing w:val="4"/>
          <w:w w:val="103"/>
          <w:kern w:val="14"/>
          <w:sz w:val="20"/>
        </w:rPr>
        <w:t>management services agreements</w:t>
      </w:r>
      <w:r w:rsidR="00DD34F5">
        <w:rPr>
          <w:rFonts w:ascii="Times New Roman" w:hAnsi="Times New Roman"/>
          <w:spacing w:val="4"/>
          <w:w w:val="103"/>
          <w:kern w:val="14"/>
          <w:sz w:val="20"/>
        </w:rPr>
        <w:t xml:space="preserve">; the </w:t>
      </w:r>
      <w:r w:rsidR="00DD34F5" w:rsidRPr="00AD7765">
        <w:rPr>
          <w:rFonts w:ascii="Times New Roman" w:hAnsi="Times New Roman"/>
          <w:spacing w:val="4"/>
          <w:w w:val="103"/>
          <w:kern w:val="14"/>
          <w:sz w:val="20"/>
        </w:rPr>
        <w:t xml:space="preserve">Junior Professional Officer </w:t>
      </w:r>
      <w:proofErr w:type="spellStart"/>
      <w:r w:rsidR="00DD34F5" w:rsidRPr="00AD7765">
        <w:rPr>
          <w:rFonts w:ascii="Times New Roman" w:hAnsi="Times New Roman"/>
          <w:spacing w:val="4"/>
          <w:w w:val="103"/>
          <w:kern w:val="14"/>
          <w:sz w:val="20"/>
        </w:rPr>
        <w:t>programme</w:t>
      </w:r>
      <w:proofErr w:type="spellEnd"/>
      <w:r w:rsidR="00DD34F5">
        <w:rPr>
          <w:rFonts w:ascii="Times New Roman" w:hAnsi="Times New Roman"/>
          <w:spacing w:val="4"/>
          <w:w w:val="103"/>
          <w:kern w:val="14"/>
          <w:sz w:val="20"/>
        </w:rPr>
        <w:t>, reimbursable support services; the</w:t>
      </w:r>
      <w:r w:rsidR="00DD34F5" w:rsidRPr="00AD7765">
        <w:rPr>
          <w:rFonts w:ascii="Times New Roman" w:hAnsi="Times New Roman"/>
          <w:spacing w:val="4"/>
          <w:w w:val="103"/>
          <w:kern w:val="14"/>
          <w:sz w:val="20"/>
        </w:rPr>
        <w:t xml:space="preserve"> United Nations Volunteers </w:t>
      </w:r>
      <w:proofErr w:type="spellStart"/>
      <w:r w:rsidR="00DD34F5" w:rsidRPr="00AD7765">
        <w:rPr>
          <w:rFonts w:ascii="Times New Roman" w:hAnsi="Times New Roman"/>
          <w:spacing w:val="4"/>
          <w:w w:val="103"/>
          <w:kern w:val="14"/>
          <w:sz w:val="20"/>
        </w:rPr>
        <w:t>programme</w:t>
      </w:r>
      <w:proofErr w:type="spellEnd"/>
      <w:r w:rsidR="00DD34F5" w:rsidRPr="00AD7765">
        <w:rPr>
          <w:rFonts w:ascii="Times New Roman" w:hAnsi="Times New Roman"/>
          <w:spacing w:val="4"/>
          <w:w w:val="103"/>
          <w:kern w:val="14"/>
          <w:sz w:val="20"/>
        </w:rPr>
        <w:t>,</w:t>
      </w:r>
      <w:r w:rsidR="006C6D79">
        <w:rPr>
          <w:rFonts w:ascii="Times New Roman" w:hAnsi="Times New Roman"/>
          <w:spacing w:val="4"/>
          <w:w w:val="103"/>
          <w:kern w:val="14"/>
          <w:sz w:val="20"/>
        </w:rPr>
        <w:t xml:space="preserve"> </w:t>
      </w:r>
      <w:proofErr w:type="spellStart"/>
      <w:r w:rsidR="00DD34F5">
        <w:rPr>
          <w:rFonts w:ascii="Times New Roman" w:hAnsi="Times New Roman"/>
          <w:spacing w:val="4"/>
          <w:w w:val="103"/>
          <w:kern w:val="14"/>
          <w:sz w:val="20"/>
        </w:rPr>
        <w:t>programme</w:t>
      </w:r>
      <w:proofErr w:type="spellEnd"/>
      <w:r w:rsidR="00DD34F5">
        <w:rPr>
          <w:rFonts w:ascii="Times New Roman" w:hAnsi="Times New Roman"/>
          <w:spacing w:val="4"/>
          <w:w w:val="103"/>
          <w:kern w:val="14"/>
          <w:sz w:val="20"/>
        </w:rPr>
        <w:t xml:space="preserve"> support to Resident Coordinators, </w:t>
      </w:r>
      <w:r w:rsidR="00DD34F5" w:rsidRPr="00AD7765">
        <w:rPr>
          <w:rFonts w:ascii="Times New Roman" w:hAnsi="Times New Roman"/>
          <w:spacing w:val="4"/>
          <w:w w:val="103"/>
          <w:kern w:val="14"/>
          <w:sz w:val="20"/>
        </w:rPr>
        <w:t xml:space="preserve">and special </w:t>
      </w:r>
      <w:r w:rsidR="00DD34F5">
        <w:rPr>
          <w:rFonts w:ascii="Times New Roman" w:hAnsi="Times New Roman"/>
          <w:spacing w:val="4"/>
          <w:w w:val="103"/>
          <w:kern w:val="14"/>
          <w:sz w:val="20"/>
        </w:rPr>
        <w:t xml:space="preserve">purpose </w:t>
      </w:r>
      <w:r w:rsidR="00DD34F5" w:rsidRPr="00AD7765">
        <w:rPr>
          <w:rFonts w:ascii="Times New Roman" w:hAnsi="Times New Roman"/>
          <w:spacing w:val="4"/>
          <w:w w:val="103"/>
          <w:kern w:val="14"/>
          <w:sz w:val="20"/>
        </w:rPr>
        <w:t>activities.</w:t>
      </w:r>
    </w:p>
    <w:p w14:paraId="6FA4FCFF" w14:textId="5CFE6A4B" w:rsidR="00662761" w:rsidRPr="00AD7765" w:rsidRDefault="00662761" w:rsidP="00A10E7B">
      <w:pPr>
        <w:suppressAutoHyphens/>
        <w:spacing w:after="120"/>
        <w:ind w:right="1267"/>
        <w:jc w:val="both"/>
        <w:rPr>
          <w:rFonts w:ascii="Times New Roman" w:hAnsi="Times New Roman"/>
          <w:bCs/>
          <w:spacing w:val="4"/>
          <w:w w:val="103"/>
          <w:kern w:val="14"/>
          <w:sz w:val="20"/>
        </w:rPr>
      </w:pPr>
      <w:r w:rsidRPr="00AD7765">
        <w:rPr>
          <w:rFonts w:ascii="Times New Roman" w:hAnsi="Times New Roman"/>
          <w:bCs/>
          <w:i/>
          <w:spacing w:val="4"/>
          <w:w w:val="103"/>
          <w:kern w:val="14"/>
          <w:sz w:val="20"/>
        </w:rPr>
        <w:t>Revenue: C</w:t>
      </w:r>
      <w:r w:rsidR="003831E9">
        <w:rPr>
          <w:rFonts w:ascii="Times New Roman" w:hAnsi="Times New Roman"/>
          <w:bCs/>
          <w:spacing w:val="4"/>
          <w:w w:val="103"/>
          <w:kern w:val="14"/>
          <w:sz w:val="20"/>
        </w:rPr>
        <w:t>onsists of: (a) contributions</w:t>
      </w:r>
      <w:r w:rsidRPr="00AD7765">
        <w:rPr>
          <w:rFonts w:ascii="Times New Roman" w:hAnsi="Times New Roman"/>
          <w:bCs/>
          <w:spacing w:val="4"/>
          <w:w w:val="103"/>
          <w:kern w:val="14"/>
          <w:sz w:val="20"/>
        </w:rPr>
        <w:t>; (</w:t>
      </w:r>
      <w:r w:rsidR="006C6D79">
        <w:rPr>
          <w:rFonts w:ascii="Times New Roman" w:hAnsi="Times New Roman"/>
          <w:bCs/>
          <w:spacing w:val="4"/>
          <w:w w:val="103"/>
          <w:kern w:val="14"/>
          <w:sz w:val="20"/>
        </w:rPr>
        <w:t>b</w:t>
      </w:r>
      <w:r w:rsidRPr="00AD7765">
        <w:rPr>
          <w:rFonts w:ascii="Times New Roman" w:hAnsi="Times New Roman"/>
          <w:bCs/>
          <w:spacing w:val="4"/>
          <w:w w:val="103"/>
          <w:kern w:val="14"/>
          <w:sz w:val="20"/>
        </w:rPr>
        <w:t>) investment revenue; and (</w:t>
      </w:r>
      <w:r w:rsidR="006C6D79">
        <w:rPr>
          <w:rFonts w:ascii="Times New Roman" w:hAnsi="Times New Roman"/>
          <w:bCs/>
          <w:spacing w:val="4"/>
          <w:w w:val="103"/>
          <w:kern w:val="14"/>
          <w:sz w:val="20"/>
        </w:rPr>
        <w:t>c</w:t>
      </w:r>
      <w:r w:rsidRPr="00AD7765">
        <w:rPr>
          <w:rFonts w:ascii="Times New Roman" w:hAnsi="Times New Roman"/>
          <w:bCs/>
          <w:spacing w:val="4"/>
          <w:w w:val="103"/>
          <w:kern w:val="14"/>
          <w:sz w:val="20"/>
        </w:rPr>
        <w:t>) other revenue</w:t>
      </w:r>
      <w:r w:rsidR="003831E9">
        <w:rPr>
          <w:rFonts w:ascii="Times New Roman" w:hAnsi="Times New Roman"/>
          <w:bCs/>
          <w:spacing w:val="4"/>
          <w:w w:val="103"/>
          <w:kern w:val="14"/>
          <w:sz w:val="20"/>
        </w:rPr>
        <w:t xml:space="preserve"> </w:t>
      </w:r>
      <w:r w:rsidR="003831E9" w:rsidRPr="00AD7765">
        <w:rPr>
          <w:rFonts w:ascii="Times New Roman" w:hAnsi="Times New Roman"/>
          <w:bCs/>
          <w:spacing w:val="4"/>
          <w:w w:val="103"/>
          <w:kern w:val="14"/>
          <w:sz w:val="20"/>
        </w:rPr>
        <w:t>(see below)</w:t>
      </w:r>
      <w:r w:rsidRPr="00AD7765">
        <w:rPr>
          <w:rFonts w:ascii="Times New Roman" w:hAnsi="Times New Roman"/>
          <w:bCs/>
          <w:spacing w:val="4"/>
          <w:w w:val="103"/>
          <w:kern w:val="14"/>
          <w:sz w:val="20"/>
        </w:rPr>
        <w:t>.</w:t>
      </w:r>
    </w:p>
    <w:p w14:paraId="156F22E8" w14:textId="65C8705F" w:rsidR="003831E9" w:rsidRDefault="0062316B" w:rsidP="00DA706F">
      <w:pPr>
        <w:pStyle w:val="ListParagraph"/>
        <w:numPr>
          <w:ilvl w:val="0"/>
          <w:numId w:val="13"/>
        </w:numPr>
        <w:suppressAutoHyphens/>
        <w:spacing w:after="120"/>
        <w:ind w:left="1260" w:right="1267" w:hanging="630"/>
        <w:jc w:val="both"/>
        <w:rPr>
          <w:rFonts w:ascii="Times New Roman" w:hAnsi="Times New Roman"/>
          <w:bCs/>
          <w:spacing w:val="4"/>
          <w:w w:val="103"/>
          <w:kern w:val="14"/>
          <w:sz w:val="20"/>
        </w:rPr>
      </w:pPr>
      <w:r w:rsidRPr="003831E9">
        <w:rPr>
          <w:rFonts w:ascii="Times New Roman" w:hAnsi="Times New Roman"/>
          <w:bCs/>
          <w:i/>
          <w:spacing w:val="4"/>
          <w:w w:val="103"/>
          <w:kern w:val="14"/>
          <w:sz w:val="20"/>
        </w:rPr>
        <w:t>Contributions</w:t>
      </w:r>
      <w:r w:rsidR="00662761" w:rsidRPr="003831E9">
        <w:rPr>
          <w:rFonts w:ascii="Times New Roman" w:hAnsi="Times New Roman"/>
          <w:bCs/>
          <w:i/>
          <w:spacing w:val="4"/>
          <w:w w:val="103"/>
          <w:kern w:val="14"/>
          <w:sz w:val="20"/>
        </w:rPr>
        <w:t>:</w:t>
      </w:r>
      <w:r w:rsidR="00F00B73" w:rsidRPr="003831E9">
        <w:rPr>
          <w:rFonts w:ascii="Times New Roman" w:hAnsi="Times New Roman"/>
          <w:bCs/>
          <w:spacing w:val="4"/>
          <w:w w:val="103"/>
          <w:kern w:val="14"/>
          <w:sz w:val="20"/>
        </w:rPr>
        <w:t xml:space="preserve"> </w:t>
      </w:r>
      <w:r w:rsidR="00A2035A" w:rsidRPr="003831E9">
        <w:rPr>
          <w:rFonts w:ascii="Times New Roman" w:hAnsi="Times New Roman"/>
          <w:bCs/>
          <w:spacing w:val="4"/>
          <w:w w:val="103"/>
          <w:kern w:val="14"/>
          <w:sz w:val="20"/>
        </w:rPr>
        <w:t>C</w:t>
      </w:r>
      <w:r w:rsidR="00F00B73" w:rsidRPr="003831E9">
        <w:rPr>
          <w:rFonts w:ascii="Times New Roman" w:hAnsi="Times New Roman"/>
          <w:bCs/>
          <w:spacing w:val="4"/>
          <w:w w:val="103"/>
          <w:kern w:val="14"/>
          <w:sz w:val="20"/>
        </w:rPr>
        <w:t>ontributions</w:t>
      </w:r>
      <w:r w:rsidR="00662761" w:rsidRPr="003831E9">
        <w:rPr>
          <w:rFonts w:ascii="Times New Roman" w:hAnsi="Times New Roman"/>
          <w:bCs/>
          <w:spacing w:val="4"/>
          <w:w w:val="103"/>
          <w:kern w:val="14"/>
          <w:sz w:val="20"/>
        </w:rPr>
        <w:t xml:space="preserve"> are </w:t>
      </w:r>
      <w:proofErr w:type="spellStart"/>
      <w:r w:rsidR="00A76E0F" w:rsidRPr="003831E9">
        <w:rPr>
          <w:rFonts w:ascii="Times New Roman" w:hAnsi="Times New Roman"/>
          <w:bCs/>
          <w:spacing w:val="4"/>
          <w:w w:val="103"/>
          <w:kern w:val="14"/>
          <w:sz w:val="20"/>
        </w:rPr>
        <w:t>recognise</w:t>
      </w:r>
      <w:r w:rsidR="00662761" w:rsidRPr="003831E9">
        <w:rPr>
          <w:rFonts w:ascii="Times New Roman" w:hAnsi="Times New Roman"/>
          <w:bCs/>
          <w:spacing w:val="4"/>
          <w:w w:val="103"/>
          <w:kern w:val="14"/>
          <w:sz w:val="20"/>
        </w:rPr>
        <w:t>d</w:t>
      </w:r>
      <w:proofErr w:type="spellEnd"/>
      <w:r w:rsidR="00662761" w:rsidRPr="003831E9">
        <w:rPr>
          <w:rFonts w:ascii="Times New Roman" w:hAnsi="Times New Roman"/>
          <w:bCs/>
          <w:spacing w:val="4"/>
          <w:w w:val="103"/>
          <w:kern w:val="14"/>
          <w:sz w:val="20"/>
        </w:rPr>
        <w:t xml:space="preserve"> when contribution agreements are signed, or cash is received where no contribution agreement is required.  Voluntary contributions may also include in-kind contributions and GLOC cash contributions provided by </w:t>
      </w:r>
      <w:proofErr w:type="spellStart"/>
      <w:r w:rsidR="00662761" w:rsidRPr="003831E9">
        <w:rPr>
          <w:rFonts w:ascii="Times New Roman" w:hAnsi="Times New Roman"/>
          <w:bCs/>
          <w:spacing w:val="4"/>
          <w:w w:val="103"/>
          <w:kern w:val="14"/>
          <w:sz w:val="20"/>
        </w:rPr>
        <w:t>programme</w:t>
      </w:r>
      <w:proofErr w:type="spellEnd"/>
      <w:r w:rsidR="00662761" w:rsidRPr="003831E9">
        <w:rPr>
          <w:rFonts w:ascii="Times New Roman" w:hAnsi="Times New Roman"/>
          <w:bCs/>
          <w:spacing w:val="4"/>
          <w:w w:val="103"/>
          <w:kern w:val="14"/>
          <w:sz w:val="20"/>
        </w:rPr>
        <w:t xml:space="preserve"> country governments.</w:t>
      </w:r>
    </w:p>
    <w:p w14:paraId="6FA4FD00" w14:textId="639ACE3C" w:rsidR="00662761" w:rsidRPr="003831E9" w:rsidRDefault="00662761" w:rsidP="00DA706F">
      <w:pPr>
        <w:pStyle w:val="ListParagraph"/>
        <w:suppressAutoHyphens/>
        <w:ind w:left="1260" w:right="1267" w:hanging="630"/>
        <w:jc w:val="both"/>
        <w:rPr>
          <w:rFonts w:ascii="Times New Roman" w:hAnsi="Times New Roman"/>
          <w:bCs/>
          <w:spacing w:val="4"/>
          <w:w w:val="103"/>
          <w:kern w:val="14"/>
          <w:sz w:val="20"/>
        </w:rPr>
      </w:pPr>
      <w:r w:rsidRPr="003831E9">
        <w:rPr>
          <w:rFonts w:ascii="Times New Roman" w:hAnsi="Times New Roman"/>
          <w:bCs/>
          <w:spacing w:val="4"/>
          <w:w w:val="103"/>
          <w:kern w:val="14"/>
          <w:sz w:val="20"/>
        </w:rPr>
        <w:t xml:space="preserve"> </w:t>
      </w:r>
    </w:p>
    <w:p w14:paraId="55CF1563" w14:textId="15CEFAE0" w:rsidR="003831E9" w:rsidRPr="003831E9" w:rsidRDefault="003831E9" w:rsidP="00DA706F">
      <w:pPr>
        <w:pStyle w:val="ListParagraph"/>
        <w:suppressAutoHyphens/>
        <w:spacing w:after="120"/>
        <w:ind w:left="1260" w:right="1267"/>
        <w:jc w:val="both"/>
        <w:rPr>
          <w:rFonts w:ascii="Times New Roman" w:hAnsi="Times New Roman"/>
          <w:bCs/>
          <w:spacing w:val="4"/>
          <w:w w:val="103"/>
          <w:kern w:val="14"/>
          <w:sz w:val="20"/>
        </w:rPr>
      </w:pPr>
      <w:bookmarkStart w:id="3" w:name="_Hlk517443473"/>
      <w:r w:rsidRPr="003831E9">
        <w:rPr>
          <w:rFonts w:ascii="Times New Roman" w:hAnsi="Times New Roman"/>
          <w:bCs/>
          <w:i/>
          <w:spacing w:val="4"/>
          <w:w w:val="103"/>
          <w:kern w:val="14"/>
          <w:sz w:val="20"/>
        </w:rPr>
        <w:t>Contributions</w:t>
      </w:r>
      <w:bookmarkEnd w:id="3"/>
      <w:r w:rsidRPr="003831E9">
        <w:rPr>
          <w:rFonts w:ascii="Times New Roman" w:hAnsi="Times New Roman"/>
          <w:bCs/>
          <w:i/>
          <w:spacing w:val="4"/>
          <w:w w:val="103"/>
          <w:kern w:val="14"/>
          <w:sz w:val="20"/>
        </w:rPr>
        <w:t>, net:</w:t>
      </w:r>
      <w:r>
        <w:rPr>
          <w:rFonts w:ascii="Times New Roman" w:hAnsi="Times New Roman"/>
          <w:bCs/>
          <w:spacing w:val="4"/>
          <w:w w:val="103"/>
          <w:kern w:val="14"/>
          <w:sz w:val="20"/>
        </w:rPr>
        <w:t xml:space="preserve"> </w:t>
      </w:r>
      <w:r w:rsidR="00D64ECF">
        <w:rPr>
          <w:rFonts w:ascii="Times New Roman" w:hAnsi="Times New Roman"/>
          <w:bCs/>
          <w:spacing w:val="4"/>
          <w:w w:val="103"/>
          <w:kern w:val="14"/>
          <w:sz w:val="20"/>
        </w:rPr>
        <w:t xml:space="preserve">Net </w:t>
      </w:r>
      <w:r>
        <w:rPr>
          <w:rFonts w:ascii="Times New Roman" w:hAnsi="Times New Roman"/>
          <w:bCs/>
          <w:spacing w:val="4"/>
          <w:w w:val="103"/>
          <w:kern w:val="14"/>
          <w:sz w:val="20"/>
        </w:rPr>
        <w:t xml:space="preserve">Contributions after </w:t>
      </w:r>
      <w:r w:rsidRPr="00AD7765">
        <w:rPr>
          <w:rFonts w:ascii="Times New Roman" w:hAnsi="Times New Roman"/>
          <w:bCs/>
          <w:spacing w:val="4"/>
          <w:w w:val="103"/>
          <w:kern w:val="14"/>
          <w:sz w:val="20"/>
        </w:rPr>
        <w:t xml:space="preserve">returns </w:t>
      </w:r>
      <w:r w:rsidR="00D64ECF">
        <w:rPr>
          <w:rFonts w:ascii="Times New Roman" w:hAnsi="Times New Roman"/>
          <w:bCs/>
          <w:spacing w:val="4"/>
          <w:w w:val="103"/>
          <w:kern w:val="14"/>
          <w:sz w:val="20"/>
        </w:rPr>
        <w:t xml:space="preserve">of unused contributions </w:t>
      </w:r>
      <w:r w:rsidRPr="00AD7765">
        <w:rPr>
          <w:rFonts w:ascii="Times New Roman" w:hAnsi="Times New Roman"/>
          <w:bCs/>
          <w:spacing w:val="4"/>
          <w:w w:val="103"/>
          <w:kern w:val="14"/>
          <w:sz w:val="20"/>
        </w:rPr>
        <w:t xml:space="preserve">to donors, and transfers </w:t>
      </w:r>
      <w:r w:rsidR="00D64ECF">
        <w:rPr>
          <w:rFonts w:ascii="Times New Roman" w:hAnsi="Times New Roman"/>
          <w:bCs/>
          <w:spacing w:val="4"/>
          <w:w w:val="103"/>
          <w:kern w:val="14"/>
          <w:sz w:val="20"/>
        </w:rPr>
        <w:t xml:space="preserve">of funds have been deducted. </w:t>
      </w:r>
    </w:p>
    <w:p w14:paraId="6FA4FD02" w14:textId="7740A5C0" w:rsidR="00662761" w:rsidRPr="00AD7765" w:rsidRDefault="00662761" w:rsidP="00DA706F">
      <w:pPr>
        <w:suppressAutoHyphens/>
        <w:autoSpaceDE w:val="0"/>
        <w:autoSpaceDN w:val="0"/>
        <w:adjustRightInd w:val="0"/>
        <w:spacing w:after="120"/>
        <w:ind w:left="1260" w:right="1267" w:hanging="630"/>
        <w:jc w:val="both"/>
        <w:rPr>
          <w:rFonts w:ascii="Times New Roman" w:eastAsia="Calibri" w:hAnsi="Times New Roman"/>
          <w:spacing w:val="4"/>
          <w:w w:val="103"/>
          <w:kern w:val="14"/>
          <w:sz w:val="20"/>
        </w:rPr>
      </w:pPr>
      <w:r w:rsidRPr="00AD7765">
        <w:rPr>
          <w:rFonts w:ascii="Times New Roman" w:hAnsi="Times New Roman"/>
          <w:i/>
          <w:spacing w:val="4"/>
          <w:w w:val="103"/>
          <w:kern w:val="14"/>
          <w:sz w:val="20"/>
        </w:rPr>
        <w:t>(</w:t>
      </w:r>
      <w:r w:rsidR="00672053">
        <w:rPr>
          <w:rFonts w:ascii="Times New Roman" w:hAnsi="Times New Roman"/>
          <w:i/>
          <w:spacing w:val="4"/>
          <w:w w:val="103"/>
          <w:kern w:val="14"/>
          <w:sz w:val="20"/>
        </w:rPr>
        <w:t>b</w:t>
      </w:r>
      <w:r w:rsidRPr="00AD7765">
        <w:rPr>
          <w:rFonts w:ascii="Times New Roman" w:hAnsi="Times New Roman"/>
          <w:i/>
          <w:spacing w:val="4"/>
          <w:w w:val="103"/>
          <w:kern w:val="14"/>
          <w:sz w:val="20"/>
        </w:rPr>
        <w:t xml:space="preserve">) </w:t>
      </w:r>
      <w:r w:rsidRPr="00AD7765">
        <w:rPr>
          <w:rFonts w:ascii="Times New Roman" w:hAnsi="Times New Roman"/>
          <w:i/>
          <w:spacing w:val="4"/>
          <w:w w:val="103"/>
          <w:kern w:val="14"/>
          <w:sz w:val="20"/>
        </w:rPr>
        <w:tab/>
        <w:t>Investment revenue:</w:t>
      </w:r>
      <w:r w:rsidRPr="00AD7765">
        <w:rPr>
          <w:rFonts w:ascii="Times New Roman" w:eastAsia="Calibri" w:hAnsi="Times New Roman"/>
          <w:spacing w:val="4"/>
          <w:w w:val="103"/>
          <w:kern w:val="14"/>
          <w:sz w:val="20"/>
        </w:rPr>
        <w:t xml:space="preserve"> interest inflows from UNDP investments </w:t>
      </w:r>
    </w:p>
    <w:p w14:paraId="6FA4FD03" w14:textId="58F15015" w:rsidR="00662761" w:rsidRPr="00AD7765" w:rsidRDefault="00662761" w:rsidP="00DA706F">
      <w:pPr>
        <w:suppressAutoHyphens/>
        <w:autoSpaceDE w:val="0"/>
        <w:autoSpaceDN w:val="0"/>
        <w:adjustRightInd w:val="0"/>
        <w:spacing w:after="120"/>
        <w:ind w:left="1260" w:right="1267" w:hanging="630"/>
        <w:jc w:val="both"/>
        <w:rPr>
          <w:rFonts w:ascii="Times New Roman" w:hAnsi="Times New Roman"/>
          <w:bCs/>
          <w:i/>
          <w:spacing w:val="4"/>
          <w:w w:val="103"/>
          <w:kern w:val="14"/>
          <w:sz w:val="20"/>
        </w:rPr>
      </w:pPr>
      <w:r w:rsidRPr="00AD7765">
        <w:rPr>
          <w:rFonts w:ascii="Times New Roman" w:hAnsi="Times New Roman"/>
          <w:i/>
          <w:spacing w:val="4"/>
          <w:w w:val="103"/>
          <w:kern w:val="14"/>
          <w:sz w:val="20"/>
        </w:rPr>
        <w:t>(</w:t>
      </w:r>
      <w:r w:rsidR="00672053">
        <w:rPr>
          <w:rFonts w:ascii="Times New Roman" w:hAnsi="Times New Roman"/>
          <w:i/>
          <w:spacing w:val="4"/>
          <w:w w:val="103"/>
          <w:kern w:val="14"/>
          <w:sz w:val="20"/>
        </w:rPr>
        <w:t>c</w:t>
      </w:r>
      <w:r w:rsidRPr="00AD7765">
        <w:rPr>
          <w:rFonts w:ascii="Times New Roman" w:hAnsi="Times New Roman"/>
          <w:i/>
          <w:spacing w:val="4"/>
          <w:w w:val="103"/>
          <w:kern w:val="14"/>
          <w:sz w:val="20"/>
        </w:rPr>
        <w:t xml:space="preserve">) </w:t>
      </w:r>
      <w:r w:rsidRPr="00AD7765">
        <w:rPr>
          <w:rFonts w:ascii="Times New Roman" w:hAnsi="Times New Roman"/>
          <w:i/>
          <w:spacing w:val="4"/>
          <w:w w:val="103"/>
          <w:kern w:val="14"/>
          <w:sz w:val="20"/>
        </w:rPr>
        <w:tab/>
        <w:t xml:space="preserve">Other revenue: </w:t>
      </w:r>
      <w:r w:rsidR="00F00B73" w:rsidRPr="00AD7765">
        <w:rPr>
          <w:rFonts w:ascii="Times New Roman" w:hAnsi="Times New Roman"/>
          <w:i/>
          <w:spacing w:val="4"/>
          <w:w w:val="103"/>
          <w:kern w:val="14"/>
          <w:sz w:val="20"/>
        </w:rPr>
        <w:t>R</w:t>
      </w:r>
      <w:r w:rsidRPr="00AD7765">
        <w:rPr>
          <w:rFonts w:ascii="Times New Roman" w:hAnsi="Times New Roman"/>
          <w:spacing w:val="4"/>
          <w:w w:val="103"/>
          <w:kern w:val="14"/>
          <w:sz w:val="20"/>
        </w:rPr>
        <w:t xml:space="preserve">evenue from sources other than contributions and investments, for example, </w:t>
      </w:r>
      <w:r w:rsidR="009733A0">
        <w:rPr>
          <w:rFonts w:ascii="Times New Roman" w:hAnsi="Times New Roman"/>
          <w:spacing w:val="4"/>
          <w:w w:val="103"/>
          <w:kern w:val="14"/>
          <w:sz w:val="20"/>
        </w:rPr>
        <w:t xml:space="preserve">revenue from </w:t>
      </w:r>
      <w:r w:rsidR="006C6D79">
        <w:rPr>
          <w:rFonts w:ascii="Times New Roman" w:hAnsi="Times New Roman"/>
          <w:spacing w:val="4"/>
          <w:w w:val="103"/>
          <w:kern w:val="14"/>
          <w:sz w:val="20"/>
        </w:rPr>
        <w:t xml:space="preserve">sale of </w:t>
      </w:r>
      <w:r w:rsidR="009733A0">
        <w:rPr>
          <w:rFonts w:ascii="Times New Roman" w:hAnsi="Times New Roman"/>
          <w:spacing w:val="4"/>
          <w:w w:val="103"/>
          <w:kern w:val="14"/>
          <w:sz w:val="20"/>
        </w:rPr>
        <w:t xml:space="preserve">goods and </w:t>
      </w:r>
      <w:r w:rsidR="006C6D79" w:rsidRPr="00AD7765">
        <w:rPr>
          <w:rFonts w:ascii="Times New Roman" w:hAnsi="Times New Roman"/>
          <w:spacing w:val="4"/>
          <w:w w:val="103"/>
          <w:kern w:val="14"/>
          <w:sz w:val="20"/>
        </w:rPr>
        <w:t>provision of services, such as procurement, training, and other services to governments</w:t>
      </w:r>
      <w:r w:rsidR="009733A0">
        <w:rPr>
          <w:rFonts w:ascii="Times New Roman" w:hAnsi="Times New Roman"/>
          <w:spacing w:val="4"/>
          <w:w w:val="103"/>
          <w:kern w:val="14"/>
          <w:sz w:val="20"/>
        </w:rPr>
        <w:t>, UN agencies and other parties,</w:t>
      </w:r>
      <w:r w:rsidR="006C6D79" w:rsidRPr="00AD7765">
        <w:rPr>
          <w:rFonts w:ascii="Times New Roman" w:hAnsi="Times New Roman"/>
          <w:spacing w:val="4"/>
          <w:w w:val="103"/>
          <w:kern w:val="14"/>
          <w:sz w:val="20"/>
        </w:rPr>
        <w:t xml:space="preserve"> </w:t>
      </w:r>
      <w:r w:rsidRPr="00AD7765">
        <w:rPr>
          <w:rFonts w:ascii="Times New Roman" w:hAnsi="Times New Roman"/>
          <w:spacing w:val="4"/>
          <w:w w:val="103"/>
          <w:kern w:val="14"/>
          <w:sz w:val="20"/>
        </w:rPr>
        <w:t xml:space="preserve">foreign exchange gains, common services and miscellaneous revenue, and </w:t>
      </w:r>
      <w:r w:rsidR="009733A0">
        <w:rPr>
          <w:rFonts w:ascii="Times New Roman" w:hAnsi="Times New Roman"/>
          <w:spacing w:val="4"/>
          <w:w w:val="103"/>
          <w:kern w:val="14"/>
          <w:sz w:val="20"/>
        </w:rPr>
        <w:t>cost recovery revenue</w:t>
      </w:r>
      <w:r w:rsidRPr="00AD7765">
        <w:rPr>
          <w:rFonts w:ascii="Times New Roman" w:hAnsi="Times New Roman"/>
          <w:spacing w:val="4"/>
          <w:w w:val="103"/>
          <w:kern w:val="14"/>
          <w:sz w:val="20"/>
        </w:rPr>
        <w:t>.</w:t>
      </w:r>
    </w:p>
    <w:p w14:paraId="6FA4FD05" w14:textId="77777777" w:rsidR="0026282B" w:rsidRPr="0026282B" w:rsidRDefault="0026282B" w:rsidP="00A10E7B">
      <w:pPr>
        <w:ind w:right="1260"/>
        <w:jc w:val="both"/>
        <w:rPr>
          <w:rFonts w:ascii="Times New Roman" w:hAnsi="Times New Roman"/>
          <w:color w:val="1F497D"/>
          <w:sz w:val="20"/>
          <w:lang w:val="en-GB" w:eastAsia="en-GB"/>
        </w:rPr>
      </w:pPr>
    </w:p>
    <w:p w14:paraId="6FA4FD06" w14:textId="77777777" w:rsidR="00B1400D" w:rsidRPr="00AD7765" w:rsidRDefault="00634F26" w:rsidP="00A10E7B">
      <w:pPr>
        <w:suppressAutoHyphens/>
        <w:autoSpaceDE w:val="0"/>
        <w:autoSpaceDN w:val="0"/>
        <w:adjustRightInd w:val="0"/>
        <w:spacing w:after="120"/>
        <w:ind w:right="1267"/>
        <w:jc w:val="both"/>
        <w:rPr>
          <w:rFonts w:ascii="Times New Roman" w:hAnsi="Times New Roman"/>
          <w:bCs/>
          <w:spacing w:val="4"/>
          <w:w w:val="103"/>
          <w:kern w:val="14"/>
          <w:sz w:val="20"/>
        </w:rPr>
      </w:pPr>
      <w:r w:rsidRPr="00AD7765">
        <w:rPr>
          <w:rFonts w:ascii="Times New Roman" w:hAnsi="Times New Roman"/>
          <w:bCs/>
          <w:i/>
          <w:spacing w:val="4"/>
          <w:w w:val="103"/>
          <w:kern w:val="14"/>
          <w:sz w:val="20"/>
        </w:rPr>
        <w:t xml:space="preserve">Special purpose activities:  </w:t>
      </w:r>
      <w:r w:rsidR="00B1400D" w:rsidRPr="00AD7765">
        <w:rPr>
          <w:rFonts w:ascii="Times New Roman" w:hAnsi="Times New Roman"/>
          <w:bCs/>
          <w:spacing w:val="4"/>
          <w:w w:val="103"/>
          <w:kern w:val="14"/>
          <w:sz w:val="20"/>
        </w:rPr>
        <w:t>Activities and associated costs of (a) capital investments; and (b) non-UNDP operations administered by UNDP.</w:t>
      </w:r>
    </w:p>
    <w:p w14:paraId="6FA4FD07" w14:textId="77777777" w:rsidR="00634F26" w:rsidRPr="00AD7765" w:rsidRDefault="00634F26" w:rsidP="00A10E7B">
      <w:pPr>
        <w:suppressAutoHyphens/>
        <w:spacing w:after="120"/>
        <w:ind w:right="1267"/>
        <w:jc w:val="both"/>
        <w:rPr>
          <w:rFonts w:ascii="Times New Roman" w:hAnsi="Times New Roman"/>
          <w:bCs/>
          <w:spacing w:val="4"/>
          <w:w w:val="103"/>
          <w:kern w:val="14"/>
          <w:sz w:val="20"/>
        </w:rPr>
      </w:pPr>
      <w:r w:rsidRPr="00AD7765">
        <w:rPr>
          <w:rFonts w:ascii="Times New Roman" w:hAnsi="Times New Roman"/>
          <w:bCs/>
          <w:i/>
          <w:spacing w:val="4"/>
          <w:w w:val="103"/>
          <w:kern w:val="14"/>
          <w:sz w:val="20"/>
        </w:rPr>
        <w:t>United Nations development coordination</w:t>
      </w:r>
      <w:r w:rsidR="004A48BC">
        <w:rPr>
          <w:rFonts w:ascii="Times New Roman" w:hAnsi="Times New Roman"/>
          <w:bCs/>
          <w:i/>
          <w:spacing w:val="4"/>
          <w:w w:val="103"/>
          <w:kern w:val="14"/>
          <w:sz w:val="20"/>
        </w:rPr>
        <w:t xml:space="preserve"> activities</w:t>
      </w:r>
      <w:r w:rsidRPr="00AD7765">
        <w:rPr>
          <w:rFonts w:ascii="Times New Roman" w:hAnsi="Times New Roman"/>
          <w:bCs/>
          <w:i/>
          <w:spacing w:val="4"/>
          <w:w w:val="103"/>
          <w:kern w:val="14"/>
          <w:sz w:val="20"/>
        </w:rPr>
        <w:t xml:space="preserve">: </w:t>
      </w:r>
      <w:r w:rsidRPr="00AD7765">
        <w:rPr>
          <w:rFonts w:ascii="Times New Roman" w:hAnsi="Times New Roman"/>
          <w:bCs/>
          <w:spacing w:val="4"/>
          <w:w w:val="103"/>
          <w:kern w:val="14"/>
          <w:sz w:val="20"/>
        </w:rPr>
        <w:t>Activities and associated costs supporting the coordination of development activities of the United Nations system.</w:t>
      </w:r>
    </w:p>
    <w:p w14:paraId="6FA4FD08" w14:textId="77777777" w:rsidR="007F75AA" w:rsidRPr="00634F26" w:rsidRDefault="007F75AA" w:rsidP="00A10E7B">
      <w:pPr>
        <w:suppressAutoHyphens/>
        <w:spacing w:after="120"/>
        <w:ind w:right="1267"/>
        <w:jc w:val="both"/>
        <w:rPr>
          <w:rFonts w:ascii="Times New Roman" w:hAnsi="Times New Roman"/>
          <w:bCs/>
          <w:spacing w:val="4"/>
          <w:w w:val="103"/>
          <w:kern w:val="14"/>
          <w:sz w:val="20"/>
        </w:rPr>
      </w:pPr>
    </w:p>
    <w:p w14:paraId="6FA4FD09" w14:textId="77777777" w:rsidR="00634F26" w:rsidRPr="00634F26" w:rsidRDefault="00634F26" w:rsidP="00634F26">
      <w:pPr>
        <w:suppressAutoHyphens/>
        <w:spacing w:line="240" w:lineRule="exact"/>
        <w:rPr>
          <w:rFonts w:ascii="Times New Roman" w:hAnsi="Times New Roman"/>
          <w:spacing w:val="4"/>
          <w:w w:val="103"/>
          <w:kern w:val="14"/>
          <w:sz w:val="20"/>
          <w:lang w:val="en-GB"/>
        </w:rPr>
      </w:pPr>
    </w:p>
    <w:p w14:paraId="6FA4FD0A" w14:textId="4CCD2182" w:rsidR="00C61BB2" w:rsidRDefault="006D3023" w:rsidP="00EB0DA9">
      <w:pPr>
        <w:pStyle w:val="GCHEADER"/>
        <w:tabs>
          <w:tab w:val="clear" w:pos="10440"/>
          <w:tab w:val="left" w:pos="-720"/>
        </w:tabs>
        <w:spacing w:line="283" w:lineRule="auto"/>
        <w:ind w:right="720"/>
        <w:outlineLvl w:val="0"/>
        <w:rPr>
          <w:rFonts w:ascii="Courier" w:hAnsi="Courier"/>
          <w:b w:val="0"/>
          <w:spacing w:val="-2"/>
          <w:sz w:val="20"/>
        </w:rPr>
      </w:pPr>
      <w:r>
        <w:rPr>
          <w:rFonts w:ascii="Courier" w:hAnsi="Courier"/>
          <w:b w:val="0"/>
          <w:spacing w:val="-2"/>
          <w:sz w:val="20"/>
        </w:rPr>
        <w:tab/>
      </w:r>
      <w:r>
        <w:rPr>
          <w:rFonts w:ascii="Courier" w:hAnsi="Courier"/>
          <w:b w:val="0"/>
          <w:spacing w:val="-2"/>
          <w:sz w:val="20"/>
        </w:rPr>
        <w:tab/>
      </w:r>
      <w:r>
        <w:rPr>
          <w:rFonts w:ascii="Courier" w:hAnsi="Courier"/>
          <w:b w:val="0"/>
          <w:spacing w:val="-2"/>
          <w:sz w:val="20"/>
        </w:rPr>
        <w:tab/>
      </w:r>
      <w:r>
        <w:rPr>
          <w:rFonts w:ascii="Courier" w:hAnsi="Courier"/>
          <w:b w:val="0"/>
          <w:spacing w:val="-2"/>
          <w:sz w:val="20"/>
        </w:rPr>
        <w:tab/>
      </w:r>
      <w:r>
        <w:rPr>
          <w:rFonts w:ascii="Courier" w:hAnsi="Courier"/>
          <w:b w:val="0"/>
          <w:spacing w:val="-2"/>
          <w:sz w:val="20"/>
        </w:rPr>
        <w:tab/>
        <w:t>_____________</w:t>
      </w:r>
    </w:p>
    <w:sectPr w:rsidR="00C61BB2" w:rsidSect="00DA706F">
      <w:endnotePr>
        <w:numFmt w:val="decimal"/>
      </w:endnotePr>
      <w:pgSz w:w="12240" w:h="15840"/>
      <w:pgMar w:top="1710" w:right="720" w:bottom="2074" w:left="1526"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095A9A" w14:textId="77777777" w:rsidR="00E93966" w:rsidRDefault="00E93966">
      <w:pPr>
        <w:spacing w:line="20" w:lineRule="exact"/>
      </w:pPr>
    </w:p>
  </w:endnote>
  <w:endnote w:type="continuationSeparator" w:id="0">
    <w:p w14:paraId="0E0924E2" w14:textId="77777777" w:rsidR="00E93966" w:rsidRDefault="00E93966">
      <w:pPr>
        <w:pStyle w:val="GCHEADER"/>
      </w:pPr>
      <w:r>
        <w:rPr>
          <w:rFonts w:ascii="Courier" w:hAnsi="Courier"/>
          <w:b w:val="0"/>
          <w:sz w:val="24"/>
          <w:lang w:val="en-US"/>
        </w:rPr>
        <w:t xml:space="preserve"> </w:t>
      </w:r>
    </w:p>
  </w:endnote>
  <w:endnote w:type="continuationNotice" w:id="1">
    <w:p w14:paraId="0346E81C" w14:textId="77777777" w:rsidR="00E93966" w:rsidRDefault="00E93966">
      <w:pPr>
        <w:pStyle w:val="GCHEADER"/>
      </w:pPr>
      <w:r>
        <w:rPr>
          <w:rFonts w:ascii="Courier" w:hAnsi="Courier"/>
          <w:b w:val="0"/>
          <w:sz w:val="24"/>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4FD12" w14:textId="77777777" w:rsidR="00DB26B2" w:rsidRDefault="00DB26B2">
    <w:pPr>
      <w:spacing w:before="140" w:line="100" w:lineRule="exact"/>
      <w:rPr>
        <w:sz w:val="1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4FD13" w14:textId="77777777" w:rsidR="00DB26B2" w:rsidRDefault="00DB26B2">
    <w:pPr>
      <w:pStyle w:val="GCHEADER"/>
      <w:tabs>
        <w:tab w:val="clear" w:pos="10440"/>
        <w:tab w:val="left" w:pos="-720"/>
      </w:tabs>
      <w:spacing w:line="283" w:lineRule="auto"/>
      <w:ind w:left="360" w:right="720"/>
      <w:rPr>
        <w:rFonts w:ascii="Courier" w:hAnsi="Courier"/>
        <w:b w:val="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3304C9" w14:textId="77777777" w:rsidR="00E93966" w:rsidRDefault="00E93966">
      <w:pPr>
        <w:pStyle w:val="GCHEADER"/>
      </w:pPr>
      <w:r>
        <w:rPr>
          <w:rFonts w:ascii="Courier" w:hAnsi="Courier"/>
          <w:b w:val="0"/>
          <w:sz w:val="24"/>
          <w:lang w:val="en-US"/>
        </w:rPr>
        <w:separator/>
      </w:r>
    </w:p>
  </w:footnote>
  <w:footnote w:type="continuationSeparator" w:id="0">
    <w:p w14:paraId="42FE6F3D" w14:textId="77777777" w:rsidR="00E93966" w:rsidRDefault="00E939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4FD10" w14:textId="68E8F8BC" w:rsidR="00DB26B2" w:rsidRPr="00EA1621" w:rsidRDefault="00DB26B2">
    <w:pPr>
      <w:pStyle w:val="Header"/>
      <w:rPr>
        <w:rFonts w:ascii="Times New Roman" w:hAnsi="Times New Roman"/>
        <w:b/>
        <w:sz w:val="18"/>
        <w:szCs w:val="18"/>
      </w:rPr>
    </w:pPr>
    <w:r>
      <w:tab/>
    </w:r>
    <w:r>
      <w:tab/>
    </w:r>
    <w:r>
      <w:tab/>
    </w:r>
    <w:r>
      <w:tab/>
    </w:r>
    <w:r>
      <w:tab/>
    </w:r>
    <w:r w:rsidRPr="00EA1621">
      <w:rPr>
        <w:rFonts w:ascii="Times New Roman" w:hAnsi="Times New Roman"/>
        <w:b/>
        <w:sz w:val="18"/>
        <w:szCs w:val="18"/>
      </w:rPr>
      <w:t>Annexes to DP/201</w:t>
    </w:r>
    <w:r w:rsidR="003D59D8">
      <w:rPr>
        <w:rFonts w:ascii="Times New Roman" w:hAnsi="Times New Roman"/>
        <w:b/>
        <w:sz w:val="18"/>
        <w:szCs w:val="18"/>
      </w:rPr>
      <w:t>8</w:t>
    </w:r>
    <w:r w:rsidRPr="00EA1621">
      <w:rPr>
        <w:rFonts w:ascii="Times New Roman" w:hAnsi="Times New Roman"/>
        <w:b/>
        <w:sz w:val="18"/>
        <w:szCs w:val="18"/>
      </w:rPr>
      <w:t>/</w:t>
    </w:r>
    <w:r w:rsidR="003D59D8">
      <w:rPr>
        <w:rFonts w:ascii="Times New Roman" w:hAnsi="Times New Roman"/>
        <w:b/>
        <w:sz w:val="18"/>
        <w:szCs w:val="18"/>
      </w:rPr>
      <w:t>19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4FD11" w14:textId="7B19FFC8" w:rsidR="00DB26B2" w:rsidRPr="002B5574" w:rsidRDefault="00DB26B2">
    <w:pPr>
      <w:pStyle w:val="Header"/>
      <w:rPr>
        <w:rFonts w:ascii="Times New Roman" w:hAnsi="Times New Roman"/>
        <w:sz w:val="18"/>
        <w:szCs w:val="17"/>
      </w:rPr>
    </w:pPr>
    <w:r>
      <w:rPr>
        <w:rFonts w:ascii="Times New Roman" w:hAnsi="Times New Roman"/>
        <w:b/>
        <w:sz w:val="18"/>
        <w:szCs w:val="17"/>
      </w:rPr>
      <w:t xml:space="preserve">Annexes to </w:t>
    </w:r>
    <w:r w:rsidRPr="002B5574">
      <w:rPr>
        <w:rFonts w:ascii="Times New Roman" w:hAnsi="Times New Roman"/>
        <w:b/>
        <w:sz w:val="18"/>
        <w:szCs w:val="17"/>
      </w:rPr>
      <w:t>DP/201</w:t>
    </w:r>
    <w:r w:rsidR="003D59D8">
      <w:rPr>
        <w:rFonts w:ascii="Times New Roman" w:hAnsi="Times New Roman"/>
        <w:b/>
        <w:sz w:val="18"/>
        <w:szCs w:val="17"/>
      </w:rPr>
      <w:t>8</w:t>
    </w:r>
    <w:r w:rsidRPr="002B5574">
      <w:rPr>
        <w:rFonts w:ascii="Times New Roman" w:hAnsi="Times New Roman"/>
        <w:b/>
        <w:sz w:val="18"/>
        <w:szCs w:val="17"/>
      </w:rPr>
      <w:t>/</w:t>
    </w:r>
    <w:r w:rsidR="003D59D8">
      <w:rPr>
        <w:rFonts w:ascii="Times New Roman" w:hAnsi="Times New Roman"/>
        <w:b/>
        <w:sz w:val="18"/>
        <w:szCs w:val="17"/>
      </w:rPr>
      <w:t>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E53D0"/>
    <w:multiLevelType w:val="hybridMultilevel"/>
    <w:tmpl w:val="6876152C"/>
    <w:lvl w:ilvl="0" w:tplc="17FED9F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24FE3"/>
    <w:multiLevelType w:val="hybridMultilevel"/>
    <w:tmpl w:val="35FEDA74"/>
    <w:lvl w:ilvl="0" w:tplc="04090015">
      <w:start w:val="1"/>
      <w:numFmt w:val="upperLetter"/>
      <w:lvlText w:val="%1."/>
      <w:lvlJc w:val="left"/>
      <w:pPr>
        <w:ind w:left="8460" w:hanging="360"/>
      </w:pPr>
      <w:rPr>
        <w:rFonts w:hint="default"/>
      </w:rPr>
    </w:lvl>
    <w:lvl w:ilvl="1" w:tplc="04090019" w:tentative="1">
      <w:start w:val="1"/>
      <w:numFmt w:val="lowerLetter"/>
      <w:lvlText w:val="%2."/>
      <w:lvlJc w:val="left"/>
      <w:pPr>
        <w:ind w:left="9180" w:hanging="360"/>
      </w:pPr>
    </w:lvl>
    <w:lvl w:ilvl="2" w:tplc="0409001B" w:tentative="1">
      <w:start w:val="1"/>
      <w:numFmt w:val="lowerRoman"/>
      <w:lvlText w:val="%3."/>
      <w:lvlJc w:val="right"/>
      <w:pPr>
        <w:ind w:left="9900" w:hanging="180"/>
      </w:pPr>
    </w:lvl>
    <w:lvl w:ilvl="3" w:tplc="0409000F" w:tentative="1">
      <w:start w:val="1"/>
      <w:numFmt w:val="decimal"/>
      <w:lvlText w:val="%4."/>
      <w:lvlJc w:val="left"/>
      <w:pPr>
        <w:ind w:left="10620" w:hanging="360"/>
      </w:pPr>
    </w:lvl>
    <w:lvl w:ilvl="4" w:tplc="04090019" w:tentative="1">
      <w:start w:val="1"/>
      <w:numFmt w:val="lowerLetter"/>
      <w:lvlText w:val="%5."/>
      <w:lvlJc w:val="left"/>
      <w:pPr>
        <w:ind w:left="11340" w:hanging="360"/>
      </w:pPr>
    </w:lvl>
    <w:lvl w:ilvl="5" w:tplc="0409001B" w:tentative="1">
      <w:start w:val="1"/>
      <w:numFmt w:val="lowerRoman"/>
      <w:lvlText w:val="%6."/>
      <w:lvlJc w:val="right"/>
      <w:pPr>
        <w:ind w:left="12060" w:hanging="180"/>
      </w:pPr>
    </w:lvl>
    <w:lvl w:ilvl="6" w:tplc="0409000F" w:tentative="1">
      <w:start w:val="1"/>
      <w:numFmt w:val="decimal"/>
      <w:lvlText w:val="%7."/>
      <w:lvlJc w:val="left"/>
      <w:pPr>
        <w:ind w:left="12780" w:hanging="360"/>
      </w:pPr>
    </w:lvl>
    <w:lvl w:ilvl="7" w:tplc="04090019" w:tentative="1">
      <w:start w:val="1"/>
      <w:numFmt w:val="lowerLetter"/>
      <w:lvlText w:val="%8."/>
      <w:lvlJc w:val="left"/>
      <w:pPr>
        <w:ind w:left="13500" w:hanging="360"/>
      </w:pPr>
    </w:lvl>
    <w:lvl w:ilvl="8" w:tplc="0409001B" w:tentative="1">
      <w:start w:val="1"/>
      <w:numFmt w:val="lowerRoman"/>
      <w:lvlText w:val="%9."/>
      <w:lvlJc w:val="right"/>
      <w:pPr>
        <w:ind w:left="14220" w:hanging="180"/>
      </w:pPr>
    </w:lvl>
  </w:abstractNum>
  <w:abstractNum w:abstractNumId="2" w15:restartNumberingAfterBreak="0">
    <w:nsid w:val="08FF596B"/>
    <w:multiLevelType w:val="hybridMultilevel"/>
    <w:tmpl w:val="C52EEE76"/>
    <w:lvl w:ilvl="0" w:tplc="E06C3054">
      <w:start w:val="1"/>
      <w:numFmt w:val="upperLetter"/>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C4012B6"/>
    <w:multiLevelType w:val="hybridMultilevel"/>
    <w:tmpl w:val="DE7602D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8E55115"/>
    <w:multiLevelType w:val="hybridMultilevel"/>
    <w:tmpl w:val="B16CFD7E"/>
    <w:lvl w:ilvl="0" w:tplc="A2D42B9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864F16"/>
    <w:multiLevelType w:val="hybridMultilevel"/>
    <w:tmpl w:val="AABA37C2"/>
    <w:lvl w:ilvl="0" w:tplc="8638B964">
      <w:start w:val="1"/>
      <w:numFmt w:val="lowerLetter"/>
      <w:lvlText w:val="(%1)"/>
      <w:lvlJc w:val="left"/>
      <w:pPr>
        <w:ind w:left="1980" w:hanging="360"/>
      </w:pPr>
      <w:rPr>
        <w:i w:val="0"/>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6" w15:restartNumberingAfterBreak="0">
    <w:nsid w:val="1BC74631"/>
    <w:multiLevelType w:val="hybridMultilevel"/>
    <w:tmpl w:val="686A3218"/>
    <w:lvl w:ilvl="0" w:tplc="BB3200A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49943C5"/>
    <w:multiLevelType w:val="hybridMultilevel"/>
    <w:tmpl w:val="436AB096"/>
    <w:lvl w:ilvl="0" w:tplc="C5C6CBF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750683"/>
    <w:multiLevelType w:val="hybridMultilevel"/>
    <w:tmpl w:val="9A58A56A"/>
    <w:lvl w:ilvl="0" w:tplc="7E4CCC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DB1F23"/>
    <w:multiLevelType w:val="hybridMultilevel"/>
    <w:tmpl w:val="DCA8C5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B66AB4"/>
    <w:multiLevelType w:val="hybridMultilevel"/>
    <w:tmpl w:val="AC3033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101B7B"/>
    <w:multiLevelType w:val="hybridMultilevel"/>
    <w:tmpl w:val="17E4F880"/>
    <w:lvl w:ilvl="0" w:tplc="04090017">
      <w:start w:val="1"/>
      <w:numFmt w:val="lowerLetter"/>
      <w:lvlText w:val="%1)"/>
      <w:lvlJc w:val="left"/>
      <w:pPr>
        <w:ind w:left="1987" w:hanging="360"/>
      </w:pPr>
    </w:lvl>
    <w:lvl w:ilvl="1" w:tplc="04090019" w:tentative="1">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abstractNum w:abstractNumId="12" w15:restartNumberingAfterBreak="0">
    <w:nsid w:val="371E32CF"/>
    <w:multiLevelType w:val="hybridMultilevel"/>
    <w:tmpl w:val="B290ED84"/>
    <w:lvl w:ilvl="0" w:tplc="36BE7CD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CF625F"/>
    <w:multiLevelType w:val="hybridMultilevel"/>
    <w:tmpl w:val="FC6EC8D8"/>
    <w:lvl w:ilvl="0" w:tplc="04090015">
      <w:start w:val="1"/>
      <w:numFmt w:val="upperLetter"/>
      <w:lvlText w:val="%1."/>
      <w:lvlJc w:val="left"/>
      <w:pPr>
        <w:ind w:left="1785" w:hanging="360"/>
      </w:pPr>
      <w:rPr>
        <w:rFonts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14" w15:restartNumberingAfterBreak="0">
    <w:nsid w:val="41826BB6"/>
    <w:multiLevelType w:val="hybridMultilevel"/>
    <w:tmpl w:val="BAAE59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2B09F2"/>
    <w:multiLevelType w:val="hybridMultilevel"/>
    <w:tmpl w:val="FC6EC8D8"/>
    <w:lvl w:ilvl="0" w:tplc="04090015">
      <w:start w:val="1"/>
      <w:numFmt w:val="upperLetter"/>
      <w:lvlText w:val="%1."/>
      <w:lvlJc w:val="left"/>
      <w:pPr>
        <w:ind w:left="1785" w:hanging="360"/>
      </w:pPr>
      <w:rPr>
        <w:rFonts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16" w15:restartNumberingAfterBreak="0">
    <w:nsid w:val="528338D5"/>
    <w:multiLevelType w:val="hybridMultilevel"/>
    <w:tmpl w:val="5F105B78"/>
    <w:lvl w:ilvl="0" w:tplc="E7D2E94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DA6215"/>
    <w:multiLevelType w:val="hybridMultilevel"/>
    <w:tmpl w:val="366644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5D48FD"/>
    <w:multiLevelType w:val="hybridMultilevel"/>
    <w:tmpl w:val="359AB644"/>
    <w:lvl w:ilvl="0" w:tplc="CF600E20">
      <w:start w:val="1"/>
      <w:numFmt w:val="upperLetter"/>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9" w15:restartNumberingAfterBreak="0">
    <w:nsid w:val="59C76001"/>
    <w:multiLevelType w:val="hybridMultilevel"/>
    <w:tmpl w:val="9EB2A3F6"/>
    <w:lvl w:ilvl="0" w:tplc="C5C6CBFE">
      <w:numFmt w:val="bullet"/>
      <w:lvlText w:val="-"/>
      <w:lvlJc w:val="left"/>
      <w:pPr>
        <w:ind w:left="720" w:hanging="360"/>
      </w:pPr>
      <w:rPr>
        <w:rFonts w:ascii="Times New Roman" w:eastAsia="Times New Roman" w:hAnsi="Times New Roman" w:cs="Times New Roman" w:hint="default"/>
      </w:rPr>
    </w:lvl>
    <w:lvl w:ilvl="1" w:tplc="C5C6CB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9F61CF"/>
    <w:multiLevelType w:val="hybridMultilevel"/>
    <w:tmpl w:val="2806CBB4"/>
    <w:lvl w:ilvl="0" w:tplc="027EF14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1673C7B"/>
    <w:multiLevelType w:val="hybridMultilevel"/>
    <w:tmpl w:val="A82E98D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75F4750"/>
    <w:multiLevelType w:val="hybridMultilevel"/>
    <w:tmpl w:val="AE4AE76E"/>
    <w:lvl w:ilvl="0" w:tplc="0409000F">
      <w:start w:val="1"/>
      <w:numFmt w:val="decimal"/>
      <w:lvlText w:val="%1."/>
      <w:lvlJc w:val="left"/>
      <w:pPr>
        <w:ind w:left="1530" w:hanging="360"/>
      </w:pPr>
    </w:lvl>
    <w:lvl w:ilvl="1" w:tplc="0D2A5E5C">
      <w:numFmt w:val="bullet"/>
      <w:lvlText w:val="-"/>
      <w:lvlJc w:val="left"/>
      <w:pPr>
        <w:ind w:left="1800" w:hanging="72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DA270C1"/>
    <w:multiLevelType w:val="hybridMultilevel"/>
    <w:tmpl w:val="8AE62C66"/>
    <w:lvl w:ilvl="0" w:tplc="19563BC0">
      <w:start w:val="1"/>
      <w:numFmt w:val="lowerLetter"/>
      <w:lvlText w:val="(%1)"/>
      <w:lvlJc w:val="left"/>
      <w:pPr>
        <w:ind w:left="2160" w:hanging="720"/>
      </w:pPr>
      <w:rPr>
        <w:rFonts w:hint="default"/>
        <w: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5"/>
  </w:num>
  <w:num w:numId="2">
    <w:abstractNumId w:val="11"/>
  </w:num>
  <w:num w:numId="3">
    <w:abstractNumId w:val="13"/>
  </w:num>
  <w:num w:numId="4">
    <w:abstractNumId w:val="15"/>
  </w:num>
  <w:num w:numId="5">
    <w:abstractNumId w:val="16"/>
  </w:num>
  <w:num w:numId="6">
    <w:abstractNumId w:val="4"/>
  </w:num>
  <w:num w:numId="7">
    <w:abstractNumId w:val="20"/>
  </w:num>
  <w:num w:numId="8">
    <w:abstractNumId w:val="0"/>
  </w:num>
  <w:num w:numId="9">
    <w:abstractNumId w:val="18"/>
  </w:num>
  <w:num w:numId="10">
    <w:abstractNumId w:val="1"/>
  </w:num>
  <w:num w:numId="11">
    <w:abstractNumId w:val="8"/>
  </w:num>
  <w:num w:numId="12">
    <w:abstractNumId w:val="17"/>
  </w:num>
  <w:num w:numId="13">
    <w:abstractNumId w:val="23"/>
  </w:num>
  <w:num w:numId="14">
    <w:abstractNumId w:val="2"/>
  </w:num>
  <w:num w:numId="15">
    <w:abstractNumId w:val="12"/>
  </w:num>
  <w:num w:numId="16">
    <w:abstractNumId w:val="14"/>
  </w:num>
  <w:num w:numId="17">
    <w:abstractNumId w:val="10"/>
  </w:num>
  <w:num w:numId="18">
    <w:abstractNumId w:val="6"/>
  </w:num>
  <w:num w:numId="19">
    <w:abstractNumId w:val="21"/>
  </w:num>
  <w:num w:numId="20">
    <w:abstractNumId w:val="3"/>
  </w:num>
  <w:num w:numId="21">
    <w:abstractNumId w:val="9"/>
  </w:num>
  <w:num w:numId="22">
    <w:abstractNumId w:val="22"/>
  </w:num>
  <w:num w:numId="23">
    <w:abstractNumId w:val="7"/>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6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11B"/>
    <w:rsid w:val="00003393"/>
    <w:rsid w:val="00006C4F"/>
    <w:rsid w:val="00023F4D"/>
    <w:rsid w:val="000328A2"/>
    <w:rsid w:val="00036CDB"/>
    <w:rsid w:val="00037006"/>
    <w:rsid w:val="00041A83"/>
    <w:rsid w:val="0004305D"/>
    <w:rsid w:val="00053A25"/>
    <w:rsid w:val="000562BE"/>
    <w:rsid w:val="000612D8"/>
    <w:rsid w:val="00081689"/>
    <w:rsid w:val="00083FDF"/>
    <w:rsid w:val="00097C53"/>
    <w:rsid w:val="000A76F3"/>
    <w:rsid w:val="000E25A7"/>
    <w:rsid w:val="000E3632"/>
    <w:rsid w:val="000E611B"/>
    <w:rsid w:val="000E6470"/>
    <w:rsid w:val="000F5CC0"/>
    <w:rsid w:val="00111425"/>
    <w:rsid w:val="0012182F"/>
    <w:rsid w:val="00126650"/>
    <w:rsid w:val="001349AD"/>
    <w:rsid w:val="00135355"/>
    <w:rsid w:val="001400E2"/>
    <w:rsid w:val="001409F1"/>
    <w:rsid w:val="00157328"/>
    <w:rsid w:val="0018308A"/>
    <w:rsid w:val="0019047E"/>
    <w:rsid w:val="001A326B"/>
    <w:rsid w:val="001B618D"/>
    <w:rsid w:val="001D30A4"/>
    <w:rsid w:val="001D37CF"/>
    <w:rsid w:val="001F2977"/>
    <w:rsid w:val="001F375E"/>
    <w:rsid w:val="0020446C"/>
    <w:rsid w:val="00242168"/>
    <w:rsid w:val="00252342"/>
    <w:rsid w:val="00255E46"/>
    <w:rsid w:val="002565A3"/>
    <w:rsid w:val="0026282B"/>
    <w:rsid w:val="00265F6A"/>
    <w:rsid w:val="002927C8"/>
    <w:rsid w:val="00295774"/>
    <w:rsid w:val="002B5574"/>
    <w:rsid w:val="002B563A"/>
    <w:rsid w:val="002C52BB"/>
    <w:rsid w:val="002D0A68"/>
    <w:rsid w:val="002F0D20"/>
    <w:rsid w:val="002F335D"/>
    <w:rsid w:val="00302623"/>
    <w:rsid w:val="00315109"/>
    <w:rsid w:val="00330668"/>
    <w:rsid w:val="00333924"/>
    <w:rsid w:val="003370F3"/>
    <w:rsid w:val="00340490"/>
    <w:rsid w:val="00357024"/>
    <w:rsid w:val="003718AF"/>
    <w:rsid w:val="003831E9"/>
    <w:rsid w:val="00386110"/>
    <w:rsid w:val="00386B29"/>
    <w:rsid w:val="003900E7"/>
    <w:rsid w:val="003911FA"/>
    <w:rsid w:val="003A12CF"/>
    <w:rsid w:val="003A1C5F"/>
    <w:rsid w:val="003B3DC1"/>
    <w:rsid w:val="003C50B0"/>
    <w:rsid w:val="003C6D44"/>
    <w:rsid w:val="003D1107"/>
    <w:rsid w:val="003D26E6"/>
    <w:rsid w:val="003D59D8"/>
    <w:rsid w:val="003D7FCF"/>
    <w:rsid w:val="003E50D4"/>
    <w:rsid w:val="003E54F5"/>
    <w:rsid w:val="00407230"/>
    <w:rsid w:val="004074D3"/>
    <w:rsid w:val="00416E6D"/>
    <w:rsid w:val="00452955"/>
    <w:rsid w:val="00454FCC"/>
    <w:rsid w:val="00465709"/>
    <w:rsid w:val="00480CEA"/>
    <w:rsid w:val="004A48BC"/>
    <w:rsid w:val="004A50A0"/>
    <w:rsid w:val="004A74A3"/>
    <w:rsid w:val="004C031F"/>
    <w:rsid w:val="004C44B5"/>
    <w:rsid w:val="004C50EC"/>
    <w:rsid w:val="004F7083"/>
    <w:rsid w:val="0050176B"/>
    <w:rsid w:val="00513F4D"/>
    <w:rsid w:val="00537C3C"/>
    <w:rsid w:val="005833F0"/>
    <w:rsid w:val="005A22FD"/>
    <w:rsid w:val="005B013F"/>
    <w:rsid w:val="005C2257"/>
    <w:rsid w:val="005C3968"/>
    <w:rsid w:val="005F192C"/>
    <w:rsid w:val="00603FAE"/>
    <w:rsid w:val="0062316B"/>
    <w:rsid w:val="00625113"/>
    <w:rsid w:val="00634F26"/>
    <w:rsid w:val="0064251F"/>
    <w:rsid w:val="006516C4"/>
    <w:rsid w:val="006611BB"/>
    <w:rsid w:val="00662761"/>
    <w:rsid w:val="00672053"/>
    <w:rsid w:val="00686B26"/>
    <w:rsid w:val="006916C6"/>
    <w:rsid w:val="006B4972"/>
    <w:rsid w:val="006B5F79"/>
    <w:rsid w:val="006B729E"/>
    <w:rsid w:val="006C5EC4"/>
    <w:rsid w:val="006C6D79"/>
    <w:rsid w:val="006D3023"/>
    <w:rsid w:val="006E47EA"/>
    <w:rsid w:val="007303C6"/>
    <w:rsid w:val="007602D5"/>
    <w:rsid w:val="007657B4"/>
    <w:rsid w:val="007677E0"/>
    <w:rsid w:val="00777C57"/>
    <w:rsid w:val="00781BC7"/>
    <w:rsid w:val="00791E92"/>
    <w:rsid w:val="007B2C86"/>
    <w:rsid w:val="007B7D6C"/>
    <w:rsid w:val="007C27E4"/>
    <w:rsid w:val="007E7170"/>
    <w:rsid w:val="007F306E"/>
    <w:rsid w:val="007F75AA"/>
    <w:rsid w:val="00801759"/>
    <w:rsid w:val="0080202A"/>
    <w:rsid w:val="00807BC6"/>
    <w:rsid w:val="00813FBB"/>
    <w:rsid w:val="00834F48"/>
    <w:rsid w:val="00847D93"/>
    <w:rsid w:val="00864721"/>
    <w:rsid w:val="00865EB3"/>
    <w:rsid w:val="00874204"/>
    <w:rsid w:val="00881E2C"/>
    <w:rsid w:val="00897750"/>
    <w:rsid w:val="008A6116"/>
    <w:rsid w:val="008B714E"/>
    <w:rsid w:val="008B79A7"/>
    <w:rsid w:val="008C115E"/>
    <w:rsid w:val="008D36FD"/>
    <w:rsid w:val="008E12EB"/>
    <w:rsid w:val="008E7D31"/>
    <w:rsid w:val="008F7962"/>
    <w:rsid w:val="00914AE9"/>
    <w:rsid w:val="00921EA5"/>
    <w:rsid w:val="009301D7"/>
    <w:rsid w:val="0093528B"/>
    <w:rsid w:val="009576E9"/>
    <w:rsid w:val="0096229E"/>
    <w:rsid w:val="00966C75"/>
    <w:rsid w:val="00967E3E"/>
    <w:rsid w:val="009733A0"/>
    <w:rsid w:val="00985905"/>
    <w:rsid w:val="009A514B"/>
    <w:rsid w:val="009A6BA0"/>
    <w:rsid w:val="009B22F8"/>
    <w:rsid w:val="009C474C"/>
    <w:rsid w:val="009D1C5D"/>
    <w:rsid w:val="009D6833"/>
    <w:rsid w:val="009F7BB2"/>
    <w:rsid w:val="00A0351B"/>
    <w:rsid w:val="00A10E7B"/>
    <w:rsid w:val="00A2035A"/>
    <w:rsid w:val="00A372E3"/>
    <w:rsid w:val="00A45BEC"/>
    <w:rsid w:val="00A47FA3"/>
    <w:rsid w:val="00A578CD"/>
    <w:rsid w:val="00A60BBA"/>
    <w:rsid w:val="00A613DD"/>
    <w:rsid w:val="00A663AB"/>
    <w:rsid w:val="00A7153E"/>
    <w:rsid w:val="00A768F5"/>
    <w:rsid w:val="00A76E0F"/>
    <w:rsid w:val="00A87EB1"/>
    <w:rsid w:val="00AA5B88"/>
    <w:rsid w:val="00AA5CA8"/>
    <w:rsid w:val="00AB1862"/>
    <w:rsid w:val="00AB51B7"/>
    <w:rsid w:val="00AC7166"/>
    <w:rsid w:val="00AD7765"/>
    <w:rsid w:val="00B078BE"/>
    <w:rsid w:val="00B1400D"/>
    <w:rsid w:val="00B22C85"/>
    <w:rsid w:val="00B3039F"/>
    <w:rsid w:val="00B44878"/>
    <w:rsid w:val="00B4567E"/>
    <w:rsid w:val="00B456CE"/>
    <w:rsid w:val="00B47418"/>
    <w:rsid w:val="00B53BFC"/>
    <w:rsid w:val="00B8440D"/>
    <w:rsid w:val="00B93CD7"/>
    <w:rsid w:val="00B951AF"/>
    <w:rsid w:val="00BD35B2"/>
    <w:rsid w:val="00BE4EC0"/>
    <w:rsid w:val="00BF4077"/>
    <w:rsid w:val="00BF57E4"/>
    <w:rsid w:val="00BF5F6C"/>
    <w:rsid w:val="00C03711"/>
    <w:rsid w:val="00C07643"/>
    <w:rsid w:val="00C13529"/>
    <w:rsid w:val="00C14DEE"/>
    <w:rsid w:val="00C23D9B"/>
    <w:rsid w:val="00C27A5E"/>
    <w:rsid w:val="00C516D2"/>
    <w:rsid w:val="00C53421"/>
    <w:rsid w:val="00C5627D"/>
    <w:rsid w:val="00C57C54"/>
    <w:rsid w:val="00C61BB2"/>
    <w:rsid w:val="00C83B4C"/>
    <w:rsid w:val="00CB4C5B"/>
    <w:rsid w:val="00CD0FA6"/>
    <w:rsid w:val="00CD33CA"/>
    <w:rsid w:val="00CD6073"/>
    <w:rsid w:val="00D05007"/>
    <w:rsid w:val="00D2462D"/>
    <w:rsid w:val="00D409E9"/>
    <w:rsid w:val="00D50CF7"/>
    <w:rsid w:val="00D558A7"/>
    <w:rsid w:val="00D64ECF"/>
    <w:rsid w:val="00D7159D"/>
    <w:rsid w:val="00DA706F"/>
    <w:rsid w:val="00DB0466"/>
    <w:rsid w:val="00DB26B2"/>
    <w:rsid w:val="00DB2ECA"/>
    <w:rsid w:val="00DD34F5"/>
    <w:rsid w:val="00DF132F"/>
    <w:rsid w:val="00DF2569"/>
    <w:rsid w:val="00E02EA4"/>
    <w:rsid w:val="00E207E1"/>
    <w:rsid w:val="00E36F99"/>
    <w:rsid w:val="00E43691"/>
    <w:rsid w:val="00E45DDE"/>
    <w:rsid w:val="00E55082"/>
    <w:rsid w:val="00E56C36"/>
    <w:rsid w:val="00E62607"/>
    <w:rsid w:val="00E83613"/>
    <w:rsid w:val="00E9083C"/>
    <w:rsid w:val="00E91A30"/>
    <w:rsid w:val="00E93966"/>
    <w:rsid w:val="00E94537"/>
    <w:rsid w:val="00E96E4C"/>
    <w:rsid w:val="00EA1621"/>
    <w:rsid w:val="00EB0DA9"/>
    <w:rsid w:val="00EF376B"/>
    <w:rsid w:val="00F00B73"/>
    <w:rsid w:val="00F21FD1"/>
    <w:rsid w:val="00F40572"/>
    <w:rsid w:val="00F42624"/>
    <w:rsid w:val="00F4301F"/>
    <w:rsid w:val="00F51994"/>
    <w:rsid w:val="00F5512C"/>
    <w:rsid w:val="00F56175"/>
    <w:rsid w:val="00F82C7F"/>
    <w:rsid w:val="00F94359"/>
    <w:rsid w:val="00FB2146"/>
    <w:rsid w:val="00FB4AE4"/>
    <w:rsid w:val="00FB6066"/>
    <w:rsid w:val="00FC2BDC"/>
    <w:rsid w:val="00FC7F51"/>
    <w:rsid w:val="00FD7013"/>
    <w:rsid w:val="00FD7B87"/>
    <w:rsid w:val="00FF1CDB"/>
    <w:rsid w:val="00FF3A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A4F5F1"/>
  <w15:docId w15:val="{6169F08B-141D-4108-A352-640A3077E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Courier" w:hAnsi="Courie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CHEADER">
    <w:name w:val="GCHEADER"/>
    <w:pPr>
      <w:tabs>
        <w:tab w:val="right" w:pos="10440"/>
      </w:tabs>
      <w:suppressAutoHyphens/>
      <w:spacing w:line="215" w:lineRule="auto"/>
    </w:pPr>
    <w:rPr>
      <w:rFonts w:ascii="Arial Rounded MT Bold" w:hAnsi="Arial Rounded MT Bold"/>
      <w:b/>
      <w:sz w:val="30"/>
      <w:lang w:val="en-GB"/>
    </w:rPr>
  </w:style>
  <w:style w:type="paragraph" w:styleId="TOC1">
    <w:name w:val="toc 1"/>
    <w:basedOn w:val="Normal"/>
    <w:next w:val="Normal"/>
    <w:semiHidden/>
    <w:pPr>
      <w:tabs>
        <w:tab w:val="left" w:leader="dot" w:pos="9000"/>
        <w:tab w:val="right" w:pos="9360"/>
      </w:tabs>
      <w:suppressAutoHyphens/>
      <w:spacing w:before="480"/>
      <w:ind w:left="720" w:right="720" w:hanging="720"/>
    </w:pPr>
  </w:style>
  <w:style w:type="paragraph" w:styleId="TOC2">
    <w:name w:val="toc 2"/>
    <w:basedOn w:val="Normal"/>
    <w:next w:val="Normal"/>
    <w:semiHidden/>
    <w:pPr>
      <w:tabs>
        <w:tab w:val="left" w:leader="dot" w:pos="9000"/>
        <w:tab w:val="right" w:pos="9360"/>
      </w:tabs>
      <w:suppressAutoHyphens/>
      <w:ind w:left="1440" w:right="720" w:hanging="720"/>
    </w:pPr>
  </w:style>
  <w:style w:type="paragraph" w:styleId="TOC3">
    <w:name w:val="toc 3"/>
    <w:basedOn w:val="Normal"/>
    <w:next w:val="Normal"/>
    <w:semiHidden/>
    <w:pPr>
      <w:tabs>
        <w:tab w:val="left" w:leader="dot" w:pos="9000"/>
        <w:tab w:val="right" w:pos="9360"/>
      </w:tabs>
      <w:suppressAutoHyphens/>
      <w:ind w:left="2160" w:right="720" w:hanging="720"/>
    </w:pPr>
  </w:style>
  <w:style w:type="paragraph" w:styleId="TOC4">
    <w:name w:val="toc 4"/>
    <w:basedOn w:val="Normal"/>
    <w:next w:val="Normal"/>
    <w:semiHidden/>
    <w:pPr>
      <w:tabs>
        <w:tab w:val="left" w:leader="dot" w:pos="9000"/>
        <w:tab w:val="right" w:pos="9360"/>
      </w:tabs>
      <w:suppressAutoHyphens/>
      <w:ind w:left="2880" w:right="720" w:hanging="720"/>
    </w:pPr>
  </w:style>
  <w:style w:type="paragraph" w:styleId="TOC5">
    <w:name w:val="toc 5"/>
    <w:basedOn w:val="Normal"/>
    <w:next w:val="Normal"/>
    <w:semiHidden/>
    <w:pPr>
      <w:tabs>
        <w:tab w:val="left" w:leader="dot" w:pos="9000"/>
        <w:tab w:val="right" w:pos="9360"/>
      </w:tabs>
      <w:suppressAutoHyphens/>
      <w:ind w:left="3600" w:right="720" w:hanging="720"/>
    </w:pPr>
  </w:style>
  <w:style w:type="paragraph" w:styleId="TOC6">
    <w:name w:val="toc 6"/>
    <w:basedOn w:val="Normal"/>
    <w:next w:val="Normal"/>
    <w:semiHidden/>
    <w:pPr>
      <w:tabs>
        <w:tab w:val="left" w:pos="9000"/>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left" w:pos="9000"/>
        <w:tab w:val="right" w:pos="9360"/>
      </w:tabs>
      <w:suppressAutoHyphens/>
      <w:ind w:left="720" w:hanging="720"/>
    </w:pPr>
  </w:style>
  <w:style w:type="paragraph" w:styleId="TOC9">
    <w:name w:val="toc 9"/>
    <w:basedOn w:val="Normal"/>
    <w:next w:val="Normal"/>
    <w:semiHidden/>
    <w:pPr>
      <w:tabs>
        <w:tab w:val="left" w:leader="dot" w:pos="9000"/>
        <w:tab w:val="right" w:pos="9360"/>
      </w:tabs>
      <w:suppressAutoHyphens/>
      <w:ind w:left="720" w:hanging="720"/>
    </w:pPr>
  </w:style>
  <w:style w:type="paragraph" w:styleId="Index1">
    <w:name w:val="index 1"/>
    <w:basedOn w:val="Normal"/>
    <w:next w:val="Normal"/>
    <w:semiHidden/>
    <w:pPr>
      <w:tabs>
        <w:tab w:val="left" w:leader="dot" w:pos="9000"/>
        <w:tab w:val="right" w:pos="9360"/>
      </w:tabs>
      <w:suppressAutoHyphens/>
      <w:ind w:left="1440" w:right="720" w:hanging="1440"/>
    </w:pPr>
  </w:style>
  <w:style w:type="paragraph" w:styleId="Index2">
    <w:name w:val="index 2"/>
    <w:basedOn w:val="Normal"/>
    <w:next w:val="Normal"/>
    <w:semiHidden/>
    <w:pPr>
      <w:tabs>
        <w:tab w:val="left" w:leader="dot" w:pos="9000"/>
        <w:tab w:val="right" w:pos="9360"/>
      </w:tabs>
      <w:suppressAutoHyphens/>
      <w:ind w:left="1440" w:right="720" w:hanging="720"/>
    </w:pPr>
  </w:style>
  <w:style w:type="paragraph" w:styleId="TOAHeading">
    <w:name w:val="toa heading"/>
    <w:basedOn w:val="Normal"/>
    <w:next w:val="Normal"/>
    <w:semiHidden/>
    <w:pPr>
      <w:tabs>
        <w:tab w:val="left" w:pos="9000"/>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semiHidden/>
    <w:rsid w:val="00097C53"/>
    <w:rPr>
      <w:rFonts w:ascii="Tahoma" w:hAnsi="Tahoma" w:cs="Tahoma"/>
      <w:sz w:val="16"/>
      <w:szCs w:val="16"/>
    </w:rPr>
  </w:style>
  <w:style w:type="paragraph" w:styleId="CommentText">
    <w:name w:val="annotation text"/>
    <w:basedOn w:val="Normal"/>
    <w:link w:val="CommentTextChar"/>
    <w:rsid w:val="00634F26"/>
    <w:rPr>
      <w:sz w:val="20"/>
    </w:rPr>
  </w:style>
  <w:style w:type="character" w:customStyle="1" w:styleId="CommentTextChar">
    <w:name w:val="Comment Text Char"/>
    <w:link w:val="CommentText"/>
    <w:rsid w:val="00634F26"/>
    <w:rPr>
      <w:rFonts w:ascii="Courier" w:hAnsi="Courier"/>
    </w:rPr>
  </w:style>
  <w:style w:type="character" w:styleId="CommentReference">
    <w:name w:val="annotation reference"/>
    <w:rsid w:val="00634F26"/>
    <w:rPr>
      <w:sz w:val="16"/>
      <w:szCs w:val="16"/>
    </w:rPr>
  </w:style>
  <w:style w:type="paragraph" w:customStyle="1" w:styleId="SingleTxt">
    <w:name w:val="__Single Txt"/>
    <w:basedOn w:val="Normal"/>
    <w:rsid w:val="00777C57"/>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ascii="Times New Roman" w:hAnsi="Times New Roman"/>
      <w:spacing w:val="4"/>
      <w:w w:val="103"/>
      <w:kern w:val="14"/>
      <w:sz w:val="20"/>
      <w:lang w:val="en-GB"/>
    </w:rPr>
  </w:style>
  <w:style w:type="paragraph" w:customStyle="1" w:styleId="DualTxtCharChar1CharChar">
    <w:name w:val="__Dual Txt Char Char1 Char Char"/>
    <w:basedOn w:val="Normal"/>
    <w:rsid w:val="00B1400D"/>
    <w:pPr>
      <w:tabs>
        <w:tab w:val="left" w:pos="480"/>
        <w:tab w:val="left" w:pos="960"/>
        <w:tab w:val="left" w:pos="1440"/>
        <w:tab w:val="left" w:pos="1915"/>
        <w:tab w:val="left" w:pos="2405"/>
        <w:tab w:val="left" w:pos="2880"/>
        <w:tab w:val="left" w:pos="3355"/>
      </w:tabs>
      <w:suppressAutoHyphens/>
      <w:spacing w:after="120" w:line="240" w:lineRule="exact"/>
      <w:jc w:val="both"/>
    </w:pPr>
    <w:rPr>
      <w:rFonts w:ascii="Times New Roman" w:hAnsi="Times New Roman"/>
      <w:spacing w:val="4"/>
      <w:w w:val="103"/>
      <w:kern w:val="14"/>
      <w:sz w:val="20"/>
      <w:lang w:val="en-GB"/>
    </w:rPr>
  </w:style>
  <w:style w:type="character" w:styleId="Hyperlink">
    <w:name w:val="Hyperlink"/>
    <w:uiPriority w:val="99"/>
    <w:unhideWhenUsed/>
    <w:rsid w:val="00864721"/>
    <w:rPr>
      <w:color w:val="0000FF"/>
      <w:u w:val="single"/>
    </w:rPr>
  </w:style>
  <w:style w:type="paragraph" w:styleId="ListParagraph">
    <w:name w:val="List Paragraph"/>
    <w:basedOn w:val="Normal"/>
    <w:uiPriority w:val="34"/>
    <w:qFormat/>
    <w:rsid w:val="00BE4E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91871">
      <w:bodyDiv w:val="1"/>
      <w:marLeft w:val="0"/>
      <w:marRight w:val="0"/>
      <w:marTop w:val="0"/>
      <w:marBottom w:val="0"/>
      <w:divBdr>
        <w:top w:val="none" w:sz="0" w:space="0" w:color="auto"/>
        <w:left w:val="none" w:sz="0" w:space="0" w:color="auto"/>
        <w:bottom w:val="none" w:sz="0" w:space="0" w:color="auto"/>
        <w:right w:val="none" w:sz="0" w:space="0" w:color="auto"/>
      </w:divBdr>
    </w:div>
    <w:div w:id="223762732">
      <w:bodyDiv w:val="1"/>
      <w:marLeft w:val="0"/>
      <w:marRight w:val="0"/>
      <w:marTop w:val="0"/>
      <w:marBottom w:val="0"/>
      <w:divBdr>
        <w:top w:val="none" w:sz="0" w:space="0" w:color="auto"/>
        <w:left w:val="none" w:sz="0" w:space="0" w:color="auto"/>
        <w:bottom w:val="none" w:sz="0" w:space="0" w:color="auto"/>
        <w:right w:val="none" w:sz="0" w:space="0" w:color="auto"/>
      </w:divBdr>
    </w:div>
    <w:div w:id="291716367">
      <w:bodyDiv w:val="1"/>
      <w:marLeft w:val="0"/>
      <w:marRight w:val="0"/>
      <w:marTop w:val="0"/>
      <w:marBottom w:val="0"/>
      <w:divBdr>
        <w:top w:val="none" w:sz="0" w:space="0" w:color="auto"/>
        <w:left w:val="none" w:sz="0" w:space="0" w:color="auto"/>
        <w:bottom w:val="none" w:sz="0" w:space="0" w:color="auto"/>
        <w:right w:val="none" w:sz="0" w:space="0" w:color="auto"/>
      </w:divBdr>
    </w:div>
    <w:div w:id="388765893">
      <w:bodyDiv w:val="1"/>
      <w:marLeft w:val="0"/>
      <w:marRight w:val="0"/>
      <w:marTop w:val="0"/>
      <w:marBottom w:val="0"/>
      <w:divBdr>
        <w:top w:val="none" w:sz="0" w:space="0" w:color="auto"/>
        <w:left w:val="none" w:sz="0" w:space="0" w:color="auto"/>
        <w:bottom w:val="none" w:sz="0" w:space="0" w:color="auto"/>
        <w:right w:val="none" w:sz="0" w:space="0" w:color="auto"/>
      </w:divBdr>
    </w:div>
    <w:div w:id="435711240">
      <w:bodyDiv w:val="1"/>
      <w:marLeft w:val="0"/>
      <w:marRight w:val="0"/>
      <w:marTop w:val="0"/>
      <w:marBottom w:val="0"/>
      <w:divBdr>
        <w:top w:val="none" w:sz="0" w:space="0" w:color="auto"/>
        <w:left w:val="none" w:sz="0" w:space="0" w:color="auto"/>
        <w:bottom w:val="none" w:sz="0" w:space="0" w:color="auto"/>
        <w:right w:val="none" w:sz="0" w:space="0" w:color="auto"/>
      </w:divBdr>
    </w:div>
    <w:div w:id="474566108">
      <w:bodyDiv w:val="1"/>
      <w:marLeft w:val="0"/>
      <w:marRight w:val="0"/>
      <w:marTop w:val="0"/>
      <w:marBottom w:val="0"/>
      <w:divBdr>
        <w:top w:val="none" w:sz="0" w:space="0" w:color="auto"/>
        <w:left w:val="none" w:sz="0" w:space="0" w:color="auto"/>
        <w:bottom w:val="none" w:sz="0" w:space="0" w:color="auto"/>
        <w:right w:val="none" w:sz="0" w:space="0" w:color="auto"/>
      </w:divBdr>
    </w:div>
    <w:div w:id="504983270">
      <w:bodyDiv w:val="1"/>
      <w:marLeft w:val="0"/>
      <w:marRight w:val="0"/>
      <w:marTop w:val="0"/>
      <w:marBottom w:val="0"/>
      <w:divBdr>
        <w:top w:val="none" w:sz="0" w:space="0" w:color="auto"/>
        <w:left w:val="none" w:sz="0" w:space="0" w:color="auto"/>
        <w:bottom w:val="none" w:sz="0" w:space="0" w:color="auto"/>
        <w:right w:val="none" w:sz="0" w:space="0" w:color="auto"/>
      </w:divBdr>
    </w:div>
    <w:div w:id="636447989">
      <w:bodyDiv w:val="1"/>
      <w:marLeft w:val="0"/>
      <w:marRight w:val="0"/>
      <w:marTop w:val="0"/>
      <w:marBottom w:val="0"/>
      <w:divBdr>
        <w:top w:val="none" w:sz="0" w:space="0" w:color="auto"/>
        <w:left w:val="none" w:sz="0" w:space="0" w:color="auto"/>
        <w:bottom w:val="none" w:sz="0" w:space="0" w:color="auto"/>
        <w:right w:val="none" w:sz="0" w:space="0" w:color="auto"/>
      </w:divBdr>
      <w:divsChild>
        <w:div w:id="240214377">
          <w:marLeft w:val="0"/>
          <w:marRight w:val="0"/>
          <w:marTop w:val="0"/>
          <w:marBottom w:val="0"/>
          <w:divBdr>
            <w:top w:val="none" w:sz="0" w:space="0" w:color="auto"/>
            <w:left w:val="none" w:sz="0" w:space="0" w:color="auto"/>
            <w:bottom w:val="none" w:sz="0" w:space="0" w:color="auto"/>
            <w:right w:val="none" w:sz="0" w:space="0" w:color="auto"/>
          </w:divBdr>
        </w:div>
        <w:div w:id="2017607258">
          <w:marLeft w:val="0"/>
          <w:marRight w:val="0"/>
          <w:marTop w:val="0"/>
          <w:marBottom w:val="0"/>
          <w:divBdr>
            <w:top w:val="none" w:sz="0" w:space="0" w:color="auto"/>
            <w:left w:val="none" w:sz="0" w:space="0" w:color="auto"/>
            <w:bottom w:val="none" w:sz="0" w:space="0" w:color="auto"/>
            <w:right w:val="none" w:sz="0" w:space="0" w:color="auto"/>
          </w:divBdr>
        </w:div>
      </w:divsChild>
    </w:div>
    <w:div w:id="774642068">
      <w:bodyDiv w:val="1"/>
      <w:marLeft w:val="0"/>
      <w:marRight w:val="0"/>
      <w:marTop w:val="0"/>
      <w:marBottom w:val="0"/>
      <w:divBdr>
        <w:top w:val="none" w:sz="0" w:space="0" w:color="auto"/>
        <w:left w:val="none" w:sz="0" w:space="0" w:color="auto"/>
        <w:bottom w:val="none" w:sz="0" w:space="0" w:color="auto"/>
        <w:right w:val="none" w:sz="0" w:space="0" w:color="auto"/>
      </w:divBdr>
    </w:div>
    <w:div w:id="821428447">
      <w:bodyDiv w:val="1"/>
      <w:marLeft w:val="0"/>
      <w:marRight w:val="0"/>
      <w:marTop w:val="0"/>
      <w:marBottom w:val="0"/>
      <w:divBdr>
        <w:top w:val="none" w:sz="0" w:space="0" w:color="auto"/>
        <w:left w:val="none" w:sz="0" w:space="0" w:color="auto"/>
        <w:bottom w:val="none" w:sz="0" w:space="0" w:color="auto"/>
        <w:right w:val="none" w:sz="0" w:space="0" w:color="auto"/>
      </w:divBdr>
    </w:div>
    <w:div w:id="924261274">
      <w:bodyDiv w:val="1"/>
      <w:marLeft w:val="0"/>
      <w:marRight w:val="0"/>
      <w:marTop w:val="0"/>
      <w:marBottom w:val="0"/>
      <w:divBdr>
        <w:top w:val="none" w:sz="0" w:space="0" w:color="auto"/>
        <w:left w:val="none" w:sz="0" w:space="0" w:color="auto"/>
        <w:bottom w:val="none" w:sz="0" w:space="0" w:color="auto"/>
        <w:right w:val="none" w:sz="0" w:space="0" w:color="auto"/>
      </w:divBdr>
    </w:div>
    <w:div w:id="931477538">
      <w:bodyDiv w:val="1"/>
      <w:marLeft w:val="0"/>
      <w:marRight w:val="0"/>
      <w:marTop w:val="0"/>
      <w:marBottom w:val="0"/>
      <w:divBdr>
        <w:top w:val="none" w:sz="0" w:space="0" w:color="auto"/>
        <w:left w:val="none" w:sz="0" w:space="0" w:color="auto"/>
        <w:bottom w:val="none" w:sz="0" w:space="0" w:color="auto"/>
        <w:right w:val="none" w:sz="0" w:space="0" w:color="auto"/>
      </w:divBdr>
      <w:divsChild>
        <w:div w:id="471605666">
          <w:marLeft w:val="0"/>
          <w:marRight w:val="0"/>
          <w:marTop w:val="0"/>
          <w:marBottom w:val="0"/>
          <w:divBdr>
            <w:top w:val="none" w:sz="0" w:space="0" w:color="auto"/>
            <w:left w:val="none" w:sz="0" w:space="0" w:color="auto"/>
            <w:bottom w:val="none" w:sz="0" w:space="0" w:color="auto"/>
            <w:right w:val="none" w:sz="0" w:space="0" w:color="auto"/>
          </w:divBdr>
        </w:div>
        <w:div w:id="1749039470">
          <w:marLeft w:val="0"/>
          <w:marRight w:val="0"/>
          <w:marTop w:val="0"/>
          <w:marBottom w:val="0"/>
          <w:divBdr>
            <w:top w:val="none" w:sz="0" w:space="0" w:color="auto"/>
            <w:left w:val="none" w:sz="0" w:space="0" w:color="auto"/>
            <w:bottom w:val="none" w:sz="0" w:space="0" w:color="auto"/>
            <w:right w:val="none" w:sz="0" w:space="0" w:color="auto"/>
          </w:divBdr>
        </w:div>
      </w:divsChild>
    </w:div>
    <w:div w:id="948663296">
      <w:bodyDiv w:val="1"/>
      <w:marLeft w:val="0"/>
      <w:marRight w:val="0"/>
      <w:marTop w:val="0"/>
      <w:marBottom w:val="0"/>
      <w:divBdr>
        <w:top w:val="none" w:sz="0" w:space="0" w:color="auto"/>
        <w:left w:val="none" w:sz="0" w:space="0" w:color="auto"/>
        <w:bottom w:val="none" w:sz="0" w:space="0" w:color="auto"/>
        <w:right w:val="none" w:sz="0" w:space="0" w:color="auto"/>
      </w:divBdr>
    </w:div>
    <w:div w:id="1013385865">
      <w:bodyDiv w:val="1"/>
      <w:marLeft w:val="0"/>
      <w:marRight w:val="0"/>
      <w:marTop w:val="0"/>
      <w:marBottom w:val="0"/>
      <w:divBdr>
        <w:top w:val="none" w:sz="0" w:space="0" w:color="auto"/>
        <w:left w:val="none" w:sz="0" w:space="0" w:color="auto"/>
        <w:bottom w:val="none" w:sz="0" w:space="0" w:color="auto"/>
        <w:right w:val="none" w:sz="0" w:space="0" w:color="auto"/>
      </w:divBdr>
    </w:div>
    <w:div w:id="1080062659">
      <w:bodyDiv w:val="1"/>
      <w:marLeft w:val="0"/>
      <w:marRight w:val="0"/>
      <w:marTop w:val="0"/>
      <w:marBottom w:val="0"/>
      <w:divBdr>
        <w:top w:val="none" w:sz="0" w:space="0" w:color="auto"/>
        <w:left w:val="none" w:sz="0" w:space="0" w:color="auto"/>
        <w:bottom w:val="none" w:sz="0" w:space="0" w:color="auto"/>
        <w:right w:val="none" w:sz="0" w:space="0" w:color="auto"/>
      </w:divBdr>
    </w:div>
    <w:div w:id="1167332233">
      <w:bodyDiv w:val="1"/>
      <w:marLeft w:val="0"/>
      <w:marRight w:val="0"/>
      <w:marTop w:val="0"/>
      <w:marBottom w:val="0"/>
      <w:divBdr>
        <w:top w:val="none" w:sz="0" w:space="0" w:color="auto"/>
        <w:left w:val="none" w:sz="0" w:space="0" w:color="auto"/>
        <w:bottom w:val="none" w:sz="0" w:space="0" w:color="auto"/>
        <w:right w:val="none" w:sz="0" w:space="0" w:color="auto"/>
      </w:divBdr>
    </w:div>
    <w:div w:id="1168404610">
      <w:bodyDiv w:val="1"/>
      <w:marLeft w:val="0"/>
      <w:marRight w:val="0"/>
      <w:marTop w:val="0"/>
      <w:marBottom w:val="0"/>
      <w:divBdr>
        <w:top w:val="none" w:sz="0" w:space="0" w:color="auto"/>
        <w:left w:val="none" w:sz="0" w:space="0" w:color="auto"/>
        <w:bottom w:val="none" w:sz="0" w:space="0" w:color="auto"/>
        <w:right w:val="none" w:sz="0" w:space="0" w:color="auto"/>
      </w:divBdr>
    </w:div>
    <w:div w:id="1236862879">
      <w:bodyDiv w:val="1"/>
      <w:marLeft w:val="0"/>
      <w:marRight w:val="0"/>
      <w:marTop w:val="0"/>
      <w:marBottom w:val="0"/>
      <w:divBdr>
        <w:top w:val="none" w:sz="0" w:space="0" w:color="auto"/>
        <w:left w:val="none" w:sz="0" w:space="0" w:color="auto"/>
        <w:bottom w:val="none" w:sz="0" w:space="0" w:color="auto"/>
        <w:right w:val="none" w:sz="0" w:space="0" w:color="auto"/>
      </w:divBdr>
    </w:div>
    <w:div w:id="1246846219">
      <w:bodyDiv w:val="1"/>
      <w:marLeft w:val="0"/>
      <w:marRight w:val="0"/>
      <w:marTop w:val="0"/>
      <w:marBottom w:val="0"/>
      <w:divBdr>
        <w:top w:val="none" w:sz="0" w:space="0" w:color="auto"/>
        <w:left w:val="none" w:sz="0" w:space="0" w:color="auto"/>
        <w:bottom w:val="none" w:sz="0" w:space="0" w:color="auto"/>
        <w:right w:val="none" w:sz="0" w:space="0" w:color="auto"/>
      </w:divBdr>
    </w:div>
    <w:div w:id="1303270502">
      <w:bodyDiv w:val="1"/>
      <w:marLeft w:val="0"/>
      <w:marRight w:val="0"/>
      <w:marTop w:val="0"/>
      <w:marBottom w:val="0"/>
      <w:divBdr>
        <w:top w:val="none" w:sz="0" w:space="0" w:color="auto"/>
        <w:left w:val="none" w:sz="0" w:space="0" w:color="auto"/>
        <w:bottom w:val="none" w:sz="0" w:space="0" w:color="auto"/>
        <w:right w:val="none" w:sz="0" w:space="0" w:color="auto"/>
      </w:divBdr>
      <w:divsChild>
        <w:div w:id="399989105">
          <w:marLeft w:val="0"/>
          <w:marRight w:val="0"/>
          <w:marTop w:val="0"/>
          <w:marBottom w:val="0"/>
          <w:divBdr>
            <w:top w:val="none" w:sz="0" w:space="0" w:color="auto"/>
            <w:left w:val="none" w:sz="0" w:space="0" w:color="auto"/>
            <w:bottom w:val="none" w:sz="0" w:space="0" w:color="auto"/>
            <w:right w:val="none" w:sz="0" w:space="0" w:color="auto"/>
          </w:divBdr>
        </w:div>
        <w:div w:id="1555196924">
          <w:marLeft w:val="0"/>
          <w:marRight w:val="0"/>
          <w:marTop w:val="0"/>
          <w:marBottom w:val="0"/>
          <w:divBdr>
            <w:top w:val="none" w:sz="0" w:space="0" w:color="auto"/>
            <w:left w:val="none" w:sz="0" w:space="0" w:color="auto"/>
            <w:bottom w:val="none" w:sz="0" w:space="0" w:color="auto"/>
            <w:right w:val="none" w:sz="0" w:space="0" w:color="auto"/>
          </w:divBdr>
        </w:div>
      </w:divsChild>
    </w:div>
    <w:div w:id="1315336780">
      <w:bodyDiv w:val="1"/>
      <w:marLeft w:val="0"/>
      <w:marRight w:val="0"/>
      <w:marTop w:val="0"/>
      <w:marBottom w:val="0"/>
      <w:divBdr>
        <w:top w:val="none" w:sz="0" w:space="0" w:color="auto"/>
        <w:left w:val="none" w:sz="0" w:space="0" w:color="auto"/>
        <w:bottom w:val="none" w:sz="0" w:space="0" w:color="auto"/>
        <w:right w:val="none" w:sz="0" w:space="0" w:color="auto"/>
      </w:divBdr>
    </w:div>
    <w:div w:id="1347751805">
      <w:bodyDiv w:val="1"/>
      <w:marLeft w:val="0"/>
      <w:marRight w:val="0"/>
      <w:marTop w:val="0"/>
      <w:marBottom w:val="0"/>
      <w:divBdr>
        <w:top w:val="none" w:sz="0" w:space="0" w:color="auto"/>
        <w:left w:val="none" w:sz="0" w:space="0" w:color="auto"/>
        <w:bottom w:val="none" w:sz="0" w:space="0" w:color="auto"/>
        <w:right w:val="none" w:sz="0" w:space="0" w:color="auto"/>
      </w:divBdr>
    </w:div>
    <w:div w:id="1363245855">
      <w:bodyDiv w:val="1"/>
      <w:marLeft w:val="0"/>
      <w:marRight w:val="0"/>
      <w:marTop w:val="0"/>
      <w:marBottom w:val="0"/>
      <w:divBdr>
        <w:top w:val="none" w:sz="0" w:space="0" w:color="auto"/>
        <w:left w:val="none" w:sz="0" w:space="0" w:color="auto"/>
        <w:bottom w:val="none" w:sz="0" w:space="0" w:color="auto"/>
        <w:right w:val="none" w:sz="0" w:space="0" w:color="auto"/>
      </w:divBdr>
    </w:div>
    <w:div w:id="1546867255">
      <w:bodyDiv w:val="1"/>
      <w:marLeft w:val="0"/>
      <w:marRight w:val="0"/>
      <w:marTop w:val="0"/>
      <w:marBottom w:val="0"/>
      <w:divBdr>
        <w:top w:val="none" w:sz="0" w:space="0" w:color="auto"/>
        <w:left w:val="none" w:sz="0" w:space="0" w:color="auto"/>
        <w:bottom w:val="none" w:sz="0" w:space="0" w:color="auto"/>
        <w:right w:val="none" w:sz="0" w:space="0" w:color="auto"/>
      </w:divBdr>
    </w:div>
    <w:div w:id="1709721956">
      <w:bodyDiv w:val="1"/>
      <w:marLeft w:val="0"/>
      <w:marRight w:val="0"/>
      <w:marTop w:val="0"/>
      <w:marBottom w:val="0"/>
      <w:divBdr>
        <w:top w:val="none" w:sz="0" w:space="0" w:color="auto"/>
        <w:left w:val="none" w:sz="0" w:space="0" w:color="auto"/>
        <w:bottom w:val="none" w:sz="0" w:space="0" w:color="auto"/>
        <w:right w:val="none" w:sz="0" w:space="0" w:color="auto"/>
      </w:divBdr>
    </w:div>
    <w:div w:id="1746680245">
      <w:bodyDiv w:val="1"/>
      <w:marLeft w:val="0"/>
      <w:marRight w:val="0"/>
      <w:marTop w:val="0"/>
      <w:marBottom w:val="0"/>
      <w:divBdr>
        <w:top w:val="none" w:sz="0" w:space="0" w:color="auto"/>
        <w:left w:val="none" w:sz="0" w:space="0" w:color="auto"/>
        <w:bottom w:val="none" w:sz="0" w:space="0" w:color="auto"/>
        <w:right w:val="none" w:sz="0" w:space="0" w:color="auto"/>
      </w:divBdr>
    </w:div>
    <w:div w:id="1753358704">
      <w:bodyDiv w:val="1"/>
      <w:marLeft w:val="0"/>
      <w:marRight w:val="0"/>
      <w:marTop w:val="0"/>
      <w:marBottom w:val="0"/>
      <w:divBdr>
        <w:top w:val="none" w:sz="0" w:space="0" w:color="auto"/>
        <w:left w:val="none" w:sz="0" w:space="0" w:color="auto"/>
        <w:bottom w:val="none" w:sz="0" w:space="0" w:color="auto"/>
        <w:right w:val="none" w:sz="0" w:space="0" w:color="auto"/>
      </w:divBdr>
    </w:div>
    <w:div w:id="1835802110">
      <w:bodyDiv w:val="1"/>
      <w:marLeft w:val="0"/>
      <w:marRight w:val="0"/>
      <w:marTop w:val="0"/>
      <w:marBottom w:val="0"/>
      <w:divBdr>
        <w:top w:val="none" w:sz="0" w:space="0" w:color="auto"/>
        <w:left w:val="none" w:sz="0" w:space="0" w:color="auto"/>
        <w:bottom w:val="none" w:sz="0" w:space="0" w:color="auto"/>
        <w:right w:val="none" w:sz="0" w:space="0" w:color="auto"/>
      </w:divBdr>
    </w:div>
    <w:div w:id="1848010900">
      <w:bodyDiv w:val="1"/>
      <w:marLeft w:val="0"/>
      <w:marRight w:val="0"/>
      <w:marTop w:val="0"/>
      <w:marBottom w:val="0"/>
      <w:divBdr>
        <w:top w:val="none" w:sz="0" w:space="0" w:color="auto"/>
        <w:left w:val="none" w:sz="0" w:space="0" w:color="auto"/>
        <w:bottom w:val="none" w:sz="0" w:space="0" w:color="auto"/>
        <w:right w:val="none" w:sz="0" w:space="0" w:color="auto"/>
      </w:divBdr>
    </w:div>
    <w:div w:id="2038386027">
      <w:bodyDiv w:val="1"/>
      <w:marLeft w:val="0"/>
      <w:marRight w:val="0"/>
      <w:marTop w:val="0"/>
      <w:marBottom w:val="0"/>
      <w:divBdr>
        <w:top w:val="none" w:sz="0" w:space="0" w:color="auto"/>
        <w:left w:val="none" w:sz="0" w:space="0" w:color="auto"/>
        <w:bottom w:val="none" w:sz="0" w:space="0" w:color="auto"/>
        <w:right w:val="none" w:sz="0" w:space="0" w:color="auto"/>
      </w:divBdr>
    </w:div>
    <w:div w:id="2143111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hyperlink" Target="https://undp.unteamworks.org/node/369936" TargetMode="Externa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footer" Target="footer1.xml"/><Relationship Id="rId10" Type="http://schemas.openxmlformats.org/officeDocument/2006/relationships/image" Target="media/image3.emf"/><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header" Target="head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F46D1D-5AB2-4495-9259-339209C66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1950</Words>
  <Characters>11121</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UNITED</vt:lpstr>
    </vt:vector>
  </TitlesOfParts>
  <Company>UNDP</Company>
  <LinksUpToDate>false</LinksUpToDate>
  <CharactersWithSpaces>13045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dc:title>
  <dc:creator>Judith Puyat Magnaye</dc:creator>
  <cp:lastModifiedBy>Svetlana Iazykova</cp:lastModifiedBy>
  <cp:revision>2</cp:revision>
  <cp:lastPrinted>2018-07-05T21:57:00Z</cp:lastPrinted>
  <dcterms:created xsi:type="dcterms:W3CDTF">2018-07-10T21:10:00Z</dcterms:created>
  <dcterms:modified xsi:type="dcterms:W3CDTF">2018-07-10T21:10:00Z</dcterms:modified>
</cp:coreProperties>
</file>