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E1890" w14:textId="2B9BBBE5" w:rsidR="008E0FAB" w:rsidRPr="0034154C" w:rsidRDefault="00F22DAA" w:rsidP="004B4476">
      <w:pPr>
        <w:tabs>
          <w:tab w:val="left" w:pos="1620"/>
          <w:tab w:val="left" w:pos="8640"/>
          <w:tab w:val="left" w:pos="8820"/>
          <w:tab w:val="left" w:pos="9180"/>
        </w:tabs>
        <w:ind w:hanging="1080"/>
        <w:rPr>
          <w:b/>
          <w:bCs/>
          <w:color w:val="000000"/>
          <w:lang w:val="en-GB" w:eastAsia="fr-FR"/>
        </w:rPr>
      </w:pPr>
      <w:r w:rsidRPr="0034154C">
        <w:rPr>
          <w:b/>
          <w:bCs/>
          <w:color w:val="000000"/>
          <w:lang w:val="en-GB" w:eastAsia="fr-FR"/>
        </w:rPr>
        <w:t>Second regular session 2018</w:t>
      </w:r>
    </w:p>
    <w:p w14:paraId="61E11391" w14:textId="792A1C7C" w:rsidR="008E0FAB" w:rsidRPr="0034154C" w:rsidRDefault="00F22DAA" w:rsidP="004B4476">
      <w:pPr>
        <w:tabs>
          <w:tab w:val="left" w:pos="1620"/>
        </w:tabs>
        <w:ind w:hanging="1080"/>
        <w:rPr>
          <w:bCs/>
          <w:color w:val="000000"/>
          <w:lang w:val="en-GB" w:eastAsia="fr-FR"/>
        </w:rPr>
      </w:pPr>
      <w:r w:rsidRPr="0034154C">
        <w:rPr>
          <w:bCs/>
          <w:color w:val="000000"/>
          <w:lang w:val="en-GB" w:eastAsia="fr-FR"/>
        </w:rPr>
        <w:t>4</w:t>
      </w:r>
      <w:r w:rsidR="008E0FAB" w:rsidRPr="0034154C">
        <w:rPr>
          <w:bCs/>
          <w:color w:val="000000"/>
          <w:lang w:val="en-GB" w:eastAsia="fr-FR"/>
        </w:rPr>
        <w:t xml:space="preserve"> </w:t>
      </w:r>
      <w:r w:rsidR="00464286" w:rsidRPr="0034154C">
        <w:rPr>
          <w:bCs/>
          <w:color w:val="000000"/>
          <w:lang w:val="en-GB" w:eastAsia="fr-FR"/>
        </w:rPr>
        <w:t>to</w:t>
      </w:r>
      <w:r w:rsidR="008E0FAB" w:rsidRPr="0034154C">
        <w:rPr>
          <w:bCs/>
          <w:color w:val="000000"/>
          <w:lang w:val="en-GB" w:eastAsia="fr-FR"/>
        </w:rPr>
        <w:t xml:space="preserve"> </w:t>
      </w:r>
      <w:r w:rsidRPr="0034154C">
        <w:rPr>
          <w:bCs/>
          <w:color w:val="000000"/>
          <w:lang w:val="en-GB" w:eastAsia="fr-FR"/>
        </w:rPr>
        <w:t>7</w:t>
      </w:r>
      <w:r w:rsidR="008E0FAB" w:rsidRPr="0034154C">
        <w:rPr>
          <w:bCs/>
          <w:color w:val="000000"/>
          <w:lang w:val="en-GB" w:eastAsia="fr-FR"/>
        </w:rPr>
        <w:t xml:space="preserve"> </w:t>
      </w:r>
      <w:r w:rsidR="003D4141" w:rsidRPr="0034154C">
        <w:rPr>
          <w:bCs/>
          <w:color w:val="000000"/>
          <w:lang w:val="en-GB" w:eastAsia="fr-FR"/>
        </w:rPr>
        <w:t>September</w:t>
      </w:r>
      <w:r w:rsidRPr="0034154C">
        <w:rPr>
          <w:bCs/>
          <w:color w:val="000000"/>
          <w:lang w:val="en-GB" w:eastAsia="fr-FR"/>
        </w:rPr>
        <w:t xml:space="preserve"> 2018</w:t>
      </w:r>
      <w:r w:rsidR="008E0FAB" w:rsidRPr="0034154C">
        <w:rPr>
          <w:bCs/>
          <w:color w:val="000000"/>
          <w:lang w:val="en-GB" w:eastAsia="fr-FR"/>
        </w:rPr>
        <w:t>, New York</w:t>
      </w:r>
    </w:p>
    <w:p w14:paraId="12B897EA" w14:textId="0CC5DF86" w:rsidR="008E0FAB" w:rsidRPr="00F55E9E" w:rsidRDefault="008E0FAB" w:rsidP="00F55E9E">
      <w:pPr>
        <w:tabs>
          <w:tab w:val="left" w:pos="1620"/>
        </w:tabs>
        <w:ind w:hanging="1080"/>
        <w:rPr>
          <w:color w:val="000000"/>
          <w:lang w:val="en-GB"/>
        </w:rPr>
      </w:pPr>
      <w:r w:rsidRPr="00F55E9E">
        <w:rPr>
          <w:color w:val="000000"/>
          <w:lang w:val="en-GB"/>
        </w:rPr>
        <w:t xml:space="preserve">Item </w:t>
      </w:r>
      <w:r w:rsidR="00F22DAA" w:rsidRPr="0034154C">
        <w:rPr>
          <w:bCs/>
          <w:color w:val="000000"/>
          <w:lang w:val="en-GB" w:eastAsia="fr-FR"/>
        </w:rPr>
        <w:t>x</w:t>
      </w:r>
      <w:r w:rsidRPr="00F55E9E">
        <w:rPr>
          <w:color w:val="000000"/>
          <w:lang w:val="en-GB"/>
        </w:rPr>
        <w:t xml:space="preserve"> of the provisional agenda</w:t>
      </w:r>
    </w:p>
    <w:p w14:paraId="4EA8B79C" w14:textId="77777777" w:rsidR="008E0FAB" w:rsidRPr="00F55E9E" w:rsidRDefault="008E0FAB" w:rsidP="00F55E9E">
      <w:pPr>
        <w:tabs>
          <w:tab w:val="left" w:pos="1620"/>
        </w:tabs>
        <w:ind w:hanging="1080"/>
        <w:rPr>
          <w:b/>
          <w:color w:val="000000"/>
          <w:lang w:val="en-GB"/>
        </w:rPr>
      </w:pPr>
      <w:r w:rsidRPr="00F55E9E">
        <w:rPr>
          <w:b/>
          <w:color w:val="000000"/>
          <w:lang w:val="en-GB"/>
        </w:rPr>
        <w:t>Country programmes and related matters</w:t>
      </w:r>
    </w:p>
    <w:p w14:paraId="3998C014" w14:textId="77777777" w:rsidR="008E0FAB" w:rsidRPr="00F55E9E" w:rsidRDefault="008E0FAB" w:rsidP="00F55E9E">
      <w:pPr>
        <w:tabs>
          <w:tab w:val="left" w:pos="1620"/>
        </w:tabs>
        <w:ind w:hanging="1080"/>
        <w:rPr>
          <w:b/>
          <w:color w:val="000000"/>
          <w:sz w:val="28"/>
        </w:rPr>
      </w:pPr>
    </w:p>
    <w:p w14:paraId="446B1E29" w14:textId="77777777" w:rsidR="00EE3C3E" w:rsidRPr="00F55E9E" w:rsidRDefault="00EE3C3E" w:rsidP="00F55E9E">
      <w:pPr>
        <w:tabs>
          <w:tab w:val="left" w:pos="1620"/>
        </w:tabs>
        <w:ind w:right="-360" w:hanging="1080"/>
        <w:rPr>
          <w:b/>
          <w:color w:val="000000"/>
          <w:sz w:val="32"/>
        </w:rPr>
      </w:pPr>
    </w:p>
    <w:p w14:paraId="340D8207" w14:textId="43D9DB20" w:rsidR="008E0FAB" w:rsidRPr="00F55E9E" w:rsidRDefault="008E0FAB" w:rsidP="00F55E9E">
      <w:pPr>
        <w:tabs>
          <w:tab w:val="left" w:pos="1620"/>
        </w:tabs>
        <w:ind w:right="-360" w:hanging="1080"/>
        <w:rPr>
          <w:b/>
          <w:color w:val="000000"/>
          <w:sz w:val="32"/>
          <w:lang w:val="en-GB"/>
        </w:rPr>
      </w:pPr>
      <w:r w:rsidRPr="0034154C">
        <w:rPr>
          <w:b/>
          <w:bCs/>
          <w:color w:val="000000"/>
          <w:sz w:val="32"/>
          <w:szCs w:val="32"/>
          <w:lang w:val="en-GB" w:eastAsia="fr-FR"/>
        </w:rPr>
        <w:t>Draft country</w:t>
      </w:r>
      <w:r w:rsidRPr="00F55E9E">
        <w:rPr>
          <w:b/>
          <w:color w:val="000000"/>
          <w:sz w:val="32"/>
          <w:lang w:val="en-GB"/>
        </w:rPr>
        <w:t xml:space="preserve"> programme document for </w:t>
      </w:r>
      <w:r w:rsidR="00F22DAA" w:rsidRPr="00F55E9E">
        <w:rPr>
          <w:b/>
          <w:color w:val="000000"/>
          <w:sz w:val="32"/>
          <w:lang w:val="en-GB"/>
        </w:rPr>
        <w:t>South Sudan (2019-2021</w:t>
      </w:r>
      <w:r w:rsidRPr="00F55E9E">
        <w:rPr>
          <w:b/>
          <w:color w:val="000000"/>
          <w:sz w:val="32"/>
          <w:lang w:val="en-GB"/>
        </w:rPr>
        <w:t>)</w:t>
      </w:r>
    </w:p>
    <w:p w14:paraId="7C52EDBC" w14:textId="77777777" w:rsidR="00C65674" w:rsidRPr="0034154C" w:rsidRDefault="00C65674" w:rsidP="00C65674">
      <w:pPr>
        <w:tabs>
          <w:tab w:val="left" w:pos="1620"/>
        </w:tabs>
        <w:ind w:left="-720" w:right="328" w:firstLine="990"/>
        <w:rPr>
          <w:color w:val="000000"/>
          <w:sz w:val="32"/>
          <w:szCs w:val="32"/>
          <w:lang w:val="en-GB" w:eastAsia="fr-FR"/>
        </w:rPr>
      </w:pPr>
    </w:p>
    <w:p w14:paraId="23799511" w14:textId="77777777" w:rsidR="00A6114E" w:rsidRPr="001B108D" w:rsidRDefault="00A6114E" w:rsidP="00A6114E">
      <w:pPr>
        <w:tabs>
          <w:tab w:val="left" w:pos="1620"/>
        </w:tabs>
        <w:ind w:left="-720" w:right="328" w:firstLine="990"/>
        <w:rPr>
          <w:color w:val="000000"/>
          <w:lang w:val="en-GB" w:eastAsia="fr-FR"/>
        </w:rPr>
      </w:pPr>
    </w:p>
    <w:p w14:paraId="0A587D5A" w14:textId="77777777" w:rsidR="00A6114E" w:rsidRPr="001B108D" w:rsidRDefault="00A6114E" w:rsidP="00A6114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hanging="180"/>
        <w:outlineLvl w:val="0"/>
        <w:rPr>
          <w:color w:val="000000"/>
          <w:spacing w:val="-2"/>
          <w:w w:val="103"/>
          <w:kern w:val="14"/>
          <w:sz w:val="28"/>
          <w:lang w:val="en-GB" w:eastAsia="fr-FR"/>
        </w:rPr>
      </w:pPr>
      <w:r w:rsidRPr="001B108D">
        <w:rPr>
          <w:color w:val="000000"/>
          <w:kern w:val="14"/>
          <w:sz w:val="28"/>
          <w:lang w:val="en-GB" w:eastAsia="fr-FR"/>
        </w:rPr>
        <w:t>Contents</w:t>
      </w:r>
    </w:p>
    <w:tbl>
      <w:tblPr>
        <w:tblpPr w:leftFromText="180" w:rightFromText="180" w:vertAnchor="text" w:horzAnchor="margin" w:tblpXSpec="right" w:tblpY="199"/>
        <w:tblOverlap w:val="never"/>
        <w:tblW w:w="9900" w:type="dxa"/>
        <w:tblLayout w:type="fixed"/>
        <w:tblCellMar>
          <w:left w:w="0" w:type="dxa"/>
          <w:right w:w="0" w:type="dxa"/>
        </w:tblCellMar>
        <w:tblLook w:val="0000" w:firstRow="0" w:lastRow="0" w:firstColumn="0" w:lastColumn="0" w:noHBand="0" w:noVBand="0"/>
      </w:tblPr>
      <w:tblGrid>
        <w:gridCol w:w="1060"/>
        <w:gridCol w:w="8309"/>
        <w:gridCol w:w="171"/>
        <w:gridCol w:w="360"/>
      </w:tblGrid>
      <w:tr w:rsidR="00A6114E" w:rsidRPr="001B108D" w14:paraId="1C609E5E" w14:textId="77777777" w:rsidTr="001D2B2E">
        <w:tc>
          <w:tcPr>
            <w:tcW w:w="1060" w:type="dxa"/>
            <w:shd w:val="clear" w:color="auto" w:fill="auto"/>
          </w:tcPr>
          <w:p w14:paraId="7FCDA6CE" w14:textId="77777777" w:rsidR="00A6114E" w:rsidRPr="001B108D" w:rsidRDefault="00A6114E" w:rsidP="001D2B2E">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0F85271F" w14:textId="77777777" w:rsidR="00A6114E" w:rsidRPr="001B108D" w:rsidRDefault="00A6114E" w:rsidP="001D2B2E">
            <w:pPr>
              <w:tabs>
                <w:tab w:val="left" w:pos="1620"/>
              </w:tabs>
              <w:suppressAutoHyphens/>
              <w:spacing w:after="120"/>
              <w:rPr>
                <w:i/>
                <w:color w:val="000000"/>
                <w:spacing w:val="4"/>
                <w:w w:val="103"/>
                <w:kern w:val="14"/>
                <w:sz w:val="14"/>
                <w:lang w:val="en-GB" w:eastAsia="fr-FR"/>
              </w:rPr>
            </w:pPr>
          </w:p>
        </w:tc>
        <w:tc>
          <w:tcPr>
            <w:tcW w:w="360" w:type="dxa"/>
            <w:shd w:val="clear" w:color="auto" w:fill="auto"/>
          </w:tcPr>
          <w:p w14:paraId="023A9487" w14:textId="77777777" w:rsidR="00A6114E" w:rsidRPr="001B108D" w:rsidRDefault="00A6114E" w:rsidP="001D2B2E">
            <w:pPr>
              <w:tabs>
                <w:tab w:val="left" w:pos="1620"/>
              </w:tabs>
              <w:suppressAutoHyphens/>
              <w:spacing w:after="120"/>
              <w:jc w:val="right"/>
              <w:rPr>
                <w:i/>
                <w:color w:val="000000"/>
                <w:spacing w:val="4"/>
                <w:w w:val="103"/>
                <w:kern w:val="14"/>
                <w:sz w:val="14"/>
                <w:lang w:val="en-GB" w:eastAsia="fr-FR"/>
              </w:rPr>
            </w:pPr>
            <w:r w:rsidRPr="001B108D">
              <w:rPr>
                <w:i/>
                <w:iCs/>
                <w:color w:val="000000"/>
                <w:kern w:val="14"/>
                <w:sz w:val="14"/>
                <w:lang w:val="en-GB" w:eastAsia="fr-FR"/>
              </w:rPr>
              <w:t>Page</w:t>
            </w:r>
          </w:p>
        </w:tc>
      </w:tr>
      <w:tr w:rsidR="00A6114E" w:rsidRPr="001B108D" w14:paraId="05A83E9B" w14:textId="77777777" w:rsidTr="001D2B2E">
        <w:tc>
          <w:tcPr>
            <w:tcW w:w="9540" w:type="dxa"/>
            <w:gridSpan w:val="3"/>
            <w:shd w:val="clear" w:color="auto" w:fill="auto"/>
          </w:tcPr>
          <w:p w14:paraId="41A82CC8" w14:textId="77777777" w:rsidR="00A6114E" w:rsidRPr="001B108D" w:rsidRDefault="00A6114E" w:rsidP="001D2B2E">
            <w:pPr>
              <w:numPr>
                <w:ilvl w:val="0"/>
                <w:numId w:val="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1B108D">
              <w:rPr>
                <w:color w:val="000000"/>
                <w:kern w:val="14"/>
                <w:lang w:val="en-GB" w:eastAsia="fr-FR"/>
              </w:rPr>
              <w:tab/>
              <w:t>Programme rationale</w:t>
            </w:r>
            <w:r w:rsidRPr="001B108D">
              <w:rPr>
                <w:color w:val="000000"/>
                <w:sz w:val="24"/>
                <w:szCs w:val="24"/>
                <w:lang w:val="en-GB" w:eastAsia="fr-FR"/>
              </w:rPr>
              <w:tab/>
            </w:r>
          </w:p>
        </w:tc>
        <w:tc>
          <w:tcPr>
            <w:tcW w:w="360" w:type="dxa"/>
            <w:vMerge w:val="restart"/>
            <w:shd w:val="clear" w:color="auto" w:fill="auto"/>
            <w:vAlign w:val="bottom"/>
          </w:tcPr>
          <w:p w14:paraId="6BCABAB6" w14:textId="77777777" w:rsidR="00A6114E" w:rsidRPr="001B108D" w:rsidRDefault="00A6114E" w:rsidP="001D2B2E">
            <w:pPr>
              <w:tabs>
                <w:tab w:val="left" w:pos="1620"/>
              </w:tabs>
              <w:suppressAutoHyphens/>
              <w:spacing w:after="120" w:line="240" w:lineRule="exact"/>
              <w:jc w:val="right"/>
              <w:rPr>
                <w:color w:val="000000"/>
                <w:spacing w:val="4"/>
                <w:w w:val="103"/>
                <w:kern w:val="14"/>
                <w:lang w:val="en-GB" w:eastAsia="fr-FR"/>
              </w:rPr>
            </w:pPr>
            <w:r w:rsidRPr="001B108D">
              <w:rPr>
                <w:color w:val="000000"/>
                <w:kern w:val="14"/>
                <w:lang w:val="en-GB" w:eastAsia="fr-FR"/>
              </w:rPr>
              <w:t>2</w:t>
            </w:r>
          </w:p>
          <w:p w14:paraId="5B69D1F3" w14:textId="4A670084" w:rsidR="00A6114E" w:rsidRPr="001B108D" w:rsidRDefault="00A6114E" w:rsidP="001D2B2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4</w:t>
            </w:r>
          </w:p>
        </w:tc>
      </w:tr>
      <w:tr w:rsidR="00A6114E" w:rsidRPr="001B108D" w14:paraId="0E3805B0" w14:textId="77777777" w:rsidTr="001D2B2E">
        <w:tc>
          <w:tcPr>
            <w:tcW w:w="9540" w:type="dxa"/>
            <w:gridSpan w:val="3"/>
            <w:shd w:val="clear" w:color="auto" w:fill="auto"/>
          </w:tcPr>
          <w:p w14:paraId="2276864B" w14:textId="77777777" w:rsidR="00A6114E" w:rsidRPr="001B108D" w:rsidRDefault="00A6114E" w:rsidP="001D2B2E">
            <w:pPr>
              <w:numPr>
                <w:ilvl w:val="0"/>
                <w:numId w:val="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1B108D">
              <w:rPr>
                <w:color w:val="000000"/>
                <w:kern w:val="14"/>
                <w:lang w:val="en-GB" w:eastAsia="fr-FR"/>
              </w:rPr>
              <w:tab/>
              <w:t>Programme priorities and partnerships………………………………………………….</w:t>
            </w:r>
            <w:r w:rsidRPr="001B108D">
              <w:rPr>
                <w:color w:val="000000"/>
                <w:kern w:val="14"/>
                <w:sz w:val="17"/>
                <w:lang w:val="en-GB" w:eastAsia="fr-FR"/>
              </w:rPr>
              <w:tab/>
            </w:r>
            <w:r w:rsidRPr="001B108D">
              <w:rPr>
                <w:color w:val="000000"/>
                <w:kern w:val="14"/>
                <w:lang w:val="en-GB" w:eastAsia="fr-FR"/>
              </w:rPr>
              <w:t>……….…</w:t>
            </w:r>
          </w:p>
        </w:tc>
        <w:tc>
          <w:tcPr>
            <w:tcW w:w="360" w:type="dxa"/>
            <w:vMerge/>
            <w:shd w:val="clear" w:color="auto" w:fill="auto"/>
            <w:vAlign w:val="bottom"/>
          </w:tcPr>
          <w:p w14:paraId="380AB7C0" w14:textId="77777777" w:rsidR="00A6114E" w:rsidRPr="001B108D" w:rsidRDefault="00A6114E" w:rsidP="001D2B2E">
            <w:pPr>
              <w:tabs>
                <w:tab w:val="left" w:pos="1620"/>
              </w:tabs>
              <w:suppressAutoHyphens/>
              <w:spacing w:after="120" w:line="240" w:lineRule="exact"/>
              <w:jc w:val="right"/>
              <w:rPr>
                <w:color w:val="000000"/>
                <w:spacing w:val="4"/>
                <w:w w:val="103"/>
                <w:kern w:val="14"/>
                <w:lang w:val="en-GB" w:eastAsia="fr-FR"/>
              </w:rPr>
            </w:pPr>
          </w:p>
        </w:tc>
      </w:tr>
      <w:tr w:rsidR="00A6114E" w:rsidRPr="001B108D" w14:paraId="5BEA0D06" w14:textId="77777777" w:rsidTr="001D2B2E">
        <w:tc>
          <w:tcPr>
            <w:tcW w:w="9540" w:type="dxa"/>
            <w:gridSpan w:val="3"/>
            <w:shd w:val="clear" w:color="auto" w:fill="auto"/>
          </w:tcPr>
          <w:p w14:paraId="163EE89D" w14:textId="77777777" w:rsidR="00A6114E" w:rsidRPr="001B108D" w:rsidRDefault="00A6114E" w:rsidP="001D2B2E">
            <w:pPr>
              <w:numPr>
                <w:ilvl w:val="0"/>
                <w:numId w:val="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1B108D">
              <w:rPr>
                <w:color w:val="000000"/>
                <w:kern w:val="14"/>
                <w:lang w:val="en-GB" w:eastAsia="fr-FR"/>
              </w:rPr>
              <w:tab/>
              <w:t>Programme and risk management</w:t>
            </w:r>
            <w:r w:rsidRPr="001B108D">
              <w:rPr>
                <w:color w:val="000000"/>
                <w:sz w:val="24"/>
                <w:szCs w:val="24"/>
                <w:lang w:val="en-GB" w:eastAsia="fr-FR"/>
              </w:rPr>
              <w:tab/>
            </w:r>
          </w:p>
        </w:tc>
        <w:tc>
          <w:tcPr>
            <w:tcW w:w="360" w:type="dxa"/>
            <w:vMerge w:val="restart"/>
            <w:shd w:val="clear" w:color="auto" w:fill="auto"/>
            <w:vAlign w:val="bottom"/>
          </w:tcPr>
          <w:p w14:paraId="066E80F1" w14:textId="0E58DFBB" w:rsidR="00A6114E" w:rsidRPr="001B108D" w:rsidRDefault="00891F7B" w:rsidP="001D2B2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p w14:paraId="58554FFA" w14:textId="481ADF0C" w:rsidR="00A6114E" w:rsidRPr="001B108D" w:rsidRDefault="00891F7B" w:rsidP="001D2B2E">
            <w:pPr>
              <w:tabs>
                <w:tab w:val="left" w:pos="1620"/>
              </w:tabs>
              <w:suppressAutoHyphens/>
              <w:spacing w:after="120" w:line="240" w:lineRule="exact"/>
              <w:jc w:val="right"/>
              <w:rPr>
                <w:color w:val="000000"/>
                <w:spacing w:val="4"/>
                <w:w w:val="103"/>
                <w:kern w:val="14"/>
                <w:lang w:val="en-GB" w:eastAsia="fr-FR"/>
              </w:rPr>
            </w:pPr>
            <w:r>
              <w:rPr>
                <w:color w:val="000000"/>
                <w:kern w:val="14"/>
                <w:lang w:val="en-GB" w:eastAsia="fr-FR"/>
              </w:rPr>
              <w:t>8</w:t>
            </w:r>
          </w:p>
        </w:tc>
      </w:tr>
      <w:tr w:rsidR="00A6114E" w:rsidRPr="001B108D" w14:paraId="01297F40" w14:textId="77777777" w:rsidTr="001D2B2E">
        <w:tc>
          <w:tcPr>
            <w:tcW w:w="9540" w:type="dxa"/>
            <w:gridSpan w:val="3"/>
            <w:shd w:val="clear" w:color="auto" w:fill="auto"/>
          </w:tcPr>
          <w:p w14:paraId="3D028BE7" w14:textId="77777777" w:rsidR="00A6114E" w:rsidRPr="001B108D" w:rsidRDefault="00A6114E" w:rsidP="001D2B2E">
            <w:pPr>
              <w:numPr>
                <w:ilvl w:val="0"/>
                <w:numId w:val="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1B108D">
              <w:rPr>
                <w:color w:val="000000"/>
                <w:kern w:val="14"/>
                <w:lang w:val="en-GB" w:eastAsia="fr-FR"/>
              </w:rPr>
              <w:tab/>
              <w:t>Monitoring and evaluation</w:t>
            </w:r>
            <w:r w:rsidRPr="001B108D">
              <w:rPr>
                <w:color w:val="000000"/>
                <w:sz w:val="24"/>
                <w:szCs w:val="24"/>
                <w:lang w:val="en-GB" w:eastAsia="fr-FR"/>
              </w:rPr>
              <w:tab/>
            </w:r>
            <w:r w:rsidRPr="001B108D">
              <w:rPr>
                <w:color w:val="000000"/>
                <w:lang w:val="en-GB" w:eastAsia="fr-FR"/>
              </w:rPr>
              <w:t>…………………………………………………….……………………</w:t>
            </w:r>
          </w:p>
        </w:tc>
        <w:tc>
          <w:tcPr>
            <w:tcW w:w="360" w:type="dxa"/>
            <w:vMerge/>
            <w:shd w:val="clear" w:color="auto" w:fill="auto"/>
            <w:vAlign w:val="bottom"/>
          </w:tcPr>
          <w:p w14:paraId="25BDE5E6" w14:textId="77777777" w:rsidR="00A6114E" w:rsidRPr="001B108D" w:rsidRDefault="00A6114E" w:rsidP="001D2B2E">
            <w:pPr>
              <w:tabs>
                <w:tab w:val="left" w:pos="1620"/>
              </w:tabs>
              <w:suppressAutoHyphens/>
              <w:spacing w:after="120" w:line="240" w:lineRule="exact"/>
              <w:jc w:val="right"/>
              <w:rPr>
                <w:color w:val="000000"/>
                <w:spacing w:val="4"/>
                <w:w w:val="103"/>
                <w:kern w:val="14"/>
                <w:lang w:val="en-GB" w:eastAsia="fr-FR"/>
              </w:rPr>
            </w:pPr>
          </w:p>
        </w:tc>
      </w:tr>
      <w:tr w:rsidR="00A6114E" w:rsidRPr="001B108D" w14:paraId="7495928E" w14:textId="77777777" w:rsidTr="001D2B2E">
        <w:tc>
          <w:tcPr>
            <w:tcW w:w="9369" w:type="dxa"/>
            <w:gridSpan w:val="2"/>
            <w:shd w:val="clear" w:color="auto" w:fill="auto"/>
          </w:tcPr>
          <w:p w14:paraId="300373CC" w14:textId="77777777" w:rsidR="00A6114E" w:rsidRPr="001B108D" w:rsidRDefault="00A6114E" w:rsidP="001D2B2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1B108D">
              <w:rPr>
                <w:color w:val="000000"/>
                <w:kern w:val="14"/>
                <w:lang w:val="en-GB" w:eastAsia="fr-FR"/>
              </w:rPr>
              <w:t xml:space="preserve">     Annex</w:t>
            </w:r>
          </w:p>
        </w:tc>
        <w:tc>
          <w:tcPr>
            <w:tcW w:w="531" w:type="dxa"/>
            <w:gridSpan w:val="2"/>
            <w:shd w:val="clear" w:color="auto" w:fill="auto"/>
            <w:vAlign w:val="bottom"/>
          </w:tcPr>
          <w:p w14:paraId="0F7E1FC5" w14:textId="77777777" w:rsidR="00A6114E" w:rsidRPr="001B108D" w:rsidRDefault="00A6114E" w:rsidP="001D2B2E">
            <w:pPr>
              <w:tabs>
                <w:tab w:val="left" w:pos="1620"/>
              </w:tabs>
              <w:suppressAutoHyphens/>
              <w:spacing w:after="120" w:line="240" w:lineRule="exact"/>
              <w:jc w:val="right"/>
              <w:rPr>
                <w:color w:val="000000"/>
                <w:spacing w:val="4"/>
                <w:w w:val="103"/>
                <w:kern w:val="14"/>
                <w:lang w:val="en-GB" w:eastAsia="fr-FR"/>
              </w:rPr>
            </w:pPr>
          </w:p>
        </w:tc>
      </w:tr>
      <w:tr w:rsidR="00A6114E" w:rsidRPr="001B108D" w14:paraId="462AB48D" w14:textId="77777777" w:rsidTr="001D2B2E">
        <w:tc>
          <w:tcPr>
            <w:tcW w:w="9369" w:type="dxa"/>
            <w:gridSpan w:val="2"/>
            <w:shd w:val="clear" w:color="auto" w:fill="auto"/>
          </w:tcPr>
          <w:p w14:paraId="29244CCF" w14:textId="39897EA8" w:rsidR="00A6114E" w:rsidRPr="001B108D" w:rsidRDefault="00A6114E" w:rsidP="001D2B2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1B108D">
              <w:rPr>
                <w:color w:val="000000"/>
                <w:kern w:val="14"/>
                <w:lang w:val="en-GB" w:eastAsia="fr-FR"/>
              </w:rPr>
              <w:t xml:space="preserve">Results and resources framework for </w:t>
            </w:r>
            <w:r>
              <w:rPr>
                <w:color w:val="000000"/>
                <w:kern w:val="14"/>
                <w:lang w:val="en-GB" w:eastAsia="fr-FR"/>
              </w:rPr>
              <w:t>South Sudan</w:t>
            </w:r>
            <w:r w:rsidRPr="001B108D">
              <w:rPr>
                <w:color w:val="000000"/>
                <w:kern w:val="14"/>
                <w:lang w:val="en-GB" w:eastAsia="fr-FR"/>
              </w:rPr>
              <w:t xml:space="preserve"> (201</w:t>
            </w:r>
            <w:r>
              <w:rPr>
                <w:color w:val="000000"/>
                <w:kern w:val="14"/>
                <w:lang w:val="en-GB" w:eastAsia="fr-FR"/>
              </w:rPr>
              <w:t>9</w:t>
            </w:r>
            <w:r w:rsidRPr="001B108D">
              <w:rPr>
                <w:color w:val="000000"/>
                <w:kern w:val="14"/>
                <w:lang w:val="en-GB" w:eastAsia="fr-FR"/>
              </w:rPr>
              <w:t>-202</w:t>
            </w:r>
            <w:r>
              <w:rPr>
                <w:color w:val="000000"/>
                <w:kern w:val="14"/>
                <w:lang w:val="en-GB" w:eastAsia="fr-FR"/>
              </w:rPr>
              <w:t>1</w:t>
            </w:r>
            <w:r w:rsidRPr="001B108D">
              <w:rPr>
                <w:color w:val="000000"/>
                <w:kern w:val="14"/>
                <w:lang w:val="en-GB" w:eastAsia="fr-FR"/>
              </w:rPr>
              <w:t>)</w:t>
            </w:r>
            <w:r w:rsidRPr="001B108D">
              <w:rPr>
                <w:color w:val="000000"/>
                <w:sz w:val="24"/>
                <w:szCs w:val="24"/>
                <w:lang w:val="en-GB" w:eastAsia="fr-FR"/>
              </w:rPr>
              <w:tab/>
            </w:r>
            <w:r w:rsidRPr="001B108D">
              <w:rPr>
                <w:color w:val="000000"/>
                <w:lang w:val="en-GB" w:eastAsia="fr-FR"/>
              </w:rPr>
              <w:t>……………………………………</w:t>
            </w:r>
          </w:p>
        </w:tc>
        <w:tc>
          <w:tcPr>
            <w:tcW w:w="531" w:type="dxa"/>
            <w:gridSpan w:val="2"/>
            <w:shd w:val="clear" w:color="auto" w:fill="auto"/>
            <w:vAlign w:val="bottom"/>
          </w:tcPr>
          <w:p w14:paraId="70A35CC4" w14:textId="77777777" w:rsidR="00A6114E" w:rsidRPr="001B108D" w:rsidRDefault="00A6114E" w:rsidP="001D2B2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10</w:t>
            </w:r>
          </w:p>
        </w:tc>
      </w:tr>
    </w:tbl>
    <w:p w14:paraId="14775024" w14:textId="77777777" w:rsidR="00C65674" w:rsidRPr="0034154C" w:rsidRDefault="00C65674" w:rsidP="00C65674">
      <w:pPr>
        <w:tabs>
          <w:tab w:val="left" w:pos="1620"/>
        </w:tabs>
        <w:ind w:left="-720" w:right="328" w:firstLine="990"/>
        <w:rPr>
          <w:color w:val="000000"/>
          <w:lang w:val="en-GB" w:eastAsia="fr-FR"/>
        </w:rPr>
      </w:pPr>
    </w:p>
    <w:p w14:paraId="67FFF199" w14:textId="65BC5C32" w:rsidR="00A918A7" w:rsidRPr="00F55E9E" w:rsidRDefault="00785474" w:rsidP="00F55E9E">
      <w:pPr>
        <w:pStyle w:val="ListParagraph"/>
        <w:numPr>
          <w:ilvl w:val="0"/>
          <w:numId w:val="3"/>
        </w:numPr>
        <w:tabs>
          <w:tab w:val="left" w:pos="1620"/>
        </w:tabs>
        <w:ind w:left="0" w:hanging="270"/>
        <w:rPr>
          <w:color w:val="000000"/>
          <w:sz w:val="32"/>
          <w:lang w:val="en-GB"/>
        </w:rPr>
      </w:pPr>
      <w:bookmarkStart w:id="0" w:name="_Toc511851832"/>
      <w:r w:rsidRPr="0034154C">
        <w:rPr>
          <w:lang w:val="en-GB"/>
        </w:rPr>
        <w:br w:type="page"/>
      </w:r>
      <w:r w:rsidR="00614D4E" w:rsidRPr="00F55E9E">
        <w:rPr>
          <w:b/>
          <w:color w:val="000000"/>
          <w:sz w:val="24"/>
          <w:lang w:val="en-GB"/>
        </w:rPr>
        <w:lastRenderedPageBreak/>
        <w:t xml:space="preserve">Programme </w:t>
      </w:r>
      <w:bookmarkEnd w:id="0"/>
      <w:r w:rsidR="00614D4E" w:rsidRPr="0034154C">
        <w:rPr>
          <w:b/>
          <w:bCs/>
          <w:color w:val="000000"/>
          <w:sz w:val="24"/>
          <w:szCs w:val="24"/>
          <w:lang w:val="en-GB"/>
        </w:rPr>
        <w:t>r</w:t>
      </w:r>
      <w:r w:rsidR="0059112A" w:rsidRPr="0034154C">
        <w:rPr>
          <w:b/>
          <w:bCs/>
          <w:color w:val="000000"/>
          <w:sz w:val="24"/>
          <w:szCs w:val="24"/>
          <w:lang w:val="en-GB"/>
        </w:rPr>
        <w:t>ationale</w:t>
      </w:r>
      <w:r w:rsidR="00A113D7" w:rsidRPr="00F55E9E">
        <w:rPr>
          <w:b/>
          <w:color w:val="000000"/>
          <w:sz w:val="24"/>
          <w:lang w:val="en-GB"/>
        </w:rPr>
        <w:t xml:space="preserve"> </w:t>
      </w:r>
    </w:p>
    <w:p w14:paraId="349E2CDA" w14:textId="77777777" w:rsidR="00864686" w:rsidRPr="0034154C" w:rsidRDefault="00864686" w:rsidP="00B27B86">
      <w:pPr>
        <w:tabs>
          <w:tab w:val="left" w:pos="360"/>
        </w:tabs>
        <w:ind w:right="450"/>
        <w:rPr>
          <w:color w:val="444444"/>
          <w:lang w:val="en-GB"/>
        </w:rPr>
      </w:pPr>
    </w:p>
    <w:p w14:paraId="4A5E08F3" w14:textId="6584D983" w:rsidR="00C63C2E" w:rsidRPr="00F55E9E" w:rsidRDefault="00C63C2E" w:rsidP="00F55E9E">
      <w:pPr>
        <w:pStyle w:val="ListParagraph"/>
        <w:numPr>
          <w:ilvl w:val="0"/>
          <w:numId w:val="1"/>
        </w:numPr>
        <w:tabs>
          <w:tab w:val="left" w:pos="360"/>
        </w:tabs>
        <w:spacing w:after="120"/>
        <w:ind w:left="0" w:right="450" w:firstLine="0"/>
        <w:jc w:val="both"/>
        <w:rPr>
          <w:lang w:val="en-GB"/>
        </w:rPr>
      </w:pPr>
      <w:r w:rsidRPr="00F55E9E">
        <w:rPr>
          <w:lang w:val="en-GB"/>
        </w:rPr>
        <w:t>South Sudan remains highly fragile</w:t>
      </w:r>
      <w:r w:rsidRPr="00F55E9E">
        <w:rPr>
          <w:rStyle w:val="FootnoteReference"/>
          <w:lang w:val="en-GB"/>
        </w:rPr>
        <w:footnoteReference w:id="2"/>
      </w:r>
      <w:r w:rsidRPr="00F55E9E">
        <w:rPr>
          <w:lang w:val="en-GB"/>
        </w:rPr>
        <w:t xml:space="preserve"> </w:t>
      </w:r>
      <w:r w:rsidR="00936DDC" w:rsidRPr="006E1805">
        <w:rPr>
          <w:lang w:val="en-GB"/>
        </w:rPr>
        <w:t>owing</w:t>
      </w:r>
      <w:r w:rsidR="00936DDC" w:rsidRPr="00F55E9E">
        <w:rPr>
          <w:lang w:val="en-GB"/>
        </w:rPr>
        <w:t xml:space="preserve"> </w:t>
      </w:r>
      <w:r w:rsidRPr="00F55E9E">
        <w:rPr>
          <w:lang w:val="en-GB"/>
        </w:rPr>
        <w:t xml:space="preserve">to continuing conflict and a governance crisis that poses an obstacle to stability and </w:t>
      </w:r>
      <w:r w:rsidR="00936DDC" w:rsidRPr="006E1805">
        <w:rPr>
          <w:lang w:val="en-GB"/>
        </w:rPr>
        <w:t xml:space="preserve">national </w:t>
      </w:r>
      <w:r w:rsidRPr="00F55E9E">
        <w:rPr>
          <w:lang w:val="en-GB"/>
        </w:rPr>
        <w:t xml:space="preserve">unity. The </w:t>
      </w:r>
      <w:r w:rsidRPr="006E1805">
        <w:rPr>
          <w:lang w:val="en-GB"/>
        </w:rPr>
        <w:t>Inter</w:t>
      </w:r>
      <w:r w:rsidR="00936DDC" w:rsidRPr="006E1805">
        <w:rPr>
          <w:lang w:val="en-GB"/>
        </w:rPr>
        <w:t>g</w:t>
      </w:r>
      <w:r w:rsidRPr="006E1805">
        <w:rPr>
          <w:lang w:val="en-GB"/>
        </w:rPr>
        <w:t>overnmental</w:t>
      </w:r>
      <w:r w:rsidRPr="00F55E9E">
        <w:rPr>
          <w:lang w:val="en-GB"/>
        </w:rPr>
        <w:t xml:space="preserve"> Authority on Development (IGAD</w:t>
      </w:r>
      <w:r w:rsidRPr="006E1805">
        <w:rPr>
          <w:lang w:val="en-GB"/>
        </w:rPr>
        <w:t>)</w:t>
      </w:r>
      <w:r w:rsidR="00936DDC" w:rsidRPr="006E1805">
        <w:rPr>
          <w:lang w:val="en-GB"/>
        </w:rPr>
        <w:t>-</w:t>
      </w:r>
      <w:r w:rsidRPr="00F55E9E">
        <w:rPr>
          <w:lang w:val="en-GB"/>
        </w:rPr>
        <w:t xml:space="preserve">mediated Agreement </w:t>
      </w:r>
      <w:r w:rsidR="00936DDC" w:rsidRPr="006E1805">
        <w:rPr>
          <w:lang w:val="en-GB"/>
        </w:rPr>
        <w:t>on</w:t>
      </w:r>
      <w:r w:rsidR="00936DDC" w:rsidRPr="00F55E9E">
        <w:rPr>
          <w:lang w:val="en-GB"/>
        </w:rPr>
        <w:t xml:space="preserve"> </w:t>
      </w:r>
      <w:r w:rsidRPr="00F55E9E">
        <w:rPr>
          <w:lang w:val="en-GB"/>
        </w:rPr>
        <w:t xml:space="preserve">the Resolution of the Conflict in </w:t>
      </w:r>
      <w:r w:rsidR="00936DDC" w:rsidRPr="006E1805">
        <w:rPr>
          <w:lang w:val="en-GB"/>
        </w:rPr>
        <w:t xml:space="preserve">the Republic of </w:t>
      </w:r>
      <w:r w:rsidRPr="00F55E9E">
        <w:rPr>
          <w:lang w:val="en-GB"/>
        </w:rPr>
        <w:t xml:space="preserve">South Sudan </w:t>
      </w:r>
      <w:r w:rsidR="00742DF0" w:rsidRPr="00F55E9E">
        <w:rPr>
          <w:lang w:val="en-GB"/>
        </w:rPr>
        <w:t xml:space="preserve">(ARCSS) </w:t>
      </w:r>
      <w:r w:rsidRPr="00F55E9E">
        <w:rPr>
          <w:lang w:val="en-GB"/>
        </w:rPr>
        <w:t>remains in limbo</w:t>
      </w:r>
      <w:r w:rsidR="00936DDC" w:rsidRPr="006E1805">
        <w:rPr>
          <w:lang w:val="en-GB"/>
        </w:rPr>
        <w:t>,</w:t>
      </w:r>
      <w:r w:rsidRPr="00F55E9E">
        <w:rPr>
          <w:lang w:val="en-GB"/>
        </w:rPr>
        <w:t xml:space="preserve"> with several agreed benchmarks unimplemented. The Transitional Government of National Unity</w:t>
      </w:r>
      <w:r w:rsidRPr="006E1805">
        <w:rPr>
          <w:lang w:val="en-GB"/>
        </w:rPr>
        <w:t>,</w:t>
      </w:r>
      <w:r w:rsidRPr="00F55E9E">
        <w:rPr>
          <w:lang w:val="en-GB"/>
        </w:rPr>
        <w:t xml:space="preserve"> established in April 2016, suffered a setback following fresh fighting in July 2016. </w:t>
      </w:r>
    </w:p>
    <w:p w14:paraId="01DEA56D" w14:textId="15401559" w:rsidR="00C63C2E" w:rsidRPr="00F55E9E" w:rsidRDefault="00C63C2E" w:rsidP="00F55E9E">
      <w:pPr>
        <w:pStyle w:val="ListParagraph"/>
        <w:numPr>
          <w:ilvl w:val="0"/>
          <w:numId w:val="1"/>
        </w:numPr>
        <w:tabs>
          <w:tab w:val="left" w:pos="360"/>
        </w:tabs>
        <w:spacing w:after="120"/>
        <w:ind w:left="0" w:right="450" w:firstLine="0"/>
        <w:jc w:val="both"/>
        <w:rPr>
          <w:lang w:val="en-GB"/>
        </w:rPr>
      </w:pPr>
      <w:r w:rsidRPr="00F55E9E">
        <w:rPr>
          <w:shd w:val="clear" w:color="auto" w:fill="FFFFFF"/>
          <w:lang w:val="en-GB"/>
        </w:rPr>
        <w:t xml:space="preserve">Hostilities and eruption of violence between different armed groups and communities continue to undermine implementation of initiatives to contain the conflict and promote peace: </w:t>
      </w:r>
      <w:r w:rsidR="000740E9" w:rsidRPr="006E1805">
        <w:rPr>
          <w:shd w:val="clear" w:color="auto" w:fill="FFFFFF"/>
          <w:lang w:val="en-GB"/>
        </w:rPr>
        <w:t>(</w:t>
      </w:r>
      <w:r w:rsidRPr="00F55E9E">
        <w:rPr>
          <w:shd w:val="clear" w:color="auto" w:fill="FFFFFF"/>
          <w:lang w:val="en-GB"/>
        </w:rPr>
        <w:t xml:space="preserve">a) the </w:t>
      </w:r>
      <w:r w:rsidRPr="00F55E9E">
        <w:rPr>
          <w:lang w:val="en-GB"/>
        </w:rPr>
        <w:t xml:space="preserve">National Dialogue </w:t>
      </w:r>
      <w:r w:rsidR="007262A5" w:rsidRPr="00F55E9E">
        <w:rPr>
          <w:lang w:val="en-GB"/>
        </w:rPr>
        <w:t>p</w:t>
      </w:r>
      <w:r w:rsidRPr="00F55E9E">
        <w:rPr>
          <w:lang w:val="en-GB"/>
        </w:rPr>
        <w:t xml:space="preserve">rocess; </w:t>
      </w:r>
      <w:r w:rsidR="000740E9" w:rsidRPr="006E1805">
        <w:rPr>
          <w:lang w:val="en-GB"/>
        </w:rPr>
        <w:t>(</w:t>
      </w:r>
      <w:r w:rsidRPr="00F55E9E">
        <w:rPr>
          <w:lang w:val="en-GB"/>
        </w:rPr>
        <w:t>b) High</w:t>
      </w:r>
      <w:r w:rsidR="000740E9" w:rsidRPr="006E1805">
        <w:rPr>
          <w:lang w:val="en-GB"/>
        </w:rPr>
        <w:t>-l</w:t>
      </w:r>
      <w:r w:rsidRPr="006E1805">
        <w:rPr>
          <w:lang w:val="en-GB"/>
        </w:rPr>
        <w:t>evel</w:t>
      </w:r>
      <w:r w:rsidRPr="00F55E9E">
        <w:rPr>
          <w:lang w:val="en-GB"/>
        </w:rPr>
        <w:t xml:space="preserve"> Revitalization Forum (HLRF); and </w:t>
      </w:r>
      <w:r w:rsidR="000740E9" w:rsidRPr="006E1805">
        <w:rPr>
          <w:lang w:val="en-GB"/>
        </w:rPr>
        <w:t>(</w:t>
      </w:r>
      <w:r w:rsidRPr="00F55E9E">
        <w:rPr>
          <w:lang w:val="en-GB"/>
        </w:rPr>
        <w:t>c) Kampala and Cairo intra-Sudan People's Liberation Movement (SPLM) agreements.</w:t>
      </w:r>
    </w:p>
    <w:p w14:paraId="12D1182B" w14:textId="6C166E58" w:rsidR="00C63C2E" w:rsidRPr="00F55E9E" w:rsidRDefault="00C63C2E" w:rsidP="00F55E9E">
      <w:pPr>
        <w:pStyle w:val="ListParagraph"/>
        <w:numPr>
          <w:ilvl w:val="0"/>
          <w:numId w:val="1"/>
        </w:numPr>
        <w:tabs>
          <w:tab w:val="left" w:pos="360"/>
        </w:tabs>
        <w:spacing w:after="120"/>
        <w:ind w:left="0" w:right="450" w:firstLine="0"/>
        <w:jc w:val="both"/>
        <w:rPr>
          <w:lang w:val="en-GB"/>
        </w:rPr>
      </w:pPr>
      <w:r w:rsidRPr="00F55E9E">
        <w:rPr>
          <w:lang w:val="en-GB"/>
        </w:rPr>
        <w:t>The conflict has multiple layers and dimensions. At national level, the underlying</w:t>
      </w:r>
      <w:r w:rsidR="00CA472A" w:rsidRPr="006E1805">
        <w:rPr>
          <w:lang w:val="en-GB"/>
        </w:rPr>
        <w:t>,</w:t>
      </w:r>
      <w:r w:rsidR="00CA472A" w:rsidRPr="00F55E9E">
        <w:rPr>
          <w:lang w:val="en-GB"/>
        </w:rPr>
        <w:t xml:space="preserve"> </w:t>
      </w:r>
      <w:r w:rsidRPr="00F55E9E">
        <w:rPr>
          <w:lang w:val="en-GB"/>
        </w:rPr>
        <w:t xml:space="preserve">root causes </w:t>
      </w:r>
      <w:r w:rsidR="00CA472A" w:rsidRPr="006E1805">
        <w:rPr>
          <w:lang w:val="en-GB"/>
        </w:rPr>
        <w:t>include</w:t>
      </w:r>
      <w:r w:rsidRPr="00F55E9E">
        <w:rPr>
          <w:lang w:val="en-GB"/>
        </w:rPr>
        <w:t xml:space="preserve"> a crisis of political leadership, weak institutions, exclusion and </w:t>
      </w:r>
      <w:r w:rsidRPr="006E1805">
        <w:rPr>
          <w:lang w:val="en-GB"/>
        </w:rPr>
        <w:t>marginali</w:t>
      </w:r>
      <w:r w:rsidR="00CA472A" w:rsidRPr="006E1805">
        <w:rPr>
          <w:lang w:val="en-GB"/>
        </w:rPr>
        <w:t>z</w:t>
      </w:r>
      <w:r w:rsidRPr="006E1805">
        <w:rPr>
          <w:lang w:val="en-GB"/>
        </w:rPr>
        <w:t xml:space="preserve">ation, </w:t>
      </w:r>
      <w:r w:rsidR="00CA472A" w:rsidRPr="006E1805">
        <w:rPr>
          <w:lang w:val="en-GB"/>
        </w:rPr>
        <w:t>and</w:t>
      </w:r>
      <w:r w:rsidR="00CA472A" w:rsidRPr="00F55E9E">
        <w:rPr>
          <w:lang w:val="en-GB"/>
        </w:rPr>
        <w:t xml:space="preserve"> </w:t>
      </w:r>
      <w:r w:rsidRPr="00F55E9E">
        <w:rPr>
          <w:lang w:val="en-GB"/>
        </w:rPr>
        <w:t xml:space="preserve">lack of civic space, accompanied by a series of economic shocks. At community level, conflicts are a culmination of trust deficits, competition over shared resources, and longstanding intercommunal animosity. Decades of conflict in South Sudan have led to widespread proliferation of weapons, threatening community safety and limiting </w:t>
      </w:r>
      <w:r w:rsidRPr="006E1805">
        <w:rPr>
          <w:lang w:val="en-GB"/>
        </w:rPr>
        <w:t>socioeconomic</w:t>
      </w:r>
      <w:r w:rsidRPr="00F55E9E">
        <w:rPr>
          <w:lang w:val="en-GB"/>
        </w:rPr>
        <w:t xml:space="preserve"> development.</w:t>
      </w:r>
    </w:p>
    <w:p w14:paraId="2CE1814E" w14:textId="7FB3444B" w:rsidR="00C63C2E" w:rsidRPr="00F55E9E" w:rsidRDefault="00C63C2E" w:rsidP="00F55E9E">
      <w:pPr>
        <w:pStyle w:val="ListParagraph"/>
        <w:numPr>
          <w:ilvl w:val="0"/>
          <w:numId w:val="1"/>
        </w:numPr>
        <w:tabs>
          <w:tab w:val="left" w:pos="360"/>
        </w:tabs>
        <w:spacing w:after="120"/>
        <w:ind w:left="0" w:right="450" w:firstLine="0"/>
        <w:jc w:val="both"/>
        <w:rPr>
          <w:lang w:val="en-GB"/>
        </w:rPr>
      </w:pPr>
      <w:r w:rsidRPr="00F55E9E">
        <w:rPr>
          <w:lang w:val="en-GB"/>
        </w:rPr>
        <w:t xml:space="preserve">The conflict has weakened traditional conflict prevention, mediation and resolution structures, and the ability of institutions to withstand political and security shocks. Weak rule of law institutions translates into total impunity of perpetrators of violence, </w:t>
      </w:r>
      <w:r w:rsidR="00CA472A" w:rsidRPr="006E1805">
        <w:rPr>
          <w:lang w:val="en-GB"/>
        </w:rPr>
        <w:t xml:space="preserve">and </w:t>
      </w:r>
      <w:r w:rsidRPr="00F55E9E">
        <w:rPr>
          <w:lang w:val="en-GB"/>
        </w:rPr>
        <w:t>fuels vigilantism</w:t>
      </w:r>
      <w:r w:rsidRPr="006E1805">
        <w:rPr>
          <w:lang w:val="en-GB"/>
        </w:rPr>
        <w:t xml:space="preserve"> </w:t>
      </w:r>
      <w:r w:rsidR="00CA472A" w:rsidRPr="006E1805">
        <w:rPr>
          <w:lang w:val="en-GB"/>
        </w:rPr>
        <w:t>and</w:t>
      </w:r>
      <w:r w:rsidR="00CA472A" w:rsidRPr="00F55E9E">
        <w:rPr>
          <w:lang w:val="en-GB"/>
        </w:rPr>
        <w:t xml:space="preserve"> </w:t>
      </w:r>
      <w:r w:rsidRPr="00F55E9E">
        <w:rPr>
          <w:lang w:val="en-GB"/>
        </w:rPr>
        <w:t xml:space="preserve">gross human rights violations. </w:t>
      </w:r>
      <w:r w:rsidRPr="00F55E9E">
        <w:rPr>
          <w:color w:val="000000" w:themeColor="text1"/>
          <w:lang w:val="en-GB"/>
        </w:rPr>
        <w:t xml:space="preserve">Discriminatory social norms and unequal gender relationships have entrenched the vulnerabilities of women during the crisis. </w:t>
      </w:r>
      <w:r w:rsidRPr="00F55E9E">
        <w:rPr>
          <w:lang w:val="en-GB"/>
        </w:rPr>
        <w:t>A recent study revealed that 58.5 per cent of the population view sexual and gender-based violence (SGBV) as a major problem in South Sudan</w:t>
      </w:r>
      <w:r w:rsidR="00CA472A" w:rsidRPr="006E1805">
        <w:rPr>
          <w:lang w:val="en-GB"/>
        </w:rPr>
        <w:t>.</w:t>
      </w:r>
      <w:r w:rsidRPr="00F55E9E">
        <w:rPr>
          <w:rStyle w:val="FootnoteReference"/>
          <w:lang w:val="en-GB"/>
        </w:rPr>
        <w:footnoteReference w:id="3"/>
      </w:r>
    </w:p>
    <w:p w14:paraId="068009A4" w14:textId="3D174A04" w:rsidR="00C63C2E" w:rsidRPr="00F55E9E" w:rsidRDefault="00C63C2E" w:rsidP="00F55E9E">
      <w:pPr>
        <w:pStyle w:val="ListParagraph"/>
        <w:numPr>
          <w:ilvl w:val="0"/>
          <w:numId w:val="1"/>
        </w:numPr>
        <w:tabs>
          <w:tab w:val="left" w:pos="360"/>
        </w:tabs>
        <w:spacing w:after="120"/>
        <w:ind w:left="0" w:right="450" w:firstLine="0"/>
        <w:jc w:val="both"/>
        <w:rPr>
          <w:lang w:val="en-GB"/>
        </w:rPr>
      </w:pPr>
      <w:r w:rsidRPr="00F55E9E">
        <w:rPr>
          <w:lang w:val="en-GB"/>
        </w:rPr>
        <w:t xml:space="preserve">A UNDP-commissioned perception survey estimated a reduction in </w:t>
      </w:r>
      <w:r w:rsidRPr="006E1805">
        <w:rPr>
          <w:lang w:val="en-GB"/>
        </w:rPr>
        <w:t>citizens</w:t>
      </w:r>
      <w:r w:rsidR="00CA472A" w:rsidRPr="006E1805">
        <w:rPr>
          <w:lang w:val="en-GB"/>
        </w:rPr>
        <w:t>’</w:t>
      </w:r>
      <w:r w:rsidRPr="00F55E9E">
        <w:rPr>
          <w:lang w:val="en-GB"/>
        </w:rPr>
        <w:t xml:space="preserve"> confidence in peace and security from 52.</w:t>
      </w:r>
      <w:r w:rsidRPr="006E1805">
        <w:rPr>
          <w:lang w:val="en-GB"/>
        </w:rPr>
        <w:t>5</w:t>
      </w:r>
      <w:r w:rsidR="00CA472A" w:rsidRPr="006E1805">
        <w:rPr>
          <w:lang w:val="en-GB"/>
        </w:rPr>
        <w:t xml:space="preserve"> </w:t>
      </w:r>
      <w:r w:rsidRPr="006E1805">
        <w:rPr>
          <w:lang w:val="en-GB"/>
        </w:rPr>
        <w:t>per</w:t>
      </w:r>
      <w:r w:rsidRPr="00F55E9E">
        <w:rPr>
          <w:lang w:val="en-GB"/>
        </w:rPr>
        <w:t xml:space="preserve"> cent (2015) to 47.</w:t>
      </w:r>
      <w:r w:rsidRPr="006E1805">
        <w:rPr>
          <w:lang w:val="en-GB"/>
        </w:rPr>
        <w:t>4</w:t>
      </w:r>
      <w:r w:rsidR="00CA472A" w:rsidRPr="006E1805">
        <w:rPr>
          <w:lang w:val="en-GB"/>
        </w:rPr>
        <w:t xml:space="preserve"> </w:t>
      </w:r>
      <w:r w:rsidRPr="006E1805">
        <w:rPr>
          <w:lang w:val="en-GB"/>
        </w:rPr>
        <w:t>per</w:t>
      </w:r>
      <w:r w:rsidRPr="00F55E9E">
        <w:rPr>
          <w:lang w:val="en-GB"/>
        </w:rPr>
        <w:t xml:space="preserve"> cent (2017) </w:t>
      </w:r>
      <w:r w:rsidR="00CA472A" w:rsidRPr="006E1805">
        <w:rPr>
          <w:lang w:val="en-GB"/>
        </w:rPr>
        <w:t>owing</w:t>
      </w:r>
      <w:r w:rsidR="00CA472A" w:rsidRPr="00F55E9E">
        <w:rPr>
          <w:lang w:val="en-GB"/>
        </w:rPr>
        <w:t xml:space="preserve"> </w:t>
      </w:r>
      <w:r w:rsidRPr="00F55E9E">
        <w:rPr>
          <w:lang w:val="en-GB"/>
        </w:rPr>
        <w:t>to increased political instability and sporadic attacks experienced across the country</w:t>
      </w:r>
      <w:r w:rsidR="00CA472A" w:rsidRPr="006E1805">
        <w:rPr>
          <w:lang w:val="en-GB"/>
        </w:rPr>
        <w:t>.</w:t>
      </w:r>
      <w:r w:rsidRPr="00F55E9E">
        <w:rPr>
          <w:rStyle w:val="FootnoteReference"/>
          <w:lang w:val="en-GB"/>
        </w:rPr>
        <w:footnoteReference w:id="4"/>
      </w:r>
      <w:r w:rsidRPr="00F55E9E">
        <w:rPr>
          <w:lang w:val="en-GB"/>
        </w:rPr>
        <w:t xml:space="preserve"> Nearly 1.8 million people have been internally displaced, 204,000 of them are still in protection of civilian sites, and a further </w:t>
      </w:r>
      <w:r w:rsidR="00CA472A" w:rsidRPr="006E1805">
        <w:rPr>
          <w:lang w:val="en-GB"/>
        </w:rPr>
        <w:t>two</w:t>
      </w:r>
      <w:r w:rsidR="00CA472A" w:rsidRPr="00F55E9E">
        <w:rPr>
          <w:lang w:val="en-GB"/>
        </w:rPr>
        <w:t xml:space="preserve"> </w:t>
      </w:r>
      <w:r w:rsidRPr="00F55E9E">
        <w:rPr>
          <w:lang w:val="en-GB"/>
        </w:rPr>
        <w:t>million are refugees in neighbouring countries, with women and children being worst hit.</w:t>
      </w:r>
      <w:r w:rsidRPr="00F55E9E">
        <w:rPr>
          <w:rStyle w:val="FootnoteReference"/>
          <w:lang w:val="en-GB"/>
        </w:rPr>
        <w:footnoteReference w:id="5"/>
      </w:r>
      <w:r w:rsidRPr="00F55E9E">
        <w:rPr>
          <w:lang w:val="en-GB"/>
        </w:rPr>
        <w:t xml:space="preserve"> </w:t>
      </w:r>
    </w:p>
    <w:p w14:paraId="40130909" w14:textId="71ED3785" w:rsidR="00C63C2E" w:rsidRPr="00F55E9E" w:rsidRDefault="00C63C2E" w:rsidP="00F55E9E">
      <w:pPr>
        <w:pStyle w:val="ListParagraph"/>
        <w:numPr>
          <w:ilvl w:val="0"/>
          <w:numId w:val="1"/>
        </w:numPr>
        <w:tabs>
          <w:tab w:val="left" w:pos="360"/>
        </w:tabs>
        <w:spacing w:after="120"/>
        <w:ind w:left="0" w:right="450" w:firstLine="0"/>
        <w:jc w:val="both"/>
        <w:rPr>
          <w:lang w:val="en-GB"/>
        </w:rPr>
      </w:pPr>
      <w:r w:rsidRPr="00F55E9E">
        <w:rPr>
          <w:lang w:val="en-GB"/>
        </w:rPr>
        <w:t xml:space="preserve">South Sudan continues to face a worsening spiral of humanitarian </w:t>
      </w:r>
      <w:r w:rsidRPr="006E1805">
        <w:rPr>
          <w:lang w:val="en-GB"/>
        </w:rPr>
        <w:t>cris</w:t>
      </w:r>
      <w:r w:rsidR="00CA472A" w:rsidRPr="006E1805">
        <w:rPr>
          <w:lang w:val="en-GB"/>
        </w:rPr>
        <w:t>e</w:t>
      </w:r>
      <w:r w:rsidRPr="006E1805">
        <w:rPr>
          <w:lang w:val="en-GB"/>
        </w:rPr>
        <w:t>s</w:t>
      </w:r>
      <w:r w:rsidRPr="00F55E9E">
        <w:rPr>
          <w:lang w:val="en-GB"/>
        </w:rPr>
        <w:t xml:space="preserve"> of unprecedented proportions. Seven million people (60 per cent of the total population) need humanitarian assistance, </w:t>
      </w:r>
      <w:r w:rsidRPr="006E1805">
        <w:rPr>
          <w:lang w:val="en-GB"/>
        </w:rPr>
        <w:t>whil</w:t>
      </w:r>
      <w:r w:rsidR="00CA472A" w:rsidRPr="006E1805">
        <w:rPr>
          <w:lang w:val="en-GB"/>
        </w:rPr>
        <w:t>e</w:t>
      </w:r>
      <w:r w:rsidRPr="00F55E9E">
        <w:rPr>
          <w:lang w:val="en-GB"/>
        </w:rPr>
        <w:t xml:space="preserve"> 5.3 million (48 per cent of the population) are estimated to be facing crisis and acute food insecurity</w:t>
      </w:r>
      <w:r w:rsidR="00CA472A" w:rsidRPr="006E1805">
        <w:rPr>
          <w:lang w:val="en-GB"/>
        </w:rPr>
        <w:t>.</w:t>
      </w:r>
      <w:r w:rsidRPr="00F55E9E">
        <w:rPr>
          <w:rStyle w:val="FootnoteReference"/>
          <w:lang w:val="en-GB"/>
        </w:rPr>
        <w:footnoteReference w:id="6"/>
      </w:r>
      <w:r w:rsidRPr="00F55E9E">
        <w:rPr>
          <w:lang w:val="en-GB"/>
        </w:rPr>
        <w:t xml:space="preserve"> Worsening food insecurity is driven by protracted conflict and displacements, which</w:t>
      </w:r>
      <w:r w:rsidRPr="006E1805">
        <w:rPr>
          <w:lang w:val="en-GB"/>
        </w:rPr>
        <w:t xml:space="preserve"> </w:t>
      </w:r>
      <w:r w:rsidR="00CA472A" w:rsidRPr="006E1805">
        <w:rPr>
          <w:lang w:val="en-GB"/>
        </w:rPr>
        <w:t>have</w:t>
      </w:r>
      <w:r w:rsidR="00CA472A" w:rsidRPr="00F55E9E">
        <w:rPr>
          <w:lang w:val="en-GB"/>
        </w:rPr>
        <w:t xml:space="preserve"> </w:t>
      </w:r>
      <w:r w:rsidRPr="00F55E9E">
        <w:rPr>
          <w:lang w:val="en-GB"/>
        </w:rPr>
        <w:t xml:space="preserve">led to insufficient crop production and disruptions to livelihoods. In addition, persistent </w:t>
      </w:r>
      <w:r w:rsidRPr="00F55E9E">
        <w:rPr>
          <w:rFonts w:eastAsia="Calibri"/>
          <w:lang w:val="en-GB"/>
        </w:rPr>
        <w:t>macroeconomic</w:t>
      </w:r>
      <w:r w:rsidRPr="00F55E9E">
        <w:rPr>
          <w:lang w:val="en-GB"/>
        </w:rPr>
        <w:t xml:space="preserve"> deterioration, </w:t>
      </w:r>
      <w:r w:rsidR="00CA472A" w:rsidRPr="006E1805">
        <w:rPr>
          <w:lang w:val="en-GB"/>
        </w:rPr>
        <w:t xml:space="preserve">and </w:t>
      </w:r>
      <w:r w:rsidRPr="00F55E9E">
        <w:rPr>
          <w:lang w:val="en-GB"/>
        </w:rPr>
        <w:t>natural</w:t>
      </w:r>
      <w:r w:rsidR="00CA472A" w:rsidRPr="006E1805">
        <w:rPr>
          <w:lang w:val="en-GB"/>
        </w:rPr>
        <w:t>/</w:t>
      </w:r>
      <w:r w:rsidRPr="00F55E9E">
        <w:rPr>
          <w:lang w:val="en-GB"/>
        </w:rPr>
        <w:t xml:space="preserve">climatic shocks have further eroded livelihoods. </w:t>
      </w:r>
    </w:p>
    <w:p w14:paraId="0004B3E3" w14:textId="7200A7CA" w:rsidR="00C63C2E" w:rsidRPr="00F55E9E" w:rsidRDefault="00C63C2E" w:rsidP="00F55E9E">
      <w:pPr>
        <w:pStyle w:val="ListParagraph"/>
        <w:numPr>
          <w:ilvl w:val="0"/>
          <w:numId w:val="1"/>
        </w:numPr>
        <w:tabs>
          <w:tab w:val="left" w:pos="360"/>
        </w:tabs>
        <w:spacing w:after="120"/>
        <w:ind w:left="0" w:right="450" w:firstLine="0"/>
        <w:jc w:val="both"/>
        <w:rPr>
          <w:lang w:val="en-GB"/>
        </w:rPr>
      </w:pPr>
      <w:r w:rsidRPr="00F55E9E">
        <w:rPr>
          <w:shd w:val="clear" w:color="auto" w:fill="FFFFFF"/>
          <w:lang w:val="en-GB"/>
        </w:rPr>
        <w:t>The country has vast potential for growth given its untapped natural resources. Up t</w:t>
      </w:r>
      <w:r w:rsidRPr="00F55E9E">
        <w:rPr>
          <w:spacing w:val="8"/>
          <w:shd w:val="clear" w:color="auto" w:fill="FEFEFE"/>
          <w:lang w:val="en-GB"/>
        </w:rPr>
        <w:t>o 95</w:t>
      </w:r>
      <w:r w:rsidR="005937E3" w:rsidRPr="006E1805">
        <w:rPr>
          <w:spacing w:val="8"/>
          <w:shd w:val="clear" w:color="auto" w:fill="FEFEFE"/>
          <w:lang w:val="en-GB"/>
        </w:rPr>
        <w:t> </w:t>
      </w:r>
      <w:r w:rsidRPr="00F55E9E">
        <w:rPr>
          <w:spacing w:val="8"/>
          <w:shd w:val="clear" w:color="auto" w:fill="FEFEFE"/>
          <w:lang w:val="en-GB"/>
        </w:rPr>
        <w:t>per cent of the population depend on climate sensitive sectors</w:t>
      </w:r>
      <w:r w:rsidR="005937E3" w:rsidRPr="006E1805">
        <w:rPr>
          <w:spacing w:val="8"/>
          <w:shd w:val="clear" w:color="auto" w:fill="FEFEFE"/>
          <w:lang w:val="en-GB"/>
        </w:rPr>
        <w:t xml:space="preserve"> –</w:t>
      </w:r>
      <w:r w:rsidR="005937E3" w:rsidRPr="00F55E9E">
        <w:rPr>
          <w:lang w:val="en-GB"/>
        </w:rPr>
        <w:t xml:space="preserve"> </w:t>
      </w:r>
      <w:r w:rsidRPr="00F55E9E">
        <w:rPr>
          <w:spacing w:val="8"/>
          <w:shd w:val="clear" w:color="auto" w:fill="FEFEFE"/>
          <w:lang w:val="en-GB"/>
        </w:rPr>
        <w:t>agriculture, forestry, wildlife resources and fisheries</w:t>
      </w:r>
      <w:r w:rsidR="005937E3" w:rsidRPr="00F55E9E">
        <w:rPr>
          <w:spacing w:val="8"/>
          <w:shd w:val="clear" w:color="auto" w:fill="FEFEFE"/>
          <w:lang w:val="en-GB"/>
        </w:rPr>
        <w:t xml:space="preserve"> </w:t>
      </w:r>
      <w:r w:rsidR="005937E3" w:rsidRPr="006E1805">
        <w:rPr>
          <w:spacing w:val="8"/>
          <w:shd w:val="clear" w:color="auto" w:fill="FEFEFE"/>
          <w:lang w:val="en-GB"/>
        </w:rPr>
        <w:t>–</w:t>
      </w:r>
      <w:r w:rsidR="005937E3" w:rsidRPr="006E1805">
        <w:rPr>
          <w:lang w:val="en-GB"/>
        </w:rPr>
        <w:t xml:space="preserve"> </w:t>
      </w:r>
      <w:r w:rsidRPr="00F55E9E">
        <w:rPr>
          <w:spacing w:val="8"/>
          <w:shd w:val="clear" w:color="auto" w:fill="FEFEFE"/>
          <w:lang w:val="en-GB"/>
        </w:rPr>
        <w:t xml:space="preserve">for their </w:t>
      </w:r>
      <w:r w:rsidRPr="00B16A6B">
        <w:rPr>
          <w:spacing w:val="8"/>
          <w:shd w:val="clear" w:color="auto" w:fill="FEFEFE"/>
          <w:lang w:val="en-GB"/>
        </w:rPr>
        <w:t>livelihood</w:t>
      </w:r>
      <w:r w:rsidR="005937E3" w:rsidRPr="00B16A6B">
        <w:rPr>
          <w:spacing w:val="8"/>
          <w:shd w:val="clear" w:color="auto" w:fill="FEFEFE"/>
          <w:lang w:val="en-GB"/>
        </w:rPr>
        <w:t>.</w:t>
      </w:r>
      <w:r w:rsidRPr="00F55E9E">
        <w:rPr>
          <w:rStyle w:val="FootnoteReference"/>
          <w:spacing w:val="8"/>
          <w:shd w:val="clear" w:color="auto" w:fill="FEFEFE"/>
          <w:lang w:val="en-GB"/>
        </w:rPr>
        <w:footnoteReference w:id="7"/>
      </w:r>
      <w:r w:rsidRPr="00F55E9E">
        <w:rPr>
          <w:spacing w:val="8"/>
          <w:shd w:val="clear" w:color="auto" w:fill="FEFEFE"/>
          <w:lang w:val="en-GB"/>
        </w:rPr>
        <w:t xml:space="preserve"> </w:t>
      </w:r>
      <w:r w:rsidRPr="00F55E9E">
        <w:rPr>
          <w:shd w:val="clear" w:color="auto" w:fill="FFFFFF"/>
          <w:lang w:val="en-GB"/>
        </w:rPr>
        <w:t xml:space="preserve">Livelihoods are concentrated in low productive agriculture, which accounts for 15 per cent of </w:t>
      </w:r>
      <w:r w:rsidRPr="00F55E9E">
        <w:rPr>
          <w:lang w:val="en-GB"/>
        </w:rPr>
        <w:t>gross domestic product</w:t>
      </w:r>
      <w:r w:rsidRPr="00F55E9E">
        <w:rPr>
          <w:shd w:val="clear" w:color="auto" w:fill="FFFFFF"/>
          <w:lang w:val="en-GB"/>
        </w:rPr>
        <w:t xml:space="preserve">, and employs 78 per cent of the working population. </w:t>
      </w:r>
      <w:r w:rsidRPr="00F55E9E">
        <w:rPr>
          <w:lang w:val="en-GB"/>
        </w:rPr>
        <w:t xml:space="preserve">Forest cover has </w:t>
      </w:r>
      <w:r w:rsidR="005937E3" w:rsidRPr="006E1805">
        <w:rPr>
          <w:lang w:val="en-GB"/>
        </w:rPr>
        <w:t xml:space="preserve">been </w:t>
      </w:r>
      <w:r w:rsidRPr="00F55E9E">
        <w:rPr>
          <w:lang w:val="en-GB"/>
        </w:rPr>
        <w:t>reduced from 56.65 in 2007 to 20.74 million hectares in 2016</w:t>
      </w:r>
      <w:r w:rsidR="005937E3" w:rsidRPr="006E1805">
        <w:rPr>
          <w:lang w:val="en-GB"/>
        </w:rPr>
        <w:t>,</w:t>
      </w:r>
      <w:r w:rsidRPr="00B16A6B">
        <w:rPr>
          <w:lang w:val="en-GB"/>
        </w:rPr>
        <w:t xml:space="preserve"> </w:t>
      </w:r>
      <w:r w:rsidR="005937E3" w:rsidRPr="006E1805">
        <w:rPr>
          <w:lang w:val="en-GB"/>
        </w:rPr>
        <w:t>owing</w:t>
      </w:r>
      <w:r w:rsidR="005937E3" w:rsidRPr="00F55E9E">
        <w:rPr>
          <w:lang w:val="en-GB"/>
        </w:rPr>
        <w:t xml:space="preserve"> </w:t>
      </w:r>
      <w:r w:rsidRPr="00F55E9E">
        <w:rPr>
          <w:lang w:val="en-GB"/>
        </w:rPr>
        <w:t xml:space="preserve">to decades of uncontrolled fires, grazing and </w:t>
      </w:r>
      <w:r w:rsidRPr="00B16A6B">
        <w:rPr>
          <w:lang w:val="en-GB"/>
        </w:rPr>
        <w:t>over</w:t>
      </w:r>
      <w:r w:rsidR="00DE252D">
        <w:rPr>
          <w:lang w:val="en-GB"/>
        </w:rPr>
        <w:t>logging</w:t>
      </w:r>
      <w:r w:rsidR="000C5338">
        <w:rPr>
          <w:lang w:val="en-GB"/>
        </w:rPr>
        <w:t xml:space="preserve"> </w:t>
      </w:r>
      <w:r w:rsidR="006E1805" w:rsidRPr="00F55E9E">
        <w:rPr>
          <w:lang w:val="en-GB"/>
        </w:rPr>
        <w:t xml:space="preserve">of </w:t>
      </w:r>
      <w:r w:rsidRPr="00F55E9E">
        <w:rPr>
          <w:lang w:val="en-GB"/>
        </w:rPr>
        <w:t xml:space="preserve">more desirable species. Over 96 per cent of the population use firewood or charcoal as the primary fuel for cooking, </w:t>
      </w:r>
      <w:r w:rsidRPr="00B16A6B">
        <w:rPr>
          <w:lang w:val="en-GB"/>
        </w:rPr>
        <w:t>whil</w:t>
      </w:r>
      <w:r w:rsidR="005937E3" w:rsidRPr="006E1805">
        <w:rPr>
          <w:lang w:val="en-GB"/>
        </w:rPr>
        <w:t>e</w:t>
      </w:r>
      <w:r w:rsidRPr="00F55E9E">
        <w:rPr>
          <w:lang w:val="en-GB"/>
        </w:rPr>
        <w:t xml:space="preserve"> over 50 per cent use firewood and grass for lighting and 27 per cent have no </w:t>
      </w:r>
      <w:r w:rsidR="005937E3" w:rsidRPr="00F55E9E">
        <w:rPr>
          <w:lang w:val="en-GB"/>
        </w:rPr>
        <w:t xml:space="preserve">lighting </w:t>
      </w:r>
      <w:r w:rsidRPr="00B16A6B">
        <w:rPr>
          <w:lang w:val="en-GB"/>
        </w:rPr>
        <w:t>source</w:t>
      </w:r>
      <w:r w:rsidR="005937E3" w:rsidRPr="006E1805">
        <w:rPr>
          <w:lang w:val="en-GB"/>
        </w:rPr>
        <w:t>.</w:t>
      </w:r>
      <w:r w:rsidRPr="00F55E9E">
        <w:rPr>
          <w:rStyle w:val="FootnoteReference"/>
          <w:lang w:val="en-GB"/>
        </w:rPr>
        <w:footnoteReference w:id="8"/>
      </w:r>
      <w:r w:rsidRPr="00F55E9E">
        <w:rPr>
          <w:lang w:val="en-GB"/>
        </w:rPr>
        <w:t xml:space="preserve"> </w:t>
      </w:r>
    </w:p>
    <w:p w14:paraId="1F4B1A41" w14:textId="094E30C7" w:rsidR="00C63C2E" w:rsidRPr="00F55E9E" w:rsidRDefault="00C63C2E" w:rsidP="00F55E9E">
      <w:pPr>
        <w:pStyle w:val="ListParagraph"/>
        <w:numPr>
          <w:ilvl w:val="0"/>
          <w:numId w:val="1"/>
        </w:numPr>
        <w:tabs>
          <w:tab w:val="left" w:pos="360"/>
        </w:tabs>
        <w:spacing w:after="120"/>
        <w:ind w:left="0" w:right="450" w:firstLine="0"/>
        <w:jc w:val="both"/>
        <w:rPr>
          <w:lang w:val="en-GB"/>
        </w:rPr>
      </w:pPr>
      <w:r w:rsidRPr="00F55E9E">
        <w:rPr>
          <w:spacing w:val="8"/>
          <w:shd w:val="clear" w:color="auto" w:fill="FEFEFE"/>
          <w:lang w:val="en-GB"/>
        </w:rPr>
        <w:lastRenderedPageBreak/>
        <w:t xml:space="preserve">The predicted negative impacts of climate change and environmental degradation will have severe effects on livelihoods, particularly for women as they rely heavily </w:t>
      </w:r>
      <w:r w:rsidRPr="006E1805">
        <w:rPr>
          <w:spacing w:val="8"/>
          <w:shd w:val="clear" w:color="auto" w:fill="FEFEFE"/>
          <w:lang w:val="en-GB"/>
        </w:rPr>
        <w:t>on</w:t>
      </w:r>
      <w:r w:rsidRPr="00F55E9E">
        <w:rPr>
          <w:spacing w:val="8"/>
          <w:shd w:val="clear" w:color="auto" w:fill="FEFEFE"/>
          <w:lang w:val="en-GB"/>
        </w:rPr>
        <w:t xml:space="preserve"> the extraction of natural resources</w:t>
      </w:r>
      <w:r w:rsidR="005937E3" w:rsidRPr="006E1805">
        <w:rPr>
          <w:spacing w:val="8"/>
          <w:shd w:val="clear" w:color="auto" w:fill="FEFEFE"/>
          <w:lang w:val="en-GB"/>
        </w:rPr>
        <w:t>.</w:t>
      </w:r>
      <w:r w:rsidRPr="00F55E9E">
        <w:rPr>
          <w:rStyle w:val="FootnoteReference"/>
          <w:lang w:val="en-GB"/>
        </w:rPr>
        <w:footnoteReference w:id="9"/>
      </w:r>
      <w:r w:rsidRPr="00F55E9E">
        <w:rPr>
          <w:spacing w:val="8"/>
          <w:shd w:val="clear" w:color="auto" w:fill="FEFEFE"/>
          <w:lang w:val="en-GB"/>
        </w:rPr>
        <w:t xml:space="preserve"> </w:t>
      </w:r>
      <w:r w:rsidRPr="00F55E9E">
        <w:rPr>
          <w:lang w:val="en-GB"/>
        </w:rPr>
        <w:t>Temperatures have increased faster than other countries in eastern Africa</w:t>
      </w:r>
      <w:r w:rsidR="005937E3" w:rsidRPr="006E1805">
        <w:rPr>
          <w:lang w:val="en-GB"/>
        </w:rPr>
        <w:t>,</w:t>
      </w:r>
      <w:r w:rsidRPr="00F55E9E">
        <w:rPr>
          <w:rStyle w:val="FootnoteReference"/>
          <w:lang w:val="en-GB"/>
        </w:rPr>
        <w:footnoteReference w:id="10"/>
      </w:r>
      <w:r w:rsidRPr="00F55E9E">
        <w:rPr>
          <w:lang w:val="en-GB"/>
        </w:rPr>
        <w:t xml:space="preserve"> rainfall has declined by 10 to 20 per cent with increased variability in the amount and timing since mid-1970s. Areas receiving adequate rain for livestock and farming have declined, affecting agricultural and natural resource</w:t>
      </w:r>
      <w:r w:rsidR="005937E3" w:rsidRPr="006E1805">
        <w:rPr>
          <w:lang w:val="en-GB"/>
        </w:rPr>
        <w:t>-</w:t>
      </w:r>
      <w:r w:rsidRPr="00F55E9E">
        <w:rPr>
          <w:lang w:val="en-GB"/>
        </w:rPr>
        <w:t>based livelihoods. Over 56 per cent of the population is already vulnerable to drought and flood shocks</w:t>
      </w:r>
      <w:r w:rsidR="005937E3" w:rsidRPr="006E1805">
        <w:rPr>
          <w:lang w:val="en-GB"/>
        </w:rPr>
        <w:t>.</w:t>
      </w:r>
      <w:r w:rsidRPr="00F55E9E">
        <w:rPr>
          <w:rStyle w:val="FootnoteReference"/>
          <w:lang w:val="en-GB"/>
        </w:rPr>
        <w:footnoteReference w:id="11"/>
      </w:r>
    </w:p>
    <w:p w14:paraId="374B62CB" w14:textId="772BC393" w:rsidR="00C63C2E" w:rsidRPr="00F55E9E" w:rsidRDefault="00C63C2E" w:rsidP="00F55E9E">
      <w:pPr>
        <w:pStyle w:val="ListParagraph"/>
        <w:numPr>
          <w:ilvl w:val="0"/>
          <w:numId w:val="1"/>
        </w:numPr>
        <w:tabs>
          <w:tab w:val="left" w:pos="360"/>
        </w:tabs>
        <w:spacing w:after="120"/>
        <w:ind w:left="0" w:right="450" w:firstLine="0"/>
        <w:jc w:val="both"/>
        <w:rPr>
          <w:lang w:val="en-GB"/>
        </w:rPr>
      </w:pPr>
      <w:r w:rsidRPr="00F55E9E">
        <w:rPr>
          <w:lang w:val="en-GB"/>
        </w:rPr>
        <w:t xml:space="preserve">There is growing pressure on dwindling revenue </w:t>
      </w:r>
      <w:r w:rsidR="006E1805">
        <w:rPr>
          <w:lang w:val="en-GB"/>
        </w:rPr>
        <w:t>owing</w:t>
      </w:r>
      <w:r w:rsidR="006E1805" w:rsidRPr="00F55E9E">
        <w:rPr>
          <w:lang w:val="en-GB"/>
        </w:rPr>
        <w:t xml:space="preserve"> </w:t>
      </w:r>
      <w:r w:rsidRPr="00F55E9E">
        <w:rPr>
          <w:lang w:val="en-GB"/>
        </w:rPr>
        <w:t>to fluctuations in oil production, internal conflict, d</w:t>
      </w:r>
      <w:r w:rsidR="006E1805" w:rsidRPr="00F55E9E">
        <w:rPr>
          <w:lang w:val="en-GB"/>
        </w:rPr>
        <w:t>rought, sporadic grant receipts</w:t>
      </w:r>
      <w:r w:rsidRPr="00F55E9E">
        <w:rPr>
          <w:lang w:val="en-GB"/>
        </w:rPr>
        <w:t xml:space="preserve"> and ballooning secu</w:t>
      </w:r>
      <w:r w:rsidR="006E1805" w:rsidRPr="00F55E9E">
        <w:rPr>
          <w:lang w:val="en-GB"/>
        </w:rPr>
        <w:t>rity spending (70</w:t>
      </w:r>
      <w:r w:rsidR="006E1805">
        <w:rPr>
          <w:lang w:val="en-GB"/>
        </w:rPr>
        <w:t xml:space="preserve"> per cent in</w:t>
      </w:r>
      <w:r w:rsidR="006E1805" w:rsidRPr="00F55E9E">
        <w:rPr>
          <w:lang w:val="en-GB"/>
        </w:rPr>
        <w:t xml:space="preserve"> </w:t>
      </w:r>
      <w:r w:rsidRPr="00F55E9E">
        <w:rPr>
          <w:lang w:val="en-GB"/>
        </w:rPr>
        <w:t>2015-2017</w:t>
      </w:r>
      <w:r w:rsidR="006E1805">
        <w:rPr>
          <w:lang w:val="en-GB"/>
        </w:rPr>
        <w:t>),</w:t>
      </w:r>
      <w:r w:rsidRPr="00F55E9E">
        <w:rPr>
          <w:rStyle w:val="FootnoteReference"/>
          <w:lang w:val="en-GB"/>
        </w:rPr>
        <w:footnoteReference w:id="12"/>
      </w:r>
      <w:r w:rsidRPr="00F55E9E">
        <w:rPr>
          <w:lang w:val="en-GB"/>
        </w:rPr>
        <w:t xml:space="preserve"> undermining investment in infrastructure and economic development. South Sudan displays signs of a war</w:t>
      </w:r>
      <w:r w:rsidR="006E1805">
        <w:rPr>
          <w:rFonts w:ascii="Cambria Math" w:hAnsi="Cambria Math" w:cs="Cambria Math"/>
          <w:lang w:val="en-GB"/>
        </w:rPr>
        <w:t xml:space="preserve"> </w:t>
      </w:r>
      <w:r w:rsidR="006E1805" w:rsidRPr="00F55E9E">
        <w:rPr>
          <w:lang w:val="en-GB"/>
        </w:rPr>
        <w:t>economy</w:t>
      </w:r>
      <w:r w:rsidR="006E1805">
        <w:rPr>
          <w:lang w:val="en-GB"/>
        </w:rPr>
        <w:t>:</w:t>
      </w:r>
      <w:r w:rsidRPr="00F55E9E">
        <w:rPr>
          <w:lang w:val="en-GB"/>
        </w:rPr>
        <w:t xml:space="preserve"> near macroeconomic collapse, hyperinflation (125 per cent in January 2018</w:t>
      </w:r>
      <w:r w:rsidR="006E1805">
        <w:rPr>
          <w:lang w:val="en-GB"/>
        </w:rPr>
        <w:t>),</w:t>
      </w:r>
      <w:r w:rsidRPr="00F55E9E">
        <w:rPr>
          <w:rStyle w:val="FootnoteReference"/>
          <w:lang w:val="en-GB"/>
        </w:rPr>
        <w:footnoteReference w:id="13"/>
      </w:r>
      <w:r w:rsidRPr="00F55E9E">
        <w:rPr>
          <w:lang w:val="en-GB"/>
        </w:rPr>
        <w:t xml:space="preserve"> a spirall</w:t>
      </w:r>
      <w:r w:rsidR="006E1805" w:rsidRPr="00F55E9E">
        <w:rPr>
          <w:lang w:val="en-GB"/>
        </w:rPr>
        <w:t xml:space="preserve">ing parallel exchange market </w:t>
      </w:r>
      <w:r w:rsidR="006E1805">
        <w:rPr>
          <w:lang w:val="en-GB"/>
        </w:rPr>
        <w:t>(</w:t>
      </w:r>
      <w:r w:rsidR="006C4380">
        <w:rPr>
          <w:lang w:val="en-GB"/>
        </w:rPr>
        <w:t>$</w:t>
      </w:r>
      <w:r w:rsidR="006C4380" w:rsidRPr="00F55E9E">
        <w:rPr>
          <w:lang w:val="en-GB"/>
        </w:rPr>
        <w:t>1</w:t>
      </w:r>
      <w:r w:rsidR="006C4380">
        <w:rPr>
          <w:lang w:val="en-GB"/>
        </w:rPr>
        <w:t>/</w:t>
      </w:r>
      <w:r w:rsidRPr="006E1805">
        <w:rPr>
          <w:lang w:val="en-GB"/>
        </w:rPr>
        <w:t xml:space="preserve">253 </w:t>
      </w:r>
      <w:r w:rsidR="00AB0055">
        <w:rPr>
          <w:lang w:val="en-GB"/>
        </w:rPr>
        <w:t>South Sudanese pounds (SSP)</w:t>
      </w:r>
      <w:r w:rsidR="00AB0055" w:rsidRPr="00F55E9E">
        <w:rPr>
          <w:lang w:val="en-GB"/>
        </w:rPr>
        <w:t xml:space="preserve"> in April 2018 from $1</w:t>
      </w:r>
      <w:r w:rsidR="00AB0055">
        <w:rPr>
          <w:lang w:val="en-GB"/>
        </w:rPr>
        <w:t>/</w:t>
      </w:r>
      <w:r w:rsidRPr="00F55E9E">
        <w:rPr>
          <w:lang w:val="en-GB"/>
        </w:rPr>
        <w:t xml:space="preserve">SSP 3.1 in 2015), fiscal deficit (23 per cent in </w:t>
      </w:r>
      <w:r w:rsidRPr="00F55E9E">
        <w:rPr>
          <w:rFonts w:eastAsia="Calibri"/>
          <w:lang w:val="en-GB"/>
        </w:rPr>
        <w:t>2016</w:t>
      </w:r>
      <w:r w:rsidRPr="00F55E9E">
        <w:rPr>
          <w:lang w:val="en-GB"/>
        </w:rPr>
        <w:t>, and expected to grow in 2018</w:t>
      </w:r>
      <w:r w:rsidR="00AB0055">
        <w:rPr>
          <w:lang w:val="en-GB"/>
        </w:rPr>
        <w:t>)</w:t>
      </w:r>
      <w:r w:rsidRPr="00F55E9E">
        <w:rPr>
          <w:rStyle w:val="FootnoteReference"/>
          <w:lang w:val="en-GB"/>
        </w:rPr>
        <w:footnoteReference w:id="14"/>
      </w:r>
      <w:r w:rsidRPr="00F55E9E">
        <w:rPr>
          <w:lang w:val="en-GB"/>
        </w:rPr>
        <w:t xml:space="preserve"> and a contracting economy (10.8 per cent in 2016 and 11.2 per cent in 2017</w:t>
      </w:r>
      <w:r w:rsidR="00AB0055">
        <w:rPr>
          <w:lang w:val="en-GB"/>
        </w:rPr>
        <w:t>)</w:t>
      </w:r>
      <w:r w:rsidR="00FA2DB5">
        <w:rPr>
          <w:lang w:val="en-GB"/>
        </w:rPr>
        <w:t>.</w:t>
      </w:r>
      <w:r w:rsidRPr="00F55E9E">
        <w:rPr>
          <w:rStyle w:val="FootnoteReference"/>
          <w:lang w:val="en-GB"/>
        </w:rPr>
        <w:footnoteReference w:id="15"/>
      </w:r>
      <w:r w:rsidRPr="00F55E9E">
        <w:rPr>
          <w:lang w:val="en-GB"/>
        </w:rPr>
        <w:t xml:space="preserve"> </w:t>
      </w:r>
      <w:r w:rsidRPr="00F55E9E">
        <w:rPr>
          <w:rFonts w:eastAsia="Batang"/>
          <w:lang w:val="en-GB"/>
        </w:rPr>
        <w:t>Poverty has worsened, from 44.7 per cent in 2011 to 65.9 per cent in 2015</w:t>
      </w:r>
      <w:r w:rsidR="00AB0055">
        <w:rPr>
          <w:rFonts w:eastAsia="Batang"/>
          <w:lang w:val="en-GB"/>
        </w:rPr>
        <w:t>.</w:t>
      </w:r>
      <w:r w:rsidRPr="00F55E9E">
        <w:rPr>
          <w:rStyle w:val="FootnoteReference"/>
          <w:rFonts w:eastAsia="Batang"/>
          <w:lang w:val="en-GB"/>
        </w:rPr>
        <w:footnoteReference w:id="16"/>
      </w:r>
      <w:r w:rsidRPr="00F55E9E">
        <w:rPr>
          <w:rFonts w:eastAsia="Batang"/>
          <w:lang w:val="en-GB"/>
        </w:rPr>
        <w:t xml:space="preserve"> Female-headed households (48.6 per cent of all households) experience more severe depth of poverty </w:t>
      </w:r>
      <w:r w:rsidR="00AB0055">
        <w:rPr>
          <w:rFonts w:eastAsia="Batang"/>
          <w:lang w:val="en-GB"/>
        </w:rPr>
        <w:t>owing</w:t>
      </w:r>
      <w:r w:rsidR="00AB0055" w:rsidRPr="00F55E9E">
        <w:rPr>
          <w:rFonts w:eastAsia="Batang"/>
          <w:lang w:val="en-GB"/>
        </w:rPr>
        <w:t xml:space="preserve"> </w:t>
      </w:r>
      <w:r w:rsidRPr="00F55E9E">
        <w:rPr>
          <w:rFonts w:eastAsia="Batang"/>
          <w:lang w:val="en-GB"/>
        </w:rPr>
        <w:t xml:space="preserve">to </w:t>
      </w:r>
      <w:r w:rsidRPr="00F55E9E">
        <w:rPr>
          <w:color w:val="000000"/>
          <w:lang w:val="en-GB"/>
        </w:rPr>
        <w:t xml:space="preserve">detrimental social norms, </w:t>
      </w:r>
      <w:r w:rsidR="00AB0055">
        <w:rPr>
          <w:color w:val="000000"/>
          <w:lang w:val="en-GB"/>
        </w:rPr>
        <w:t xml:space="preserve">and </w:t>
      </w:r>
      <w:r w:rsidRPr="00F55E9E">
        <w:rPr>
          <w:color w:val="000000"/>
          <w:lang w:val="en-GB"/>
        </w:rPr>
        <w:t xml:space="preserve">limited access to education, productive assets and resources. </w:t>
      </w:r>
    </w:p>
    <w:p w14:paraId="3C2CCBFF" w14:textId="2FB5AF42" w:rsidR="00C63C2E" w:rsidRPr="00F55E9E" w:rsidRDefault="00C63C2E" w:rsidP="00F55E9E">
      <w:pPr>
        <w:pStyle w:val="ListParagraph"/>
        <w:numPr>
          <w:ilvl w:val="0"/>
          <w:numId w:val="1"/>
        </w:numPr>
        <w:tabs>
          <w:tab w:val="left" w:pos="360"/>
        </w:tabs>
        <w:spacing w:after="120"/>
        <w:ind w:left="0" w:right="450" w:firstLine="0"/>
        <w:jc w:val="both"/>
        <w:rPr>
          <w:lang w:val="en-GB"/>
        </w:rPr>
      </w:pPr>
      <w:r w:rsidRPr="00F55E9E">
        <w:rPr>
          <w:lang w:val="en-GB"/>
        </w:rPr>
        <w:t>South Sudan ranks 179 ou</w:t>
      </w:r>
      <w:r w:rsidR="00F627E2" w:rsidRPr="00F55E9E">
        <w:rPr>
          <w:lang w:val="en-GB"/>
        </w:rPr>
        <w:t xml:space="preserve">t of 180 countries on the 2017 </w:t>
      </w:r>
      <w:r w:rsidR="00F627E2" w:rsidRPr="008050C8">
        <w:rPr>
          <w:lang w:val="en-GB"/>
        </w:rPr>
        <w:t>corruption perception i</w:t>
      </w:r>
      <w:r w:rsidRPr="008050C8">
        <w:rPr>
          <w:lang w:val="en-GB"/>
        </w:rPr>
        <w:t>ndex</w:t>
      </w:r>
      <w:r w:rsidR="00F627E2" w:rsidRPr="008050C8">
        <w:rPr>
          <w:lang w:val="en-GB"/>
        </w:rPr>
        <w:t>.</w:t>
      </w:r>
      <w:r w:rsidRPr="006E1805">
        <w:rPr>
          <w:rStyle w:val="FootnoteReference"/>
          <w:lang w:val="en-GB"/>
        </w:rPr>
        <w:footnoteReference w:id="17"/>
      </w:r>
      <w:r w:rsidR="00F627E2" w:rsidRPr="00F55E9E">
        <w:rPr>
          <w:lang w:val="en-GB"/>
        </w:rPr>
        <w:t xml:space="preserve"> </w:t>
      </w:r>
      <w:r w:rsidRPr="00F55E9E">
        <w:rPr>
          <w:lang w:val="en-GB"/>
        </w:rPr>
        <w:t xml:space="preserve">There are opportunities to enhance </w:t>
      </w:r>
      <w:r w:rsidR="00F627E2" w:rsidRPr="008050C8">
        <w:rPr>
          <w:lang w:val="en-GB"/>
        </w:rPr>
        <w:t>the G</w:t>
      </w:r>
      <w:r w:rsidRPr="008050C8">
        <w:rPr>
          <w:lang w:val="en-GB"/>
        </w:rPr>
        <w:t>overnment’s</w:t>
      </w:r>
      <w:r w:rsidRPr="00F55E9E">
        <w:rPr>
          <w:lang w:val="en-GB"/>
        </w:rPr>
        <w:t xml:space="preserve"> ongoing initiatives to improve public financial management and reduce corruption. These include </w:t>
      </w:r>
      <w:r w:rsidR="00F627E2" w:rsidRPr="008050C8">
        <w:rPr>
          <w:lang w:val="en-GB"/>
        </w:rPr>
        <w:t>establishing</w:t>
      </w:r>
      <w:r w:rsidRPr="00F55E9E">
        <w:rPr>
          <w:lang w:val="en-GB"/>
        </w:rPr>
        <w:t xml:space="preserve"> national and state revenue authori</w:t>
      </w:r>
      <w:r w:rsidR="00F627E2" w:rsidRPr="00F55E9E">
        <w:rPr>
          <w:lang w:val="en-GB"/>
        </w:rPr>
        <w:t xml:space="preserve">ties in three states with </w:t>
      </w:r>
      <w:r w:rsidR="00F627E2" w:rsidRPr="008050C8">
        <w:rPr>
          <w:lang w:val="en-GB"/>
        </w:rPr>
        <w:t>UNDP</w:t>
      </w:r>
      <w:r w:rsidRPr="00F55E9E">
        <w:rPr>
          <w:lang w:val="en-GB"/>
        </w:rPr>
        <w:t xml:space="preserve"> support</w:t>
      </w:r>
      <w:r w:rsidR="00F627E2" w:rsidRPr="008050C8">
        <w:rPr>
          <w:lang w:val="en-GB"/>
        </w:rPr>
        <w:t>.</w:t>
      </w:r>
      <w:r w:rsidRPr="00F55E9E">
        <w:rPr>
          <w:rStyle w:val="FootnoteReference"/>
          <w:lang w:val="en-GB"/>
        </w:rPr>
        <w:footnoteReference w:id="18"/>
      </w:r>
      <w:r w:rsidRPr="00F55E9E">
        <w:rPr>
          <w:lang w:val="en-GB"/>
        </w:rPr>
        <w:t xml:space="preserve"> However, national and subnational institutions require capacity strengthening as they are nascent and besieged by insufficiently qualifie</w:t>
      </w:r>
      <w:r w:rsidR="00F627E2" w:rsidRPr="00F55E9E">
        <w:rPr>
          <w:lang w:val="en-GB"/>
        </w:rPr>
        <w:t>d staff</w:t>
      </w:r>
      <w:r w:rsidR="008050C8" w:rsidRPr="008050C8">
        <w:rPr>
          <w:lang w:val="en-GB"/>
        </w:rPr>
        <w:t>.</w:t>
      </w:r>
      <w:r w:rsidRPr="00F55E9E">
        <w:rPr>
          <w:lang w:val="en-GB"/>
        </w:rPr>
        <w:t xml:space="preserve"> </w:t>
      </w:r>
      <w:r w:rsidR="00FA2DB5">
        <w:rPr>
          <w:lang w:val="en-GB"/>
        </w:rPr>
        <w:t xml:space="preserve">The country </w:t>
      </w:r>
      <w:r w:rsidRPr="00F55E9E">
        <w:rPr>
          <w:lang w:val="en-GB"/>
        </w:rPr>
        <w:t xml:space="preserve">has untapped non-oil revenue generation potential. </w:t>
      </w:r>
      <w:r w:rsidR="00F627E2" w:rsidRPr="008050C8">
        <w:rPr>
          <w:lang w:val="en-GB"/>
        </w:rPr>
        <w:t>I</w:t>
      </w:r>
      <w:r w:rsidRPr="008050C8">
        <w:rPr>
          <w:lang w:val="en-GB"/>
        </w:rPr>
        <w:t>nefficient</w:t>
      </w:r>
      <w:r w:rsidRPr="00F55E9E">
        <w:rPr>
          <w:lang w:val="en-GB"/>
        </w:rPr>
        <w:t xml:space="preserve"> revenue </w:t>
      </w:r>
      <w:r w:rsidR="00F627E2" w:rsidRPr="008050C8">
        <w:rPr>
          <w:rFonts w:eastAsia="Batang"/>
          <w:lang w:val="en-GB"/>
        </w:rPr>
        <w:t>mobiliz</w:t>
      </w:r>
      <w:r w:rsidRPr="008050C8">
        <w:rPr>
          <w:rFonts w:eastAsia="Batang"/>
          <w:lang w:val="en-GB"/>
        </w:rPr>
        <w:t>ation</w:t>
      </w:r>
      <w:r w:rsidRPr="00F55E9E">
        <w:rPr>
          <w:rFonts w:eastAsia="Batang"/>
          <w:lang w:val="en-GB"/>
        </w:rPr>
        <w:t xml:space="preserve"> and ad</w:t>
      </w:r>
      <w:r w:rsidR="00F627E2" w:rsidRPr="00F55E9E">
        <w:rPr>
          <w:rFonts w:eastAsia="Batang"/>
          <w:lang w:val="en-GB"/>
        </w:rPr>
        <w:t xml:space="preserve">ministration systems </w:t>
      </w:r>
      <w:r w:rsidR="00F627E2" w:rsidRPr="008050C8">
        <w:rPr>
          <w:rFonts w:eastAsia="Batang"/>
          <w:lang w:val="en-GB"/>
        </w:rPr>
        <w:t>intensify socio</w:t>
      </w:r>
      <w:r w:rsidRPr="008050C8">
        <w:rPr>
          <w:rFonts w:eastAsia="Batang"/>
          <w:lang w:val="en-GB"/>
        </w:rPr>
        <w:t>economic</w:t>
      </w:r>
      <w:r w:rsidRPr="00F55E9E">
        <w:rPr>
          <w:rFonts w:eastAsia="Batang"/>
          <w:lang w:val="en-GB"/>
        </w:rPr>
        <w:t xml:space="preserve"> deprivation of the predominantly youthful population</w:t>
      </w:r>
      <w:r w:rsidR="00F627E2" w:rsidRPr="008050C8">
        <w:rPr>
          <w:rFonts w:eastAsia="Batang"/>
          <w:lang w:val="en-GB"/>
        </w:rPr>
        <w:t>.</w:t>
      </w:r>
      <w:r w:rsidRPr="00F55E9E">
        <w:rPr>
          <w:rStyle w:val="FootnoteReference"/>
          <w:rFonts w:eastAsia="Batang"/>
          <w:lang w:val="en-GB"/>
        </w:rPr>
        <w:footnoteReference w:id="19"/>
      </w:r>
      <w:r w:rsidRPr="00F55E9E">
        <w:rPr>
          <w:rFonts w:eastAsia="Batang"/>
          <w:lang w:val="en-GB"/>
        </w:rPr>
        <w:t xml:space="preserve"> Service delivery in </w:t>
      </w:r>
      <w:r w:rsidRPr="00F55E9E">
        <w:rPr>
          <w:rFonts w:eastAsia="Calibri"/>
          <w:lang w:val="en-GB"/>
        </w:rPr>
        <w:t>critical</w:t>
      </w:r>
      <w:r w:rsidRPr="00F55E9E">
        <w:rPr>
          <w:rFonts w:eastAsia="Batang"/>
          <w:lang w:val="en-GB"/>
        </w:rPr>
        <w:t xml:space="preserve"> sectors</w:t>
      </w:r>
      <w:r w:rsidR="00F627E2" w:rsidRPr="008050C8">
        <w:rPr>
          <w:rFonts w:eastAsia="Batang"/>
          <w:lang w:val="en-GB"/>
        </w:rPr>
        <w:t>,</w:t>
      </w:r>
      <w:r w:rsidRPr="00F55E9E">
        <w:rPr>
          <w:rFonts w:eastAsia="Batang"/>
          <w:lang w:val="en-GB"/>
        </w:rPr>
        <w:t xml:space="preserve"> such as health </w:t>
      </w:r>
      <w:r w:rsidR="00F627E2" w:rsidRPr="008050C8">
        <w:rPr>
          <w:rFonts w:eastAsia="Batang"/>
          <w:lang w:val="en-GB"/>
        </w:rPr>
        <w:t>(</w:t>
      </w:r>
      <w:r w:rsidRPr="00F55E9E">
        <w:rPr>
          <w:rFonts w:eastAsia="Batang"/>
          <w:lang w:val="en-GB"/>
        </w:rPr>
        <w:t xml:space="preserve">including provision of </w:t>
      </w:r>
      <w:r w:rsidR="00F627E2" w:rsidRPr="00F55E9E">
        <w:rPr>
          <w:lang w:val="en-GB"/>
        </w:rPr>
        <w:t>antiretroviral therapy</w:t>
      </w:r>
      <w:r w:rsidRPr="00F55E9E">
        <w:rPr>
          <w:rFonts w:eastAsia="Batang"/>
          <w:lang w:val="en-GB"/>
        </w:rPr>
        <w:t xml:space="preserve"> and treatment of tuberculosis and other communicable diseases</w:t>
      </w:r>
      <w:r w:rsidR="00F627E2" w:rsidRPr="008050C8">
        <w:rPr>
          <w:rFonts w:eastAsia="Batang"/>
          <w:lang w:val="en-GB"/>
        </w:rPr>
        <w:t>)</w:t>
      </w:r>
      <w:r w:rsidRPr="00F55E9E">
        <w:rPr>
          <w:rFonts w:eastAsia="Batang"/>
          <w:lang w:val="en-GB"/>
        </w:rPr>
        <w:t xml:space="preserve"> is provided almost exclusively by humanitarian and development organizations. </w:t>
      </w:r>
    </w:p>
    <w:p w14:paraId="3E1EE435" w14:textId="0651DC9C" w:rsidR="00C63C2E" w:rsidRPr="00F55E9E" w:rsidRDefault="00C63C2E" w:rsidP="00F55E9E">
      <w:pPr>
        <w:pStyle w:val="ListParagraph"/>
        <w:numPr>
          <w:ilvl w:val="0"/>
          <w:numId w:val="1"/>
        </w:numPr>
        <w:tabs>
          <w:tab w:val="left" w:pos="360"/>
        </w:tabs>
        <w:spacing w:after="120"/>
        <w:ind w:left="0" w:right="450" w:firstLine="0"/>
        <w:jc w:val="both"/>
        <w:rPr>
          <w:lang w:val="en-GB"/>
        </w:rPr>
      </w:pPr>
      <w:r w:rsidRPr="00F55E9E">
        <w:rPr>
          <w:lang w:val="en-GB"/>
        </w:rPr>
        <w:t xml:space="preserve">To address these </w:t>
      </w:r>
      <w:r w:rsidR="00F627E2" w:rsidRPr="00F55E9E">
        <w:rPr>
          <w:lang w:val="en-GB"/>
        </w:rPr>
        <w:t xml:space="preserve">and many other challenges, the </w:t>
      </w:r>
      <w:r w:rsidR="00F627E2">
        <w:rPr>
          <w:lang w:val="en-GB"/>
        </w:rPr>
        <w:t>G</w:t>
      </w:r>
      <w:r w:rsidRPr="006E1805">
        <w:rPr>
          <w:lang w:val="en-GB"/>
        </w:rPr>
        <w:t>overnment</w:t>
      </w:r>
      <w:r w:rsidRPr="00F55E9E">
        <w:rPr>
          <w:lang w:val="en-GB"/>
        </w:rPr>
        <w:t xml:space="preserve"> developed Vision 2040 and the </w:t>
      </w:r>
      <w:r w:rsidR="00AD4568" w:rsidRPr="00F55E9E">
        <w:rPr>
          <w:lang w:val="en-GB"/>
        </w:rPr>
        <w:t>National Development S</w:t>
      </w:r>
      <w:r w:rsidRPr="00F55E9E">
        <w:rPr>
          <w:lang w:val="en-GB"/>
        </w:rPr>
        <w:t>trategy</w:t>
      </w:r>
      <w:r w:rsidR="00AD4568" w:rsidRPr="00F55E9E">
        <w:rPr>
          <w:lang w:val="en-GB"/>
        </w:rPr>
        <w:t xml:space="preserve"> (NDS)</w:t>
      </w:r>
      <w:r w:rsidR="00F627E2" w:rsidRPr="00F55E9E">
        <w:rPr>
          <w:lang w:val="en-GB"/>
        </w:rPr>
        <w:t>,</w:t>
      </w:r>
      <w:r w:rsidRPr="00F55E9E">
        <w:rPr>
          <w:lang w:val="en-GB"/>
        </w:rPr>
        <w:t xml:space="preserve"> </w:t>
      </w:r>
      <w:r w:rsidR="00F627E2" w:rsidRPr="006E1805">
        <w:rPr>
          <w:lang w:val="en-GB"/>
        </w:rPr>
        <w:t>2018-2021</w:t>
      </w:r>
      <w:r w:rsidRPr="006E1805">
        <w:rPr>
          <w:lang w:val="en-GB"/>
        </w:rPr>
        <w:t xml:space="preserve">, </w:t>
      </w:r>
      <w:r w:rsidRPr="00F55E9E">
        <w:rPr>
          <w:lang w:val="en-GB"/>
        </w:rPr>
        <w:t xml:space="preserve">which aim to consolidate peace and stabilize the economy. Likewise, the </w:t>
      </w:r>
      <w:r w:rsidR="00F627E2">
        <w:rPr>
          <w:lang w:val="en-GB"/>
        </w:rPr>
        <w:t>United Nations country team</w:t>
      </w:r>
      <w:r w:rsidR="00F627E2" w:rsidRPr="00F55E9E">
        <w:rPr>
          <w:lang w:val="en-GB"/>
        </w:rPr>
        <w:t xml:space="preserve"> </w:t>
      </w:r>
      <w:r w:rsidRPr="00F55E9E">
        <w:rPr>
          <w:lang w:val="en-GB"/>
        </w:rPr>
        <w:t>developed the Unite</w:t>
      </w:r>
      <w:r w:rsidR="00F627E2" w:rsidRPr="00F55E9E">
        <w:rPr>
          <w:lang w:val="en-GB"/>
        </w:rPr>
        <w:t>d Nations Cooperation Framework (UNCF</w:t>
      </w:r>
      <w:r w:rsidR="00F627E2" w:rsidRPr="006E1805">
        <w:rPr>
          <w:lang w:val="en-GB"/>
        </w:rPr>
        <w:t>)</w:t>
      </w:r>
      <w:r w:rsidR="00F627E2">
        <w:rPr>
          <w:lang w:val="en-GB"/>
        </w:rPr>
        <w:t xml:space="preserve">, </w:t>
      </w:r>
      <w:r w:rsidR="00F627E2" w:rsidRPr="006E1805">
        <w:rPr>
          <w:lang w:val="en-GB"/>
        </w:rPr>
        <w:t>2019-2021</w:t>
      </w:r>
      <w:r w:rsidR="00FA2DB5">
        <w:rPr>
          <w:lang w:val="en-GB"/>
        </w:rPr>
        <w:t>,</w:t>
      </w:r>
      <w:r w:rsidR="00F627E2" w:rsidRPr="00F55E9E">
        <w:rPr>
          <w:lang w:val="en-GB"/>
        </w:rPr>
        <w:t xml:space="preserve"> </w:t>
      </w:r>
      <w:r w:rsidRPr="00F55E9E">
        <w:rPr>
          <w:lang w:val="en-GB"/>
        </w:rPr>
        <w:t xml:space="preserve">to </w:t>
      </w:r>
      <w:r w:rsidRPr="00F55E9E">
        <w:rPr>
          <w:color w:val="000000"/>
          <w:spacing w:val="-4"/>
          <w:lang w:val="en-GB"/>
        </w:rPr>
        <w:t xml:space="preserve">build the resilience, capacities and institutions needed to achieve four priority outcomes: </w:t>
      </w:r>
      <w:r w:rsidRPr="00F55E9E">
        <w:rPr>
          <w:color w:val="000000"/>
          <w:spacing w:val="-2"/>
          <w:lang w:val="en-GB"/>
        </w:rPr>
        <w:t>building peace and strengthening governance; improving food security and recovering local economies; strengthening social services; and empowering women and youth.</w:t>
      </w:r>
    </w:p>
    <w:p w14:paraId="5F70D1C7" w14:textId="37CEAAA0" w:rsidR="00C63C2E" w:rsidRPr="00F55E9E" w:rsidRDefault="00C63C2E" w:rsidP="00F55E9E">
      <w:pPr>
        <w:pStyle w:val="ListParagraph"/>
        <w:numPr>
          <w:ilvl w:val="0"/>
          <w:numId w:val="1"/>
        </w:numPr>
        <w:tabs>
          <w:tab w:val="left" w:pos="360"/>
        </w:tabs>
        <w:spacing w:after="120"/>
        <w:ind w:left="0" w:right="450" w:firstLine="0"/>
        <w:jc w:val="both"/>
        <w:rPr>
          <w:lang w:val="en-GB"/>
        </w:rPr>
      </w:pPr>
      <w:r w:rsidRPr="00F55E9E">
        <w:rPr>
          <w:lang w:val="en-GB"/>
        </w:rPr>
        <w:t xml:space="preserve">The UNCF will strengthen the humanitarian-development-peace nexus and enable progress on long-term sustainable development in line </w:t>
      </w:r>
      <w:r w:rsidR="006C4380" w:rsidRPr="00F55E9E">
        <w:rPr>
          <w:lang w:val="en-GB"/>
        </w:rPr>
        <w:t>with African Union Agenda 2063</w:t>
      </w:r>
      <w:r w:rsidR="006C4380">
        <w:rPr>
          <w:lang w:val="en-GB"/>
        </w:rPr>
        <w:t xml:space="preserve"> and the</w:t>
      </w:r>
      <w:r w:rsidR="006C4380" w:rsidRPr="00F55E9E">
        <w:rPr>
          <w:lang w:val="en-GB"/>
        </w:rPr>
        <w:t xml:space="preserve"> </w:t>
      </w:r>
      <w:r w:rsidRPr="00F55E9E">
        <w:rPr>
          <w:lang w:val="en-GB"/>
        </w:rPr>
        <w:t xml:space="preserve">Sustainable Development </w:t>
      </w:r>
      <w:r w:rsidRPr="006E1805">
        <w:rPr>
          <w:lang w:val="en-GB"/>
        </w:rPr>
        <w:t>Goal</w:t>
      </w:r>
      <w:r w:rsidR="006C4380">
        <w:rPr>
          <w:lang w:val="en-GB"/>
        </w:rPr>
        <w:t>s,</w:t>
      </w:r>
      <w:r w:rsidR="006C4380" w:rsidRPr="00F55E9E">
        <w:rPr>
          <w:lang w:val="en-GB"/>
        </w:rPr>
        <w:t xml:space="preserve"> </w:t>
      </w:r>
      <w:r w:rsidRPr="00F55E9E">
        <w:rPr>
          <w:lang w:val="en-GB"/>
        </w:rPr>
        <w:t xml:space="preserve">including ‘enabling’ areas such as </w:t>
      </w:r>
      <w:r w:rsidR="006C4380">
        <w:rPr>
          <w:lang w:val="en-GB"/>
        </w:rPr>
        <w:t>Goal</w:t>
      </w:r>
      <w:r w:rsidR="006C4380" w:rsidRPr="00F55E9E">
        <w:rPr>
          <w:lang w:val="en-GB"/>
        </w:rPr>
        <w:t xml:space="preserve"> </w:t>
      </w:r>
      <w:r w:rsidRPr="00F55E9E">
        <w:rPr>
          <w:lang w:val="en-GB"/>
        </w:rPr>
        <w:t>16 to leave no one behind</w:t>
      </w:r>
      <w:r w:rsidR="006C4380">
        <w:rPr>
          <w:lang w:val="en-GB"/>
        </w:rPr>
        <w:t>.</w:t>
      </w:r>
      <w:r w:rsidRPr="00F55E9E">
        <w:rPr>
          <w:rStyle w:val="FootnoteReference"/>
          <w:lang w:val="en-GB"/>
        </w:rPr>
        <w:footnoteReference w:id="20"/>
      </w:r>
      <w:r w:rsidRPr="00F55E9E">
        <w:rPr>
          <w:lang w:val="en-GB"/>
        </w:rPr>
        <w:t xml:space="preserve"> </w:t>
      </w:r>
    </w:p>
    <w:p w14:paraId="5AE200C3" w14:textId="38A69C0D" w:rsidR="00C63C2E" w:rsidRPr="00F55E9E" w:rsidRDefault="00C63C2E" w:rsidP="00F55E9E">
      <w:pPr>
        <w:pStyle w:val="ListParagraph"/>
        <w:numPr>
          <w:ilvl w:val="0"/>
          <w:numId w:val="1"/>
        </w:numPr>
        <w:tabs>
          <w:tab w:val="left" w:pos="360"/>
        </w:tabs>
        <w:spacing w:after="120"/>
        <w:ind w:left="0" w:right="450" w:firstLine="0"/>
        <w:jc w:val="both"/>
        <w:rPr>
          <w:lang w:val="en-GB"/>
        </w:rPr>
      </w:pPr>
      <w:r w:rsidRPr="00F55E9E">
        <w:rPr>
          <w:lang w:val="en-GB"/>
        </w:rPr>
        <w:t>An evalu</w:t>
      </w:r>
      <w:r w:rsidR="006415DC" w:rsidRPr="00F55E9E">
        <w:rPr>
          <w:lang w:val="en-GB"/>
        </w:rPr>
        <w:t xml:space="preserve">ation of </w:t>
      </w:r>
      <w:r w:rsidR="006415DC">
        <w:rPr>
          <w:lang w:val="en-GB"/>
        </w:rPr>
        <w:t>country</w:t>
      </w:r>
      <w:r w:rsidR="006415DC" w:rsidRPr="00F55E9E">
        <w:rPr>
          <w:lang w:val="en-GB"/>
        </w:rPr>
        <w:t xml:space="preserve"> programme</w:t>
      </w:r>
      <w:r w:rsidR="006415DC">
        <w:rPr>
          <w:lang w:val="en-GB"/>
        </w:rPr>
        <w:t>, 2013-2016</w:t>
      </w:r>
      <w:r w:rsidR="00BF4937">
        <w:rPr>
          <w:lang w:val="en-GB"/>
        </w:rPr>
        <w:t>,</w:t>
      </w:r>
      <w:r w:rsidR="00BF4937" w:rsidRPr="00F55E9E">
        <w:rPr>
          <w:lang w:val="en-GB"/>
        </w:rPr>
        <w:t xml:space="preserve"> </w:t>
      </w:r>
      <w:r w:rsidRPr="00F55E9E">
        <w:rPr>
          <w:lang w:val="en-GB"/>
        </w:rPr>
        <w:t>noted that a well calibrated and designed programme anchored in transformational partners can deliver results even in a very constrained and inhibiting environment.</w:t>
      </w:r>
      <w:r w:rsidRPr="00F55E9E">
        <w:rPr>
          <w:rStyle w:val="FootnoteReference"/>
          <w:lang w:val="en-GB"/>
        </w:rPr>
        <w:footnoteReference w:id="21"/>
      </w:r>
      <w:r w:rsidRPr="00F55E9E">
        <w:rPr>
          <w:lang w:val="en-GB"/>
        </w:rPr>
        <w:t xml:space="preserve"> UNDP contributed to the establishment of a scalable system for equitable access to justice to target beneficiaries through </w:t>
      </w:r>
      <w:r w:rsidR="00BF4937" w:rsidRPr="00F55E9E">
        <w:rPr>
          <w:lang w:val="en-GB"/>
        </w:rPr>
        <w:t>transitional justice, legal aid</w:t>
      </w:r>
      <w:r w:rsidRPr="00F55E9E">
        <w:rPr>
          <w:lang w:val="en-GB"/>
        </w:rPr>
        <w:t xml:space="preserve"> and community policing </w:t>
      </w:r>
      <w:r w:rsidRPr="00F55E9E">
        <w:rPr>
          <w:lang w:val="en-GB"/>
        </w:rPr>
        <w:lastRenderedPageBreak/>
        <w:t>initiatives. The recurrence of confl</w:t>
      </w:r>
      <w:r w:rsidR="00BF4937" w:rsidRPr="00F55E9E">
        <w:rPr>
          <w:lang w:val="en-GB"/>
        </w:rPr>
        <w:t xml:space="preserve">ict has deprived the </w:t>
      </w:r>
      <w:r w:rsidR="00BF4937">
        <w:rPr>
          <w:lang w:val="en-GB"/>
        </w:rPr>
        <w:t>Government</w:t>
      </w:r>
      <w:r w:rsidR="00BF4937" w:rsidRPr="00F55E9E">
        <w:rPr>
          <w:lang w:val="en-GB"/>
        </w:rPr>
        <w:t xml:space="preserve"> </w:t>
      </w:r>
      <w:r w:rsidRPr="00F55E9E">
        <w:rPr>
          <w:lang w:val="en-GB"/>
        </w:rPr>
        <w:t xml:space="preserve">of resources and capacity to </w:t>
      </w:r>
      <w:r w:rsidR="00BF4937" w:rsidRPr="00F55E9E">
        <w:rPr>
          <w:rFonts w:eastAsia="Calibri"/>
          <w:lang w:val="en-GB"/>
        </w:rPr>
        <w:t>scale</w:t>
      </w:r>
      <w:r w:rsidR="00BF4937">
        <w:rPr>
          <w:rFonts w:eastAsia="Calibri"/>
          <w:lang w:val="en-GB"/>
        </w:rPr>
        <w:t xml:space="preserve"> </w:t>
      </w:r>
      <w:r w:rsidRPr="00F55E9E">
        <w:rPr>
          <w:rFonts w:eastAsia="Calibri"/>
          <w:lang w:val="en-GB"/>
        </w:rPr>
        <w:t>up</w:t>
      </w:r>
      <w:r w:rsidRPr="00F55E9E">
        <w:rPr>
          <w:lang w:val="en-GB"/>
        </w:rPr>
        <w:t xml:space="preserve"> these services nationally. The evaluation recommends a strategic focus in relatively stable states to showcase results </w:t>
      </w:r>
      <w:r w:rsidR="00BF4937">
        <w:rPr>
          <w:lang w:val="en-GB"/>
        </w:rPr>
        <w:t xml:space="preserve">such </w:t>
      </w:r>
      <w:r w:rsidRPr="00F55E9E">
        <w:rPr>
          <w:lang w:val="en-GB"/>
        </w:rPr>
        <w:t xml:space="preserve">as peace dividends through new and innovative ways of engagement with state and non-state actors. </w:t>
      </w:r>
    </w:p>
    <w:p w14:paraId="0BC16B81" w14:textId="0664B651" w:rsidR="00C63C2E" w:rsidRPr="00F55E9E" w:rsidRDefault="00C63C2E" w:rsidP="00F55E9E">
      <w:pPr>
        <w:pStyle w:val="ListParagraph"/>
        <w:numPr>
          <w:ilvl w:val="0"/>
          <w:numId w:val="1"/>
        </w:numPr>
        <w:tabs>
          <w:tab w:val="left" w:pos="360"/>
        </w:tabs>
        <w:spacing w:after="120"/>
        <w:ind w:left="0" w:right="450" w:firstLine="0"/>
        <w:jc w:val="both"/>
        <w:rPr>
          <w:lang w:val="en-GB"/>
        </w:rPr>
      </w:pPr>
      <w:r w:rsidRPr="00F55E9E">
        <w:rPr>
          <w:lang w:val="en-GB"/>
        </w:rPr>
        <w:t xml:space="preserve">Despite minimal government investment, UNDP has contributed to stronger health systems in partnership with actors. A </w:t>
      </w:r>
      <w:r w:rsidRPr="006E1805">
        <w:rPr>
          <w:lang w:val="en-GB"/>
        </w:rPr>
        <w:t>report</w:t>
      </w:r>
      <w:r w:rsidRPr="006E1805">
        <w:rPr>
          <w:rStyle w:val="FootnoteReference"/>
          <w:lang w:val="en-GB"/>
        </w:rPr>
        <w:footnoteReference w:id="22"/>
      </w:r>
      <w:r w:rsidRPr="006E1805">
        <w:rPr>
          <w:lang w:val="en-GB"/>
        </w:rPr>
        <w:t xml:space="preserve"> </w:t>
      </w:r>
      <w:r w:rsidR="00BF4937">
        <w:rPr>
          <w:lang w:val="en-GB"/>
        </w:rPr>
        <w:t xml:space="preserve">of the </w:t>
      </w:r>
      <w:r w:rsidR="00BF4937" w:rsidRPr="00F55E9E">
        <w:rPr>
          <w:lang w:val="en-GB"/>
        </w:rPr>
        <w:t xml:space="preserve">Global Fund </w:t>
      </w:r>
      <w:r w:rsidR="00BF4937">
        <w:rPr>
          <w:lang w:val="en-GB"/>
        </w:rPr>
        <w:t xml:space="preserve">to Fight AIDS, Tuberculosis and Malaria </w:t>
      </w:r>
      <w:r w:rsidRPr="00F55E9E">
        <w:rPr>
          <w:lang w:val="en-GB"/>
        </w:rPr>
        <w:t>notes that the provision of essential health</w:t>
      </w:r>
      <w:r w:rsidR="00BF4937" w:rsidRPr="00F55E9E">
        <w:rPr>
          <w:lang w:val="en-GB"/>
        </w:rPr>
        <w:t xml:space="preserve"> infrastructure, including </w:t>
      </w:r>
      <w:r w:rsidR="00BF4937">
        <w:rPr>
          <w:lang w:val="en-GB" w:eastAsia="en-GB" w:bidi="my-MM"/>
        </w:rPr>
        <w:t>ante</w:t>
      </w:r>
      <w:r w:rsidRPr="006E1805">
        <w:rPr>
          <w:lang w:val="en-GB" w:eastAsia="en-GB" w:bidi="my-MM"/>
        </w:rPr>
        <w:t>natal</w:t>
      </w:r>
      <w:r w:rsidRPr="00F55E9E">
        <w:rPr>
          <w:lang w:val="en-GB"/>
        </w:rPr>
        <w:t xml:space="preserve"> care and maternity clinics, benefitted up to 500,000 pregnant mothers, and increased </w:t>
      </w:r>
      <w:r w:rsidR="00BF4937">
        <w:rPr>
          <w:lang w:val="en-GB" w:eastAsia="en-GB" w:bidi="my-MM"/>
        </w:rPr>
        <w:t>ante</w:t>
      </w:r>
      <w:r w:rsidR="00BF4937" w:rsidRPr="006E1805">
        <w:rPr>
          <w:lang w:val="en-GB" w:eastAsia="en-GB" w:bidi="my-MM"/>
        </w:rPr>
        <w:t>natal care</w:t>
      </w:r>
      <w:r w:rsidR="00BF4937" w:rsidRPr="00F55E9E">
        <w:rPr>
          <w:lang w:val="en-GB"/>
        </w:rPr>
        <w:t xml:space="preserve"> </w:t>
      </w:r>
      <w:r w:rsidRPr="00F55E9E">
        <w:rPr>
          <w:lang w:val="en-GB"/>
        </w:rPr>
        <w:t>coverage from 53 per cent in 2015 to 61 per cent in 2016. In addition, over 12 per</w:t>
      </w:r>
      <w:r w:rsidR="00BF4937" w:rsidRPr="00F55E9E">
        <w:rPr>
          <w:lang w:val="en-GB"/>
        </w:rPr>
        <w:t xml:space="preserve"> cent of people living with HIV</w:t>
      </w:r>
      <w:r w:rsidR="00BF4937">
        <w:rPr>
          <w:lang w:val="en-GB"/>
        </w:rPr>
        <w:t>/</w:t>
      </w:r>
      <w:r w:rsidRPr="00F55E9E">
        <w:rPr>
          <w:lang w:val="en-GB"/>
        </w:rPr>
        <w:t xml:space="preserve">AIDS received </w:t>
      </w:r>
      <w:r w:rsidR="00BF4937">
        <w:rPr>
          <w:lang w:val="en-GB" w:eastAsia="en-GB" w:bidi="my-MM"/>
        </w:rPr>
        <w:t>antiretroviral treatment</w:t>
      </w:r>
      <w:r w:rsidRPr="006E1805">
        <w:rPr>
          <w:lang w:val="en-GB" w:eastAsia="en-GB" w:bidi="my-MM"/>
        </w:rPr>
        <w:t xml:space="preserve">, </w:t>
      </w:r>
      <w:r w:rsidRPr="00F55E9E">
        <w:rPr>
          <w:lang w:val="en-GB"/>
        </w:rPr>
        <w:t xml:space="preserve">more than 16,000 </w:t>
      </w:r>
      <w:r w:rsidR="00BF4937">
        <w:rPr>
          <w:lang w:val="en-GB" w:eastAsia="en-GB" w:bidi="my-MM"/>
        </w:rPr>
        <w:t>tuberculosis</w:t>
      </w:r>
      <w:r w:rsidRPr="00F55E9E">
        <w:rPr>
          <w:lang w:val="en-GB"/>
        </w:rPr>
        <w:t xml:space="preserve">-affected people received treatment, while 200,000 people underwent HIV testing. The new </w:t>
      </w:r>
      <w:r w:rsidR="00BF4937">
        <w:rPr>
          <w:lang w:val="en-GB" w:eastAsia="en-GB" w:bidi="my-MM"/>
        </w:rPr>
        <w:t>tuberculosis</w:t>
      </w:r>
      <w:r w:rsidR="00BF4937" w:rsidRPr="00F55E9E">
        <w:rPr>
          <w:lang w:val="en-GB"/>
        </w:rPr>
        <w:t xml:space="preserve"> </w:t>
      </w:r>
      <w:r w:rsidRPr="00F55E9E">
        <w:rPr>
          <w:lang w:val="en-GB"/>
        </w:rPr>
        <w:t xml:space="preserve">and HIV grant will build on previous successes and strengthen </w:t>
      </w:r>
      <w:r w:rsidR="00BF4937">
        <w:rPr>
          <w:lang w:val="en-GB" w:eastAsia="en-GB" w:bidi="my-MM"/>
        </w:rPr>
        <w:t>tuberculosis</w:t>
      </w:r>
      <w:r w:rsidRPr="00F55E9E">
        <w:rPr>
          <w:lang w:val="en-GB"/>
        </w:rPr>
        <w:t xml:space="preserve">/HIV collaborative interventions. </w:t>
      </w:r>
    </w:p>
    <w:p w14:paraId="50478ADB" w14:textId="41EAA4A1" w:rsidR="00C63C2E" w:rsidRPr="00F55E9E" w:rsidRDefault="00C63C2E" w:rsidP="00F55E9E">
      <w:pPr>
        <w:pStyle w:val="ListParagraph"/>
        <w:numPr>
          <w:ilvl w:val="0"/>
          <w:numId w:val="1"/>
        </w:numPr>
        <w:tabs>
          <w:tab w:val="left" w:pos="360"/>
        </w:tabs>
        <w:spacing w:after="120"/>
        <w:ind w:left="0" w:right="450" w:firstLine="0"/>
        <w:jc w:val="both"/>
        <w:rPr>
          <w:lang w:val="en-GB"/>
        </w:rPr>
      </w:pPr>
      <w:r w:rsidRPr="00F55E9E">
        <w:rPr>
          <w:lang w:val="en-GB"/>
        </w:rPr>
        <w:t>Humanitarian and development partners played a significant role in averting a potential famine in Aweil</w:t>
      </w:r>
      <w:r w:rsidR="00BF4937">
        <w:rPr>
          <w:lang w:val="en-GB"/>
        </w:rPr>
        <w:t>.</w:t>
      </w:r>
      <w:r w:rsidRPr="00F55E9E">
        <w:rPr>
          <w:rStyle w:val="FootnoteReference"/>
          <w:lang w:val="en-GB"/>
        </w:rPr>
        <w:footnoteReference w:id="23"/>
      </w:r>
      <w:r w:rsidRPr="00F55E9E">
        <w:rPr>
          <w:lang w:val="en-GB"/>
        </w:rPr>
        <w:t xml:space="preserve"> For sustainability, it is important to implement recovery and resilience initiatives that meet urgent humanitarian needs while addressing frontline service</w:t>
      </w:r>
      <w:r w:rsidR="00BF4937" w:rsidRPr="00F55E9E">
        <w:rPr>
          <w:lang w:val="en-GB"/>
        </w:rPr>
        <w:t xml:space="preserve"> delivery, conflict resolution</w:t>
      </w:r>
      <w:r w:rsidR="00BF4937">
        <w:rPr>
          <w:lang w:val="en-GB"/>
        </w:rPr>
        <w:t xml:space="preserve"> and</w:t>
      </w:r>
      <w:r w:rsidR="00BF4937" w:rsidRPr="00F55E9E">
        <w:rPr>
          <w:lang w:val="en-GB"/>
        </w:rPr>
        <w:t xml:space="preserve"> security and </w:t>
      </w:r>
      <w:r w:rsidR="00BF4937">
        <w:rPr>
          <w:lang w:val="en-GB"/>
        </w:rPr>
        <w:t>revitaliz</w:t>
      </w:r>
      <w:r w:rsidRPr="006E1805">
        <w:rPr>
          <w:lang w:val="en-GB"/>
        </w:rPr>
        <w:t>ing</w:t>
      </w:r>
      <w:r w:rsidRPr="00F55E9E">
        <w:rPr>
          <w:lang w:val="en-GB"/>
        </w:rPr>
        <w:t xml:space="preserve"> local economies and climate resilient livelihoods. </w:t>
      </w:r>
    </w:p>
    <w:p w14:paraId="1F559DB5" w14:textId="2B259D70" w:rsidR="00C63C2E" w:rsidRPr="00F55E9E" w:rsidRDefault="00C63C2E" w:rsidP="00F55E9E">
      <w:pPr>
        <w:pStyle w:val="ListParagraph"/>
        <w:numPr>
          <w:ilvl w:val="0"/>
          <w:numId w:val="1"/>
        </w:numPr>
        <w:tabs>
          <w:tab w:val="left" w:pos="360"/>
        </w:tabs>
        <w:spacing w:after="120"/>
        <w:ind w:left="0" w:right="450" w:firstLine="0"/>
        <w:jc w:val="both"/>
        <w:rPr>
          <w:lang w:val="en-GB"/>
        </w:rPr>
      </w:pPr>
      <w:r w:rsidRPr="00F55E9E">
        <w:rPr>
          <w:lang w:val="en-GB"/>
        </w:rPr>
        <w:t>While the crisis, coupled with spiralling overhead costs</w:t>
      </w:r>
      <w:r w:rsidR="00BF4937">
        <w:rPr>
          <w:lang w:val="en-GB"/>
        </w:rPr>
        <w:t>,</w:t>
      </w:r>
      <w:r w:rsidRPr="00F55E9E">
        <w:rPr>
          <w:lang w:val="en-GB"/>
        </w:rPr>
        <w:t xml:space="preserve"> continues to dent the functionality of </w:t>
      </w:r>
      <w:r w:rsidR="00BF4937" w:rsidRPr="00F55E9E">
        <w:rPr>
          <w:lang w:val="en-GB"/>
        </w:rPr>
        <w:t xml:space="preserve">public service, </w:t>
      </w:r>
      <w:r w:rsidR="00BF4937">
        <w:rPr>
          <w:lang w:val="en-GB"/>
        </w:rPr>
        <w:t>the UNDP</w:t>
      </w:r>
      <w:r w:rsidR="00BF4937" w:rsidRPr="00F55E9E">
        <w:rPr>
          <w:lang w:val="en-GB"/>
        </w:rPr>
        <w:t xml:space="preserve"> systematic</w:t>
      </w:r>
      <w:r w:rsidR="00BF4937">
        <w:rPr>
          <w:lang w:val="en-GB"/>
        </w:rPr>
        <w:t>,</w:t>
      </w:r>
      <w:r w:rsidR="00BF4937" w:rsidRPr="00F55E9E">
        <w:rPr>
          <w:lang w:val="en-GB"/>
        </w:rPr>
        <w:t xml:space="preserve"> </w:t>
      </w:r>
      <w:r w:rsidRPr="00F55E9E">
        <w:rPr>
          <w:lang w:val="en-GB"/>
        </w:rPr>
        <w:t>innovative regional capacity building initiative</w:t>
      </w:r>
      <w:r w:rsidR="00BF4937">
        <w:rPr>
          <w:lang w:val="en-GB"/>
        </w:rPr>
        <w:t>,</w:t>
      </w:r>
      <w:r w:rsidRPr="006E1805">
        <w:rPr>
          <w:lang w:val="en-GB"/>
        </w:rPr>
        <w:t xml:space="preserve"> </w:t>
      </w:r>
      <w:r w:rsidR="00BF4937">
        <w:rPr>
          <w:lang w:val="en-GB"/>
        </w:rPr>
        <w:t>deploying</w:t>
      </w:r>
      <w:r w:rsidRPr="00F55E9E">
        <w:rPr>
          <w:lang w:val="en-GB"/>
        </w:rPr>
        <w:t xml:space="preserve"> civil servants from Ethiopia, Kenya and Uganda</w:t>
      </w:r>
      <w:r w:rsidR="00BF4937">
        <w:rPr>
          <w:lang w:val="en-GB"/>
        </w:rPr>
        <w:t>,</w:t>
      </w:r>
      <w:r w:rsidRPr="00F55E9E">
        <w:rPr>
          <w:lang w:val="en-GB"/>
        </w:rPr>
        <w:t xml:space="preserve"> enhanced South Sudan civil servants’ capacity</w:t>
      </w:r>
      <w:r w:rsidR="00BF4937">
        <w:rPr>
          <w:lang w:val="en-GB"/>
        </w:rPr>
        <w:t>.</w:t>
      </w:r>
      <w:r w:rsidRPr="00F55E9E">
        <w:rPr>
          <w:rStyle w:val="FootnoteReference"/>
          <w:lang w:val="en-GB"/>
        </w:rPr>
        <w:footnoteReference w:id="24"/>
      </w:r>
      <w:r w:rsidRPr="00F55E9E">
        <w:rPr>
          <w:lang w:val="en-GB"/>
        </w:rPr>
        <w:t xml:space="preserve"> Future responses will have a sustainability strategy </w:t>
      </w:r>
      <w:r w:rsidR="00BF4937" w:rsidRPr="00F55E9E">
        <w:rPr>
          <w:lang w:val="en-GB"/>
        </w:rPr>
        <w:t>that aligns</w:t>
      </w:r>
      <w:r w:rsidRPr="00F55E9E">
        <w:rPr>
          <w:lang w:val="en-GB"/>
        </w:rPr>
        <w:t xml:space="preserve"> with current context and realities, and forges partnerships and strategic alliances at all levels for a capable professional public service. </w:t>
      </w:r>
    </w:p>
    <w:p w14:paraId="7905C493" w14:textId="1A4AD24D" w:rsidR="00C63C2E" w:rsidRPr="00F55E9E" w:rsidRDefault="00C63C2E" w:rsidP="00F55E9E">
      <w:pPr>
        <w:pStyle w:val="ListParagraph"/>
        <w:numPr>
          <w:ilvl w:val="0"/>
          <w:numId w:val="1"/>
        </w:numPr>
        <w:tabs>
          <w:tab w:val="left" w:pos="360"/>
        </w:tabs>
        <w:spacing w:after="120"/>
        <w:ind w:left="0" w:right="450" w:firstLine="0"/>
        <w:jc w:val="both"/>
        <w:rPr>
          <w:lang w:val="en-GB"/>
        </w:rPr>
      </w:pPr>
      <w:r w:rsidRPr="00F55E9E">
        <w:rPr>
          <w:lang w:val="en-GB"/>
        </w:rPr>
        <w:t>UNDP contributed to maintaining peace, safety and security at the local level by improving inter-group relationships and building resilient communities.</w:t>
      </w:r>
      <w:r w:rsidRPr="00F55E9E">
        <w:rPr>
          <w:rStyle w:val="FootnoteReference"/>
          <w:lang w:val="en-GB"/>
        </w:rPr>
        <w:footnoteReference w:id="25"/>
      </w:r>
      <w:r w:rsidRPr="00F55E9E">
        <w:rPr>
          <w:lang w:val="en-GB"/>
        </w:rPr>
        <w:t xml:space="preserve"> Consequently, despi</w:t>
      </w:r>
      <w:r w:rsidR="00BF4937" w:rsidRPr="00F55E9E">
        <w:rPr>
          <w:lang w:val="en-GB"/>
        </w:rPr>
        <w:t>te a deterioration in macro-</w:t>
      </w:r>
      <w:r w:rsidRPr="00F55E9E">
        <w:rPr>
          <w:lang w:val="en-GB"/>
        </w:rPr>
        <w:t xml:space="preserve">level political and security dynamics, there was </w:t>
      </w:r>
      <w:r w:rsidR="00BF4937">
        <w:rPr>
          <w:lang w:val="en-GB"/>
        </w:rPr>
        <w:t>little</w:t>
      </w:r>
      <w:r w:rsidR="00BF4937" w:rsidRPr="00F55E9E">
        <w:rPr>
          <w:lang w:val="en-GB"/>
        </w:rPr>
        <w:t xml:space="preserve"> </w:t>
      </w:r>
      <w:r w:rsidRPr="00F55E9E">
        <w:rPr>
          <w:lang w:val="en-GB"/>
        </w:rPr>
        <w:t>change in people´s perception of peace, security and SGBV</w:t>
      </w:r>
      <w:r w:rsidR="00BF4937">
        <w:rPr>
          <w:lang w:val="en-GB"/>
        </w:rPr>
        <w:t>,</w:t>
      </w:r>
      <w:r w:rsidRPr="00F55E9E">
        <w:rPr>
          <w:lang w:val="en-GB"/>
        </w:rPr>
        <w:t xml:space="preserve"> where 30.1 per cent of respondents felt secure in their communities, a slight fall from 31 per cent in 2015.  </w:t>
      </w:r>
    </w:p>
    <w:p w14:paraId="627805A3" w14:textId="15349BF5" w:rsidR="00C63C2E" w:rsidRPr="00F55E9E" w:rsidRDefault="00C63C2E" w:rsidP="00F55E9E">
      <w:pPr>
        <w:pStyle w:val="ListParagraph"/>
        <w:numPr>
          <w:ilvl w:val="0"/>
          <w:numId w:val="1"/>
        </w:numPr>
        <w:tabs>
          <w:tab w:val="left" w:pos="360"/>
        </w:tabs>
        <w:spacing w:after="120"/>
        <w:ind w:left="0" w:right="450" w:firstLine="0"/>
        <w:jc w:val="both"/>
        <w:rPr>
          <w:lang w:val="en-GB"/>
        </w:rPr>
      </w:pPr>
      <w:r w:rsidRPr="00F55E9E">
        <w:rPr>
          <w:lang w:val="en-GB"/>
        </w:rPr>
        <w:t xml:space="preserve">However, the programme was not of sufficient scale to make a significant impact, and the ongoing political and security crises eroded earlier gains in several states. Evaluative </w:t>
      </w:r>
      <w:r w:rsidRPr="00F55E9E">
        <w:rPr>
          <w:rFonts w:eastAsia="Calibri"/>
          <w:lang w:val="en-GB"/>
        </w:rPr>
        <w:t>evidence</w:t>
      </w:r>
      <w:r w:rsidRPr="00F55E9E">
        <w:rPr>
          <w:lang w:val="en-GB"/>
        </w:rPr>
        <w:t xml:space="preserve"> points to the importance of a twin track appr</w:t>
      </w:r>
      <w:r w:rsidR="00BF4937" w:rsidRPr="00F55E9E">
        <w:rPr>
          <w:lang w:val="en-GB"/>
        </w:rPr>
        <w:t>oach in addressing the conflict</w:t>
      </w:r>
      <w:r w:rsidR="00BF4937">
        <w:rPr>
          <w:lang w:val="en-GB"/>
        </w:rPr>
        <w:t>:</w:t>
      </w:r>
      <w:r w:rsidRPr="00F55E9E">
        <w:rPr>
          <w:lang w:val="en-GB"/>
        </w:rPr>
        <w:t xml:space="preserve"> working on peace and social cohesion at the local level, while supporting national-level</w:t>
      </w:r>
      <w:r w:rsidR="00BF4937" w:rsidRPr="00F55E9E">
        <w:rPr>
          <w:lang w:val="en-GB"/>
        </w:rPr>
        <w:t xml:space="preserve"> engagements on reconciliation, </w:t>
      </w:r>
      <w:r w:rsidR="00BF4937">
        <w:rPr>
          <w:lang w:val="en-GB"/>
        </w:rPr>
        <w:t>the National Dialogue</w:t>
      </w:r>
      <w:r w:rsidR="00BF4937" w:rsidRPr="00F55E9E">
        <w:rPr>
          <w:lang w:val="en-GB"/>
        </w:rPr>
        <w:t xml:space="preserve"> and </w:t>
      </w:r>
      <w:r w:rsidR="00BF4937">
        <w:rPr>
          <w:lang w:val="en-GB"/>
        </w:rPr>
        <w:t>revitaliz</w:t>
      </w:r>
      <w:r w:rsidRPr="006E1805">
        <w:rPr>
          <w:lang w:val="en-GB"/>
        </w:rPr>
        <w:t>ation</w:t>
      </w:r>
      <w:r w:rsidRPr="00F55E9E">
        <w:rPr>
          <w:lang w:val="en-GB"/>
        </w:rPr>
        <w:t xml:space="preserve"> of ARCSS.</w:t>
      </w:r>
    </w:p>
    <w:p w14:paraId="58FD6DB9" w14:textId="498BB1BB" w:rsidR="008943AD" w:rsidRPr="006E1805" w:rsidRDefault="008943AD" w:rsidP="002C54A1">
      <w:pPr>
        <w:autoSpaceDE w:val="0"/>
        <w:autoSpaceDN w:val="0"/>
        <w:adjustRightInd w:val="0"/>
        <w:ind w:right="450"/>
        <w:jc w:val="both"/>
        <w:rPr>
          <w:rFonts w:asciiTheme="majorBidi" w:hAnsiTheme="majorBidi" w:cstheme="majorBidi"/>
          <w:lang w:val="en-GB"/>
        </w:rPr>
      </w:pPr>
      <w:bookmarkStart w:id="1" w:name="_Toc511851833"/>
    </w:p>
    <w:p w14:paraId="0D673E42" w14:textId="7809651D" w:rsidR="008943AD" w:rsidRPr="00F55E9E" w:rsidRDefault="008943AD" w:rsidP="00F55E9E">
      <w:pPr>
        <w:pStyle w:val="Heading2"/>
        <w:numPr>
          <w:ilvl w:val="0"/>
          <w:numId w:val="3"/>
        </w:numPr>
        <w:ind w:left="0" w:right="450" w:hanging="540"/>
        <w:jc w:val="both"/>
        <w:rPr>
          <w:rFonts w:ascii="Times New Roman" w:hAnsi="Times New Roman"/>
          <w:color w:val="000000"/>
          <w:sz w:val="24"/>
          <w:lang w:val="en-GB"/>
        </w:rPr>
      </w:pPr>
      <w:r w:rsidRPr="00F55E9E">
        <w:rPr>
          <w:rFonts w:ascii="Times New Roman" w:hAnsi="Times New Roman"/>
          <w:color w:val="000000"/>
          <w:sz w:val="24"/>
          <w:lang w:val="en-GB"/>
        </w:rPr>
        <w:t xml:space="preserve">Programme </w:t>
      </w:r>
      <w:r w:rsidR="0039439F" w:rsidRPr="0034154C">
        <w:rPr>
          <w:rFonts w:ascii="Times New Roman" w:hAnsi="Times New Roman"/>
          <w:bCs/>
          <w:color w:val="000000"/>
          <w:sz w:val="24"/>
          <w:szCs w:val="24"/>
          <w:lang w:val="en-GB"/>
        </w:rPr>
        <w:t>priorities</w:t>
      </w:r>
      <w:r w:rsidR="0039439F" w:rsidRPr="00F55E9E">
        <w:rPr>
          <w:rFonts w:ascii="Times New Roman" w:hAnsi="Times New Roman"/>
          <w:color w:val="000000"/>
          <w:sz w:val="24"/>
          <w:lang w:val="en-GB"/>
        </w:rPr>
        <w:t xml:space="preserve"> and </w:t>
      </w:r>
      <w:bookmarkEnd w:id="1"/>
      <w:r w:rsidR="0039439F" w:rsidRPr="0034154C">
        <w:rPr>
          <w:rFonts w:ascii="Times New Roman" w:hAnsi="Times New Roman"/>
          <w:bCs/>
          <w:color w:val="000000"/>
          <w:sz w:val="24"/>
          <w:szCs w:val="24"/>
          <w:lang w:val="en-GB"/>
        </w:rPr>
        <w:t>p</w:t>
      </w:r>
      <w:r w:rsidRPr="0034154C">
        <w:rPr>
          <w:rFonts w:ascii="Times New Roman" w:hAnsi="Times New Roman"/>
          <w:bCs/>
          <w:color w:val="000000"/>
          <w:sz w:val="24"/>
          <w:szCs w:val="24"/>
          <w:lang w:val="en-GB"/>
        </w:rPr>
        <w:t>artnerships</w:t>
      </w:r>
      <w:r w:rsidRPr="00F55E9E">
        <w:rPr>
          <w:rFonts w:ascii="Times New Roman" w:hAnsi="Times New Roman"/>
          <w:color w:val="000000"/>
          <w:sz w:val="24"/>
          <w:lang w:val="en-GB"/>
        </w:rPr>
        <w:t xml:space="preserve"> </w:t>
      </w:r>
    </w:p>
    <w:p w14:paraId="1D5B9F0F" w14:textId="77777777" w:rsidR="00DE2676" w:rsidRPr="0034154C" w:rsidRDefault="00DE2676" w:rsidP="002C54A1">
      <w:pPr>
        <w:autoSpaceDE w:val="0"/>
        <w:autoSpaceDN w:val="0"/>
        <w:adjustRightInd w:val="0"/>
        <w:ind w:right="450"/>
        <w:jc w:val="both"/>
        <w:rPr>
          <w:rFonts w:asciiTheme="majorBidi" w:hAnsiTheme="majorBidi" w:cstheme="majorBidi"/>
          <w:bCs/>
          <w:color w:val="000000" w:themeColor="text1"/>
          <w:lang w:val="en-GB"/>
        </w:rPr>
      </w:pPr>
    </w:p>
    <w:p w14:paraId="1D7F7913" w14:textId="66A4A8E7" w:rsidR="00C63C2E" w:rsidRPr="00F55E9E" w:rsidRDefault="00C63C2E"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 xml:space="preserve">In line with the UNDP Strategic Plan, </w:t>
      </w:r>
      <w:r w:rsidR="00CD5BE4">
        <w:rPr>
          <w:lang w:val="en-GB"/>
        </w:rPr>
        <w:t xml:space="preserve">2018-2021, </w:t>
      </w:r>
      <w:r w:rsidRPr="00F55E9E">
        <w:rPr>
          <w:lang w:val="en-GB"/>
        </w:rPr>
        <w:t>the principal objective of this programm</w:t>
      </w:r>
      <w:r w:rsidR="00CD5BE4" w:rsidRPr="00F55E9E">
        <w:rPr>
          <w:lang w:val="en-GB"/>
        </w:rPr>
        <w:t xml:space="preserve">e is to contribute to </w:t>
      </w:r>
      <w:r w:rsidR="00CD5BE4">
        <w:rPr>
          <w:lang w:val="en-GB"/>
        </w:rPr>
        <w:t>eradicating</w:t>
      </w:r>
      <w:r w:rsidRPr="00F55E9E">
        <w:rPr>
          <w:lang w:val="en-GB"/>
        </w:rPr>
        <w:t xml:space="preserve"> poverty </w:t>
      </w:r>
      <w:r w:rsidR="00CD5BE4" w:rsidRPr="00F55E9E">
        <w:rPr>
          <w:lang w:val="en-GB"/>
        </w:rPr>
        <w:t>in all its forms and dimensions</w:t>
      </w:r>
      <w:r w:rsidR="00CD5BE4">
        <w:rPr>
          <w:lang w:val="en-GB"/>
        </w:rPr>
        <w:t>,</w:t>
      </w:r>
      <w:r w:rsidR="00CD5BE4" w:rsidRPr="00F55E9E">
        <w:rPr>
          <w:lang w:val="en-GB"/>
        </w:rPr>
        <w:t xml:space="preserve"> </w:t>
      </w:r>
      <w:r w:rsidRPr="00F55E9E">
        <w:rPr>
          <w:lang w:val="en-GB"/>
        </w:rPr>
        <w:t>keeping people out of poverty, building resilience to crises and shocks</w:t>
      </w:r>
      <w:r w:rsidR="00CD5BE4">
        <w:rPr>
          <w:lang w:val="en-GB"/>
        </w:rPr>
        <w:t xml:space="preserve"> and </w:t>
      </w:r>
      <w:r w:rsidRPr="006E1805">
        <w:rPr>
          <w:lang w:val="en-GB"/>
        </w:rPr>
        <w:t>safeguard</w:t>
      </w:r>
      <w:r w:rsidR="00CD5BE4">
        <w:rPr>
          <w:lang w:val="en-GB"/>
        </w:rPr>
        <w:t>ing</w:t>
      </w:r>
      <w:r w:rsidRPr="00F55E9E">
        <w:rPr>
          <w:lang w:val="en-GB"/>
        </w:rPr>
        <w:t xml:space="preserve"> development gains</w:t>
      </w:r>
      <w:r w:rsidRPr="00F55E9E">
        <w:rPr>
          <w:i/>
          <w:color w:val="000000"/>
          <w:lang w:val="en-GB"/>
        </w:rPr>
        <w:t>.</w:t>
      </w:r>
    </w:p>
    <w:p w14:paraId="411D67AB" w14:textId="4CF593F0" w:rsidR="00C63C2E" w:rsidRPr="00F55E9E" w:rsidRDefault="00AD4568"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Pr>
          <w:lang w:val="en-GB"/>
        </w:rPr>
        <w:t>P</w:t>
      </w:r>
      <w:r w:rsidR="00C63C2E" w:rsidRPr="006E1805">
        <w:rPr>
          <w:lang w:val="en-GB"/>
        </w:rPr>
        <w:t>roposed</w:t>
      </w:r>
      <w:r w:rsidR="00C63C2E" w:rsidRPr="00F55E9E">
        <w:rPr>
          <w:lang w:val="en-GB"/>
        </w:rPr>
        <w:t xml:space="preserve"> programme priorities build on progress during the previous cycle and align with Vision 2040, ARCSS, NDS, Africa Vision 2063, </w:t>
      </w:r>
      <w:r>
        <w:rPr>
          <w:lang w:val="en-GB"/>
        </w:rPr>
        <w:t xml:space="preserve">the 2030 </w:t>
      </w:r>
      <w:r w:rsidR="00C63C2E" w:rsidRPr="00F55E9E">
        <w:rPr>
          <w:lang w:val="en-GB"/>
        </w:rPr>
        <w:t>Agenda</w:t>
      </w:r>
      <w:r w:rsidRPr="00F55E9E">
        <w:rPr>
          <w:lang w:val="en-GB"/>
        </w:rPr>
        <w:t xml:space="preserve"> </w:t>
      </w:r>
      <w:r>
        <w:rPr>
          <w:lang w:val="en-GB"/>
        </w:rPr>
        <w:t>for Sustainable Development</w:t>
      </w:r>
      <w:r w:rsidR="00C63C2E" w:rsidRPr="00F55E9E">
        <w:rPr>
          <w:lang w:val="en-GB"/>
        </w:rPr>
        <w:t>, UNMISS mandate, 2019-2021 UNCF and the UNDP Strategic Plan</w:t>
      </w:r>
      <w:r>
        <w:rPr>
          <w:lang w:val="en-GB"/>
        </w:rPr>
        <w:t xml:space="preserve">, </w:t>
      </w:r>
      <w:r w:rsidRPr="006E1805">
        <w:rPr>
          <w:lang w:val="en-GB"/>
        </w:rPr>
        <w:t>2018-2021</w:t>
      </w:r>
      <w:r w:rsidR="00C63C2E" w:rsidRPr="00F55E9E">
        <w:rPr>
          <w:lang w:val="en-GB"/>
        </w:rPr>
        <w:t xml:space="preserve">. </w:t>
      </w:r>
      <w:r w:rsidRPr="00F55E9E">
        <w:rPr>
          <w:lang w:val="en-GB"/>
        </w:rPr>
        <w:t xml:space="preserve">In </w:t>
      </w:r>
      <w:r w:rsidR="00C63C2E" w:rsidRPr="00F55E9E">
        <w:rPr>
          <w:lang w:val="en-GB"/>
        </w:rPr>
        <w:t>response to t</w:t>
      </w:r>
      <w:r w:rsidRPr="00F55E9E">
        <w:rPr>
          <w:lang w:val="en-GB"/>
        </w:rPr>
        <w:t>he broad development challenges</w:t>
      </w:r>
      <w:r>
        <w:rPr>
          <w:lang w:val="en-GB"/>
        </w:rPr>
        <w:t xml:space="preserve"> –</w:t>
      </w:r>
      <w:r w:rsidRPr="00F55E9E">
        <w:rPr>
          <w:lang w:val="en-GB"/>
        </w:rPr>
        <w:t xml:space="preserve"> </w:t>
      </w:r>
      <w:r w:rsidR="00C63C2E" w:rsidRPr="00F55E9E">
        <w:rPr>
          <w:lang w:val="en-GB"/>
        </w:rPr>
        <w:t>persistent conflict a</w:t>
      </w:r>
      <w:r w:rsidRPr="00F55E9E">
        <w:rPr>
          <w:lang w:val="en-GB"/>
        </w:rPr>
        <w:t>nd fragility</w:t>
      </w:r>
      <w:r>
        <w:rPr>
          <w:lang w:val="en-GB"/>
        </w:rPr>
        <w:t>,</w:t>
      </w:r>
      <w:r w:rsidR="00C63C2E" w:rsidRPr="00F55E9E">
        <w:rPr>
          <w:lang w:val="en-GB"/>
        </w:rPr>
        <w:t xml:space="preserve"> recurrent shocks and stresses</w:t>
      </w:r>
      <w:r>
        <w:rPr>
          <w:lang w:val="en-GB"/>
        </w:rPr>
        <w:t>,</w:t>
      </w:r>
      <w:r w:rsidR="00C63C2E" w:rsidRPr="00F55E9E">
        <w:rPr>
          <w:lang w:val="en-GB"/>
        </w:rPr>
        <w:t xml:space="preserve"> and weak institu</w:t>
      </w:r>
      <w:r w:rsidRPr="00F55E9E">
        <w:rPr>
          <w:lang w:val="en-GB"/>
        </w:rPr>
        <w:t>tions and economic instability</w:t>
      </w:r>
      <w:r>
        <w:rPr>
          <w:lang w:val="en-GB"/>
        </w:rPr>
        <w:t xml:space="preserve"> –</w:t>
      </w:r>
      <w:r w:rsidRPr="00F55E9E">
        <w:rPr>
          <w:rFonts w:asciiTheme="majorBidi" w:hAnsiTheme="majorBidi"/>
          <w:color w:val="000000" w:themeColor="text1"/>
          <w:lang w:val="en-GB"/>
        </w:rPr>
        <w:t xml:space="preserve"> </w:t>
      </w:r>
      <w:r w:rsidRPr="00F55E9E">
        <w:rPr>
          <w:lang w:val="en-GB"/>
        </w:rPr>
        <w:t xml:space="preserve">and in line with </w:t>
      </w:r>
      <w:r>
        <w:rPr>
          <w:lang w:val="en-GB"/>
        </w:rPr>
        <w:t>UNDP</w:t>
      </w:r>
      <w:r w:rsidR="00C63C2E" w:rsidRPr="00F55E9E">
        <w:rPr>
          <w:lang w:val="en-GB"/>
        </w:rPr>
        <w:t xml:space="preserve"> comparative </w:t>
      </w:r>
      <w:r w:rsidR="00C63C2E" w:rsidRPr="00AD4568">
        <w:rPr>
          <w:lang w:val="en-GB"/>
        </w:rPr>
        <w:t>advantage</w:t>
      </w:r>
      <w:r>
        <w:rPr>
          <w:lang w:val="en-GB"/>
        </w:rPr>
        <w:t>s</w:t>
      </w:r>
      <w:r w:rsidR="00C63C2E" w:rsidRPr="00F55E9E">
        <w:rPr>
          <w:lang w:val="en-GB"/>
        </w:rPr>
        <w:t>, the programme focuses on three interlinked a</w:t>
      </w:r>
      <w:r w:rsidRPr="00F55E9E">
        <w:rPr>
          <w:lang w:val="en-GB"/>
        </w:rPr>
        <w:t>nd mutually reinforcing pillars</w:t>
      </w:r>
      <w:r>
        <w:rPr>
          <w:lang w:val="en-GB"/>
        </w:rPr>
        <w:t>:</w:t>
      </w:r>
      <w:r w:rsidR="00C63C2E" w:rsidRPr="00AD4568">
        <w:rPr>
          <w:lang w:val="en-GB"/>
        </w:rPr>
        <w:t xml:space="preserve"> </w:t>
      </w:r>
      <w:r>
        <w:rPr>
          <w:lang w:val="en-GB"/>
        </w:rPr>
        <w:t>(</w:t>
      </w:r>
      <w:r w:rsidR="00C63C2E" w:rsidRPr="00F55E9E">
        <w:rPr>
          <w:lang w:val="en-GB"/>
        </w:rPr>
        <w:t xml:space="preserve">a) strengthened peace infrastructures and accountable governance; </w:t>
      </w:r>
      <w:r>
        <w:rPr>
          <w:lang w:val="en-GB"/>
        </w:rPr>
        <w:t>(</w:t>
      </w:r>
      <w:r w:rsidRPr="00F55E9E">
        <w:rPr>
          <w:lang w:val="en-GB"/>
        </w:rPr>
        <w:t>b) inclusive</w:t>
      </w:r>
      <w:r>
        <w:rPr>
          <w:lang w:val="en-GB"/>
        </w:rPr>
        <w:t>,</w:t>
      </w:r>
      <w:r w:rsidRPr="00F55E9E">
        <w:rPr>
          <w:lang w:val="en-GB"/>
        </w:rPr>
        <w:t xml:space="preserve"> risk</w:t>
      </w:r>
      <w:r>
        <w:rPr>
          <w:lang w:val="en-GB"/>
        </w:rPr>
        <w:t>-</w:t>
      </w:r>
      <w:r w:rsidR="00C63C2E" w:rsidRPr="00F55E9E">
        <w:rPr>
          <w:lang w:val="en-GB"/>
        </w:rPr>
        <w:t xml:space="preserve">informed economic development; and </w:t>
      </w:r>
      <w:r>
        <w:rPr>
          <w:lang w:val="en-GB"/>
        </w:rPr>
        <w:t>(</w:t>
      </w:r>
      <w:r w:rsidR="00C63C2E" w:rsidRPr="00F55E9E">
        <w:rPr>
          <w:lang w:val="en-GB"/>
        </w:rPr>
        <w:t xml:space="preserve">c) strengthened institutional and community resilience. </w:t>
      </w:r>
    </w:p>
    <w:p w14:paraId="2EB6A8B5" w14:textId="5C251FFC" w:rsidR="00C63C2E" w:rsidRPr="00F55E9E" w:rsidRDefault="00C63C2E"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lastRenderedPageBreak/>
        <w:t>The programme will support</w:t>
      </w:r>
      <w:r w:rsidR="007277A3">
        <w:rPr>
          <w:lang w:val="en-GB"/>
        </w:rPr>
        <w:t>:</w:t>
      </w:r>
      <w:r w:rsidRPr="00F55E9E">
        <w:rPr>
          <w:lang w:val="en-GB"/>
        </w:rPr>
        <w:t xml:space="preserve"> </w:t>
      </w:r>
      <w:r w:rsidR="00FA2DB5">
        <w:rPr>
          <w:lang w:val="en-GB"/>
        </w:rPr>
        <w:t xml:space="preserve">NDS </w:t>
      </w:r>
      <w:r w:rsidRPr="00F55E9E">
        <w:rPr>
          <w:lang w:val="en-GB"/>
        </w:rPr>
        <w:t>implementation and development of institutional frameworks and capacities to foste</w:t>
      </w:r>
      <w:r w:rsidR="007277A3" w:rsidRPr="00F55E9E">
        <w:rPr>
          <w:lang w:val="en-GB"/>
        </w:rPr>
        <w:t>r more accountable, transparent</w:t>
      </w:r>
      <w:r w:rsidRPr="00F55E9E">
        <w:rPr>
          <w:lang w:val="en-GB"/>
        </w:rPr>
        <w:t xml:space="preserve"> and effective governance functions; a culture of dialogue and democratic disco</w:t>
      </w:r>
      <w:r w:rsidR="007277A3" w:rsidRPr="00F55E9E">
        <w:rPr>
          <w:lang w:val="en-GB"/>
        </w:rPr>
        <w:t xml:space="preserve">urse; efficient public </w:t>
      </w:r>
      <w:r w:rsidR="007277A3">
        <w:rPr>
          <w:lang w:val="en-GB"/>
        </w:rPr>
        <w:t>resource</w:t>
      </w:r>
      <w:r w:rsidRPr="00F55E9E">
        <w:rPr>
          <w:lang w:val="en-GB"/>
        </w:rPr>
        <w:t xml:space="preserve"> management and </w:t>
      </w:r>
      <w:r w:rsidRPr="00F55E9E">
        <w:rPr>
          <w:rFonts w:eastAsia="Calibri"/>
          <w:lang w:val="en-GB"/>
        </w:rPr>
        <w:t>equitable</w:t>
      </w:r>
      <w:r w:rsidRPr="00F55E9E">
        <w:rPr>
          <w:lang w:val="en-GB"/>
        </w:rPr>
        <w:t xml:space="preserve"> access to basic public services; </w:t>
      </w:r>
      <w:r w:rsidR="007277A3">
        <w:rPr>
          <w:lang w:val="en-GB"/>
        </w:rPr>
        <w:t xml:space="preserve">and </w:t>
      </w:r>
      <w:r w:rsidRPr="00F55E9E">
        <w:rPr>
          <w:lang w:val="en-GB"/>
        </w:rPr>
        <w:t>improved access to justice and respect for human rights</w:t>
      </w:r>
      <w:r w:rsidR="007277A3">
        <w:rPr>
          <w:lang w:val="en-GB"/>
        </w:rPr>
        <w:t>,</w:t>
      </w:r>
      <w:r w:rsidRPr="00F55E9E">
        <w:rPr>
          <w:lang w:val="en-GB"/>
        </w:rPr>
        <w:t xml:space="preserve"> which will reduce conflict and promote social cohesion, contributing to progress toward </w:t>
      </w:r>
      <w:r w:rsidR="007277A3">
        <w:rPr>
          <w:lang w:val="en-GB"/>
        </w:rPr>
        <w:t>the Goals</w:t>
      </w:r>
      <w:r w:rsidRPr="00F55E9E">
        <w:rPr>
          <w:lang w:val="en-GB"/>
        </w:rPr>
        <w:t>.</w:t>
      </w:r>
    </w:p>
    <w:p w14:paraId="60367AF0" w14:textId="520A0A14" w:rsidR="00C63C2E" w:rsidRPr="00F55E9E" w:rsidRDefault="00C63C2E"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The programme, building on past lessons, will facilitate local-level inclusive and sustainable dev</w:t>
      </w:r>
      <w:r w:rsidR="007277A3" w:rsidRPr="00F55E9E">
        <w:rPr>
          <w:lang w:val="en-GB"/>
        </w:rPr>
        <w:t>elopment initiatives to enhance</w:t>
      </w:r>
      <w:r w:rsidRPr="00F55E9E">
        <w:rPr>
          <w:lang w:val="en-GB"/>
        </w:rPr>
        <w:t xml:space="preserve"> livelihoods and community resilience, address causes and effects of climate change contributing to progress towards </w:t>
      </w:r>
      <w:r w:rsidR="007277A3">
        <w:rPr>
          <w:lang w:val="en-GB"/>
        </w:rPr>
        <w:t>Goals</w:t>
      </w:r>
      <w:r w:rsidR="007277A3" w:rsidRPr="00F55E9E">
        <w:rPr>
          <w:lang w:val="en-GB"/>
        </w:rPr>
        <w:t xml:space="preserve"> </w:t>
      </w:r>
      <w:r w:rsidRPr="00F55E9E">
        <w:rPr>
          <w:lang w:val="en-GB"/>
        </w:rPr>
        <w:t>13 and 15, facilitate gender res</w:t>
      </w:r>
      <w:r w:rsidR="007277A3" w:rsidRPr="00F55E9E">
        <w:rPr>
          <w:lang w:val="en-GB"/>
        </w:rPr>
        <w:t xml:space="preserve">ponsive service delivery, </w:t>
      </w:r>
      <w:r w:rsidR="007277A3">
        <w:rPr>
          <w:lang w:val="en-GB"/>
        </w:rPr>
        <w:t>realiz</w:t>
      </w:r>
      <w:r w:rsidRPr="006E1805">
        <w:rPr>
          <w:lang w:val="en-GB"/>
        </w:rPr>
        <w:t>e</w:t>
      </w:r>
      <w:r w:rsidRPr="00F55E9E">
        <w:rPr>
          <w:lang w:val="en-GB"/>
        </w:rPr>
        <w:t xml:space="preserve"> tangible peace dividends for the population, and contribute towards </w:t>
      </w:r>
      <w:r w:rsidR="007277A3">
        <w:rPr>
          <w:lang w:val="en-GB"/>
        </w:rPr>
        <w:t>Goals</w:t>
      </w:r>
      <w:r w:rsidR="007277A3" w:rsidRPr="00F55E9E">
        <w:rPr>
          <w:lang w:val="en-GB"/>
        </w:rPr>
        <w:t xml:space="preserve"> </w:t>
      </w:r>
      <w:r w:rsidRPr="00F55E9E">
        <w:rPr>
          <w:lang w:val="en-GB"/>
        </w:rPr>
        <w:t>1, 2, 5</w:t>
      </w:r>
      <w:r w:rsidR="007277A3" w:rsidRPr="00F55E9E">
        <w:rPr>
          <w:lang w:val="en-GB"/>
        </w:rPr>
        <w:t xml:space="preserve"> and</w:t>
      </w:r>
      <w:r w:rsidR="007277A3">
        <w:rPr>
          <w:lang w:val="en-GB"/>
        </w:rPr>
        <w:t> </w:t>
      </w:r>
      <w:r w:rsidRPr="00F55E9E">
        <w:rPr>
          <w:lang w:val="en-GB"/>
        </w:rPr>
        <w:t xml:space="preserve">8. </w:t>
      </w:r>
    </w:p>
    <w:p w14:paraId="0CA79623" w14:textId="26F36EB0" w:rsidR="00C63C2E" w:rsidRPr="00F55E9E" w:rsidRDefault="007277A3"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rFonts w:eastAsia="Calibri"/>
          <w:lang w:val="en-GB"/>
        </w:rPr>
        <w:t xml:space="preserve">To </w:t>
      </w:r>
      <w:r>
        <w:rPr>
          <w:rFonts w:eastAsia="Calibri"/>
          <w:lang w:val="en-GB"/>
        </w:rPr>
        <w:t>realiz</w:t>
      </w:r>
      <w:r w:rsidR="00C63C2E" w:rsidRPr="006E1805">
        <w:rPr>
          <w:rFonts w:eastAsia="Calibri"/>
          <w:lang w:val="en-GB"/>
        </w:rPr>
        <w:t>e</w:t>
      </w:r>
      <w:r w:rsidR="00C63C2E" w:rsidRPr="00F55E9E">
        <w:rPr>
          <w:rFonts w:eastAsia="Calibri"/>
          <w:lang w:val="en-GB"/>
        </w:rPr>
        <w:t xml:space="preserve"> at-s</w:t>
      </w:r>
      <w:r w:rsidRPr="00F55E9E">
        <w:rPr>
          <w:rFonts w:eastAsia="Calibri"/>
          <w:lang w:val="en-GB"/>
        </w:rPr>
        <w:t xml:space="preserve">cale results, in line with the </w:t>
      </w:r>
      <w:r>
        <w:rPr>
          <w:rFonts w:eastAsia="Calibri"/>
          <w:lang w:val="en-GB"/>
        </w:rPr>
        <w:t>new way</w:t>
      </w:r>
      <w:r w:rsidRPr="00F55E9E">
        <w:rPr>
          <w:rFonts w:eastAsia="Calibri"/>
          <w:lang w:val="en-GB"/>
        </w:rPr>
        <w:t xml:space="preserve"> of </w:t>
      </w:r>
      <w:r>
        <w:rPr>
          <w:rFonts w:eastAsia="Calibri"/>
          <w:lang w:val="en-GB"/>
        </w:rPr>
        <w:t>w</w:t>
      </w:r>
      <w:r w:rsidR="00C63C2E" w:rsidRPr="006E1805">
        <w:rPr>
          <w:rFonts w:eastAsia="Calibri"/>
          <w:lang w:val="en-GB"/>
        </w:rPr>
        <w:t>orking</w:t>
      </w:r>
      <w:r w:rsidR="00C63C2E" w:rsidRPr="00F55E9E">
        <w:rPr>
          <w:rFonts w:eastAsia="Calibri"/>
          <w:lang w:val="en-GB"/>
        </w:rPr>
        <w:t xml:space="preserve">, UNDP will expand </w:t>
      </w:r>
      <w:r w:rsidR="00C63C2E" w:rsidRPr="00F55E9E">
        <w:rPr>
          <w:lang w:val="en-GB"/>
        </w:rPr>
        <w:t>partnerships with existing and emerging partners and continue its integrat</w:t>
      </w:r>
      <w:r w:rsidRPr="00F55E9E">
        <w:rPr>
          <w:lang w:val="en-GB"/>
        </w:rPr>
        <w:t xml:space="preserve">or and convenor roles in </w:t>
      </w:r>
      <w:r>
        <w:rPr>
          <w:lang w:val="en-GB"/>
        </w:rPr>
        <w:t>mobiliz</w:t>
      </w:r>
      <w:r w:rsidR="00C63C2E" w:rsidRPr="006E1805">
        <w:rPr>
          <w:lang w:val="en-GB"/>
        </w:rPr>
        <w:t>ing</w:t>
      </w:r>
      <w:r w:rsidR="00C63C2E" w:rsidRPr="00F55E9E">
        <w:rPr>
          <w:lang w:val="en-GB"/>
        </w:rPr>
        <w:t xml:space="preserve"> resources for joint recovery and resilience programmes and other emerging opportunities. In collaboration with </w:t>
      </w:r>
      <w:r w:rsidR="00C63C2E" w:rsidRPr="006E1805">
        <w:rPr>
          <w:lang w:val="en-GB"/>
        </w:rPr>
        <w:t>U</w:t>
      </w:r>
      <w:r>
        <w:rPr>
          <w:lang w:val="en-GB"/>
        </w:rPr>
        <w:t xml:space="preserve">nited </w:t>
      </w:r>
      <w:r w:rsidR="00C63C2E" w:rsidRPr="006E1805">
        <w:rPr>
          <w:lang w:val="en-GB"/>
        </w:rPr>
        <w:t>N</w:t>
      </w:r>
      <w:r>
        <w:rPr>
          <w:lang w:val="en-GB"/>
        </w:rPr>
        <w:t>ations</w:t>
      </w:r>
      <w:r w:rsidR="00C63C2E" w:rsidRPr="006E1805">
        <w:rPr>
          <w:lang w:val="en-GB"/>
        </w:rPr>
        <w:t xml:space="preserve"> </w:t>
      </w:r>
      <w:r>
        <w:rPr>
          <w:lang w:val="en-GB"/>
        </w:rPr>
        <w:t>organizations</w:t>
      </w:r>
      <w:r w:rsidR="00C63C2E" w:rsidRPr="00F55E9E">
        <w:rPr>
          <w:lang w:val="en-GB"/>
        </w:rPr>
        <w:t xml:space="preserve">, UNDP will undertake joint analyses towards </w:t>
      </w:r>
      <w:r w:rsidR="00A20CF3">
        <w:rPr>
          <w:lang w:val="en-GB"/>
        </w:rPr>
        <w:t>developing</w:t>
      </w:r>
      <w:r w:rsidR="00C63C2E" w:rsidRPr="00F55E9E">
        <w:rPr>
          <w:lang w:val="en-GB"/>
        </w:rPr>
        <w:t xml:space="preserve"> collective outcomes to pave </w:t>
      </w:r>
      <w:r>
        <w:rPr>
          <w:lang w:val="en-GB"/>
        </w:rPr>
        <w:t xml:space="preserve">the </w:t>
      </w:r>
      <w:r w:rsidRPr="00F55E9E">
        <w:rPr>
          <w:lang w:val="en-GB"/>
        </w:rPr>
        <w:t xml:space="preserve">way for </w:t>
      </w:r>
      <w:r>
        <w:rPr>
          <w:lang w:val="en-GB"/>
        </w:rPr>
        <w:t>joint</w:t>
      </w:r>
      <w:r w:rsidR="00C63C2E" w:rsidRPr="00F55E9E">
        <w:rPr>
          <w:lang w:val="en-GB"/>
        </w:rPr>
        <w:t xml:space="preserve"> programing and flexible financing. The programme will enga</w:t>
      </w:r>
      <w:r w:rsidRPr="00F55E9E">
        <w:rPr>
          <w:lang w:val="en-GB"/>
        </w:rPr>
        <w:t xml:space="preserve">ge relevant </w:t>
      </w:r>
      <w:r>
        <w:rPr>
          <w:lang w:val="en-GB"/>
        </w:rPr>
        <w:t>international finance i</w:t>
      </w:r>
      <w:r w:rsidR="00C63C2E" w:rsidRPr="006E1805">
        <w:rPr>
          <w:lang w:val="en-GB"/>
        </w:rPr>
        <w:t>nstitutions</w:t>
      </w:r>
      <w:r w:rsidR="00C63C2E" w:rsidRPr="00F55E9E">
        <w:rPr>
          <w:lang w:val="en-GB"/>
        </w:rPr>
        <w:t xml:space="preserve"> for risk tolerance and flexible programming. UNDP will use local and global knowledge networks</w:t>
      </w:r>
      <w:r w:rsidR="00A20CF3">
        <w:rPr>
          <w:lang w:val="en-GB"/>
        </w:rPr>
        <w:t>,</w:t>
      </w:r>
      <w:r w:rsidR="00A20CF3" w:rsidRPr="00F55E9E">
        <w:rPr>
          <w:lang w:val="en-GB"/>
        </w:rPr>
        <w:t xml:space="preserve"> including </w:t>
      </w:r>
      <w:r w:rsidR="00A20CF3">
        <w:rPr>
          <w:lang w:val="en-GB"/>
        </w:rPr>
        <w:t>UNDP</w:t>
      </w:r>
      <w:r w:rsidR="00C63C2E" w:rsidRPr="00F55E9E">
        <w:rPr>
          <w:lang w:val="en-GB"/>
        </w:rPr>
        <w:t xml:space="preserve"> platforms </w:t>
      </w:r>
      <w:r w:rsidR="00A20CF3">
        <w:rPr>
          <w:lang w:val="en-GB"/>
        </w:rPr>
        <w:t xml:space="preserve">for the Goals, </w:t>
      </w:r>
      <w:r w:rsidR="00C63C2E" w:rsidRPr="00F55E9E">
        <w:rPr>
          <w:lang w:val="en-GB"/>
        </w:rPr>
        <w:t xml:space="preserve">to provide decision-makers with information to improve governance at all levels, and will maximize its advantage as an impartial broker to support the </w:t>
      </w:r>
      <w:r w:rsidR="00A20CF3">
        <w:rPr>
          <w:lang w:val="en-GB"/>
        </w:rPr>
        <w:t>Goals</w:t>
      </w:r>
      <w:r w:rsidR="00C63C2E" w:rsidRPr="00F55E9E">
        <w:rPr>
          <w:lang w:val="en-GB"/>
        </w:rPr>
        <w:t xml:space="preserve">. </w:t>
      </w:r>
    </w:p>
    <w:p w14:paraId="724BB6AF" w14:textId="25413021" w:rsidR="00C63C2E" w:rsidRPr="00F55E9E" w:rsidRDefault="00C63C2E"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 xml:space="preserve">In 2017, </w:t>
      </w:r>
      <w:r w:rsidR="00A20CF3">
        <w:rPr>
          <w:lang w:val="en-GB"/>
        </w:rPr>
        <w:t xml:space="preserve">the </w:t>
      </w:r>
      <w:r w:rsidRPr="00F55E9E">
        <w:rPr>
          <w:lang w:val="en-GB"/>
        </w:rPr>
        <w:t xml:space="preserve">UNDP </w:t>
      </w:r>
      <w:r w:rsidR="00A20CF3">
        <w:rPr>
          <w:lang w:val="en-GB"/>
        </w:rPr>
        <w:t>country office</w:t>
      </w:r>
      <w:r w:rsidR="00A20CF3" w:rsidRPr="00F55E9E">
        <w:rPr>
          <w:lang w:val="en-GB"/>
        </w:rPr>
        <w:t xml:space="preserve"> </w:t>
      </w:r>
      <w:r w:rsidRPr="00F55E9E">
        <w:rPr>
          <w:lang w:val="en-GB"/>
        </w:rPr>
        <w:t xml:space="preserve">received </w:t>
      </w:r>
      <w:r w:rsidR="00FA2DB5">
        <w:rPr>
          <w:lang w:val="en-GB"/>
        </w:rPr>
        <w:t xml:space="preserve">the </w:t>
      </w:r>
      <w:r w:rsidRPr="00F55E9E">
        <w:rPr>
          <w:lang w:val="en-GB"/>
        </w:rPr>
        <w:t xml:space="preserve">Bronze Gender Seal Certification for its contribution towards </w:t>
      </w:r>
      <w:r w:rsidRPr="00F55E9E">
        <w:rPr>
          <w:rFonts w:eastAsia="Calibri"/>
          <w:lang w:val="en-GB"/>
        </w:rPr>
        <w:t>national</w:t>
      </w:r>
      <w:r w:rsidRPr="00F55E9E">
        <w:rPr>
          <w:lang w:val="en-GB"/>
        </w:rPr>
        <w:t xml:space="preserve"> gender equality goals through strengtheni</w:t>
      </w:r>
      <w:r w:rsidR="00A20CF3" w:rsidRPr="00F55E9E">
        <w:rPr>
          <w:lang w:val="en-GB"/>
        </w:rPr>
        <w:t>ng mechanisms for prompt</w:t>
      </w:r>
      <w:r w:rsidR="00A20CF3">
        <w:rPr>
          <w:lang w:val="en-GB"/>
        </w:rPr>
        <w:t>,</w:t>
      </w:r>
      <w:r w:rsidR="00A20CF3" w:rsidRPr="00F55E9E">
        <w:rPr>
          <w:lang w:val="en-GB"/>
        </w:rPr>
        <w:t xml:space="preserve"> </w:t>
      </w:r>
      <w:r w:rsidRPr="00F55E9E">
        <w:rPr>
          <w:lang w:val="en-GB"/>
        </w:rPr>
        <w:t>coordinated responses to SGBV,</w:t>
      </w:r>
      <w:r w:rsidRPr="006E1805">
        <w:rPr>
          <w:lang w:val="en-GB"/>
        </w:rPr>
        <w:t xml:space="preserve"> </w:t>
      </w:r>
      <w:r w:rsidR="00A20CF3">
        <w:rPr>
          <w:lang w:val="en-GB"/>
        </w:rPr>
        <w:t>and</w:t>
      </w:r>
      <w:r w:rsidR="00A20CF3" w:rsidRPr="00F55E9E">
        <w:rPr>
          <w:lang w:val="en-GB"/>
        </w:rPr>
        <w:t xml:space="preserve"> </w:t>
      </w:r>
      <w:r w:rsidRPr="00F55E9E">
        <w:rPr>
          <w:lang w:val="en-GB"/>
        </w:rPr>
        <w:t xml:space="preserve">increasing access to justice and empowerment for women, notwithstanding the challenging context. The new programme, in collaboration with UNMISS, </w:t>
      </w:r>
      <w:r w:rsidRPr="006E1805">
        <w:rPr>
          <w:lang w:val="en-GB"/>
        </w:rPr>
        <w:t>U</w:t>
      </w:r>
      <w:r w:rsidR="00A20CF3">
        <w:rPr>
          <w:lang w:val="en-GB"/>
        </w:rPr>
        <w:t xml:space="preserve">nited </w:t>
      </w:r>
      <w:r w:rsidRPr="006E1805">
        <w:rPr>
          <w:lang w:val="en-GB"/>
        </w:rPr>
        <w:t>N</w:t>
      </w:r>
      <w:r w:rsidR="00A20CF3">
        <w:rPr>
          <w:lang w:val="en-GB"/>
        </w:rPr>
        <w:t>ations</w:t>
      </w:r>
      <w:r w:rsidRPr="006E1805">
        <w:rPr>
          <w:lang w:val="en-GB"/>
        </w:rPr>
        <w:t xml:space="preserve"> </w:t>
      </w:r>
      <w:r w:rsidR="00A20CF3">
        <w:rPr>
          <w:lang w:val="en-GB"/>
        </w:rPr>
        <w:t>organizations</w:t>
      </w:r>
      <w:r w:rsidR="00A20CF3" w:rsidRPr="00F55E9E">
        <w:rPr>
          <w:lang w:val="en-GB"/>
        </w:rPr>
        <w:t xml:space="preserve"> </w:t>
      </w:r>
      <w:r w:rsidRPr="00F55E9E">
        <w:rPr>
          <w:lang w:val="en-GB"/>
        </w:rPr>
        <w:t>and partners</w:t>
      </w:r>
      <w:r w:rsidR="00A20CF3">
        <w:rPr>
          <w:lang w:val="en-GB"/>
        </w:rPr>
        <w:t>,</w:t>
      </w:r>
      <w:r w:rsidRPr="00F55E9E">
        <w:rPr>
          <w:lang w:val="en-GB"/>
        </w:rPr>
        <w:t xml:space="preserve"> will continue to address </w:t>
      </w:r>
      <w:r w:rsidR="00A20CF3" w:rsidRPr="00F55E9E">
        <w:rPr>
          <w:lang w:val="en-GB"/>
        </w:rPr>
        <w:t>SGBV for vulnerable groups</w:t>
      </w:r>
      <w:r w:rsidR="00A20CF3">
        <w:rPr>
          <w:lang w:val="en-GB"/>
        </w:rPr>
        <w:t xml:space="preserve"> (</w:t>
      </w:r>
      <w:r w:rsidRPr="00F55E9E">
        <w:rPr>
          <w:lang w:val="en-GB"/>
        </w:rPr>
        <w:t>in</w:t>
      </w:r>
      <w:r w:rsidR="00A20CF3" w:rsidRPr="00F55E9E">
        <w:rPr>
          <w:lang w:val="en-GB"/>
        </w:rPr>
        <w:t>cluding women with disabilities</w:t>
      </w:r>
      <w:r w:rsidR="00A20CF3">
        <w:rPr>
          <w:lang w:val="en-GB"/>
        </w:rPr>
        <w:t>),</w:t>
      </w:r>
      <w:r w:rsidRPr="006E1805">
        <w:rPr>
          <w:lang w:val="en-GB"/>
        </w:rPr>
        <w:t xml:space="preserve"> </w:t>
      </w:r>
      <w:r w:rsidR="00A20CF3">
        <w:rPr>
          <w:lang w:val="en-GB"/>
        </w:rPr>
        <w:t>and</w:t>
      </w:r>
      <w:r w:rsidR="00A20CF3" w:rsidRPr="00F55E9E">
        <w:rPr>
          <w:lang w:val="en-GB"/>
        </w:rPr>
        <w:t xml:space="preserve"> gender </w:t>
      </w:r>
      <w:r w:rsidR="00A20CF3">
        <w:rPr>
          <w:lang w:val="en-GB"/>
        </w:rPr>
        <w:t>inequality</w:t>
      </w:r>
      <w:r w:rsidRPr="00F55E9E">
        <w:rPr>
          <w:lang w:val="en-GB"/>
        </w:rPr>
        <w:t xml:space="preserve"> in access to resour</w:t>
      </w:r>
      <w:r w:rsidR="00A20CF3" w:rsidRPr="00F55E9E">
        <w:rPr>
          <w:lang w:val="en-GB"/>
        </w:rPr>
        <w:t>ces and exclusion from decision</w:t>
      </w:r>
      <w:r w:rsidR="00A20CF3">
        <w:rPr>
          <w:lang w:val="en-GB"/>
        </w:rPr>
        <w:t>-</w:t>
      </w:r>
      <w:r w:rsidRPr="00F55E9E">
        <w:rPr>
          <w:lang w:val="en-GB"/>
        </w:rPr>
        <w:t xml:space="preserve">making and their structural causes, and </w:t>
      </w:r>
      <w:r w:rsidR="00A20CF3">
        <w:rPr>
          <w:lang w:val="en-GB"/>
        </w:rPr>
        <w:t xml:space="preserve">will </w:t>
      </w:r>
      <w:r w:rsidRPr="00F55E9E">
        <w:rPr>
          <w:lang w:val="en-GB"/>
        </w:rPr>
        <w:t>implemen</w:t>
      </w:r>
      <w:r w:rsidR="00A20CF3" w:rsidRPr="00F55E9E">
        <w:rPr>
          <w:lang w:val="en-GB"/>
        </w:rPr>
        <w:t xml:space="preserve">t specific initiatives to </w:t>
      </w:r>
      <w:r w:rsidR="00A20CF3">
        <w:rPr>
          <w:lang w:val="en-GB"/>
        </w:rPr>
        <w:t>realiz</w:t>
      </w:r>
      <w:r w:rsidRPr="006E1805">
        <w:rPr>
          <w:lang w:val="en-GB"/>
        </w:rPr>
        <w:t>e</w:t>
      </w:r>
      <w:r w:rsidRPr="00F55E9E">
        <w:rPr>
          <w:lang w:val="en-GB"/>
        </w:rPr>
        <w:t xml:space="preserve"> transformative gender results. </w:t>
      </w:r>
    </w:p>
    <w:p w14:paraId="3E95E004" w14:textId="2208CEC6" w:rsidR="00C63C2E" w:rsidRPr="00F55E9E" w:rsidRDefault="00C63C2E"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 xml:space="preserve">Geographically, </w:t>
      </w:r>
      <w:r w:rsidR="00A20CF3" w:rsidRPr="00F55E9E">
        <w:rPr>
          <w:lang w:val="en-GB"/>
        </w:rPr>
        <w:t>UNDP will focus on conflict</w:t>
      </w:r>
      <w:r w:rsidRPr="00F55E9E">
        <w:rPr>
          <w:lang w:val="en-GB"/>
        </w:rPr>
        <w:t xml:space="preserve"> and disaster-affected communities in targeted areas where it has</w:t>
      </w:r>
      <w:r w:rsidRPr="006E1805">
        <w:rPr>
          <w:lang w:val="en-GB"/>
        </w:rPr>
        <w:t xml:space="preserve"> </w:t>
      </w:r>
      <w:r w:rsidR="00A20CF3">
        <w:rPr>
          <w:lang w:val="en-GB"/>
        </w:rPr>
        <w:t>had</w:t>
      </w:r>
      <w:r w:rsidR="00A20CF3" w:rsidRPr="00F55E9E">
        <w:rPr>
          <w:lang w:val="en-GB"/>
        </w:rPr>
        <w:t xml:space="preserve"> </w:t>
      </w:r>
      <w:r w:rsidRPr="00F55E9E">
        <w:rPr>
          <w:lang w:val="en-GB"/>
        </w:rPr>
        <w:t xml:space="preserve">a long-established presence, emerging opportunities and strong relationships with local authorities, communities and civil society organizations. These areas </w:t>
      </w:r>
      <w:r w:rsidR="00A20CF3">
        <w:rPr>
          <w:lang w:val="en-GB"/>
        </w:rPr>
        <w:t>host</w:t>
      </w:r>
      <w:r w:rsidRPr="00F55E9E">
        <w:rPr>
          <w:lang w:val="en-GB"/>
        </w:rPr>
        <w:t xml:space="preserve"> a high </w:t>
      </w:r>
      <w:r w:rsidR="00A20CF3" w:rsidRPr="00F55E9E">
        <w:rPr>
          <w:lang w:val="en-GB"/>
        </w:rPr>
        <w:t>proportion of conflict-affected</w:t>
      </w:r>
      <w:r w:rsidR="00A20CF3">
        <w:rPr>
          <w:lang w:val="en-GB"/>
        </w:rPr>
        <w:t>,</w:t>
      </w:r>
      <w:r w:rsidR="00A20CF3" w:rsidRPr="00F55E9E">
        <w:rPr>
          <w:lang w:val="en-GB"/>
        </w:rPr>
        <w:t xml:space="preserve"> </w:t>
      </w:r>
      <w:r w:rsidRPr="00F55E9E">
        <w:rPr>
          <w:lang w:val="en-GB"/>
        </w:rPr>
        <w:t>displaced populations, returnees, minority ethnic groups, youth, persons with d</w:t>
      </w:r>
      <w:r w:rsidR="00A20CF3" w:rsidRPr="00F55E9E">
        <w:rPr>
          <w:lang w:val="en-GB"/>
        </w:rPr>
        <w:t>isabilities, ex-combatants, HIV</w:t>
      </w:r>
      <w:r w:rsidR="00A20CF3">
        <w:rPr>
          <w:lang w:val="en-GB"/>
        </w:rPr>
        <w:t>/</w:t>
      </w:r>
      <w:r w:rsidRPr="00F55E9E">
        <w:rPr>
          <w:lang w:val="en-GB"/>
        </w:rPr>
        <w:t>AIDS-affected individuals and households. UNDP will target</w:t>
      </w:r>
      <w:r w:rsidR="00A20CF3" w:rsidRPr="00F55E9E">
        <w:rPr>
          <w:lang w:val="en-GB"/>
        </w:rPr>
        <w:t xml:space="preserve"> hubs of stability to </w:t>
      </w:r>
      <w:r w:rsidR="00A20CF3">
        <w:rPr>
          <w:lang w:val="en-GB"/>
        </w:rPr>
        <w:t>incentiviz</w:t>
      </w:r>
      <w:r w:rsidRPr="006E1805">
        <w:rPr>
          <w:lang w:val="en-GB"/>
        </w:rPr>
        <w:t>e</w:t>
      </w:r>
      <w:r w:rsidRPr="00F55E9E">
        <w:rPr>
          <w:lang w:val="en-GB"/>
        </w:rPr>
        <w:t xml:space="preserve"> peace and social cohesion.  </w:t>
      </w:r>
    </w:p>
    <w:p w14:paraId="7D1866B2" w14:textId="46F13FBF" w:rsidR="00C63C2E" w:rsidRPr="00F55E9E" w:rsidRDefault="00A20CF3" w:rsidP="00F55E9E">
      <w:pPr>
        <w:spacing w:after="160"/>
        <w:jc w:val="both"/>
        <w:rPr>
          <w:b/>
          <w:lang w:val="en-GB"/>
        </w:rPr>
      </w:pPr>
      <w:r w:rsidRPr="00F55E9E">
        <w:rPr>
          <w:b/>
          <w:lang w:val="en-GB"/>
        </w:rPr>
        <w:t>Pillar 1</w:t>
      </w:r>
      <w:r>
        <w:rPr>
          <w:b/>
          <w:bCs/>
          <w:lang w:val="en-GB"/>
        </w:rPr>
        <w:t>.</w:t>
      </w:r>
      <w:r w:rsidR="00C63C2E" w:rsidRPr="00F55E9E">
        <w:rPr>
          <w:b/>
          <w:lang w:val="en-GB"/>
        </w:rPr>
        <w:t xml:space="preserve"> Strengthened peace infrastructures and accountable governance</w:t>
      </w:r>
    </w:p>
    <w:p w14:paraId="032D98EF" w14:textId="50E02772" w:rsidR="00C63C2E" w:rsidRPr="00F55E9E" w:rsidRDefault="007262A5"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Democratic</w:t>
      </w:r>
      <w:r>
        <w:rPr>
          <w:lang w:val="en-GB"/>
        </w:rPr>
        <w:t>,</w:t>
      </w:r>
      <w:r w:rsidRPr="00F55E9E">
        <w:rPr>
          <w:lang w:val="en-GB"/>
        </w:rPr>
        <w:t xml:space="preserve"> </w:t>
      </w:r>
      <w:r w:rsidR="00C63C2E" w:rsidRPr="00F55E9E">
        <w:rPr>
          <w:lang w:val="en-GB"/>
        </w:rPr>
        <w:t xml:space="preserve">transparent governance processes promote peace, security and stability, the protection of human rights, and gender equality, and are prerequisites for prosperity and inclusive development. Contingent on outcomes of HLRF and </w:t>
      </w:r>
      <w:r>
        <w:rPr>
          <w:lang w:val="en-GB"/>
        </w:rPr>
        <w:t>National Dialogue</w:t>
      </w:r>
      <w:r w:rsidRPr="00F55E9E">
        <w:rPr>
          <w:lang w:val="en-GB"/>
        </w:rPr>
        <w:t xml:space="preserve"> </w:t>
      </w:r>
      <w:r w:rsidR="00C63C2E" w:rsidRPr="00F55E9E">
        <w:rPr>
          <w:lang w:val="en-GB"/>
        </w:rPr>
        <w:t>pr</w:t>
      </w:r>
      <w:r w:rsidR="00981571" w:rsidRPr="00F55E9E">
        <w:rPr>
          <w:lang w:val="en-GB"/>
        </w:rPr>
        <w:t xml:space="preserve">ocesses, and in line with UNDP </w:t>
      </w:r>
      <w:r w:rsidR="00981571">
        <w:rPr>
          <w:lang w:val="en-GB"/>
        </w:rPr>
        <w:t>signature solution</w:t>
      </w:r>
      <w:r w:rsidR="00981571" w:rsidRPr="00F55E9E">
        <w:rPr>
          <w:lang w:val="en-GB"/>
        </w:rPr>
        <w:t xml:space="preserve"> 2 (</w:t>
      </w:r>
      <w:r w:rsidR="00981571">
        <w:rPr>
          <w:lang w:val="en-GB"/>
        </w:rPr>
        <w:t>g</w:t>
      </w:r>
      <w:r w:rsidR="00C63C2E" w:rsidRPr="006E1805">
        <w:rPr>
          <w:lang w:val="en-GB"/>
        </w:rPr>
        <w:t>overnance</w:t>
      </w:r>
      <w:r w:rsidR="00C63C2E" w:rsidRPr="00F55E9E">
        <w:rPr>
          <w:lang w:val="en-GB"/>
        </w:rPr>
        <w:t>), the programme will strengthen core governance functions</w:t>
      </w:r>
      <w:r w:rsidR="00C63C2E" w:rsidRPr="00F55E9E">
        <w:rPr>
          <w:rStyle w:val="FootnoteReference"/>
          <w:lang w:val="en-GB"/>
        </w:rPr>
        <w:footnoteReference w:id="26"/>
      </w:r>
      <w:r w:rsidR="00C63C2E" w:rsidRPr="00F55E9E">
        <w:rPr>
          <w:lang w:val="en-GB"/>
        </w:rPr>
        <w:t xml:space="preserve"> and institutions of democracy and accountability to achieve ARCSS milestones and </w:t>
      </w:r>
      <w:r w:rsidR="00981571">
        <w:rPr>
          <w:lang w:val="en-GB"/>
        </w:rPr>
        <w:t>Goal</w:t>
      </w:r>
      <w:r w:rsidR="00981571" w:rsidRPr="00F55E9E">
        <w:rPr>
          <w:lang w:val="en-GB"/>
        </w:rPr>
        <w:t xml:space="preserve"> </w:t>
      </w:r>
      <w:r w:rsidR="00C63C2E" w:rsidRPr="00F55E9E">
        <w:rPr>
          <w:lang w:val="en-GB"/>
        </w:rPr>
        <w:t xml:space="preserve">16. </w:t>
      </w:r>
    </w:p>
    <w:p w14:paraId="6D06E6F9" w14:textId="33BC1798" w:rsidR="00C63C2E" w:rsidRPr="00F55E9E" w:rsidRDefault="00C63C2E"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 xml:space="preserve">UNDP will continue to support and encourage communities and local-level institutions in targeted areas to foster peaceful coexistence, reduce resource-based conflicts and facilitate community cohesion </w:t>
      </w:r>
      <w:r w:rsidR="00981571">
        <w:rPr>
          <w:lang w:val="en-GB"/>
        </w:rPr>
        <w:t>by</w:t>
      </w:r>
      <w:r w:rsidR="00981571" w:rsidRPr="00F55E9E">
        <w:rPr>
          <w:lang w:val="en-GB"/>
        </w:rPr>
        <w:t xml:space="preserve"> </w:t>
      </w:r>
      <w:r w:rsidRPr="00F55E9E">
        <w:rPr>
          <w:lang w:val="en-GB"/>
        </w:rPr>
        <w:t xml:space="preserve">strengthening cultural, social and economic interdependencies. Building on existing partnerships with Japan, Netherlands, Norway, </w:t>
      </w:r>
      <w:r w:rsidR="00B94D42" w:rsidRPr="00F55E9E">
        <w:rPr>
          <w:lang w:val="en-GB"/>
        </w:rPr>
        <w:t xml:space="preserve">the </w:t>
      </w:r>
      <w:r w:rsidR="00B94D42">
        <w:rPr>
          <w:lang w:val="en-GB"/>
        </w:rPr>
        <w:t xml:space="preserve">Republic of </w:t>
      </w:r>
      <w:r w:rsidR="00B94D42" w:rsidRPr="006E1805">
        <w:rPr>
          <w:lang w:val="en-GB"/>
        </w:rPr>
        <w:t xml:space="preserve">Korea, Sweden, </w:t>
      </w:r>
      <w:r w:rsidR="00B94D42">
        <w:rPr>
          <w:lang w:val="en-GB"/>
        </w:rPr>
        <w:t xml:space="preserve">the United States, the </w:t>
      </w:r>
      <w:r w:rsidR="00B94D42" w:rsidRPr="00F55E9E">
        <w:rPr>
          <w:lang w:val="en-GB"/>
        </w:rPr>
        <w:t>Peacebuilding Fund</w:t>
      </w:r>
      <w:r w:rsidRPr="00F55E9E">
        <w:rPr>
          <w:lang w:val="en-GB"/>
        </w:rPr>
        <w:t xml:space="preserve"> and other partners, the programme will support inclusive politics, participation</w:t>
      </w:r>
      <w:r w:rsidR="00B94D42" w:rsidRPr="00F55E9E">
        <w:rPr>
          <w:lang w:val="en-GB"/>
        </w:rPr>
        <w:t xml:space="preserve"> and representation</w:t>
      </w:r>
      <w:r w:rsidR="00B94D42">
        <w:rPr>
          <w:lang w:val="en-GB"/>
        </w:rPr>
        <w:t>, prioritiz</w:t>
      </w:r>
      <w:r w:rsidRPr="006E1805">
        <w:rPr>
          <w:lang w:val="en-GB"/>
        </w:rPr>
        <w:t>ing</w:t>
      </w:r>
      <w:r w:rsidRPr="00F55E9E">
        <w:rPr>
          <w:lang w:val="en-GB"/>
        </w:rPr>
        <w:t xml:space="preserve"> initiatives that address exclusion </w:t>
      </w:r>
      <w:r w:rsidR="00B94D42" w:rsidRPr="00F55E9E">
        <w:rPr>
          <w:lang w:val="en-GB"/>
        </w:rPr>
        <w:t xml:space="preserve">as a key conflict driver at </w:t>
      </w:r>
      <w:r w:rsidR="00B94D42">
        <w:rPr>
          <w:lang w:val="en-GB"/>
        </w:rPr>
        <w:t>sub</w:t>
      </w:r>
      <w:r w:rsidRPr="006E1805">
        <w:rPr>
          <w:lang w:val="en-GB"/>
        </w:rPr>
        <w:t>national</w:t>
      </w:r>
      <w:r w:rsidRPr="00F55E9E">
        <w:rPr>
          <w:lang w:val="en-GB"/>
        </w:rPr>
        <w:t xml:space="preserve"> levels. </w:t>
      </w:r>
    </w:p>
    <w:p w14:paraId="3D14322D" w14:textId="2D42D2B0" w:rsidR="00C63C2E" w:rsidRPr="00F55E9E" w:rsidRDefault="00C63C2E"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UNDP will provide upstr</w:t>
      </w:r>
      <w:r w:rsidR="00B94D42" w:rsidRPr="00F55E9E">
        <w:rPr>
          <w:lang w:val="en-GB"/>
        </w:rPr>
        <w:t xml:space="preserve">eam support </w:t>
      </w:r>
      <w:r w:rsidR="00B94D42">
        <w:rPr>
          <w:lang w:val="en-GB"/>
        </w:rPr>
        <w:t>to government</w:t>
      </w:r>
      <w:r w:rsidRPr="00F55E9E">
        <w:rPr>
          <w:lang w:val="en-GB"/>
        </w:rPr>
        <w:t xml:space="preserve"> peacebuilding efforts, including implementation of the New Deal for </w:t>
      </w:r>
      <w:r w:rsidR="00B94D42">
        <w:rPr>
          <w:lang w:val="en-GB"/>
        </w:rPr>
        <w:t>Engagement in F</w:t>
      </w:r>
      <w:r w:rsidRPr="006E1805">
        <w:rPr>
          <w:lang w:val="en-GB"/>
        </w:rPr>
        <w:t>ragile</w:t>
      </w:r>
      <w:r w:rsidRPr="00F55E9E">
        <w:rPr>
          <w:lang w:val="en-GB"/>
        </w:rPr>
        <w:t xml:space="preserve"> States</w:t>
      </w:r>
      <w:r w:rsidR="00B94D42">
        <w:rPr>
          <w:lang w:val="en-GB"/>
        </w:rPr>
        <w:t>,</w:t>
      </w:r>
      <w:r w:rsidRPr="00F55E9E">
        <w:rPr>
          <w:rStyle w:val="FootnoteReference"/>
          <w:lang w:val="en-GB"/>
        </w:rPr>
        <w:footnoteReference w:id="27"/>
      </w:r>
      <w:r w:rsidRPr="00F55E9E">
        <w:rPr>
          <w:lang w:val="en-GB"/>
        </w:rPr>
        <w:t xml:space="preserve"> </w:t>
      </w:r>
      <w:r w:rsidR="00B94D42" w:rsidRPr="00F55E9E">
        <w:rPr>
          <w:lang w:val="en-GB"/>
        </w:rPr>
        <w:t xml:space="preserve">the </w:t>
      </w:r>
      <w:r w:rsidRPr="00F55E9E">
        <w:rPr>
          <w:lang w:val="en-GB"/>
        </w:rPr>
        <w:t xml:space="preserve">HLRF and </w:t>
      </w:r>
      <w:r w:rsidR="00B94D42">
        <w:rPr>
          <w:lang w:val="en-GB"/>
        </w:rPr>
        <w:t>National Dialogue</w:t>
      </w:r>
      <w:r w:rsidR="00B94D42" w:rsidRPr="00F55E9E">
        <w:rPr>
          <w:lang w:val="en-GB"/>
        </w:rPr>
        <w:t xml:space="preserve"> </w:t>
      </w:r>
      <w:r w:rsidRPr="00F55E9E">
        <w:rPr>
          <w:lang w:val="en-GB"/>
        </w:rPr>
        <w:t xml:space="preserve">processes; strengthen </w:t>
      </w:r>
      <w:r w:rsidR="00B94D42" w:rsidRPr="00F55E9E">
        <w:rPr>
          <w:lang w:val="en-GB"/>
        </w:rPr>
        <w:t xml:space="preserve">the </w:t>
      </w:r>
      <w:r w:rsidRPr="00F55E9E">
        <w:rPr>
          <w:lang w:val="en-GB"/>
        </w:rPr>
        <w:t>infrastructure for peace</w:t>
      </w:r>
      <w:r w:rsidR="00B94D42">
        <w:rPr>
          <w:lang w:val="en-GB"/>
        </w:rPr>
        <w:t>;</w:t>
      </w:r>
      <w:r w:rsidRPr="00F55E9E">
        <w:rPr>
          <w:lang w:val="en-GB"/>
        </w:rPr>
        <w:t xml:space="preserve"> and deepen national integration by supporting the Government to develop a reform agenda </w:t>
      </w:r>
      <w:r w:rsidR="00B94D42">
        <w:rPr>
          <w:lang w:val="en-GB"/>
        </w:rPr>
        <w:t>for</w:t>
      </w:r>
      <w:r w:rsidR="00B94D42" w:rsidRPr="00F55E9E">
        <w:rPr>
          <w:lang w:val="en-GB"/>
        </w:rPr>
        <w:t xml:space="preserve"> </w:t>
      </w:r>
      <w:r w:rsidRPr="00F55E9E">
        <w:rPr>
          <w:lang w:val="en-GB"/>
        </w:rPr>
        <w:t>peacebuilding</w:t>
      </w:r>
      <w:r w:rsidR="00B94D42">
        <w:rPr>
          <w:lang w:val="en-GB"/>
        </w:rPr>
        <w:t>,</w:t>
      </w:r>
      <w:r w:rsidRPr="00F55E9E">
        <w:rPr>
          <w:lang w:val="en-GB"/>
        </w:rPr>
        <w:t xml:space="preserve"> as articulated in ARC</w:t>
      </w:r>
      <w:r w:rsidR="00B94D42" w:rsidRPr="00F55E9E">
        <w:rPr>
          <w:lang w:val="en-GB"/>
        </w:rPr>
        <w:t xml:space="preserve">SS. </w:t>
      </w:r>
      <w:r w:rsidR="00B94D42">
        <w:rPr>
          <w:lang w:val="en-GB"/>
        </w:rPr>
        <w:t xml:space="preserve">It will engage </w:t>
      </w:r>
      <w:r w:rsidR="00B94D42">
        <w:rPr>
          <w:lang w:val="en-GB"/>
        </w:rPr>
        <w:lastRenderedPageBreak/>
        <w:t xml:space="preserve">national </w:t>
      </w:r>
      <w:r w:rsidR="00B94D42" w:rsidRPr="00F55E9E">
        <w:rPr>
          <w:lang w:val="en-GB"/>
        </w:rPr>
        <w:t>think-</w:t>
      </w:r>
      <w:r w:rsidRPr="00F55E9E">
        <w:rPr>
          <w:lang w:val="en-GB"/>
        </w:rPr>
        <w:t xml:space="preserve">tanks, universities and the parliament to distil lessons and best practices from similar contexts to inform the peace process. UNDP will work with </w:t>
      </w:r>
      <w:r w:rsidR="00B94D42">
        <w:rPr>
          <w:lang w:val="en-GB"/>
        </w:rPr>
        <w:t xml:space="preserve">the United Nations Entity for Gender Equality and </w:t>
      </w:r>
      <w:r w:rsidR="005B795A">
        <w:rPr>
          <w:lang w:val="en-GB"/>
        </w:rPr>
        <w:t xml:space="preserve">the </w:t>
      </w:r>
      <w:r w:rsidR="00B94D42">
        <w:rPr>
          <w:lang w:val="en-GB"/>
        </w:rPr>
        <w:t xml:space="preserve">Empowerment </w:t>
      </w:r>
      <w:r w:rsidR="005B795A">
        <w:rPr>
          <w:lang w:val="en-GB"/>
        </w:rPr>
        <w:t>of</w:t>
      </w:r>
      <w:r w:rsidR="005B795A" w:rsidRPr="00F55E9E">
        <w:rPr>
          <w:lang w:val="en-GB"/>
        </w:rPr>
        <w:t xml:space="preserve"> Women</w:t>
      </w:r>
      <w:r w:rsidR="005B795A">
        <w:rPr>
          <w:lang w:val="en-GB"/>
        </w:rPr>
        <w:t xml:space="preserve"> (UN-</w:t>
      </w:r>
      <w:r w:rsidRPr="006E1805">
        <w:rPr>
          <w:lang w:val="en-GB"/>
        </w:rPr>
        <w:t>Women</w:t>
      </w:r>
      <w:r w:rsidR="005B795A">
        <w:rPr>
          <w:lang w:val="en-GB"/>
        </w:rPr>
        <w:t>)</w:t>
      </w:r>
      <w:r w:rsidRPr="006E1805">
        <w:rPr>
          <w:lang w:val="en-GB"/>
        </w:rPr>
        <w:t xml:space="preserve">, </w:t>
      </w:r>
      <w:r w:rsidR="005B795A">
        <w:rPr>
          <w:lang w:val="en-GB"/>
        </w:rPr>
        <w:t>the United Nations Educational, Scientific and Cultural Organization (</w:t>
      </w:r>
      <w:r w:rsidRPr="00F55E9E">
        <w:rPr>
          <w:lang w:val="en-GB"/>
        </w:rPr>
        <w:t>UNESCO</w:t>
      </w:r>
      <w:r w:rsidR="005B795A">
        <w:rPr>
          <w:lang w:val="en-GB"/>
        </w:rPr>
        <w:t>)</w:t>
      </w:r>
      <w:r w:rsidRPr="006E1805">
        <w:rPr>
          <w:lang w:val="en-GB"/>
        </w:rPr>
        <w:t xml:space="preserve">, </w:t>
      </w:r>
      <w:r w:rsidR="005B795A">
        <w:rPr>
          <w:lang w:val="en-GB"/>
        </w:rPr>
        <w:t>the International Organization for Migration (</w:t>
      </w:r>
      <w:r w:rsidRPr="00F55E9E">
        <w:rPr>
          <w:lang w:val="en-GB"/>
        </w:rPr>
        <w:t>IOM</w:t>
      </w:r>
      <w:r w:rsidR="005B795A">
        <w:rPr>
          <w:lang w:val="en-GB"/>
        </w:rPr>
        <w:t>)</w:t>
      </w:r>
      <w:r w:rsidRPr="006E1805">
        <w:rPr>
          <w:lang w:val="en-GB"/>
        </w:rPr>
        <w:t>,</w:t>
      </w:r>
      <w:r w:rsidRPr="00F55E9E">
        <w:rPr>
          <w:lang w:val="en-GB"/>
        </w:rPr>
        <w:t xml:space="preserve"> UNMISS and </w:t>
      </w:r>
      <w:r w:rsidR="007077ED" w:rsidRPr="00F55E9E">
        <w:rPr>
          <w:lang w:val="en-GB"/>
        </w:rPr>
        <w:t xml:space="preserve">other </w:t>
      </w:r>
      <w:r w:rsidRPr="006E1805">
        <w:rPr>
          <w:lang w:val="en-GB"/>
        </w:rPr>
        <w:t>U</w:t>
      </w:r>
      <w:r w:rsidR="005B795A">
        <w:rPr>
          <w:lang w:val="en-GB"/>
        </w:rPr>
        <w:t xml:space="preserve">nited </w:t>
      </w:r>
      <w:r w:rsidRPr="006E1805">
        <w:rPr>
          <w:lang w:val="en-GB"/>
        </w:rPr>
        <w:t>N</w:t>
      </w:r>
      <w:r w:rsidR="005B795A">
        <w:rPr>
          <w:lang w:val="en-GB"/>
        </w:rPr>
        <w:t>ations</w:t>
      </w:r>
      <w:r w:rsidRPr="006E1805">
        <w:rPr>
          <w:lang w:val="en-GB"/>
        </w:rPr>
        <w:t xml:space="preserve"> </w:t>
      </w:r>
      <w:r w:rsidR="005B795A">
        <w:rPr>
          <w:lang w:val="en-GB"/>
        </w:rPr>
        <w:t>organizations</w:t>
      </w:r>
      <w:r w:rsidR="005B795A" w:rsidRPr="00F55E9E">
        <w:rPr>
          <w:lang w:val="en-GB"/>
        </w:rPr>
        <w:t xml:space="preserve"> </w:t>
      </w:r>
      <w:r w:rsidRPr="00F55E9E">
        <w:rPr>
          <w:lang w:val="en-GB"/>
        </w:rPr>
        <w:t xml:space="preserve">to achieve impact, avoid duplication and leverage comparative advantages. </w:t>
      </w:r>
    </w:p>
    <w:p w14:paraId="351CDCCB" w14:textId="2FD1EEC3" w:rsidR="00C63C2E" w:rsidRPr="00F55E9E" w:rsidRDefault="00C63C2E"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Using a human rights-based approach, and guided by international human rights standards and principles with specific emphasis on the rights of women, including women with disabilities, UNDP will support access to justice by strengthening the capacity of justice sector institutions and customary mechanisms to enable del</w:t>
      </w:r>
      <w:r w:rsidR="000F6D34" w:rsidRPr="00F55E9E">
        <w:rPr>
          <w:lang w:val="en-GB"/>
        </w:rPr>
        <w:t>ivery of accountable, effective</w:t>
      </w:r>
      <w:r w:rsidRPr="00F55E9E">
        <w:rPr>
          <w:lang w:val="en-GB"/>
        </w:rPr>
        <w:t xml:space="preserve"> a</w:t>
      </w:r>
      <w:r w:rsidR="000F6D34" w:rsidRPr="00F55E9E">
        <w:rPr>
          <w:lang w:val="en-GB"/>
        </w:rPr>
        <w:t xml:space="preserve">nd equitable justice services. </w:t>
      </w:r>
      <w:r w:rsidR="000F6D34">
        <w:rPr>
          <w:lang w:val="en-GB"/>
        </w:rPr>
        <w:t>It will support r</w:t>
      </w:r>
      <w:r w:rsidRPr="006E1805">
        <w:rPr>
          <w:lang w:val="en-GB"/>
        </w:rPr>
        <w:t>ule</w:t>
      </w:r>
      <w:r w:rsidRPr="00F55E9E">
        <w:rPr>
          <w:lang w:val="en-GB"/>
        </w:rPr>
        <w:t xml:space="preserve"> of law institutions to profes</w:t>
      </w:r>
      <w:r w:rsidR="000F6D34" w:rsidRPr="00F55E9E">
        <w:rPr>
          <w:lang w:val="en-GB"/>
        </w:rPr>
        <w:t>sionally handle SGBV and crisis</w:t>
      </w:r>
      <w:r w:rsidR="000F6D34">
        <w:rPr>
          <w:lang w:val="en-GB"/>
        </w:rPr>
        <w:t>-</w:t>
      </w:r>
      <w:r w:rsidRPr="00F55E9E">
        <w:rPr>
          <w:lang w:val="en-GB"/>
        </w:rPr>
        <w:t xml:space="preserve">related sexual violence cases, including investigation and prosecution, legal and women’s rights, trauma management and psychosocial support. In partnership with </w:t>
      </w:r>
      <w:r w:rsidR="000F6D34" w:rsidRPr="00F55E9E">
        <w:rPr>
          <w:lang w:val="en-GB"/>
        </w:rPr>
        <w:t>Germany, Japan</w:t>
      </w:r>
      <w:r w:rsidR="000F6D34">
        <w:rPr>
          <w:lang w:val="en-GB"/>
        </w:rPr>
        <w:t xml:space="preserve">, </w:t>
      </w:r>
      <w:r w:rsidRPr="006E1805">
        <w:rPr>
          <w:lang w:val="en-GB"/>
        </w:rPr>
        <w:t>Netherlands</w:t>
      </w:r>
      <w:r w:rsidR="000F6D34">
        <w:rPr>
          <w:lang w:val="en-GB"/>
        </w:rPr>
        <w:t>, the United States</w:t>
      </w:r>
      <w:r w:rsidR="000F6D34" w:rsidRPr="00F55E9E">
        <w:rPr>
          <w:lang w:val="en-GB"/>
        </w:rPr>
        <w:t xml:space="preserve"> </w:t>
      </w:r>
      <w:r w:rsidRPr="00F55E9E">
        <w:rPr>
          <w:lang w:val="en-GB"/>
        </w:rPr>
        <w:t xml:space="preserve">and other partners, the </w:t>
      </w:r>
      <w:r w:rsidRPr="00F55E9E">
        <w:rPr>
          <w:rFonts w:eastAsia="Calibri"/>
          <w:lang w:val="en-GB"/>
        </w:rPr>
        <w:t>programme</w:t>
      </w:r>
      <w:r w:rsidRPr="00F55E9E">
        <w:rPr>
          <w:lang w:val="en-GB"/>
        </w:rPr>
        <w:t xml:space="preserve"> will strengthen the capacity of human rights and transitional justice mechanisms to monitor, promote and protect citizen's rights. Working with national </w:t>
      </w:r>
      <w:r w:rsidR="000F6D34">
        <w:rPr>
          <w:lang w:val="en-GB"/>
        </w:rPr>
        <w:t xml:space="preserve">civil </w:t>
      </w:r>
      <w:r w:rsidR="000C5338">
        <w:rPr>
          <w:lang w:val="en-GB"/>
        </w:rPr>
        <w:t>society</w:t>
      </w:r>
      <w:r w:rsidR="000F6D34">
        <w:rPr>
          <w:lang w:val="en-GB"/>
        </w:rPr>
        <w:t xml:space="preserve"> organizations (</w:t>
      </w:r>
      <w:r w:rsidRPr="00F55E9E">
        <w:rPr>
          <w:lang w:val="en-GB"/>
        </w:rPr>
        <w:t>CSOs</w:t>
      </w:r>
      <w:r w:rsidR="000F6D34">
        <w:rPr>
          <w:lang w:val="en-GB"/>
        </w:rPr>
        <w:t>)</w:t>
      </w:r>
      <w:r w:rsidRPr="00F55E9E">
        <w:rPr>
          <w:lang w:val="en-GB"/>
        </w:rPr>
        <w:t xml:space="preserve"> and </w:t>
      </w:r>
      <w:r w:rsidR="000F6D34">
        <w:rPr>
          <w:lang w:val="en-GB"/>
        </w:rPr>
        <w:t>non-governmental organizations (</w:t>
      </w:r>
      <w:r w:rsidRPr="00F55E9E">
        <w:rPr>
          <w:lang w:val="en-GB"/>
        </w:rPr>
        <w:t>NGOs</w:t>
      </w:r>
      <w:r w:rsidR="000F6D34">
        <w:rPr>
          <w:lang w:val="en-GB"/>
        </w:rPr>
        <w:t>)</w:t>
      </w:r>
      <w:r w:rsidRPr="006E1805">
        <w:rPr>
          <w:lang w:val="en-GB"/>
        </w:rPr>
        <w:t>,</w:t>
      </w:r>
      <w:r w:rsidRPr="00F55E9E">
        <w:rPr>
          <w:lang w:val="en-GB"/>
        </w:rPr>
        <w:t xml:space="preserve"> the programme will strengthen SGBV referral pathways and transitional justice mechanisms. </w:t>
      </w:r>
      <w:r w:rsidR="00FC2D02">
        <w:rPr>
          <w:lang w:val="en-GB"/>
        </w:rPr>
        <w:t>I</w:t>
      </w:r>
      <w:r w:rsidRPr="00F55E9E">
        <w:rPr>
          <w:lang w:val="en-GB"/>
        </w:rPr>
        <w:t>n collaboration with partners</w:t>
      </w:r>
      <w:r w:rsidR="000F6D34">
        <w:rPr>
          <w:lang w:val="en-GB"/>
        </w:rPr>
        <w:t>,</w:t>
      </w:r>
      <w:r w:rsidRPr="00F55E9E">
        <w:rPr>
          <w:lang w:val="en-GB"/>
        </w:rPr>
        <w:t xml:space="preserve"> </w:t>
      </w:r>
      <w:r w:rsidR="00FC2D02">
        <w:rPr>
          <w:lang w:val="en-GB"/>
        </w:rPr>
        <w:t xml:space="preserve">UNDP </w:t>
      </w:r>
      <w:r w:rsidRPr="00F55E9E">
        <w:rPr>
          <w:lang w:val="en-GB"/>
        </w:rPr>
        <w:t>will consolidate g</w:t>
      </w:r>
      <w:r w:rsidR="000F6D34" w:rsidRPr="00F55E9E">
        <w:rPr>
          <w:lang w:val="en-GB"/>
        </w:rPr>
        <w:t xml:space="preserve">ains made on corrections </w:t>
      </w:r>
      <w:r w:rsidR="000F6D34">
        <w:rPr>
          <w:lang w:val="en-GB"/>
        </w:rPr>
        <w:t>reform</w:t>
      </w:r>
      <w:r w:rsidRPr="00F55E9E">
        <w:rPr>
          <w:lang w:val="en-GB"/>
        </w:rPr>
        <w:t xml:space="preserve">. </w:t>
      </w:r>
    </w:p>
    <w:p w14:paraId="1DA6CF6E" w14:textId="25DFC9F3" w:rsidR="00C63C2E" w:rsidRPr="00F55E9E" w:rsidRDefault="00C63C2E"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 xml:space="preserve">In coordination with </w:t>
      </w:r>
      <w:r w:rsidRPr="006E1805">
        <w:rPr>
          <w:lang w:val="en-GB"/>
        </w:rPr>
        <w:t>U</w:t>
      </w:r>
      <w:r w:rsidR="007077ED">
        <w:rPr>
          <w:lang w:val="en-GB"/>
        </w:rPr>
        <w:t xml:space="preserve">nited </w:t>
      </w:r>
      <w:r w:rsidRPr="006E1805">
        <w:rPr>
          <w:lang w:val="en-GB"/>
        </w:rPr>
        <w:t>N</w:t>
      </w:r>
      <w:r w:rsidR="007077ED">
        <w:rPr>
          <w:lang w:val="en-GB"/>
        </w:rPr>
        <w:t>ations</w:t>
      </w:r>
      <w:r w:rsidRPr="006E1805">
        <w:rPr>
          <w:lang w:val="en-GB"/>
        </w:rPr>
        <w:t xml:space="preserve"> </w:t>
      </w:r>
      <w:r w:rsidR="007077ED">
        <w:rPr>
          <w:lang w:val="en-GB"/>
        </w:rPr>
        <w:t>organizations</w:t>
      </w:r>
      <w:r w:rsidR="007077ED" w:rsidRPr="00F55E9E">
        <w:rPr>
          <w:lang w:val="en-GB"/>
        </w:rPr>
        <w:t xml:space="preserve"> </w:t>
      </w:r>
      <w:r w:rsidRPr="00F55E9E">
        <w:rPr>
          <w:lang w:val="en-GB"/>
        </w:rPr>
        <w:t>and the international commu</w:t>
      </w:r>
      <w:r w:rsidR="007077ED" w:rsidRPr="00F55E9E">
        <w:rPr>
          <w:lang w:val="en-GB"/>
        </w:rPr>
        <w:t xml:space="preserve">nity, UNDP will work with the </w:t>
      </w:r>
      <w:r w:rsidR="007077ED">
        <w:rPr>
          <w:lang w:val="en-GB"/>
        </w:rPr>
        <w:t>G</w:t>
      </w:r>
      <w:r w:rsidRPr="006E1805">
        <w:rPr>
          <w:lang w:val="en-GB"/>
        </w:rPr>
        <w:t>overnment</w:t>
      </w:r>
      <w:r w:rsidRPr="00F55E9E">
        <w:rPr>
          <w:lang w:val="en-GB"/>
        </w:rPr>
        <w:t xml:space="preserve"> to encourage compliance of domestic legislation with international laws and standards, enhance community-oriented policing to improve relations between police and communities, work with the South Sudan National Police Service on accountability mechanisms and civil oversight, and support expansion of legal aid services to women and vulnerable groups in targeted communities. The programme will be informed by the </w:t>
      </w:r>
      <w:r w:rsidRPr="006E1805">
        <w:rPr>
          <w:lang w:val="en-GB"/>
        </w:rPr>
        <w:t>U</w:t>
      </w:r>
      <w:r w:rsidR="007077ED">
        <w:rPr>
          <w:lang w:val="en-GB"/>
        </w:rPr>
        <w:t xml:space="preserve">nited </w:t>
      </w:r>
      <w:r w:rsidRPr="006E1805">
        <w:rPr>
          <w:lang w:val="en-GB"/>
        </w:rPr>
        <w:t>N</w:t>
      </w:r>
      <w:r w:rsidR="007077ED">
        <w:rPr>
          <w:lang w:val="en-GB"/>
        </w:rPr>
        <w:t>ations</w:t>
      </w:r>
      <w:r w:rsidR="007077ED" w:rsidRPr="00F55E9E">
        <w:rPr>
          <w:lang w:val="en-GB"/>
        </w:rPr>
        <w:t xml:space="preserve"> </w:t>
      </w:r>
      <w:r w:rsidRPr="00F55E9E">
        <w:rPr>
          <w:lang w:val="en-GB"/>
        </w:rPr>
        <w:t xml:space="preserve">Global Focal Point (GFP) </w:t>
      </w:r>
      <w:r w:rsidR="00F91AFF" w:rsidRPr="00F55E9E">
        <w:rPr>
          <w:lang w:val="en-GB"/>
        </w:rPr>
        <w:t xml:space="preserve">for </w:t>
      </w:r>
      <w:r w:rsidR="00F91AFF">
        <w:rPr>
          <w:lang w:val="en-GB"/>
        </w:rPr>
        <w:t>Police, Justice</w:t>
      </w:r>
      <w:r w:rsidR="00F91AFF" w:rsidRPr="00F55E9E">
        <w:rPr>
          <w:lang w:val="en-GB"/>
        </w:rPr>
        <w:t xml:space="preserve"> and </w:t>
      </w:r>
      <w:r w:rsidR="00F91AFF">
        <w:rPr>
          <w:lang w:val="en-GB"/>
        </w:rPr>
        <w:t>C</w:t>
      </w:r>
      <w:r w:rsidRPr="006E1805">
        <w:rPr>
          <w:lang w:val="en-GB"/>
        </w:rPr>
        <w:t xml:space="preserve">orrections </w:t>
      </w:r>
      <w:r w:rsidR="00F91AFF">
        <w:rPr>
          <w:lang w:val="en-GB"/>
        </w:rPr>
        <w:t>Areas,</w:t>
      </w:r>
      <w:r w:rsidR="00F91AFF" w:rsidRPr="00F55E9E">
        <w:rPr>
          <w:lang w:val="en-GB"/>
        </w:rPr>
        <w:t xml:space="preserve"> </w:t>
      </w:r>
      <w:r w:rsidRPr="00F55E9E">
        <w:rPr>
          <w:lang w:val="en-GB"/>
        </w:rPr>
        <w:t xml:space="preserve">and build on effective partnership with UNMISS and </w:t>
      </w:r>
      <w:r w:rsidRPr="006E1805">
        <w:rPr>
          <w:lang w:val="en-GB"/>
        </w:rPr>
        <w:t>U</w:t>
      </w:r>
      <w:r w:rsidR="00F91AFF">
        <w:rPr>
          <w:lang w:val="en-GB"/>
        </w:rPr>
        <w:t xml:space="preserve">nited </w:t>
      </w:r>
      <w:r w:rsidRPr="006E1805">
        <w:rPr>
          <w:lang w:val="en-GB"/>
        </w:rPr>
        <w:t>N</w:t>
      </w:r>
      <w:r w:rsidR="00F91AFF">
        <w:rPr>
          <w:lang w:val="en-GB"/>
        </w:rPr>
        <w:t>ations</w:t>
      </w:r>
      <w:r w:rsidRPr="006E1805">
        <w:rPr>
          <w:lang w:val="en-GB"/>
        </w:rPr>
        <w:t xml:space="preserve"> </w:t>
      </w:r>
      <w:r w:rsidR="00F91AFF">
        <w:rPr>
          <w:lang w:val="en-GB"/>
        </w:rPr>
        <w:t>organizations</w:t>
      </w:r>
      <w:r w:rsidR="00F91AFF" w:rsidRPr="00F55E9E">
        <w:rPr>
          <w:lang w:val="en-GB"/>
        </w:rPr>
        <w:t xml:space="preserve"> </w:t>
      </w:r>
      <w:r w:rsidRPr="00F55E9E">
        <w:rPr>
          <w:lang w:val="en-GB"/>
        </w:rPr>
        <w:t xml:space="preserve">through joint planning and programming. </w:t>
      </w:r>
    </w:p>
    <w:p w14:paraId="2908281D" w14:textId="15533689" w:rsidR="00C63C2E" w:rsidRPr="00F55E9E" w:rsidRDefault="00C63C2E"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 xml:space="preserve">Guided by </w:t>
      </w:r>
      <w:r w:rsidR="00F91AFF">
        <w:rPr>
          <w:lang w:val="en-GB"/>
        </w:rPr>
        <w:t>HLRF and National Dialogue</w:t>
      </w:r>
      <w:r w:rsidR="00F91AFF" w:rsidRPr="00F55E9E">
        <w:rPr>
          <w:lang w:val="en-GB"/>
        </w:rPr>
        <w:t xml:space="preserve"> </w:t>
      </w:r>
      <w:r w:rsidRPr="00F55E9E">
        <w:rPr>
          <w:lang w:val="en-GB"/>
        </w:rPr>
        <w:t>outcomes, UNDP will intensify support for governance reforms mandated by the peace agreement, and strengthen capacities of the National Constitutional Review Commission, electoral management body, civil society, media and rel</w:t>
      </w:r>
      <w:r w:rsidR="00F91AFF" w:rsidRPr="00F55E9E">
        <w:rPr>
          <w:lang w:val="en-GB"/>
        </w:rPr>
        <w:t>ated institutions for inclusive</w:t>
      </w:r>
      <w:r w:rsidR="00F91AFF">
        <w:rPr>
          <w:lang w:val="en-GB"/>
        </w:rPr>
        <w:t>,</w:t>
      </w:r>
      <w:r w:rsidR="00F91AFF" w:rsidRPr="00F55E9E">
        <w:rPr>
          <w:lang w:val="en-GB"/>
        </w:rPr>
        <w:t xml:space="preserve"> </w:t>
      </w:r>
      <w:r w:rsidRPr="00F55E9E">
        <w:rPr>
          <w:lang w:val="en-GB"/>
        </w:rPr>
        <w:t xml:space="preserve">credible constitutional review, elections and security sector reforms. UNDP will continue working with national and state legislative assemblies and political parties to strengthen </w:t>
      </w:r>
      <w:r w:rsidR="00F91AFF">
        <w:rPr>
          <w:lang w:val="en-GB"/>
        </w:rPr>
        <w:t>the p</w:t>
      </w:r>
      <w:r w:rsidRPr="006E1805">
        <w:rPr>
          <w:lang w:val="en-GB"/>
        </w:rPr>
        <w:t>arliament’s</w:t>
      </w:r>
      <w:r w:rsidRPr="00F55E9E">
        <w:rPr>
          <w:lang w:val="en-GB"/>
        </w:rPr>
        <w:t xml:space="preserve"> oversight, representative and legislative functions. </w:t>
      </w:r>
    </w:p>
    <w:p w14:paraId="66D62273" w14:textId="6FCCBE2F" w:rsidR="00C63C2E" w:rsidRPr="00F55E9E" w:rsidRDefault="00C63C2E"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 xml:space="preserve">Building on existing </w:t>
      </w:r>
      <w:r w:rsidR="000C5338" w:rsidRPr="00F55E9E">
        <w:rPr>
          <w:lang w:val="en-GB"/>
        </w:rPr>
        <w:t>collaborati</w:t>
      </w:r>
      <w:r w:rsidR="000C5338">
        <w:rPr>
          <w:lang w:val="en-GB"/>
        </w:rPr>
        <w:t>on</w:t>
      </w:r>
      <w:r w:rsidRPr="00F55E9E">
        <w:rPr>
          <w:lang w:val="en-GB"/>
        </w:rPr>
        <w:t xml:space="preserve"> with Norway and regional partners, UNDP will adopt a flexible approach towards improving public administration ca</w:t>
      </w:r>
      <w:r w:rsidR="00816250" w:rsidRPr="00F55E9E">
        <w:rPr>
          <w:lang w:val="en-GB"/>
        </w:rPr>
        <w:t xml:space="preserve">pacity through South-South and </w:t>
      </w:r>
      <w:r w:rsidR="00816250">
        <w:rPr>
          <w:lang w:val="en-GB"/>
        </w:rPr>
        <w:t>triangular c</w:t>
      </w:r>
      <w:r w:rsidRPr="006E1805">
        <w:rPr>
          <w:lang w:val="en-GB"/>
        </w:rPr>
        <w:t>ooperation.</w:t>
      </w:r>
      <w:r w:rsidRPr="00F55E9E">
        <w:rPr>
          <w:lang w:val="en-GB"/>
        </w:rPr>
        <w:t xml:space="preserve"> </w:t>
      </w:r>
    </w:p>
    <w:p w14:paraId="20429952" w14:textId="36651A08" w:rsidR="00C63C2E" w:rsidRPr="00F55E9E" w:rsidRDefault="00282C7E" w:rsidP="00F55E9E">
      <w:pPr>
        <w:keepNext/>
        <w:keepLines/>
        <w:spacing w:after="160"/>
        <w:ind w:right="1080"/>
        <w:rPr>
          <w:b/>
          <w:lang w:val="en-GB"/>
        </w:rPr>
      </w:pPr>
      <w:r w:rsidRPr="00F55E9E">
        <w:rPr>
          <w:b/>
          <w:lang w:val="en-GB"/>
        </w:rPr>
        <w:t>Pillar 2</w:t>
      </w:r>
      <w:r>
        <w:rPr>
          <w:b/>
          <w:bCs/>
          <w:lang w:val="en-GB"/>
        </w:rPr>
        <w:t>.</w:t>
      </w:r>
      <w:r w:rsidR="00C63C2E" w:rsidRPr="00F55E9E">
        <w:rPr>
          <w:b/>
          <w:lang w:val="en-GB"/>
        </w:rPr>
        <w:t xml:space="preserve"> Inclusive and risk informed economic development</w:t>
      </w:r>
    </w:p>
    <w:p w14:paraId="4CE2C2EE" w14:textId="0F91D8D3" w:rsidR="00C63C2E" w:rsidRPr="00F55E9E" w:rsidRDefault="008957DA"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 xml:space="preserve">In support of the </w:t>
      </w:r>
      <w:r>
        <w:rPr>
          <w:lang w:val="en-GB"/>
        </w:rPr>
        <w:t>Government’s</w:t>
      </w:r>
      <w:r w:rsidRPr="00F55E9E">
        <w:rPr>
          <w:lang w:val="en-GB"/>
        </w:rPr>
        <w:t xml:space="preserve"> efforts to </w:t>
      </w:r>
      <w:r>
        <w:rPr>
          <w:lang w:val="en-GB"/>
        </w:rPr>
        <w:t>stabiliz</w:t>
      </w:r>
      <w:r w:rsidR="00C63C2E" w:rsidRPr="006E1805">
        <w:rPr>
          <w:lang w:val="en-GB"/>
        </w:rPr>
        <w:t>e</w:t>
      </w:r>
      <w:r w:rsidR="00C63C2E" w:rsidRPr="00F55E9E">
        <w:rPr>
          <w:lang w:val="en-GB"/>
        </w:rPr>
        <w:t xml:space="preserve"> the economy, in line </w:t>
      </w:r>
      <w:r w:rsidR="00A82FFD">
        <w:rPr>
          <w:lang w:val="en-GB"/>
        </w:rPr>
        <w:t xml:space="preserve">with </w:t>
      </w:r>
      <w:r w:rsidR="00C63C2E" w:rsidRPr="00F55E9E">
        <w:rPr>
          <w:lang w:val="en-GB"/>
        </w:rPr>
        <w:t>UN</w:t>
      </w:r>
      <w:r w:rsidRPr="00F55E9E">
        <w:rPr>
          <w:lang w:val="en-GB"/>
        </w:rPr>
        <w:t xml:space="preserve">DP </w:t>
      </w:r>
      <w:r>
        <w:rPr>
          <w:lang w:val="en-GB"/>
        </w:rPr>
        <w:t>signature solution </w:t>
      </w:r>
      <w:r w:rsidRPr="00F55E9E">
        <w:rPr>
          <w:lang w:val="en-GB"/>
        </w:rPr>
        <w:t>3 (</w:t>
      </w:r>
      <w:r>
        <w:rPr>
          <w:lang w:val="en-GB"/>
        </w:rPr>
        <w:t>e</w:t>
      </w:r>
      <w:r w:rsidR="00C63C2E" w:rsidRPr="006E1805">
        <w:rPr>
          <w:lang w:val="en-GB"/>
        </w:rPr>
        <w:t>nhance</w:t>
      </w:r>
      <w:r w:rsidR="00C63C2E" w:rsidRPr="00F55E9E">
        <w:rPr>
          <w:lang w:val="en-GB"/>
        </w:rPr>
        <w:t xml:space="preserve"> prevention and recovery for resilient societies), the programme will strengthen institutional capaci</w:t>
      </w:r>
      <w:r w:rsidRPr="00F55E9E">
        <w:rPr>
          <w:lang w:val="en-GB"/>
        </w:rPr>
        <w:t>ty for participatory and gender</w:t>
      </w:r>
      <w:r>
        <w:rPr>
          <w:lang w:val="en-GB"/>
        </w:rPr>
        <w:t>-</w:t>
      </w:r>
      <w:r w:rsidRPr="00F55E9E">
        <w:rPr>
          <w:lang w:val="en-GB"/>
        </w:rPr>
        <w:t>responsive planning, budgeting and monitoring of risk</w:t>
      </w:r>
      <w:r>
        <w:rPr>
          <w:lang w:val="en-GB"/>
        </w:rPr>
        <w:t>-</w:t>
      </w:r>
      <w:r w:rsidR="00C63C2E" w:rsidRPr="00F55E9E">
        <w:rPr>
          <w:lang w:val="en-GB"/>
        </w:rPr>
        <w:t xml:space="preserve">resilient plans, policies and development strategies that support the achievement of the </w:t>
      </w:r>
      <w:r w:rsidR="00FA279D">
        <w:rPr>
          <w:lang w:val="en-GB"/>
        </w:rPr>
        <w:t>Goals</w:t>
      </w:r>
      <w:r w:rsidR="00C63C2E" w:rsidRPr="00F55E9E">
        <w:rPr>
          <w:lang w:val="en-GB"/>
        </w:rPr>
        <w:t xml:space="preserve">.  UNDP will work with the </w:t>
      </w:r>
      <w:r w:rsidR="00E442C4">
        <w:rPr>
          <w:lang w:val="en-GB"/>
        </w:rPr>
        <w:t>National Board of Statistics (</w:t>
      </w:r>
      <w:r w:rsidR="00C63C2E" w:rsidRPr="00F55E9E">
        <w:rPr>
          <w:lang w:val="en-GB"/>
        </w:rPr>
        <w:t>NBS</w:t>
      </w:r>
      <w:r w:rsidR="00E442C4">
        <w:rPr>
          <w:lang w:val="en-GB"/>
        </w:rPr>
        <w:t>)</w:t>
      </w:r>
      <w:r w:rsidR="00C63C2E" w:rsidRPr="00F55E9E">
        <w:rPr>
          <w:lang w:val="en-GB"/>
        </w:rPr>
        <w:t xml:space="preserve"> to enhance</w:t>
      </w:r>
      <w:r w:rsidR="00C63C2E" w:rsidRPr="006E1805">
        <w:rPr>
          <w:lang w:val="en-GB"/>
        </w:rPr>
        <w:t xml:space="preserve"> </w:t>
      </w:r>
      <w:r>
        <w:rPr>
          <w:lang w:val="en-GB"/>
        </w:rPr>
        <w:t>the</w:t>
      </w:r>
      <w:r w:rsidRPr="00F55E9E">
        <w:rPr>
          <w:lang w:val="en-GB"/>
        </w:rPr>
        <w:t xml:space="preserve"> </w:t>
      </w:r>
      <w:r w:rsidR="00C63C2E" w:rsidRPr="00F55E9E">
        <w:rPr>
          <w:lang w:val="en-GB"/>
        </w:rPr>
        <w:t>national statistic</w:t>
      </w:r>
      <w:r w:rsidR="00FC2D02">
        <w:rPr>
          <w:lang w:val="en-GB"/>
        </w:rPr>
        <w:t>al system and capacity for cost-</w:t>
      </w:r>
      <w:r w:rsidR="00C63C2E" w:rsidRPr="00F55E9E">
        <w:rPr>
          <w:lang w:val="en-GB"/>
        </w:rPr>
        <w:t xml:space="preserve">effective disaggregated data collection and analysis to inform policy development and  track progress towards national priorities and the </w:t>
      </w:r>
      <w:r w:rsidR="00FA279D">
        <w:rPr>
          <w:lang w:val="en-GB"/>
        </w:rPr>
        <w:t>Goals</w:t>
      </w:r>
      <w:r w:rsidR="00FC2D02">
        <w:rPr>
          <w:lang w:val="en-GB"/>
        </w:rPr>
        <w:t>.</w:t>
      </w:r>
      <w:r w:rsidR="00C63C2E" w:rsidRPr="00F55E9E">
        <w:rPr>
          <w:lang w:val="en-GB"/>
        </w:rPr>
        <w:t xml:space="preserve"> UNDP will work on improving aid effectiveness </w:t>
      </w:r>
      <w:r w:rsidR="00FC2D02">
        <w:rPr>
          <w:lang w:val="en-GB"/>
        </w:rPr>
        <w:t xml:space="preserve">for better </w:t>
      </w:r>
      <w:r w:rsidR="00C63C2E" w:rsidRPr="00F55E9E">
        <w:rPr>
          <w:lang w:val="en-GB"/>
        </w:rPr>
        <w:t xml:space="preserve">development cooperation, dialogue and accountability. </w:t>
      </w:r>
    </w:p>
    <w:p w14:paraId="0E054C01" w14:textId="4DD69D01" w:rsidR="00C63C2E" w:rsidRPr="00F55E9E" w:rsidRDefault="00C63C2E"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UNDP will work with state and community-level institutions to enhance inclus</w:t>
      </w:r>
      <w:r w:rsidR="008957DA" w:rsidRPr="00F55E9E">
        <w:rPr>
          <w:lang w:val="en-GB"/>
        </w:rPr>
        <w:t>ive, early warning and disaster</w:t>
      </w:r>
      <w:r w:rsidR="008957DA">
        <w:rPr>
          <w:lang w:val="en-GB"/>
        </w:rPr>
        <w:t>-</w:t>
      </w:r>
      <w:r w:rsidRPr="00F55E9E">
        <w:rPr>
          <w:lang w:val="en-GB"/>
        </w:rPr>
        <w:t xml:space="preserve">response capacities. Using its strong decentralized presence, UNDP will promote transparent decision-making processes </w:t>
      </w:r>
      <w:r w:rsidR="008957DA">
        <w:rPr>
          <w:lang w:val="en-GB"/>
        </w:rPr>
        <w:t>for</w:t>
      </w:r>
      <w:r w:rsidR="008957DA" w:rsidRPr="00F55E9E">
        <w:rPr>
          <w:lang w:val="en-GB"/>
        </w:rPr>
        <w:t xml:space="preserve"> </w:t>
      </w:r>
      <w:r w:rsidRPr="00F55E9E">
        <w:rPr>
          <w:lang w:val="en-GB"/>
        </w:rPr>
        <w:t>natural resources and land management through more inclu</w:t>
      </w:r>
      <w:r w:rsidR="008957DA" w:rsidRPr="00F55E9E">
        <w:rPr>
          <w:lang w:val="en-GB"/>
        </w:rPr>
        <w:t>sive</w:t>
      </w:r>
      <w:r w:rsidR="008957DA">
        <w:rPr>
          <w:lang w:val="en-GB"/>
        </w:rPr>
        <w:t>,</w:t>
      </w:r>
      <w:r w:rsidR="008957DA" w:rsidRPr="00F55E9E">
        <w:rPr>
          <w:lang w:val="en-GB"/>
        </w:rPr>
        <w:t xml:space="preserve"> evidence</w:t>
      </w:r>
      <w:r w:rsidR="008957DA">
        <w:rPr>
          <w:lang w:val="en-GB"/>
        </w:rPr>
        <w:t>-</w:t>
      </w:r>
      <w:r w:rsidRPr="00F55E9E">
        <w:rPr>
          <w:lang w:val="en-GB"/>
        </w:rPr>
        <w:t>based local planning processes</w:t>
      </w:r>
      <w:r w:rsidR="008957DA" w:rsidRPr="00F55E9E">
        <w:rPr>
          <w:lang w:val="en-GB"/>
        </w:rPr>
        <w:t xml:space="preserve"> to reduce the risk of resource</w:t>
      </w:r>
      <w:r w:rsidR="008957DA">
        <w:rPr>
          <w:lang w:val="en-GB"/>
        </w:rPr>
        <w:t>-</w:t>
      </w:r>
      <w:r w:rsidRPr="00F55E9E">
        <w:rPr>
          <w:lang w:val="en-GB"/>
        </w:rPr>
        <w:t xml:space="preserve">based conflict and vulnerability to shocks. </w:t>
      </w:r>
      <w:r w:rsidR="00BC063E">
        <w:rPr>
          <w:lang w:val="en-GB"/>
        </w:rPr>
        <w:t>Here</w:t>
      </w:r>
      <w:r w:rsidR="00A82FFD">
        <w:rPr>
          <w:lang w:val="en-GB"/>
        </w:rPr>
        <w:t xml:space="preserve">, UNDP </w:t>
      </w:r>
      <w:r w:rsidR="008957DA" w:rsidRPr="00F55E9E">
        <w:rPr>
          <w:lang w:val="en-GB"/>
        </w:rPr>
        <w:t xml:space="preserve"> will </w:t>
      </w:r>
      <w:r w:rsidR="008957DA">
        <w:rPr>
          <w:lang w:val="en-GB"/>
        </w:rPr>
        <w:t>explore p</w:t>
      </w:r>
      <w:r w:rsidRPr="006E1805">
        <w:rPr>
          <w:lang w:val="en-GB"/>
        </w:rPr>
        <w:t>artnerships</w:t>
      </w:r>
      <w:r w:rsidRPr="00F55E9E">
        <w:rPr>
          <w:lang w:val="en-GB"/>
        </w:rPr>
        <w:t xml:space="preserve"> with </w:t>
      </w:r>
      <w:r w:rsidR="008957DA">
        <w:rPr>
          <w:lang w:val="en-GB"/>
        </w:rPr>
        <w:t>Japan</w:t>
      </w:r>
      <w:r w:rsidR="008957DA" w:rsidRPr="00F55E9E">
        <w:rPr>
          <w:lang w:val="en-GB"/>
        </w:rPr>
        <w:t xml:space="preserve">, </w:t>
      </w:r>
      <w:r w:rsidRPr="00F55E9E">
        <w:rPr>
          <w:lang w:val="en-GB"/>
        </w:rPr>
        <w:t xml:space="preserve">Norway and </w:t>
      </w:r>
      <w:r w:rsidR="008957DA">
        <w:rPr>
          <w:lang w:val="en-GB"/>
        </w:rPr>
        <w:t>Sweden</w:t>
      </w:r>
      <w:r w:rsidR="00A82FFD">
        <w:rPr>
          <w:lang w:val="en-GB"/>
        </w:rPr>
        <w:t>.</w:t>
      </w:r>
    </w:p>
    <w:p w14:paraId="53D505B4" w14:textId="3DB9B5B0" w:rsidR="00C63C2E" w:rsidRPr="00F55E9E" w:rsidRDefault="008957DA" w:rsidP="00F55E9E">
      <w:pPr>
        <w:keepNext/>
        <w:keepLines/>
        <w:spacing w:after="160"/>
        <w:ind w:right="1080"/>
        <w:rPr>
          <w:b/>
          <w:lang w:val="en-GB"/>
        </w:rPr>
      </w:pPr>
      <w:r w:rsidRPr="00F55E9E">
        <w:rPr>
          <w:b/>
          <w:lang w:val="en-GB"/>
        </w:rPr>
        <w:lastRenderedPageBreak/>
        <w:t>Pillar 3</w:t>
      </w:r>
      <w:r>
        <w:rPr>
          <w:b/>
          <w:bCs/>
          <w:lang w:val="en-GB"/>
        </w:rPr>
        <w:t>.</w:t>
      </w:r>
      <w:r w:rsidR="00C63C2E" w:rsidRPr="00F55E9E">
        <w:rPr>
          <w:b/>
          <w:lang w:val="en-GB"/>
        </w:rPr>
        <w:t xml:space="preserve"> Strengthened institutional and community resilience</w:t>
      </w:r>
      <w:r w:rsidR="0089471E">
        <w:rPr>
          <w:b/>
          <w:bCs/>
          <w:lang w:val="en-GB"/>
        </w:rPr>
        <w:t xml:space="preserve"> </w:t>
      </w:r>
    </w:p>
    <w:p w14:paraId="33F55F62" w14:textId="1DA48812" w:rsidR="00C63C2E" w:rsidRPr="00F55E9E" w:rsidRDefault="00C63C2E"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 xml:space="preserve">In </w:t>
      </w:r>
      <w:r w:rsidR="0089471E">
        <w:rPr>
          <w:lang w:val="en-GB"/>
        </w:rPr>
        <w:t xml:space="preserve">line </w:t>
      </w:r>
      <w:r w:rsidRPr="00F55E9E">
        <w:rPr>
          <w:lang w:val="en-GB"/>
        </w:rPr>
        <w:t xml:space="preserve">with </w:t>
      </w:r>
      <w:r w:rsidR="0089471E">
        <w:rPr>
          <w:lang w:val="en-GB"/>
        </w:rPr>
        <w:t>signature solution</w:t>
      </w:r>
      <w:r w:rsidR="0089471E" w:rsidRPr="00F55E9E">
        <w:rPr>
          <w:lang w:val="en-GB"/>
        </w:rPr>
        <w:t xml:space="preserve"> 1 (</w:t>
      </w:r>
      <w:r w:rsidR="0089471E">
        <w:rPr>
          <w:lang w:val="en-GB"/>
        </w:rPr>
        <w:t>k</w:t>
      </w:r>
      <w:r w:rsidRPr="006E1805">
        <w:rPr>
          <w:lang w:val="en-GB"/>
        </w:rPr>
        <w:t>eeping</w:t>
      </w:r>
      <w:r w:rsidRPr="00F55E9E">
        <w:rPr>
          <w:lang w:val="en-GB"/>
        </w:rPr>
        <w:t xml:space="preserve"> people out of poverty), the programme will complement </w:t>
      </w:r>
      <w:r w:rsidR="0089471E">
        <w:rPr>
          <w:lang w:val="en-GB"/>
        </w:rPr>
        <w:t>the G</w:t>
      </w:r>
      <w:r w:rsidRPr="006E1805">
        <w:rPr>
          <w:lang w:val="en-GB"/>
        </w:rPr>
        <w:t>overnment’s</w:t>
      </w:r>
      <w:r w:rsidRPr="00F55E9E">
        <w:rPr>
          <w:lang w:val="en-GB"/>
        </w:rPr>
        <w:t xml:space="preserve"> and </w:t>
      </w:r>
      <w:r w:rsidRPr="006E1805">
        <w:rPr>
          <w:lang w:val="en-GB"/>
        </w:rPr>
        <w:t>U</w:t>
      </w:r>
      <w:r w:rsidR="0089471E">
        <w:rPr>
          <w:lang w:val="en-GB"/>
        </w:rPr>
        <w:t xml:space="preserve">nited </w:t>
      </w:r>
      <w:r w:rsidRPr="006E1805">
        <w:rPr>
          <w:lang w:val="en-GB"/>
        </w:rPr>
        <w:t>N</w:t>
      </w:r>
      <w:r w:rsidR="0089471E">
        <w:rPr>
          <w:lang w:val="en-GB"/>
        </w:rPr>
        <w:t>ations</w:t>
      </w:r>
      <w:r w:rsidRPr="006E1805">
        <w:rPr>
          <w:lang w:val="en-GB"/>
        </w:rPr>
        <w:t xml:space="preserve"> </w:t>
      </w:r>
      <w:r w:rsidRPr="00F55E9E">
        <w:rPr>
          <w:lang w:val="en-GB"/>
        </w:rPr>
        <w:t>efforts to expand access to climate-resilient livelihoods, improve food security, create local economic opportunities that provide tangib</w:t>
      </w:r>
      <w:r w:rsidR="006957F2">
        <w:rPr>
          <w:lang w:val="en-GB"/>
        </w:rPr>
        <w:t>le peace dividends to citizens,</w:t>
      </w:r>
      <w:r w:rsidRPr="00F55E9E">
        <w:rPr>
          <w:lang w:val="en-GB"/>
        </w:rPr>
        <w:t xml:space="preserve"> and </w:t>
      </w:r>
      <w:r w:rsidRPr="00F55E9E">
        <w:rPr>
          <w:rFonts w:eastAsia="Calibri"/>
          <w:lang w:val="en-GB"/>
        </w:rPr>
        <w:t>create</w:t>
      </w:r>
      <w:r w:rsidRPr="00F55E9E">
        <w:rPr>
          <w:lang w:val="en-GB"/>
        </w:rPr>
        <w:t xml:space="preserve"> decent jobs, particularly for women and youth in the states. As a lead </w:t>
      </w:r>
      <w:r w:rsidR="006957F2">
        <w:rPr>
          <w:lang w:val="en-GB"/>
        </w:rPr>
        <w:t xml:space="preserve">organization </w:t>
      </w:r>
      <w:r w:rsidRPr="00F55E9E">
        <w:rPr>
          <w:lang w:val="en-GB"/>
        </w:rPr>
        <w:t xml:space="preserve">in the </w:t>
      </w:r>
      <w:r w:rsidRPr="006E1805">
        <w:rPr>
          <w:lang w:val="en-GB"/>
        </w:rPr>
        <w:t>U</w:t>
      </w:r>
      <w:r w:rsidR="0089471E">
        <w:rPr>
          <w:lang w:val="en-GB"/>
        </w:rPr>
        <w:t xml:space="preserve">nited </w:t>
      </w:r>
      <w:r w:rsidRPr="006E1805">
        <w:rPr>
          <w:lang w:val="en-GB"/>
        </w:rPr>
        <w:t>N</w:t>
      </w:r>
      <w:r w:rsidR="0089471E">
        <w:rPr>
          <w:lang w:val="en-GB"/>
        </w:rPr>
        <w:t>ations</w:t>
      </w:r>
      <w:r w:rsidRPr="00F55E9E">
        <w:rPr>
          <w:lang w:val="en-GB"/>
        </w:rPr>
        <w:t xml:space="preserve"> joint recovery and resilience programme, and in partnership with </w:t>
      </w:r>
      <w:r w:rsidR="0089471E">
        <w:rPr>
          <w:lang w:val="en-GB"/>
        </w:rPr>
        <w:t xml:space="preserve">Canada, Germany, </w:t>
      </w:r>
      <w:r w:rsidRPr="00F55E9E">
        <w:rPr>
          <w:lang w:val="en-GB"/>
        </w:rPr>
        <w:t xml:space="preserve">Japan, </w:t>
      </w:r>
      <w:r w:rsidR="0089471E">
        <w:rPr>
          <w:lang w:val="en-GB"/>
        </w:rPr>
        <w:t>the</w:t>
      </w:r>
      <w:r w:rsidR="0089471E" w:rsidRPr="00F55E9E">
        <w:rPr>
          <w:lang w:val="en-GB"/>
        </w:rPr>
        <w:t xml:space="preserve"> </w:t>
      </w:r>
      <w:r w:rsidRPr="00F55E9E">
        <w:rPr>
          <w:lang w:val="en-GB"/>
        </w:rPr>
        <w:t xml:space="preserve">Netherlands, </w:t>
      </w:r>
      <w:r w:rsidR="0089471E">
        <w:rPr>
          <w:lang w:val="en-GB"/>
        </w:rPr>
        <w:t>the United States Agency for International Development (USAID)</w:t>
      </w:r>
      <w:r w:rsidR="0089471E" w:rsidRPr="00F55E9E">
        <w:rPr>
          <w:lang w:val="en-GB"/>
        </w:rPr>
        <w:t xml:space="preserve"> </w:t>
      </w:r>
      <w:r w:rsidRPr="00F55E9E">
        <w:rPr>
          <w:lang w:val="en-GB"/>
        </w:rPr>
        <w:t>and other</w:t>
      </w:r>
      <w:r w:rsidR="00BC063E">
        <w:rPr>
          <w:lang w:val="en-GB"/>
        </w:rPr>
        <w:t>s</w:t>
      </w:r>
      <w:r w:rsidRPr="00F55E9E">
        <w:rPr>
          <w:lang w:val="en-GB"/>
        </w:rPr>
        <w:t>, UNDP will scal</w:t>
      </w:r>
      <w:r w:rsidR="0089471E" w:rsidRPr="00F55E9E">
        <w:rPr>
          <w:lang w:val="en-GB"/>
        </w:rPr>
        <w:t>e up interventions on community</w:t>
      </w:r>
      <w:r w:rsidR="0089471E">
        <w:rPr>
          <w:lang w:val="en-GB"/>
        </w:rPr>
        <w:t>-</w:t>
      </w:r>
      <w:r w:rsidRPr="00F55E9E">
        <w:rPr>
          <w:lang w:val="en-GB"/>
        </w:rPr>
        <w:t>based resilience</w:t>
      </w:r>
      <w:r w:rsidR="0089471E">
        <w:rPr>
          <w:lang w:val="en-GB"/>
        </w:rPr>
        <w:t>,</w:t>
      </w:r>
      <w:r w:rsidRPr="00F55E9E">
        <w:rPr>
          <w:lang w:val="en-GB"/>
        </w:rPr>
        <w:t xml:space="preserve"> including support to market-linked livelihood skills, inclusive business enterprise development and promotion of viable agricultural value chains, especially for women, including agri-business supplier development programmes to strengthen linkages between agricultural companies and small holder farmers. </w:t>
      </w:r>
    </w:p>
    <w:p w14:paraId="18C52C57" w14:textId="6F5E070F" w:rsidR="00C63C2E" w:rsidRPr="00F55E9E" w:rsidRDefault="00C63C2E"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UNDP will strengthen the capacity of micr</w:t>
      </w:r>
      <w:r w:rsidR="006957F2">
        <w:rPr>
          <w:lang w:val="en-GB"/>
        </w:rPr>
        <w:t>o, small and medium enterprises</w:t>
      </w:r>
      <w:r w:rsidRPr="00F55E9E">
        <w:rPr>
          <w:lang w:val="en-GB"/>
        </w:rPr>
        <w:t xml:space="preserve"> to integrate in key agricultural value chains</w:t>
      </w:r>
      <w:r w:rsidR="0089471E">
        <w:rPr>
          <w:lang w:val="en-GB"/>
        </w:rPr>
        <w:t>,</w:t>
      </w:r>
      <w:r w:rsidRPr="00F55E9E">
        <w:rPr>
          <w:lang w:val="en-GB"/>
        </w:rPr>
        <w:t xml:space="preserve"> particularly those run by youth and women</w:t>
      </w:r>
      <w:r w:rsidR="00BC063E">
        <w:rPr>
          <w:lang w:val="en-GB"/>
        </w:rPr>
        <w:t>,</w:t>
      </w:r>
      <w:r w:rsidRPr="00F55E9E">
        <w:rPr>
          <w:lang w:val="en-GB"/>
        </w:rPr>
        <w:t xml:space="preserve"> through enhanced access to business development services, credit, vocational and livelihoods skills development. With support from the Enhanced Integrated Framework for Trade Related Assistance for Least Developed Countries, UNDP will </w:t>
      </w:r>
      <w:r w:rsidR="00BC063E">
        <w:rPr>
          <w:lang w:val="en-GB"/>
        </w:rPr>
        <w:t xml:space="preserve">help </w:t>
      </w:r>
      <w:r w:rsidRPr="00F55E9E">
        <w:rPr>
          <w:lang w:val="en-GB"/>
        </w:rPr>
        <w:t xml:space="preserve">improve trade competitiveness and access to domestic and regional markets.  </w:t>
      </w:r>
    </w:p>
    <w:p w14:paraId="25A86ED1" w14:textId="317322A6" w:rsidR="00C63C2E" w:rsidRPr="00F55E9E" w:rsidRDefault="00C63C2E"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 xml:space="preserve">The programme will strengthen economic oversight to restore credibility and confidence in </w:t>
      </w:r>
      <w:r w:rsidR="0089471E">
        <w:rPr>
          <w:lang w:val="en-GB"/>
        </w:rPr>
        <w:t>public financial management</w:t>
      </w:r>
      <w:r w:rsidRPr="006E1805">
        <w:rPr>
          <w:lang w:val="en-GB"/>
        </w:rPr>
        <w:t>.</w:t>
      </w:r>
      <w:r w:rsidRPr="00F55E9E">
        <w:rPr>
          <w:lang w:val="en-GB"/>
        </w:rPr>
        <w:t xml:space="preserve"> UNDP will support reinvigoration of the local economy by contributing to </w:t>
      </w:r>
      <w:r w:rsidRPr="006E1805">
        <w:rPr>
          <w:lang w:val="en-GB"/>
        </w:rPr>
        <w:t>har</w:t>
      </w:r>
      <w:r w:rsidR="00866C1E">
        <w:rPr>
          <w:lang w:val="en-GB"/>
        </w:rPr>
        <w:t>moniz</w:t>
      </w:r>
      <w:r w:rsidRPr="006E1805">
        <w:rPr>
          <w:lang w:val="en-GB"/>
        </w:rPr>
        <w:t>ed</w:t>
      </w:r>
      <w:r w:rsidR="00866C1E" w:rsidRPr="00F55E9E">
        <w:rPr>
          <w:lang w:val="en-GB"/>
        </w:rPr>
        <w:t xml:space="preserve"> state tax systems, an improved</w:t>
      </w:r>
      <w:r w:rsidR="00866C1E">
        <w:rPr>
          <w:lang w:val="en-GB"/>
        </w:rPr>
        <w:t>,</w:t>
      </w:r>
      <w:r w:rsidR="00866C1E" w:rsidRPr="00F55E9E">
        <w:rPr>
          <w:lang w:val="en-GB"/>
        </w:rPr>
        <w:t xml:space="preserve"> </w:t>
      </w:r>
      <w:r w:rsidRPr="00F55E9E">
        <w:rPr>
          <w:lang w:val="en-GB"/>
        </w:rPr>
        <w:t>diversified state revenue base, expansion of fiscal s</w:t>
      </w:r>
      <w:r w:rsidR="00866C1E" w:rsidRPr="00F55E9E">
        <w:rPr>
          <w:lang w:val="en-GB"/>
        </w:rPr>
        <w:t xml:space="preserve">pace and more transparent </w:t>
      </w:r>
      <w:r w:rsidR="00866C1E">
        <w:rPr>
          <w:lang w:val="en-GB"/>
        </w:rPr>
        <w:t>utiliz</w:t>
      </w:r>
      <w:r w:rsidRPr="006E1805">
        <w:rPr>
          <w:lang w:val="en-GB"/>
        </w:rPr>
        <w:t>ation</w:t>
      </w:r>
      <w:r w:rsidRPr="00F55E9E">
        <w:rPr>
          <w:lang w:val="en-GB"/>
        </w:rPr>
        <w:t xml:space="preserve"> of public resources. UNDP will work with </w:t>
      </w:r>
      <w:r w:rsidR="00866C1E">
        <w:rPr>
          <w:lang w:val="en-GB"/>
        </w:rPr>
        <w:t xml:space="preserve">the </w:t>
      </w:r>
      <w:r w:rsidRPr="006E1805">
        <w:rPr>
          <w:lang w:val="en-GB"/>
        </w:rPr>
        <w:t>Africa</w:t>
      </w:r>
      <w:r w:rsidR="00866C1E">
        <w:rPr>
          <w:lang w:val="en-GB"/>
        </w:rPr>
        <w:t>n</w:t>
      </w:r>
      <w:r w:rsidR="00866C1E" w:rsidRPr="00F55E9E">
        <w:rPr>
          <w:lang w:val="en-GB"/>
        </w:rPr>
        <w:t xml:space="preserve"> Development Bank</w:t>
      </w:r>
      <w:r w:rsidR="00866C1E">
        <w:rPr>
          <w:lang w:val="en-GB"/>
        </w:rPr>
        <w:t xml:space="preserve"> and</w:t>
      </w:r>
      <w:r w:rsidR="00866C1E" w:rsidRPr="00F55E9E">
        <w:rPr>
          <w:lang w:val="en-GB"/>
        </w:rPr>
        <w:t xml:space="preserve"> </w:t>
      </w:r>
      <w:r w:rsidRPr="00F55E9E">
        <w:rPr>
          <w:lang w:val="en-GB"/>
        </w:rPr>
        <w:t xml:space="preserve">Japan and seek partnerships with the World Bank and </w:t>
      </w:r>
      <w:r w:rsidR="00BC063E">
        <w:rPr>
          <w:lang w:val="en-GB"/>
        </w:rPr>
        <w:t>bilateral/</w:t>
      </w:r>
      <w:r w:rsidRPr="00F55E9E">
        <w:rPr>
          <w:lang w:val="en-GB"/>
        </w:rPr>
        <w:t>multilateral donors.</w:t>
      </w:r>
    </w:p>
    <w:p w14:paraId="2A200B78" w14:textId="40813C88" w:rsidR="00C63C2E" w:rsidRPr="00F55E9E" w:rsidRDefault="00C63C2E"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UNDP will spearhead initiatives towards disaster risk reduction and sustainable management of natural resources as a contribution to livelihood diversification and poverty reduction. The development and implementation of climate change adaptation strategies</w:t>
      </w:r>
      <w:r w:rsidR="00866C1E">
        <w:rPr>
          <w:lang w:val="en-GB"/>
        </w:rPr>
        <w:t>,</w:t>
      </w:r>
      <w:r w:rsidRPr="00F55E9E">
        <w:rPr>
          <w:lang w:val="en-GB"/>
        </w:rPr>
        <w:t xml:space="preserve"> including expanding access to climate resilient and green technology</w:t>
      </w:r>
      <w:r w:rsidR="00866C1E">
        <w:rPr>
          <w:lang w:val="en-GB"/>
        </w:rPr>
        <w:t>,</w:t>
      </w:r>
      <w:r w:rsidRPr="00F55E9E">
        <w:rPr>
          <w:lang w:val="en-GB"/>
        </w:rPr>
        <w:t xml:space="preserve"> will stimulate diversification of livelihoods and reduce environmental pressures. In partnership with national stakeholder institutions, </w:t>
      </w:r>
      <w:r w:rsidR="00866C1E">
        <w:rPr>
          <w:lang w:val="en-GB"/>
        </w:rPr>
        <w:t>the Food and Agriculture Organization of the United Nations (</w:t>
      </w:r>
      <w:r w:rsidRPr="006E1805">
        <w:rPr>
          <w:lang w:val="en-GB"/>
        </w:rPr>
        <w:t>FAO</w:t>
      </w:r>
      <w:r w:rsidR="00866C1E">
        <w:rPr>
          <w:lang w:val="en-GB"/>
        </w:rPr>
        <w:t>)</w:t>
      </w:r>
      <w:r w:rsidRPr="006E1805">
        <w:rPr>
          <w:lang w:val="en-GB"/>
        </w:rPr>
        <w:t xml:space="preserve">, </w:t>
      </w:r>
      <w:r w:rsidR="00866C1E">
        <w:rPr>
          <w:lang w:val="en-GB"/>
        </w:rPr>
        <w:t>the United Nations Environment Programme (</w:t>
      </w:r>
      <w:r w:rsidRPr="006E1805">
        <w:rPr>
          <w:lang w:val="en-GB"/>
        </w:rPr>
        <w:t>UNEP</w:t>
      </w:r>
      <w:r w:rsidR="00866C1E">
        <w:rPr>
          <w:lang w:val="en-GB"/>
        </w:rPr>
        <w:t>)</w:t>
      </w:r>
      <w:r w:rsidRPr="006E1805">
        <w:rPr>
          <w:lang w:val="en-GB"/>
        </w:rPr>
        <w:t xml:space="preserve"> and </w:t>
      </w:r>
      <w:r w:rsidR="00866C1E">
        <w:rPr>
          <w:lang w:val="en-GB"/>
        </w:rPr>
        <w:t>the World Food Programme (</w:t>
      </w:r>
      <w:r w:rsidRPr="006E1805">
        <w:rPr>
          <w:lang w:val="en-GB"/>
        </w:rPr>
        <w:t>WFP</w:t>
      </w:r>
      <w:r w:rsidR="00866C1E">
        <w:rPr>
          <w:lang w:val="en-GB"/>
        </w:rPr>
        <w:t>)</w:t>
      </w:r>
      <w:r w:rsidRPr="006E1805">
        <w:rPr>
          <w:lang w:val="en-GB"/>
        </w:rPr>
        <w:t>,</w:t>
      </w:r>
      <w:r w:rsidRPr="00F55E9E">
        <w:rPr>
          <w:lang w:val="en-GB"/>
        </w:rPr>
        <w:t xml:space="preserve"> UNDP will engage global financing mechanisms such as the Global Environment Facility (GEF) and Green Climate Fund (GCF) to support climate resilient agricultural technologies, including sustainable water provision for smallholder farmers through harvesting and small-scale irrigation. </w:t>
      </w:r>
    </w:p>
    <w:p w14:paraId="07B48BE7" w14:textId="54B0D470" w:rsidR="00C63C2E" w:rsidRPr="00F55E9E" w:rsidRDefault="00C63C2E"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 xml:space="preserve">To address negative impacts of environmental degradation on the poor and women and children, the programme will promote access to </w:t>
      </w:r>
      <w:r w:rsidR="00EF0097" w:rsidRPr="00F55E9E">
        <w:rPr>
          <w:lang w:val="en-GB"/>
        </w:rPr>
        <w:t>clean energy through affordable</w:t>
      </w:r>
      <w:r w:rsidR="00EF0097">
        <w:rPr>
          <w:lang w:val="en-GB"/>
        </w:rPr>
        <w:t>,</w:t>
      </w:r>
      <w:r w:rsidR="00EF0097" w:rsidRPr="00F55E9E">
        <w:rPr>
          <w:lang w:val="en-GB"/>
        </w:rPr>
        <w:t xml:space="preserve"> </w:t>
      </w:r>
      <w:r w:rsidRPr="00F55E9E">
        <w:rPr>
          <w:lang w:val="en-GB"/>
        </w:rPr>
        <w:t xml:space="preserve">energy-efficient solutions at household and community </w:t>
      </w:r>
      <w:r w:rsidRPr="00F55E9E">
        <w:rPr>
          <w:rFonts w:eastAsia="Calibri"/>
          <w:lang w:val="en-GB"/>
        </w:rPr>
        <w:t>levels in collaboration with the Inclusive Business Ecosystem Initiative. This will r</w:t>
      </w:r>
      <w:r w:rsidRPr="00F55E9E">
        <w:rPr>
          <w:lang w:val="en-GB"/>
        </w:rPr>
        <w:t xml:space="preserve">educe the pace of </w:t>
      </w:r>
      <w:r w:rsidR="00BC063E">
        <w:rPr>
          <w:lang w:val="en-GB"/>
        </w:rPr>
        <w:t xml:space="preserve">degradation of forest resources, </w:t>
      </w:r>
      <w:r w:rsidRPr="00F55E9E">
        <w:rPr>
          <w:lang w:val="en-GB"/>
        </w:rPr>
        <w:t xml:space="preserve">time spent by women and children accessing biomass for fuel and lighting, </w:t>
      </w:r>
      <w:r w:rsidR="00BC063E">
        <w:rPr>
          <w:lang w:val="en-GB"/>
        </w:rPr>
        <w:t xml:space="preserve">and </w:t>
      </w:r>
      <w:r w:rsidRPr="00F55E9E">
        <w:rPr>
          <w:lang w:val="en-GB"/>
        </w:rPr>
        <w:t>emissions from fossil fuel powered electricity generation.</w:t>
      </w:r>
    </w:p>
    <w:p w14:paraId="1B96B523" w14:textId="12345BC1" w:rsidR="00C63C2E" w:rsidRPr="00F55E9E" w:rsidRDefault="00EF0097"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 xml:space="preserve">As </w:t>
      </w:r>
      <w:r>
        <w:rPr>
          <w:lang w:val="en-GB"/>
        </w:rPr>
        <w:t>p</w:t>
      </w:r>
      <w:r w:rsidR="00C63C2E" w:rsidRPr="006E1805">
        <w:rPr>
          <w:lang w:val="en-GB"/>
        </w:rPr>
        <w:t>rin</w:t>
      </w:r>
      <w:r>
        <w:rPr>
          <w:lang w:val="en-GB"/>
        </w:rPr>
        <w:t>cipal recipient of</w:t>
      </w:r>
      <w:r w:rsidRPr="00F55E9E">
        <w:rPr>
          <w:lang w:val="en-GB"/>
        </w:rPr>
        <w:t xml:space="preserve"> HIV and </w:t>
      </w:r>
      <w:r>
        <w:rPr>
          <w:lang w:val="en-GB"/>
        </w:rPr>
        <w:t>t</w:t>
      </w:r>
      <w:r w:rsidR="00C63C2E" w:rsidRPr="006E1805">
        <w:rPr>
          <w:lang w:val="en-GB"/>
        </w:rPr>
        <w:t>uberculosis</w:t>
      </w:r>
      <w:r w:rsidR="00C63C2E" w:rsidRPr="00F55E9E">
        <w:rPr>
          <w:lang w:val="en-GB"/>
        </w:rPr>
        <w:t xml:space="preserve"> grants financed by the Global Fund, UNDP will build on gains secured from previous interventions to reduce new HIV infections and deaths. The HIV grant will increase access to quality HIV care and treatment, create a sustainable environment of intensified HIV prevention, treatment and care services, strengthen health system and health workforce, promote behavioural change programmes for </w:t>
      </w:r>
      <w:r>
        <w:rPr>
          <w:lang w:val="en-GB"/>
        </w:rPr>
        <w:t xml:space="preserve">the </w:t>
      </w:r>
      <w:r w:rsidR="00C63C2E" w:rsidRPr="00F55E9E">
        <w:rPr>
          <w:lang w:val="en-GB"/>
        </w:rPr>
        <w:t xml:space="preserve">general population, strengthen logistics supply </w:t>
      </w:r>
      <w:r w:rsidR="00C63C2E" w:rsidRPr="006E1805">
        <w:rPr>
          <w:lang w:val="en-GB"/>
        </w:rPr>
        <w:t>system</w:t>
      </w:r>
      <w:r>
        <w:rPr>
          <w:lang w:val="en-GB"/>
        </w:rPr>
        <w:t>s</w:t>
      </w:r>
      <w:r w:rsidR="00C63C2E" w:rsidRPr="00F55E9E">
        <w:rPr>
          <w:lang w:val="en-GB"/>
        </w:rPr>
        <w:t xml:space="preserve"> to ensure availability of essential commodities, conduct renovation of infrastructures,</w:t>
      </w:r>
      <w:r w:rsidR="00C63C2E" w:rsidRPr="006E1805">
        <w:rPr>
          <w:lang w:val="en-GB"/>
        </w:rPr>
        <w:t xml:space="preserve"> </w:t>
      </w:r>
      <w:r>
        <w:rPr>
          <w:lang w:val="en-GB"/>
        </w:rPr>
        <w:t>and</w:t>
      </w:r>
      <w:r w:rsidRPr="00F55E9E">
        <w:rPr>
          <w:lang w:val="en-GB"/>
        </w:rPr>
        <w:t xml:space="preserve"> </w:t>
      </w:r>
      <w:r w:rsidR="00C63C2E" w:rsidRPr="00F55E9E">
        <w:rPr>
          <w:lang w:val="en-GB"/>
        </w:rPr>
        <w:t xml:space="preserve">scale up community engagement and linkages through community health workers. </w:t>
      </w:r>
    </w:p>
    <w:p w14:paraId="3C2F9C4C" w14:textId="0D9F6F52" w:rsidR="00C63C2E" w:rsidRPr="00F55E9E" w:rsidRDefault="00C63C2E"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 xml:space="preserve">The tuberculosis grant aims to reduce </w:t>
      </w:r>
      <w:r w:rsidR="00EF0097">
        <w:rPr>
          <w:lang w:val="en-GB"/>
        </w:rPr>
        <w:t>tuberculosis</w:t>
      </w:r>
      <w:r w:rsidR="00EF0097" w:rsidRPr="00F55E9E">
        <w:rPr>
          <w:lang w:val="en-GB"/>
        </w:rPr>
        <w:t xml:space="preserve"> </w:t>
      </w:r>
      <w:r w:rsidRPr="00F55E9E">
        <w:rPr>
          <w:lang w:val="en-GB"/>
        </w:rPr>
        <w:t>prevalence through greater access to quality assured diagnostic services. The programme aims to intensify case finding in hospitals, priva</w:t>
      </w:r>
      <w:r w:rsidR="00EF0097" w:rsidRPr="00F55E9E">
        <w:rPr>
          <w:lang w:val="en-GB"/>
        </w:rPr>
        <w:t>te clinics, and among high</w:t>
      </w:r>
      <w:r w:rsidR="00EF0097">
        <w:rPr>
          <w:lang w:val="en-GB"/>
        </w:rPr>
        <w:t>-</w:t>
      </w:r>
      <w:r w:rsidR="00EF0097" w:rsidRPr="00F55E9E">
        <w:rPr>
          <w:lang w:val="en-GB"/>
        </w:rPr>
        <w:t>risk</w:t>
      </w:r>
      <w:r w:rsidR="00EF0097">
        <w:rPr>
          <w:lang w:val="en-GB"/>
        </w:rPr>
        <w:t>,</w:t>
      </w:r>
      <w:r w:rsidR="00EF0097" w:rsidRPr="00F55E9E">
        <w:rPr>
          <w:lang w:val="en-GB"/>
        </w:rPr>
        <w:t xml:space="preserve"> </w:t>
      </w:r>
      <w:r w:rsidRPr="00F55E9E">
        <w:rPr>
          <w:lang w:val="en-GB"/>
        </w:rPr>
        <w:t>hard to reach populations; scale up community care and reduce stigma in the general population and among health care workers; and strengthen human resources capacity for tuberculosis management at all levels.</w:t>
      </w:r>
    </w:p>
    <w:p w14:paraId="3B79715F" w14:textId="77467031" w:rsidR="00C63C2E" w:rsidRPr="00F55E9E" w:rsidRDefault="00C63C2E" w:rsidP="00F55E9E">
      <w:pPr>
        <w:pStyle w:val="ListParagraph"/>
        <w:numPr>
          <w:ilvl w:val="0"/>
          <w:numId w:val="1"/>
        </w:numPr>
        <w:tabs>
          <w:tab w:val="left" w:pos="360"/>
        </w:tabs>
        <w:autoSpaceDE w:val="0"/>
        <w:autoSpaceDN w:val="0"/>
        <w:adjustRightInd w:val="0"/>
        <w:spacing w:after="120"/>
        <w:ind w:left="0" w:right="450" w:firstLine="0"/>
        <w:jc w:val="both"/>
        <w:rPr>
          <w:rFonts w:asciiTheme="majorBidi" w:hAnsiTheme="majorBidi"/>
          <w:color w:val="000000" w:themeColor="text1"/>
          <w:lang w:val="en-GB"/>
        </w:rPr>
      </w:pPr>
      <w:r w:rsidRPr="00F55E9E">
        <w:rPr>
          <w:lang w:val="en-GB"/>
        </w:rPr>
        <w:t>As part</w:t>
      </w:r>
      <w:r w:rsidR="00EF0097" w:rsidRPr="00F55E9E">
        <w:rPr>
          <w:lang w:val="en-GB"/>
        </w:rPr>
        <w:t xml:space="preserve"> of its commitment towards the </w:t>
      </w:r>
      <w:r w:rsidR="00EF0097">
        <w:rPr>
          <w:lang w:val="en-GB"/>
        </w:rPr>
        <w:t>new way</w:t>
      </w:r>
      <w:r w:rsidR="00EF0097" w:rsidRPr="00F55E9E">
        <w:rPr>
          <w:lang w:val="en-GB"/>
        </w:rPr>
        <w:t xml:space="preserve"> of </w:t>
      </w:r>
      <w:r w:rsidR="00EF0097">
        <w:rPr>
          <w:lang w:val="en-GB"/>
        </w:rPr>
        <w:t>working</w:t>
      </w:r>
      <w:r w:rsidR="00EF0097" w:rsidRPr="00F55E9E">
        <w:rPr>
          <w:lang w:val="en-GB"/>
        </w:rPr>
        <w:t xml:space="preserve"> and to </w:t>
      </w:r>
      <w:r w:rsidR="000C5338">
        <w:rPr>
          <w:lang w:val="en-GB"/>
        </w:rPr>
        <w:t>catalyse</w:t>
      </w:r>
      <w:r w:rsidR="00EF0097" w:rsidRPr="00F55E9E">
        <w:rPr>
          <w:lang w:val="en-GB"/>
        </w:rPr>
        <w:t xml:space="preserve"> the </w:t>
      </w:r>
      <w:r w:rsidR="00EF0097">
        <w:rPr>
          <w:lang w:val="en-GB"/>
        </w:rPr>
        <w:t>humanitarian development nexus</w:t>
      </w:r>
      <w:r w:rsidR="00EF0097" w:rsidRPr="00F55E9E">
        <w:rPr>
          <w:lang w:val="en-GB"/>
        </w:rPr>
        <w:t xml:space="preserve">, </w:t>
      </w:r>
      <w:r w:rsidR="005003E3">
        <w:rPr>
          <w:lang w:val="en-GB"/>
        </w:rPr>
        <w:t xml:space="preserve"> UNDP</w:t>
      </w:r>
      <w:r w:rsidRPr="00F55E9E">
        <w:rPr>
          <w:lang w:val="en-GB"/>
        </w:rPr>
        <w:t xml:space="preserve"> will provide development services to strengthen the participation in an</w:t>
      </w:r>
      <w:r w:rsidR="00EF0097" w:rsidRPr="00F55E9E">
        <w:rPr>
          <w:lang w:val="en-GB"/>
        </w:rPr>
        <w:t xml:space="preserve">d capacity of NGO partners for </w:t>
      </w:r>
      <w:r w:rsidR="00EF0097">
        <w:rPr>
          <w:lang w:val="en-GB"/>
        </w:rPr>
        <w:t>country-based pooled f</w:t>
      </w:r>
      <w:r w:rsidRPr="006E1805">
        <w:rPr>
          <w:lang w:val="en-GB"/>
        </w:rPr>
        <w:t>und</w:t>
      </w:r>
      <w:r w:rsidR="00EF0097">
        <w:rPr>
          <w:lang w:val="en-GB"/>
        </w:rPr>
        <w:t>s</w:t>
      </w:r>
      <w:r w:rsidRPr="006E1805">
        <w:rPr>
          <w:lang w:val="en-GB"/>
        </w:rPr>
        <w:t>.</w:t>
      </w:r>
      <w:r w:rsidRPr="00F55E9E">
        <w:rPr>
          <w:lang w:val="en-GB"/>
        </w:rPr>
        <w:t xml:space="preserve"> To lift barriers faced by person with </w:t>
      </w:r>
      <w:r w:rsidRPr="00F55E9E">
        <w:rPr>
          <w:lang w:val="en-GB"/>
        </w:rPr>
        <w:lastRenderedPageBreak/>
        <w:t xml:space="preserve">disabilities, UNDP will, in collaboration with the </w:t>
      </w:r>
      <w:r w:rsidRPr="006E1805">
        <w:rPr>
          <w:lang w:val="en-GB"/>
        </w:rPr>
        <w:t>U</w:t>
      </w:r>
      <w:r w:rsidR="00EF0097">
        <w:rPr>
          <w:lang w:val="en-GB"/>
        </w:rPr>
        <w:t xml:space="preserve">nited </w:t>
      </w:r>
      <w:r w:rsidRPr="006E1805">
        <w:rPr>
          <w:lang w:val="en-GB"/>
        </w:rPr>
        <w:t>N</w:t>
      </w:r>
      <w:r w:rsidR="00EF0097">
        <w:rPr>
          <w:lang w:val="en-GB"/>
        </w:rPr>
        <w:t>ations</w:t>
      </w:r>
      <w:r w:rsidRPr="00F55E9E">
        <w:rPr>
          <w:lang w:val="en-GB"/>
        </w:rPr>
        <w:t xml:space="preserve"> Office for the Coordination of Humanitarian Affairs</w:t>
      </w:r>
      <w:r w:rsidR="00EF0097">
        <w:rPr>
          <w:lang w:val="en-GB"/>
        </w:rPr>
        <w:t xml:space="preserve"> (OCHA)</w:t>
      </w:r>
      <w:r w:rsidRPr="006E1805">
        <w:rPr>
          <w:lang w:val="en-GB"/>
        </w:rPr>
        <w:t>,</w:t>
      </w:r>
      <w:r w:rsidRPr="00F55E9E">
        <w:rPr>
          <w:lang w:val="en-GB"/>
        </w:rPr>
        <w:t xml:space="preserve"> render humanitarian support in line with the Charter on Inclusion of Persons with Disabilities in Humanitarian Action. </w:t>
      </w:r>
    </w:p>
    <w:p w14:paraId="021BA476" w14:textId="58390EEB" w:rsidR="008943AD" w:rsidRPr="00F55E9E" w:rsidRDefault="008943AD" w:rsidP="00F55E9E">
      <w:pPr>
        <w:pStyle w:val="Heading2"/>
        <w:numPr>
          <w:ilvl w:val="0"/>
          <w:numId w:val="3"/>
        </w:numPr>
        <w:ind w:left="0" w:right="450" w:hanging="540"/>
        <w:jc w:val="both"/>
        <w:rPr>
          <w:rFonts w:ascii="Times New Roman" w:hAnsi="Times New Roman"/>
          <w:color w:val="000000"/>
          <w:sz w:val="24"/>
          <w:lang w:val="en-GB"/>
        </w:rPr>
      </w:pPr>
      <w:bookmarkStart w:id="2" w:name="_Toc511851834"/>
      <w:r w:rsidRPr="00F55E9E">
        <w:rPr>
          <w:rFonts w:ascii="Times New Roman" w:hAnsi="Times New Roman"/>
          <w:color w:val="000000"/>
          <w:sz w:val="24"/>
          <w:lang w:val="en-GB"/>
        </w:rPr>
        <w:t xml:space="preserve">Programme and </w:t>
      </w:r>
      <w:bookmarkEnd w:id="2"/>
      <w:r w:rsidR="00F63ECC" w:rsidRPr="0034154C">
        <w:rPr>
          <w:rFonts w:ascii="Times New Roman" w:hAnsi="Times New Roman"/>
          <w:bCs/>
          <w:color w:val="000000"/>
          <w:sz w:val="24"/>
          <w:szCs w:val="24"/>
          <w:lang w:val="en-GB"/>
        </w:rPr>
        <w:t>risk m</w:t>
      </w:r>
      <w:r w:rsidRPr="0034154C">
        <w:rPr>
          <w:rFonts w:ascii="Times New Roman" w:hAnsi="Times New Roman"/>
          <w:bCs/>
          <w:color w:val="000000"/>
          <w:sz w:val="24"/>
          <w:szCs w:val="24"/>
          <w:lang w:val="en-GB"/>
        </w:rPr>
        <w:t>anagement</w:t>
      </w:r>
      <w:r w:rsidRPr="00F55E9E">
        <w:rPr>
          <w:rFonts w:ascii="Times New Roman" w:hAnsi="Times New Roman"/>
          <w:color w:val="000000"/>
          <w:sz w:val="24"/>
          <w:lang w:val="en-GB"/>
        </w:rPr>
        <w:t xml:space="preserve"> </w:t>
      </w:r>
    </w:p>
    <w:p w14:paraId="798105DA" w14:textId="77777777" w:rsidR="008943AD" w:rsidRPr="0034154C" w:rsidRDefault="008943AD" w:rsidP="002C54A1">
      <w:pPr>
        <w:pStyle w:val="MediumGrid1-Accent21"/>
        <w:widowControl w:val="0"/>
        <w:autoSpaceDE w:val="0"/>
        <w:autoSpaceDN w:val="0"/>
        <w:adjustRightInd w:val="0"/>
        <w:ind w:left="0" w:right="450"/>
        <w:jc w:val="both"/>
        <w:rPr>
          <w:rFonts w:asciiTheme="majorBidi" w:hAnsiTheme="majorBidi" w:cstheme="majorBidi"/>
          <w:lang w:val="en-GB"/>
        </w:rPr>
      </w:pPr>
    </w:p>
    <w:p w14:paraId="2E6A68D2" w14:textId="631284CA" w:rsidR="008C7B1E" w:rsidRPr="00F55E9E" w:rsidRDefault="002E4B48" w:rsidP="00F55E9E">
      <w:pPr>
        <w:pStyle w:val="MediumGrid1-Accent21"/>
        <w:widowControl w:val="0"/>
        <w:numPr>
          <w:ilvl w:val="0"/>
          <w:numId w:val="1"/>
        </w:numPr>
        <w:tabs>
          <w:tab w:val="left" w:pos="360"/>
        </w:tabs>
        <w:autoSpaceDE w:val="0"/>
        <w:autoSpaceDN w:val="0"/>
        <w:adjustRightInd w:val="0"/>
        <w:spacing w:after="120"/>
        <w:ind w:left="0" w:right="450" w:firstLine="0"/>
        <w:jc w:val="both"/>
        <w:rPr>
          <w:rFonts w:asciiTheme="majorBidi" w:hAnsiTheme="majorBidi"/>
          <w:lang w:val="en-GB"/>
        </w:rPr>
      </w:pPr>
      <w:r w:rsidRPr="00F55E9E">
        <w:rPr>
          <w:lang w:val="en-GB"/>
        </w:rPr>
        <w:t xml:space="preserve">This </w:t>
      </w:r>
      <w:r>
        <w:rPr>
          <w:lang w:val="en-GB"/>
        </w:rPr>
        <w:t>country programme document</w:t>
      </w:r>
      <w:r w:rsidRPr="00F55E9E">
        <w:rPr>
          <w:lang w:val="en-GB"/>
        </w:rPr>
        <w:t xml:space="preserve"> (CPD) outlines </w:t>
      </w:r>
      <w:r>
        <w:rPr>
          <w:lang w:val="en-GB"/>
        </w:rPr>
        <w:t>UNDP</w:t>
      </w:r>
      <w:r w:rsidR="008C7B1E" w:rsidRPr="00F55E9E">
        <w:rPr>
          <w:lang w:val="en-GB"/>
        </w:rPr>
        <w:t xml:space="preserve"> contributions to national results and serves as the primary unit of accountability to the Executive Board for results alignment and resources assigned to the </w:t>
      </w:r>
      <w:r w:rsidR="008C7B1E" w:rsidRPr="00F55E9E">
        <w:rPr>
          <w:rFonts w:eastAsia="Calibri"/>
          <w:lang w:val="en-GB"/>
        </w:rPr>
        <w:t>programme</w:t>
      </w:r>
      <w:r w:rsidR="008C7B1E" w:rsidRPr="00F55E9E">
        <w:rPr>
          <w:lang w:val="en-GB"/>
        </w:rPr>
        <w:t xml:space="preserve"> at country level. Accountabilities of managers at the country, regional and headquarter levels with respect to country programmes is prescribed in the organization’s programme and ope</w:t>
      </w:r>
      <w:r w:rsidRPr="00F55E9E">
        <w:rPr>
          <w:lang w:val="en-GB"/>
        </w:rPr>
        <w:t>rations policies and procedures</w:t>
      </w:r>
      <w:r w:rsidR="008C7B1E" w:rsidRPr="00F55E9E">
        <w:rPr>
          <w:lang w:val="en-GB"/>
        </w:rPr>
        <w:t xml:space="preserve"> and the internal controls framework. In accordance w</w:t>
      </w:r>
      <w:r w:rsidRPr="00F55E9E">
        <w:rPr>
          <w:lang w:val="en-GB"/>
        </w:rPr>
        <w:t xml:space="preserve">ith Executive Board decision </w:t>
      </w:r>
      <w:r>
        <w:rPr>
          <w:lang w:val="en-GB"/>
        </w:rPr>
        <w:t>2</w:t>
      </w:r>
      <w:r w:rsidR="008C7B1E" w:rsidRPr="006E1805">
        <w:rPr>
          <w:lang w:val="en-GB"/>
        </w:rPr>
        <w:t>013</w:t>
      </w:r>
      <w:r w:rsidR="008C7B1E" w:rsidRPr="00F55E9E">
        <w:rPr>
          <w:lang w:val="en-GB"/>
        </w:rPr>
        <w:t>/32, all direct costs associated with project implementation should be charged to concerned projects.</w:t>
      </w:r>
    </w:p>
    <w:p w14:paraId="112E20EC" w14:textId="0344475B" w:rsidR="008C7B1E" w:rsidRPr="00F55E9E" w:rsidRDefault="002E4B48" w:rsidP="00F55E9E">
      <w:pPr>
        <w:pStyle w:val="MediumGrid1-Accent21"/>
        <w:widowControl w:val="0"/>
        <w:numPr>
          <w:ilvl w:val="0"/>
          <w:numId w:val="1"/>
        </w:numPr>
        <w:tabs>
          <w:tab w:val="left" w:pos="360"/>
        </w:tabs>
        <w:autoSpaceDE w:val="0"/>
        <w:autoSpaceDN w:val="0"/>
        <w:adjustRightInd w:val="0"/>
        <w:spacing w:after="120"/>
        <w:ind w:left="0" w:right="450" w:firstLine="0"/>
        <w:jc w:val="both"/>
        <w:rPr>
          <w:rFonts w:asciiTheme="majorBidi" w:hAnsiTheme="majorBidi"/>
          <w:lang w:val="en-GB"/>
        </w:rPr>
      </w:pPr>
      <w:r w:rsidRPr="00F55E9E">
        <w:rPr>
          <w:lang w:val="en-GB"/>
        </w:rPr>
        <w:t xml:space="preserve">A </w:t>
      </w:r>
      <w:r w:rsidR="008C7B1E" w:rsidRPr="00F55E9E">
        <w:rPr>
          <w:lang w:val="en-GB"/>
        </w:rPr>
        <w:t xml:space="preserve">breakdown of HLRF, failure of the </w:t>
      </w:r>
      <w:r>
        <w:rPr>
          <w:lang w:val="en-GB"/>
        </w:rPr>
        <w:t>National Dialogue</w:t>
      </w:r>
      <w:r w:rsidRPr="00F55E9E">
        <w:rPr>
          <w:lang w:val="en-GB"/>
        </w:rPr>
        <w:t xml:space="preserve"> </w:t>
      </w:r>
      <w:r w:rsidR="008C7B1E" w:rsidRPr="00F55E9E">
        <w:rPr>
          <w:lang w:val="en-GB"/>
        </w:rPr>
        <w:t xml:space="preserve">process and outbreak of conflict are significant political and security risks. UNDP will partner with UNMISS and </w:t>
      </w:r>
      <w:r w:rsidR="008C7B1E" w:rsidRPr="006E1805">
        <w:rPr>
          <w:lang w:val="en-GB"/>
        </w:rPr>
        <w:t>U</w:t>
      </w:r>
      <w:r>
        <w:rPr>
          <w:lang w:val="en-GB"/>
        </w:rPr>
        <w:t xml:space="preserve">nited </w:t>
      </w:r>
      <w:r w:rsidR="008C7B1E" w:rsidRPr="006E1805">
        <w:rPr>
          <w:lang w:val="en-GB"/>
        </w:rPr>
        <w:t>N</w:t>
      </w:r>
      <w:r>
        <w:rPr>
          <w:lang w:val="en-GB"/>
        </w:rPr>
        <w:t>ations</w:t>
      </w:r>
      <w:r w:rsidR="008C7B1E" w:rsidRPr="006E1805">
        <w:rPr>
          <w:lang w:val="en-GB"/>
        </w:rPr>
        <w:t xml:space="preserve"> </w:t>
      </w:r>
      <w:r>
        <w:rPr>
          <w:lang w:val="en-GB"/>
        </w:rPr>
        <w:t>organizations</w:t>
      </w:r>
      <w:r w:rsidRPr="00F55E9E">
        <w:rPr>
          <w:lang w:val="en-GB"/>
        </w:rPr>
        <w:t xml:space="preserve"> </w:t>
      </w:r>
      <w:r w:rsidR="008C7B1E" w:rsidRPr="00F55E9E">
        <w:rPr>
          <w:lang w:val="en-GB"/>
        </w:rPr>
        <w:t xml:space="preserve">to analyse conflict dynamics. Such a partnership will ensure that UNDP programmes are conflict sensitive and contribute to positive outcomes. </w:t>
      </w:r>
    </w:p>
    <w:p w14:paraId="577365E2" w14:textId="296993D4" w:rsidR="008C7B1E" w:rsidRPr="00F55E9E" w:rsidRDefault="008C7B1E" w:rsidP="00F55E9E">
      <w:pPr>
        <w:pStyle w:val="MediumGrid1-Accent21"/>
        <w:widowControl w:val="0"/>
        <w:numPr>
          <w:ilvl w:val="0"/>
          <w:numId w:val="1"/>
        </w:numPr>
        <w:tabs>
          <w:tab w:val="left" w:pos="360"/>
        </w:tabs>
        <w:autoSpaceDE w:val="0"/>
        <w:autoSpaceDN w:val="0"/>
        <w:adjustRightInd w:val="0"/>
        <w:spacing w:after="120"/>
        <w:ind w:left="0" w:right="450" w:firstLine="0"/>
        <w:jc w:val="both"/>
        <w:rPr>
          <w:rFonts w:asciiTheme="majorBidi" w:hAnsiTheme="majorBidi"/>
          <w:lang w:val="en-GB"/>
        </w:rPr>
      </w:pPr>
      <w:r w:rsidRPr="00F55E9E">
        <w:rPr>
          <w:lang w:val="en-GB"/>
        </w:rPr>
        <w:t xml:space="preserve">Security risks related to communal violence could worsen if perpetrators are not held accountable. This would impede access and operations in several parts of the country. Measures to mitigate these risks include joint programme criticality assessments, updated business continuity plans, conflict sensitive programming, partnership with CSOs and </w:t>
      </w:r>
      <w:r w:rsidR="002E4B48">
        <w:rPr>
          <w:lang w:val="en-GB"/>
        </w:rPr>
        <w:t>community-based organizations (</w:t>
      </w:r>
      <w:r w:rsidRPr="00F55E9E">
        <w:rPr>
          <w:lang w:val="en-GB"/>
        </w:rPr>
        <w:t>CBOs</w:t>
      </w:r>
      <w:r w:rsidR="002E4B48">
        <w:rPr>
          <w:lang w:val="en-GB"/>
        </w:rPr>
        <w:t>)</w:t>
      </w:r>
      <w:r w:rsidRPr="006E1805">
        <w:rPr>
          <w:lang w:val="en-GB"/>
        </w:rPr>
        <w:t>,</w:t>
      </w:r>
      <w:r w:rsidRPr="00F55E9E">
        <w:rPr>
          <w:lang w:val="en-GB"/>
        </w:rPr>
        <w:t xml:space="preserve"> </w:t>
      </w:r>
      <w:r w:rsidR="00963BED">
        <w:rPr>
          <w:lang w:val="en-GB"/>
        </w:rPr>
        <w:t xml:space="preserve">and </w:t>
      </w:r>
      <w:r w:rsidRPr="00F55E9E">
        <w:rPr>
          <w:lang w:val="en-GB"/>
        </w:rPr>
        <w:t xml:space="preserve">third-party </w:t>
      </w:r>
      <w:r w:rsidR="00400A12" w:rsidRPr="00F55E9E">
        <w:rPr>
          <w:lang w:val="en-GB"/>
        </w:rPr>
        <w:t>monitoring</w:t>
      </w:r>
      <w:r w:rsidR="00400A12">
        <w:rPr>
          <w:lang w:val="en-GB"/>
        </w:rPr>
        <w:t>.</w:t>
      </w:r>
      <w:r w:rsidRPr="00F55E9E">
        <w:rPr>
          <w:lang w:val="en-GB"/>
        </w:rPr>
        <w:t xml:space="preserve"> </w:t>
      </w:r>
    </w:p>
    <w:p w14:paraId="114B3C5A" w14:textId="644844DA" w:rsidR="00011A49" w:rsidRPr="00011A49" w:rsidRDefault="008C7B1E" w:rsidP="00F55E9E">
      <w:pPr>
        <w:pStyle w:val="MediumGrid1-Accent21"/>
        <w:widowControl w:val="0"/>
        <w:numPr>
          <w:ilvl w:val="0"/>
          <w:numId w:val="1"/>
        </w:numPr>
        <w:tabs>
          <w:tab w:val="left" w:pos="360"/>
        </w:tabs>
        <w:autoSpaceDE w:val="0"/>
        <w:autoSpaceDN w:val="0"/>
        <w:adjustRightInd w:val="0"/>
        <w:spacing w:after="120"/>
        <w:ind w:left="0" w:right="450" w:firstLine="0"/>
        <w:jc w:val="both"/>
        <w:rPr>
          <w:rFonts w:asciiTheme="majorBidi" w:hAnsiTheme="majorBidi"/>
          <w:lang w:val="en-GB"/>
        </w:rPr>
      </w:pPr>
      <w:r w:rsidRPr="00F55E9E">
        <w:rPr>
          <w:lang w:val="en-GB"/>
        </w:rPr>
        <w:t>Programmatic risks include</w:t>
      </w:r>
      <w:r w:rsidRPr="006E1805">
        <w:rPr>
          <w:lang w:val="en-GB"/>
        </w:rPr>
        <w:t xml:space="preserve"> </w:t>
      </w:r>
      <w:r w:rsidR="008F5A43">
        <w:rPr>
          <w:lang w:val="en-GB"/>
        </w:rPr>
        <w:t>a</w:t>
      </w:r>
      <w:r w:rsidR="008F5A43" w:rsidRPr="00F55E9E">
        <w:rPr>
          <w:lang w:val="en-GB"/>
        </w:rPr>
        <w:t xml:space="preserve"> </w:t>
      </w:r>
      <w:r w:rsidRPr="00F55E9E">
        <w:rPr>
          <w:lang w:val="en-GB"/>
        </w:rPr>
        <w:t xml:space="preserve">worsening humanitarian situation leading to diversion of resources toward humanitarian needs. This may constrain resource mobilization prospects and pose a financial risk requiring </w:t>
      </w:r>
      <w:r w:rsidRPr="00F55E9E">
        <w:rPr>
          <w:rFonts w:eastAsia="Calibri"/>
          <w:lang w:val="en-GB"/>
        </w:rPr>
        <w:t>recalibration</w:t>
      </w:r>
      <w:r w:rsidRPr="00F55E9E">
        <w:rPr>
          <w:lang w:val="en-GB"/>
        </w:rPr>
        <w:t xml:space="preserve"> of programming. UNDP will c</w:t>
      </w:r>
      <w:r w:rsidR="008F5A43" w:rsidRPr="00F55E9E">
        <w:rPr>
          <w:lang w:val="en-GB"/>
        </w:rPr>
        <w:t xml:space="preserve">ontinue to lead resource </w:t>
      </w:r>
      <w:r w:rsidR="008F5A43">
        <w:rPr>
          <w:lang w:val="en-GB"/>
        </w:rPr>
        <w:t>mobiliz</w:t>
      </w:r>
      <w:r w:rsidRPr="006E1805">
        <w:rPr>
          <w:lang w:val="en-GB"/>
        </w:rPr>
        <w:t>ation</w:t>
      </w:r>
      <w:r w:rsidRPr="00F55E9E">
        <w:rPr>
          <w:lang w:val="en-GB"/>
        </w:rPr>
        <w:t xml:space="preserve"> for recovery and resilience programming as a means of avoiding recurrent humanitarian crises and generating a ‘peace dividend’ for war-affected populations. UNDP will work to secure funding necessary to sustain the programme and expand the donor base, including through improved</w:t>
      </w:r>
      <w:r w:rsidR="008F5A43" w:rsidRPr="00F55E9E">
        <w:rPr>
          <w:lang w:val="en-GB"/>
        </w:rPr>
        <w:t xml:space="preserve"> reporting on results, outreach</w:t>
      </w:r>
      <w:r w:rsidRPr="00F55E9E">
        <w:rPr>
          <w:lang w:val="en-GB"/>
        </w:rPr>
        <w:t xml:space="preserve"> and communication strategies</w:t>
      </w:r>
      <w:r w:rsidR="00011A49">
        <w:rPr>
          <w:lang w:val="en-GB"/>
        </w:rPr>
        <w:t xml:space="preserve"> and  full implementation of </w:t>
      </w:r>
      <w:r w:rsidR="008F5A43">
        <w:rPr>
          <w:lang w:val="en-GB"/>
        </w:rPr>
        <w:t>direct project c</w:t>
      </w:r>
      <w:r w:rsidRPr="006E1805">
        <w:rPr>
          <w:lang w:val="en-GB"/>
        </w:rPr>
        <w:t>osting</w:t>
      </w:r>
      <w:r w:rsidRPr="00F55E9E">
        <w:rPr>
          <w:lang w:val="en-GB"/>
        </w:rPr>
        <w:t xml:space="preserve"> to diversify its non-core resources portfolio</w:t>
      </w:r>
      <w:r w:rsidR="00011A49">
        <w:rPr>
          <w:lang w:val="en-GB"/>
        </w:rPr>
        <w:t>.</w:t>
      </w:r>
      <w:r w:rsidRPr="00F55E9E">
        <w:rPr>
          <w:lang w:val="en-GB"/>
        </w:rPr>
        <w:t xml:space="preserve"> This programme will be implemented predominantly through direct implementation </w:t>
      </w:r>
      <w:r w:rsidR="008F5A43" w:rsidRPr="00011A49">
        <w:rPr>
          <w:lang w:val="en-GB"/>
        </w:rPr>
        <w:t>owing</w:t>
      </w:r>
      <w:r w:rsidR="008F5A43" w:rsidRPr="00F55E9E">
        <w:rPr>
          <w:lang w:val="en-GB"/>
        </w:rPr>
        <w:t xml:space="preserve"> </w:t>
      </w:r>
      <w:r w:rsidRPr="00F55E9E">
        <w:rPr>
          <w:lang w:val="en-GB"/>
        </w:rPr>
        <w:t xml:space="preserve">to the </w:t>
      </w:r>
      <w:r w:rsidRPr="00F55E9E">
        <w:rPr>
          <w:rFonts w:eastAsia="Calibri"/>
          <w:lang w:val="en-GB"/>
        </w:rPr>
        <w:t>underdeveloped</w:t>
      </w:r>
      <w:r w:rsidRPr="00F55E9E">
        <w:rPr>
          <w:lang w:val="en-GB"/>
        </w:rPr>
        <w:t xml:space="preserve"> </w:t>
      </w:r>
      <w:r w:rsidR="008F5A43" w:rsidRPr="00011A49">
        <w:rPr>
          <w:lang w:val="en-GB"/>
        </w:rPr>
        <w:t>public financial management</w:t>
      </w:r>
      <w:r w:rsidR="008F5A43" w:rsidRPr="00F55E9E">
        <w:rPr>
          <w:lang w:val="en-GB"/>
        </w:rPr>
        <w:t xml:space="preserve"> </w:t>
      </w:r>
      <w:r w:rsidRPr="00F55E9E">
        <w:rPr>
          <w:lang w:val="en-GB"/>
        </w:rPr>
        <w:t xml:space="preserve">system and fragile context. UNDP will collaborate with the </w:t>
      </w:r>
      <w:r w:rsidR="008F5A43" w:rsidRPr="00011A49">
        <w:rPr>
          <w:lang w:val="en-GB"/>
        </w:rPr>
        <w:t>country team</w:t>
      </w:r>
      <w:r w:rsidR="008F5A43" w:rsidRPr="00F55E9E">
        <w:rPr>
          <w:lang w:val="en-GB"/>
        </w:rPr>
        <w:t xml:space="preserve"> </w:t>
      </w:r>
      <w:r w:rsidRPr="00F55E9E">
        <w:rPr>
          <w:lang w:val="en-GB"/>
        </w:rPr>
        <w:t>to undertake comprehensive capacity assessments of implementing partners as part of the harmonized approach to cash transfers. UNDP will build the capacity of, and collaborate with</w:t>
      </w:r>
      <w:r w:rsidR="008F5A43" w:rsidRPr="00011A49">
        <w:rPr>
          <w:lang w:val="en-GB"/>
        </w:rPr>
        <w:t>,</w:t>
      </w:r>
      <w:r w:rsidRPr="00F55E9E">
        <w:rPr>
          <w:lang w:val="en-GB"/>
        </w:rPr>
        <w:t xml:space="preserve"> national institutions </w:t>
      </w:r>
      <w:r w:rsidR="008F5A43" w:rsidRPr="00011A49">
        <w:rPr>
          <w:lang w:val="en-GB"/>
        </w:rPr>
        <w:t>such as</w:t>
      </w:r>
      <w:r w:rsidR="008F5A43" w:rsidRPr="00F55E9E">
        <w:rPr>
          <w:lang w:val="en-GB"/>
        </w:rPr>
        <w:t xml:space="preserve"> </w:t>
      </w:r>
      <w:r w:rsidRPr="00F55E9E">
        <w:rPr>
          <w:lang w:val="en-GB"/>
        </w:rPr>
        <w:t xml:space="preserve">the National Audit Chamber to undertake programme assurance activities </w:t>
      </w:r>
      <w:r w:rsidR="008055A2" w:rsidRPr="00011A49">
        <w:rPr>
          <w:lang w:val="en-GB"/>
        </w:rPr>
        <w:t>such</w:t>
      </w:r>
      <w:r w:rsidR="00963BED" w:rsidRPr="00011A49">
        <w:rPr>
          <w:lang w:val="en-GB"/>
        </w:rPr>
        <w:t xml:space="preserve"> as</w:t>
      </w:r>
      <w:r w:rsidR="008055A2" w:rsidRPr="00F55E9E">
        <w:rPr>
          <w:lang w:val="en-GB"/>
        </w:rPr>
        <w:t xml:space="preserve"> </w:t>
      </w:r>
      <w:r w:rsidRPr="00F55E9E">
        <w:rPr>
          <w:lang w:val="en-GB"/>
        </w:rPr>
        <w:t xml:space="preserve">spot checks, programme visits and audits to lay the foundation for the transfer of programme implementation and oversight responsibility from UNDP to national partners. </w:t>
      </w:r>
      <w:r w:rsidR="00011A49" w:rsidRPr="00011A49">
        <w:rPr>
          <w:lang w:val="en-GB"/>
        </w:rPr>
        <w:t xml:space="preserve">Further, </w:t>
      </w:r>
      <w:r w:rsidR="00FA279D">
        <w:rPr>
          <w:lang w:val="en-GB"/>
        </w:rPr>
        <w:t>t</w:t>
      </w:r>
      <w:r w:rsidR="00011A49" w:rsidRPr="00011A49">
        <w:rPr>
          <w:lang w:val="en-GB"/>
        </w:rPr>
        <w:t>he country office will be guided by corporate policies and instruments to improve compliance, assure quality and minimize risks.</w:t>
      </w:r>
      <w:r w:rsidR="00011A49" w:rsidRPr="00D24D50">
        <w:rPr>
          <w:rStyle w:val="FootnoteReference"/>
          <w:lang w:val="en-GB"/>
        </w:rPr>
        <w:footnoteReference w:id="28"/>
      </w:r>
      <w:r w:rsidR="00011A49" w:rsidRPr="00011A49">
        <w:rPr>
          <w:lang w:val="en-GB"/>
        </w:rPr>
        <w:t xml:space="preserve"> </w:t>
      </w:r>
    </w:p>
    <w:p w14:paraId="1159B69D" w14:textId="2BD6F7BC" w:rsidR="008943AD" w:rsidRPr="0034154C" w:rsidRDefault="00CC1187" w:rsidP="00C63C2E">
      <w:pPr>
        <w:pStyle w:val="Heading2"/>
        <w:numPr>
          <w:ilvl w:val="0"/>
          <w:numId w:val="3"/>
        </w:numPr>
        <w:ind w:left="4" w:right="450" w:hanging="544"/>
        <w:jc w:val="both"/>
        <w:rPr>
          <w:rFonts w:ascii="Times New Roman" w:hAnsi="Times New Roman"/>
          <w:bCs/>
          <w:color w:val="000000"/>
          <w:sz w:val="24"/>
          <w:szCs w:val="24"/>
          <w:lang w:val="en-GB"/>
        </w:rPr>
      </w:pPr>
      <w:r w:rsidRPr="00F55E9E">
        <w:rPr>
          <w:rFonts w:ascii="Times New Roman" w:hAnsi="Times New Roman"/>
          <w:color w:val="000000"/>
          <w:sz w:val="24"/>
          <w:lang w:val="en-GB"/>
        </w:rPr>
        <w:t>Monitoring and e</w:t>
      </w:r>
      <w:r w:rsidR="008943AD" w:rsidRPr="00F55E9E">
        <w:rPr>
          <w:rFonts w:ascii="Times New Roman" w:hAnsi="Times New Roman"/>
          <w:color w:val="000000"/>
          <w:sz w:val="24"/>
          <w:lang w:val="en-GB"/>
        </w:rPr>
        <w:t>valuation</w:t>
      </w:r>
    </w:p>
    <w:p w14:paraId="39BF56A3" w14:textId="77777777" w:rsidR="008943AD" w:rsidRPr="0034154C" w:rsidRDefault="008943AD" w:rsidP="002C54A1">
      <w:pPr>
        <w:pStyle w:val="MediumGrid1-Accent21"/>
        <w:widowControl w:val="0"/>
        <w:autoSpaceDE w:val="0"/>
        <w:autoSpaceDN w:val="0"/>
        <w:adjustRightInd w:val="0"/>
        <w:ind w:right="450"/>
        <w:jc w:val="both"/>
        <w:rPr>
          <w:rFonts w:asciiTheme="majorBidi" w:hAnsiTheme="majorBidi" w:cstheme="majorBidi"/>
          <w:lang w:val="en-GB"/>
        </w:rPr>
      </w:pPr>
    </w:p>
    <w:p w14:paraId="519F1C6B" w14:textId="035F55D5" w:rsidR="00183BE7" w:rsidRPr="00F55E9E" w:rsidRDefault="00FB51E6" w:rsidP="00F55E9E">
      <w:pPr>
        <w:pStyle w:val="MediumGrid1-Accent21"/>
        <w:widowControl w:val="0"/>
        <w:numPr>
          <w:ilvl w:val="0"/>
          <w:numId w:val="1"/>
        </w:numPr>
        <w:tabs>
          <w:tab w:val="left" w:pos="360"/>
        </w:tabs>
        <w:autoSpaceDE w:val="0"/>
        <w:autoSpaceDN w:val="0"/>
        <w:adjustRightInd w:val="0"/>
        <w:spacing w:after="120"/>
        <w:ind w:left="0" w:right="450" w:firstLine="0"/>
        <w:jc w:val="both"/>
        <w:rPr>
          <w:rFonts w:asciiTheme="majorBidi" w:eastAsia="Cambria" w:hAnsiTheme="majorBidi"/>
          <w:lang w:val="en-GB"/>
        </w:rPr>
      </w:pPr>
      <w:r>
        <w:rPr>
          <w:rFonts w:eastAsia="Calibri"/>
          <w:lang w:val="en-GB"/>
        </w:rPr>
        <w:t>Programme m</w:t>
      </w:r>
      <w:r w:rsidR="00183BE7" w:rsidRPr="006E1805">
        <w:rPr>
          <w:rFonts w:eastAsia="Calibri"/>
          <w:lang w:val="en-GB"/>
        </w:rPr>
        <w:t>onitoring and evaluation</w:t>
      </w:r>
      <w:r w:rsidR="00183BE7" w:rsidRPr="00F55E9E">
        <w:rPr>
          <w:rFonts w:eastAsia="Calibri"/>
          <w:lang w:val="en-GB"/>
        </w:rPr>
        <w:t xml:space="preserve"> will be aligned with the </w:t>
      </w:r>
      <w:r>
        <w:rPr>
          <w:rFonts w:eastAsia="Calibri"/>
          <w:lang w:val="en-GB"/>
        </w:rPr>
        <w:t>UNCF and National Dialogue monitoring and evaluation</w:t>
      </w:r>
      <w:r w:rsidRPr="00F55E9E">
        <w:rPr>
          <w:rFonts w:eastAsia="Calibri"/>
          <w:lang w:val="en-GB"/>
        </w:rPr>
        <w:t xml:space="preserve"> </w:t>
      </w:r>
      <w:r w:rsidR="00183BE7" w:rsidRPr="00F55E9E">
        <w:rPr>
          <w:rFonts w:eastAsia="Calibri"/>
          <w:lang w:val="en-GB"/>
        </w:rPr>
        <w:t>frameworks and used to inform ongoing and future programming. The programme will contain a clear, measurable</w:t>
      </w:r>
      <w:r>
        <w:rPr>
          <w:rFonts w:eastAsia="Calibri"/>
          <w:lang w:val="en-GB"/>
        </w:rPr>
        <w:t>,</w:t>
      </w:r>
      <w:r w:rsidRPr="00F55E9E">
        <w:rPr>
          <w:rFonts w:eastAsia="Calibri"/>
          <w:lang w:val="en-GB"/>
        </w:rPr>
        <w:t xml:space="preserve"> </w:t>
      </w:r>
      <w:r w:rsidR="00183BE7" w:rsidRPr="00F55E9E">
        <w:rPr>
          <w:rFonts w:eastAsia="Calibri"/>
          <w:lang w:val="en-GB"/>
        </w:rPr>
        <w:t>well-defined results framework, integrating both the UNDP Strategic Plan</w:t>
      </w:r>
      <w:r>
        <w:rPr>
          <w:rFonts w:eastAsia="Calibri"/>
          <w:lang w:val="en-GB"/>
        </w:rPr>
        <w:t>, 2018-2021,</w:t>
      </w:r>
      <w:r w:rsidRPr="00F55E9E">
        <w:rPr>
          <w:rFonts w:eastAsia="Calibri"/>
          <w:lang w:val="en-GB"/>
        </w:rPr>
        <w:t xml:space="preserve"> </w:t>
      </w:r>
      <w:r w:rsidR="00183BE7" w:rsidRPr="00F55E9E">
        <w:rPr>
          <w:rFonts w:eastAsia="Calibri"/>
          <w:lang w:val="en-GB"/>
        </w:rPr>
        <w:t xml:space="preserve">and national government indicators. </w:t>
      </w:r>
      <w:r w:rsidR="00963BED">
        <w:rPr>
          <w:rFonts w:eastAsia="Calibri"/>
          <w:lang w:val="en-GB"/>
        </w:rPr>
        <w:t>S</w:t>
      </w:r>
      <w:r w:rsidR="00183BE7" w:rsidRPr="00F55E9E">
        <w:rPr>
          <w:rFonts w:eastAsia="Calibri"/>
          <w:lang w:val="en-GB"/>
        </w:rPr>
        <w:t>tronger emphasis will be placed on baseline data and identifying reliable data sources and partners for data collection. At least 3</w:t>
      </w:r>
      <w:r w:rsidR="00FA279D">
        <w:rPr>
          <w:rFonts w:eastAsia="Calibri"/>
          <w:lang w:val="en-GB"/>
        </w:rPr>
        <w:t> </w:t>
      </w:r>
      <w:r w:rsidR="00183BE7" w:rsidRPr="006E1805">
        <w:rPr>
          <w:rFonts w:eastAsia="Calibri"/>
          <w:lang w:val="en-GB"/>
        </w:rPr>
        <w:t>per</w:t>
      </w:r>
      <w:r>
        <w:rPr>
          <w:rFonts w:eastAsia="Calibri"/>
          <w:lang w:val="en-GB"/>
        </w:rPr>
        <w:t xml:space="preserve"> </w:t>
      </w:r>
      <w:r w:rsidR="00183BE7" w:rsidRPr="006E1805">
        <w:rPr>
          <w:rFonts w:eastAsia="Calibri"/>
          <w:lang w:val="en-GB"/>
        </w:rPr>
        <w:t>cent</w:t>
      </w:r>
      <w:r w:rsidR="00183BE7" w:rsidRPr="00F55E9E">
        <w:rPr>
          <w:rFonts w:eastAsia="Calibri"/>
          <w:lang w:val="en-GB"/>
        </w:rPr>
        <w:t xml:space="preserve"> of programme resources will be earmarked for </w:t>
      </w:r>
      <w:r>
        <w:rPr>
          <w:rFonts w:eastAsia="Calibri"/>
          <w:lang w:val="en-GB"/>
        </w:rPr>
        <w:t>monitoring and evaluation</w:t>
      </w:r>
      <w:r w:rsidRPr="00F55E9E">
        <w:rPr>
          <w:rFonts w:eastAsia="Calibri"/>
          <w:lang w:val="en-GB"/>
        </w:rPr>
        <w:t xml:space="preserve"> </w:t>
      </w:r>
      <w:r w:rsidR="00183BE7" w:rsidRPr="00F55E9E">
        <w:rPr>
          <w:rFonts w:eastAsia="Calibri"/>
          <w:lang w:val="en-GB"/>
        </w:rPr>
        <w:t xml:space="preserve">activities. </w:t>
      </w:r>
    </w:p>
    <w:p w14:paraId="67621E04" w14:textId="53615090" w:rsidR="00183BE7" w:rsidRPr="00F55E9E" w:rsidRDefault="00183BE7" w:rsidP="00F55E9E">
      <w:pPr>
        <w:pStyle w:val="MediumGrid1-Accent21"/>
        <w:widowControl w:val="0"/>
        <w:numPr>
          <w:ilvl w:val="0"/>
          <w:numId w:val="1"/>
        </w:numPr>
        <w:tabs>
          <w:tab w:val="left" w:pos="360"/>
        </w:tabs>
        <w:autoSpaceDE w:val="0"/>
        <w:autoSpaceDN w:val="0"/>
        <w:adjustRightInd w:val="0"/>
        <w:spacing w:after="120"/>
        <w:ind w:left="0" w:right="450" w:firstLine="0"/>
        <w:jc w:val="both"/>
        <w:rPr>
          <w:rFonts w:asciiTheme="majorBidi" w:eastAsia="Cambria" w:hAnsiTheme="majorBidi"/>
          <w:lang w:val="en-GB"/>
        </w:rPr>
      </w:pPr>
      <w:r w:rsidRPr="00F55E9E">
        <w:rPr>
          <w:rFonts w:eastAsia="Calibri"/>
          <w:lang w:val="en-GB"/>
        </w:rPr>
        <w:t xml:space="preserve">A dedicated </w:t>
      </w:r>
      <w:r w:rsidR="00FB51E6">
        <w:rPr>
          <w:rFonts w:eastAsia="Calibri"/>
          <w:lang w:val="en-GB"/>
        </w:rPr>
        <w:t>monitoring and evaluation</w:t>
      </w:r>
      <w:r w:rsidR="00FB51E6" w:rsidRPr="00F55E9E">
        <w:rPr>
          <w:rFonts w:eastAsia="Calibri"/>
          <w:lang w:val="en-GB"/>
        </w:rPr>
        <w:t xml:space="preserve"> </w:t>
      </w:r>
      <w:r w:rsidRPr="00F55E9E">
        <w:rPr>
          <w:rFonts w:eastAsia="Calibri"/>
          <w:lang w:val="en-GB"/>
        </w:rPr>
        <w:t xml:space="preserve">unit will continue to support quality assurance, compliance and oversight functions in line with corporate </w:t>
      </w:r>
      <w:r w:rsidR="00FB51E6">
        <w:rPr>
          <w:rFonts w:eastAsia="Calibri"/>
          <w:lang w:val="en-GB"/>
        </w:rPr>
        <w:t>m</w:t>
      </w:r>
      <w:r w:rsidRPr="006E1805">
        <w:rPr>
          <w:rFonts w:eastAsia="Calibri"/>
          <w:lang w:val="en-GB"/>
        </w:rPr>
        <w:t>onitoring</w:t>
      </w:r>
      <w:r w:rsidRPr="00F55E9E">
        <w:rPr>
          <w:rFonts w:eastAsia="Calibri"/>
          <w:lang w:val="en-GB"/>
        </w:rPr>
        <w:t xml:space="preserve"> and </w:t>
      </w:r>
      <w:r w:rsidR="00FB51E6">
        <w:rPr>
          <w:rFonts w:eastAsia="Calibri"/>
          <w:lang w:val="en-GB"/>
        </w:rPr>
        <w:t>e</w:t>
      </w:r>
      <w:r w:rsidRPr="006E1805">
        <w:rPr>
          <w:rFonts w:eastAsia="Calibri"/>
          <w:lang w:val="en-GB"/>
        </w:rPr>
        <w:t>valuation</w:t>
      </w:r>
      <w:r w:rsidRPr="00F55E9E">
        <w:rPr>
          <w:rFonts w:eastAsia="Calibri"/>
          <w:lang w:val="en-GB"/>
        </w:rPr>
        <w:t xml:space="preserve"> policies and relevant result</w:t>
      </w:r>
      <w:r w:rsidR="00FB51E6">
        <w:rPr>
          <w:rFonts w:eastAsia="Calibri"/>
          <w:lang w:val="en-GB"/>
        </w:rPr>
        <w:t>-</w:t>
      </w:r>
      <w:r w:rsidRPr="00F55E9E">
        <w:rPr>
          <w:rFonts w:eastAsia="Calibri"/>
          <w:lang w:val="en-GB"/>
        </w:rPr>
        <w:t xml:space="preserve">based management guidelines. Quarterly monitoring of country programme outputs and annual monitoring of outcomes will be conducted in close collaboration with the </w:t>
      </w:r>
      <w:r w:rsidR="00FB51E6">
        <w:rPr>
          <w:rFonts w:eastAsia="Calibri"/>
          <w:lang w:val="en-GB"/>
        </w:rPr>
        <w:t xml:space="preserve">country team monitoring and </w:t>
      </w:r>
      <w:r w:rsidR="00FB51E6">
        <w:rPr>
          <w:rFonts w:eastAsia="Calibri"/>
          <w:lang w:val="en-GB"/>
        </w:rPr>
        <w:lastRenderedPageBreak/>
        <w:t>evaluation</w:t>
      </w:r>
      <w:r w:rsidR="00FB51E6" w:rsidRPr="00F55E9E">
        <w:rPr>
          <w:rFonts w:eastAsia="Calibri"/>
          <w:lang w:val="en-GB"/>
        </w:rPr>
        <w:t xml:space="preserve"> </w:t>
      </w:r>
      <w:r w:rsidRPr="00F55E9E">
        <w:rPr>
          <w:rFonts w:eastAsia="Calibri"/>
          <w:lang w:val="en-GB"/>
        </w:rPr>
        <w:t>group, and reported through regular results reports, including the results</w:t>
      </w:r>
      <w:r w:rsidR="00FB51E6">
        <w:rPr>
          <w:rFonts w:eastAsia="Calibri"/>
          <w:lang w:val="en-GB"/>
        </w:rPr>
        <w:t>-</w:t>
      </w:r>
      <w:r w:rsidRPr="00F55E9E">
        <w:rPr>
          <w:rFonts w:eastAsia="Calibri"/>
          <w:lang w:val="en-GB"/>
        </w:rPr>
        <w:t xml:space="preserve">oriented annual reports. A CPD </w:t>
      </w:r>
      <w:r w:rsidRPr="006E1805">
        <w:rPr>
          <w:rFonts w:eastAsia="Calibri"/>
          <w:lang w:val="en-GB"/>
        </w:rPr>
        <w:t>midterm</w:t>
      </w:r>
      <w:r w:rsidRPr="00F55E9E">
        <w:rPr>
          <w:rFonts w:eastAsia="Calibri"/>
          <w:lang w:val="en-GB"/>
        </w:rPr>
        <w:t xml:space="preserve"> review will be conducted during the </w:t>
      </w:r>
      <w:r w:rsidR="00FB51E6">
        <w:rPr>
          <w:rFonts w:eastAsia="Calibri"/>
          <w:lang w:val="en-GB"/>
        </w:rPr>
        <w:t>second</w:t>
      </w:r>
      <w:r w:rsidR="00FB51E6" w:rsidRPr="00F55E9E">
        <w:rPr>
          <w:rFonts w:eastAsia="Calibri"/>
          <w:lang w:val="en-GB"/>
        </w:rPr>
        <w:t xml:space="preserve"> </w:t>
      </w:r>
      <w:r w:rsidRPr="00F55E9E">
        <w:rPr>
          <w:rFonts w:eastAsia="Calibri"/>
          <w:lang w:val="en-GB"/>
        </w:rPr>
        <w:t xml:space="preserve">year of implementation to assess </w:t>
      </w:r>
      <w:r w:rsidRPr="006E1805">
        <w:rPr>
          <w:rFonts w:eastAsia="Calibri"/>
          <w:lang w:val="en-GB"/>
        </w:rPr>
        <w:t>UNDP</w:t>
      </w:r>
      <w:r w:rsidRPr="00F55E9E">
        <w:rPr>
          <w:rFonts w:eastAsia="Calibri"/>
          <w:lang w:val="en-GB"/>
        </w:rPr>
        <w:t xml:space="preserve"> contributions to national results, and inform adjustments to the country programme. </w:t>
      </w:r>
    </w:p>
    <w:p w14:paraId="1B9D04EA" w14:textId="082F53D8" w:rsidR="00183BE7" w:rsidRPr="00F55E9E" w:rsidRDefault="00183BE7" w:rsidP="00F55E9E">
      <w:pPr>
        <w:pStyle w:val="MediumGrid1-Accent21"/>
        <w:widowControl w:val="0"/>
        <w:numPr>
          <w:ilvl w:val="0"/>
          <w:numId w:val="1"/>
        </w:numPr>
        <w:tabs>
          <w:tab w:val="left" w:pos="360"/>
        </w:tabs>
        <w:autoSpaceDE w:val="0"/>
        <w:autoSpaceDN w:val="0"/>
        <w:adjustRightInd w:val="0"/>
        <w:spacing w:after="120"/>
        <w:ind w:left="0" w:right="450" w:firstLine="0"/>
        <w:jc w:val="both"/>
        <w:rPr>
          <w:rFonts w:asciiTheme="majorBidi" w:eastAsia="Cambria" w:hAnsiTheme="majorBidi"/>
          <w:lang w:val="en-GB"/>
        </w:rPr>
      </w:pPr>
      <w:r w:rsidRPr="00F55E9E">
        <w:rPr>
          <w:rFonts w:eastAsia="Calibri"/>
          <w:lang w:val="en-GB"/>
        </w:rPr>
        <w:t xml:space="preserve">Disaggregated data will be systematically collected and used with qualitative data/surveys to enrich the evidence and analyses underpinning programmes. The UNDP gender marker, together with a more robust UNCF gender monitoring framework, will help promote and monitor investments in tangible gender results </w:t>
      </w:r>
    </w:p>
    <w:p w14:paraId="11A97F64" w14:textId="77777777" w:rsidR="006C589E" w:rsidRPr="00F55E9E" w:rsidRDefault="006C589E" w:rsidP="00F55E9E">
      <w:pPr>
        <w:tabs>
          <w:tab w:val="left" w:pos="720"/>
        </w:tabs>
        <w:spacing w:after="120"/>
        <w:ind w:right="20"/>
        <w:jc w:val="both"/>
        <w:rPr>
          <w:color w:val="000000"/>
          <w:lang w:val="en-GB"/>
        </w:rPr>
      </w:pPr>
    </w:p>
    <w:p w14:paraId="2E88DA73" w14:textId="77777777" w:rsidR="002A5068" w:rsidRPr="00F55E9E" w:rsidRDefault="002A5068" w:rsidP="00F55E9E">
      <w:pPr>
        <w:tabs>
          <w:tab w:val="left" w:pos="720"/>
        </w:tabs>
        <w:spacing w:after="120"/>
        <w:ind w:right="20"/>
        <w:jc w:val="both"/>
        <w:rPr>
          <w:color w:val="000000"/>
          <w:lang w:val="en-GB"/>
        </w:rPr>
        <w:sectPr w:rsidR="002A5068" w:rsidRPr="00F55E9E" w:rsidSect="00F55E9E">
          <w:headerReference w:type="even" r:id="rId14"/>
          <w:headerReference w:type="default" r:id="rId15"/>
          <w:footerReference w:type="even" r:id="rId16"/>
          <w:footerReference w:type="default" r:id="rId17"/>
          <w:headerReference w:type="first" r:id="rId18"/>
          <w:pgSz w:w="12240" w:h="15840"/>
          <w:pgMar w:top="1152" w:right="1296" w:bottom="1152" w:left="2246" w:header="720" w:footer="720" w:gutter="0"/>
          <w:cols w:space="720"/>
          <w:titlePg/>
          <w:docGrid w:linePitch="272"/>
        </w:sectPr>
      </w:pPr>
    </w:p>
    <w:tbl>
      <w:tblPr>
        <w:tblStyle w:val="TableGrid"/>
        <w:tblW w:w="14029" w:type="dxa"/>
        <w:tblLook w:val="04A0" w:firstRow="1" w:lastRow="0" w:firstColumn="1" w:lastColumn="0" w:noHBand="0" w:noVBand="1"/>
      </w:tblPr>
      <w:tblGrid>
        <w:gridCol w:w="2807"/>
        <w:gridCol w:w="1776"/>
        <w:gridCol w:w="5597"/>
        <w:gridCol w:w="8"/>
        <w:gridCol w:w="2090"/>
        <w:gridCol w:w="1751"/>
      </w:tblGrid>
      <w:tr w:rsidR="00F0155B" w:rsidRPr="00F0155B" w14:paraId="714DFD98" w14:textId="77777777" w:rsidTr="00C64295">
        <w:trPr>
          <w:trHeight w:val="485"/>
        </w:trPr>
        <w:tc>
          <w:tcPr>
            <w:tcW w:w="14029" w:type="dxa"/>
            <w:gridSpan w:val="6"/>
            <w:tcBorders>
              <w:top w:val="nil"/>
              <w:left w:val="nil"/>
              <w:right w:val="nil"/>
            </w:tcBorders>
            <w:shd w:val="clear" w:color="auto" w:fill="auto"/>
          </w:tcPr>
          <w:p w14:paraId="054CE085" w14:textId="1DF0AF0C" w:rsidR="00F0155B" w:rsidRPr="00F0155B" w:rsidRDefault="00F0155B" w:rsidP="00F0155B">
            <w:pPr>
              <w:rPr>
                <w:rFonts w:ascii="Times New Roman" w:hAnsi="Times New Roman" w:cs="Times New Roman"/>
                <w:b/>
                <w:sz w:val="18"/>
                <w:szCs w:val="18"/>
              </w:rPr>
            </w:pPr>
            <w:r w:rsidRPr="00F0155B">
              <w:rPr>
                <w:rFonts w:ascii="Times New Roman" w:hAnsi="Times New Roman" w:cs="Times New Roman"/>
                <w:b/>
                <w:bCs/>
                <w:color w:val="000000"/>
                <w:sz w:val="24"/>
                <w:szCs w:val="24"/>
                <w:lang w:eastAsia="fr-FR"/>
              </w:rPr>
              <w:lastRenderedPageBreak/>
              <w:t xml:space="preserve">Annex. </w:t>
            </w:r>
            <w:r w:rsidRPr="00F0155B">
              <w:rPr>
                <w:rFonts w:ascii="Times New Roman" w:hAnsi="Times New Roman" w:cs="Times New Roman"/>
                <w:b/>
                <w:bCs/>
                <w:color w:val="000000"/>
                <w:kern w:val="14"/>
                <w:sz w:val="24"/>
                <w:szCs w:val="24"/>
                <w:lang w:eastAsia="fr-FR"/>
              </w:rPr>
              <w:t xml:space="preserve">Results and resources framework for </w:t>
            </w:r>
            <w:r>
              <w:rPr>
                <w:rFonts w:ascii="Times New Roman" w:hAnsi="Times New Roman" w:cs="Times New Roman"/>
                <w:b/>
                <w:bCs/>
                <w:color w:val="000000"/>
                <w:kern w:val="14"/>
                <w:sz w:val="24"/>
                <w:szCs w:val="24"/>
                <w:lang w:eastAsia="fr-FR"/>
              </w:rPr>
              <w:t xml:space="preserve">South Sudan </w:t>
            </w:r>
            <w:r w:rsidRPr="00F0155B">
              <w:rPr>
                <w:rFonts w:ascii="Times New Roman" w:hAnsi="Times New Roman" w:cs="Times New Roman"/>
                <w:b/>
                <w:bCs/>
                <w:color w:val="000000"/>
                <w:kern w:val="14"/>
                <w:sz w:val="24"/>
                <w:szCs w:val="24"/>
                <w:lang w:eastAsia="fr-FR"/>
              </w:rPr>
              <w:t>(2019-202</w:t>
            </w:r>
            <w:r>
              <w:rPr>
                <w:rFonts w:ascii="Times New Roman" w:hAnsi="Times New Roman" w:cs="Times New Roman"/>
                <w:b/>
                <w:bCs/>
                <w:color w:val="000000"/>
                <w:kern w:val="14"/>
                <w:sz w:val="24"/>
                <w:szCs w:val="24"/>
                <w:lang w:eastAsia="fr-FR"/>
              </w:rPr>
              <w:t>1</w:t>
            </w:r>
            <w:r w:rsidRPr="00F0155B">
              <w:rPr>
                <w:rFonts w:ascii="Times New Roman" w:hAnsi="Times New Roman" w:cs="Times New Roman"/>
                <w:b/>
                <w:bCs/>
                <w:color w:val="000000"/>
                <w:kern w:val="14"/>
                <w:sz w:val="24"/>
                <w:szCs w:val="24"/>
                <w:lang w:eastAsia="fr-FR"/>
              </w:rPr>
              <w:t>)</w:t>
            </w:r>
          </w:p>
        </w:tc>
      </w:tr>
      <w:tr w:rsidR="00183BE7" w:rsidRPr="002A5068" w14:paraId="07F53325" w14:textId="77777777" w:rsidTr="001130D2">
        <w:trPr>
          <w:trHeight w:val="350"/>
        </w:trPr>
        <w:tc>
          <w:tcPr>
            <w:tcW w:w="14029" w:type="dxa"/>
            <w:gridSpan w:val="6"/>
            <w:shd w:val="clear" w:color="auto" w:fill="auto"/>
            <w:vAlign w:val="center"/>
          </w:tcPr>
          <w:p w14:paraId="7CB6B2C5" w14:textId="19DED384" w:rsidR="00183BE7" w:rsidRPr="002A5068" w:rsidRDefault="00183BE7" w:rsidP="00377E24">
            <w:pPr>
              <w:rPr>
                <w:rFonts w:ascii="Times New Roman" w:hAnsi="Times New Roman" w:cs="Times New Roman"/>
                <w:sz w:val="18"/>
                <w:szCs w:val="18"/>
              </w:rPr>
            </w:pPr>
            <w:r w:rsidRPr="002A5068">
              <w:rPr>
                <w:rFonts w:ascii="Times New Roman" w:hAnsi="Times New Roman" w:cs="Times New Roman"/>
                <w:b/>
                <w:sz w:val="18"/>
                <w:szCs w:val="18"/>
              </w:rPr>
              <w:t xml:space="preserve">National </w:t>
            </w:r>
            <w:r w:rsidR="00690801" w:rsidRPr="002A5068">
              <w:rPr>
                <w:rFonts w:ascii="Times New Roman" w:hAnsi="Times New Roman" w:cs="Times New Roman"/>
                <w:b/>
                <w:sz w:val="18"/>
                <w:szCs w:val="18"/>
              </w:rPr>
              <w:t>p</w:t>
            </w:r>
            <w:r w:rsidRPr="002A5068">
              <w:rPr>
                <w:rFonts w:ascii="Times New Roman" w:hAnsi="Times New Roman" w:cs="Times New Roman"/>
                <w:b/>
                <w:sz w:val="18"/>
                <w:szCs w:val="18"/>
              </w:rPr>
              <w:t>riority</w:t>
            </w:r>
            <w:r w:rsidRPr="002A5068">
              <w:rPr>
                <w:rFonts w:ascii="Times New Roman" w:hAnsi="Times New Roman" w:cs="Times New Roman"/>
                <w:sz w:val="18"/>
                <w:szCs w:val="18"/>
              </w:rPr>
              <w:t>: Consolidate peace: return the displaced, enforce the law, silence the guns; Stabili</w:t>
            </w:r>
            <w:r w:rsidR="00310CC4" w:rsidRPr="002A5068">
              <w:rPr>
                <w:rFonts w:ascii="Times New Roman" w:hAnsi="Times New Roman" w:cs="Times New Roman"/>
                <w:sz w:val="18"/>
                <w:szCs w:val="18"/>
              </w:rPr>
              <w:t>z</w:t>
            </w:r>
            <w:r w:rsidRPr="002A5068">
              <w:rPr>
                <w:rFonts w:ascii="Times New Roman" w:hAnsi="Times New Roman" w:cs="Times New Roman"/>
                <w:sz w:val="18"/>
                <w:szCs w:val="18"/>
              </w:rPr>
              <w:t>e and revitali</w:t>
            </w:r>
            <w:r w:rsidR="00310CC4" w:rsidRPr="002A5068">
              <w:rPr>
                <w:rFonts w:ascii="Times New Roman" w:hAnsi="Times New Roman" w:cs="Times New Roman"/>
                <w:sz w:val="18"/>
                <w:szCs w:val="18"/>
              </w:rPr>
              <w:t>z</w:t>
            </w:r>
            <w:r w:rsidRPr="002A5068">
              <w:rPr>
                <w:rFonts w:ascii="Times New Roman" w:hAnsi="Times New Roman" w:cs="Times New Roman"/>
                <w:sz w:val="18"/>
                <w:szCs w:val="18"/>
              </w:rPr>
              <w:t>e the national economy</w:t>
            </w:r>
            <w:r w:rsidR="00310CC4" w:rsidRPr="002A5068">
              <w:rPr>
                <w:rFonts w:ascii="Times New Roman" w:hAnsi="Times New Roman" w:cs="Times New Roman"/>
                <w:sz w:val="18"/>
                <w:szCs w:val="18"/>
              </w:rPr>
              <w:t>.</w:t>
            </w:r>
          </w:p>
        </w:tc>
      </w:tr>
      <w:tr w:rsidR="00183BE7" w:rsidRPr="002A5068" w14:paraId="78F71CA0" w14:textId="77777777" w:rsidTr="001130D2">
        <w:trPr>
          <w:trHeight w:val="350"/>
        </w:trPr>
        <w:tc>
          <w:tcPr>
            <w:tcW w:w="14029" w:type="dxa"/>
            <w:gridSpan w:val="6"/>
            <w:shd w:val="clear" w:color="auto" w:fill="auto"/>
            <w:vAlign w:val="center"/>
          </w:tcPr>
          <w:p w14:paraId="64B7C46B" w14:textId="77777777" w:rsidR="00183BE7" w:rsidRPr="002A5068" w:rsidRDefault="00183BE7" w:rsidP="00377E24">
            <w:pPr>
              <w:rPr>
                <w:rFonts w:ascii="Times New Roman" w:hAnsi="Times New Roman" w:cs="Times New Roman"/>
                <w:sz w:val="18"/>
                <w:szCs w:val="18"/>
              </w:rPr>
            </w:pPr>
            <w:r w:rsidRPr="002A5068">
              <w:rPr>
                <w:rFonts w:ascii="Times New Roman" w:eastAsia="Times New Roman" w:hAnsi="Times New Roman" w:cs="Times New Roman"/>
                <w:b/>
                <w:sz w:val="18"/>
                <w:szCs w:val="18"/>
              </w:rPr>
              <w:t xml:space="preserve">UNCF outcome 1: </w:t>
            </w:r>
            <w:r w:rsidRPr="002A5068">
              <w:rPr>
                <w:rFonts w:ascii="Times New Roman" w:eastAsia="Times New Roman" w:hAnsi="Times New Roman" w:cs="Times New Roman"/>
                <w:sz w:val="18"/>
                <w:szCs w:val="18"/>
              </w:rPr>
              <w:t>Strengthened peace infrastructures and accountable governance at the national, state and local levels.</w:t>
            </w:r>
          </w:p>
        </w:tc>
      </w:tr>
      <w:tr w:rsidR="00183BE7" w:rsidRPr="002A5068" w14:paraId="431E6D36" w14:textId="77777777" w:rsidTr="001130D2">
        <w:trPr>
          <w:trHeight w:val="350"/>
        </w:trPr>
        <w:tc>
          <w:tcPr>
            <w:tcW w:w="14029" w:type="dxa"/>
            <w:gridSpan w:val="6"/>
            <w:shd w:val="clear" w:color="auto" w:fill="auto"/>
            <w:vAlign w:val="center"/>
          </w:tcPr>
          <w:p w14:paraId="3B122B93" w14:textId="5FBBEC18" w:rsidR="00183BE7" w:rsidRPr="002A5068" w:rsidRDefault="00183BE7" w:rsidP="00377E24">
            <w:pPr>
              <w:rPr>
                <w:rFonts w:ascii="Times New Roman" w:hAnsi="Times New Roman" w:cs="Times New Roman"/>
                <w:b/>
                <w:sz w:val="18"/>
                <w:szCs w:val="18"/>
              </w:rPr>
            </w:pPr>
            <w:r w:rsidRPr="002A5068">
              <w:rPr>
                <w:rFonts w:ascii="Times New Roman" w:hAnsi="Times New Roman" w:cs="Times New Roman"/>
                <w:b/>
                <w:sz w:val="18"/>
                <w:szCs w:val="18"/>
              </w:rPr>
              <w:t xml:space="preserve">UNDP Strategic Plan outcome 3:   </w:t>
            </w:r>
            <w:r w:rsidRPr="002A5068">
              <w:rPr>
                <w:rFonts w:ascii="Times New Roman" w:hAnsi="Times New Roman" w:cs="Times New Roman"/>
                <w:sz w:val="18"/>
              </w:rPr>
              <w:t>Strengthen resilience to shocks and crises</w:t>
            </w:r>
            <w:r w:rsidR="00310CC4" w:rsidRPr="002A5068">
              <w:rPr>
                <w:rFonts w:ascii="Times New Roman" w:hAnsi="Times New Roman" w:cs="Times New Roman"/>
                <w:sz w:val="18"/>
                <w:szCs w:val="18"/>
              </w:rPr>
              <w:t>.</w:t>
            </w:r>
          </w:p>
        </w:tc>
      </w:tr>
      <w:tr w:rsidR="00183BE7" w:rsidRPr="002A5068" w14:paraId="0AD93539" w14:textId="77777777" w:rsidTr="00C64295">
        <w:tc>
          <w:tcPr>
            <w:tcW w:w="280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1507D0C" w14:textId="146533AA" w:rsidR="00183BE7" w:rsidRPr="002A5068" w:rsidRDefault="00183BE7" w:rsidP="00B16A6B">
            <w:pPr>
              <w:jc w:val="center"/>
              <w:rPr>
                <w:rFonts w:ascii="Times New Roman" w:hAnsi="Times New Roman" w:cs="Times New Roman"/>
                <w:b/>
                <w:sz w:val="18"/>
                <w:szCs w:val="18"/>
              </w:rPr>
            </w:pPr>
            <w:r w:rsidRPr="002A5068">
              <w:rPr>
                <w:rFonts w:ascii="Times New Roman" w:hAnsi="Times New Roman" w:cs="Times New Roman"/>
                <w:b/>
                <w:sz w:val="18"/>
              </w:rPr>
              <w:t>UNCF outcome indicators, baselines, and targets</w:t>
            </w:r>
          </w:p>
        </w:tc>
        <w:tc>
          <w:tcPr>
            <w:tcW w:w="1776" w:type="dxa"/>
            <w:tcBorders>
              <w:top w:val="single" w:sz="4" w:space="0" w:color="000000" w:themeColor="text1"/>
              <w:left w:val="single" w:sz="4" w:space="0" w:color="000000" w:themeColor="text1"/>
              <w:bottom w:val="single" w:sz="4" w:space="0" w:color="auto"/>
              <w:right w:val="single" w:sz="4" w:space="0" w:color="000000" w:themeColor="text1"/>
            </w:tcBorders>
          </w:tcPr>
          <w:p w14:paraId="07D9F354" w14:textId="097BC9E4" w:rsidR="00183BE7" w:rsidRPr="002A5068" w:rsidRDefault="00183BE7" w:rsidP="00B16A6B">
            <w:pPr>
              <w:jc w:val="center"/>
              <w:rPr>
                <w:rFonts w:ascii="Times New Roman" w:hAnsi="Times New Roman" w:cs="Times New Roman"/>
                <w:sz w:val="18"/>
                <w:szCs w:val="18"/>
              </w:rPr>
            </w:pPr>
            <w:r w:rsidRPr="002A5068">
              <w:rPr>
                <w:rFonts w:ascii="Times New Roman" w:hAnsi="Times New Roman" w:cs="Times New Roman"/>
                <w:b/>
                <w:sz w:val="18"/>
              </w:rPr>
              <w:t>Data source, frequency of data collection, and responsibilities</w:t>
            </w:r>
          </w:p>
        </w:tc>
        <w:tc>
          <w:tcPr>
            <w:tcW w:w="5605"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F58994F" w14:textId="6CFCEE17" w:rsidR="00183BE7" w:rsidRPr="002A5068" w:rsidRDefault="00183BE7" w:rsidP="00B16A6B">
            <w:pPr>
              <w:jc w:val="center"/>
              <w:rPr>
                <w:rFonts w:ascii="Times New Roman" w:hAnsi="Times New Roman" w:cs="Times New Roman"/>
                <w:sz w:val="18"/>
                <w:szCs w:val="18"/>
              </w:rPr>
            </w:pPr>
            <w:r w:rsidRPr="002A5068">
              <w:rPr>
                <w:rFonts w:ascii="Times New Roman" w:hAnsi="Times New Roman" w:cs="Times New Roman"/>
                <w:b/>
                <w:sz w:val="18"/>
              </w:rPr>
              <w:t>Indicative country programme outputs</w:t>
            </w:r>
            <w:r w:rsidRPr="002A5068">
              <w:rPr>
                <w:rStyle w:val="FootnoteReference"/>
                <w:rFonts w:ascii="Times New Roman" w:hAnsi="Times New Roman"/>
                <w:sz w:val="18"/>
              </w:rPr>
              <w:footnoteReference w:id="29"/>
            </w:r>
          </w:p>
        </w:tc>
        <w:tc>
          <w:tcPr>
            <w:tcW w:w="209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4FE4F18" w14:textId="77777777" w:rsidR="00183BE7" w:rsidRPr="002A5068" w:rsidRDefault="00183BE7" w:rsidP="00B16A6B">
            <w:pPr>
              <w:jc w:val="center"/>
              <w:rPr>
                <w:rFonts w:ascii="Times New Roman" w:hAnsi="Times New Roman" w:cs="Times New Roman"/>
                <w:sz w:val="18"/>
                <w:szCs w:val="18"/>
              </w:rPr>
            </w:pPr>
            <w:r w:rsidRPr="002A5068">
              <w:rPr>
                <w:rFonts w:ascii="Times New Roman" w:hAnsi="Times New Roman" w:cs="Times New Roman"/>
                <w:b/>
                <w:sz w:val="18"/>
              </w:rPr>
              <w:t>Major partners / Partnership frameworks</w:t>
            </w:r>
          </w:p>
        </w:tc>
        <w:tc>
          <w:tcPr>
            <w:tcW w:w="1751" w:type="dxa"/>
            <w:tcBorders>
              <w:top w:val="single" w:sz="4" w:space="0" w:color="000000" w:themeColor="text1"/>
              <w:left w:val="single" w:sz="4" w:space="0" w:color="000000" w:themeColor="text1"/>
              <w:bottom w:val="single" w:sz="4" w:space="0" w:color="auto"/>
              <w:right w:val="single" w:sz="4" w:space="0" w:color="000000" w:themeColor="text1"/>
            </w:tcBorders>
          </w:tcPr>
          <w:p w14:paraId="61CF9934" w14:textId="3E46E663" w:rsidR="00310CC4" w:rsidRPr="002A5068" w:rsidRDefault="00183BE7" w:rsidP="00B16A6B">
            <w:pPr>
              <w:ind w:left="89" w:right="49"/>
              <w:jc w:val="center"/>
              <w:rPr>
                <w:rFonts w:ascii="Times New Roman" w:hAnsi="Times New Roman" w:cs="Times New Roman"/>
                <w:b/>
                <w:sz w:val="18"/>
                <w:szCs w:val="18"/>
              </w:rPr>
            </w:pPr>
            <w:r w:rsidRPr="002A5068">
              <w:rPr>
                <w:rFonts w:ascii="Times New Roman" w:hAnsi="Times New Roman" w:cs="Times New Roman"/>
                <w:b/>
                <w:sz w:val="18"/>
              </w:rPr>
              <w:t>Indicative resources by outcome</w:t>
            </w:r>
          </w:p>
          <w:p w14:paraId="7B2D105A" w14:textId="30F46061" w:rsidR="00183BE7" w:rsidRPr="002A5068" w:rsidRDefault="00183BE7" w:rsidP="00B16A6B">
            <w:pPr>
              <w:ind w:left="89" w:right="49"/>
              <w:jc w:val="center"/>
              <w:rPr>
                <w:rFonts w:ascii="Times New Roman" w:hAnsi="Times New Roman" w:cs="Times New Roman"/>
                <w:sz w:val="18"/>
                <w:szCs w:val="18"/>
              </w:rPr>
            </w:pPr>
            <w:r w:rsidRPr="002A5068">
              <w:rPr>
                <w:rFonts w:ascii="Times New Roman" w:hAnsi="Times New Roman" w:cs="Times New Roman"/>
                <w:sz w:val="18"/>
                <w:szCs w:val="18"/>
              </w:rPr>
              <w:t>(</w:t>
            </w:r>
            <w:r w:rsidR="00310CC4" w:rsidRPr="002A5068">
              <w:rPr>
                <w:rFonts w:ascii="Times New Roman" w:hAnsi="Times New Roman" w:cs="Times New Roman"/>
                <w:i/>
                <w:sz w:val="18"/>
                <w:szCs w:val="18"/>
              </w:rPr>
              <w:t>United States dollars</w:t>
            </w:r>
            <w:r w:rsidRPr="002A5068">
              <w:rPr>
                <w:rFonts w:ascii="Times New Roman" w:hAnsi="Times New Roman" w:cs="Times New Roman"/>
                <w:sz w:val="18"/>
                <w:szCs w:val="18"/>
              </w:rPr>
              <w:t>)</w:t>
            </w:r>
          </w:p>
        </w:tc>
      </w:tr>
      <w:tr w:rsidR="00183BE7" w:rsidRPr="002A5068" w14:paraId="06C899BA" w14:textId="77777777" w:rsidTr="00C64295">
        <w:tc>
          <w:tcPr>
            <w:tcW w:w="2807" w:type="dxa"/>
            <w:vMerge w:val="restart"/>
            <w:tcBorders>
              <w:top w:val="single" w:sz="4" w:space="0" w:color="000000" w:themeColor="text1"/>
              <w:left w:val="single" w:sz="4" w:space="0" w:color="000000" w:themeColor="text1"/>
              <w:right w:val="single" w:sz="4" w:space="0" w:color="000000" w:themeColor="text1"/>
            </w:tcBorders>
          </w:tcPr>
          <w:p w14:paraId="49DB8E2B" w14:textId="41012B86" w:rsidR="00183BE7" w:rsidRPr="002A5068" w:rsidRDefault="00183BE7" w:rsidP="00377E24">
            <w:pPr>
              <w:rPr>
                <w:rFonts w:ascii="Times New Roman" w:eastAsia="Times New Roman" w:hAnsi="Times New Roman" w:cs="Times New Roman"/>
                <w:sz w:val="18"/>
                <w:szCs w:val="18"/>
              </w:rPr>
            </w:pPr>
            <w:r w:rsidRPr="002A5068">
              <w:rPr>
                <w:rFonts w:ascii="Times New Roman" w:eastAsia="Times New Roman" w:hAnsi="Times New Roman" w:cs="Times New Roman"/>
                <w:b/>
                <w:sz w:val="18"/>
                <w:szCs w:val="18"/>
              </w:rPr>
              <w:t>Indicator 1.1</w:t>
            </w:r>
            <w:r w:rsidR="00310CC4" w:rsidRPr="002A5068">
              <w:rPr>
                <w:rFonts w:ascii="Times New Roman" w:eastAsia="Times New Roman" w:hAnsi="Times New Roman" w:cs="Times New Roman"/>
                <w:b/>
                <w:sz w:val="18"/>
                <w:szCs w:val="18"/>
              </w:rPr>
              <w:t>.</w:t>
            </w:r>
            <w:r w:rsidRPr="002A5068">
              <w:rPr>
                <w:rFonts w:ascii="Times New Roman" w:eastAsia="Times New Roman" w:hAnsi="Times New Roman" w:cs="Times New Roman"/>
                <w:sz w:val="18"/>
                <w:szCs w:val="18"/>
              </w:rPr>
              <w:t xml:space="preserve"> Percentage of individual respondents with confidence in peace and security disaggregated by gender.</w:t>
            </w:r>
          </w:p>
          <w:p w14:paraId="06E9E5E2" w14:textId="77777777" w:rsidR="00183BE7" w:rsidRPr="002A5068" w:rsidRDefault="00183BE7" w:rsidP="00377E24">
            <w:pPr>
              <w:rPr>
                <w:rFonts w:ascii="Times New Roman" w:eastAsia="Times New Roman" w:hAnsi="Times New Roman" w:cs="Times New Roman"/>
                <w:sz w:val="18"/>
                <w:szCs w:val="18"/>
              </w:rPr>
            </w:pPr>
            <w:r w:rsidRPr="002A5068">
              <w:rPr>
                <w:rFonts w:ascii="Times New Roman" w:eastAsia="Times New Roman" w:hAnsi="Times New Roman" w:cs="Times New Roman"/>
                <w:b/>
                <w:sz w:val="18"/>
                <w:szCs w:val="18"/>
              </w:rPr>
              <w:t>Baseline:</w:t>
            </w:r>
            <w:r w:rsidRPr="002A5068">
              <w:rPr>
                <w:rFonts w:ascii="Times New Roman" w:eastAsia="Times New Roman" w:hAnsi="Times New Roman" w:cs="Times New Roman"/>
                <w:sz w:val="18"/>
                <w:szCs w:val="18"/>
              </w:rPr>
              <w:t xml:space="preserve"> 47.4% (46.6% male and 48.7% female) </w:t>
            </w:r>
          </w:p>
          <w:p w14:paraId="5624D5E8" w14:textId="77777777" w:rsidR="00183BE7" w:rsidRPr="002A5068" w:rsidRDefault="00183BE7" w:rsidP="00377E24">
            <w:pPr>
              <w:rPr>
                <w:rFonts w:ascii="Times New Roman" w:eastAsia="Times New Roman" w:hAnsi="Times New Roman" w:cs="Times New Roman"/>
                <w:b/>
                <w:sz w:val="18"/>
                <w:szCs w:val="18"/>
              </w:rPr>
            </w:pPr>
            <w:r w:rsidRPr="002A5068">
              <w:rPr>
                <w:rFonts w:ascii="Times New Roman" w:eastAsia="Times New Roman" w:hAnsi="Times New Roman" w:cs="Times New Roman"/>
                <w:b/>
                <w:sz w:val="18"/>
                <w:szCs w:val="18"/>
              </w:rPr>
              <w:t>Target:</w:t>
            </w:r>
            <w:r w:rsidRPr="002A5068">
              <w:rPr>
                <w:rFonts w:ascii="Times New Roman" w:eastAsia="Times New Roman" w:hAnsi="Times New Roman" w:cs="Times New Roman"/>
                <w:sz w:val="18"/>
                <w:szCs w:val="18"/>
              </w:rPr>
              <w:t xml:space="preserve"> 60% (58% male and 62% female)</w:t>
            </w:r>
          </w:p>
          <w:p w14:paraId="5E2F1812" w14:textId="77777777" w:rsidR="00183BE7" w:rsidRPr="002A5068" w:rsidRDefault="00183BE7" w:rsidP="00377E24">
            <w:pPr>
              <w:rPr>
                <w:rFonts w:ascii="Times New Roman" w:eastAsia="Times New Roman" w:hAnsi="Times New Roman" w:cs="Times New Roman"/>
                <w:b/>
                <w:sz w:val="18"/>
                <w:szCs w:val="18"/>
              </w:rPr>
            </w:pPr>
          </w:p>
          <w:p w14:paraId="4FBB4EDE" w14:textId="64EF7910" w:rsidR="00183BE7" w:rsidRPr="002A5068" w:rsidRDefault="00183BE7" w:rsidP="00377E24">
            <w:pPr>
              <w:rPr>
                <w:rFonts w:ascii="Times New Roman" w:eastAsia="Times New Roman" w:hAnsi="Times New Roman" w:cs="Times New Roman"/>
                <w:sz w:val="18"/>
                <w:szCs w:val="18"/>
              </w:rPr>
            </w:pPr>
            <w:r w:rsidRPr="002A5068">
              <w:rPr>
                <w:rFonts w:ascii="Times New Roman" w:eastAsia="Times New Roman" w:hAnsi="Times New Roman" w:cs="Times New Roman"/>
                <w:b/>
                <w:sz w:val="18"/>
                <w:szCs w:val="18"/>
              </w:rPr>
              <w:t>Indicator 1.2</w:t>
            </w:r>
            <w:r w:rsidR="00310CC4" w:rsidRPr="002A5068">
              <w:rPr>
                <w:rFonts w:ascii="Times New Roman" w:eastAsia="Times New Roman" w:hAnsi="Times New Roman" w:cs="Times New Roman"/>
                <w:b/>
                <w:sz w:val="18"/>
                <w:szCs w:val="18"/>
              </w:rPr>
              <w:t>.</w:t>
            </w:r>
            <w:r w:rsidRPr="002A5068">
              <w:rPr>
                <w:rFonts w:ascii="Times New Roman" w:eastAsia="Times New Roman" w:hAnsi="Times New Roman" w:cs="Times New Roman"/>
                <w:sz w:val="18"/>
                <w:szCs w:val="18"/>
              </w:rPr>
              <w:t xml:space="preserve"> </w:t>
            </w:r>
            <w:r w:rsidRPr="002A5068">
              <w:rPr>
                <w:rFonts w:ascii="Times New Roman" w:hAnsi="Times New Roman" w:cs="Times New Roman"/>
                <w:sz w:val="18"/>
                <w:szCs w:val="18"/>
              </w:rPr>
              <w:t>Number of agreed governance and security reforms implemented</w:t>
            </w:r>
            <w:r w:rsidR="00310CC4" w:rsidRPr="002A5068">
              <w:rPr>
                <w:rFonts w:ascii="Times New Roman" w:hAnsi="Times New Roman" w:cs="Times New Roman"/>
                <w:sz w:val="18"/>
                <w:szCs w:val="18"/>
              </w:rPr>
              <w:t>.</w:t>
            </w:r>
            <w:r w:rsidRPr="002A5068">
              <w:rPr>
                <w:rFonts w:ascii="Times New Roman" w:hAnsi="Times New Roman" w:cs="Times New Roman"/>
                <w:sz w:val="18"/>
                <w:szCs w:val="18"/>
              </w:rPr>
              <w:t xml:space="preserve"> </w:t>
            </w:r>
          </w:p>
          <w:p w14:paraId="5FCD7CCE" w14:textId="77777777" w:rsidR="00183BE7" w:rsidRPr="002A5068" w:rsidRDefault="00183BE7" w:rsidP="00377E24">
            <w:pPr>
              <w:rPr>
                <w:rFonts w:ascii="Times New Roman" w:eastAsia="Times New Roman" w:hAnsi="Times New Roman" w:cs="Times New Roman"/>
                <w:sz w:val="18"/>
                <w:szCs w:val="18"/>
              </w:rPr>
            </w:pPr>
            <w:r w:rsidRPr="002A5068">
              <w:rPr>
                <w:rFonts w:ascii="Times New Roman" w:eastAsia="Times New Roman" w:hAnsi="Times New Roman" w:cs="Times New Roman"/>
                <w:b/>
                <w:sz w:val="18"/>
                <w:szCs w:val="18"/>
              </w:rPr>
              <w:t>Baseline:</w:t>
            </w:r>
            <w:r w:rsidRPr="002A5068">
              <w:rPr>
                <w:rFonts w:ascii="Times New Roman" w:eastAsia="Times New Roman" w:hAnsi="Times New Roman" w:cs="Times New Roman"/>
                <w:sz w:val="18"/>
                <w:szCs w:val="18"/>
              </w:rPr>
              <w:t xml:space="preserve"> </w:t>
            </w:r>
          </w:p>
          <w:p w14:paraId="6939C2BA" w14:textId="77777777" w:rsidR="00183BE7" w:rsidRPr="002A5068" w:rsidRDefault="00183BE7" w:rsidP="00377E24">
            <w:pPr>
              <w:rPr>
                <w:rFonts w:ascii="Times New Roman" w:eastAsia="Times New Roman" w:hAnsi="Times New Roman" w:cs="Times New Roman"/>
                <w:sz w:val="18"/>
                <w:szCs w:val="18"/>
              </w:rPr>
            </w:pPr>
            <w:r w:rsidRPr="002A5068">
              <w:rPr>
                <w:rFonts w:ascii="Times New Roman" w:eastAsia="Times New Roman" w:hAnsi="Times New Roman" w:cs="Times New Roman"/>
                <w:sz w:val="18"/>
                <w:szCs w:val="18"/>
              </w:rPr>
              <w:t>Governance: 3</w:t>
            </w:r>
            <w:r w:rsidRPr="002A5068">
              <w:rPr>
                <w:rStyle w:val="FootnoteReference"/>
                <w:rFonts w:ascii="Times New Roman" w:eastAsia="Times New Roman" w:hAnsi="Times New Roman"/>
                <w:sz w:val="18"/>
                <w:szCs w:val="18"/>
              </w:rPr>
              <w:footnoteReference w:id="30"/>
            </w:r>
          </w:p>
          <w:p w14:paraId="67F035E1" w14:textId="77777777" w:rsidR="00183BE7" w:rsidRPr="002A5068" w:rsidRDefault="00183BE7" w:rsidP="00377E24">
            <w:pPr>
              <w:rPr>
                <w:rFonts w:ascii="Times New Roman" w:eastAsia="Times New Roman" w:hAnsi="Times New Roman" w:cs="Times New Roman"/>
                <w:sz w:val="18"/>
                <w:szCs w:val="18"/>
              </w:rPr>
            </w:pPr>
            <w:r w:rsidRPr="002A5068">
              <w:rPr>
                <w:rFonts w:ascii="Times New Roman" w:eastAsia="Times New Roman" w:hAnsi="Times New Roman" w:cs="Times New Roman"/>
                <w:sz w:val="18"/>
                <w:szCs w:val="18"/>
              </w:rPr>
              <w:t>Security: 0</w:t>
            </w:r>
          </w:p>
          <w:p w14:paraId="054FF08D" w14:textId="77777777" w:rsidR="00183BE7" w:rsidRPr="002A5068" w:rsidRDefault="00183BE7" w:rsidP="00377E24">
            <w:pPr>
              <w:pStyle w:val="NoSpacing"/>
              <w:ind w:right="144"/>
              <w:rPr>
                <w:rFonts w:ascii="Times New Roman" w:hAnsi="Times New Roman" w:cs="Times New Roman"/>
                <w:sz w:val="18"/>
              </w:rPr>
            </w:pPr>
            <w:r w:rsidRPr="002A5068">
              <w:rPr>
                <w:rFonts w:ascii="Times New Roman" w:hAnsi="Times New Roman" w:cs="Times New Roman"/>
                <w:b/>
                <w:sz w:val="18"/>
              </w:rPr>
              <w:t>Target:</w:t>
            </w:r>
            <w:r w:rsidRPr="002A5068">
              <w:rPr>
                <w:rFonts w:ascii="Times New Roman" w:hAnsi="Times New Roman" w:cs="Times New Roman"/>
                <w:sz w:val="18"/>
              </w:rPr>
              <w:t xml:space="preserve"> </w:t>
            </w:r>
          </w:p>
          <w:p w14:paraId="66CC15B4" w14:textId="77777777" w:rsidR="00183BE7" w:rsidRPr="002A5068" w:rsidRDefault="00183BE7" w:rsidP="00377E24">
            <w:pPr>
              <w:pStyle w:val="NoSpacing"/>
              <w:ind w:right="144"/>
              <w:rPr>
                <w:rFonts w:ascii="Times New Roman" w:hAnsi="Times New Roman" w:cs="Times New Roman"/>
                <w:sz w:val="18"/>
              </w:rPr>
            </w:pPr>
            <w:r w:rsidRPr="002A5068">
              <w:rPr>
                <w:rFonts w:ascii="Times New Roman" w:hAnsi="Times New Roman" w:cs="Times New Roman"/>
                <w:sz w:val="18"/>
              </w:rPr>
              <w:t>Governance: 15</w:t>
            </w:r>
          </w:p>
          <w:p w14:paraId="3E699B58" w14:textId="77777777" w:rsidR="00183BE7" w:rsidRPr="002A5068" w:rsidRDefault="00183BE7" w:rsidP="00377E24">
            <w:pPr>
              <w:pStyle w:val="NoSpacing"/>
              <w:ind w:right="144"/>
              <w:rPr>
                <w:rFonts w:ascii="Times New Roman" w:hAnsi="Times New Roman" w:cs="Times New Roman"/>
                <w:sz w:val="18"/>
              </w:rPr>
            </w:pPr>
            <w:r w:rsidRPr="002A5068">
              <w:rPr>
                <w:rFonts w:ascii="Times New Roman" w:hAnsi="Times New Roman" w:cs="Times New Roman"/>
                <w:sz w:val="18"/>
              </w:rPr>
              <w:t>Security: 3</w:t>
            </w:r>
          </w:p>
          <w:p w14:paraId="74794998" w14:textId="77777777" w:rsidR="00183BE7" w:rsidRPr="002A5068" w:rsidRDefault="00183BE7" w:rsidP="00377E24">
            <w:pPr>
              <w:pStyle w:val="NoSpacing"/>
              <w:ind w:right="144"/>
              <w:rPr>
                <w:rFonts w:ascii="Times New Roman" w:hAnsi="Times New Roman" w:cs="Times New Roman"/>
                <w:b/>
                <w:sz w:val="18"/>
              </w:rPr>
            </w:pPr>
          </w:p>
          <w:p w14:paraId="6C09491F" w14:textId="0789EF27" w:rsidR="00183BE7" w:rsidRPr="002A5068" w:rsidRDefault="00183BE7" w:rsidP="00377E24">
            <w:pPr>
              <w:pStyle w:val="NoSpacing"/>
              <w:ind w:right="144"/>
              <w:rPr>
                <w:rFonts w:ascii="Times New Roman" w:hAnsi="Times New Roman" w:cs="Times New Roman"/>
                <w:sz w:val="18"/>
              </w:rPr>
            </w:pPr>
            <w:r w:rsidRPr="002A5068">
              <w:rPr>
                <w:rFonts w:ascii="Times New Roman" w:hAnsi="Times New Roman" w:cs="Times New Roman"/>
                <w:b/>
                <w:sz w:val="18"/>
              </w:rPr>
              <w:t>Indicator 1.3</w:t>
            </w:r>
            <w:r w:rsidR="00310CC4" w:rsidRPr="002A5068">
              <w:rPr>
                <w:rFonts w:ascii="Times New Roman" w:eastAsia="Times New Roman" w:hAnsi="Times New Roman" w:cs="Times New Roman"/>
                <w:b/>
                <w:sz w:val="18"/>
                <w:szCs w:val="18"/>
              </w:rPr>
              <w:t>.</w:t>
            </w:r>
            <w:r w:rsidRPr="002A5068">
              <w:rPr>
                <w:rFonts w:ascii="Times New Roman" w:hAnsi="Times New Roman" w:cs="Times New Roman"/>
                <w:sz w:val="18"/>
              </w:rPr>
              <w:t xml:space="preserve"> Number of national and </w:t>
            </w:r>
            <w:r w:rsidRPr="002A5068">
              <w:rPr>
                <w:rFonts w:ascii="Times New Roman" w:eastAsia="Times New Roman" w:hAnsi="Times New Roman" w:cs="Times New Roman"/>
                <w:sz w:val="18"/>
                <w:szCs w:val="18"/>
              </w:rPr>
              <w:t>subnational</w:t>
            </w:r>
            <w:r w:rsidRPr="002A5068">
              <w:rPr>
                <w:rFonts w:ascii="Times New Roman" w:hAnsi="Times New Roman" w:cs="Times New Roman"/>
                <w:sz w:val="18"/>
              </w:rPr>
              <w:t xml:space="preserve"> development policies, plans, budgets that are </w:t>
            </w:r>
            <w:r w:rsidR="00310CC4" w:rsidRPr="002A5068">
              <w:rPr>
                <w:rFonts w:ascii="Times New Roman" w:eastAsia="Times New Roman" w:hAnsi="Times New Roman" w:cs="Times New Roman"/>
                <w:sz w:val="18"/>
                <w:szCs w:val="18"/>
              </w:rPr>
              <w:t>Goals-</w:t>
            </w:r>
            <w:r w:rsidRPr="002A5068">
              <w:rPr>
                <w:rFonts w:ascii="Times New Roman" w:hAnsi="Times New Roman" w:cs="Times New Roman"/>
                <w:sz w:val="18"/>
              </w:rPr>
              <w:t>aligned, inclusive and utilize gender disaggregated data.</w:t>
            </w:r>
          </w:p>
          <w:p w14:paraId="3B4722AC" w14:textId="77777777" w:rsidR="00183BE7" w:rsidRPr="002A5068" w:rsidRDefault="00183BE7" w:rsidP="00377E24">
            <w:pPr>
              <w:pStyle w:val="NoSpacing"/>
              <w:ind w:right="144"/>
              <w:rPr>
                <w:rFonts w:ascii="Times New Roman" w:hAnsi="Times New Roman" w:cs="Times New Roman"/>
                <w:sz w:val="18"/>
              </w:rPr>
            </w:pPr>
            <w:r w:rsidRPr="002A5068">
              <w:rPr>
                <w:rFonts w:ascii="Times New Roman" w:hAnsi="Times New Roman" w:cs="Times New Roman"/>
                <w:b/>
                <w:sz w:val="18"/>
              </w:rPr>
              <w:t>Baseline</w:t>
            </w:r>
            <w:r w:rsidRPr="002A5068">
              <w:rPr>
                <w:rFonts w:ascii="Times New Roman" w:hAnsi="Times New Roman" w:cs="Times New Roman"/>
                <w:sz w:val="18"/>
              </w:rPr>
              <w:t>: 1</w:t>
            </w:r>
          </w:p>
          <w:p w14:paraId="3309F66E" w14:textId="77777777" w:rsidR="00183BE7" w:rsidRPr="002A5068" w:rsidRDefault="00183BE7" w:rsidP="00377E24">
            <w:pPr>
              <w:pStyle w:val="NoSpacing"/>
              <w:ind w:right="144"/>
              <w:rPr>
                <w:rFonts w:ascii="Times New Roman" w:hAnsi="Times New Roman" w:cs="Times New Roman"/>
                <w:sz w:val="18"/>
              </w:rPr>
            </w:pPr>
            <w:r w:rsidRPr="002A5068">
              <w:rPr>
                <w:rFonts w:ascii="Times New Roman" w:hAnsi="Times New Roman" w:cs="Times New Roman"/>
                <w:b/>
                <w:sz w:val="18"/>
              </w:rPr>
              <w:t>Target</w:t>
            </w:r>
            <w:r w:rsidRPr="002A5068">
              <w:rPr>
                <w:rFonts w:ascii="Times New Roman" w:hAnsi="Times New Roman" w:cs="Times New Roman"/>
                <w:sz w:val="18"/>
              </w:rPr>
              <w:t>: 5</w:t>
            </w:r>
          </w:p>
          <w:p w14:paraId="203F9A8D" w14:textId="77777777" w:rsidR="00183BE7" w:rsidRPr="002A5068" w:rsidRDefault="00183BE7" w:rsidP="00377E24">
            <w:pPr>
              <w:spacing w:after="7"/>
              <w:ind w:left="142" w:right="110"/>
              <w:jc w:val="both"/>
              <w:rPr>
                <w:rFonts w:ascii="Times New Roman" w:hAnsi="Times New Roman" w:cs="Times New Roman"/>
                <w:b/>
                <w:bCs/>
                <w:sz w:val="18"/>
                <w:szCs w:val="18"/>
              </w:rPr>
            </w:pPr>
          </w:p>
        </w:tc>
        <w:tc>
          <w:tcPr>
            <w:tcW w:w="1776" w:type="dxa"/>
            <w:vMerge w:val="restart"/>
            <w:tcBorders>
              <w:top w:val="single" w:sz="4" w:space="0" w:color="000000" w:themeColor="text1"/>
              <w:left w:val="single" w:sz="4" w:space="0" w:color="000000" w:themeColor="text1"/>
              <w:right w:val="single" w:sz="4" w:space="0" w:color="000000" w:themeColor="text1"/>
            </w:tcBorders>
          </w:tcPr>
          <w:p w14:paraId="4318DCBA" w14:textId="77777777" w:rsidR="00183BE7" w:rsidRPr="002A5068" w:rsidRDefault="00183BE7" w:rsidP="00377E24">
            <w:pPr>
              <w:rPr>
                <w:rFonts w:ascii="Times New Roman" w:hAnsi="Times New Roman" w:cs="Times New Roman"/>
                <w:sz w:val="18"/>
                <w:szCs w:val="18"/>
              </w:rPr>
            </w:pPr>
          </w:p>
          <w:p w14:paraId="2BD8ACAE" w14:textId="7B684BAC" w:rsidR="00183BE7" w:rsidRPr="002A5068" w:rsidRDefault="00183BE7" w:rsidP="00377E24">
            <w:pPr>
              <w:ind w:right="87"/>
              <w:jc w:val="both"/>
              <w:rPr>
                <w:rFonts w:ascii="Times New Roman" w:hAnsi="Times New Roman" w:cs="Times New Roman"/>
                <w:sz w:val="18"/>
                <w:szCs w:val="18"/>
              </w:rPr>
            </w:pPr>
            <w:r w:rsidRPr="002A5068">
              <w:rPr>
                <w:rFonts w:ascii="Times New Roman" w:hAnsi="Times New Roman" w:cs="Times New Roman"/>
                <w:sz w:val="18"/>
                <w:szCs w:val="18"/>
              </w:rPr>
              <w:t xml:space="preserve">Perception </w:t>
            </w:r>
            <w:r w:rsidR="00310CC4" w:rsidRPr="002A5068">
              <w:rPr>
                <w:rFonts w:ascii="Times New Roman" w:hAnsi="Times New Roman" w:cs="Times New Roman"/>
                <w:sz w:val="18"/>
                <w:szCs w:val="18"/>
              </w:rPr>
              <w:t>s</w:t>
            </w:r>
            <w:r w:rsidRPr="002A5068">
              <w:rPr>
                <w:rFonts w:ascii="Times New Roman" w:hAnsi="Times New Roman" w:cs="Times New Roman"/>
                <w:sz w:val="18"/>
                <w:szCs w:val="18"/>
              </w:rPr>
              <w:t xml:space="preserve">urvey, </w:t>
            </w:r>
            <w:r w:rsidR="00310CC4" w:rsidRPr="002A5068">
              <w:rPr>
                <w:rFonts w:ascii="Times New Roman" w:hAnsi="Times New Roman" w:cs="Times New Roman"/>
                <w:sz w:val="18"/>
                <w:szCs w:val="18"/>
              </w:rPr>
              <w:t>s</w:t>
            </w:r>
            <w:r w:rsidRPr="002A5068">
              <w:rPr>
                <w:rFonts w:ascii="Times New Roman" w:hAnsi="Times New Roman" w:cs="Times New Roman"/>
                <w:sz w:val="18"/>
                <w:szCs w:val="18"/>
              </w:rPr>
              <w:t xml:space="preserve">ocial </w:t>
            </w:r>
            <w:r w:rsidR="00310CC4" w:rsidRPr="002A5068">
              <w:rPr>
                <w:rFonts w:ascii="Times New Roman" w:hAnsi="Times New Roman" w:cs="Times New Roman"/>
                <w:sz w:val="18"/>
                <w:szCs w:val="18"/>
              </w:rPr>
              <w:t>c</w:t>
            </w:r>
            <w:r w:rsidRPr="002A5068">
              <w:rPr>
                <w:rFonts w:ascii="Times New Roman" w:hAnsi="Times New Roman" w:cs="Times New Roman"/>
                <w:sz w:val="18"/>
                <w:szCs w:val="18"/>
              </w:rPr>
              <w:t xml:space="preserve">ohesion and </w:t>
            </w:r>
            <w:r w:rsidR="00310CC4" w:rsidRPr="002A5068">
              <w:rPr>
                <w:rFonts w:ascii="Times New Roman" w:hAnsi="Times New Roman" w:cs="Times New Roman"/>
                <w:sz w:val="18"/>
                <w:szCs w:val="18"/>
              </w:rPr>
              <w:t>r</w:t>
            </w:r>
            <w:r w:rsidRPr="002A5068">
              <w:rPr>
                <w:rFonts w:ascii="Times New Roman" w:hAnsi="Times New Roman" w:cs="Times New Roman"/>
                <w:sz w:val="18"/>
                <w:szCs w:val="18"/>
              </w:rPr>
              <w:t xml:space="preserve">econciliation (SCORE) </w:t>
            </w:r>
            <w:r w:rsidR="00310CC4" w:rsidRPr="002A5068">
              <w:rPr>
                <w:rFonts w:ascii="Times New Roman" w:hAnsi="Times New Roman" w:cs="Times New Roman"/>
                <w:sz w:val="18"/>
                <w:szCs w:val="18"/>
              </w:rPr>
              <w:t>i</w:t>
            </w:r>
            <w:r w:rsidRPr="002A5068">
              <w:rPr>
                <w:rFonts w:ascii="Times New Roman" w:hAnsi="Times New Roman" w:cs="Times New Roman"/>
                <w:sz w:val="18"/>
                <w:szCs w:val="18"/>
              </w:rPr>
              <w:t xml:space="preserve">ndex </w:t>
            </w:r>
          </w:p>
          <w:p w14:paraId="32655246" w14:textId="6B2C0011" w:rsidR="00183BE7" w:rsidRPr="002A5068" w:rsidRDefault="00183BE7" w:rsidP="00377E24">
            <w:pPr>
              <w:rPr>
                <w:rFonts w:ascii="Times New Roman" w:hAnsi="Times New Roman" w:cs="Times New Roman"/>
                <w:sz w:val="18"/>
                <w:szCs w:val="18"/>
              </w:rPr>
            </w:pPr>
            <w:r w:rsidRPr="002A5068">
              <w:rPr>
                <w:rFonts w:ascii="Times New Roman" w:hAnsi="Times New Roman" w:cs="Times New Roman"/>
                <w:sz w:val="18"/>
                <w:szCs w:val="18"/>
              </w:rPr>
              <w:t>(periodic, UNDP)</w:t>
            </w:r>
          </w:p>
          <w:p w14:paraId="741210B5" w14:textId="77777777" w:rsidR="00183BE7" w:rsidRPr="002A5068" w:rsidRDefault="00183BE7" w:rsidP="00377E24">
            <w:pPr>
              <w:rPr>
                <w:rFonts w:ascii="Times New Roman" w:hAnsi="Times New Roman" w:cs="Times New Roman"/>
                <w:sz w:val="18"/>
                <w:szCs w:val="18"/>
              </w:rPr>
            </w:pPr>
          </w:p>
          <w:p w14:paraId="7417E251" w14:textId="77777777" w:rsidR="00183BE7" w:rsidRPr="002A5068" w:rsidRDefault="00183BE7" w:rsidP="00377E24">
            <w:pPr>
              <w:rPr>
                <w:rFonts w:ascii="Times New Roman" w:hAnsi="Times New Roman" w:cs="Times New Roman"/>
                <w:sz w:val="18"/>
                <w:szCs w:val="18"/>
              </w:rPr>
            </w:pPr>
          </w:p>
          <w:p w14:paraId="5352334A" w14:textId="77777777" w:rsidR="00183BE7" w:rsidRPr="002A5068" w:rsidRDefault="00183BE7" w:rsidP="00377E24">
            <w:pPr>
              <w:rPr>
                <w:rFonts w:ascii="Times New Roman" w:hAnsi="Times New Roman" w:cs="Times New Roman"/>
                <w:sz w:val="18"/>
                <w:szCs w:val="18"/>
              </w:rPr>
            </w:pPr>
            <w:r w:rsidRPr="002A5068">
              <w:rPr>
                <w:rFonts w:ascii="Times New Roman" w:hAnsi="Times New Roman" w:cs="Times New Roman"/>
                <w:sz w:val="18"/>
                <w:szCs w:val="18"/>
              </w:rPr>
              <w:t>Independent evaluations (periodic, UNDP)</w:t>
            </w:r>
          </w:p>
          <w:p w14:paraId="13866D16" w14:textId="77777777" w:rsidR="00183BE7" w:rsidRPr="002A5068" w:rsidRDefault="00183BE7" w:rsidP="00377E24">
            <w:pPr>
              <w:rPr>
                <w:rFonts w:ascii="Times New Roman" w:hAnsi="Times New Roman" w:cs="Times New Roman"/>
                <w:sz w:val="18"/>
                <w:szCs w:val="18"/>
              </w:rPr>
            </w:pPr>
          </w:p>
          <w:p w14:paraId="35C465A8" w14:textId="120B6C50" w:rsidR="00183BE7" w:rsidRPr="002A5068" w:rsidRDefault="00011A49" w:rsidP="00377E24">
            <w:pPr>
              <w:rPr>
                <w:rFonts w:ascii="Times New Roman" w:hAnsi="Times New Roman" w:cs="Times New Roman"/>
                <w:sz w:val="18"/>
                <w:szCs w:val="18"/>
              </w:rPr>
            </w:pPr>
            <w:r w:rsidRPr="002A5068">
              <w:rPr>
                <w:rFonts w:ascii="Times New Roman" w:hAnsi="Times New Roman" w:cs="Times New Roman"/>
                <w:sz w:val="18"/>
                <w:szCs w:val="18"/>
              </w:rPr>
              <w:t>Joint Monitoring and Evaluation Committee (</w:t>
            </w:r>
            <w:r w:rsidR="00183BE7" w:rsidRPr="002A5068">
              <w:rPr>
                <w:rFonts w:ascii="Times New Roman" w:hAnsi="Times New Roman" w:cs="Times New Roman"/>
                <w:sz w:val="18"/>
                <w:szCs w:val="18"/>
              </w:rPr>
              <w:t>JMEC</w:t>
            </w:r>
            <w:r w:rsidRPr="002A5068">
              <w:rPr>
                <w:rFonts w:ascii="Times New Roman" w:hAnsi="Times New Roman" w:cs="Times New Roman"/>
                <w:sz w:val="18"/>
                <w:szCs w:val="18"/>
              </w:rPr>
              <w:t>)</w:t>
            </w:r>
            <w:r w:rsidR="00183BE7" w:rsidRPr="002A5068">
              <w:rPr>
                <w:rFonts w:ascii="Times New Roman" w:hAnsi="Times New Roman" w:cs="Times New Roman"/>
                <w:sz w:val="18"/>
                <w:szCs w:val="18"/>
              </w:rPr>
              <w:t xml:space="preserve"> report (annual, UNNDP)</w:t>
            </w:r>
          </w:p>
          <w:p w14:paraId="4A7C9D6C" w14:textId="77777777" w:rsidR="00183BE7" w:rsidRPr="002A5068" w:rsidRDefault="00183BE7" w:rsidP="00377E24">
            <w:pPr>
              <w:rPr>
                <w:rFonts w:ascii="Times New Roman" w:hAnsi="Times New Roman" w:cs="Times New Roman"/>
                <w:sz w:val="18"/>
                <w:szCs w:val="18"/>
              </w:rPr>
            </w:pPr>
          </w:p>
          <w:p w14:paraId="29B00556" w14:textId="77777777" w:rsidR="00183BE7" w:rsidRPr="002A5068" w:rsidRDefault="00183BE7" w:rsidP="00377E24">
            <w:pPr>
              <w:rPr>
                <w:rFonts w:ascii="Times New Roman" w:hAnsi="Times New Roman" w:cs="Times New Roman"/>
                <w:sz w:val="18"/>
                <w:szCs w:val="18"/>
              </w:rPr>
            </w:pPr>
            <w:r w:rsidRPr="002A5068">
              <w:rPr>
                <w:rFonts w:ascii="Times New Roman" w:hAnsi="Times New Roman" w:cs="Times New Roman"/>
                <w:sz w:val="18"/>
                <w:szCs w:val="18"/>
              </w:rPr>
              <w:t xml:space="preserve">National institutions’ reports (periodic, UNDP) </w:t>
            </w:r>
          </w:p>
          <w:p w14:paraId="60C98A8F" w14:textId="77777777" w:rsidR="00183BE7" w:rsidRPr="002A5068" w:rsidRDefault="00183BE7" w:rsidP="00377E24">
            <w:pPr>
              <w:rPr>
                <w:rFonts w:ascii="Times New Roman" w:hAnsi="Times New Roman" w:cs="Times New Roman"/>
                <w:sz w:val="18"/>
                <w:szCs w:val="18"/>
              </w:rPr>
            </w:pPr>
          </w:p>
          <w:p w14:paraId="2ED57361" w14:textId="77777777" w:rsidR="00183BE7" w:rsidRPr="002A5068" w:rsidRDefault="00183BE7" w:rsidP="00377E24">
            <w:pPr>
              <w:rPr>
                <w:rFonts w:ascii="Times New Roman" w:hAnsi="Times New Roman" w:cs="Times New Roman"/>
                <w:sz w:val="18"/>
                <w:szCs w:val="18"/>
              </w:rPr>
            </w:pPr>
            <w:r w:rsidRPr="002A5068">
              <w:rPr>
                <w:rFonts w:ascii="Times New Roman" w:hAnsi="Times New Roman" w:cs="Times New Roman"/>
                <w:sz w:val="18"/>
                <w:szCs w:val="18"/>
              </w:rPr>
              <w:t>Independent evaluations (periodic, UNDP)</w:t>
            </w:r>
          </w:p>
          <w:p w14:paraId="4DB82B80" w14:textId="77777777" w:rsidR="00183BE7" w:rsidRPr="002A5068" w:rsidRDefault="00183BE7" w:rsidP="00377E24">
            <w:pPr>
              <w:spacing w:after="12"/>
              <w:jc w:val="both"/>
              <w:rPr>
                <w:rFonts w:ascii="Times New Roman" w:hAnsi="Times New Roman" w:cs="Times New Roman"/>
                <w:sz w:val="18"/>
                <w:szCs w:val="18"/>
              </w:rPr>
            </w:pPr>
            <w:r w:rsidRPr="002A5068">
              <w:rPr>
                <w:rFonts w:ascii="Times New Roman" w:hAnsi="Times New Roman" w:cs="Times New Roman"/>
                <w:sz w:val="18"/>
                <w:szCs w:val="18"/>
              </w:rPr>
              <w:t xml:space="preserve">National and state strategic </w:t>
            </w:r>
            <w:r w:rsidRPr="002A5068">
              <w:rPr>
                <w:rFonts w:ascii="Times New Roman" w:hAnsi="Times New Roman" w:cs="Times New Roman"/>
                <w:sz w:val="18"/>
                <w:szCs w:val="18"/>
              </w:rPr>
              <w:lastRenderedPageBreak/>
              <w:t>planning/budget documents (periodic, UNDP)</w:t>
            </w:r>
          </w:p>
          <w:p w14:paraId="2D69B07B" w14:textId="77777777" w:rsidR="00183BE7" w:rsidRPr="002A5068" w:rsidRDefault="00183BE7" w:rsidP="00377E24">
            <w:pPr>
              <w:spacing w:after="12"/>
              <w:jc w:val="both"/>
              <w:rPr>
                <w:rFonts w:ascii="Times New Roman" w:hAnsi="Times New Roman" w:cs="Times New Roman"/>
                <w:sz w:val="18"/>
                <w:szCs w:val="18"/>
              </w:rPr>
            </w:pPr>
          </w:p>
          <w:p w14:paraId="18CBA1D9" w14:textId="77777777" w:rsidR="00183BE7" w:rsidRPr="002A5068" w:rsidRDefault="00183BE7" w:rsidP="00377E24">
            <w:pPr>
              <w:rPr>
                <w:rFonts w:ascii="Times New Roman" w:hAnsi="Times New Roman" w:cs="Times New Roman"/>
                <w:sz w:val="18"/>
                <w:szCs w:val="18"/>
              </w:rPr>
            </w:pPr>
            <w:r w:rsidRPr="002A5068">
              <w:rPr>
                <w:rFonts w:ascii="Times New Roman" w:hAnsi="Times New Roman" w:cs="Times New Roman"/>
                <w:sz w:val="18"/>
                <w:szCs w:val="18"/>
              </w:rPr>
              <w:t xml:space="preserve">National institutions’ reports (periodic, UNDP) </w:t>
            </w:r>
          </w:p>
          <w:p w14:paraId="1CF090BF" w14:textId="7CB0DEF7" w:rsidR="00183BE7" w:rsidRDefault="00183BE7" w:rsidP="00377E24">
            <w:pPr>
              <w:rPr>
                <w:rFonts w:ascii="Times New Roman" w:hAnsi="Times New Roman" w:cs="Times New Roman"/>
                <w:sz w:val="18"/>
                <w:szCs w:val="18"/>
              </w:rPr>
            </w:pPr>
          </w:p>
          <w:p w14:paraId="286698ED" w14:textId="77777777" w:rsidR="00400A12" w:rsidRPr="002A5068" w:rsidRDefault="00400A12" w:rsidP="00377E24">
            <w:pPr>
              <w:rPr>
                <w:rFonts w:ascii="Times New Roman" w:hAnsi="Times New Roman" w:cs="Times New Roman"/>
                <w:sz w:val="18"/>
                <w:szCs w:val="18"/>
              </w:rPr>
            </w:pPr>
          </w:p>
          <w:p w14:paraId="53EDA722" w14:textId="5B46EE56" w:rsidR="00183BE7" w:rsidRPr="002A5068" w:rsidRDefault="00183BE7" w:rsidP="00377E24">
            <w:pPr>
              <w:rPr>
                <w:rFonts w:ascii="Times New Roman" w:hAnsi="Times New Roman" w:cs="Times New Roman"/>
                <w:sz w:val="18"/>
                <w:szCs w:val="18"/>
              </w:rPr>
            </w:pPr>
            <w:r w:rsidRPr="002A5068">
              <w:rPr>
                <w:rFonts w:ascii="Times New Roman" w:hAnsi="Times New Roman" w:cs="Times New Roman"/>
                <w:sz w:val="18"/>
                <w:szCs w:val="18"/>
              </w:rPr>
              <w:t>Independent evaluations (periodic, UNDP)</w:t>
            </w:r>
          </w:p>
        </w:tc>
        <w:tc>
          <w:tcPr>
            <w:tcW w:w="5605" w:type="dxa"/>
            <w:gridSpan w:val="2"/>
            <w:tcBorders>
              <w:top w:val="single" w:sz="4" w:space="0" w:color="000000" w:themeColor="text1"/>
              <w:left w:val="single" w:sz="4" w:space="0" w:color="000000" w:themeColor="text1"/>
              <w:right w:val="single" w:sz="4" w:space="0" w:color="000000" w:themeColor="text1"/>
            </w:tcBorders>
          </w:tcPr>
          <w:p w14:paraId="5F31A295" w14:textId="60B6149A" w:rsidR="00183BE7" w:rsidRPr="002A5068" w:rsidRDefault="00183BE7" w:rsidP="00377E24">
            <w:pPr>
              <w:ind w:right="229" w:hanging="13"/>
              <w:jc w:val="both"/>
              <w:rPr>
                <w:rFonts w:ascii="Times New Roman" w:hAnsi="Times New Roman" w:cs="Times New Roman"/>
                <w:sz w:val="18"/>
                <w:szCs w:val="18"/>
              </w:rPr>
            </w:pPr>
            <w:r w:rsidRPr="002A5068">
              <w:rPr>
                <w:rFonts w:ascii="Times New Roman" w:hAnsi="Times New Roman" w:cs="Times New Roman"/>
                <w:b/>
                <w:bCs/>
                <w:sz w:val="18"/>
                <w:szCs w:val="18"/>
              </w:rPr>
              <w:lastRenderedPageBreak/>
              <w:t>Output 1.1</w:t>
            </w:r>
            <w:r w:rsidR="00162D42" w:rsidRPr="002A5068">
              <w:rPr>
                <w:rFonts w:ascii="Times New Roman" w:hAnsi="Times New Roman" w:cs="Times New Roman"/>
                <w:b/>
                <w:bCs/>
                <w:sz w:val="18"/>
                <w:szCs w:val="18"/>
              </w:rPr>
              <w:t>.</w:t>
            </w:r>
            <w:r w:rsidRPr="002A5068">
              <w:rPr>
                <w:rFonts w:ascii="Times New Roman" w:hAnsi="Times New Roman" w:cs="Times New Roman"/>
                <w:sz w:val="18"/>
                <w:szCs w:val="18"/>
              </w:rPr>
              <w:t xml:space="preserve"> Strengthened communities and local-level institutions capacity to foster peaceful coexistence, management of resource based conflicts and community cohesion</w:t>
            </w:r>
            <w:r w:rsidR="00162D42" w:rsidRPr="002A5068">
              <w:rPr>
                <w:rFonts w:ascii="Times New Roman" w:hAnsi="Times New Roman" w:cs="Times New Roman"/>
                <w:sz w:val="18"/>
                <w:szCs w:val="18"/>
              </w:rPr>
              <w:t>.</w:t>
            </w:r>
          </w:p>
          <w:p w14:paraId="5A85C877" w14:textId="77777777" w:rsidR="00162D42" w:rsidRPr="002A5068" w:rsidRDefault="00162D42" w:rsidP="00F55E9E">
            <w:pPr>
              <w:ind w:right="229"/>
              <w:jc w:val="both"/>
              <w:rPr>
                <w:rFonts w:ascii="Times New Roman" w:eastAsia="Times New Roman" w:hAnsi="Times New Roman" w:cs="Times New Roman"/>
                <w:sz w:val="18"/>
                <w:szCs w:val="18"/>
                <w:lang w:val="en-US"/>
              </w:rPr>
            </w:pPr>
          </w:p>
          <w:p w14:paraId="7532ED79" w14:textId="44412F29" w:rsidR="00183BE7" w:rsidRPr="002A5068" w:rsidRDefault="00183BE7" w:rsidP="00F55E9E">
            <w:pPr>
              <w:ind w:right="229"/>
              <w:jc w:val="both"/>
              <w:rPr>
                <w:rFonts w:ascii="Times New Roman" w:eastAsiaTheme="majorEastAsia" w:hAnsi="Times New Roman" w:cs="Times New Roman"/>
                <w:i/>
                <w:iCs/>
                <w:color w:val="404040" w:themeColor="text1" w:themeTint="BF"/>
                <w:sz w:val="18"/>
                <w:szCs w:val="18"/>
                <w:lang w:val="en-US"/>
              </w:rPr>
            </w:pPr>
            <w:r w:rsidRPr="002A5068">
              <w:rPr>
                <w:rFonts w:ascii="Times New Roman" w:hAnsi="Times New Roman" w:cs="Times New Roman"/>
                <w:b/>
                <w:bCs/>
                <w:sz w:val="18"/>
                <w:szCs w:val="18"/>
              </w:rPr>
              <w:t>Indicator 1.1.1</w:t>
            </w:r>
            <w:r w:rsidR="00162D42" w:rsidRPr="002A5068">
              <w:rPr>
                <w:rFonts w:ascii="Times New Roman" w:hAnsi="Times New Roman" w:cs="Times New Roman"/>
                <w:b/>
                <w:bCs/>
                <w:sz w:val="18"/>
                <w:szCs w:val="18"/>
              </w:rPr>
              <w:t>.</w:t>
            </w:r>
            <w:r w:rsidRPr="002A5068">
              <w:rPr>
                <w:rFonts w:ascii="Times New Roman" w:hAnsi="Times New Roman" w:cs="Times New Roman"/>
                <w:sz w:val="18"/>
                <w:szCs w:val="18"/>
              </w:rPr>
              <w:t xml:space="preserve"> Number</w:t>
            </w:r>
            <w:r w:rsidRPr="002A5068">
              <w:rPr>
                <w:rFonts w:ascii="Times New Roman" w:hAnsi="Times New Roman" w:cs="Times New Roman"/>
                <w:sz w:val="18"/>
                <w:szCs w:val="18"/>
                <w:lang w:eastAsia="en-GB"/>
              </w:rPr>
              <w:t xml:space="preserve"> of local</w:t>
            </w:r>
            <w:r w:rsidR="00162D42" w:rsidRPr="002A5068">
              <w:rPr>
                <w:rFonts w:ascii="Times New Roman" w:hAnsi="Times New Roman" w:cs="Times New Roman"/>
                <w:sz w:val="18"/>
                <w:szCs w:val="18"/>
                <w:lang w:eastAsia="en-GB"/>
              </w:rPr>
              <w:t>-</w:t>
            </w:r>
            <w:r w:rsidRPr="002A5068">
              <w:rPr>
                <w:rFonts w:ascii="Times New Roman" w:hAnsi="Times New Roman" w:cs="Times New Roman"/>
                <w:sz w:val="18"/>
                <w:szCs w:val="18"/>
                <w:lang w:eastAsia="en-GB"/>
              </w:rPr>
              <w:t>level agreements for conflict prevention and promotion of social cohesion under implementation</w:t>
            </w:r>
            <w:r w:rsidR="00162D42" w:rsidRPr="002A5068">
              <w:rPr>
                <w:rFonts w:ascii="Times New Roman" w:hAnsi="Times New Roman" w:cs="Times New Roman"/>
                <w:sz w:val="18"/>
                <w:szCs w:val="18"/>
                <w:lang w:eastAsia="en-GB"/>
              </w:rPr>
              <w:t>.</w:t>
            </w:r>
            <w:r w:rsidRPr="002A5068">
              <w:rPr>
                <w:rFonts w:ascii="Times New Roman" w:hAnsi="Times New Roman" w:cs="Times New Roman"/>
                <w:sz w:val="18"/>
                <w:szCs w:val="18"/>
                <w:lang w:eastAsia="en-GB"/>
              </w:rPr>
              <w:t xml:space="preserve"> </w:t>
            </w:r>
          </w:p>
          <w:p w14:paraId="3DCD2428" w14:textId="77777777" w:rsidR="00183BE7" w:rsidRPr="002A5068" w:rsidRDefault="00183BE7" w:rsidP="00377E24">
            <w:pPr>
              <w:ind w:right="229" w:hanging="13"/>
              <w:jc w:val="both"/>
              <w:rPr>
                <w:rFonts w:ascii="Times New Roman" w:hAnsi="Times New Roman" w:cs="Times New Roman"/>
                <w:sz w:val="18"/>
                <w:szCs w:val="18"/>
              </w:rPr>
            </w:pPr>
            <w:r w:rsidRPr="002A5068">
              <w:rPr>
                <w:rFonts w:ascii="Times New Roman" w:hAnsi="Times New Roman" w:cs="Times New Roman"/>
                <w:b/>
                <w:iCs/>
                <w:sz w:val="18"/>
                <w:szCs w:val="18"/>
              </w:rPr>
              <w:t>Baseline</w:t>
            </w:r>
            <w:r w:rsidRPr="002A5068">
              <w:rPr>
                <w:rFonts w:ascii="Times New Roman" w:hAnsi="Times New Roman" w:cs="Times New Roman"/>
                <w:bCs/>
                <w:iCs/>
                <w:sz w:val="18"/>
                <w:szCs w:val="18"/>
              </w:rPr>
              <w:t>:</w:t>
            </w:r>
            <w:r w:rsidRPr="002A5068">
              <w:rPr>
                <w:rFonts w:ascii="Times New Roman" w:hAnsi="Times New Roman" w:cs="Times New Roman"/>
                <w:b/>
                <w:bCs/>
                <w:i/>
                <w:iCs/>
                <w:sz w:val="18"/>
                <w:szCs w:val="18"/>
              </w:rPr>
              <w:t xml:space="preserve"> </w:t>
            </w:r>
            <w:r w:rsidRPr="002A5068">
              <w:rPr>
                <w:rFonts w:ascii="Times New Roman" w:hAnsi="Times New Roman" w:cs="Times New Roman"/>
                <w:sz w:val="18"/>
                <w:szCs w:val="18"/>
              </w:rPr>
              <w:t xml:space="preserve"> 4</w:t>
            </w:r>
          </w:p>
          <w:p w14:paraId="01F0ED46" w14:textId="77777777" w:rsidR="00183BE7" w:rsidRPr="002A5068" w:rsidRDefault="00183BE7" w:rsidP="00377E24">
            <w:pPr>
              <w:ind w:right="229" w:hanging="13"/>
              <w:jc w:val="both"/>
              <w:rPr>
                <w:rFonts w:ascii="Times New Roman" w:hAnsi="Times New Roman" w:cs="Times New Roman"/>
                <w:b/>
                <w:bCs/>
                <w:sz w:val="18"/>
                <w:szCs w:val="18"/>
              </w:rPr>
            </w:pPr>
            <w:r w:rsidRPr="002A5068">
              <w:rPr>
                <w:rFonts w:ascii="Times New Roman" w:hAnsi="Times New Roman" w:cs="Times New Roman"/>
                <w:b/>
                <w:iCs/>
                <w:sz w:val="18"/>
                <w:szCs w:val="18"/>
              </w:rPr>
              <w:t>Target:</w:t>
            </w:r>
            <w:r w:rsidRPr="002A5068">
              <w:rPr>
                <w:rFonts w:ascii="Times New Roman" w:hAnsi="Times New Roman" w:cs="Times New Roman"/>
                <w:bCs/>
                <w:i/>
                <w:iCs/>
                <w:sz w:val="18"/>
                <w:szCs w:val="18"/>
              </w:rPr>
              <w:t xml:space="preserve">  </w:t>
            </w:r>
            <w:r w:rsidRPr="002A5068">
              <w:rPr>
                <w:rFonts w:ascii="Times New Roman" w:hAnsi="Times New Roman" w:cs="Times New Roman"/>
                <w:bCs/>
                <w:sz w:val="18"/>
                <w:szCs w:val="18"/>
              </w:rPr>
              <w:t>12</w:t>
            </w:r>
          </w:p>
          <w:p w14:paraId="12CB48A2" w14:textId="77777777" w:rsidR="00183BE7" w:rsidRPr="002A5068" w:rsidRDefault="00183BE7" w:rsidP="00377E24">
            <w:pPr>
              <w:ind w:right="229" w:hanging="13"/>
              <w:jc w:val="both"/>
              <w:rPr>
                <w:rFonts w:ascii="Times New Roman" w:hAnsi="Times New Roman" w:cs="Times New Roman"/>
                <w:bCs/>
                <w:iCs/>
                <w:sz w:val="18"/>
                <w:szCs w:val="18"/>
              </w:rPr>
            </w:pPr>
            <w:r w:rsidRPr="002A5068">
              <w:rPr>
                <w:rFonts w:ascii="Times New Roman" w:hAnsi="Times New Roman" w:cs="Times New Roman"/>
                <w:b/>
                <w:bCs/>
                <w:iCs/>
                <w:sz w:val="18"/>
                <w:szCs w:val="18"/>
              </w:rPr>
              <w:t xml:space="preserve">Data source: </w:t>
            </w:r>
            <w:r w:rsidRPr="002A5068">
              <w:rPr>
                <w:rFonts w:ascii="Times New Roman" w:hAnsi="Times New Roman" w:cs="Times New Roman"/>
                <w:bCs/>
                <w:iCs/>
                <w:sz w:val="18"/>
                <w:szCs w:val="18"/>
              </w:rPr>
              <w:t>Project reports</w:t>
            </w:r>
          </w:p>
          <w:p w14:paraId="1BAE3D28" w14:textId="77777777" w:rsidR="00183BE7" w:rsidRPr="002A5068" w:rsidRDefault="00183BE7" w:rsidP="00377E24">
            <w:pPr>
              <w:ind w:right="229" w:hanging="13"/>
              <w:jc w:val="both"/>
              <w:rPr>
                <w:rFonts w:ascii="Times New Roman" w:hAnsi="Times New Roman" w:cs="Times New Roman"/>
                <w:bCs/>
                <w:iCs/>
                <w:sz w:val="18"/>
                <w:szCs w:val="18"/>
              </w:rPr>
            </w:pPr>
            <w:r w:rsidRPr="002A5068">
              <w:rPr>
                <w:rFonts w:ascii="Times New Roman" w:hAnsi="Times New Roman" w:cs="Times New Roman"/>
                <w:b/>
                <w:bCs/>
                <w:iCs/>
                <w:sz w:val="18"/>
                <w:szCs w:val="18"/>
              </w:rPr>
              <w:t xml:space="preserve">Frequency: </w:t>
            </w:r>
            <w:r w:rsidRPr="002A5068">
              <w:rPr>
                <w:rFonts w:ascii="Times New Roman" w:hAnsi="Times New Roman" w:cs="Times New Roman"/>
                <w:bCs/>
                <w:iCs/>
                <w:sz w:val="18"/>
                <w:szCs w:val="18"/>
              </w:rPr>
              <w:t>Periodic</w:t>
            </w:r>
          </w:p>
          <w:p w14:paraId="066CEAE5" w14:textId="77777777" w:rsidR="00183BE7" w:rsidRPr="002A5068" w:rsidRDefault="00183BE7" w:rsidP="00377E24">
            <w:pPr>
              <w:ind w:right="229" w:hanging="13"/>
              <w:jc w:val="both"/>
              <w:rPr>
                <w:rFonts w:ascii="Times New Roman" w:hAnsi="Times New Roman" w:cs="Times New Roman"/>
                <w:b/>
                <w:bCs/>
                <w:iCs/>
                <w:sz w:val="18"/>
                <w:szCs w:val="18"/>
              </w:rPr>
            </w:pPr>
          </w:p>
          <w:p w14:paraId="1B7C11FC" w14:textId="685A5F82" w:rsidR="00183BE7" w:rsidRPr="002A5068" w:rsidRDefault="00183BE7" w:rsidP="00377E24">
            <w:pPr>
              <w:ind w:right="229" w:hanging="13"/>
              <w:jc w:val="both"/>
              <w:rPr>
                <w:rFonts w:ascii="Times New Roman" w:hAnsi="Times New Roman" w:cs="Times New Roman"/>
                <w:color w:val="000000" w:themeColor="text1"/>
                <w:sz w:val="18"/>
                <w:szCs w:val="18"/>
              </w:rPr>
            </w:pPr>
            <w:r w:rsidRPr="002A5068">
              <w:rPr>
                <w:rFonts w:ascii="Times New Roman" w:hAnsi="Times New Roman" w:cs="Times New Roman"/>
                <w:b/>
                <w:bCs/>
                <w:iCs/>
                <w:sz w:val="18"/>
                <w:szCs w:val="18"/>
              </w:rPr>
              <w:t>Indicator 1.1.2</w:t>
            </w:r>
            <w:r w:rsidR="00162D42" w:rsidRPr="002A5068">
              <w:rPr>
                <w:rFonts w:ascii="Times New Roman" w:hAnsi="Times New Roman" w:cs="Times New Roman"/>
                <w:b/>
                <w:bCs/>
                <w:iCs/>
                <w:sz w:val="18"/>
                <w:szCs w:val="18"/>
              </w:rPr>
              <w:t>.</w:t>
            </w:r>
            <w:r w:rsidRPr="002A5068">
              <w:rPr>
                <w:rFonts w:ascii="Times New Roman" w:hAnsi="Times New Roman" w:cs="Times New Roman"/>
                <w:b/>
                <w:bCs/>
                <w:i/>
                <w:iCs/>
                <w:sz w:val="18"/>
                <w:szCs w:val="18"/>
              </w:rPr>
              <w:t xml:space="preserve"> </w:t>
            </w:r>
            <w:r w:rsidRPr="002A5068">
              <w:rPr>
                <w:rFonts w:ascii="Times New Roman" w:hAnsi="Times New Roman" w:cs="Times New Roman"/>
                <w:color w:val="000000" w:themeColor="text1"/>
                <w:sz w:val="18"/>
                <w:szCs w:val="18"/>
              </w:rPr>
              <w:t>Number of national infrastructures for peace established or strengthened, with UNDP support</w:t>
            </w:r>
            <w:r w:rsidR="00162D42" w:rsidRPr="002A5068">
              <w:rPr>
                <w:rFonts w:ascii="Times New Roman" w:hAnsi="Times New Roman" w:cs="Times New Roman"/>
                <w:color w:val="000000" w:themeColor="text1"/>
                <w:sz w:val="18"/>
                <w:szCs w:val="18"/>
              </w:rPr>
              <w:t>.</w:t>
            </w:r>
          </w:p>
          <w:p w14:paraId="01CAAC45" w14:textId="77777777" w:rsidR="00183BE7" w:rsidRPr="002A5068" w:rsidRDefault="00183BE7" w:rsidP="00377E24">
            <w:pPr>
              <w:ind w:right="229" w:hanging="13"/>
              <w:jc w:val="both"/>
              <w:rPr>
                <w:rFonts w:ascii="Times New Roman" w:hAnsi="Times New Roman" w:cs="Times New Roman"/>
                <w:color w:val="000000" w:themeColor="text1"/>
                <w:sz w:val="18"/>
                <w:szCs w:val="18"/>
              </w:rPr>
            </w:pPr>
            <w:r w:rsidRPr="002A5068">
              <w:rPr>
                <w:rFonts w:ascii="Times New Roman" w:hAnsi="Times New Roman" w:cs="Times New Roman"/>
                <w:color w:val="000000" w:themeColor="text1"/>
                <w:sz w:val="18"/>
                <w:szCs w:val="18"/>
              </w:rPr>
              <w:t>Baseline: 4</w:t>
            </w:r>
          </w:p>
          <w:p w14:paraId="573F7DA0" w14:textId="6E0EFA4E" w:rsidR="00183BE7" w:rsidRPr="002A5068" w:rsidRDefault="00183BE7" w:rsidP="00377E24">
            <w:pPr>
              <w:ind w:right="229" w:hanging="13"/>
              <w:jc w:val="both"/>
              <w:rPr>
                <w:rFonts w:ascii="Times New Roman" w:hAnsi="Times New Roman" w:cs="Times New Roman"/>
                <w:bCs/>
                <w:iCs/>
                <w:sz w:val="18"/>
                <w:szCs w:val="18"/>
              </w:rPr>
            </w:pPr>
            <w:r w:rsidRPr="002A5068">
              <w:rPr>
                <w:rFonts w:ascii="Times New Roman" w:hAnsi="Times New Roman" w:cs="Times New Roman"/>
                <w:color w:val="000000" w:themeColor="text1"/>
                <w:sz w:val="18"/>
                <w:szCs w:val="18"/>
              </w:rPr>
              <w:t>Target:</w:t>
            </w:r>
            <w:r w:rsidR="00162D42" w:rsidRPr="002A5068">
              <w:rPr>
                <w:rFonts w:ascii="Times New Roman" w:hAnsi="Times New Roman" w:cs="Times New Roman"/>
                <w:color w:val="000000" w:themeColor="text1"/>
                <w:sz w:val="18"/>
                <w:szCs w:val="18"/>
              </w:rPr>
              <w:t xml:space="preserve"> </w:t>
            </w:r>
            <w:r w:rsidRPr="002A5068">
              <w:rPr>
                <w:rFonts w:ascii="Times New Roman" w:hAnsi="Times New Roman" w:cs="Times New Roman"/>
                <w:color w:val="000000" w:themeColor="text1"/>
                <w:sz w:val="18"/>
                <w:szCs w:val="18"/>
              </w:rPr>
              <w:t xml:space="preserve">12 </w:t>
            </w:r>
            <w:r w:rsidRPr="002A5068">
              <w:rPr>
                <w:rFonts w:ascii="Times New Roman" w:hAnsi="Times New Roman" w:cs="Times New Roman"/>
                <w:sz w:val="18"/>
                <w:szCs w:val="18"/>
                <w:lang w:eastAsia="en-GB"/>
              </w:rPr>
              <w:t xml:space="preserve"> </w:t>
            </w:r>
          </w:p>
          <w:p w14:paraId="39C34390" w14:textId="77777777" w:rsidR="00183BE7" w:rsidRPr="002A5068" w:rsidRDefault="00183BE7" w:rsidP="00377E24">
            <w:pPr>
              <w:ind w:right="229" w:hanging="13"/>
              <w:jc w:val="both"/>
              <w:rPr>
                <w:rFonts w:ascii="Times New Roman" w:hAnsi="Times New Roman" w:cs="Times New Roman"/>
                <w:bCs/>
                <w:iCs/>
                <w:sz w:val="18"/>
                <w:szCs w:val="18"/>
              </w:rPr>
            </w:pPr>
            <w:r w:rsidRPr="002A5068">
              <w:rPr>
                <w:rFonts w:ascii="Times New Roman" w:hAnsi="Times New Roman" w:cs="Times New Roman"/>
                <w:b/>
                <w:bCs/>
                <w:iCs/>
                <w:sz w:val="18"/>
                <w:szCs w:val="18"/>
              </w:rPr>
              <w:t>Data source</w:t>
            </w:r>
            <w:r w:rsidRPr="002A5068">
              <w:rPr>
                <w:rFonts w:ascii="Times New Roman" w:hAnsi="Times New Roman" w:cs="Times New Roman"/>
                <w:bCs/>
                <w:iCs/>
                <w:sz w:val="18"/>
                <w:szCs w:val="18"/>
              </w:rPr>
              <w:t xml:space="preserve">: Project reports </w:t>
            </w:r>
          </w:p>
          <w:p w14:paraId="1303AD07" w14:textId="41839E86" w:rsidR="00162D42" w:rsidRPr="002A5068" w:rsidRDefault="00183BE7" w:rsidP="002E013D">
            <w:pPr>
              <w:ind w:right="229" w:hanging="13"/>
              <w:jc w:val="both"/>
              <w:rPr>
                <w:rFonts w:ascii="Times New Roman" w:hAnsi="Times New Roman" w:cs="Times New Roman"/>
                <w:bCs/>
                <w:iCs/>
                <w:sz w:val="18"/>
                <w:szCs w:val="18"/>
              </w:rPr>
            </w:pPr>
            <w:r w:rsidRPr="002A5068">
              <w:rPr>
                <w:rFonts w:ascii="Times New Roman" w:hAnsi="Times New Roman" w:cs="Times New Roman"/>
                <w:b/>
                <w:bCs/>
                <w:iCs/>
                <w:sz w:val="18"/>
                <w:szCs w:val="18"/>
              </w:rPr>
              <w:t>Frequency</w:t>
            </w:r>
            <w:r w:rsidRPr="002A5068">
              <w:rPr>
                <w:rFonts w:ascii="Times New Roman" w:hAnsi="Times New Roman" w:cs="Times New Roman"/>
                <w:bCs/>
                <w:iCs/>
                <w:sz w:val="18"/>
                <w:szCs w:val="18"/>
              </w:rPr>
              <w:t xml:space="preserve">: Periodic </w:t>
            </w:r>
          </w:p>
        </w:tc>
        <w:tc>
          <w:tcPr>
            <w:tcW w:w="2090" w:type="dxa"/>
            <w:tcBorders>
              <w:top w:val="single" w:sz="4" w:space="0" w:color="000000" w:themeColor="text1"/>
              <w:left w:val="single" w:sz="4" w:space="0" w:color="000000" w:themeColor="text1"/>
              <w:right w:val="single" w:sz="4" w:space="0" w:color="000000" w:themeColor="text1"/>
            </w:tcBorders>
          </w:tcPr>
          <w:p w14:paraId="0F11A47C" w14:textId="77777777" w:rsidR="00183BE7" w:rsidRPr="002A5068" w:rsidRDefault="00183BE7" w:rsidP="00377E24">
            <w:pPr>
              <w:rPr>
                <w:rFonts w:ascii="Times New Roman" w:hAnsi="Times New Roman" w:cs="Times New Roman"/>
                <w:sz w:val="18"/>
                <w:szCs w:val="18"/>
              </w:rPr>
            </w:pPr>
            <w:r w:rsidRPr="002A5068">
              <w:rPr>
                <w:rFonts w:ascii="Times New Roman" w:hAnsi="Times New Roman" w:cs="Times New Roman"/>
                <w:sz w:val="18"/>
                <w:szCs w:val="18"/>
              </w:rPr>
              <w:t xml:space="preserve">UNMISS, </w:t>
            </w:r>
          </w:p>
          <w:p w14:paraId="32DFF2B4" w14:textId="13BB2239" w:rsidR="00183BE7" w:rsidRPr="002A5068" w:rsidRDefault="00183BE7" w:rsidP="00377E24">
            <w:pPr>
              <w:rPr>
                <w:rFonts w:ascii="Times New Roman" w:hAnsi="Times New Roman" w:cs="Times New Roman"/>
                <w:sz w:val="18"/>
                <w:szCs w:val="18"/>
              </w:rPr>
            </w:pPr>
            <w:r w:rsidRPr="002A5068">
              <w:rPr>
                <w:rFonts w:ascii="Times New Roman" w:hAnsi="Times New Roman" w:cs="Times New Roman"/>
                <w:sz w:val="18"/>
                <w:szCs w:val="18"/>
              </w:rPr>
              <w:t>UN</w:t>
            </w:r>
            <w:r w:rsidR="00162D42" w:rsidRPr="002A5068">
              <w:rPr>
                <w:rFonts w:ascii="Times New Roman" w:hAnsi="Times New Roman" w:cs="Times New Roman"/>
                <w:sz w:val="18"/>
                <w:szCs w:val="18"/>
              </w:rPr>
              <w:t>-</w:t>
            </w:r>
            <w:r w:rsidRPr="002A5068">
              <w:rPr>
                <w:rFonts w:ascii="Times New Roman" w:hAnsi="Times New Roman" w:cs="Times New Roman"/>
                <w:sz w:val="18"/>
                <w:szCs w:val="18"/>
              </w:rPr>
              <w:t>W</w:t>
            </w:r>
            <w:r w:rsidR="00162D42" w:rsidRPr="002A5068">
              <w:rPr>
                <w:rFonts w:ascii="Times New Roman" w:hAnsi="Times New Roman" w:cs="Times New Roman"/>
                <w:sz w:val="18"/>
                <w:szCs w:val="18"/>
              </w:rPr>
              <w:t>omen</w:t>
            </w:r>
            <w:r w:rsidRPr="002A5068">
              <w:rPr>
                <w:rFonts w:ascii="Times New Roman" w:hAnsi="Times New Roman" w:cs="Times New Roman"/>
                <w:sz w:val="18"/>
                <w:szCs w:val="18"/>
              </w:rPr>
              <w:t>, UNESCO</w:t>
            </w:r>
          </w:p>
          <w:p w14:paraId="546EAC12" w14:textId="77777777" w:rsidR="00183BE7" w:rsidRPr="002A5068" w:rsidRDefault="00183BE7" w:rsidP="00377E24">
            <w:pPr>
              <w:rPr>
                <w:rFonts w:ascii="Times New Roman" w:hAnsi="Times New Roman" w:cs="Times New Roman"/>
                <w:sz w:val="18"/>
                <w:szCs w:val="18"/>
              </w:rPr>
            </w:pPr>
          </w:p>
          <w:p w14:paraId="34CC0FB9" w14:textId="77777777" w:rsidR="00183BE7" w:rsidRPr="002A5068" w:rsidRDefault="00183BE7" w:rsidP="00377E24">
            <w:pPr>
              <w:rPr>
                <w:rFonts w:ascii="Times New Roman" w:hAnsi="Times New Roman" w:cs="Times New Roman"/>
                <w:sz w:val="18"/>
                <w:szCs w:val="18"/>
              </w:rPr>
            </w:pPr>
            <w:r w:rsidRPr="002A5068">
              <w:rPr>
                <w:rFonts w:ascii="Times New Roman" w:hAnsi="Times New Roman" w:cs="Times New Roman"/>
                <w:sz w:val="18"/>
                <w:szCs w:val="18"/>
              </w:rPr>
              <w:t>National think tanks</w:t>
            </w:r>
          </w:p>
          <w:p w14:paraId="1383F63D" w14:textId="77777777" w:rsidR="00183BE7" w:rsidRPr="002A5068" w:rsidRDefault="00183BE7" w:rsidP="00377E24">
            <w:pPr>
              <w:rPr>
                <w:rFonts w:ascii="Times New Roman" w:hAnsi="Times New Roman" w:cs="Times New Roman"/>
                <w:sz w:val="18"/>
                <w:szCs w:val="18"/>
              </w:rPr>
            </w:pPr>
          </w:p>
          <w:p w14:paraId="488A4752" w14:textId="0D1C8E85" w:rsidR="00183BE7" w:rsidRPr="002A5068" w:rsidRDefault="00183BE7" w:rsidP="00B16A6B">
            <w:pPr>
              <w:rPr>
                <w:rFonts w:ascii="Times New Roman" w:hAnsi="Times New Roman" w:cs="Times New Roman"/>
                <w:sz w:val="18"/>
                <w:szCs w:val="18"/>
              </w:rPr>
            </w:pPr>
            <w:r w:rsidRPr="002A5068">
              <w:rPr>
                <w:rFonts w:ascii="Times New Roman" w:hAnsi="Times New Roman" w:cs="Times New Roman"/>
                <w:sz w:val="18"/>
                <w:szCs w:val="18"/>
              </w:rPr>
              <w:t xml:space="preserve">Japan, </w:t>
            </w:r>
            <w:r w:rsidR="00162D42" w:rsidRPr="002A5068">
              <w:rPr>
                <w:rFonts w:ascii="Times New Roman" w:hAnsi="Times New Roman" w:cs="Times New Roman"/>
                <w:sz w:val="18"/>
                <w:szCs w:val="18"/>
              </w:rPr>
              <w:t xml:space="preserve">Republic of Korea, </w:t>
            </w:r>
            <w:r w:rsidRPr="002A5068">
              <w:rPr>
                <w:rFonts w:ascii="Times New Roman" w:hAnsi="Times New Roman" w:cs="Times New Roman"/>
                <w:sz w:val="18"/>
                <w:szCs w:val="18"/>
              </w:rPr>
              <w:t>Sweden, Peacebuilding Fund</w:t>
            </w:r>
          </w:p>
        </w:tc>
        <w:tc>
          <w:tcPr>
            <w:tcW w:w="1751" w:type="dxa"/>
            <w:vMerge w:val="restart"/>
            <w:tcBorders>
              <w:top w:val="single" w:sz="4" w:space="0" w:color="000000" w:themeColor="text1"/>
              <w:left w:val="single" w:sz="4" w:space="0" w:color="000000" w:themeColor="text1"/>
              <w:right w:val="single" w:sz="4" w:space="0" w:color="000000" w:themeColor="text1"/>
            </w:tcBorders>
          </w:tcPr>
          <w:p w14:paraId="0C0A5996" w14:textId="1B94456F" w:rsidR="00183BE7" w:rsidRPr="002A5068" w:rsidRDefault="00183BE7" w:rsidP="00377E24">
            <w:pPr>
              <w:jc w:val="both"/>
              <w:rPr>
                <w:rFonts w:ascii="Times New Roman" w:eastAsia="SimSun" w:hAnsi="Times New Roman" w:cs="Times New Roman"/>
                <w:color w:val="000000" w:themeColor="text1"/>
                <w:sz w:val="18"/>
                <w:szCs w:val="18"/>
                <w:lang w:eastAsia="zh-CN"/>
              </w:rPr>
            </w:pPr>
            <w:r w:rsidRPr="002A5068">
              <w:rPr>
                <w:rFonts w:ascii="Times New Roman" w:eastAsia="SimSun" w:hAnsi="Times New Roman" w:cs="Times New Roman"/>
                <w:b/>
                <w:bCs/>
                <w:color w:val="000000" w:themeColor="text1"/>
                <w:sz w:val="18"/>
                <w:szCs w:val="18"/>
                <w:lang w:eastAsia="zh-CN"/>
              </w:rPr>
              <w:t>Regular:</w:t>
            </w:r>
            <w:r w:rsidRPr="002A5068">
              <w:rPr>
                <w:rFonts w:ascii="Times New Roman" w:eastAsia="SimSun" w:hAnsi="Times New Roman" w:cs="Times New Roman"/>
                <w:color w:val="000000" w:themeColor="text1"/>
                <w:sz w:val="18"/>
                <w:szCs w:val="18"/>
                <w:lang w:eastAsia="zh-CN"/>
              </w:rPr>
              <w:t xml:space="preserve"> 5,263,500</w:t>
            </w:r>
          </w:p>
          <w:p w14:paraId="2F148EEA" w14:textId="77777777" w:rsidR="00183BE7" w:rsidRPr="002A5068" w:rsidRDefault="00183BE7" w:rsidP="00377E24">
            <w:pPr>
              <w:ind w:left="276" w:hanging="90"/>
              <w:jc w:val="both"/>
              <w:rPr>
                <w:rFonts w:ascii="Times New Roman" w:eastAsia="SimSun" w:hAnsi="Times New Roman" w:cs="Times New Roman"/>
                <w:color w:val="000000" w:themeColor="text1"/>
                <w:sz w:val="18"/>
                <w:szCs w:val="18"/>
                <w:lang w:eastAsia="zh-CN"/>
              </w:rPr>
            </w:pPr>
            <w:r w:rsidRPr="002A5068">
              <w:rPr>
                <w:rFonts w:ascii="Times New Roman" w:eastAsia="SimSun" w:hAnsi="Times New Roman" w:cs="Times New Roman"/>
                <w:color w:val="000000" w:themeColor="text1"/>
                <w:sz w:val="18"/>
                <w:szCs w:val="18"/>
                <w:lang w:eastAsia="zh-CN"/>
              </w:rPr>
              <w:t xml:space="preserve"> </w:t>
            </w:r>
          </w:p>
          <w:p w14:paraId="42BB65CC" w14:textId="223860E2" w:rsidR="00183BE7" w:rsidRPr="002A5068" w:rsidRDefault="00183BE7" w:rsidP="00377E24">
            <w:pPr>
              <w:jc w:val="both"/>
              <w:rPr>
                <w:rFonts w:ascii="Times New Roman" w:hAnsi="Times New Roman" w:cs="Times New Roman"/>
                <w:sz w:val="18"/>
                <w:szCs w:val="18"/>
              </w:rPr>
            </w:pPr>
            <w:r w:rsidRPr="002A5068">
              <w:rPr>
                <w:rFonts w:ascii="Times New Roman" w:eastAsia="SimSun" w:hAnsi="Times New Roman" w:cs="Times New Roman"/>
                <w:b/>
                <w:bCs/>
                <w:color w:val="000000" w:themeColor="text1"/>
                <w:sz w:val="18"/>
                <w:szCs w:val="18"/>
                <w:lang w:eastAsia="zh-CN"/>
              </w:rPr>
              <w:t>Other</w:t>
            </w:r>
            <w:r w:rsidR="00162D42" w:rsidRPr="002A5068">
              <w:rPr>
                <w:rFonts w:ascii="Times New Roman" w:eastAsia="SimSun" w:hAnsi="Times New Roman" w:cs="Times New Roman"/>
                <w:b/>
                <w:bCs/>
                <w:color w:val="000000" w:themeColor="text1"/>
                <w:sz w:val="18"/>
                <w:szCs w:val="18"/>
                <w:lang w:eastAsia="zh-CN"/>
              </w:rPr>
              <w:t>:</w:t>
            </w:r>
            <w:r w:rsidRPr="002A5068">
              <w:rPr>
                <w:rFonts w:ascii="Times New Roman" w:eastAsia="SimSun" w:hAnsi="Times New Roman" w:cs="Times New Roman"/>
                <w:b/>
                <w:bCs/>
                <w:color w:val="000000" w:themeColor="text1"/>
                <w:sz w:val="18"/>
                <w:szCs w:val="18"/>
                <w:lang w:eastAsia="zh-CN"/>
              </w:rPr>
              <w:t xml:space="preserve"> </w:t>
            </w:r>
            <w:r w:rsidRPr="002A5068">
              <w:rPr>
                <w:rFonts w:ascii="Times New Roman" w:eastAsia="SimSun" w:hAnsi="Times New Roman" w:cs="Times New Roman"/>
                <w:color w:val="000000" w:themeColor="text1"/>
                <w:sz w:val="18"/>
                <w:szCs w:val="18"/>
                <w:lang w:eastAsia="zh-CN"/>
              </w:rPr>
              <w:t>83,500,000</w:t>
            </w:r>
          </w:p>
          <w:p w14:paraId="2A3D2531" w14:textId="77777777" w:rsidR="00183BE7" w:rsidRPr="002A5068" w:rsidRDefault="00183BE7" w:rsidP="00377E24">
            <w:pPr>
              <w:rPr>
                <w:rFonts w:ascii="Times New Roman" w:hAnsi="Times New Roman" w:cs="Times New Roman"/>
                <w:sz w:val="18"/>
                <w:szCs w:val="18"/>
              </w:rPr>
            </w:pPr>
          </w:p>
        </w:tc>
      </w:tr>
      <w:tr w:rsidR="00183BE7" w:rsidRPr="002A5068" w14:paraId="3EF3D3A8" w14:textId="77777777" w:rsidTr="00377E24">
        <w:tc>
          <w:tcPr>
            <w:tcW w:w="2807" w:type="dxa"/>
            <w:vMerge/>
            <w:tcBorders>
              <w:left w:val="single" w:sz="4" w:space="0" w:color="000000" w:themeColor="text1"/>
              <w:right w:val="single" w:sz="4" w:space="0" w:color="000000" w:themeColor="text1"/>
            </w:tcBorders>
          </w:tcPr>
          <w:p w14:paraId="58BE2EA3" w14:textId="77777777" w:rsidR="00183BE7" w:rsidRPr="002A5068" w:rsidRDefault="00183BE7" w:rsidP="00377E24">
            <w:pPr>
              <w:spacing w:after="7"/>
              <w:ind w:left="142" w:right="110"/>
              <w:jc w:val="both"/>
              <w:rPr>
                <w:rFonts w:ascii="Times New Roman" w:hAnsi="Times New Roman" w:cs="Times New Roman"/>
                <w:sz w:val="18"/>
                <w:szCs w:val="18"/>
              </w:rPr>
            </w:pPr>
          </w:p>
        </w:tc>
        <w:tc>
          <w:tcPr>
            <w:tcW w:w="1776" w:type="dxa"/>
            <w:vMerge/>
            <w:tcBorders>
              <w:left w:val="single" w:sz="4" w:space="0" w:color="000000" w:themeColor="text1"/>
              <w:right w:val="single" w:sz="4" w:space="0" w:color="000000" w:themeColor="text1"/>
            </w:tcBorders>
          </w:tcPr>
          <w:p w14:paraId="13101AA7" w14:textId="77777777" w:rsidR="00183BE7" w:rsidRPr="002A5068" w:rsidRDefault="00183BE7" w:rsidP="00377E24">
            <w:pPr>
              <w:rPr>
                <w:rFonts w:ascii="Times New Roman" w:hAnsi="Times New Roman" w:cs="Times New Roman"/>
                <w:sz w:val="18"/>
                <w:szCs w:val="18"/>
              </w:rPr>
            </w:pPr>
          </w:p>
        </w:tc>
        <w:tc>
          <w:tcPr>
            <w:tcW w:w="5605" w:type="dxa"/>
            <w:gridSpan w:val="2"/>
            <w:tcBorders>
              <w:left w:val="single" w:sz="4" w:space="0" w:color="000000" w:themeColor="text1"/>
            </w:tcBorders>
          </w:tcPr>
          <w:p w14:paraId="6BDB40AC" w14:textId="67E9825C" w:rsidR="00183BE7" w:rsidRPr="002A5068" w:rsidRDefault="00183BE7" w:rsidP="00377E24">
            <w:pPr>
              <w:ind w:right="229" w:hanging="13"/>
              <w:jc w:val="both"/>
              <w:rPr>
                <w:rFonts w:ascii="Times New Roman" w:hAnsi="Times New Roman" w:cs="Times New Roman"/>
                <w:sz w:val="18"/>
                <w:szCs w:val="18"/>
              </w:rPr>
            </w:pPr>
            <w:r w:rsidRPr="002A5068">
              <w:rPr>
                <w:rFonts w:ascii="Times New Roman" w:hAnsi="Times New Roman" w:cs="Times New Roman"/>
                <w:b/>
                <w:bCs/>
                <w:sz w:val="18"/>
                <w:szCs w:val="18"/>
              </w:rPr>
              <w:t>Output 1.2</w:t>
            </w:r>
            <w:r w:rsidR="00162D42" w:rsidRPr="002A5068">
              <w:rPr>
                <w:rFonts w:ascii="Times New Roman" w:hAnsi="Times New Roman" w:cs="Times New Roman"/>
                <w:b/>
                <w:bCs/>
                <w:sz w:val="18"/>
                <w:szCs w:val="18"/>
              </w:rPr>
              <w:t>.</w:t>
            </w:r>
            <w:r w:rsidRPr="002A5068">
              <w:rPr>
                <w:rFonts w:ascii="Times New Roman" w:hAnsi="Times New Roman" w:cs="Times New Roman"/>
                <w:sz w:val="18"/>
                <w:szCs w:val="18"/>
              </w:rPr>
              <w:t xml:space="preserve"> Institutional capacities and customary mechanisms at all levels strengthened to monitor, promote and protect citizen's rights and increase access to justice, especially</w:t>
            </w:r>
            <w:r w:rsidRPr="002A5068" w:rsidDel="00C66B7A">
              <w:rPr>
                <w:rFonts w:ascii="Times New Roman" w:hAnsi="Times New Roman" w:cs="Times New Roman"/>
                <w:sz w:val="18"/>
                <w:szCs w:val="18"/>
              </w:rPr>
              <w:t xml:space="preserve"> </w:t>
            </w:r>
            <w:r w:rsidRPr="002A5068">
              <w:rPr>
                <w:rFonts w:ascii="Times New Roman" w:hAnsi="Times New Roman" w:cs="Times New Roman"/>
                <w:sz w:val="18"/>
                <w:szCs w:val="18"/>
              </w:rPr>
              <w:t>for vulnerable groups and SGBV survivors.</w:t>
            </w:r>
          </w:p>
          <w:p w14:paraId="554CF5AD" w14:textId="77777777" w:rsidR="00183BE7" w:rsidRPr="002A5068" w:rsidRDefault="00183BE7" w:rsidP="00377E24">
            <w:pPr>
              <w:ind w:right="229" w:hanging="13"/>
              <w:jc w:val="both"/>
              <w:rPr>
                <w:rFonts w:ascii="Times New Roman" w:hAnsi="Times New Roman" w:cs="Times New Roman"/>
                <w:sz w:val="18"/>
                <w:szCs w:val="18"/>
              </w:rPr>
            </w:pPr>
          </w:p>
          <w:p w14:paraId="0479DCF8" w14:textId="162E3931" w:rsidR="00183BE7" w:rsidRPr="002A5068" w:rsidRDefault="00183BE7" w:rsidP="00377E24">
            <w:pPr>
              <w:ind w:right="229" w:hanging="13"/>
              <w:jc w:val="both"/>
              <w:rPr>
                <w:rFonts w:ascii="Times New Roman" w:hAnsi="Times New Roman" w:cs="Times New Roman"/>
                <w:sz w:val="18"/>
                <w:szCs w:val="18"/>
              </w:rPr>
            </w:pPr>
            <w:r w:rsidRPr="002A5068">
              <w:rPr>
                <w:rFonts w:ascii="Times New Roman" w:hAnsi="Times New Roman" w:cs="Times New Roman"/>
                <w:b/>
                <w:bCs/>
                <w:sz w:val="18"/>
                <w:szCs w:val="18"/>
              </w:rPr>
              <w:t>Indicator 1.2.1</w:t>
            </w:r>
            <w:r w:rsidR="00162D42" w:rsidRPr="002A5068">
              <w:rPr>
                <w:rFonts w:ascii="Times New Roman" w:hAnsi="Times New Roman" w:cs="Times New Roman"/>
                <w:b/>
                <w:bCs/>
                <w:sz w:val="18"/>
                <w:szCs w:val="18"/>
              </w:rPr>
              <w:t>.</w:t>
            </w:r>
            <w:r w:rsidRPr="002A5068">
              <w:rPr>
                <w:rFonts w:ascii="Times New Roman" w:hAnsi="Times New Roman" w:cs="Times New Roman"/>
                <w:sz w:val="18"/>
                <w:szCs w:val="18"/>
              </w:rPr>
              <w:t xml:space="preserve">  </w:t>
            </w:r>
            <w:r w:rsidRPr="002A5068">
              <w:rPr>
                <w:rFonts w:ascii="Times New Roman" w:hAnsi="Times New Roman" w:cs="Times New Roman"/>
                <w:color w:val="000000" w:themeColor="text1"/>
                <w:sz w:val="18"/>
                <w:szCs w:val="18"/>
              </w:rPr>
              <w:t xml:space="preserve"> Number of GBV cases reported to authorities receiving judgment in the formal justice system</w:t>
            </w:r>
            <w:r w:rsidR="00162D42" w:rsidRPr="002A5068">
              <w:rPr>
                <w:rFonts w:ascii="Times New Roman" w:hAnsi="Times New Roman" w:cs="Times New Roman"/>
                <w:color w:val="000000" w:themeColor="text1"/>
                <w:sz w:val="18"/>
                <w:szCs w:val="18"/>
              </w:rPr>
              <w:t>.</w:t>
            </w:r>
          </w:p>
          <w:p w14:paraId="521ED7E1" w14:textId="77777777" w:rsidR="00183BE7" w:rsidRPr="002A5068" w:rsidRDefault="00183BE7" w:rsidP="00377E24">
            <w:pPr>
              <w:ind w:right="229" w:hanging="13"/>
              <w:jc w:val="both"/>
              <w:rPr>
                <w:rFonts w:ascii="Times New Roman" w:hAnsi="Times New Roman" w:cs="Times New Roman"/>
                <w:b/>
                <w:sz w:val="18"/>
                <w:szCs w:val="18"/>
              </w:rPr>
            </w:pPr>
            <w:r w:rsidRPr="002A5068">
              <w:rPr>
                <w:rFonts w:ascii="Times New Roman" w:hAnsi="Times New Roman" w:cs="Times New Roman"/>
                <w:b/>
                <w:iCs/>
                <w:sz w:val="18"/>
                <w:szCs w:val="18"/>
              </w:rPr>
              <w:t>Baseline:</w:t>
            </w:r>
            <w:r w:rsidRPr="002A5068">
              <w:rPr>
                <w:rFonts w:ascii="Times New Roman" w:hAnsi="Times New Roman" w:cs="Times New Roman"/>
                <w:b/>
                <w:sz w:val="18"/>
                <w:szCs w:val="18"/>
              </w:rPr>
              <w:t xml:space="preserve"> </w:t>
            </w:r>
            <w:r w:rsidRPr="002A5068">
              <w:rPr>
                <w:rFonts w:ascii="Times New Roman" w:hAnsi="Times New Roman" w:cs="Times New Roman"/>
                <w:sz w:val="18"/>
                <w:szCs w:val="18"/>
              </w:rPr>
              <w:t>1,324 (58% women)</w:t>
            </w:r>
          </w:p>
          <w:p w14:paraId="044CBF03" w14:textId="77777777" w:rsidR="00183BE7" w:rsidRPr="002A5068" w:rsidRDefault="00183BE7" w:rsidP="00377E24">
            <w:pPr>
              <w:ind w:right="229" w:hanging="13"/>
              <w:jc w:val="both"/>
              <w:rPr>
                <w:rFonts w:ascii="Times New Roman" w:hAnsi="Times New Roman" w:cs="Times New Roman"/>
                <w:bCs/>
                <w:sz w:val="18"/>
                <w:szCs w:val="18"/>
              </w:rPr>
            </w:pPr>
            <w:r w:rsidRPr="002A5068">
              <w:rPr>
                <w:rFonts w:ascii="Times New Roman" w:hAnsi="Times New Roman" w:cs="Times New Roman"/>
                <w:b/>
                <w:iCs/>
                <w:sz w:val="18"/>
                <w:szCs w:val="18"/>
              </w:rPr>
              <w:t>Target:</w:t>
            </w:r>
            <w:r w:rsidRPr="002A5068">
              <w:rPr>
                <w:rFonts w:ascii="Times New Roman" w:hAnsi="Times New Roman" w:cs="Times New Roman"/>
                <w:b/>
                <w:sz w:val="18"/>
                <w:szCs w:val="18"/>
              </w:rPr>
              <w:t xml:space="preserve"> </w:t>
            </w:r>
            <w:r w:rsidRPr="002A5068">
              <w:rPr>
                <w:rFonts w:ascii="Times New Roman" w:hAnsi="Times New Roman" w:cs="Times New Roman"/>
                <w:bCs/>
                <w:sz w:val="18"/>
                <w:szCs w:val="18"/>
              </w:rPr>
              <w:t>4,000 (50% women)</w:t>
            </w:r>
          </w:p>
          <w:p w14:paraId="0F489BA0" w14:textId="77777777" w:rsidR="00183BE7" w:rsidRPr="002A5068" w:rsidRDefault="00183BE7" w:rsidP="00377E24">
            <w:pPr>
              <w:ind w:right="229" w:hanging="13"/>
              <w:jc w:val="both"/>
              <w:rPr>
                <w:rFonts w:ascii="Times New Roman" w:hAnsi="Times New Roman" w:cs="Times New Roman"/>
                <w:bCs/>
                <w:sz w:val="18"/>
                <w:szCs w:val="18"/>
              </w:rPr>
            </w:pPr>
            <w:r w:rsidRPr="002A5068">
              <w:rPr>
                <w:rFonts w:ascii="Times New Roman" w:hAnsi="Times New Roman" w:cs="Times New Roman"/>
                <w:b/>
                <w:bCs/>
                <w:sz w:val="18"/>
                <w:szCs w:val="18"/>
              </w:rPr>
              <w:t xml:space="preserve">Data source: </w:t>
            </w:r>
            <w:r w:rsidRPr="002A5068">
              <w:rPr>
                <w:rFonts w:ascii="Times New Roman" w:hAnsi="Times New Roman" w:cs="Times New Roman"/>
                <w:bCs/>
                <w:sz w:val="18"/>
                <w:szCs w:val="18"/>
              </w:rPr>
              <w:t>Rule of law institutions reports</w:t>
            </w:r>
          </w:p>
          <w:p w14:paraId="6F87122D" w14:textId="77777777" w:rsidR="00183BE7" w:rsidRPr="002A5068" w:rsidRDefault="00183BE7" w:rsidP="00377E24">
            <w:pPr>
              <w:ind w:right="229" w:hanging="13"/>
              <w:jc w:val="both"/>
              <w:rPr>
                <w:rFonts w:ascii="Times New Roman" w:hAnsi="Times New Roman" w:cs="Times New Roman"/>
                <w:bCs/>
                <w:sz w:val="18"/>
                <w:szCs w:val="18"/>
              </w:rPr>
            </w:pPr>
            <w:r w:rsidRPr="002A5068">
              <w:rPr>
                <w:rFonts w:ascii="Times New Roman" w:hAnsi="Times New Roman" w:cs="Times New Roman"/>
                <w:b/>
                <w:bCs/>
                <w:sz w:val="18"/>
                <w:szCs w:val="18"/>
              </w:rPr>
              <w:lastRenderedPageBreak/>
              <w:t xml:space="preserve">Frequency: </w:t>
            </w:r>
            <w:r w:rsidRPr="002A5068">
              <w:rPr>
                <w:rFonts w:ascii="Times New Roman" w:hAnsi="Times New Roman" w:cs="Times New Roman"/>
                <w:bCs/>
                <w:sz w:val="18"/>
                <w:szCs w:val="18"/>
              </w:rPr>
              <w:t>Periodic</w:t>
            </w:r>
          </w:p>
          <w:p w14:paraId="2BD14C5F" w14:textId="77777777" w:rsidR="00183BE7" w:rsidRPr="002A5068" w:rsidRDefault="00183BE7" w:rsidP="00377E24">
            <w:pPr>
              <w:ind w:right="229" w:hanging="13"/>
              <w:jc w:val="both"/>
              <w:rPr>
                <w:rFonts w:ascii="Times New Roman" w:hAnsi="Times New Roman" w:cs="Times New Roman"/>
                <w:b/>
                <w:bCs/>
                <w:sz w:val="18"/>
                <w:szCs w:val="18"/>
              </w:rPr>
            </w:pPr>
          </w:p>
          <w:p w14:paraId="176BB474" w14:textId="6401A595" w:rsidR="00183BE7" w:rsidRPr="002A5068" w:rsidRDefault="00183BE7" w:rsidP="00377E24">
            <w:pPr>
              <w:ind w:right="229" w:hanging="13"/>
              <w:jc w:val="both"/>
              <w:rPr>
                <w:rFonts w:ascii="Times New Roman" w:hAnsi="Times New Roman" w:cs="Times New Roman"/>
                <w:bCs/>
                <w:sz w:val="18"/>
                <w:szCs w:val="18"/>
              </w:rPr>
            </w:pPr>
            <w:r w:rsidRPr="002A5068">
              <w:rPr>
                <w:rFonts w:ascii="Times New Roman" w:hAnsi="Times New Roman" w:cs="Times New Roman"/>
                <w:b/>
                <w:bCs/>
                <w:sz w:val="18"/>
                <w:szCs w:val="18"/>
              </w:rPr>
              <w:t>Indicator 1.2.2</w:t>
            </w:r>
            <w:r w:rsidR="00162D42" w:rsidRPr="002A5068">
              <w:rPr>
                <w:rFonts w:ascii="Times New Roman" w:hAnsi="Times New Roman" w:cs="Times New Roman"/>
                <w:b/>
                <w:bCs/>
                <w:sz w:val="18"/>
                <w:szCs w:val="18"/>
              </w:rPr>
              <w:t>.</w:t>
            </w:r>
            <w:r w:rsidRPr="002A5068">
              <w:rPr>
                <w:rFonts w:ascii="Times New Roman" w:hAnsi="Times New Roman" w:cs="Times New Roman"/>
                <w:bCs/>
                <w:sz w:val="18"/>
                <w:szCs w:val="18"/>
              </w:rPr>
              <w:t xml:space="preserve"> Number of police and community relationship committees established and operational at community level</w:t>
            </w:r>
            <w:r w:rsidR="00162D42" w:rsidRPr="002A5068">
              <w:rPr>
                <w:rFonts w:ascii="Times New Roman" w:hAnsi="Times New Roman" w:cs="Times New Roman"/>
                <w:bCs/>
                <w:sz w:val="18"/>
                <w:szCs w:val="18"/>
              </w:rPr>
              <w:t>.</w:t>
            </w:r>
            <w:r w:rsidRPr="002A5068">
              <w:rPr>
                <w:rFonts w:ascii="Times New Roman" w:hAnsi="Times New Roman" w:cs="Times New Roman"/>
                <w:bCs/>
                <w:sz w:val="18"/>
                <w:szCs w:val="18"/>
              </w:rPr>
              <w:t xml:space="preserve"> </w:t>
            </w:r>
          </w:p>
          <w:p w14:paraId="19F674C0" w14:textId="77777777" w:rsidR="00183BE7" w:rsidRPr="002A5068" w:rsidRDefault="00183BE7" w:rsidP="00377E24">
            <w:pPr>
              <w:ind w:right="229" w:hanging="13"/>
              <w:jc w:val="both"/>
              <w:rPr>
                <w:rFonts w:ascii="Times New Roman" w:hAnsi="Times New Roman" w:cs="Times New Roman"/>
                <w:bCs/>
                <w:sz w:val="18"/>
                <w:szCs w:val="18"/>
              </w:rPr>
            </w:pPr>
            <w:r w:rsidRPr="002A5068">
              <w:rPr>
                <w:rFonts w:ascii="Times New Roman" w:hAnsi="Times New Roman" w:cs="Times New Roman"/>
                <w:b/>
                <w:bCs/>
                <w:sz w:val="18"/>
                <w:szCs w:val="18"/>
              </w:rPr>
              <w:t>Baseline:</w:t>
            </w:r>
            <w:r w:rsidRPr="002A5068">
              <w:rPr>
                <w:rFonts w:ascii="Times New Roman" w:hAnsi="Times New Roman" w:cs="Times New Roman"/>
                <w:bCs/>
                <w:sz w:val="18"/>
                <w:szCs w:val="18"/>
              </w:rPr>
              <w:t xml:space="preserve"> 5</w:t>
            </w:r>
          </w:p>
          <w:p w14:paraId="1EE99C7B" w14:textId="77777777" w:rsidR="00183BE7" w:rsidRPr="002A5068" w:rsidRDefault="00183BE7" w:rsidP="00377E24">
            <w:pPr>
              <w:ind w:right="229" w:hanging="13"/>
              <w:jc w:val="both"/>
              <w:rPr>
                <w:rFonts w:ascii="Times New Roman" w:hAnsi="Times New Roman" w:cs="Times New Roman"/>
                <w:bCs/>
                <w:sz w:val="18"/>
                <w:szCs w:val="18"/>
              </w:rPr>
            </w:pPr>
            <w:r w:rsidRPr="002A5068">
              <w:rPr>
                <w:rFonts w:ascii="Times New Roman" w:hAnsi="Times New Roman" w:cs="Times New Roman"/>
                <w:b/>
                <w:bCs/>
                <w:sz w:val="18"/>
                <w:szCs w:val="18"/>
              </w:rPr>
              <w:t xml:space="preserve">Target: </w:t>
            </w:r>
            <w:r w:rsidRPr="002A5068">
              <w:rPr>
                <w:rFonts w:ascii="Times New Roman" w:hAnsi="Times New Roman" w:cs="Times New Roman"/>
                <w:bCs/>
                <w:sz w:val="18"/>
                <w:szCs w:val="18"/>
              </w:rPr>
              <w:t>10</w:t>
            </w:r>
          </w:p>
          <w:p w14:paraId="0324CD0A" w14:textId="77777777" w:rsidR="00183BE7" w:rsidRPr="002A5068" w:rsidRDefault="00183BE7" w:rsidP="00377E24">
            <w:pPr>
              <w:ind w:right="229" w:hanging="13"/>
              <w:jc w:val="both"/>
              <w:rPr>
                <w:rFonts w:ascii="Times New Roman" w:hAnsi="Times New Roman" w:cs="Times New Roman"/>
                <w:bCs/>
                <w:sz w:val="18"/>
                <w:szCs w:val="18"/>
              </w:rPr>
            </w:pPr>
            <w:r w:rsidRPr="002A5068">
              <w:rPr>
                <w:rFonts w:ascii="Times New Roman" w:hAnsi="Times New Roman" w:cs="Times New Roman"/>
                <w:b/>
                <w:bCs/>
                <w:sz w:val="18"/>
                <w:szCs w:val="18"/>
              </w:rPr>
              <w:t>Data source:</w:t>
            </w:r>
            <w:r w:rsidRPr="002A5068">
              <w:rPr>
                <w:rFonts w:ascii="Times New Roman" w:hAnsi="Times New Roman" w:cs="Times New Roman"/>
                <w:bCs/>
                <w:sz w:val="18"/>
                <w:szCs w:val="18"/>
              </w:rPr>
              <w:t xml:space="preserve"> Project reports, independent evaluation</w:t>
            </w:r>
          </w:p>
          <w:p w14:paraId="35DAAE82" w14:textId="77777777" w:rsidR="00183BE7" w:rsidRPr="002A5068" w:rsidRDefault="00183BE7" w:rsidP="00377E24">
            <w:pPr>
              <w:ind w:right="229" w:hanging="13"/>
              <w:jc w:val="both"/>
              <w:rPr>
                <w:rFonts w:ascii="Times New Roman" w:hAnsi="Times New Roman" w:cs="Times New Roman"/>
                <w:bCs/>
                <w:sz w:val="18"/>
                <w:szCs w:val="18"/>
              </w:rPr>
            </w:pPr>
            <w:r w:rsidRPr="002A5068">
              <w:rPr>
                <w:rFonts w:ascii="Times New Roman" w:hAnsi="Times New Roman" w:cs="Times New Roman"/>
                <w:b/>
                <w:bCs/>
                <w:sz w:val="18"/>
                <w:szCs w:val="18"/>
              </w:rPr>
              <w:t xml:space="preserve">Frequency: </w:t>
            </w:r>
            <w:r w:rsidRPr="002A5068">
              <w:rPr>
                <w:rFonts w:ascii="Times New Roman" w:hAnsi="Times New Roman" w:cs="Times New Roman"/>
                <w:bCs/>
                <w:sz w:val="18"/>
                <w:szCs w:val="18"/>
              </w:rPr>
              <w:t xml:space="preserve"> Annual, periodic</w:t>
            </w:r>
          </w:p>
          <w:p w14:paraId="21657BB6" w14:textId="77777777" w:rsidR="00183BE7" w:rsidRPr="002A5068" w:rsidRDefault="00183BE7" w:rsidP="00377E24">
            <w:pPr>
              <w:ind w:hanging="13"/>
              <w:rPr>
                <w:rFonts w:ascii="Times New Roman" w:hAnsi="Times New Roman" w:cs="Times New Roman"/>
                <w:b/>
                <w:bCs/>
                <w:sz w:val="18"/>
                <w:szCs w:val="18"/>
              </w:rPr>
            </w:pPr>
          </w:p>
          <w:p w14:paraId="4D47AE5D" w14:textId="1E9B0460" w:rsidR="00183BE7" w:rsidRPr="002A5068" w:rsidRDefault="00183BE7" w:rsidP="00377E24">
            <w:pPr>
              <w:ind w:hanging="13"/>
              <w:rPr>
                <w:rFonts w:ascii="Times New Roman" w:hAnsi="Times New Roman" w:cs="Times New Roman"/>
                <w:color w:val="000000" w:themeColor="text1"/>
                <w:sz w:val="18"/>
                <w:szCs w:val="18"/>
              </w:rPr>
            </w:pPr>
            <w:r w:rsidRPr="002A5068">
              <w:rPr>
                <w:rFonts w:ascii="Times New Roman" w:hAnsi="Times New Roman" w:cs="Times New Roman"/>
                <w:b/>
                <w:bCs/>
                <w:sz w:val="18"/>
                <w:szCs w:val="18"/>
              </w:rPr>
              <w:t>Indicator 1.2.3</w:t>
            </w:r>
            <w:r w:rsidR="00162D42" w:rsidRPr="002A5068">
              <w:rPr>
                <w:rFonts w:ascii="Times New Roman" w:hAnsi="Times New Roman" w:cs="Times New Roman"/>
                <w:b/>
                <w:bCs/>
                <w:sz w:val="18"/>
                <w:szCs w:val="18"/>
              </w:rPr>
              <w:t>.</w:t>
            </w:r>
            <w:r w:rsidRPr="002A5068">
              <w:rPr>
                <w:rFonts w:ascii="Times New Roman" w:hAnsi="Times New Roman" w:cs="Times New Roman"/>
                <w:sz w:val="18"/>
                <w:szCs w:val="18"/>
              </w:rPr>
              <w:t xml:space="preserve">  </w:t>
            </w:r>
            <w:r w:rsidRPr="002A5068">
              <w:rPr>
                <w:rFonts w:ascii="Times New Roman" w:hAnsi="Times New Roman" w:cs="Times New Roman"/>
                <w:color w:val="000000" w:themeColor="text1"/>
                <w:sz w:val="18"/>
                <w:szCs w:val="18"/>
              </w:rPr>
              <w:t xml:space="preserve"> </w:t>
            </w:r>
            <w:r w:rsidRPr="002A5068">
              <w:rPr>
                <w:rFonts w:ascii="Times New Roman" w:hAnsi="Times New Roman" w:cs="Times New Roman"/>
                <w:sz w:val="18"/>
                <w:szCs w:val="18"/>
                <w:lang w:eastAsia="en-CA"/>
              </w:rPr>
              <w:t>Number of indigent persons provided with legal aid services, disaggregated by sex.</w:t>
            </w:r>
            <w:r w:rsidRPr="002A5068">
              <w:rPr>
                <w:rFonts w:ascii="Times New Roman" w:hAnsi="Times New Roman" w:cs="Times New Roman"/>
                <w:color w:val="000000" w:themeColor="text1"/>
                <w:sz w:val="18"/>
                <w:szCs w:val="18"/>
              </w:rPr>
              <w:t xml:space="preserve"> </w:t>
            </w:r>
          </w:p>
          <w:p w14:paraId="51F8F6EF" w14:textId="77777777" w:rsidR="00183BE7" w:rsidRPr="002A5068" w:rsidRDefault="00183BE7" w:rsidP="00377E24">
            <w:pPr>
              <w:ind w:hanging="13"/>
              <w:rPr>
                <w:rFonts w:ascii="Times New Roman" w:hAnsi="Times New Roman" w:cs="Times New Roman"/>
                <w:color w:val="000000" w:themeColor="text1"/>
                <w:sz w:val="18"/>
                <w:szCs w:val="18"/>
              </w:rPr>
            </w:pPr>
            <w:r w:rsidRPr="002A5068">
              <w:rPr>
                <w:rFonts w:ascii="Times New Roman" w:hAnsi="Times New Roman" w:cs="Times New Roman"/>
                <w:b/>
                <w:bCs/>
                <w:color w:val="000000" w:themeColor="text1"/>
                <w:sz w:val="18"/>
                <w:szCs w:val="18"/>
              </w:rPr>
              <w:t>Baseline:</w:t>
            </w:r>
            <w:r w:rsidRPr="002A5068">
              <w:rPr>
                <w:rFonts w:ascii="Times New Roman" w:hAnsi="Times New Roman" w:cs="Times New Roman"/>
                <w:color w:val="000000" w:themeColor="text1"/>
                <w:sz w:val="18"/>
                <w:szCs w:val="18"/>
              </w:rPr>
              <w:t xml:space="preserve"> </w:t>
            </w:r>
            <w:r w:rsidRPr="002A5068">
              <w:rPr>
                <w:rFonts w:ascii="Times New Roman" w:hAnsi="Times New Roman" w:cs="Times New Roman"/>
                <w:sz w:val="18"/>
                <w:szCs w:val="18"/>
                <w:lang w:eastAsia="en-CA"/>
              </w:rPr>
              <w:t>220 (68 female, 152 males)</w:t>
            </w:r>
          </w:p>
          <w:p w14:paraId="5725FDCC" w14:textId="77777777" w:rsidR="00183BE7" w:rsidRPr="002A5068" w:rsidRDefault="00183BE7" w:rsidP="00377E24">
            <w:pPr>
              <w:ind w:hanging="13"/>
              <w:rPr>
                <w:rFonts w:ascii="Times New Roman" w:hAnsi="Times New Roman" w:cs="Times New Roman"/>
                <w:color w:val="000000" w:themeColor="text1"/>
                <w:sz w:val="18"/>
                <w:szCs w:val="18"/>
              </w:rPr>
            </w:pPr>
            <w:r w:rsidRPr="002A5068">
              <w:rPr>
                <w:rFonts w:ascii="Times New Roman" w:hAnsi="Times New Roman" w:cs="Times New Roman"/>
                <w:b/>
                <w:bCs/>
                <w:color w:val="000000" w:themeColor="text1"/>
                <w:sz w:val="18"/>
                <w:szCs w:val="18"/>
              </w:rPr>
              <w:t>Target</w:t>
            </w:r>
            <w:r w:rsidRPr="002A5068">
              <w:rPr>
                <w:rFonts w:ascii="Times New Roman" w:hAnsi="Times New Roman" w:cs="Times New Roman"/>
                <w:color w:val="000000" w:themeColor="text1"/>
                <w:sz w:val="18"/>
                <w:szCs w:val="18"/>
              </w:rPr>
              <w:t>: 5,000 (1,500 females, 3,500 males)</w:t>
            </w:r>
          </w:p>
          <w:p w14:paraId="6786662E" w14:textId="77777777" w:rsidR="00183BE7" w:rsidRPr="002A5068" w:rsidRDefault="00183BE7" w:rsidP="00377E24">
            <w:pPr>
              <w:ind w:right="229" w:hanging="13"/>
              <w:jc w:val="both"/>
              <w:rPr>
                <w:rFonts w:ascii="Times New Roman" w:hAnsi="Times New Roman" w:cs="Times New Roman"/>
                <w:color w:val="000000" w:themeColor="text1"/>
                <w:sz w:val="18"/>
                <w:szCs w:val="18"/>
              </w:rPr>
            </w:pPr>
            <w:r w:rsidRPr="002A5068">
              <w:rPr>
                <w:rFonts w:ascii="Times New Roman" w:hAnsi="Times New Roman" w:cs="Times New Roman"/>
                <w:b/>
                <w:color w:val="000000" w:themeColor="text1"/>
                <w:sz w:val="18"/>
                <w:szCs w:val="18"/>
              </w:rPr>
              <w:t xml:space="preserve">Data source: </w:t>
            </w:r>
            <w:r w:rsidRPr="002A5068">
              <w:rPr>
                <w:rFonts w:ascii="Times New Roman" w:hAnsi="Times New Roman" w:cs="Times New Roman"/>
                <w:color w:val="000000" w:themeColor="text1"/>
                <w:sz w:val="18"/>
                <w:szCs w:val="18"/>
              </w:rPr>
              <w:t>Ministry of justice reports, project reports</w:t>
            </w:r>
          </w:p>
          <w:p w14:paraId="2A0AE235" w14:textId="77777777" w:rsidR="00183BE7" w:rsidRPr="002A5068" w:rsidRDefault="00183BE7" w:rsidP="00377E24">
            <w:pPr>
              <w:ind w:right="229" w:hanging="13"/>
              <w:jc w:val="both"/>
              <w:rPr>
                <w:rFonts w:ascii="Times New Roman" w:hAnsi="Times New Roman" w:cs="Times New Roman"/>
                <w:color w:val="000000" w:themeColor="text1"/>
                <w:sz w:val="18"/>
                <w:szCs w:val="18"/>
              </w:rPr>
            </w:pPr>
            <w:r w:rsidRPr="002A5068">
              <w:rPr>
                <w:rFonts w:ascii="Times New Roman" w:hAnsi="Times New Roman" w:cs="Times New Roman"/>
                <w:b/>
                <w:color w:val="000000" w:themeColor="text1"/>
                <w:sz w:val="18"/>
                <w:szCs w:val="18"/>
              </w:rPr>
              <w:t>Frequency</w:t>
            </w:r>
            <w:r w:rsidRPr="002A5068">
              <w:rPr>
                <w:rFonts w:ascii="Times New Roman" w:hAnsi="Times New Roman" w:cs="Times New Roman"/>
                <w:color w:val="000000" w:themeColor="text1"/>
                <w:sz w:val="18"/>
                <w:szCs w:val="18"/>
              </w:rPr>
              <w:t>: Annual, quarterly</w:t>
            </w:r>
          </w:p>
          <w:p w14:paraId="7E94C984" w14:textId="77777777" w:rsidR="00183BE7" w:rsidRPr="002A5068" w:rsidRDefault="00183BE7" w:rsidP="00377E24">
            <w:pPr>
              <w:ind w:right="229" w:hanging="13"/>
              <w:jc w:val="both"/>
              <w:rPr>
                <w:rFonts w:ascii="Times New Roman" w:hAnsi="Times New Roman" w:cs="Times New Roman"/>
                <w:color w:val="000000" w:themeColor="text1"/>
                <w:sz w:val="18"/>
                <w:szCs w:val="18"/>
              </w:rPr>
            </w:pPr>
          </w:p>
          <w:p w14:paraId="2D03CAFC" w14:textId="2157FF4E" w:rsidR="00183BE7" w:rsidRPr="002A5068" w:rsidRDefault="00183BE7" w:rsidP="00377E24">
            <w:pPr>
              <w:ind w:hanging="13"/>
              <w:rPr>
                <w:rFonts w:ascii="Times New Roman" w:hAnsi="Times New Roman" w:cs="Times New Roman"/>
                <w:color w:val="000000" w:themeColor="text1"/>
                <w:sz w:val="18"/>
                <w:szCs w:val="18"/>
                <w:lang w:eastAsia="en-GB"/>
              </w:rPr>
            </w:pPr>
            <w:r w:rsidRPr="002A5068">
              <w:rPr>
                <w:rFonts w:ascii="Times New Roman" w:hAnsi="Times New Roman" w:cs="Times New Roman"/>
                <w:b/>
                <w:bCs/>
                <w:color w:val="000000" w:themeColor="text1"/>
                <w:sz w:val="18"/>
                <w:szCs w:val="18"/>
              </w:rPr>
              <w:t>Indicator 1.2.4</w:t>
            </w:r>
            <w:r w:rsidR="00162D42" w:rsidRPr="002A5068">
              <w:rPr>
                <w:rFonts w:ascii="Times New Roman" w:hAnsi="Times New Roman" w:cs="Times New Roman"/>
                <w:b/>
                <w:bCs/>
                <w:color w:val="000000" w:themeColor="text1"/>
                <w:sz w:val="18"/>
                <w:szCs w:val="18"/>
              </w:rPr>
              <w:t>.</w:t>
            </w:r>
            <w:r w:rsidRPr="002A5068">
              <w:rPr>
                <w:rFonts w:ascii="Times New Roman" w:hAnsi="Times New Roman" w:cs="Times New Roman"/>
                <w:color w:val="000000" w:themeColor="text1"/>
                <w:sz w:val="18"/>
                <w:szCs w:val="18"/>
              </w:rPr>
              <w:t xml:space="preserve"> Number of SGBV survivors benefitting from v</w:t>
            </w:r>
            <w:r w:rsidRPr="002A5068">
              <w:rPr>
                <w:rFonts w:ascii="Times New Roman" w:hAnsi="Times New Roman" w:cs="Times New Roman"/>
                <w:color w:val="000000" w:themeColor="text1"/>
                <w:sz w:val="18"/>
                <w:szCs w:val="18"/>
                <w:lang w:eastAsia="en-GB"/>
              </w:rPr>
              <w:t>ictim redress mechanisms</w:t>
            </w:r>
            <w:r w:rsidR="00162D42" w:rsidRPr="002A5068">
              <w:rPr>
                <w:rFonts w:ascii="Times New Roman" w:hAnsi="Times New Roman" w:cs="Times New Roman"/>
                <w:color w:val="000000" w:themeColor="text1"/>
                <w:sz w:val="18"/>
                <w:szCs w:val="18"/>
                <w:lang w:eastAsia="en-GB"/>
              </w:rPr>
              <w:t>,</w:t>
            </w:r>
            <w:r w:rsidRPr="002A5068">
              <w:rPr>
                <w:rFonts w:ascii="Times New Roman" w:hAnsi="Times New Roman" w:cs="Times New Roman"/>
                <w:color w:val="000000" w:themeColor="text1"/>
                <w:sz w:val="18"/>
                <w:szCs w:val="18"/>
                <w:lang w:eastAsia="en-GB"/>
              </w:rPr>
              <w:t xml:space="preserve"> including on transitional justice</w:t>
            </w:r>
            <w:r w:rsidR="00162D42" w:rsidRPr="002A5068">
              <w:rPr>
                <w:rFonts w:ascii="Times New Roman" w:hAnsi="Times New Roman" w:cs="Times New Roman"/>
                <w:color w:val="000000" w:themeColor="text1"/>
                <w:sz w:val="18"/>
                <w:szCs w:val="18"/>
                <w:lang w:eastAsia="en-GB"/>
              </w:rPr>
              <w:t>.</w:t>
            </w:r>
          </w:p>
          <w:p w14:paraId="058EED1B" w14:textId="77777777" w:rsidR="00183BE7" w:rsidRPr="002A5068" w:rsidRDefault="00183BE7" w:rsidP="00377E24">
            <w:pPr>
              <w:ind w:right="229" w:hanging="13"/>
              <w:jc w:val="both"/>
              <w:rPr>
                <w:rFonts w:ascii="Times New Roman" w:hAnsi="Times New Roman" w:cs="Times New Roman"/>
                <w:sz w:val="18"/>
                <w:szCs w:val="18"/>
              </w:rPr>
            </w:pPr>
            <w:r w:rsidRPr="002A5068">
              <w:rPr>
                <w:rFonts w:ascii="Times New Roman" w:hAnsi="Times New Roman" w:cs="Times New Roman"/>
                <w:b/>
                <w:iCs/>
                <w:sz w:val="18"/>
                <w:szCs w:val="18"/>
              </w:rPr>
              <w:t>Baselin</w:t>
            </w:r>
            <w:r w:rsidRPr="002A5068">
              <w:rPr>
                <w:rFonts w:ascii="Times New Roman" w:hAnsi="Times New Roman" w:cs="Times New Roman"/>
                <w:bCs/>
                <w:iCs/>
                <w:sz w:val="18"/>
                <w:szCs w:val="18"/>
              </w:rPr>
              <w:t>e:</w:t>
            </w:r>
            <w:r w:rsidRPr="002A5068">
              <w:rPr>
                <w:rFonts w:ascii="Times New Roman" w:hAnsi="Times New Roman" w:cs="Times New Roman"/>
                <w:b/>
                <w:bCs/>
                <w:sz w:val="18"/>
                <w:szCs w:val="18"/>
              </w:rPr>
              <w:t xml:space="preserve"> </w:t>
            </w:r>
            <w:r w:rsidRPr="002A5068">
              <w:rPr>
                <w:rFonts w:ascii="Times New Roman" w:hAnsi="Times New Roman" w:cs="Times New Roman"/>
                <w:sz w:val="18"/>
                <w:szCs w:val="18"/>
              </w:rPr>
              <w:t>125 (50 females, 75 males)</w:t>
            </w:r>
          </w:p>
          <w:p w14:paraId="572AEA31" w14:textId="77777777" w:rsidR="00183BE7" w:rsidRPr="002A5068" w:rsidRDefault="00183BE7" w:rsidP="00377E24">
            <w:pPr>
              <w:ind w:right="229" w:hanging="13"/>
              <w:jc w:val="both"/>
              <w:rPr>
                <w:rFonts w:ascii="Times New Roman" w:hAnsi="Times New Roman" w:cs="Times New Roman"/>
                <w:sz w:val="18"/>
                <w:szCs w:val="18"/>
              </w:rPr>
            </w:pPr>
            <w:r w:rsidRPr="002A5068">
              <w:rPr>
                <w:rFonts w:ascii="Times New Roman" w:hAnsi="Times New Roman" w:cs="Times New Roman"/>
                <w:b/>
                <w:iCs/>
                <w:sz w:val="18"/>
                <w:szCs w:val="18"/>
              </w:rPr>
              <w:t>Target</w:t>
            </w:r>
            <w:r w:rsidRPr="002A5068">
              <w:rPr>
                <w:rFonts w:ascii="Times New Roman" w:hAnsi="Times New Roman" w:cs="Times New Roman"/>
                <w:bCs/>
                <w:iCs/>
                <w:sz w:val="18"/>
                <w:szCs w:val="18"/>
              </w:rPr>
              <w:t>:</w:t>
            </w:r>
            <w:r w:rsidRPr="002A5068">
              <w:rPr>
                <w:rFonts w:ascii="Times New Roman" w:hAnsi="Times New Roman" w:cs="Times New Roman"/>
                <w:b/>
                <w:bCs/>
                <w:sz w:val="18"/>
                <w:szCs w:val="18"/>
              </w:rPr>
              <w:t xml:space="preserve"> </w:t>
            </w:r>
            <w:r w:rsidRPr="002A5068">
              <w:rPr>
                <w:rFonts w:ascii="Times New Roman" w:hAnsi="Times New Roman" w:cs="Times New Roman"/>
                <w:sz w:val="18"/>
                <w:szCs w:val="18"/>
              </w:rPr>
              <w:t>2,000 (800 females, 1200 males)</w:t>
            </w:r>
          </w:p>
          <w:p w14:paraId="24673B49" w14:textId="2EA412EC" w:rsidR="00183BE7" w:rsidRPr="002A5068" w:rsidRDefault="00183BE7" w:rsidP="00377E24">
            <w:pPr>
              <w:autoSpaceDE w:val="0"/>
              <w:autoSpaceDN w:val="0"/>
              <w:adjustRightInd w:val="0"/>
              <w:ind w:hanging="13"/>
              <w:rPr>
                <w:rFonts w:ascii="Times New Roman" w:hAnsi="Times New Roman" w:cs="Times New Roman"/>
                <w:iCs/>
                <w:sz w:val="18"/>
                <w:szCs w:val="18"/>
              </w:rPr>
            </w:pPr>
            <w:r w:rsidRPr="002A5068">
              <w:rPr>
                <w:rFonts w:ascii="Times New Roman" w:hAnsi="Times New Roman" w:cs="Times New Roman"/>
                <w:b/>
                <w:iCs/>
                <w:sz w:val="18"/>
                <w:szCs w:val="18"/>
              </w:rPr>
              <w:t xml:space="preserve">Data source: </w:t>
            </w:r>
            <w:r w:rsidRPr="002A5068">
              <w:rPr>
                <w:rFonts w:ascii="Times New Roman" w:hAnsi="Times New Roman" w:cs="Times New Roman"/>
                <w:iCs/>
                <w:sz w:val="18"/>
                <w:szCs w:val="18"/>
              </w:rPr>
              <w:t xml:space="preserve">Project reports, </w:t>
            </w:r>
            <w:r w:rsidR="00162D42" w:rsidRPr="002A5068">
              <w:rPr>
                <w:rFonts w:ascii="Times New Roman" w:hAnsi="Times New Roman" w:cs="Times New Roman"/>
                <w:iCs/>
                <w:sz w:val="18"/>
                <w:szCs w:val="18"/>
              </w:rPr>
              <w:t>i</w:t>
            </w:r>
            <w:r w:rsidRPr="002A5068">
              <w:rPr>
                <w:rFonts w:ascii="Times New Roman" w:hAnsi="Times New Roman" w:cs="Times New Roman"/>
                <w:iCs/>
                <w:sz w:val="18"/>
                <w:szCs w:val="18"/>
              </w:rPr>
              <w:t>nstitutional</w:t>
            </w:r>
            <w:r w:rsidR="000C5338">
              <w:rPr>
                <w:rFonts w:ascii="Times New Roman" w:hAnsi="Times New Roman" w:cs="Times New Roman"/>
                <w:iCs/>
                <w:sz w:val="18"/>
                <w:szCs w:val="18"/>
              </w:rPr>
              <w:t xml:space="preserve"> </w:t>
            </w:r>
            <w:r w:rsidR="00162D42" w:rsidRPr="002A5068">
              <w:rPr>
                <w:rFonts w:ascii="Times New Roman" w:hAnsi="Times New Roman" w:cs="Times New Roman"/>
                <w:iCs/>
                <w:sz w:val="18"/>
                <w:szCs w:val="18"/>
              </w:rPr>
              <w:t>r</w:t>
            </w:r>
            <w:r w:rsidRPr="002A5068">
              <w:rPr>
                <w:rFonts w:ascii="Times New Roman" w:hAnsi="Times New Roman" w:cs="Times New Roman"/>
                <w:iCs/>
                <w:sz w:val="18"/>
                <w:szCs w:val="18"/>
              </w:rPr>
              <w:t>eports</w:t>
            </w:r>
          </w:p>
          <w:p w14:paraId="275A1F10" w14:textId="77777777" w:rsidR="00183BE7" w:rsidRPr="002A5068" w:rsidRDefault="00183BE7" w:rsidP="00377E24">
            <w:pPr>
              <w:autoSpaceDE w:val="0"/>
              <w:autoSpaceDN w:val="0"/>
              <w:adjustRightInd w:val="0"/>
              <w:ind w:hanging="13"/>
              <w:rPr>
                <w:rFonts w:ascii="Times New Roman" w:hAnsi="Times New Roman" w:cs="Times New Roman"/>
                <w:iCs/>
                <w:sz w:val="18"/>
                <w:szCs w:val="18"/>
              </w:rPr>
            </w:pPr>
            <w:r w:rsidRPr="002A5068">
              <w:rPr>
                <w:rFonts w:ascii="Times New Roman" w:hAnsi="Times New Roman" w:cs="Times New Roman"/>
                <w:b/>
                <w:iCs/>
                <w:sz w:val="18"/>
                <w:szCs w:val="18"/>
              </w:rPr>
              <w:t xml:space="preserve">Frequency: </w:t>
            </w:r>
            <w:r w:rsidRPr="002A5068">
              <w:rPr>
                <w:rFonts w:ascii="Times New Roman" w:hAnsi="Times New Roman" w:cs="Times New Roman"/>
                <w:iCs/>
                <w:sz w:val="18"/>
                <w:szCs w:val="18"/>
              </w:rPr>
              <w:t>Annual</w:t>
            </w:r>
          </w:p>
        </w:tc>
        <w:tc>
          <w:tcPr>
            <w:tcW w:w="2090" w:type="dxa"/>
            <w:tcBorders>
              <w:right w:val="single" w:sz="4" w:space="0" w:color="000000" w:themeColor="text1"/>
            </w:tcBorders>
          </w:tcPr>
          <w:p w14:paraId="47665D7D" w14:textId="77777777" w:rsidR="00183BE7" w:rsidRPr="002A5068" w:rsidRDefault="00183BE7" w:rsidP="00377E24">
            <w:pPr>
              <w:rPr>
                <w:rFonts w:ascii="Times New Roman" w:hAnsi="Times New Roman" w:cs="Times New Roman"/>
                <w:sz w:val="18"/>
                <w:szCs w:val="18"/>
              </w:rPr>
            </w:pPr>
            <w:r w:rsidRPr="002A5068">
              <w:rPr>
                <w:rFonts w:ascii="Times New Roman" w:hAnsi="Times New Roman" w:cs="Times New Roman"/>
                <w:sz w:val="18"/>
                <w:szCs w:val="18"/>
              </w:rPr>
              <w:lastRenderedPageBreak/>
              <w:t xml:space="preserve">UNMISS, </w:t>
            </w:r>
          </w:p>
          <w:p w14:paraId="3D1D527C" w14:textId="77777777" w:rsidR="00183BE7" w:rsidRPr="002A5068" w:rsidRDefault="00183BE7" w:rsidP="00377E24">
            <w:pPr>
              <w:rPr>
                <w:rFonts w:ascii="Times New Roman" w:hAnsi="Times New Roman" w:cs="Times New Roman"/>
                <w:sz w:val="18"/>
                <w:szCs w:val="18"/>
              </w:rPr>
            </w:pPr>
            <w:r w:rsidRPr="002A5068">
              <w:rPr>
                <w:rFonts w:ascii="Times New Roman" w:hAnsi="Times New Roman" w:cs="Times New Roman"/>
                <w:sz w:val="18"/>
                <w:szCs w:val="18"/>
              </w:rPr>
              <w:t>UNFPA,</w:t>
            </w:r>
          </w:p>
          <w:p w14:paraId="28F2433A" w14:textId="5CB39AE9" w:rsidR="00183BE7" w:rsidRPr="002A5068" w:rsidRDefault="00183BE7" w:rsidP="00377E24">
            <w:pPr>
              <w:rPr>
                <w:rFonts w:ascii="Times New Roman" w:hAnsi="Times New Roman" w:cs="Times New Roman"/>
                <w:sz w:val="18"/>
                <w:szCs w:val="18"/>
              </w:rPr>
            </w:pPr>
            <w:r w:rsidRPr="002A5068">
              <w:rPr>
                <w:rFonts w:ascii="Times New Roman" w:hAnsi="Times New Roman" w:cs="Times New Roman"/>
                <w:sz w:val="18"/>
                <w:szCs w:val="18"/>
              </w:rPr>
              <w:t>UN</w:t>
            </w:r>
            <w:r w:rsidR="00162D42" w:rsidRPr="002A5068">
              <w:rPr>
                <w:rFonts w:ascii="Times New Roman" w:hAnsi="Times New Roman" w:cs="Times New Roman"/>
                <w:sz w:val="18"/>
                <w:szCs w:val="18"/>
              </w:rPr>
              <w:t>-</w:t>
            </w:r>
            <w:r w:rsidRPr="002A5068">
              <w:rPr>
                <w:rFonts w:ascii="Times New Roman" w:hAnsi="Times New Roman" w:cs="Times New Roman"/>
                <w:sz w:val="18"/>
                <w:szCs w:val="18"/>
              </w:rPr>
              <w:t>W</w:t>
            </w:r>
            <w:r w:rsidR="00162D42" w:rsidRPr="002A5068">
              <w:rPr>
                <w:rFonts w:ascii="Times New Roman" w:hAnsi="Times New Roman" w:cs="Times New Roman"/>
                <w:sz w:val="18"/>
                <w:szCs w:val="18"/>
              </w:rPr>
              <w:t>omen</w:t>
            </w:r>
          </w:p>
          <w:p w14:paraId="7109DC49" w14:textId="77777777" w:rsidR="00183BE7" w:rsidRPr="002A5068" w:rsidRDefault="00183BE7" w:rsidP="00377E24">
            <w:pPr>
              <w:rPr>
                <w:rFonts w:ascii="Times New Roman" w:hAnsi="Times New Roman" w:cs="Times New Roman"/>
                <w:sz w:val="18"/>
                <w:szCs w:val="18"/>
              </w:rPr>
            </w:pPr>
            <w:r w:rsidRPr="002A5068">
              <w:rPr>
                <w:rFonts w:ascii="Times New Roman" w:hAnsi="Times New Roman" w:cs="Times New Roman"/>
                <w:sz w:val="18"/>
                <w:szCs w:val="18"/>
              </w:rPr>
              <w:t xml:space="preserve">Global Focal Point </w:t>
            </w:r>
          </w:p>
          <w:p w14:paraId="2254E305" w14:textId="77777777" w:rsidR="00183BE7" w:rsidRPr="002A5068" w:rsidRDefault="00183BE7" w:rsidP="00377E24">
            <w:pPr>
              <w:rPr>
                <w:rFonts w:ascii="Times New Roman" w:hAnsi="Times New Roman" w:cs="Times New Roman"/>
                <w:sz w:val="18"/>
                <w:szCs w:val="18"/>
              </w:rPr>
            </w:pPr>
          </w:p>
          <w:p w14:paraId="2D95EC18" w14:textId="77777777" w:rsidR="00183BE7" w:rsidRPr="002A5068" w:rsidRDefault="00183BE7" w:rsidP="00377E24">
            <w:pPr>
              <w:rPr>
                <w:rFonts w:ascii="Times New Roman" w:hAnsi="Times New Roman" w:cs="Times New Roman"/>
                <w:sz w:val="18"/>
                <w:szCs w:val="18"/>
              </w:rPr>
            </w:pPr>
            <w:r w:rsidRPr="002A5068">
              <w:rPr>
                <w:rFonts w:ascii="Times New Roman" w:hAnsi="Times New Roman" w:cs="Times New Roman"/>
                <w:sz w:val="18"/>
                <w:szCs w:val="18"/>
              </w:rPr>
              <w:t>National police, justice and corrections institutions</w:t>
            </w:r>
          </w:p>
          <w:p w14:paraId="6B8F0DD0" w14:textId="77777777" w:rsidR="00183BE7" w:rsidRPr="002A5068" w:rsidRDefault="00183BE7" w:rsidP="00377E24">
            <w:pPr>
              <w:rPr>
                <w:rFonts w:ascii="Times New Roman" w:hAnsi="Times New Roman" w:cs="Times New Roman"/>
                <w:sz w:val="18"/>
                <w:szCs w:val="18"/>
              </w:rPr>
            </w:pPr>
          </w:p>
          <w:p w14:paraId="6A11CE22" w14:textId="1FF55611" w:rsidR="00183BE7" w:rsidRPr="002A5068" w:rsidRDefault="00162D42" w:rsidP="00B16A6B">
            <w:pPr>
              <w:rPr>
                <w:rFonts w:ascii="Times New Roman" w:hAnsi="Times New Roman" w:cs="Times New Roman"/>
                <w:sz w:val="18"/>
                <w:szCs w:val="18"/>
              </w:rPr>
            </w:pPr>
            <w:r w:rsidRPr="002A5068">
              <w:rPr>
                <w:rFonts w:ascii="Times New Roman" w:hAnsi="Times New Roman" w:cs="Times New Roman"/>
                <w:sz w:val="18"/>
                <w:szCs w:val="18"/>
              </w:rPr>
              <w:lastRenderedPageBreak/>
              <w:t>Germany, J</w:t>
            </w:r>
            <w:r w:rsidR="00183BE7" w:rsidRPr="002A5068">
              <w:rPr>
                <w:rFonts w:ascii="Times New Roman" w:hAnsi="Times New Roman" w:cs="Times New Roman"/>
                <w:sz w:val="18"/>
                <w:szCs w:val="18"/>
              </w:rPr>
              <w:t>apan, Netherlands</w:t>
            </w:r>
            <w:r w:rsidRPr="002A5068">
              <w:rPr>
                <w:rFonts w:ascii="Times New Roman" w:hAnsi="Times New Roman" w:cs="Times New Roman"/>
                <w:sz w:val="18"/>
                <w:szCs w:val="18"/>
              </w:rPr>
              <w:t>,</w:t>
            </w:r>
            <w:r w:rsidR="00183BE7" w:rsidRPr="002A5068">
              <w:rPr>
                <w:rFonts w:ascii="Times New Roman" w:hAnsi="Times New Roman" w:cs="Times New Roman"/>
                <w:sz w:val="18"/>
                <w:szCs w:val="18"/>
              </w:rPr>
              <w:t xml:space="preserve"> Norway</w:t>
            </w:r>
          </w:p>
        </w:tc>
        <w:tc>
          <w:tcPr>
            <w:tcW w:w="1751" w:type="dxa"/>
            <w:vMerge/>
            <w:tcBorders>
              <w:left w:val="single" w:sz="4" w:space="0" w:color="000000" w:themeColor="text1"/>
              <w:right w:val="single" w:sz="4" w:space="0" w:color="000000" w:themeColor="text1"/>
            </w:tcBorders>
          </w:tcPr>
          <w:p w14:paraId="481DEC02" w14:textId="77777777" w:rsidR="00183BE7" w:rsidRPr="002A5068" w:rsidRDefault="00183BE7" w:rsidP="00377E24">
            <w:pPr>
              <w:rPr>
                <w:rFonts w:ascii="Times New Roman" w:hAnsi="Times New Roman" w:cs="Times New Roman"/>
                <w:sz w:val="18"/>
                <w:szCs w:val="18"/>
              </w:rPr>
            </w:pPr>
          </w:p>
        </w:tc>
      </w:tr>
      <w:tr w:rsidR="00183BE7" w:rsidRPr="002A5068" w14:paraId="65B825FB" w14:textId="77777777" w:rsidTr="002E013D">
        <w:trPr>
          <w:trHeight w:val="2357"/>
        </w:trPr>
        <w:tc>
          <w:tcPr>
            <w:tcW w:w="2807" w:type="dxa"/>
            <w:vMerge/>
            <w:tcBorders>
              <w:left w:val="single" w:sz="4" w:space="0" w:color="000000" w:themeColor="text1"/>
              <w:right w:val="single" w:sz="4" w:space="0" w:color="000000" w:themeColor="text1"/>
            </w:tcBorders>
          </w:tcPr>
          <w:p w14:paraId="2B0BA016" w14:textId="77777777" w:rsidR="00183BE7" w:rsidRPr="002A5068" w:rsidRDefault="00183BE7" w:rsidP="00377E24">
            <w:pPr>
              <w:spacing w:after="7"/>
              <w:ind w:left="142" w:right="110"/>
              <w:jc w:val="both"/>
              <w:rPr>
                <w:rFonts w:ascii="Times New Roman" w:hAnsi="Times New Roman" w:cs="Times New Roman"/>
                <w:sz w:val="18"/>
                <w:szCs w:val="18"/>
              </w:rPr>
            </w:pPr>
          </w:p>
        </w:tc>
        <w:tc>
          <w:tcPr>
            <w:tcW w:w="1776" w:type="dxa"/>
            <w:vMerge/>
            <w:tcBorders>
              <w:left w:val="single" w:sz="4" w:space="0" w:color="000000" w:themeColor="text1"/>
              <w:right w:val="single" w:sz="4" w:space="0" w:color="000000" w:themeColor="text1"/>
            </w:tcBorders>
          </w:tcPr>
          <w:p w14:paraId="78092D7A" w14:textId="77777777" w:rsidR="00183BE7" w:rsidRPr="002A5068" w:rsidRDefault="00183BE7" w:rsidP="00377E24">
            <w:pPr>
              <w:rPr>
                <w:rFonts w:ascii="Times New Roman" w:hAnsi="Times New Roman" w:cs="Times New Roman"/>
                <w:sz w:val="18"/>
                <w:szCs w:val="18"/>
              </w:rPr>
            </w:pPr>
          </w:p>
        </w:tc>
        <w:tc>
          <w:tcPr>
            <w:tcW w:w="5605" w:type="dxa"/>
            <w:gridSpan w:val="2"/>
            <w:tcBorders>
              <w:left w:val="single" w:sz="4" w:space="0" w:color="000000" w:themeColor="text1"/>
            </w:tcBorders>
          </w:tcPr>
          <w:p w14:paraId="13229816" w14:textId="21F3824D" w:rsidR="00183BE7" w:rsidRPr="002A5068" w:rsidRDefault="00183BE7" w:rsidP="00377E24">
            <w:pPr>
              <w:autoSpaceDE w:val="0"/>
              <w:autoSpaceDN w:val="0"/>
              <w:adjustRightInd w:val="0"/>
              <w:rPr>
                <w:rFonts w:ascii="Times New Roman" w:hAnsi="Times New Roman" w:cs="Times New Roman"/>
                <w:iCs/>
                <w:sz w:val="18"/>
                <w:szCs w:val="18"/>
              </w:rPr>
            </w:pPr>
            <w:r w:rsidRPr="002A5068">
              <w:rPr>
                <w:rFonts w:ascii="Times New Roman" w:hAnsi="Times New Roman" w:cs="Times New Roman"/>
                <w:b/>
                <w:iCs/>
                <w:sz w:val="18"/>
                <w:szCs w:val="18"/>
              </w:rPr>
              <w:t>Output 1.3</w:t>
            </w:r>
            <w:r w:rsidR="00162D42" w:rsidRPr="002A5068">
              <w:rPr>
                <w:rFonts w:ascii="Times New Roman" w:hAnsi="Times New Roman" w:cs="Times New Roman"/>
                <w:b/>
                <w:iCs/>
                <w:sz w:val="18"/>
                <w:szCs w:val="18"/>
              </w:rPr>
              <w:t>.</w:t>
            </w:r>
            <w:r w:rsidRPr="002A5068">
              <w:rPr>
                <w:rFonts w:ascii="Times New Roman" w:hAnsi="Times New Roman" w:cs="Times New Roman"/>
                <w:iCs/>
                <w:sz w:val="18"/>
                <w:szCs w:val="18"/>
              </w:rPr>
              <w:t xml:space="preserve"> Key governance institutions</w:t>
            </w:r>
            <w:r w:rsidRPr="002A5068">
              <w:rPr>
                <w:rStyle w:val="FootnoteReference"/>
                <w:rFonts w:ascii="Times New Roman" w:hAnsi="Times New Roman"/>
                <w:iCs/>
                <w:sz w:val="18"/>
                <w:szCs w:val="18"/>
              </w:rPr>
              <w:footnoteReference w:id="31"/>
            </w:r>
            <w:r w:rsidRPr="002A5068">
              <w:rPr>
                <w:rFonts w:ascii="Times New Roman" w:hAnsi="Times New Roman" w:cs="Times New Roman"/>
                <w:iCs/>
                <w:sz w:val="18"/>
                <w:szCs w:val="18"/>
              </w:rPr>
              <w:t xml:space="preserve"> are en</w:t>
            </w:r>
            <w:r w:rsidRPr="002A5068">
              <w:rPr>
                <w:rFonts w:ascii="Times New Roman" w:hAnsi="Times New Roman" w:cs="Times New Roman"/>
                <w:sz w:val="18"/>
                <w:szCs w:val="18"/>
              </w:rPr>
              <w:t>abled to perform core functions in line with the New Deal and the outcome of the peace process</w:t>
            </w:r>
            <w:r w:rsidR="00162D42" w:rsidRPr="002A5068">
              <w:rPr>
                <w:rFonts w:ascii="Times New Roman" w:hAnsi="Times New Roman" w:cs="Times New Roman"/>
                <w:sz w:val="18"/>
                <w:szCs w:val="18"/>
              </w:rPr>
              <w:t>.</w:t>
            </w:r>
            <w:r w:rsidRPr="002A5068">
              <w:rPr>
                <w:rFonts w:ascii="Times New Roman" w:hAnsi="Times New Roman" w:cs="Times New Roman"/>
                <w:sz w:val="18"/>
                <w:szCs w:val="18"/>
              </w:rPr>
              <w:t xml:space="preserve">  </w:t>
            </w:r>
          </w:p>
          <w:p w14:paraId="313133B9" w14:textId="77777777" w:rsidR="00183BE7" w:rsidRPr="002A5068" w:rsidRDefault="00183BE7" w:rsidP="00377E24">
            <w:pPr>
              <w:rPr>
                <w:rFonts w:ascii="Times New Roman" w:hAnsi="Times New Roman" w:cs="Times New Roman"/>
                <w:b/>
                <w:iCs/>
                <w:sz w:val="18"/>
                <w:szCs w:val="18"/>
              </w:rPr>
            </w:pPr>
          </w:p>
          <w:p w14:paraId="479A0EBB" w14:textId="15DA7953" w:rsidR="00183BE7" w:rsidRPr="002A5068" w:rsidRDefault="00183BE7" w:rsidP="00377E24">
            <w:pPr>
              <w:autoSpaceDE w:val="0"/>
              <w:autoSpaceDN w:val="0"/>
              <w:adjustRightInd w:val="0"/>
              <w:rPr>
                <w:rFonts w:ascii="Times New Roman" w:hAnsi="Times New Roman" w:cs="Times New Roman"/>
                <w:sz w:val="18"/>
                <w:szCs w:val="18"/>
              </w:rPr>
            </w:pPr>
            <w:r w:rsidRPr="002A5068">
              <w:rPr>
                <w:rFonts w:ascii="Times New Roman" w:hAnsi="Times New Roman" w:cs="Times New Roman"/>
                <w:b/>
                <w:iCs/>
                <w:sz w:val="18"/>
                <w:szCs w:val="18"/>
              </w:rPr>
              <w:t>Indicator 1.3.1</w:t>
            </w:r>
            <w:r w:rsidR="00162D42" w:rsidRPr="002A5068">
              <w:rPr>
                <w:rFonts w:ascii="Times New Roman" w:hAnsi="Times New Roman" w:cs="Times New Roman"/>
                <w:b/>
                <w:iCs/>
                <w:sz w:val="18"/>
                <w:szCs w:val="18"/>
              </w:rPr>
              <w:t>.</w:t>
            </w:r>
            <w:r w:rsidRPr="002A5068">
              <w:rPr>
                <w:rFonts w:ascii="Times New Roman" w:hAnsi="Times New Roman" w:cs="Times New Roman"/>
                <w:iCs/>
                <w:sz w:val="18"/>
                <w:szCs w:val="18"/>
              </w:rPr>
              <w:t xml:space="preserve"> Extent</w:t>
            </w:r>
            <w:r w:rsidRPr="002A5068">
              <w:rPr>
                <w:rStyle w:val="FootnoteReference"/>
                <w:rFonts w:ascii="Times New Roman" w:hAnsi="Times New Roman"/>
                <w:iCs/>
                <w:sz w:val="18"/>
                <w:szCs w:val="18"/>
              </w:rPr>
              <w:footnoteReference w:id="32"/>
            </w:r>
            <w:r w:rsidRPr="002A5068">
              <w:rPr>
                <w:rFonts w:ascii="Times New Roman" w:hAnsi="Times New Roman" w:cs="Times New Roman"/>
                <w:iCs/>
                <w:sz w:val="18"/>
                <w:szCs w:val="18"/>
              </w:rPr>
              <w:t xml:space="preserve"> to which governance institutions</w:t>
            </w:r>
            <w:r w:rsidRPr="002A5068">
              <w:rPr>
                <w:rFonts w:ascii="Times New Roman" w:hAnsi="Times New Roman" w:cs="Times New Roman"/>
                <w:sz w:val="18"/>
                <w:szCs w:val="18"/>
              </w:rPr>
              <w:t xml:space="preserve"> have requisite capacities and independence to deliver reforms and core functions</w:t>
            </w:r>
            <w:r w:rsidR="00162D42" w:rsidRPr="002A5068">
              <w:rPr>
                <w:rFonts w:ascii="Times New Roman" w:hAnsi="Times New Roman" w:cs="Times New Roman"/>
                <w:sz w:val="18"/>
                <w:szCs w:val="18"/>
              </w:rPr>
              <w:t>.</w:t>
            </w:r>
            <w:r w:rsidRPr="002A5068">
              <w:rPr>
                <w:rStyle w:val="FootnoteReference"/>
                <w:rFonts w:ascii="Times New Roman" w:hAnsi="Times New Roman"/>
                <w:sz w:val="18"/>
                <w:szCs w:val="18"/>
              </w:rPr>
              <w:footnoteReference w:id="33"/>
            </w:r>
          </w:p>
          <w:p w14:paraId="7C34038E" w14:textId="77777777" w:rsidR="00183BE7" w:rsidRPr="002A5068" w:rsidRDefault="00183BE7" w:rsidP="00377E24">
            <w:pPr>
              <w:autoSpaceDE w:val="0"/>
              <w:autoSpaceDN w:val="0"/>
              <w:adjustRightInd w:val="0"/>
              <w:rPr>
                <w:rFonts w:ascii="Times New Roman" w:hAnsi="Times New Roman" w:cs="Times New Roman"/>
                <w:iCs/>
                <w:sz w:val="18"/>
                <w:szCs w:val="18"/>
              </w:rPr>
            </w:pPr>
            <w:r w:rsidRPr="002A5068">
              <w:rPr>
                <w:rFonts w:ascii="Times New Roman" w:hAnsi="Times New Roman" w:cs="Times New Roman"/>
                <w:b/>
                <w:iCs/>
                <w:sz w:val="18"/>
                <w:szCs w:val="18"/>
              </w:rPr>
              <w:t>Baseline:</w:t>
            </w:r>
            <w:r w:rsidRPr="002A5068">
              <w:rPr>
                <w:rFonts w:ascii="Times New Roman" w:hAnsi="Times New Roman" w:cs="Times New Roman"/>
                <w:iCs/>
                <w:sz w:val="18"/>
                <w:szCs w:val="18"/>
              </w:rPr>
              <w:t xml:space="preserve"> 1 </w:t>
            </w:r>
          </w:p>
          <w:p w14:paraId="727966CE" w14:textId="77777777" w:rsidR="00183BE7" w:rsidRPr="002A5068" w:rsidRDefault="00183BE7" w:rsidP="00377E24">
            <w:pPr>
              <w:rPr>
                <w:rFonts w:ascii="Times New Roman" w:hAnsi="Times New Roman" w:cs="Times New Roman"/>
                <w:iCs/>
                <w:sz w:val="18"/>
                <w:szCs w:val="18"/>
              </w:rPr>
            </w:pPr>
            <w:r w:rsidRPr="002A5068">
              <w:rPr>
                <w:rFonts w:ascii="Times New Roman" w:hAnsi="Times New Roman" w:cs="Times New Roman"/>
                <w:b/>
                <w:iCs/>
                <w:sz w:val="18"/>
                <w:szCs w:val="18"/>
              </w:rPr>
              <w:t>Target:</w:t>
            </w:r>
            <w:r w:rsidRPr="002A5068">
              <w:rPr>
                <w:rFonts w:ascii="Times New Roman" w:hAnsi="Times New Roman" w:cs="Times New Roman"/>
                <w:iCs/>
                <w:sz w:val="18"/>
                <w:szCs w:val="18"/>
              </w:rPr>
              <w:t xml:space="preserve"> 3 </w:t>
            </w:r>
          </w:p>
          <w:p w14:paraId="3669CF5E" w14:textId="77777777" w:rsidR="00183BE7" w:rsidRPr="002A5068" w:rsidRDefault="00183BE7" w:rsidP="00377E24">
            <w:pPr>
              <w:autoSpaceDE w:val="0"/>
              <w:autoSpaceDN w:val="0"/>
              <w:adjustRightInd w:val="0"/>
              <w:rPr>
                <w:rFonts w:ascii="Times New Roman" w:hAnsi="Times New Roman" w:cs="Times New Roman"/>
                <w:iCs/>
                <w:sz w:val="18"/>
                <w:szCs w:val="18"/>
              </w:rPr>
            </w:pPr>
            <w:r w:rsidRPr="002A5068">
              <w:rPr>
                <w:rFonts w:ascii="Times New Roman" w:hAnsi="Times New Roman" w:cs="Times New Roman"/>
                <w:b/>
                <w:iCs/>
                <w:sz w:val="18"/>
                <w:szCs w:val="18"/>
              </w:rPr>
              <w:t xml:space="preserve">Data source: </w:t>
            </w:r>
            <w:r w:rsidRPr="002A5068">
              <w:rPr>
                <w:rFonts w:ascii="Times New Roman" w:hAnsi="Times New Roman" w:cs="Times New Roman"/>
                <w:iCs/>
                <w:sz w:val="18"/>
                <w:szCs w:val="18"/>
              </w:rPr>
              <w:t>Relevant institutions report</w:t>
            </w:r>
          </w:p>
          <w:p w14:paraId="14451D98" w14:textId="77777777" w:rsidR="00183BE7" w:rsidRPr="002A5068" w:rsidRDefault="00183BE7" w:rsidP="00377E24">
            <w:pPr>
              <w:autoSpaceDE w:val="0"/>
              <w:autoSpaceDN w:val="0"/>
              <w:adjustRightInd w:val="0"/>
              <w:rPr>
                <w:rFonts w:ascii="Times New Roman" w:hAnsi="Times New Roman" w:cs="Times New Roman"/>
                <w:iCs/>
                <w:sz w:val="18"/>
                <w:szCs w:val="18"/>
              </w:rPr>
            </w:pPr>
            <w:r w:rsidRPr="002A5068">
              <w:rPr>
                <w:rFonts w:ascii="Times New Roman" w:hAnsi="Times New Roman" w:cs="Times New Roman"/>
                <w:b/>
                <w:iCs/>
                <w:sz w:val="18"/>
                <w:szCs w:val="18"/>
              </w:rPr>
              <w:t>Frequency</w:t>
            </w:r>
            <w:r w:rsidRPr="002A5068">
              <w:rPr>
                <w:rFonts w:ascii="Times New Roman" w:hAnsi="Times New Roman" w:cs="Times New Roman"/>
                <w:iCs/>
                <w:sz w:val="18"/>
                <w:szCs w:val="18"/>
              </w:rPr>
              <w:t>: Annual</w:t>
            </w:r>
          </w:p>
          <w:p w14:paraId="3A8D1EE5" w14:textId="77777777" w:rsidR="00183BE7" w:rsidRPr="002A5068" w:rsidRDefault="00183BE7" w:rsidP="00377E24">
            <w:pPr>
              <w:autoSpaceDE w:val="0"/>
              <w:autoSpaceDN w:val="0"/>
              <w:adjustRightInd w:val="0"/>
              <w:rPr>
                <w:rFonts w:ascii="Times New Roman" w:hAnsi="Times New Roman" w:cs="Times New Roman"/>
                <w:b/>
                <w:iCs/>
                <w:sz w:val="18"/>
                <w:szCs w:val="18"/>
              </w:rPr>
            </w:pPr>
          </w:p>
          <w:p w14:paraId="52E70664" w14:textId="35277162" w:rsidR="00183BE7" w:rsidRPr="002A5068" w:rsidRDefault="00183BE7" w:rsidP="00377E24">
            <w:pPr>
              <w:autoSpaceDE w:val="0"/>
              <w:autoSpaceDN w:val="0"/>
              <w:adjustRightInd w:val="0"/>
              <w:rPr>
                <w:rFonts w:ascii="Times New Roman" w:hAnsi="Times New Roman" w:cs="Times New Roman"/>
                <w:sz w:val="18"/>
                <w:szCs w:val="18"/>
              </w:rPr>
            </w:pPr>
            <w:r w:rsidRPr="002A5068">
              <w:rPr>
                <w:rFonts w:ascii="Times New Roman" w:hAnsi="Times New Roman" w:cs="Times New Roman"/>
                <w:b/>
                <w:iCs/>
                <w:sz w:val="18"/>
                <w:szCs w:val="18"/>
              </w:rPr>
              <w:t>Indicator 1.3.2</w:t>
            </w:r>
            <w:r w:rsidR="00162D42" w:rsidRPr="002A5068">
              <w:rPr>
                <w:rFonts w:ascii="Times New Roman" w:hAnsi="Times New Roman" w:cs="Times New Roman"/>
                <w:b/>
                <w:iCs/>
                <w:sz w:val="18"/>
                <w:szCs w:val="18"/>
              </w:rPr>
              <w:t>.</w:t>
            </w:r>
            <w:r w:rsidRPr="002A5068">
              <w:rPr>
                <w:rFonts w:ascii="Times New Roman" w:hAnsi="Times New Roman" w:cs="Times New Roman"/>
                <w:iCs/>
                <w:sz w:val="18"/>
                <w:szCs w:val="18"/>
              </w:rPr>
              <w:t xml:space="preserve"> Number of </w:t>
            </w:r>
            <w:r w:rsidRPr="002A5068">
              <w:rPr>
                <w:rFonts w:ascii="Times New Roman" w:hAnsi="Times New Roman" w:cs="Times New Roman"/>
                <w:sz w:val="18"/>
                <w:szCs w:val="18"/>
              </w:rPr>
              <w:t>institutional frameworks implemented to promote the participation of women and marginalized groups in reform processes</w:t>
            </w:r>
            <w:r w:rsidR="00162D42" w:rsidRPr="002A5068">
              <w:rPr>
                <w:rFonts w:ascii="Times New Roman" w:hAnsi="Times New Roman" w:cs="Times New Roman"/>
                <w:sz w:val="18"/>
                <w:szCs w:val="18"/>
              </w:rPr>
              <w:t>.</w:t>
            </w:r>
          </w:p>
          <w:p w14:paraId="03ED03F2" w14:textId="77777777" w:rsidR="00183BE7" w:rsidRPr="002A5068" w:rsidRDefault="00183BE7" w:rsidP="00377E24">
            <w:pPr>
              <w:autoSpaceDE w:val="0"/>
              <w:autoSpaceDN w:val="0"/>
              <w:adjustRightInd w:val="0"/>
              <w:rPr>
                <w:rFonts w:ascii="Times New Roman" w:hAnsi="Times New Roman" w:cs="Times New Roman"/>
                <w:iCs/>
                <w:sz w:val="18"/>
                <w:szCs w:val="18"/>
              </w:rPr>
            </w:pPr>
            <w:r w:rsidRPr="002A5068">
              <w:rPr>
                <w:rFonts w:ascii="Times New Roman" w:hAnsi="Times New Roman" w:cs="Times New Roman"/>
                <w:b/>
                <w:iCs/>
                <w:sz w:val="18"/>
                <w:szCs w:val="18"/>
              </w:rPr>
              <w:t>Baseline:</w:t>
            </w:r>
            <w:r w:rsidRPr="002A5068">
              <w:rPr>
                <w:rFonts w:ascii="Times New Roman" w:hAnsi="Times New Roman" w:cs="Times New Roman"/>
                <w:iCs/>
                <w:sz w:val="18"/>
                <w:szCs w:val="18"/>
              </w:rPr>
              <w:t xml:space="preserve"> 0</w:t>
            </w:r>
          </w:p>
          <w:p w14:paraId="36BD17AF" w14:textId="77777777" w:rsidR="00183BE7" w:rsidRPr="002A5068" w:rsidRDefault="00183BE7" w:rsidP="00377E24">
            <w:pPr>
              <w:rPr>
                <w:rFonts w:ascii="Times New Roman" w:hAnsi="Times New Roman" w:cs="Times New Roman"/>
                <w:iCs/>
                <w:sz w:val="18"/>
                <w:szCs w:val="18"/>
              </w:rPr>
            </w:pPr>
            <w:r w:rsidRPr="002A5068">
              <w:rPr>
                <w:rFonts w:ascii="Times New Roman" w:hAnsi="Times New Roman" w:cs="Times New Roman"/>
                <w:b/>
                <w:iCs/>
                <w:sz w:val="18"/>
                <w:szCs w:val="18"/>
              </w:rPr>
              <w:t>Target:</w:t>
            </w:r>
            <w:r w:rsidRPr="002A5068">
              <w:rPr>
                <w:rFonts w:ascii="Times New Roman" w:hAnsi="Times New Roman" w:cs="Times New Roman"/>
                <w:iCs/>
                <w:sz w:val="18"/>
                <w:szCs w:val="18"/>
              </w:rPr>
              <w:t xml:space="preserve"> 2</w:t>
            </w:r>
          </w:p>
          <w:p w14:paraId="0F4253F8" w14:textId="77777777" w:rsidR="00183BE7" w:rsidRPr="002A5068" w:rsidRDefault="00183BE7" w:rsidP="00377E24">
            <w:pPr>
              <w:rPr>
                <w:rFonts w:ascii="Times New Roman" w:hAnsi="Times New Roman" w:cs="Times New Roman"/>
                <w:iCs/>
                <w:sz w:val="18"/>
                <w:szCs w:val="18"/>
              </w:rPr>
            </w:pPr>
            <w:r w:rsidRPr="002A5068">
              <w:rPr>
                <w:rFonts w:ascii="Times New Roman" w:hAnsi="Times New Roman" w:cs="Times New Roman"/>
                <w:b/>
                <w:iCs/>
                <w:sz w:val="18"/>
                <w:szCs w:val="18"/>
              </w:rPr>
              <w:t>Data source:</w:t>
            </w:r>
            <w:r w:rsidRPr="002A5068">
              <w:rPr>
                <w:rFonts w:ascii="Times New Roman" w:hAnsi="Times New Roman" w:cs="Times New Roman"/>
                <w:iCs/>
                <w:sz w:val="18"/>
                <w:szCs w:val="18"/>
              </w:rPr>
              <w:t xml:space="preserve"> Reform progress report, Project reports</w:t>
            </w:r>
          </w:p>
          <w:p w14:paraId="7E9BF7D4" w14:textId="77777777" w:rsidR="00183BE7" w:rsidRPr="002A5068" w:rsidRDefault="00183BE7" w:rsidP="00377E24">
            <w:pPr>
              <w:rPr>
                <w:rFonts w:ascii="Times New Roman" w:hAnsi="Times New Roman" w:cs="Times New Roman"/>
                <w:iCs/>
                <w:sz w:val="18"/>
                <w:szCs w:val="18"/>
              </w:rPr>
            </w:pPr>
            <w:r w:rsidRPr="002A5068">
              <w:rPr>
                <w:rFonts w:ascii="Times New Roman" w:hAnsi="Times New Roman" w:cs="Times New Roman"/>
                <w:b/>
                <w:iCs/>
                <w:sz w:val="18"/>
                <w:szCs w:val="18"/>
              </w:rPr>
              <w:t xml:space="preserve">Frequency: </w:t>
            </w:r>
            <w:r w:rsidRPr="002A5068">
              <w:rPr>
                <w:rFonts w:ascii="Times New Roman" w:hAnsi="Times New Roman" w:cs="Times New Roman"/>
                <w:iCs/>
                <w:sz w:val="18"/>
                <w:szCs w:val="18"/>
              </w:rPr>
              <w:t>Annual</w:t>
            </w:r>
          </w:p>
          <w:p w14:paraId="407F7CB2" w14:textId="77777777" w:rsidR="00183BE7" w:rsidRPr="002A5068" w:rsidRDefault="00183BE7" w:rsidP="00377E24">
            <w:pPr>
              <w:ind w:right="229"/>
              <w:rPr>
                <w:rFonts w:ascii="Times New Roman" w:hAnsi="Times New Roman" w:cs="Times New Roman"/>
                <w:b/>
                <w:sz w:val="18"/>
                <w:szCs w:val="18"/>
              </w:rPr>
            </w:pPr>
          </w:p>
          <w:p w14:paraId="75DF9C17" w14:textId="796D2536" w:rsidR="00183BE7" w:rsidRPr="002A5068" w:rsidRDefault="00183BE7" w:rsidP="00377E24">
            <w:pPr>
              <w:ind w:right="229"/>
              <w:rPr>
                <w:rFonts w:ascii="Times New Roman" w:hAnsi="Times New Roman" w:cs="Times New Roman"/>
                <w:b/>
                <w:sz w:val="18"/>
                <w:szCs w:val="18"/>
              </w:rPr>
            </w:pPr>
            <w:r w:rsidRPr="002A5068">
              <w:rPr>
                <w:rFonts w:ascii="Times New Roman" w:hAnsi="Times New Roman" w:cs="Times New Roman"/>
                <w:b/>
                <w:sz w:val="18"/>
                <w:szCs w:val="18"/>
              </w:rPr>
              <w:t>Indicator 1.3.3</w:t>
            </w:r>
            <w:r w:rsidR="00162D42" w:rsidRPr="002A5068">
              <w:rPr>
                <w:rFonts w:ascii="Times New Roman" w:hAnsi="Times New Roman" w:cs="Times New Roman"/>
                <w:b/>
                <w:sz w:val="18"/>
                <w:szCs w:val="18"/>
              </w:rPr>
              <w:t>.</w:t>
            </w:r>
            <w:r w:rsidRPr="002A5068">
              <w:rPr>
                <w:rFonts w:ascii="Times New Roman" w:hAnsi="Times New Roman" w:cs="Times New Roman"/>
                <w:b/>
                <w:sz w:val="18"/>
                <w:szCs w:val="18"/>
              </w:rPr>
              <w:t xml:space="preserve"> </w:t>
            </w:r>
            <w:r w:rsidRPr="002A5068">
              <w:rPr>
                <w:rFonts w:ascii="Times New Roman" w:hAnsi="Times New Roman" w:cs="Times New Roman"/>
                <w:sz w:val="18"/>
                <w:szCs w:val="18"/>
              </w:rPr>
              <w:t xml:space="preserve">Number of national South-South and </w:t>
            </w:r>
            <w:r w:rsidR="00162D42" w:rsidRPr="002A5068">
              <w:rPr>
                <w:rFonts w:ascii="Times New Roman" w:hAnsi="Times New Roman" w:cs="Times New Roman"/>
                <w:sz w:val="18"/>
                <w:szCs w:val="18"/>
              </w:rPr>
              <w:t>t</w:t>
            </w:r>
            <w:r w:rsidRPr="002A5068">
              <w:rPr>
                <w:rFonts w:ascii="Times New Roman" w:hAnsi="Times New Roman" w:cs="Times New Roman"/>
                <w:sz w:val="18"/>
                <w:szCs w:val="18"/>
              </w:rPr>
              <w:t>riangular cooperation partnerships delivering measurable and sustainable benefits</w:t>
            </w:r>
            <w:r w:rsidR="00162D42" w:rsidRPr="002A5068">
              <w:rPr>
                <w:rFonts w:ascii="Times New Roman" w:hAnsi="Times New Roman" w:cs="Times New Roman"/>
                <w:sz w:val="18"/>
                <w:szCs w:val="18"/>
              </w:rPr>
              <w:t>.</w:t>
            </w:r>
          </w:p>
          <w:p w14:paraId="1E741FFC" w14:textId="77777777" w:rsidR="00183BE7" w:rsidRPr="002A5068" w:rsidRDefault="00183BE7" w:rsidP="00377E24">
            <w:pPr>
              <w:ind w:right="229"/>
              <w:rPr>
                <w:rFonts w:ascii="Times New Roman" w:hAnsi="Times New Roman" w:cs="Times New Roman"/>
                <w:sz w:val="18"/>
                <w:szCs w:val="18"/>
              </w:rPr>
            </w:pPr>
            <w:r w:rsidRPr="002A5068">
              <w:rPr>
                <w:rFonts w:ascii="Times New Roman" w:hAnsi="Times New Roman" w:cs="Times New Roman"/>
                <w:b/>
                <w:sz w:val="18"/>
                <w:szCs w:val="18"/>
              </w:rPr>
              <w:t xml:space="preserve">Baseline: </w:t>
            </w:r>
            <w:r w:rsidRPr="002A5068">
              <w:rPr>
                <w:rFonts w:ascii="Times New Roman" w:hAnsi="Times New Roman" w:cs="Times New Roman"/>
                <w:sz w:val="18"/>
              </w:rPr>
              <w:t>1</w:t>
            </w:r>
          </w:p>
          <w:p w14:paraId="67FBC350" w14:textId="77777777" w:rsidR="00183BE7" w:rsidRPr="002A5068" w:rsidRDefault="00183BE7" w:rsidP="00377E24">
            <w:pPr>
              <w:ind w:right="229"/>
              <w:rPr>
                <w:rFonts w:ascii="Times New Roman" w:hAnsi="Times New Roman" w:cs="Times New Roman"/>
                <w:sz w:val="18"/>
                <w:szCs w:val="18"/>
              </w:rPr>
            </w:pPr>
            <w:r w:rsidRPr="002A5068">
              <w:rPr>
                <w:rFonts w:ascii="Times New Roman" w:hAnsi="Times New Roman" w:cs="Times New Roman"/>
                <w:b/>
                <w:sz w:val="18"/>
                <w:szCs w:val="18"/>
              </w:rPr>
              <w:t xml:space="preserve">Target: </w:t>
            </w:r>
            <w:r w:rsidRPr="002A5068">
              <w:rPr>
                <w:rFonts w:ascii="Times New Roman" w:hAnsi="Times New Roman" w:cs="Times New Roman"/>
                <w:sz w:val="18"/>
              </w:rPr>
              <w:t>4</w:t>
            </w:r>
          </w:p>
          <w:p w14:paraId="4080B9D1" w14:textId="77777777" w:rsidR="00183BE7" w:rsidRPr="002A5068" w:rsidRDefault="00183BE7" w:rsidP="00377E24">
            <w:pPr>
              <w:ind w:right="229"/>
              <w:rPr>
                <w:rFonts w:ascii="Times New Roman" w:hAnsi="Times New Roman" w:cs="Times New Roman"/>
                <w:sz w:val="18"/>
                <w:szCs w:val="18"/>
              </w:rPr>
            </w:pPr>
            <w:r w:rsidRPr="002A5068">
              <w:rPr>
                <w:rFonts w:ascii="Times New Roman" w:hAnsi="Times New Roman" w:cs="Times New Roman"/>
                <w:b/>
                <w:sz w:val="18"/>
                <w:szCs w:val="18"/>
              </w:rPr>
              <w:t xml:space="preserve">Data source: </w:t>
            </w:r>
            <w:r w:rsidRPr="002A5068">
              <w:rPr>
                <w:rFonts w:ascii="Times New Roman" w:hAnsi="Times New Roman" w:cs="Times New Roman"/>
                <w:sz w:val="18"/>
                <w:szCs w:val="18"/>
              </w:rPr>
              <w:t xml:space="preserve">Project progress and evaluation report </w:t>
            </w:r>
          </w:p>
          <w:p w14:paraId="25655407" w14:textId="61E8AA42" w:rsidR="00162D42" w:rsidRPr="002A5068" w:rsidRDefault="00183BE7" w:rsidP="002E013D">
            <w:pPr>
              <w:ind w:right="230"/>
              <w:rPr>
                <w:rFonts w:ascii="Times New Roman" w:hAnsi="Times New Roman" w:cs="Times New Roman"/>
                <w:sz w:val="18"/>
                <w:szCs w:val="18"/>
              </w:rPr>
            </w:pPr>
            <w:r w:rsidRPr="002A5068">
              <w:rPr>
                <w:rFonts w:ascii="Times New Roman" w:hAnsi="Times New Roman" w:cs="Times New Roman"/>
                <w:b/>
                <w:sz w:val="18"/>
                <w:szCs w:val="18"/>
              </w:rPr>
              <w:t xml:space="preserve">Frequency: </w:t>
            </w:r>
            <w:r w:rsidRPr="002A5068">
              <w:rPr>
                <w:rFonts w:ascii="Times New Roman" w:hAnsi="Times New Roman" w:cs="Times New Roman"/>
                <w:sz w:val="18"/>
                <w:szCs w:val="18"/>
              </w:rPr>
              <w:t>Annual</w:t>
            </w:r>
          </w:p>
        </w:tc>
        <w:tc>
          <w:tcPr>
            <w:tcW w:w="2090" w:type="dxa"/>
            <w:tcBorders>
              <w:right w:val="single" w:sz="4" w:space="0" w:color="000000" w:themeColor="text1"/>
            </w:tcBorders>
          </w:tcPr>
          <w:p w14:paraId="3B5566DC" w14:textId="7BDAF0C8" w:rsidR="00183BE7" w:rsidRPr="002A5068" w:rsidRDefault="00183BE7" w:rsidP="00377E24">
            <w:pPr>
              <w:rPr>
                <w:rFonts w:ascii="Times New Roman" w:hAnsi="Times New Roman" w:cs="Times New Roman"/>
                <w:sz w:val="18"/>
                <w:szCs w:val="18"/>
              </w:rPr>
            </w:pPr>
            <w:r w:rsidRPr="002A5068">
              <w:rPr>
                <w:rFonts w:ascii="Times New Roman" w:hAnsi="Times New Roman" w:cs="Times New Roman"/>
                <w:sz w:val="18"/>
                <w:szCs w:val="18"/>
              </w:rPr>
              <w:lastRenderedPageBreak/>
              <w:t xml:space="preserve">UNMISS, </w:t>
            </w:r>
            <w:r w:rsidR="00162D42" w:rsidRPr="002A5068">
              <w:rPr>
                <w:rFonts w:ascii="Times New Roman" w:hAnsi="Times New Roman" w:cs="Times New Roman"/>
                <w:sz w:val="18"/>
                <w:szCs w:val="18"/>
              </w:rPr>
              <w:t>p</w:t>
            </w:r>
            <w:r w:rsidRPr="002A5068">
              <w:rPr>
                <w:rFonts w:ascii="Times New Roman" w:hAnsi="Times New Roman" w:cs="Times New Roman"/>
                <w:sz w:val="18"/>
                <w:szCs w:val="18"/>
              </w:rPr>
              <w:t>ublic service commission, Ministry of Labour and Public Service and Human Resource Development, South Sudan Anti-</w:t>
            </w:r>
            <w:r w:rsidR="00162D42" w:rsidRPr="002A5068">
              <w:rPr>
                <w:rFonts w:ascii="Times New Roman" w:hAnsi="Times New Roman" w:cs="Times New Roman"/>
                <w:sz w:val="18"/>
                <w:szCs w:val="18"/>
              </w:rPr>
              <w:t>C</w:t>
            </w:r>
            <w:r w:rsidRPr="002A5068">
              <w:rPr>
                <w:rFonts w:ascii="Times New Roman" w:hAnsi="Times New Roman" w:cs="Times New Roman"/>
                <w:sz w:val="18"/>
                <w:szCs w:val="18"/>
              </w:rPr>
              <w:t xml:space="preserve">orruption </w:t>
            </w:r>
            <w:r w:rsidR="00162D42" w:rsidRPr="002A5068">
              <w:rPr>
                <w:rFonts w:ascii="Times New Roman" w:hAnsi="Times New Roman" w:cs="Times New Roman"/>
                <w:sz w:val="18"/>
                <w:szCs w:val="18"/>
              </w:rPr>
              <w:t>C</w:t>
            </w:r>
            <w:r w:rsidRPr="002A5068">
              <w:rPr>
                <w:rFonts w:ascii="Times New Roman" w:hAnsi="Times New Roman" w:cs="Times New Roman"/>
                <w:sz w:val="18"/>
                <w:szCs w:val="18"/>
              </w:rPr>
              <w:t xml:space="preserve">ommission, National Audit Chamber, National </w:t>
            </w:r>
            <w:r w:rsidR="00162D42" w:rsidRPr="002A5068">
              <w:rPr>
                <w:rFonts w:ascii="Times New Roman" w:hAnsi="Times New Roman" w:cs="Times New Roman"/>
                <w:sz w:val="18"/>
                <w:szCs w:val="18"/>
              </w:rPr>
              <w:t>C</w:t>
            </w:r>
            <w:r w:rsidRPr="002A5068">
              <w:rPr>
                <w:rFonts w:ascii="Times New Roman" w:hAnsi="Times New Roman" w:cs="Times New Roman"/>
                <w:sz w:val="18"/>
                <w:szCs w:val="18"/>
              </w:rPr>
              <w:t xml:space="preserve">onstitutional </w:t>
            </w:r>
            <w:r w:rsidR="00162D42" w:rsidRPr="002A5068">
              <w:rPr>
                <w:rFonts w:ascii="Times New Roman" w:hAnsi="Times New Roman" w:cs="Times New Roman"/>
                <w:sz w:val="18"/>
                <w:szCs w:val="18"/>
              </w:rPr>
              <w:t>R</w:t>
            </w:r>
            <w:r w:rsidRPr="002A5068">
              <w:rPr>
                <w:rFonts w:ascii="Times New Roman" w:hAnsi="Times New Roman" w:cs="Times New Roman"/>
                <w:sz w:val="18"/>
                <w:szCs w:val="18"/>
              </w:rPr>
              <w:t xml:space="preserve">eview </w:t>
            </w:r>
            <w:r w:rsidR="00162D42" w:rsidRPr="002A5068">
              <w:rPr>
                <w:rFonts w:ascii="Times New Roman" w:hAnsi="Times New Roman" w:cs="Times New Roman"/>
                <w:sz w:val="18"/>
                <w:szCs w:val="18"/>
              </w:rPr>
              <w:t>C</w:t>
            </w:r>
            <w:r w:rsidRPr="002A5068">
              <w:rPr>
                <w:rFonts w:ascii="Times New Roman" w:hAnsi="Times New Roman" w:cs="Times New Roman"/>
                <w:sz w:val="18"/>
                <w:szCs w:val="18"/>
              </w:rPr>
              <w:t xml:space="preserve">ommission, </w:t>
            </w:r>
            <w:r w:rsidR="00162D42" w:rsidRPr="002A5068">
              <w:rPr>
                <w:rFonts w:ascii="Times New Roman" w:hAnsi="Times New Roman" w:cs="Times New Roman"/>
                <w:sz w:val="18"/>
                <w:szCs w:val="18"/>
              </w:rPr>
              <w:t>l</w:t>
            </w:r>
            <w:r w:rsidRPr="002A5068">
              <w:rPr>
                <w:rFonts w:ascii="Times New Roman" w:hAnsi="Times New Roman" w:cs="Times New Roman"/>
                <w:sz w:val="18"/>
                <w:szCs w:val="18"/>
              </w:rPr>
              <w:t xml:space="preserve">egislative assemblies, </w:t>
            </w:r>
            <w:r w:rsidR="00162D42" w:rsidRPr="002A5068">
              <w:rPr>
                <w:rFonts w:ascii="Times New Roman" w:hAnsi="Times New Roman" w:cs="Times New Roman"/>
                <w:sz w:val="18"/>
                <w:szCs w:val="18"/>
              </w:rPr>
              <w:t>P</w:t>
            </w:r>
            <w:r w:rsidRPr="002A5068">
              <w:rPr>
                <w:rFonts w:ascii="Times New Roman" w:hAnsi="Times New Roman" w:cs="Times New Roman"/>
                <w:sz w:val="18"/>
                <w:szCs w:val="18"/>
              </w:rPr>
              <w:t xml:space="preserve">olitical </w:t>
            </w:r>
            <w:r w:rsidR="00162D42" w:rsidRPr="002A5068">
              <w:rPr>
                <w:rFonts w:ascii="Times New Roman" w:hAnsi="Times New Roman" w:cs="Times New Roman"/>
                <w:sz w:val="18"/>
                <w:szCs w:val="18"/>
              </w:rPr>
              <w:t>P</w:t>
            </w:r>
            <w:r w:rsidRPr="002A5068">
              <w:rPr>
                <w:rFonts w:ascii="Times New Roman" w:hAnsi="Times New Roman" w:cs="Times New Roman"/>
                <w:sz w:val="18"/>
                <w:szCs w:val="18"/>
              </w:rPr>
              <w:t xml:space="preserve">arties </w:t>
            </w:r>
            <w:r w:rsidR="00162D42" w:rsidRPr="002A5068">
              <w:rPr>
                <w:rFonts w:ascii="Times New Roman" w:hAnsi="Times New Roman" w:cs="Times New Roman"/>
                <w:sz w:val="18"/>
                <w:szCs w:val="18"/>
              </w:rPr>
              <w:t>C</w:t>
            </w:r>
            <w:r w:rsidRPr="002A5068">
              <w:rPr>
                <w:rFonts w:ascii="Times New Roman" w:hAnsi="Times New Roman" w:cs="Times New Roman"/>
                <w:sz w:val="18"/>
                <w:szCs w:val="18"/>
              </w:rPr>
              <w:t>ouncil, Ministry of Federal Affairs</w:t>
            </w:r>
            <w:r w:rsidR="00162D42" w:rsidRPr="002A5068">
              <w:rPr>
                <w:rFonts w:ascii="Times New Roman" w:hAnsi="Times New Roman" w:cs="Times New Roman"/>
                <w:sz w:val="18"/>
                <w:szCs w:val="18"/>
              </w:rPr>
              <w:t>.</w:t>
            </w:r>
          </w:p>
          <w:p w14:paraId="5657E95A" w14:textId="1954189A" w:rsidR="00183BE7" w:rsidRPr="002A5068" w:rsidRDefault="00162D42" w:rsidP="00B16A6B">
            <w:pPr>
              <w:rPr>
                <w:rFonts w:ascii="Times New Roman" w:hAnsi="Times New Roman" w:cs="Times New Roman"/>
                <w:sz w:val="18"/>
                <w:szCs w:val="18"/>
              </w:rPr>
            </w:pPr>
            <w:r w:rsidRPr="002A5068">
              <w:rPr>
                <w:rFonts w:ascii="Times New Roman" w:hAnsi="Times New Roman" w:cs="Times New Roman"/>
                <w:sz w:val="18"/>
                <w:szCs w:val="18"/>
              </w:rPr>
              <w:t xml:space="preserve">Canada, </w:t>
            </w:r>
            <w:r w:rsidR="00183BE7" w:rsidRPr="002A5068">
              <w:rPr>
                <w:rFonts w:ascii="Times New Roman" w:hAnsi="Times New Roman" w:cs="Times New Roman"/>
                <w:sz w:val="18"/>
                <w:szCs w:val="18"/>
              </w:rPr>
              <w:t>Norway, IGAD</w:t>
            </w:r>
          </w:p>
        </w:tc>
        <w:tc>
          <w:tcPr>
            <w:tcW w:w="1751" w:type="dxa"/>
            <w:vMerge/>
            <w:tcBorders>
              <w:left w:val="single" w:sz="4" w:space="0" w:color="000000" w:themeColor="text1"/>
              <w:right w:val="single" w:sz="4" w:space="0" w:color="000000" w:themeColor="text1"/>
            </w:tcBorders>
          </w:tcPr>
          <w:p w14:paraId="059FFCF6" w14:textId="77777777" w:rsidR="00183BE7" w:rsidRPr="002A5068" w:rsidRDefault="00183BE7" w:rsidP="00377E24">
            <w:pPr>
              <w:rPr>
                <w:rFonts w:ascii="Times New Roman" w:hAnsi="Times New Roman" w:cs="Times New Roman"/>
                <w:sz w:val="18"/>
                <w:szCs w:val="18"/>
              </w:rPr>
            </w:pPr>
          </w:p>
        </w:tc>
      </w:tr>
      <w:tr w:rsidR="00183BE7" w:rsidRPr="002A5068" w14:paraId="094584E5" w14:textId="77777777" w:rsidTr="00400A12">
        <w:tc>
          <w:tcPr>
            <w:tcW w:w="2807" w:type="dxa"/>
            <w:vMerge/>
            <w:tcBorders>
              <w:left w:val="single" w:sz="4" w:space="0" w:color="000000" w:themeColor="text1"/>
              <w:bottom w:val="single" w:sz="4" w:space="0" w:color="auto"/>
              <w:right w:val="single" w:sz="4" w:space="0" w:color="000000" w:themeColor="text1"/>
            </w:tcBorders>
          </w:tcPr>
          <w:p w14:paraId="64960C5C" w14:textId="77777777" w:rsidR="00183BE7" w:rsidRPr="002A5068" w:rsidRDefault="00183BE7" w:rsidP="00377E24">
            <w:pPr>
              <w:spacing w:after="7"/>
              <w:ind w:left="142" w:right="110"/>
              <w:jc w:val="both"/>
              <w:rPr>
                <w:rFonts w:ascii="Times New Roman" w:hAnsi="Times New Roman" w:cs="Times New Roman"/>
                <w:b/>
                <w:sz w:val="18"/>
                <w:szCs w:val="18"/>
              </w:rPr>
            </w:pPr>
          </w:p>
        </w:tc>
        <w:tc>
          <w:tcPr>
            <w:tcW w:w="1776" w:type="dxa"/>
            <w:vMerge/>
            <w:tcBorders>
              <w:left w:val="single" w:sz="4" w:space="0" w:color="000000" w:themeColor="text1"/>
              <w:bottom w:val="single" w:sz="4" w:space="0" w:color="auto"/>
              <w:right w:val="single" w:sz="4" w:space="0" w:color="000000" w:themeColor="text1"/>
            </w:tcBorders>
          </w:tcPr>
          <w:p w14:paraId="6B652120" w14:textId="77777777" w:rsidR="00183BE7" w:rsidRPr="002A5068" w:rsidRDefault="00183BE7" w:rsidP="00377E24">
            <w:pPr>
              <w:spacing w:after="12"/>
              <w:jc w:val="both"/>
              <w:rPr>
                <w:rFonts w:ascii="Times New Roman" w:hAnsi="Times New Roman" w:cs="Times New Roman"/>
                <w:sz w:val="18"/>
                <w:szCs w:val="18"/>
              </w:rPr>
            </w:pPr>
          </w:p>
        </w:tc>
        <w:tc>
          <w:tcPr>
            <w:tcW w:w="5597" w:type="dxa"/>
            <w:tcBorders>
              <w:top w:val="single" w:sz="4" w:space="0" w:color="000000" w:themeColor="text1"/>
              <w:left w:val="single" w:sz="4" w:space="0" w:color="000000" w:themeColor="text1"/>
              <w:bottom w:val="single" w:sz="4" w:space="0" w:color="auto"/>
              <w:right w:val="single" w:sz="4" w:space="0" w:color="000000" w:themeColor="text1"/>
            </w:tcBorders>
          </w:tcPr>
          <w:p w14:paraId="21B4C48F" w14:textId="298D0B14" w:rsidR="00183BE7" w:rsidRPr="002A5068" w:rsidRDefault="00183BE7" w:rsidP="00377E24">
            <w:pPr>
              <w:ind w:left="-66" w:right="204"/>
              <w:jc w:val="both"/>
              <w:rPr>
                <w:rFonts w:ascii="Times New Roman" w:hAnsi="Times New Roman" w:cs="Times New Roman"/>
                <w:sz w:val="18"/>
                <w:szCs w:val="18"/>
              </w:rPr>
            </w:pPr>
            <w:r w:rsidRPr="002A5068">
              <w:rPr>
                <w:rFonts w:ascii="Times New Roman" w:hAnsi="Times New Roman" w:cs="Times New Roman"/>
                <w:b/>
                <w:sz w:val="18"/>
                <w:szCs w:val="18"/>
              </w:rPr>
              <w:t>Output 1.4</w:t>
            </w:r>
            <w:r w:rsidR="00162D42" w:rsidRPr="002A5068">
              <w:rPr>
                <w:rFonts w:ascii="Times New Roman" w:hAnsi="Times New Roman" w:cs="Times New Roman"/>
                <w:b/>
                <w:sz w:val="18"/>
                <w:szCs w:val="18"/>
              </w:rPr>
              <w:t>.</w:t>
            </w:r>
            <w:r w:rsidRPr="002A5068">
              <w:rPr>
                <w:rFonts w:ascii="Times New Roman" w:hAnsi="Times New Roman" w:cs="Times New Roman"/>
                <w:sz w:val="18"/>
                <w:szCs w:val="18"/>
              </w:rPr>
              <w:t xml:space="preserve"> </w:t>
            </w:r>
            <w:r w:rsidRPr="002A5068">
              <w:rPr>
                <w:rFonts w:ascii="Times New Roman" w:eastAsia="Times New Roman" w:hAnsi="Times New Roman" w:cs="Times New Roman"/>
                <w:color w:val="000000" w:themeColor="text1"/>
                <w:sz w:val="18"/>
                <w:szCs w:val="18"/>
              </w:rPr>
              <w:t xml:space="preserve">Capacities developed across the whole of government to integrate the 2030 Agenda, the Paris </w:t>
            </w:r>
            <w:r w:rsidR="00162D42" w:rsidRPr="002A5068">
              <w:rPr>
                <w:rFonts w:ascii="Times New Roman" w:eastAsia="Times New Roman" w:hAnsi="Times New Roman" w:cs="Times New Roman"/>
                <w:color w:val="000000" w:themeColor="text1"/>
                <w:sz w:val="18"/>
                <w:szCs w:val="18"/>
              </w:rPr>
              <w:t xml:space="preserve">Climate </w:t>
            </w:r>
            <w:r w:rsidRPr="002A5068">
              <w:rPr>
                <w:rFonts w:ascii="Times New Roman" w:eastAsia="Times New Roman" w:hAnsi="Times New Roman" w:cs="Times New Roman"/>
                <w:color w:val="000000" w:themeColor="text1"/>
                <w:sz w:val="18"/>
                <w:szCs w:val="18"/>
              </w:rPr>
              <w:t>Agreement and other international agreements</w:t>
            </w:r>
            <w:r w:rsidR="00690801" w:rsidRPr="002A5068">
              <w:rPr>
                <w:rFonts w:ascii="Times New Roman" w:eastAsia="Times New Roman" w:hAnsi="Times New Roman" w:cs="Times New Roman"/>
                <w:color w:val="000000" w:themeColor="text1"/>
                <w:sz w:val="18"/>
                <w:szCs w:val="18"/>
              </w:rPr>
              <w:t>,</w:t>
            </w:r>
            <w:r w:rsidRPr="002A5068">
              <w:rPr>
                <w:rFonts w:ascii="Times New Roman" w:eastAsia="Times New Roman" w:hAnsi="Times New Roman" w:cs="Times New Roman"/>
                <w:color w:val="000000" w:themeColor="text1"/>
                <w:sz w:val="18"/>
                <w:szCs w:val="18"/>
              </w:rPr>
              <w:t xml:space="preserve"> </w:t>
            </w:r>
            <w:r w:rsidRPr="002A5068">
              <w:rPr>
                <w:rFonts w:ascii="Times New Roman" w:hAnsi="Times New Roman" w:cs="Times New Roman"/>
                <w:color w:val="000000" w:themeColor="text1"/>
                <w:sz w:val="18"/>
              </w:rPr>
              <w:t xml:space="preserve">and to analyse progress towards the </w:t>
            </w:r>
            <w:r w:rsidR="00690801" w:rsidRPr="002A5068">
              <w:rPr>
                <w:rFonts w:ascii="Times New Roman" w:eastAsia="Times New Roman" w:hAnsi="Times New Roman" w:cs="Times New Roman"/>
                <w:color w:val="000000" w:themeColor="text1"/>
                <w:sz w:val="18"/>
                <w:szCs w:val="18"/>
              </w:rPr>
              <w:t>Goals</w:t>
            </w:r>
            <w:r w:rsidRPr="002A5068">
              <w:rPr>
                <w:rFonts w:ascii="Times New Roman" w:hAnsi="Times New Roman" w:cs="Times New Roman"/>
                <w:color w:val="000000" w:themeColor="text1"/>
                <w:sz w:val="18"/>
              </w:rPr>
              <w:t>, using innovative and data-driven solutions</w:t>
            </w:r>
            <w:r w:rsidR="00690801" w:rsidRPr="002A5068">
              <w:rPr>
                <w:rFonts w:ascii="Times New Roman" w:eastAsia="Times New Roman" w:hAnsi="Times New Roman" w:cs="Times New Roman"/>
                <w:color w:val="000000" w:themeColor="text1"/>
                <w:sz w:val="18"/>
                <w:szCs w:val="18"/>
              </w:rPr>
              <w:t>.</w:t>
            </w:r>
          </w:p>
          <w:p w14:paraId="2EE56636" w14:textId="77777777" w:rsidR="00183BE7" w:rsidRPr="002A5068" w:rsidRDefault="00183BE7" w:rsidP="00377E24">
            <w:pPr>
              <w:ind w:right="114"/>
              <w:rPr>
                <w:rFonts w:ascii="Times New Roman" w:hAnsi="Times New Roman" w:cs="Times New Roman"/>
                <w:b/>
                <w:sz w:val="18"/>
                <w:szCs w:val="18"/>
              </w:rPr>
            </w:pPr>
          </w:p>
          <w:p w14:paraId="318EEB4D" w14:textId="09973466" w:rsidR="00183BE7" w:rsidRPr="002A5068" w:rsidRDefault="00183BE7" w:rsidP="00377E24">
            <w:pPr>
              <w:ind w:right="114"/>
              <w:rPr>
                <w:rFonts w:ascii="Times New Roman" w:hAnsi="Times New Roman" w:cs="Times New Roman"/>
                <w:sz w:val="18"/>
                <w:szCs w:val="18"/>
              </w:rPr>
            </w:pPr>
            <w:r w:rsidRPr="002A5068">
              <w:rPr>
                <w:rFonts w:ascii="Times New Roman" w:hAnsi="Times New Roman" w:cs="Times New Roman"/>
                <w:b/>
                <w:sz w:val="18"/>
                <w:szCs w:val="18"/>
              </w:rPr>
              <w:t>Indicator 1.4.1</w:t>
            </w:r>
            <w:r w:rsidR="00690801" w:rsidRPr="002A5068">
              <w:rPr>
                <w:rFonts w:ascii="Times New Roman" w:hAnsi="Times New Roman" w:cs="Times New Roman"/>
                <w:b/>
                <w:sz w:val="18"/>
                <w:szCs w:val="18"/>
              </w:rPr>
              <w:t>.</w:t>
            </w:r>
            <w:r w:rsidRPr="002A5068">
              <w:rPr>
                <w:rFonts w:ascii="Times New Roman" w:hAnsi="Times New Roman" w:cs="Times New Roman"/>
                <w:sz w:val="18"/>
                <w:szCs w:val="18"/>
              </w:rPr>
              <w:t xml:space="preserve"> Number of gender responsive, risk and data-informed development frameworks</w:t>
            </w:r>
            <w:r w:rsidR="00690801" w:rsidRPr="002A5068">
              <w:rPr>
                <w:rFonts w:ascii="Times New Roman" w:hAnsi="Times New Roman" w:cs="Times New Roman"/>
                <w:sz w:val="18"/>
                <w:szCs w:val="18"/>
              </w:rPr>
              <w:t>,</w:t>
            </w:r>
            <w:r w:rsidRPr="002A5068">
              <w:rPr>
                <w:rFonts w:ascii="Times New Roman" w:hAnsi="Times New Roman" w:cs="Times New Roman"/>
                <w:sz w:val="18"/>
                <w:szCs w:val="18"/>
              </w:rPr>
              <w:t xml:space="preserve"> including disaster risk reduction and early warning systems in place.</w:t>
            </w:r>
          </w:p>
          <w:p w14:paraId="52E5BFF7" w14:textId="77777777" w:rsidR="00183BE7" w:rsidRPr="002A5068" w:rsidRDefault="00183BE7" w:rsidP="00377E24">
            <w:pPr>
              <w:ind w:left="24" w:right="114"/>
              <w:rPr>
                <w:rFonts w:ascii="Times New Roman" w:hAnsi="Times New Roman" w:cs="Times New Roman"/>
                <w:sz w:val="18"/>
                <w:szCs w:val="18"/>
              </w:rPr>
            </w:pPr>
            <w:r w:rsidRPr="002A5068">
              <w:rPr>
                <w:rFonts w:ascii="Times New Roman" w:hAnsi="Times New Roman" w:cs="Times New Roman"/>
                <w:b/>
                <w:sz w:val="18"/>
                <w:szCs w:val="18"/>
              </w:rPr>
              <w:t>Target:</w:t>
            </w:r>
            <w:r w:rsidRPr="002A5068">
              <w:rPr>
                <w:rFonts w:ascii="Times New Roman" w:hAnsi="Times New Roman" w:cs="Times New Roman"/>
                <w:sz w:val="18"/>
                <w:szCs w:val="18"/>
              </w:rPr>
              <w:t xml:space="preserve"> 0</w:t>
            </w:r>
          </w:p>
          <w:p w14:paraId="53023C26" w14:textId="77777777" w:rsidR="00183BE7" w:rsidRPr="002A5068" w:rsidRDefault="00183BE7" w:rsidP="00377E24">
            <w:pPr>
              <w:ind w:left="24" w:right="114"/>
              <w:rPr>
                <w:rFonts w:ascii="Times New Roman" w:hAnsi="Times New Roman" w:cs="Times New Roman"/>
                <w:b/>
                <w:sz w:val="18"/>
                <w:szCs w:val="18"/>
              </w:rPr>
            </w:pPr>
            <w:r w:rsidRPr="002A5068">
              <w:rPr>
                <w:rFonts w:ascii="Times New Roman" w:hAnsi="Times New Roman" w:cs="Times New Roman"/>
                <w:b/>
                <w:sz w:val="18"/>
                <w:szCs w:val="18"/>
              </w:rPr>
              <w:t xml:space="preserve">Baseline: </w:t>
            </w:r>
            <w:r w:rsidRPr="002A5068">
              <w:rPr>
                <w:rFonts w:ascii="Times New Roman" w:hAnsi="Times New Roman" w:cs="Times New Roman"/>
                <w:sz w:val="18"/>
                <w:szCs w:val="18"/>
              </w:rPr>
              <w:t>8</w:t>
            </w:r>
          </w:p>
          <w:p w14:paraId="17CA5A58" w14:textId="77777777" w:rsidR="00183BE7" w:rsidRPr="002A5068" w:rsidRDefault="00183BE7" w:rsidP="00377E24">
            <w:pPr>
              <w:spacing w:after="12"/>
              <w:jc w:val="both"/>
              <w:rPr>
                <w:rFonts w:ascii="Times New Roman" w:hAnsi="Times New Roman" w:cs="Times New Roman"/>
                <w:sz w:val="18"/>
                <w:szCs w:val="18"/>
              </w:rPr>
            </w:pPr>
            <w:r w:rsidRPr="002A5068">
              <w:rPr>
                <w:rFonts w:ascii="Times New Roman" w:hAnsi="Times New Roman" w:cs="Times New Roman"/>
                <w:b/>
                <w:sz w:val="18"/>
                <w:szCs w:val="18"/>
              </w:rPr>
              <w:t xml:space="preserve">Data source: </w:t>
            </w:r>
            <w:r w:rsidRPr="002A5068">
              <w:rPr>
                <w:rFonts w:ascii="Times New Roman" w:hAnsi="Times New Roman" w:cs="Times New Roman"/>
                <w:sz w:val="18"/>
                <w:szCs w:val="18"/>
              </w:rPr>
              <w:t>National, state planning/budget documents</w:t>
            </w:r>
          </w:p>
          <w:p w14:paraId="48F8A1F5" w14:textId="77777777" w:rsidR="00183BE7" w:rsidRPr="002A5068" w:rsidRDefault="00183BE7" w:rsidP="00377E24">
            <w:pPr>
              <w:spacing w:after="12"/>
              <w:jc w:val="both"/>
              <w:rPr>
                <w:rFonts w:ascii="Times New Roman" w:hAnsi="Times New Roman" w:cs="Times New Roman"/>
                <w:sz w:val="18"/>
                <w:szCs w:val="18"/>
              </w:rPr>
            </w:pPr>
            <w:r w:rsidRPr="002A5068">
              <w:rPr>
                <w:rFonts w:ascii="Times New Roman" w:hAnsi="Times New Roman" w:cs="Times New Roman"/>
                <w:b/>
                <w:sz w:val="18"/>
                <w:szCs w:val="18"/>
              </w:rPr>
              <w:t>Frequency:</w:t>
            </w:r>
            <w:r w:rsidRPr="002A5068">
              <w:rPr>
                <w:rFonts w:ascii="Times New Roman" w:hAnsi="Times New Roman" w:cs="Times New Roman"/>
                <w:sz w:val="18"/>
                <w:szCs w:val="18"/>
              </w:rPr>
              <w:t xml:space="preserve"> periodic</w:t>
            </w:r>
          </w:p>
          <w:p w14:paraId="056A127E" w14:textId="77777777" w:rsidR="00183BE7" w:rsidRPr="002A5068" w:rsidRDefault="00183BE7" w:rsidP="00377E24">
            <w:pPr>
              <w:ind w:left="24" w:right="114"/>
              <w:rPr>
                <w:rFonts w:ascii="Times New Roman" w:hAnsi="Times New Roman" w:cs="Times New Roman"/>
                <w:b/>
                <w:sz w:val="18"/>
                <w:szCs w:val="18"/>
              </w:rPr>
            </w:pPr>
          </w:p>
          <w:p w14:paraId="5154211F" w14:textId="3C3C3FA4" w:rsidR="00183BE7" w:rsidRPr="002A5068" w:rsidRDefault="00183BE7" w:rsidP="00377E24">
            <w:pPr>
              <w:ind w:left="24" w:right="114"/>
              <w:rPr>
                <w:rFonts w:ascii="Times New Roman" w:hAnsi="Times New Roman" w:cs="Times New Roman"/>
                <w:sz w:val="18"/>
                <w:szCs w:val="18"/>
              </w:rPr>
            </w:pPr>
            <w:r w:rsidRPr="002A5068">
              <w:rPr>
                <w:rFonts w:ascii="Times New Roman" w:hAnsi="Times New Roman" w:cs="Times New Roman"/>
                <w:b/>
                <w:sz w:val="18"/>
                <w:szCs w:val="18"/>
              </w:rPr>
              <w:t>Indicator 1.4.2</w:t>
            </w:r>
            <w:r w:rsidR="00690801" w:rsidRPr="002A5068">
              <w:rPr>
                <w:rFonts w:ascii="Times New Roman" w:hAnsi="Times New Roman" w:cs="Times New Roman"/>
                <w:b/>
                <w:sz w:val="18"/>
                <w:szCs w:val="18"/>
              </w:rPr>
              <w:t>.</w:t>
            </w:r>
            <w:r w:rsidRPr="002A5068">
              <w:rPr>
                <w:rFonts w:ascii="Times New Roman" w:hAnsi="Times New Roman" w:cs="Times New Roman"/>
                <w:b/>
                <w:sz w:val="18"/>
                <w:szCs w:val="18"/>
              </w:rPr>
              <w:t xml:space="preserve"> </w:t>
            </w:r>
            <w:r w:rsidRPr="002A5068">
              <w:rPr>
                <w:rFonts w:ascii="Times New Roman" w:hAnsi="Times New Roman" w:cs="Times New Roman"/>
                <w:sz w:val="18"/>
                <w:szCs w:val="18"/>
              </w:rPr>
              <w:t xml:space="preserve">Number of subnational governments, private sector institutions and CSOs integrating </w:t>
            </w:r>
            <w:r w:rsidR="00690801" w:rsidRPr="002A5068">
              <w:rPr>
                <w:rFonts w:ascii="Times New Roman" w:hAnsi="Times New Roman" w:cs="Times New Roman"/>
                <w:sz w:val="18"/>
                <w:szCs w:val="18"/>
              </w:rPr>
              <w:t xml:space="preserve">the Goals </w:t>
            </w:r>
            <w:r w:rsidRPr="002A5068">
              <w:rPr>
                <w:rFonts w:ascii="Times New Roman" w:hAnsi="Times New Roman" w:cs="Times New Roman"/>
                <w:sz w:val="18"/>
                <w:szCs w:val="18"/>
              </w:rPr>
              <w:t>and other international. frameworks in their plans and budgets</w:t>
            </w:r>
            <w:r w:rsidR="00690801" w:rsidRPr="002A5068">
              <w:rPr>
                <w:rFonts w:ascii="Times New Roman" w:hAnsi="Times New Roman" w:cs="Times New Roman"/>
                <w:sz w:val="18"/>
                <w:szCs w:val="18"/>
              </w:rPr>
              <w:t>.</w:t>
            </w:r>
            <w:r w:rsidRPr="002A5068">
              <w:rPr>
                <w:rFonts w:ascii="Times New Roman" w:hAnsi="Times New Roman" w:cs="Times New Roman"/>
                <w:sz w:val="18"/>
                <w:szCs w:val="18"/>
              </w:rPr>
              <w:t xml:space="preserve"> </w:t>
            </w:r>
          </w:p>
          <w:p w14:paraId="238788B1" w14:textId="77777777" w:rsidR="00183BE7" w:rsidRPr="002A5068" w:rsidRDefault="00183BE7" w:rsidP="00377E24">
            <w:pPr>
              <w:ind w:left="24" w:right="114"/>
              <w:rPr>
                <w:rFonts w:ascii="Times New Roman" w:hAnsi="Times New Roman" w:cs="Times New Roman"/>
                <w:sz w:val="18"/>
                <w:szCs w:val="18"/>
              </w:rPr>
            </w:pPr>
            <w:r w:rsidRPr="002A5068">
              <w:rPr>
                <w:rFonts w:ascii="Times New Roman" w:hAnsi="Times New Roman" w:cs="Times New Roman"/>
                <w:b/>
                <w:sz w:val="18"/>
                <w:szCs w:val="18"/>
              </w:rPr>
              <w:t>Baseline:</w:t>
            </w:r>
            <w:r w:rsidRPr="002A5068">
              <w:rPr>
                <w:rFonts w:ascii="Times New Roman" w:hAnsi="Times New Roman" w:cs="Times New Roman"/>
                <w:sz w:val="18"/>
                <w:szCs w:val="18"/>
              </w:rPr>
              <w:t xml:space="preserve"> 3 (3 subnational government; 0 private sector; 0 CSOs)</w:t>
            </w:r>
          </w:p>
          <w:p w14:paraId="2193AD65" w14:textId="6E6250B7" w:rsidR="00183BE7" w:rsidRPr="002A5068" w:rsidRDefault="00183BE7" w:rsidP="00377E24">
            <w:pPr>
              <w:ind w:left="24" w:right="114"/>
              <w:rPr>
                <w:rFonts w:ascii="Times New Roman" w:hAnsi="Times New Roman" w:cs="Times New Roman"/>
                <w:sz w:val="18"/>
                <w:szCs w:val="18"/>
              </w:rPr>
            </w:pPr>
            <w:r w:rsidRPr="002A5068">
              <w:rPr>
                <w:rFonts w:ascii="Times New Roman" w:hAnsi="Times New Roman" w:cs="Times New Roman"/>
                <w:b/>
                <w:sz w:val="18"/>
                <w:szCs w:val="18"/>
              </w:rPr>
              <w:t xml:space="preserve">Target: </w:t>
            </w:r>
            <w:r w:rsidRPr="002A5068">
              <w:rPr>
                <w:rFonts w:ascii="Times New Roman" w:hAnsi="Times New Roman" w:cs="Times New Roman"/>
                <w:sz w:val="18"/>
              </w:rPr>
              <w:t>20</w:t>
            </w:r>
            <w:r w:rsidRPr="002A5068">
              <w:rPr>
                <w:rFonts w:ascii="Times New Roman" w:hAnsi="Times New Roman" w:cs="Times New Roman"/>
                <w:b/>
                <w:sz w:val="18"/>
                <w:szCs w:val="18"/>
              </w:rPr>
              <w:t xml:space="preserve"> (</w:t>
            </w:r>
            <w:r w:rsidRPr="002A5068">
              <w:rPr>
                <w:rFonts w:ascii="Times New Roman" w:hAnsi="Times New Roman" w:cs="Times New Roman"/>
                <w:sz w:val="18"/>
                <w:szCs w:val="18"/>
              </w:rPr>
              <w:t>6 subnational governments, 4 private sectors, 10 CSOs)</w:t>
            </w:r>
          </w:p>
          <w:p w14:paraId="396FACEC" w14:textId="77777777" w:rsidR="00183BE7" w:rsidRPr="002A5068" w:rsidRDefault="00183BE7" w:rsidP="00377E24">
            <w:pPr>
              <w:spacing w:after="12"/>
              <w:jc w:val="both"/>
              <w:rPr>
                <w:rFonts w:ascii="Times New Roman" w:hAnsi="Times New Roman" w:cs="Times New Roman"/>
                <w:sz w:val="18"/>
                <w:szCs w:val="18"/>
              </w:rPr>
            </w:pPr>
            <w:r w:rsidRPr="002A5068">
              <w:rPr>
                <w:rFonts w:ascii="Times New Roman" w:hAnsi="Times New Roman" w:cs="Times New Roman"/>
                <w:b/>
                <w:sz w:val="18"/>
                <w:szCs w:val="18"/>
              </w:rPr>
              <w:t xml:space="preserve">Data source: </w:t>
            </w:r>
            <w:r w:rsidRPr="002A5068">
              <w:rPr>
                <w:rFonts w:ascii="Times New Roman" w:hAnsi="Times New Roman" w:cs="Times New Roman"/>
                <w:sz w:val="18"/>
                <w:szCs w:val="18"/>
              </w:rPr>
              <w:t>National, state, CSO, private sector planning/budget documents</w:t>
            </w:r>
          </w:p>
          <w:p w14:paraId="0C499A2D" w14:textId="77777777" w:rsidR="00183BE7" w:rsidRPr="002A5068" w:rsidRDefault="00183BE7" w:rsidP="00377E24">
            <w:pPr>
              <w:spacing w:after="12"/>
              <w:jc w:val="both"/>
              <w:rPr>
                <w:rFonts w:ascii="Times New Roman" w:hAnsi="Times New Roman" w:cs="Times New Roman"/>
                <w:sz w:val="18"/>
                <w:szCs w:val="18"/>
              </w:rPr>
            </w:pPr>
            <w:r w:rsidRPr="002A5068">
              <w:rPr>
                <w:rFonts w:ascii="Times New Roman" w:hAnsi="Times New Roman" w:cs="Times New Roman"/>
                <w:b/>
                <w:sz w:val="18"/>
                <w:szCs w:val="18"/>
              </w:rPr>
              <w:t>Frequency:</w:t>
            </w:r>
            <w:r w:rsidRPr="002A5068">
              <w:rPr>
                <w:rFonts w:ascii="Times New Roman" w:hAnsi="Times New Roman" w:cs="Times New Roman"/>
                <w:sz w:val="18"/>
                <w:szCs w:val="18"/>
              </w:rPr>
              <w:t xml:space="preserve"> periodic</w:t>
            </w:r>
          </w:p>
          <w:p w14:paraId="7EAC6BEA" w14:textId="77777777" w:rsidR="00183BE7" w:rsidRPr="002A5068" w:rsidRDefault="00183BE7" w:rsidP="00377E24">
            <w:pPr>
              <w:ind w:left="24" w:right="114"/>
              <w:rPr>
                <w:rFonts w:ascii="Times New Roman" w:hAnsi="Times New Roman" w:cs="Times New Roman"/>
                <w:sz w:val="18"/>
                <w:szCs w:val="18"/>
              </w:rPr>
            </w:pPr>
          </w:p>
          <w:p w14:paraId="37B4D95C" w14:textId="4CBF6A06" w:rsidR="00183BE7" w:rsidRPr="002A5068" w:rsidRDefault="00183BE7" w:rsidP="00377E24">
            <w:pPr>
              <w:ind w:left="24" w:right="114"/>
              <w:rPr>
                <w:rFonts w:ascii="Times New Roman" w:hAnsi="Times New Roman" w:cs="Times New Roman"/>
                <w:sz w:val="18"/>
                <w:szCs w:val="18"/>
              </w:rPr>
            </w:pPr>
            <w:r w:rsidRPr="002A5068">
              <w:rPr>
                <w:rFonts w:ascii="Times New Roman" w:hAnsi="Times New Roman" w:cs="Times New Roman"/>
                <w:b/>
                <w:sz w:val="18"/>
                <w:szCs w:val="18"/>
              </w:rPr>
              <w:t>Indicator 1.4.3</w:t>
            </w:r>
            <w:r w:rsidR="00690801" w:rsidRPr="002A5068">
              <w:rPr>
                <w:rFonts w:ascii="Times New Roman" w:hAnsi="Times New Roman" w:cs="Times New Roman"/>
                <w:b/>
                <w:sz w:val="18"/>
                <w:szCs w:val="18"/>
              </w:rPr>
              <w:t>.</w:t>
            </w:r>
            <w:r w:rsidRPr="002A5068">
              <w:rPr>
                <w:rFonts w:ascii="Times New Roman" w:hAnsi="Times New Roman" w:cs="Times New Roman"/>
                <w:b/>
                <w:sz w:val="18"/>
                <w:szCs w:val="18"/>
              </w:rPr>
              <w:t xml:space="preserve"> </w:t>
            </w:r>
            <w:r w:rsidRPr="002A5068">
              <w:rPr>
                <w:rFonts w:ascii="Times New Roman" w:hAnsi="Times New Roman" w:cs="Times New Roman"/>
                <w:sz w:val="18"/>
                <w:szCs w:val="18"/>
              </w:rPr>
              <w:t xml:space="preserve">Number of   tools and country knowledge products developed and applied to mainstream </w:t>
            </w:r>
            <w:r w:rsidR="00690801" w:rsidRPr="002A5068">
              <w:rPr>
                <w:rFonts w:ascii="Times New Roman" w:hAnsi="Times New Roman" w:cs="Times New Roman"/>
                <w:sz w:val="18"/>
                <w:szCs w:val="18"/>
              </w:rPr>
              <w:t>the Goals.</w:t>
            </w:r>
          </w:p>
          <w:p w14:paraId="300360E2" w14:textId="77777777" w:rsidR="00183BE7" w:rsidRPr="002A5068" w:rsidRDefault="00183BE7" w:rsidP="00377E24">
            <w:pPr>
              <w:ind w:left="24" w:right="114"/>
              <w:rPr>
                <w:rFonts w:ascii="Times New Roman" w:hAnsi="Times New Roman" w:cs="Times New Roman"/>
                <w:sz w:val="18"/>
                <w:szCs w:val="18"/>
              </w:rPr>
            </w:pPr>
            <w:r w:rsidRPr="002A5068">
              <w:rPr>
                <w:rFonts w:ascii="Times New Roman" w:hAnsi="Times New Roman" w:cs="Times New Roman"/>
                <w:b/>
                <w:sz w:val="18"/>
              </w:rPr>
              <w:t>Baseline</w:t>
            </w:r>
            <w:r w:rsidRPr="002A5068">
              <w:rPr>
                <w:rFonts w:ascii="Times New Roman" w:hAnsi="Times New Roman" w:cs="Times New Roman"/>
                <w:sz w:val="18"/>
                <w:szCs w:val="18"/>
              </w:rPr>
              <w:t xml:space="preserve">: 2 </w:t>
            </w:r>
          </w:p>
          <w:p w14:paraId="0CA89C5D" w14:textId="77777777" w:rsidR="00183BE7" w:rsidRPr="002A5068" w:rsidRDefault="00183BE7" w:rsidP="00377E24">
            <w:pPr>
              <w:ind w:left="24" w:right="114"/>
              <w:rPr>
                <w:rFonts w:ascii="Times New Roman" w:hAnsi="Times New Roman" w:cs="Times New Roman"/>
                <w:sz w:val="18"/>
                <w:szCs w:val="18"/>
              </w:rPr>
            </w:pPr>
            <w:r w:rsidRPr="002A5068">
              <w:rPr>
                <w:rFonts w:ascii="Times New Roman" w:hAnsi="Times New Roman" w:cs="Times New Roman"/>
                <w:b/>
                <w:sz w:val="18"/>
              </w:rPr>
              <w:t>Target</w:t>
            </w:r>
            <w:r w:rsidRPr="002A5068">
              <w:rPr>
                <w:rFonts w:ascii="Times New Roman" w:hAnsi="Times New Roman" w:cs="Times New Roman"/>
                <w:sz w:val="18"/>
                <w:szCs w:val="18"/>
              </w:rPr>
              <w:t>: 20</w:t>
            </w:r>
          </w:p>
          <w:p w14:paraId="3B836298" w14:textId="77777777" w:rsidR="00183BE7" w:rsidRPr="002A5068" w:rsidRDefault="00183BE7" w:rsidP="00377E24">
            <w:pPr>
              <w:ind w:left="24" w:right="114"/>
              <w:rPr>
                <w:rFonts w:ascii="Times New Roman" w:hAnsi="Times New Roman" w:cs="Times New Roman"/>
                <w:sz w:val="18"/>
                <w:szCs w:val="18"/>
              </w:rPr>
            </w:pPr>
            <w:r w:rsidRPr="002A5068">
              <w:rPr>
                <w:rFonts w:ascii="Times New Roman" w:hAnsi="Times New Roman" w:cs="Times New Roman"/>
                <w:b/>
                <w:sz w:val="18"/>
                <w:szCs w:val="18"/>
              </w:rPr>
              <w:t>Data source:</w:t>
            </w:r>
            <w:r w:rsidRPr="002A5068">
              <w:rPr>
                <w:rFonts w:ascii="Times New Roman" w:hAnsi="Times New Roman" w:cs="Times New Roman"/>
                <w:sz w:val="18"/>
                <w:szCs w:val="18"/>
              </w:rPr>
              <w:t xml:space="preserve"> Project reports, Independent evaluations</w:t>
            </w:r>
          </w:p>
          <w:p w14:paraId="3A6A2DA5" w14:textId="77777777" w:rsidR="00183BE7" w:rsidRPr="002A5068" w:rsidRDefault="00183BE7" w:rsidP="00377E24">
            <w:pPr>
              <w:ind w:left="24" w:right="114"/>
              <w:rPr>
                <w:rFonts w:ascii="Times New Roman" w:hAnsi="Times New Roman" w:cs="Times New Roman"/>
                <w:sz w:val="18"/>
                <w:szCs w:val="18"/>
              </w:rPr>
            </w:pPr>
            <w:r w:rsidRPr="002A5068">
              <w:rPr>
                <w:rFonts w:ascii="Times New Roman" w:hAnsi="Times New Roman" w:cs="Times New Roman"/>
                <w:b/>
                <w:sz w:val="18"/>
                <w:szCs w:val="18"/>
              </w:rPr>
              <w:t xml:space="preserve">Frequency: </w:t>
            </w:r>
            <w:r w:rsidRPr="002A5068">
              <w:rPr>
                <w:rFonts w:ascii="Times New Roman" w:hAnsi="Times New Roman" w:cs="Times New Roman"/>
                <w:sz w:val="18"/>
                <w:szCs w:val="18"/>
              </w:rPr>
              <w:t>Annual</w:t>
            </w:r>
          </w:p>
          <w:p w14:paraId="1665F746" w14:textId="77777777" w:rsidR="00183BE7" w:rsidRPr="002A5068" w:rsidRDefault="00183BE7" w:rsidP="00377E24">
            <w:pPr>
              <w:ind w:left="24" w:right="114"/>
              <w:rPr>
                <w:rFonts w:ascii="Times New Roman" w:hAnsi="Times New Roman" w:cs="Times New Roman"/>
                <w:sz w:val="18"/>
                <w:szCs w:val="18"/>
              </w:rPr>
            </w:pPr>
          </w:p>
          <w:p w14:paraId="60CBF439" w14:textId="66535799" w:rsidR="00183BE7" w:rsidRPr="002A5068" w:rsidRDefault="00183BE7" w:rsidP="00377E24">
            <w:pPr>
              <w:ind w:left="24" w:right="114"/>
              <w:rPr>
                <w:rFonts w:ascii="Times New Roman" w:hAnsi="Times New Roman" w:cs="Times New Roman"/>
                <w:sz w:val="18"/>
                <w:szCs w:val="18"/>
              </w:rPr>
            </w:pPr>
            <w:r w:rsidRPr="002A5068">
              <w:rPr>
                <w:rFonts w:ascii="Times New Roman" w:hAnsi="Times New Roman" w:cs="Times New Roman"/>
                <w:b/>
                <w:sz w:val="18"/>
                <w:szCs w:val="18"/>
              </w:rPr>
              <w:t>Indicator 1.4.4</w:t>
            </w:r>
            <w:r w:rsidR="00690801" w:rsidRPr="002A5068">
              <w:rPr>
                <w:rFonts w:ascii="Times New Roman" w:hAnsi="Times New Roman" w:cs="Times New Roman"/>
                <w:b/>
                <w:sz w:val="18"/>
                <w:szCs w:val="18"/>
              </w:rPr>
              <w:t>.</w:t>
            </w:r>
            <w:r w:rsidRPr="002A5068">
              <w:rPr>
                <w:rFonts w:ascii="Times New Roman" w:hAnsi="Times New Roman" w:cs="Times New Roman"/>
                <w:sz w:val="18"/>
                <w:szCs w:val="18"/>
              </w:rPr>
              <w:t xml:space="preserve"> Number of national institutions providing disaggregated data to monitor progress towards the </w:t>
            </w:r>
            <w:r w:rsidR="00690801" w:rsidRPr="002A5068">
              <w:rPr>
                <w:rFonts w:ascii="Times New Roman" w:hAnsi="Times New Roman" w:cs="Times New Roman"/>
                <w:sz w:val="18"/>
                <w:szCs w:val="18"/>
              </w:rPr>
              <w:t>Goals.</w:t>
            </w:r>
          </w:p>
          <w:p w14:paraId="0B65069A" w14:textId="3EFCE47E" w:rsidR="00183BE7" w:rsidRPr="002A5068" w:rsidRDefault="00183BE7" w:rsidP="00377E24">
            <w:pPr>
              <w:ind w:left="24" w:right="229"/>
              <w:jc w:val="both"/>
              <w:rPr>
                <w:rFonts w:ascii="Times New Roman" w:hAnsi="Times New Roman" w:cs="Times New Roman"/>
                <w:b/>
                <w:sz w:val="18"/>
                <w:szCs w:val="18"/>
              </w:rPr>
            </w:pPr>
            <w:r w:rsidRPr="002A5068">
              <w:rPr>
                <w:rFonts w:ascii="Times New Roman" w:hAnsi="Times New Roman" w:cs="Times New Roman"/>
                <w:b/>
                <w:sz w:val="18"/>
                <w:szCs w:val="18"/>
              </w:rPr>
              <w:lastRenderedPageBreak/>
              <w:t xml:space="preserve">Baseline: </w:t>
            </w:r>
            <w:r w:rsidRPr="002A5068">
              <w:rPr>
                <w:rFonts w:ascii="Times New Roman" w:hAnsi="Times New Roman" w:cs="Times New Roman"/>
                <w:sz w:val="18"/>
              </w:rPr>
              <w:t>1</w:t>
            </w:r>
            <w:bookmarkStart w:id="3" w:name="_GoBack"/>
            <w:bookmarkEnd w:id="3"/>
          </w:p>
          <w:p w14:paraId="3DBAF7E5" w14:textId="6AFFDB51" w:rsidR="00183BE7" w:rsidRPr="002A5068" w:rsidRDefault="00183BE7" w:rsidP="00377E24">
            <w:pPr>
              <w:ind w:left="24" w:right="229"/>
              <w:jc w:val="both"/>
              <w:rPr>
                <w:rFonts w:ascii="Times New Roman" w:hAnsi="Times New Roman" w:cs="Times New Roman"/>
                <w:sz w:val="18"/>
                <w:szCs w:val="18"/>
              </w:rPr>
            </w:pPr>
            <w:r w:rsidRPr="002A5068">
              <w:rPr>
                <w:rFonts w:ascii="Times New Roman" w:hAnsi="Times New Roman" w:cs="Times New Roman"/>
                <w:b/>
                <w:sz w:val="18"/>
                <w:szCs w:val="18"/>
              </w:rPr>
              <w:t>Target</w:t>
            </w:r>
            <w:r w:rsidRPr="002A5068">
              <w:rPr>
                <w:rFonts w:ascii="Times New Roman" w:hAnsi="Times New Roman" w:cs="Times New Roman"/>
                <w:sz w:val="18"/>
                <w:szCs w:val="18"/>
              </w:rPr>
              <w:t>:</w:t>
            </w:r>
            <w:r w:rsidR="00690801" w:rsidRPr="002A5068">
              <w:rPr>
                <w:rFonts w:ascii="Times New Roman" w:hAnsi="Times New Roman" w:cs="Times New Roman"/>
                <w:sz w:val="18"/>
                <w:szCs w:val="18"/>
              </w:rPr>
              <w:t xml:space="preserve"> </w:t>
            </w:r>
            <w:r w:rsidRPr="002A5068">
              <w:rPr>
                <w:rFonts w:ascii="Times New Roman" w:hAnsi="Times New Roman" w:cs="Times New Roman"/>
                <w:sz w:val="18"/>
                <w:szCs w:val="18"/>
              </w:rPr>
              <w:t>6</w:t>
            </w:r>
          </w:p>
          <w:p w14:paraId="48C4DDA3" w14:textId="77777777" w:rsidR="00183BE7" w:rsidRPr="002A5068" w:rsidRDefault="00183BE7" w:rsidP="00377E24">
            <w:pPr>
              <w:ind w:left="24" w:right="229"/>
              <w:jc w:val="both"/>
              <w:rPr>
                <w:rFonts w:ascii="Times New Roman" w:hAnsi="Times New Roman" w:cs="Times New Roman"/>
                <w:b/>
                <w:sz w:val="18"/>
                <w:szCs w:val="18"/>
              </w:rPr>
            </w:pPr>
            <w:r w:rsidRPr="002A5068">
              <w:rPr>
                <w:rFonts w:ascii="Times New Roman" w:hAnsi="Times New Roman" w:cs="Times New Roman"/>
                <w:b/>
                <w:sz w:val="18"/>
                <w:szCs w:val="18"/>
              </w:rPr>
              <w:t>Data source</w:t>
            </w:r>
            <w:r w:rsidRPr="002A5068">
              <w:rPr>
                <w:rFonts w:ascii="Times New Roman" w:hAnsi="Times New Roman" w:cs="Times New Roman"/>
                <w:sz w:val="18"/>
                <w:szCs w:val="18"/>
              </w:rPr>
              <w:t>: Project reports</w:t>
            </w:r>
          </w:p>
          <w:p w14:paraId="4377A110" w14:textId="77777777" w:rsidR="00183BE7" w:rsidRPr="002A5068" w:rsidRDefault="00183BE7" w:rsidP="00377E24">
            <w:pPr>
              <w:ind w:left="24" w:right="229"/>
              <w:jc w:val="both"/>
              <w:rPr>
                <w:rFonts w:ascii="Times New Roman" w:hAnsi="Times New Roman" w:cs="Times New Roman"/>
                <w:sz w:val="18"/>
                <w:szCs w:val="18"/>
              </w:rPr>
            </w:pPr>
            <w:r w:rsidRPr="002A5068">
              <w:rPr>
                <w:rFonts w:ascii="Times New Roman" w:hAnsi="Times New Roman" w:cs="Times New Roman"/>
                <w:b/>
                <w:sz w:val="18"/>
                <w:szCs w:val="18"/>
              </w:rPr>
              <w:t>Frequency</w:t>
            </w:r>
            <w:r w:rsidRPr="002A5068">
              <w:rPr>
                <w:rFonts w:ascii="Times New Roman" w:hAnsi="Times New Roman" w:cs="Times New Roman"/>
                <w:sz w:val="18"/>
                <w:szCs w:val="18"/>
              </w:rPr>
              <w:t>: Annual</w:t>
            </w:r>
          </w:p>
          <w:p w14:paraId="5F6ABD66" w14:textId="77777777" w:rsidR="00183BE7" w:rsidRPr="002A5068" w:rsidRDefault="00183BE7" w:rsidP="00377E24">
            <w:pPr>
              <w:pStyle w:val="NoSpacing"/>
              <w:ind w:right="144"/>
              <w:rPr>
                <w:rFonts w:ascii="Times New Roman" w:hAnsi="Times New Roman" w:cs="Times New Roman"/>
                <w:sz w:val="18"/>
                <w:szCs w:val="18"/>
              </w:rPr>
            </w:pPr>
          </w:p>
        </w:tc>
        <w:tc>
          <w:tcPr>
            <w:tcW w:w="2098"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1CF0E30D" w14:textId="2654663F" w:rsidR="00183BE7" w:rsidRPr="002A5068" w:rsidRDefault="00183BE7" w:rsidP="00B16A6B">
            <w:pPr>
              <w:ind w:right="167"/>
              <w:rPr>
                <w:rFonts w:ascii="Times New Roman" w:hAnsi="Times New Roman" w:cs="Times New Roman"/>
                <w:sz w:val="18"/>
                <w:szCs w:val="18"/>
              </w:rPr>
            </w:pPr>
            <w:r w:rsidRPr="002A5068">
              <w:rPr>
                <w:rFonts w:ascii="Times New Roman" w:hAnsi="Times New Roman" w:cs="Times New Roman"/>
                <w:sz w:val="18"/>
                <w:szCs w:val="18"/>
              </w:rPr>
              <w:lastRenderedPageBreak/>
              <w:t xml:space="preserve">Japan, </w:t>
            </w:r>
            <w:r w:rsidR="00690801" w:rsidRPr="002A5068">
              <w:rPr>
                <w:rFonts w:ascii="Times New Roman" w:hAnsi="Times New Roman" w:cs="Times New Roman"/>
                <w:sz w:val="18"/>
                <w:szCs w:val="18"/>
              </w:rPr>
              <w:t xml:space="preserve">Norway, Sweden, </w:t>
            </w:r>
            <w:r w:rsidRPr="002A5068">
              <w:rPr>
                <w:rFonts w:ascii="Times New Roman" w:hAnsi="Times New Roman" w:cs="Times New Roman"/>
                <w:sz w:val="18"/>
                <w:szCs w:val="18"/>
              </w:rPr>
              <w:t>ADB, GCF, GEF</w:t>
            </w:r>
          </w:p>
        </w:tc>
        <w:tc>
          <w:tcPr>
            <w:tcW w:w="1751" w:type="dxa"/>
            <w:vMerge/>
            <w:tcBorders>
              <w:left w:val="single" w:sz="4" w:space="0" w:color="000000" w:themeColor="text1"/>
              <w:bottom w:val="single" w:sz="4" w:space="0" w:color="auto"/>
              <w:right w:val="single" w:sz="4" w:space="0" w:color="000000" w:themeColor="text1"/>
            </w:tcBorders>
          </w:tcPr>
          <w:p w14:paraId="604319E6" w14:textId="77777777" w:rsidR="00183BE7" w:rsidRPr="002A5068" w:rsidRDefault="00183BE7" w:rsidP="00377E24">
            <w:pPr>
              <w:spacing w:after="16"/>
              <w:ind w:left="96"/>
              <w:jc w:val="both"/>
              <w:rPr>
                <w:rFonts w:ascii="Times New Roman" w:hAnsi="Times New Roman" w:cs="Times New Roman"/>
                <w:b/>
                <w:sz w:val="18"/>
                <w:szCs w:val="18"/>
              </w:rPr>
            </w:pPr>
          </w:p>
        </w:tc>
      </w:tr>
      <w:tr w:rsidR="00183BE7" w:rsidRPr="002A5068" w14:paraId="0A37DCAE" w14:textId="77777777" w:rsidTr="00391596">
        <w:trPr>
          <w:trHeight w:val="395"/>
        </w:trPr>
        <w:tc>
          <w:tcPr>
            <w:tcW w:w="14029" w:type="dxa"/>
            <w:gridSpan w:val="6"/>
            <w:shd w:val="clear" w:color="auto" w:fill="auto"/>
          </w:tcPr>
          <w:p w14:paraId="4B07EDBA" w14:textId="0EE33450" w:rsidR="00183BE7" w:rsidRPr="002A5068" w:rsidRDefault="00183BE7" w:rsidP="00377E24">
            <w:pPr>
              <w:spacing w:after="16"/>
              <w:ind w:left="96"/>
              <w:jc w:val="both"/>
              <w:rPr>
                <w:rFonts w:ascii="Times New Roman" w:hAnsi="Times New Roman" w:cs="Times New Roman"/>
                <w:b/>
                <w:sz w:val="18"/>
                <w:szCs w:val="18"/>
              </w:rPr>
            </w:pPr>
            <w:r w:rsidRPr="002A5068">
              <w:rPr>
                <w:rFonts w:ascii="Times New Roman" w:hAnsi="Times New Roman" w:cs="Times New Roman"/>
                <w:b/>
                <w:sz w:val="18"/>
                <w:szCs w:val="18"/>
              </w:rPr>
              <w:t xml:space="preserve">National </w:t>
            </w:r>
            <w:r w:rsidR="0030474E" w:rsidRPr="002A5068">
              <w:rPr>
                <w:rFonts w:ascii="Times New Roman" w:hAnsi="Times New Roman" w:cs="Times New Roman"/>
                <w:b/>
                <w:sz w:val="18"/>
                <w:szCs w:val="18"/>
              </w:rPr>
              <w:t>p</w:t>
            </w:r>
            <w:r w:rsidRPr="002A5068">
              <w:rPr>
                <w:rFonts w:ascii="Times New Roman" w:hAnsi="Times New Roman" w:cs="Times New Roman"/>
                <w:b/>
                <w:sz w:val="18"/>
                <w:szCs w:val="18"/>
              </w:rPr>
              <w:t>riority</w:t>
            </w:r>
            <w:r w:rsidRPr="002A5068">
              <w:rPr>
                <w:rFonts w:ascii="Times New Roman" w:hAnsi="Times New Roman" w:cs="Times New Roman"/>
                <w:b/>
                <w:sz w:val="18"/>
              </w:rPr>
              <w:t>:</w:t>
            </w:r>
            <w:r w:rsidRPr="002A5068">
              <w:rPr>
                <w:rFonts w:ascii="Times New Roman" w:hAnsi="Times New Roman" w:cs="Times New Roman"/>
                <w:sz w:val="18"/>
                <w:szCs w:val="18"/>
              </w:rPr>
              <w:t xml:space="preserve"> Secure food, improved food security and livelihoods</w:t>
            </w:r>
            <w:r w:rsidR="0030474E" w:rsidRPr="002A5068">
              <w:rPr>
                <w:rFonts w:ascii="Times New Roman" w:hAnsi="Times New Roman" w:cs="Times New Roman"/>
                <w:sz w:val="18"/>
                <w:szCs w:val="18"/>
              </w:rPr>
              <w:t>.</w:t>
            </w:r>
          </w:p>
        </w:tc>
      </w:tr>
      <w:tr w:rsidR="00183BE7" w:rsidRPr="002A5068" w14:paraId="1F05F157" w14:textId="77777777" w:rsidTr="00391596">
        <w:trPr>
          <w:trHeight w:val="350"/>
        </w:trPr>
        <w:tc>
          <w:tcPr>
            <w:tcW w:w="14029" w:type="dxa"/>
            <w:gridSpan w:val="6"/>
            <w:shd w:val="clear" w:color="auto" w:fill="auto"/>
          </w:tcPr>
          <w:p w14:paraId="1C19A61A" w14:textId="3D5AA818" w:rsidR="00183BE7" w:rsidRPr="002A5068" w:rsidRDefault="00183BE7" w:rsidP="00377E24">
            <w:pPr>
              <w:spacing w:after="16"/>
              <w:ind w:left="96"/>
              <w:jc w:val="both"/>
              <w:rPr>
                <w:rFonts w:ascii="Times New Roman" w:hAnsi="Times New Roman" w:cs="Times New Roman"/>
                <w:b/>
                <w:sz w:val="18"/>
                <w:szCs w:val="18"/>
              </w:rPr>
            </w:pPr>
            <w:r w:rsidRPr="002A5068">
              <w:rPr>
                <w:rFonts w:ascii="Times New Roman" w:eastAsia="Times New Roman" w:hAnsi="Times New Roman" w:cs="Times New Roman"/>
                <w:b/>
                <w:sz w:val="18"/>
                <w:szCs w:val="18"/>
              </w:rPr>
              <w:t xml:space="preserve">UNCF </w:t>
            </w:r>
            <w:r w:rsidR="0030474E" w:rsidRPr="002A5068">
              <w:rPr>
                <w:rFonts w:ascii="Times New Roman" w:eastAsia="Times New Roman" w:hAnsi="Times New Roman" w:cs="Times New Roman"/>
                <w:b/>
                <w:sz w:val="18"/>
                <w:szCs w:val="18"/>
              </w:rPr>
              <w:t>o</w:t>
            </w:r>
            <w:r w:rsidRPr="002A5068">
              <w:rPr>
                <w:rFonts w:ascii="Times New Roman" w:eastAsia="Times New Roman" w:hAnsi="Times New Roman" w:cs="Times New Roman"/>
                <w:b/>
                <w:sz w:val="18"/>
                <w:szCs w:val="18"/>
              </w:rPr>
              <w:t>utcome 2:</w:t>
            </w:r>
            <w:r w:rsidRPr="002A5068">
              <w:rPr>
                <w:rFonts w:ascii="Times New Roman" w:eastAsia="Times New Roman" w:hAnsi="Times New Roman" w:cs="Times New Roman"/>
                <w:sz w:val="18"/>
                <w:szCs w:val="18"/>
              </w:rPr>
              <w:t xml:space="preserve"> Local economies are recovered and conditions and coping strategies are improved to end severe food insecurity. </w:t>
            </w:r>
          </w:p>
        </w:tc>
      </w:tr>
      <w:tr w:rsidR="00183BE7" w:rsidRPr="002A5068" w14:paraId="534296F9" w14:textId="77777777" w:rsidTr="00391596">
        <w:trPr>
          <w:trHeight w:val="350"/>
        </w:trPr>
        <w:tc>
          <w:tcPr>
            <w:tcW w:w="14029" w:type="dxa"/>
            <w:gridSpan w:val="6"/>
            <w:shd w:val="clear" w:color="auto" w:fill="auto"/>
          </w:tcPr>
          <w:p w14:paraId="42084B6E" w14:textId="59EF820D" w:rsidR="00183BE7" w:rsidRPr="002A5068" w:rsidRDefault="00183BE7" w:rsidP="00377E24">
            <w:pPr>
              <w:tabs>
                <w:tab w:val="left" w:pos="7560"/>
              </w:tabs>
              <w:spacing w:after="16"/>
              <w:ind w:left="96"/>
              <w:jc w:val="both"/>
              <w:rPr>
                <w:rFonts w:ascii="Times New Roman" w:hAnsi="Times New Roman" w:cs="Times New Roman"/>
                <w:b/>
                <w:sz w:val="18"/>
                <w:szCs w:val="18"/>
              </w:rPr>
            </w:pPr>
            <w:r w:rsidRPr="002A5068">
              <w:rPr>
                <w:rFonts w:ascii="Times New Roman" w:hAnsi="Times New Roman" w:cs="Times New Roman"/>
                <w:b/>
                <w:sz w:val="18"/>
                <w:szCs w:val="18"/>
              </w:rPr>
              <w:t xml:space="preserve">UNDP Strategic Plan outcome 1: </w:t>
            </w:r>
            <w:r w:rsidRPr="002A5068">
              <w:rPr>
                <w:rFonts w:ascii="Times New Roman" w:hAnsi="Times New Roman" w:cs="Times New Roman"/>
                <w:sz w:val="18"/>
              </w:rPr>
              <w:t>Advance poverty eradication in all its forms and dimensions</w:t>
            </w:r>
            <w:r w:rsidR="0030474E" w:rsidRPr="002A5068">
              <w:rPr>
                <w:rFonts w:ascii="Times New Roman" w:hAnsi="Times New Roman" w:cs="Times New Roman"/>
                <w:sz w:val="18"/>
                <w:szCs w:val="18"/>
              </w:rPr>
              <w:t>.</w:t>
            </w:r>
          </w:p>
        </w:tc>
      </w:tr>
      <w:tr w:rsidR="00183BE7" w:rsidRPr="002A5068" w14:paraId="5C97748A" w14:textId="77777777" w:rsidTr="00400A12">
        <w:tc>
          <w:tcPr>
            <w:tcW w:w="2807" w:type="dxa"/>
            <w:vMerge w:val="restart"/>
            <w:tcBorders>
              <w:top w:val="single" w:sz="4" w:space="0" w:color="000000" w:themeColor="text1"/>
              <w:left w:val="single" w:sz="4" w:space="0" w:color="000000" w:themeColor="text1"/>
              <w:right w:val="single" w:sz="4" w:space="0" w:color="000000" w:themeColor="text1"/>
            </w:tcBorders>
          </w:tcPr>
          <w:p w14:paraId="4942597D" w14:textId="3C303FCE" w:rsidR="00183BE7" w:rsidRPr="002A5068" w:rsidRDefault="00183BE7" w:rsidP="00377E24">
            <w:pPr>
              <w:spacing w:after="7"/>
              <w:ind w:right="110"/>
              <w:rPr>
                <w:rFonts w:ascii="Times New Roman" w:hAnsi="Times New Roman" w:cs="Times New Roman"/>
                <w:color w:val="000000" w:themeColor="text1"/>
                <w:sz w:val="18"/>
                <w:szCs w:val="18"/>
              </w:rPr>
            </w:pPr>
            <w:bookmarkStart w:id="4" w:name="_Hlk514171021"/>
            <w:r w:rsidRPr="002A5068">
              <w:rPr>
                <w:rFonts w:ascii="Times New Roman" w:hAnsi="Times New Roman" w:cs="Times New Roman"/>
                <w:b/>
                <w:sz w:val="18"/>
                <w:szCs w:val="18"/>
              </w:rPr>
              <w:t>Indicator 2.1</w:t>
            </w:r>
            <w:r w:rsidR="0030474E" w:rsidRPr="002A5068">
              <w:rPr>
                <w:rFonts w:ascii="Times New Roman" w:hAnsi="Times New Roman" w:cs="Times New Roman"/>
                <w:b/>
                <w:sz w:val="18"/>
                <w:szCs w:val="18"/>
              </w:rPr>
              <w:t>.</w:t>
            </w:r>
            <w:r w:rsidRPr="002A5068">
              <w:rPr>
                <w:rFonts w:ascii="Times New Roman" w:hAnsi="Times New Roman" w:cs="Times New Roman"/>
                <w:color w:val="000000" w:themeColor="text1"/>
                <w:sz w:val="18"/>
                <w:szCs w:val="18"/>
              </w:rPr>
              <w:t xml:space="preserve"> Number of new HIV infections per 1,000 uninfected population, by sex, age and key populations</w:t>
            </w:r>
            <w:r w:rsidR="0030474E" w:rsidRPr="002A5068">
              <w:rPr>
                <w:rFonts w:ascii="Times New Roman" w:hAnsi="Times New Roman" w:cs="Times New Roman"/>
                <w:color w:val="000000" w:themeColor="text1"/>
                <w:sz w:val="18"/>
                <w:szCs w:val="18"/>
              </w:rPr>
              <w:t>.</w:t>
            </w:r>
          </w:p>
          <w:p w14:paraId="116FF5A4" w14:textId="77777777" w:rsidR="00183BE7" w:rsidRPr="002A5068" w:rsidRDefault="00183BE7" w:rsidP="00377E24">
            <w:pPr>
              <w:spacing w:after="7"/>
              <w:ind w:right="110"/>
              <w:rPr>
                <w:rFonts w:ascii="Times New Roman" w:hAnsi="Times New Roman" w:cs="Times New Roman"/>
                <w:b/>
                <w:sz w:val="18"/>
                <w:szCs w:val="18"/>
              </w:rPr>
            </w:pPr>
            <w:r w:rsidRPr="002A5068">
              <w:rPr>
                <w:rFonts w:ascii="Times New Roman" w:hAnsi="Times New Roman" w:cs="Times New Roman"/>
                <w:b/>
                <w:sz w:val="18"/>
                <w:szCs w:val="18"/>
              </w:rPr>
              <w:t xml:space="preserve">Baseline: </w:t>
            </w:r>
            <w:r w:rsidRPr="002A5068">
              <w:rPr>
                <w:rFonts w:ascii="Times New Roman" w:hAnsi="Times New Roman" w:cs="Times New Roman"/>
                <w:sz w:val="18"/>
                <w:szCs w:val="18"/>
              </w:rPr>
              <w:t>1.34/1,000 (sex and age disaggregation to be done)</w:t>
            </w:r>
          </w:p>
          <w:p w14:paraId="0F2F5745" w14:textId="77777777" w:rsidR="00183BE7" w:rsidRPr="002A5068" w:rsidRDefault="00183BE7" w:rsidP="00377E24">
            <w:pPr>
              <w:spacing w:after="7"/>
              <w:ind w:right="110"/>
              <w:rPr>
                <w:rFonts w:ascii="Times New Roman" w:hAnsi="Times New Roman" w:cs="Times New Roman"/>
                <w:b/>
                <w:sz w:val="18"/>
                <w:szCs w:val="18"/>
              </w:rPr>
            </w:pPr>
            <w:r w:rsidRPr="002A5068">
              <w:rPr>
                <w:rFonts w:ascii="Times New Roman" w:hAnsi="Times New Roman" w:cs="Times New Roman"/>
                <w:b/>
                <w:sz w:val="18"/>
                <w:szCs w:val="18"/>
              </w:rPr>
              <w:t xml:space="preserve">Target: </w:t>
            </w:r>
            <w:r w:rsidRPr="002A5068">
              <w:rPr>
                <w:rFonts w:ascii="Times New Roman" w:hAnsi="Times New Roman" w:cs="Times New Roman"/>
                <w:sz w:val="18"/>
                <w:szCs w:val="18"/>
              </w:rPr>
              <w:t>1.1/1,000</w:t>
            </w:r>
          </w:p>
          <w:bookmarkEnd w:id="4"/>
          <w:p w14:paraId="26339882" w14:textId="77777777" w:rsidR="00183BE7" w:rsidRPr="002A5068" w:rsidRDefault="00183BE7" w:rsidP="00377E24">
            <w:pPr>
              <w:spacing w:after="7"/>
              <w:ind w:left="142" w:right="110"/>
              <w:rPr>
                <w:rFonts w:ascii="Times New Roman" w:hAnsi="Times New Roman" w:cs="Times New Roman"/>
                <w:b/>
                <w:sz w:val="18"/>
                <w:szCs w:val="18"/>
              </w:rPr>
            </w:pPr>
          </w:p>
          <w:p w14:paraId="246E6DAC" w14:textId="6C6ABFD7" w:rsidR="00183BE7" w:rsidRPr="002A5068" w:rsidRDefault="00183BE7" w:rsidP="00377E24">
            <w:pPr>
              <w:spacing w:after="7"/>
              <w:ind w:right="110"/>
              <w:rPr>
                <w:rFonts w:ascii="Times New Roman" w:hAnsi="Times New Roman" w:cs="Times New Roman"/>
                <w:sz w:val="18"/>
                <w:szCs w:val="18"/>
              </w:rPr>
            </w:pPr>
            <w:r w:rsidRPr="002A5068">
              <w:rPr>
                <w:rFonts w:ascii="Times New Roman" w:hAnsi="Times New Roman" w:cs="Times New Roman"/>
                <w:b/>
                <w:bCs/>
                <w:sz w:val="18"/>
                <w:szCs w:val="18"/>
              </w:rPr>
              <w:t>Indicator 2.2</w:t>
            </w:r>
            <w:r w:rsidR="0030474E" w:rsidRPr="002A5068">
              <w:rPr>
                <w:rFonts w:ascii="Times New Roman" w:hAnsi="Times New Roman" w:cs="Times New Roman"/>
                <w:b/>
                <w:bCs/>
                <w:sz w:val="18"/>
                <w:szCs w:val="18"/>
              </w:rPr>
              <w:t>.</w:t>
            </w:r>
            <w:r w:rsidRPr="002A5068">
              <w:rPr>
                <w:rFonts w:ascii="Times New Roman" w:hAnsi="Times New Roman" w:cs="Times New Roman"/>
                <w:b/>
                <w:sz w:val="18"/>
                <w:szCs w:val="18"/>
              </w:rPr>
              <w:t xml:space="preserve"> </w:t>
            </w:r>
            <w:r w:rsidR="0030474E" w:rsidRPr="002A5068">
              <w:rPr>
                <w:rFonts w:ascii="Times New Roman" w:hAnsi="Times New Roman" w:cs="Times New Roman"/>
                <w:sz w:val="18"/>
                <w:szCs w:val="18"/>
              </w:rPr>
              <w:t xml:space="preserve">Percentage </w:t>
            </w:r>
            <w:r w:rsidRPr="002A5068">
              <w:rPr>
                <w:rFonts w:ascii="Times New Roman" w:hAnsi="Times New Roman" w:cs="Times New Roman"/>
                <w:sz w:val="18"/>
                <w:szCs w:val="18"/>
              </w:rPr>
              <w:t xml:space="preserve">of targeted communities using 11 coping strategies or below. Coping </w:t>
            </w:r>
            <w:r w:rsidR="0030474E" w:rsidRPr="002A5068">
              <w:rPr>
                <w:rFonts w:ascii="Times New Roman" w:hAnsi="Times New Roman" w:cs="Times New Roman"/>
                <w:sz w:val="18"/>
                <w:szCs w:val="18"/>
              </w:rPr>
              <w:t>s</w:t>
            </w:r>
            <w:r w:rsidRPr="002A5068">
              <w:rPr>
                <w:rFonts w:ascii="Times New Roman" w:hAnsi="Times New Roman" w:cs="Times New Roman"/>
                <w:sz w:val="18"/>
                <w:szCs w:val="18"/>
              </w:rPr>
              <w:t xml:space="preserve">trategy </w:t>
            </w:r>
            <w:r w:rsidR="0030474E" w:rsidRPr="002A5068">
              <w:rPr>
                <w:rFonts w:ascii="Times New Roman" w:hAnsi="Times New Roman" w:cs="Times New Roman"/>
                <w:sz w:val="18"/>
                <w:szCs w:val="18"/>
              </w:rPr>
              <w:t>i</w:t>
            </w:r>
            <w:r w:rsidRPr="002A5068">
              <w:rPr>
                <w:rFonts w:ascii="Times New Roman" w:hAnsi="Times New Roman" w:cs="Times New Roman"/>
                <w:sz w:val="18"/>
                <w:szCs w:val="18"/>
              </w:rPr>
              <w:t>ndex (CSI), disaggregated by sex of household head</w:t>
            </w:r>
            <w:r w:rsidR="0030474E" w:rsidRPr="002A5068">
              <w:rPr>
                <w:rFonts w:ascii="Times New Roman" w:hAnsi="Times New Roman" w:cs="Times New Roman"/>
                <w:sz w:val="18"/>
                <w:szCs w:val="18"/>
              </w:rPr>
              <w:t>.</w:t>
            </w:r>
            <w:r w:rsidRPr="002A5068">
              <w:rPr>
                <w:rFonts w:ascii="Times New Roman" w:hAnsi="Times New Roman" w:cs="Times New Roman"/>
                <w:sz w:val="18"/>
                <w:szCs w:val="18"/>
              </w:rPr>
              <w:t>  </w:t>
            </w:r>
          </w:p>
          <w:p w14:paraId="3B722D09" w14:textId="77777777" w:rsidR="00183BE7" w:rsidRPr="002A5068" w:rsidRDefault="00183BE7" w:rsidP="00377E24">
            <w:pPr>
              <w:spacing w:after="7"/>
              <w:ind w:right="110"/>
              <w:rPr>
                <w:rFonts w:ascii="Times New Roman" w:hAnsi="Times New Roman" w:cs="Times New Roman"/>
                <w:b/>
                <w:sz w:val="18"/>
                <w:szCs w:val="18"/>
              </w:rPr>
            </w:pPr>
            <w:r w:rsidRPr="002A5068">
              <w:rPr>
                <w:rFonts w:ascii="Times New Roman" w:hAnsi="Times New Roman" w:cs="Times New Roman"/>
                <w:b/>
                <w:bCs/>
                <w:sz w:val="18"/>
                <w:szCs w:val="18"/>
              </w:rPr>
              <w:t>Baseline</w:t>
            </w:r>
            <w:r w:rsidRPr="002A5068">
              <w:rPr>
                <w:rFonts w:ascii="Times New Roman" w:hAnsi="Times New Roman" w:cs="Times New Roman"/>
                <w:bCs/>
                <w:sz w:val="18"/>
                <w:szCs w:val="18"/>
              </w:rPr>
              <w:t>:</w:t>
            </w:r>
            <w:r w:rsidRPr="002A5068">
              <w:rPr>
                <w:rFonts w:ascii="Times New Roman" w:hAnsi="Times New Roman" w:cs="Times New Roman"/>
                <w:sz w:val="18"/>
                <w:szCs w:val="18"/>
              </w:rPr>
              <w:t xml:space="preserve"> 9.4</w:t>
            </w:r>
            <w:r w:rsidRPr="002A5068">
              <w:rPr>
                <w:rFonts w:ascii="Times New Roman" w:hAnsi="Times New Roman" w:cs="Times New Roman"/>
                <w:b/>
                <w:sz w:val="18"/>
                <w:szCs w:val="18"/>
              </w:rPr>
              <w:t xml:space="preserve"> </w:t>
            </w:r>
          </w:p>
          <w:p w14:paraId="26368C09" w14:textId="77777777" w:rsidR="00183BE7" w:rsidRPr="002A5068" w:rsidRDefault="00183BE7" w:rsidP="00377E24">
            <w:pPr>
              <w:spacing w:after="7"/>
              <w:ind w:right="110"/>
              <w:rPr>
                <w:rFonts w:ascii="Times New Roman" w:hAnsi="Times New Roman" w:cs="Times New Roman"/>
                <w:sz w:val="18"/>
                <w:szCs w:val="18"/>
              </w:rPr>
            </w:pPr>
            <w:r w:rsidRPr="002A5068">
              <w:rPr>
                <w:rFonts w:ascii="Times New Roman" w:hAnsi="Times New Roman" w:cs="Times New Roman"/>
                <w:b/>
                <w:bCs/>
                <w:sz w:val="18"/>
                <w:szCs w:val="18"/>
              </w:rPr>
              <w:t xml:space="preserve">Target: </w:t>
            </w:r>
            <w:r w:rsidRPr="002A5068">
              <w:rPr>
                <w:rFonts w:ascii="Times New Roman" w:hAnsi="Times New Roman" w:cs="Times New Roman"/>
                <w:sz w:val="18"/>
                <w:szCs w:val="18"/>
              </w:rPr>
              <w:t>&lt;9.4</w:t>
            </w:r>
          </w:p>
          <w:p w14:paraId="15A6FFFA" w14:textId="77777777" w:rsidR="00183BE7" w:rsidRPr="002A5068" w:rsidRDefault="00183BE7" w:rsidP="00377E24">
            <w:pPr>
              <w:spacing w:after="7"/>
              <w:ind w:right="110"/>
              <w:rPr>
                <w:rFonts w:ascii="Times New Roman" w:hAnsi="Times New Roman" w:cs="Times New Roman"/>
                <w:sz w:val="18"/>
                <w:szCs w:val="18"/>
              </w:rPr>
            </w:pPr>
          </w:p>
          <w:p w14:paraId="42B6D0F8" w14:textId="564E808F" w:rsidR="00183BE7" w:rsidRPr="002A5068" w:rsidRDefault="00183BE7" w:rsidP="00377E24">
            <w:pPr>
              <w:spacing w:after="7"/>
              <w:ind w:right="110"/>
              <w:rPr>
                <w:rFonts w:ascii="Times New Roman" w:hAnsi="Times New Roman" w:cs="Times New Roman"/>
                <w:color w:val="000000" w:themeColor="text1"/>
                <w:sz w:val="18"/>
                <w:szCs w:val="18"/>
              </w:rPr>
            </w:pPr>
            <w:r w:rsidRPr="002A5068">
              <w:rPr>
                <w:rFonts w:ascii="Times New Roman" w:hAnsi="Times New Roman" w:cs="Times New Roman"/>
                <w:b/>
                <w:color w:val="000000" w:themeColor="text1"/>
                <w:sz w:val="18"/>
                <w:szCs w:val="18"/>
              </w:rPr>
              <w:t>Indicator 2.3</w:t>
            </w:r>
            <w:r w:rsidR="0030474E" w:rsidRPr="002A5068">
              <w:rPr>
                <w:rFonts w:ascii="Times New Roman" w:hAnsi="Times New Roman" w:cs="Times New Roman"/>
                <w:b/>
                <w:color w:val="000000" w:themeColor="text1"/>
                <w:sz w:val="18"/>
                <w:szCs w:val="18"/>
              </w:rPr>
              <w:t>.</w:t>
            </w:r>
            <w:r w:rsidRPr="002A5068">
              <w:rPr>
                <w:rFonts w:ascii="Times New Roman" w:hAnsi="Times New Roman" w:cs="Times New Roman"/>
                <w:color w:val="000000" w:themeColor="text1"/>
                <w:sz w:val="18"/>
                <w:szCs w:val="18"/>
              </w:rPr>
              <w:t xml:space="preserve"> Number of micro, small and medium-sized enterprises utilizing supplier development platforms for inclusive and sustainable value chains</w:t>
            </w:r>
            <w:r w:rsidR="0030474E" w:rsidRPr="002A5068">
              <w:rPr>
                <w:rFonts w:ascii="Times New Roman" w:hAnsi="Times New Roman" w:cs="Times New Roman"/>
                <w:color w:val="000000" w:themeColor="text1"/>
                <w:sz w:val="18"/>
                <w:szCs w:val="18"/>
              </w:rPr>
              <w:t>.</w:t>
            </w:r>
          </w:p>
          <w:p w14:paraId="7A7B87F1" w14:textId="77777777" w:rsidR="00183BE7" w:rsidRPr="002A5068" w:rsidRDefault="00183BE7" w:rsidP="00377E24">
            <w:pPr>
              <w:spacing w:after="7"/>
              <w:ind w:right="110"/>
              <w:rPr>
                <w:rFonts w:ascii="Times New Roman" w:hAnsi="Times New Roman" w:cs="Times New Roman"/>
                <w:sz w:val="18"/>
                <w:szCs w:val="18"/>
              </w:rPr>
            </w:pPr>
            <w:r w:rsidRPr="002A5068">
              <w:rPr>
                <w:rFonts w:ascii="Times New Roman" w:hAnsi="Times New Roman" w:cs="Times New Roman"/>
                <w:b/>
                <w:color w:val="000000" w:themeColor="text1"/>
                <w:sz w:val="18"/>
                <w:szCs w:val="18"/>
              </w:rPr>
              <w:t>Baseline</w:t>
            </w:r>
            <w:r w:rsidRPr="002A5068">
              <w:rPr>
                <w:rFonts w:ascii="Times New Roman" w:hAnsi="Times New Roman" w:cs="Times New Roman"/>
                <w:sz w:val="18"/>
                <w:szCs w:val="18"/>
              </w:rPr>
              <w:t>: 0</w:t>
            </w:r>
          </w:p>
          <w:p w14:paraId="6D26566E" w14:textId="05C68759" w:rsidR="00183BE7" w:rsidRPr="00400A12" w:rsidRDefault="00183BE7" w:rsidP="00400A12">
            <w:pPr>
              <w:spacing w:after="7"/>
              <w:ind w:right="110"/>
              <w:rPr>
                <w:rFonts w:ascii="Times New Roman" w:hAnsi="Times New Roman" w:cs="Times New Roman"/>
                <w:sz w:val="18"/>
                <w:szCs w:val="18"/>
              </w:rPr>
            </w:pPr>
            <w:r w:rsidRPr="002A5068">
              <w:rPr>
                <w:rFonts w:ascii="Times New Roman" w:hAnsi="Times New Roman" w:cs="Times New Roman"/>
                <w:b/>
                <w:color w:val="000000" w:themeColor="text1"/>
                <w:sz w:val="18"/>
                <w:szCs w:val="18"/>
              </w:rPr>
              <w:t>Target</w:t>
            </w:r>
            <w:r w:rsidRPr="002A5068">
              <w:rPr>
                <w:rFonts w:ascii="Times New Roman" w:hAnsi="Times New Roman" w:cs="Times New Roman"/>
                <w:sz w:val="18"/>
                <w:szCs w:val="18"/>
              </w:rPr>
              <w:t>: 300</w:t>
            </w:r>
          </w:p>
        </w:tc>
        <w:tc>
          <w:tcPr>
            <w:tcW w:w="1776" w:type="dxa"/>
            <w:vMerge w:val="restart"/>
            <w:tcBorders>
              <w:top w:val="single" w:sz="4" w:space="0" w:color="000000" w:themeColor="text1"/>
              <w:left w:val="single" w:sz="4" w:space="0" w:color="000000" w:themeColor="text1"/>
              <w:right w:val="single" w:sz="4" w:space="0" w:color="000000" w:themeColor="text1"/>
            </w:tcBorders>
          </w:tcPr>
          <w:p w14:paraId="72CEA687" w14:textId="44FAE5AD" w:rsidR="00183BE7" w:rsidRPr="002A5068" w:rsidRDefault="00183BE7" w:rsidP="00377E24">
            <w:pPr>
              <w:spacing w:after="12"/>
              <w:rPr>
                <w:rFonts w:ascii="Times New Roman" w:hAnsi="Times New Roman" w:cs="Times New Roman"/>
                <w:sz w:val="18"/>
                <w:szCs w:val="18"/>
              </w:rPr>
            </w:pPr>
            <w:r w:rsidRPr="002A5068">
              <w:rPr>
                <w:rFonts w:ascii="Times New Roman" w:hAnsi="Times New Roman" w:cs="Times New Roman"/>
                <w:sz w:val="18"/>
                <w:szCs w:val="18"/>
              </w:rPr>
              <w:t xml:space="preserve">Ministry of Health, Global Fund </w:t>
            </w:r>
            <w:r w:rsidR="0030474E" w:rsidRPr="002A5068">
              <w:rPr>
                <w:rFonts w:ascii="Times New Roman" w:hAnsi="Times New Roman" w:cs="Times New Roman"/>
                <w:sz w:val="18"/>
                <w:szCs w:val="18"/>
              </w:rPr>
              <w:t>a</w:t>
            </w:r>
            <w:r w:rsidRPr="002A5068">
              <w:rPr>
                <w:rFonts w:ascii="Times New Roman" w:hAnsi="Times New Roman" w:cs="Times New Roman"/>
                <w:sz w:val="18"/>
                <w:szCs w:val="18"/>
              </w:rPr>
              <w:t xml:space="preserve">nnual and </w:t>
            </w:r>
            <w:r w:rsidR="0030474E" w:rsidRPr="002A5068">
              <w:rPr>
                <w:rFonts w:ascii="Times New Roman" w:hAnsi="Times New Roman" w:cs="Times New Roman"/>
                <w:sz w:val="18"/>
                <w:szCs w:val="18"/>
              </w:rPr>
              <w:t>r</w:t>
            </w:r>
            <w:r w:rsidRPr="002A5068">
              <w:rPr>
                <w:rFonts w:ascii="Times New Roman" w:hAnsi="Times New Roman" w:cs="Times New Roman"/>
                <w:sz w:val="18"/>
                <w:szCs w:val="18"/>
              </w:rPr>
              <w:t xml:space="preserve">eview </w:t>
            </w:r>
            <w:r w:rsidR="0030474E" w:rsidRPr="002A5068">
              <w:rPr>
                <w:rFonts w:ascii="Times New Roman" w:hAnsi="Times New Roman" w:cs="Times New Roman"/>
                <w:sz w:val="18"/>
                <w:szCs w:val="18"/>
              </w:rPr>
              <w:t>r</w:t>
            </w:r>
            <w:r w:rsidRPr="002A5068">
              <w:rPr>
                <w:rFonts w:ascii="Times New Roman" w:hAnsi="Times New Roman" w:cs="Times New Roman"/>
                <w:sz w:val="18"/>
                <w:szCs w:val="18"/>
              </w:rPr>
              <w:t>eports (annual, UNDP)</w:t>
            </w:r>
          </w:p>
          <w:p w14:paraId="7CD790E2" w14:textId="77777777" w:rsidR="00183BE7" w:rsidRPr="002A5068" w:rsidRDefault="00183BE7" w:rsidP="00377E24">
            <w:pPr>
              <w:spacing w:after="12"/>
              <w:rPr>
                <w:rFonts w:ascii="Times New Roman" w:hAnsi="Times New Roman" w:cs="Times New Roman"/>
                <w:sz w:val="18"/>
                <w:szCs w:val="18"/>
              </w:rPr>
            </w:pPr>
          </w:p>
          <w:p w14:paraId="74DE3A70" w14:textId="77777777" w:rsidR="00183BE7" w:rsidRPr="002A5068" w:rsidRDefault="00183BE7" w:rsidP="00377E24">
            <w:pPr>
              <w:spacing w:after="12"/>
              <w:rPr>
                <w:rFonts w:ascii="Times New Roman" w:hAnsi="Times New Roman" w:cs="Times New Roman"/>
                <w:sz w:val="18"/>
                <w:szCs w:val="18"/>
              </w:rPr>
            </w:pPr>
          </w:p>
          <w:p w14:paraId="0C74E323" w14:textId="6849F789" w:rsidR="00183BE7" w:rsidRPr="002A5068" w:rsidRDefault="00183BE7" w:rsidP="00377E24">
            <w:pPr>
              <w:ind w:right="167"/>
              <w:rPr>
                <w:rFonts w:ascii="Times New Roman" w:hAnsi="Times New Roman" w:cs="Times New Roman"/>
                <w:sz w:val="18"/>
                <w:szCs w:val="18"/>
              </w:rPr>
            </w:pPr>
            <w:r w:rsidRPr="002A5068">
              <w:rPr>
                <w:rFonts w:ascii="Times New Roman" w:hAnsi="Times New Roman" w:cs="Times New Roman"/>
                <w:sz w:val="18"/>
                <w:szCs w:val="18"/>
              </w:rPr>
              <w:t xml:space="preserve">Ministry of Humanitarian Affairs and </w:t>
            </w:r>
            <w:r w:rsidR="0030474E" w:rsidRPr="002A5068">
              <w:rPr>
                <w:rFonts w:ascii="Times New Roman" w:hAnsi="Times New Roman" w:cs="Times New Roman"/>
                <w:sz w:val="18"/>
                <w:szCs w:val="18"/>
              </w:rPr>
              <w:t>d</w:t>
            </w:r>
            <w:r w:rsidRPr="002A5068">
              <w:rPr>
                <w:rFonts w:ascii="Times New Roman" w:hAnsi="Times New Roman" w:cs="Times New Roman"/>
                <w:sz w:val="18"/>
                <w:szCs w:val="18"/>
              </w:rPr>
              <w:t xml:space="preserve">isaster </w:t>
            </w:r>
            <w:r w:rsidR="0030474E" w:rsidRPr="002A5068">
              <w:rPr>
                <w:rFonts w:ascii="Times New Roman" w:hAnsi="Times New Roman" w:cs="Times New Roman"/>
                <w:sz w:val="18"/>
                <w:szCs w:val="18"/>
              </w:rPr>
              <w:t>m</w:t>
            </w:r>
            <w:r w:rsidRPr="002A5068">
              <w:rPr>
                <w:rFonts w:ascii="Times New Roman" w:hAnsi="Times New Roman" w:cs="Times New Roman"/>
                <w:sz w:val="18"/>
                <w:szCs w:val="18"/>
              </w:rPr>
              <w:t xml:space="preserve">anagement reports </w:t>
            </w:r>
          </w:p>
          <w:p w14:paraId="7B3A6059" w14:textId="77777777" w:rsidR="00183BE7" w:rsidRPr="002A5068" w:rsidRDefault="00183BE7" w:rsidP="00377E24">
            <w:pPr>
              <w:ind w:right="167"/>
              <w:rPr>
                <w:rFonts w:ascii="Times New Roman" w:hAnsi="Times New Roman" w:cs="Times New Roman"/>
                <w:sz w:val="18"/>
                <w:szCs w:val="18"/>
              </w:rPr>
            </w:pPr>
          </w:p>
          <w:p w14:paraId="098F1DBD" w14:textId="78AA2CDD" w:rsidR="00183BE7" w:rsidRPr="002A5068" w:rsidRDefault="00183BE7" w:rsidP="00377E24">
            <w:pPr>
              <w:ind w:right="167"/>
              <w:rPr>
                <w:rFonts w:ascii="Times New Roman" w:hAnsi="Times New Roman" w:cs="Times New Roman"/>
                <w:sz w:val="18"/>
                <w:szCs w:val="18"/>
              </w:rPr>
            </w:pPr>
            <w:r w:rsidRPr="002A5068">
              <w:rPr>
                <w:rFonts w:ascii="Times New Roman" w:hAnsi="Times New Roman" w:cs="Times New Roman"/>
                <w:sz w:val="18"/>
                <w:szCs w:val="18"/>
              </w:rPr>
              <w:t>Ministry of Labo</w:t>
            </w:r>
            <w:r w:rsidR="0030474E" w:rsidRPr="002A5068">
              <w:rPr>
                <w:rFonts w:ascii="Times New Roman" w:hAnsi="Times New Roman" w:cs="Times New Roman"/>
                <w:sz w:val="18"/>
                <w:szCs w:val="18"/>
              </w:rPr>
              <w:t>u</w:t>
            </w:r>
            <w:r w:rsidRPr="002A5068">
              <w:rPr>
                <w:rFonts w:ascii="Times New Roman" w:hAnsi="Times New Roman" w:cs="Times New Roman"/>
                <w:sz w:val="18"/>
                <w:szCs w:val="18"/>
              </w:rPr>
              <w:t>r reports</w:t>
            </w:r>
          </w:p>
          <w:p w14:paraId="5274823F" w14:textId="77777777" w:rsidR="00183BE7" w:rsidRPr="002A5068" w:rsidRDefault="00183BE7" w:rsidP="00377E24">
            <w:pPr>
              <w:ind w:right="167"/>
              <w:rPr>
                <w:rFonts w:ascii="Times New Roman" w:hAnsi="Times New Roman" w:cs="Times New Roman"/>
                <w:sz w:val="18"/>
                <w:szCs w:val="18"/>
              </w:rPr>
            </w:pPr>
          </w:p>
          <w:p w14:paraId="5AB599A1" w14:textId="77777777" w:rsidR="00183BE7" w:rsidRPr="002A5068" w:rsidRDefault="00183BE7" w:rsidP="00377E24">
            <w:pPr>
              <w:ind w:right="167"/>
              <w:rPr>
                <w:rFonts w:ascii="Times New Roman" w:hAnsi="Times New Roman" w:cs="Times New Roman"/>
                <w:sz w:val="18"/>
                <w:szCs w:val="18"/>
              </w:rPr>
            </w:pPr>
          </w:p>
          <w:p w14:paraId="03D3A12A" w14:textId="77777777" w:rsidR="00183BE7" w:rsidRPr="002A5068" w:rsidRDefault="00183BE7" w:rsidP="00377E24">
            <w:pPr>
              <w:ind w:right="167"/>
              <w:rPr>
                <w:rFonts w:ascii="Times New Roman" w:hAnsi="Times New Roman" w:cs="Times New Roman"/>
                <w:sz w:val="18"/>
                <w:szCs w:val="18"/>
              </w:rPr>
            </w:pPr>
            <w:r w:rsidRPr="002A5068">
              <w:rPr>
                <w:rFonts w:ascii="Times New Roman" w:hAnsi="Times New Roman" w:cs="Times New Roman"/>
                <w:sz w:val="18"/>
                <w:szCs w:val="18"/>
              </w:rPr>
              <w:t>Ministry of Environment reports</w:t>
            </w:r>
          </w:p>
          <w:p w14:paraId="5A189EFE" w14:textId="77777777" w:rsidR="00183BE7" w:rsidRPr="002A5068" w:rsidRDefault="00183BE7" w:rsidP="00391596">
            <w:pPr>
              <w:ind w:right="167"/>
              <w:rPr>
                <w:rFonts w:ascii="Times New Roman" w:hAnsi="Times New Roman" w:cs="Times New Roman"/>
                <w:sz w:val="18"/>
                <w:szCs w:val="18"/>
              </w:rPr>
            </w:pPr>
          </w:p>
        </w:tc>
        <w:tc>
          <w:tcPr>
            <w:tcW w:w="5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86C22" w14:textId="736CBE6E" w:rsidR="00183BE7" w:rsidRPr="002A5068" w:rsidRDefault="00183BE7" w:rsidP="00377E24">
            <w:pPr>
              <w:ind w:right="229"/>
              <w:rPr>
                <w:rFonts w:ascii="Times New Roman" w:hAnsi="Times New Roman" w:cs="Times New Roman"/>
                <w:sz w:val="18"/>
                <w:szCs w:val="18"/>
              </w:rPr>
            </w:pPr>
            <w:r w:rsidRPr="002A5068">
              <w:rPr>
                <w:rFonts w:ascii="Times New Roman" w:hAnsi="Times New Roman" w:cs="Times New Roman"/>
                <w:b/>
                <w:sz w:val="18"/>
                <w:szCs w:val="18"/>
              </w:rPr>
              <w:t>Output 2.1</w:t>
            </w:r>
            <w:r w:rsidR="0030474E" w:rsidRPr="002A5068">
              <w:rPr>
                <w:rFonts w:ascii="Times New Roman" w:hAnsi="Times New Roman" w:cs="Times New Roman"/>
                <w:b/>
                <w:sz w:val="18"/>
                <w:szCs w:val="18"/>
              </w:rPr>
              <w:t>.</w:t>
            </w:r>
            <w:r w:rsidRPr="002A5068">
              <w:rPr>
                <w:rFonts w:ascii="Times New Roman" w:hAnsi="Times New Roman" w:cs="Times New Roman"/>
                <w:sz w:val="18"/>
                <w:szCs w:val="18"/>
              </w:rPr>
              <w:t xml:space="preserve"> Increased access to emergency assistance, alternative livelihood and employment opportunities for families in conflict and disaster-prone communities. </w:t>
            </w:r>
          </w:p>
          <w:p w14:paraId="5B7949D6" w14:textId="77777777" w:rsidR="00183BE7" w:rsidRPr="002A5068" w:rsidRDefault="00183BE7" w:rsidP="00377E24">
            <w:pPr>
              <w:ind w:right="229"/>
              <w:rPr>
                <w:rFonts w:ascii="Times New Roman" w:hAnsi="Times New Roman" w:cs="Times New Roman"/>
                <w:b/>
                <w:sz w:val="18"/>
                <w:szCs w:val="18"/>
              </w:rPr>
            </w:pPr>
          </w:p>
          <w:p w14:paraId="57128FC0" w14:textId="2DD26D09" w:rsidR="00183BE7" w:rsidRPr="002A5068" w:rsidRDefault="00183BE7" w:rsidP="00377E24">
            <w:pPr>
              <w:ind w:right="229"/>
              <w:rPr>
                <w:rFonts w:ascii="Times New Roman" w:hAnsi="Times New Roman" w:cs="Times New Roman"/>
                <w:b/>
                <w:sz w:val="18"/>
                <w:szCs w:val="18"/>
              </w:rPr>
            </w:pPr>
            <w:r w:rsidRPr="002A5068">
              <w:rPr>
                <w:rFonts w:ascii="Times New Roman" w:hAnsi="Times New Roman" w:cs="Times New Roman"/>
                <w:b/>
                <w:sz w:val="18"/>
                <w:szCs w:val="18"/>
              </w:rPr>
              <w:t>Indicator 2.1.1</w:t>
            </w:r>
            <w:r w:rsidR="0030474E" w:rsidRPr="002A5068">
              <w:rPr>
                <w:rFonts w:ascii="Times New Roman" w:hAnsi="Times New Roman" w:cs="Times New Roman"/>
                <w:b/>
                <w:sz w:val="18"/>
                <w:szCs w:val="18"/>
              </w:rPr>
              <w:t>.</w:t>
            </w:r>
            <w:r w:rsidRPr="002A5068">
              <w:rPr>
                <w:rFonts w:ascii="Times New Roman" w:hAnsi="Times New Roman" w:cs="Times New Roman"/>
                <w:b/>
                <w:sz w:val="18"/>
                <w:szCs w:val="18"/>
              </w:rPr>
              <w:t xml:space="preserve"> </w:t>
            </w:r>
            <w:r w:rsidRPr="002A5068">
              <w:rPr>
                <w:rFonts w:ascii="Times New Roman" w:hAnsi="Times New Roman" w:cs="Times New Roman"/>
                <w:sz w:val="18"/>
                <w:szCs w:val="18"/>
              </w:rPr>
              <w:t>Number of people reached with life-saving and emergency support services disaggregated by sex.</w:t>
            </w:r>
          </w:p>
          <w:p w14:paraId="7E219FFF" w14:textId="77777777" w:rsidR="00183BE7" w:rsidRPr="002A5068" w:rsidRDefault="00183BE7" w:rsidP="00377E24">
            <w:pPr>
              <w:ind w:right="229"/>
              <w:rPr>
                <w:rFonts w:ascii="Times New Roman" w:hAnsi="Times New Roman" w:cs="Times New Roman"/>
                <w:b/>
                <w:sz w:val="18"/>
                <w:szCs w:val="18"/>
              </w:rPr>
            </w:pPr>
            <w:r w:rsidRPr="002A5068">
              <w:rPr>
                <w:rFonts w:ascii="Times New Roman" w:hAnsi="Times New Roman" w:cs="Times New Roman"/>
                <w:b/>
                <w:sz w:val="18"/>
                <w:szCs w:val="18"/>
              </w:rPr>
              <w:t xml:space="preserve">Baseline: </w:t>
            </w:r>
            <w:r w:rsidRPr="002A5068">
              <w:rPr>
                <w:rFonts w:ascii="Times New Roman" w:hAnsi="Times New Roman" w:cs="Times New Roman"/>
                <w:sz w:val="18"/>
                <w:szCs w:val="18"/>
              </w:rPr>
              <w:t>1.6 million (56% female)</w:t>
            </w:r>
          </w:p>
          <w:p w14:paraId="6B040560" w14:textId="77777777" w:rsidR="00183BE7" w:rsidRPr="002A5068" w:rsidRDefault="00183BE7" w:rsidP="00377E24">
            <w:pPr>
              <w:ind w:right="229"/>
              <w:rPr>
                <w:rFonts w:ascii="Times New Roman" w:hAnsi="Times New Roman" w:cs="Times New Roman"/>
                <w:sz w:val="18"/>
                <w:szCs w:val="18"/>
              </w:rPr>
            </w:pPr>
            <w:r w:rsidRPr="002A5068">
              <w:rPr>
                <w:rFonts w:ascii="Times New Roman" w:hAnsi="Times New Roman" w:cs="Times New Roman"/>
                <w:b/>
                <w:sz w:val="18"/>
                <w:szCs w:val="18"/>
              </w:rPr>
              <w:t xml:space="preserve">Target: </w:t>
            </w:r>
            <w:r w:rsidRPr="002A5068">
              <w:rPr>
                <w:rFonts w:ascii="Times New Roman" w:hAnsi="Times New Roman" w:cs="Times New Roman"/>
                <w:sz w:val="18"/>
                <w:szCs w:val="18"/>
              </w:rPr>
              <w:t>1.8 million (50% female)</w:t>
            </w:r>
          </w:p>
          <w:p w14:paraId="144F2AF0" w14:textId="77777777" w:rsidR="00183BE7" w:rsidRPr="002A5068" w:rsidRDefault="00183BE7" w:rsidP="00377E24">
            <w:pPr>
              <w:ind w:right="229"/>
              <w:rPr>
                <w:rFonts w:ascii="Times New Roman" w:hAnsi="Times New Roman" w:cs="Times New Roman"/>
                <w:sz w:val="18"/>
                <w:szCs w:val="18"/>
              </w:rPr>
            </w:pPr>
            <w:r w:rsidRPr="002A5068">
              <w:rPr>
                <w:rFonts w:ascii="Times New Roman" w:hAnsi="Times New Roman" w:cs="Times New Roman"/>
                <w:b/>
                <w:sz w:val="18"/>
                <w:szCs w:val="18"/>
              </w:rPr>
              <w:t xml:space="preserve">Data source: </w:t>
            </w:r>
            <w:r w:rsidRPr="002A5068">
              <w:rPr>
                <w:rFonts w:ascii="Times New Roman" w:hAnsi="Times New Roman" w:cs="Times New Roman"/>
                <w:sz w:val="18"/>
                <w:szCs w:val="18"/>
              </w:rPr>
              <w:t>Project reports, Independent evaluation</w:t>
            </w:r>
          </w:p>
          <w:p w14:paraId="3C2F04CA" w14:textId="77777777" w:rsidR="00183BE7" w:rsidRPr="002A5068" w:rsidRDefault="00183BE7" w:rsidP="00377E24">
            <w:pPr>
              <w:ind w:right="229"/>
              <w:rPr>
                <w:rFonts w:ascii="Times New Roman" w:hAnsi="Times New Roman" w:cs="Times New Roman"/>
                <w:sz w:val="18"/>
                <w:szCs w:val="18"/>
              </w:rPr>
            </w:pPr>
            <w:r w:rsidRPr="002A5068">
              <w:rPr>
                <w:rFonts w:ascii="Times New Roman" w:hAnsi="Times New Roman" w:cs="Times New Roman"/>
                <w:b/>
                <w:sz w:val="18"/>
                <w:szCs w:val="18"/>
              </w:rPr>
              <w:t xml:space="preserve">Frequency: </w:t>
            </w:r>
            <w:r w:rsidRPr="002A5068">
              <w:rPr>
                <w:rFonts w:ascii="Times New Roman" w:hAnsi="Times New Roman" w:cs="Times New Roman"/>
                <w:sz w:val="18"/>
                <w:szCs w:val="18"/>
              </w:rPr>
              <w:t>Annual</w:t>
            </w:r>
          </w:p>
          <w:p w14:paraId="72D79DC9" w14:textId="77777777" w:rsidR="00183BE7" w:rsidRPr="002A5068" w:rsidRDefault="00183BE7" w:rsidP="00377E24">
            <w:pPr>
              <w:ind w:right="229"/>
              <w:rPr>
                <w:rFonts w:ascii="Times New Roman" w:hAnsi="Times New Roman" w:cs="Times New Roman"/>
                <w:b/>
                <w:sz w:val="18"/>
                <w:szCs w:val="18"/>
              </w:rPr>
            </w:pPr>
          </w:p>
          <w:p w14:paraId="54CD1125" w14:textId="33882248" w:rsidR="00183BE7" w:rsidRPr="002A5068" w:rsidRDefault="00183BE7" w:rsidP="00377E24">
            <w:pPr>
              <w:ind w:right="229"/>
              <w:rPr>
                <w:rFonts w:ascii="Times New Roman" w:hAnsi="Times New Roman" w:cs="Times New Roman"/>
                <w:sz w:val="18"/>
                <w:szCs w:val="18"/>
              </w:rPr>
            </w:pPr>
            <w:r w:rsidRPr="002A5068">
              <w:rPr>
                <w:rFonts w:ascii="Times New Roman" w:hAnsi="Times New Roman" w:cs="Times New Roman"/>
                <w:b/>
                <w:sz w:val="18"/>
                <w:szCs w:val="18"/>
              </w:rPr>
              <w:t>Indicator 2.1.2</w:t>
            </w:r>
            <w:r w:rsidR="0030474E" w:rsidRPr="002A5068">
              <w:rPr>
                <w:rFonts w:ascii="Times New Roman" w:hAnsi="Times New Roman" w:cs="Times New Roman"/>
                <w:b/>
                <w:sz w:val="18"/>
                <w:szCs w:val="18"/>
              </w:rPr>
              <w:t>.</w:t>
            </w:r>
            <w:r w:rsidRPr="002A5068">
              <w:rPr>
                <w:rFonts w:ascii="Times New Roman" w:hAnsi="Times New Roman" w:cs="Times New Roman"/>
                <w:sz w:val="18"/>
                <w:szCs w:val="18"/>
              </w:rPr>
              <w:t xml:space="preserve"> Number of people reached with entrepreneurship and skills development, emergency employment and business support services</w:t>
            </w:r>
            <w:r w:rsidR="0030474E" w:rsidRPr="002A5068">
              <w:rPr>
                <w:rFonts w:ascii="Times New Roman" w:hAnsi="Times New Roman" w:cs="Times New Roman"/>
                <w:sz w:val="18"/>
                <w:szCs w:val="18"/>
              </w:rPr>
              <w:t>.</w:t>
            </w:r>
            <w:r w:rsidRPr="002A5068">
              <w:rPr>
                <w:rFonts w:ascii="Times New Roman" w:hAnsi="Times New Roman" w:cs="Times New Roman"/>
                <w:sz w:val="18"/>
                <w:szCs w:val="18"/>
              </w:rPr>
              <w:t xml:space="preserve"> </w:t>
            </w:r>
          </w:p>
          <w:p w14:paraId="5A178C49" w14:textId="77777777" w:rsidR="00183BE7" w:rsidRPr="002A5068" w:rsidRDefault="00183BE7" w:rsidP="00377E24">
            <w:pPr>
              <w:ind w:right="229"/>
              <w:rPr>
                <w:rFonts w:ascii="Times New Roman" w:hAnsi="Times New Roman" w:cs="Times New Roman"/>
                <w:sz w:val="18"/>
                <w:szCs w:val="18"/>
              </w:rPr>
            </w:pPr>
            <w:r w:rsidRPr="002A5068">
              <w:rPr>
                <w:rFonts w:ascii="Times New Roman" w:hAnsi="Times New Roman" w:cs="Times New Roman"/>
                <w:b/>
                <w:sz w:val="18"/>
                <w:szCs w:val="18"/>
              </w:rPr>
              <w:t xml:space="preserve">Baseline: </w:t>
            </w:r>
            <w:r w:rsidRPr="002A5068">
              <w:rPr>
                <w:rFonts w:ascii="Times New Roman" w:hAnsi="Times New Roman" w:cs="Times New Roman"/>
                <w:sz w:val="18"/>
                <w:szCs w:val="18"/>
              </w:rPr>
              <w:t>200 (60% female)</w:t>
            </w:r>
          </w:p>
          <w:p w14:paraId="546DB02C" w14:textId="77777777" w:rsidR="00183BE7" w:rsidRPr="002A5068" w:rsidRDefault="00183BE7" w:rsidP="00377E24">
            <w:pPr>
              <w:ind w:right="229"/>
              <w:rPr>
                <w:rFonts w:ascii="Times New Roman" w:hAnsi="Times New Roman" w:cs="Times New Roman"/>
                <w:sz w:val="18"/>
                <w:szCs w:val="18"/>
              </w:rPr>
            </w:pPr>
            <w:r w:rsidRPr="002A5068">
              <w:rPr>
                <w:rFonts w:ascii="Times New Roman" w:hAnsi="Times New Roman" w:cs="Times New Roman"/>
                <w:b/>
                <w:sz w:val="18"/>
                <w:szCs w:val="18"/>
              </w:rPr>
              <w:t>Target</w:t>
            </w:r>
            <w:r w:rsidRPr="002A5068">
              <w:rPr>
                <w:rFonts w:ascii="Times New Roman" w:hAnsi="Times New Roman" w:cs="Times New Roman"/>
                <w:sz w:val="18"/>
                <w:szCs w:val="18"/>
              </w:rPr>
              <w:t>:</w:t>
            </w:r>
            <w:r w:rsidRPr="002A5068">
              <w:rPr>
                <w:rFonts w:ascii="Times New Roman" w:hAnsi="Times New Roman" w:cs="Times New Roman"/>
                <w:b/>
                <w:sz w:val="18"/>
                <w:szCs w:val="18"/>
              </w:rPr>
              <w:t xml:space="preserve"> </w:t>
            </w:r>
            <w:r w:rsidRPr="002A5068">
              <w:rPr>
                <w:rFonts w:ascii="Times New Roman" w:hAnsi="Times New Roman" w:cs="Times New Roman"/>
                <w:sz w:val="18"/>
                <w:szCs w:val="18"/>
              </w:rPr>
              <w:t>1,200 (60% female)</w:t>
            </w:r>
          </w:p>
          <w:p w14:paraId="0F0C7828" w14:textId="77777777" w:rsidR="00183BE7" w:rsidRPr="002A5068" w:rsidRDefault="00183BE7" w:rsidP="00377E24">
            <w:pPr>
              <w:ind w:left="24" w:right="229"/>
              <w:jc w:val="both"/>
              <w:rPr>
                <w:rFonts w:ascii="Times New Roman" w:hAnsi="Times New Roman" w:cs="Times New Roman"/>
                <w:b/>
                <w:sz w:val="18"/>
                <w:szCs w:val="18"/>
              </w:rPr>
            </w:pPr>
            <w:r w:rsidRPr="002A5068">
              <w:rPr>
                <w:rFonts w:ascii="Times New Roman" w:hAnsi="Times New Roman" w:cs="Times New Roman"/>
                <w:b/>
                <w:sz w:val="18"/>
                <w:szCs w:val="18"/>
              </w:rPr>
              <w:t xml:space="preserve">Data source: </w:t>
            </w:r>
            <w:r w:rsidRPr="002A5068">
              <w:rPr>
                <w:rFonts w:ascii="Times New Roman" w:hAnsi="Times New Roman" w:cs="Times New Roman"/>
                <w:sz w:val="18"/>
                <w:szCs w:val="18"/>
              </w:rPr>
              <w:t>Project reports, independent evaluations</w:t>
            </w:r>
          </w:p>
          <w:p w14:paraId="6C6A46C8" w14:textId="0897F1B6" w:rsidR="00183BE7" w:rsidRPr="002A5068" w:rsidRDefault="00183BE7" w:rsidP="00377E24">
            <w:pPr>
              <w:ind w:right="229"/>
              <w:rPr>
                <w:rFonts w:ascii="Times New Roman" w:hAnsi="Times New Roman" w:cs="Times New Roman"/>
                <w:sz w:val="18"/>
                <w:szCs w:val="18"/>
              </w:rPr>
            </w:pPr>
            <w:r w:rsidRPr="002A5068">
              <w:rPr>
                <w:rFonts w:ascii="Times New Roman" w:hAnsi="Times New Roman" w:cs="Times New Roman"/>
                <w:b/>
                <w:sz w:val="18"/>
                <w:szCs w:val="18"/>
              </w:rPr>
              <w:t>Frequency</w:t>
            </w:r>
            <w:r w:rsidRPr="002A5068">
              <w:rPr>
                <w:rFonts w:ascii="Times New Roman" w:hAnsi="Times New Roman" w:cs="Times New Roman"/>
                <w:sz w:val="18"/>
                <w:szCs w:val="18"/>
              </w:rPr>
              <w:t xml:space="preserve">: Annual, </w:t>
            </w:r>
            <w:r w:rsidR="0030474E" w:rsidRPr="002A5068">
              <w:rPr>
                <w:rFonts w:ascii="Times New Roman" w:hAnsi="Times New Roman" w:cs="Times New Roman"/>
                <w:sz w:val="18"/>
                <w:szCs w:val="18"/>
              </w:rPr>
              <w:t>p</w:t>
            </w:r>
            <w:r w:rsidRPr="002A5068">
              <w:rPr>
                <w:rFonts w:ascii="Times New Roman" w:hAnsi="Times New Roman" w:cs="Times New Roman"/>
                <w:sz w:val="18"/>
                <w:szCs w:val="18"/>
              </w:rPr>
              <w:t>eriodic</w:t>
            </w:r>
          </w:p>
          <w:p w14:paraId="442A65F6" w14:textId="77777777" w:rsidR="00183BE7" w:rsidRPr="002A5068" w:rsidRDefault="00183BE7" w:rsidP="00377E24">
            <w:pPr>
              <w:ind w:right="229"/>
              <w:rPr>
                <w:rFonts w:ascii="Times New Roman" w:hAnsi="Times New Roman" w:cs="Times New Roman"/>
                <w:sz w:val="18"/>
                <w:szCs w:val="18"/>
              </w:rPr>
            </w:pPr>
          </w:p>
          <w:p w14:paraId="29965939" w14:textId="48208685" w:rsidR="00183BE7" w:rsidRPr="002A5068" w:rsidRDefault="00183BE7" w:rsidP="00377E24">
            <w:pPr>
              <w:spacing w:after="7"/>
              <w:ind w:right="110"/>
              <w:rPr>
                <w:rFonts w:ascii="Times New Roman" w:hAnsi="Times New Roman" w:cs="Times New Roman"/>
                <w:sz w:val="18"/>
                <w:szCs w:val="18"/>
              </w:rPr>
            </w:pPr>
            <w:r w:rsidRPr="002A5068">
              <w:rPr>
                <w:rFonts w:ascii="Times New Roman" w:hAnsi="Times New Roman" w:cs="Times New Roman"/>
                <w:b/>
                <w:bCs/>
                <w:sz w:val="18"/>
                <w:szCs w:val="18"/>
              </w:rPr>
              <w:t>Indicator 2.1.3</w:t>
            </w:r>
            <w:r w:rsidR="0030474E" w:rsidRPr="002A5068">
              <w:rPr>
                <w:rFonts w:ascii="Times New Roman" w:hAnsi="Times New Roman" w:cs="Times New Roman"/>
                <w:b/>
                <w:bCs/>
                <w:sz w:val="18"/>
                <w:szCs w:val="18"/>
              </w:rPr>
              <w:t>.</w:t>
            </w:r>
            <w:r w:rsidRPr="002A5068">
              <w:rPr>
                <w:rFonts w:ascii="Times New Roman" w:hAnsi="Times New Roman" w:cs="Times New Roman"/>
                <w:b/>
                <w:bCs/>
                <w:sz w:val="18"/>
                <w:szCs w:val="18"/>
              </w:rPr>
              <w:t xml:space="preserve"> </w:t>
            </w:r>
            <w:r w:rsidRPr="002A5068">
              <w:rPr>
                <w:rFonts w:ascii="Times New Roman" w:hAnsi="Times New Roman" w:cs="Times New Roman"/>
                <w:sz w:val="18"/>
                <w:szCs w:val="18"/>
              </w:rPr>
              <w:t>Number of people benefitting from jobs and improved livelihoods in crisis or post-crisis settings, disaggregated by sex</w:t>
            </w:r>
            <w:r w:rsidR="0030474E" w:rsidRPr="002A5068">
              <w:rPr>
                <w:rFonts w:ascii="Times New Roman" w:hAnsi="Times New Roman" w:cs="Times New Roman"/>
                <w:sz w:val="18"/>
                <w:szCs w:val="18"/>
              </w:rPr>
              <w:t>.</w:t>
            </w:r>
          </w:p>
          <w:p w14:paraId="07E9A4CB" w14:textId="77777777" w:rsidR="00183BE7" w:rsidRPr="002A5068" w:rsidRDefault="00183BE7" w:rsidP="00377E24">
            <w:pPr>
              <w:spacing w:after="7"/>
              <w:ind w:right="110"/>
              <w:rPr>
                <w:rFonts w:ascii="Times New Roman" w:hAnsi="Times New Roman" w:cs="Times New Roman"/>
                <w:sz w:val="18"/>
                <w:szCs w:val="18"/>
              </w:rPr>
            </w:pPr>
            <w:r w:rsidRPr="002A5068">
              <w:rPr>
                <w:rFonts w:ascii="Times New Roman" w:hAnsi="Times New Roman" w:cs="Times New Roman"/>
                <w:b/>
                <w:bCs/>
                <w:sz w:val="18"/>
                <w:szCs w:val="18"/>
              </w:rPr>
              <w:t>Baseline</w:t>
            </w:r>
            <w:r w:rsidRPr="002A5068">
              <w:rPr>
                <w:rFonts w:ascii="Times New Roman" w:hAnsi="Times New Roman" w:cs="Times New Roman"/>
                <w:bCs/>
                <w:sz w:val="18"/>
                <w:szCs w:val="18"/>
              </w:rPr>
              <w:t>:</w:t>
            </w:r>
            <w:r w:rsidRPr="002A5068">
              <w:rPr>
                <w:rFonts w:ascii="Times New Roman" w:hAnsi="Times New Roman" w:cs="Times New Roman"/>
                <w:sz w:val="18"/>
                <w:szCs w:val="18"/>
              </w:rPr>
              <w:t xml:space="preserve"> 1,031 (81% female)</w:t>
            </w:r>
          </w:p>
          <w:p w14:paraId="2963C55B" w14:textId="77777777" w:rsidR="00183BE7" w:rsidRPr="002A5068" w:rsidRDefault="00183BE7" w:rsidP="00377E24">
            <w:pPr>
              <w:spacing w:after="7"/>
              <w:ind w:right="110"/>
              <w:rPr>
                <w:rFonts w:ascii="Times New Roman" w:hAnsi="Times New Roman" w:cs="Times New Roman"/>
                <w:sz w:val="18"/>
                <w:szCs w:val="18"/>
              </w:rPr>
            </w:pPr>
            <w:r w:rsidRPr="002A5068">
              <w:rPr>
                <w:rFonts w:ascii="Times New Roman" w:hAnsi="Times New Roman" w:cs="Times New Roman"/>
                <w:b/>
                <w:sz w:val="18"/>
                <w:szCs w:val="18"/>
              </w:rPr>
              <w:t>Target</w:t>
            </w:r>
            <w:r w:rsidRPr="002A5068">
              <w:rPr>
                <w:rFonts w:ascii="Times New Roman" w:hAnsi="Times New Roman" w:cs="Times New Roman"/>
                <w:sz w:val="18"/>
                <w:szCs w:val="18"/>
              </w:rPr>
              <w:t>: 5,000 (60% female)</w:t>
            </w:r>
          </w:p>
          <w:p w14:paraId="73970414" w14:textId="77777777" w:rsidR="00183BE7" w:rsidRPr="002A5068" w:rsidRDefault="00183BE7" w:rsidP="00377E24">
            <w:pPr>
              <w:ind w:left="24" w:right="229"/>
              <w:jc w:val="both"/>
              <w:rPr>
                <w:rFonts w:ascii="Times New Roman" w:hAnsi="Times New Roman" w:cs="Times New Roman"/>
                <w:b/>
                <w:sz w:val="18"/>
                <w:szCs w:val="18"/>
              </w:rPr>
            </w:pPr>
            <w:r w:rsidRPr="002A5068">
              <w:rPr>
                <w:rFonts w:ascii="Times New Roman" w:hAnsi="Times New Roman" w:cs="Times New Roman"/>
                <w:b/>
                <w:sz w:val="18"/>
                <w:szCs w:val="18"/>
              </w:rPr>
              <w:t xml:space="preserve">Data source: </w:t>
            </w:r>
            <w:r w:rsidRPr="002A5068">
              <w:rPr>
                <w:rFonts w:ascii="Times New Roman" w:hAnsi="Times New Roman" w:cs="Times New Roman"/>
                <w:sz w:val="18"/>
                <w:szCs w:val="18"/>
              </w:rPr>
              <w:t>Project reports, independent evaluations</w:t>
            </w:r>
          </w:p>
          <w:p w14:paraId="7A8075B2" w14:textId="22D56706" w:rsidR="00183BE7" w:rsidRPr="002A5068" w:rsidRDefault="00183BE7" w:rsidP="00377E24">
            <w:pPr>
              <w:ind w:right="229"/>
              <w:rPr>
                <w:rFonts w:ascii="Times New Roman" w:hAnsi="Times New Roman" w:cs="Times New Roman"/>
                <w:sz w:val="18"/>
                <w:szCs w:val="18"/>
              </w:rPr>
            </w:pPr>
            <w:r w:rsidRPr="002A5068">
              <w:rPr>
                <w:rFonts w:ascii="Times New Roman" w:hAnsi="Times New Roman" w:cs="Times New Roman"/>
                <w:b/>
                <w:sz w:val="18"/>
                <w:szCs w:val="18"/>
              </w:rPr>
              <w:t>Frequency</w:t>
            </w:r>
            <w:r w:rsidRPr="002A5068">
              <w:rPr>
                <w:rFonts w:ascii="Times New Roman" w:hAnsi="Times New Roman" w:cs="Times New Roman"/>
                <w:sz w:val="18"/>
                <w:szCs w:val="18"/>
              </w:rPr>
              <w:t xml:space="preserve">: Annual, </w:t>
            </w:r>
            <w:r w:rsidR="0030474E" w:rsidRPr="002A5068">
              <w:rPr>
                <w:rFonts w:ascii="Times New Roman" w:hAnsi="Times New Roman" w:cs="Times New Roman"/>
                <w:sz w:val="18"/>
                <w:szCs w:val="18"/>
              </w:rPr>
              <w:t>p</w:t>
            </w:r>
            <w:r w:rsidRPr="002A5068">
              <w:rPr>
                <w:rFonts w:ascii="Times New Roman" w:hAnsi="Times New Roman" w:cs="Times New Roman"/>
                <w:sz w:val="18"/>
                <w:szCs w:val="18"/>
              </w:rPr>
              <w:t>eriodic</w:t>
            </w:r>
          </w:p>
          <w:p w14:paraId="0384732C" w14:textId="77777777" w:rsidR="0030474E" w:rsidRPr="002A5068" w:rsidRDefault="0030474E" w:rsidP="00377E24">
            <w:pPr>
              <w:ind w:right="229"/>
              <w:rPr>
                <w:rFonts w:ascii="Times New Roman" w:hAnsi="Times New Roman" w:cs="Times New Roman"/>
                <w:sz w:val="18"/>
                <w:szCs w:val="18"/>
              </w:rPr>
            </w:pPr>
          </w:p>
        </w:tc>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314DD" w14:textId="77777777" w:rsidR="00183BE7" w:rsidRPr="002A5068" w:rsidRDefault="00183BE7" w:rsidP="00377E24">
            <w:pPr>
              <w:ind w:left="128" w:right="167"/>
              <w:rPr>
                <w:rFonts w:ascii="Times New Roman" w:hAnsi="Times New Roman" w:cs="Times New Roman"/>
                <w:sz w:val="18"/>
                <w:szCs w:val="18"/>
              </w:rPr>
            </w:pPr>
            <w:r w:rsidRPr="002A5068">
              <w:rPr>
                <w:rFonts w:ascii="Times New Roman" w:hAnsi="Times New Roman" w:cs="Times New Roman"/>
                <w:sz w:val="18"/>
                <w:szCs w:val="18"/>
              </w:rPr>
              <w:t xml:space="preserve">Ministry of Humanitarian Affairs, </w:t>
            </w:r>
          </w:p>
          <w:p w14:paraId="1DB4CE65" w14:textId="5926ECCA" w:rsidR="00183BE7" w:rsidRPr="002A5068" w:rsidRDefault="00183BE7" w:rsidP="00391596">
            <w:pPr>
              <w:ind w:left="128" w:right="167"/>
              <w:rPr>
                <w:rFonts w:ascii="Times New Roman" w:hAnsi="Times New Roman" w:cs="Times New Roman"/>
                <w:sz w:val="18"/>
                <w:szCs w:val="18"/>
              </w:rPr>
            </w:pPr>
            <w:r w:rsidRPr="002A5068">
              <w:rPr>
                <w:rFonts w:ascii="Times New Roman" w:hAnsi="Times New Roman" w:cs="Times New Roman"/>
                <w:sz w:val="18"/>
                <w:szCs w:val="18"/>
              </w:rPr>
              <w:t>S</w:t>
            </w:r>
            <w:r w:rsidR="00011A49" w:rsidRPr="002A5068">
              <w:rPr>
                <w:rFonts w:ascii="Times New Roman" w:hAnsi="Times New Roman" w:cs="Times New Roman"/>
                <w:sz w:val="18"/>
                <w:szCs w:val="18"/>
              </w:rPr>
              <w:t>outh Sudan Humanitarian Fund (S</w:t>
            </w:r>
            <w:r w:rsidRPr="002A5068">
              <w:rPr>
                <w:rFonts w:ascii="Times New Roman" w:hAnsi="Times New Roman" w:cs="Times New Roman"/>
                <w:sz w:val="18"/>
                <w:szCs w:val="18"/>
              </w:rPr>
              <w:t>SHF</w:t>
            </w:r>
            <w:r w:rsidR="00011A49" w:rsidRPr="002A5068">
              <w:rPr>
                <w:rFonts w:ascii="Times New Roman" w:hAnsi="Times New Roman" w:cs="Times New Roman"/>
                <w:sz w:val="18"/>
                <w:szCs w:val="18"/>
              </w:rPr>
              <w:t>)</w:t>
            </w:r>
            <w:r w:rsidRPr="002A5068">
              <w:rPr>
                <w:rFonts w:ascii="Times New Roman" w:hAnsi="Times New Roman" w:cs="Times New Roman"/>
                <w:sz w:val="18"/>
                <w:szCs w:val="18"/>
              </w:rPr>
              <w:t xml:space="preserve"> board, OCHA</w:t>
            </w:r>
          </w:p>
        </w:tc>
        <w:tc>
          <w:tcPr>
            <w:tcW w:w="1751" w:type="dxa"/>
            <w:vMerge w:val="restart"/>
            <w:tcBorders>
              <w:top w:val="single" w:sz="4" w:space="0" w:color="000000" w:themeColor="text1"/>
              <w:left w:val="single" w:sz="4" w:space="0" w:color="000000" w:themeColor="text1"/>
              <w:right w:val="single" w:sz="4" w:space="0" w:color="000000" w:themeColor="text1"/>
            </w:tcBorders>
          </w:tcPr>
          <w:p w14:paraId="7C18B89F" w14:textId="77777777" w:rsidR="00183BE7" w:rsidRPr="002A5068" w:rsidRDefault="00183BE7" w:rsidP="00377E24">
            <w:pPr>
              <w:spacing w:after="16"/>
              <w:rPr>
                <w:rFonts w:ascii="Times New Roman" w:hAnsi="Times New Roman" w:cs="Times New Roman"/>
                <w:sz w:val="18"/>
                <w:szCs w:val="18"/>
              </w:rPr>
            </w:pPr>
            <w:r w:rsidRPr="002A5068">
              <w:rPr>
                <w:rFonts w:ascii="Times New Roman" w:hAnsi="Times New Roman" w:cs="Times New Roman"/>
                <w:b/>
                <w:sz w:val="18"/>
                <w:szCs w:val="18"/>
              </w:rPr>
              <w:t>Regular:</w:t>
            </w:r>
            <w:r w:rsidRPr="002A5068">
              <w:rPr>
                <w:rFonts w:ascii="Times New Roman" w:hAnsi="Times New Roman" w:cs="Times New Roman"/>
                <w:sz w:val="18"/>
                <w:szCs w:val="18"/>
              </w:rPr>
              <w:t xml:space="preserve"> 4,945,500  </w:t>
            </w:r>
          </w:p>
          <w:p w14:paraId="65DFF794" w14:textId="35DC2826" w:rsidR="00183BE7" w:rsidRPr="002A5068" w:rsidRDefault="00183BE7" w:rsidP="00377E24">
            <w:pPr>
              <w:spacing w:after="15"/>
              <w:ind w:left="96"/>
              <w:rPr>
                <w:rFonts w:ascii="Times New Roman" w:hAnsi="Times New Roman" w:cs="Times New Roman"/>
                <w:sz w:val="18"/>
                <w:szCs w:val="18"/>
              </w:rPr>
            </w:pPr>
          </w:p>
          <w:p w14:paraId="3F3AC291" w14:textId="35666FCF" w:rsidR="00183BE7" w:rsidRPr="00124DA5" w:rsidRDefault="00183BE7" w:rsidP="00377E24">
            <w:pPr>
              <w:spacing w:after="13"/>
              <w:rPr>
                <w:rFonts w:ascii="Times New Roman" w:hAnsi="Times New Roman" w:cs="Times New Roman"/>
                <w:sz w:val="18"/>
                <w:szCs w:val="18"/>
              </w:rPr>
            </w:pPr>
            <w:r w:rsidRPr="002A5068">
              <w:rPr>
                <w:rFonts w:ascii="Times New Roman" w:hAnsi="Times New Roman" w:cs="Times New Roman"/>
                <w:b/>
                <w:sz w:val="18"/>
                <w:szCs w:val="18"/>
              </w:rPr>
              <w:t>Other:</w:t>
            </w:r>
            <w:r w:rsidRPr="002A5068">
              <w:rPr>
                <w:rFonts w:ascii="Times New Roman" w:hAnsi="Times New Roman" w:cs="Times New Roman"/>
                <w:sz w:val="18"/>
                <w:szCs w:val="18"/>
              </w:rPr>
              <w:t xml:space="preserve"> 169,391,000</w:t>
            </w:r>
          </w:p>
          <w:p w14:paraId="4C470BAB" w14:textId="77777777" w:rsidR="00183BE7" w:rsidRPr="002A5068" w:rsidRDefault="00183BE7" w:rsidP="00377E24">
            <w:pPr>
              <w:rPr>
                <w:rFonts w:ascii="Times New Roman" w:hAnsi="Times New Roman" w:cs="Times New Roman"/>
                <w:sz w:val="18"/>
                <w:szCs w:val="18"/>
              </w:rPr>
            </w:pPr>
          </w:p>
        </w:tc>
      </w:tr>
      <w:tr w:rsidR="00183BE7" w:rsidRPr="002A5068" w14:paraId="2491B277" w14:textId="77777777" w:rsidTr="00377E24">
        <w:tc>
          <w:tcPr>
            <w:tcW w:w="2807" w:type="dxa"/>
            <w:vMerge/>
            <w:tcBorders>
              <w:left w:val="single" w:sz="4" w:space="0" w:color="000000" w:themeColor="text1"/>
              <w:right w:val="single" w:sz="4" w:space="0" w:color="000000" w:themeColor="text1"/>
            </w:tcBorders>
          </w:tcPr>
          <w:p w14:paraId="395EAEAC" w14:textId="77777777" w:rsidR="00183BE7" w:rsidRPr="002A5068" w:rsidRDefault="00183BE7" w:rsidP="00377E24">
            <w:pPr>
              <w:spacing w:after="7"/>
              <w:ind w:left="142" w:right="110"/>
              <w:jc w:val="both"/>
              <w:rPr>
                <w:rFonts w:ascii="Times New Roman" w:hAnsi="Times New Roman" w:cs="Times New Roman"/>
                <w:b/>
                <w:sz w:val="18"/>
                <w:szCs w:val="18"/>
              </w:rPr>
            </w:pPr>
          </w:p>
        </w:tc>
        <w:tc>
          <w:tcPr>
            <w:tcW w:w="1776" w:type="dxa"/>
            <w:vMerge/>
            <w:tcBorders>
              <w:left w:val="single" w:sz="4" w:space="0" w:color="000000" w:themeColor="text1"/>
              <w:right w:val="single" w:sz="4" w:space="0" w:color="000000" w:themeColor="text1"/>
            </w:tcBorders>
          </w:tcPr>
          <w:p w14:paraId="005FBC7A" w14:textId="77777777" w:rsidR="00183BE7" w:rsidRPr="002A5068" w:rsidRDefault="00183BE7" w:rsidP="00377E24">
            <w:pPr>
              <w:spacing w:after="12"/>
              <w:jc w:val="both"/>
              <w:rPr>
                <w:rFonts w:ascii="Times New Roman" w:hAnsi="Times New Roman" w:cs="Times New Roman"/>
                <w:sz w:val="18"/>
                <w:szCs w:val="18"/>
              </w:rPr>
            </w:pPr>
          </w:p>
        </w:tc>
        <w:tc>
          <w:tcPr>
            <w:tcW w:w="5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E4C70" w14:textId="33F24C5E" w:rsidR="00183BE7" w:rsidRPr="002A5068" w:rsidRDefault="00183BE7" w:rsidP="00377E24">
            <w:pPr>
              <w:ind w:right="229"/>
              <w:rPr>
                <w:rFonts w:ascii="Times New Roman" w:hAnsi="Times New Roman" w:cs="Times New Roman"/>
                <w:sz w:val="18"/>
                <w:szCs w:val="18"/>
              </w:rPr>
            </w:pPr>
            <w:r w:rsidRPr="002A5068">
              <w:rPr>
                <w:rFonts w:ascii="Times New Roman" w:hAnsi="Times New Roman" w:cs="Times New Roman"/>
                <w:b/>
                <w:sz w:val="18"/>
                <w:szCs w:val="18"/>
              </w:rPr>
              <w:t>Output 2.2</w:t>
            </w:r>
            <w:r w:rsidR="000A320F" w:rsidRPr="002A5068">
              <w:rPr>
                <w:rFonts w:ascii="Times New Roman" w:hAnsi="Times New Roman" w:cs="Times New Roman"/>
                <w:b/>
                <w:sz w:val="18"/>
                <w:szCs w:val="18"/>
              </w:rPr>
              <w:t>.</w:t>
            </w:r>
            <w:r w:rsidRPr="002A5068">
              <w:rPr>
                <w:rFonts w:ascii="Times New Roman" w:hAnsi="Times New Roman" w:cs="Times New Roman"/>
                <w:sz w:val="18"/>
                <w:szCs w:val="18"/>
              </w:rPr>
              <w:t xml:space="preserve"> National and subnational institutions have capacities to formulate and implement inclusive, sustainable energy and climate change adaptation solutions</w:t>
            </w:r>
            <w:r w:rsidR="000A320F" w:rsidRPr="002A5068">
              <w:rPr>
                <w:rFonts w:ascii="Times New Roman" w:hAnsi="Times New Roman" w:cs="Times New Roman"/>
                <w:sz w:val="18"/>
                <w:szCs w:val="18"/>
              </w:rPr>
              <w:t>.</w:t>
            </w:r>
            <w:r w:rsidRPr="002A5068">
              <w:rPr>
                <w:rFonts w:ascii="Times New Roman" w:hAnsi="Times New Roman" w:cs="Times New Roman"/>
                <w:sz w:val="18"/>
                <w:szCs w:val="18"/>
              </w:rPr>
              <w:t xml:space="preserve"> </w:t>
            </w:r>
          </w:p>
          <w:p w14:paraId="4C5766C4" w14:textId="77777777" w:rsidR="00183BE7" w:rsidRPr="002A5068" w:rsidRDefault="00183BE7" w:rsidP="00377E24">
            <w:pPr>
              <w:ind w:right="229"/>
              <w:rPr>
                <w:rFonts w:ascii="Times New Roman" w:hAnsi="Times New Roman" w:cs="Times New Roman"/>
                <w:sz w:val="18"/>
                <w:szCs w:val="18"/>
              </w:rPr>
            </w:pPr>
          </w:p>
          <w:p w14:paraId="500E3BA7" w14:textId="3F36CF4E" w:rsidR="00183BE7" w:rsidRPr="002A5068" w:rsidRDefault="00183BE7" w:rsidP="00377E24">
            <w:pPr>
              <w:ind w:right="229"/>
              <w:rPr>
                <w:rFonts w:ascii="Times New Roman" w:hAnsi="Times New Roman" w:cs="Times New Roman"/>
                <w:color w:val="000000" w:themeColor="text1"/>
                <w:sz w:val="18"/>
                <w:szCs w:val="18"/>
              </w:rPr>
            </w:pPr>
            <w:r w:rsidRPr="002A5068">
              <w:rPr>
                <w:rFonts w:ascii="Times New Roman" w:hAnsi="Times New Roman" w:cs="Times New Roman"/>
                <w:b/>
                <w:sz w:val="18"/>
                <w:szCs w:val="18"/>
              </w:rPr>
              <w:t>Indicator 2.2.1</w:t>
            </w:r>
            <w:r w:rsidR="000A320F" w:rsidRPr="002A5068">
              <w:rPr>
                <w:rFonts w:ascii="Times New Roman" w:hAnsi="Times New Roman" w:cs="Times New Roman"/>
                <w:b/>
                <w:sz w:val="18"/>
                <w:szCs w:val="18"/>
              </w:rPr>
              <w:t>.</w:t>
            </w:r>
            <w:r w:rsidRPr="002A5068">
              <w:rPr>
                <w:rFonts w:ascii="Times New Roman" w:hAnsi="Times New Roman" w:cs="Times New Roman"/>
                <w:sz w:val="18"/>
                <w:szCs w:val="18"/>
              </w:rPr>
              <w:t xml:space="preserve"> </w:t>
            </w:r>
            <w:r w:rsidRPr="002A5068">
              <w:rPr>
                <w:rFonts w:ascii="Times New Roman" w:hAnsi="Times New Roman" w:cs="Times New Roman"/>
                <w:color w:val="000000" w:themeColor="text1"/>
                <w:sz w:val="18"/>
                <w:szCs w:val="18"/>
              </w:rPr>
              <w:t>Number of national and subnational climate change adaptation and mitigation plans developed and implemented.</w:t>
            </w:r>
          </w:p>
          <w:p w14:paraId="4D135653" w14:textId="77777777" w:rsidR="00183BE7" w:rsidRPr="002A5068" w:rsidRDefault="00183BE7" w:rsidP="00377E24">
            <w:pPr>
              <w:ind w:right="229"/>
              <w:rPr>
                <w:rFonts w:ascii="Times New Roman" w:hAnsi="Times New Roman" w:cs="Times New Roman"/>
                <w:sz w:val="18"/>
                <w:szCs w:val="18"/>
              </w:rPr>
            </w:pPr>
            <w:r w:rsidRPr="002A5068">
              <w:rPr>
                <w:rFonts w:ascii="Times New Roman" w:hAnsi="Times New Roman" w:cs="Times New Roman"/>
                <w:b/>
                <w:sz w:val="18"/>
                <w:szCs w:val="18"/>
              </w:rPr>
              <w:lastRenderedPageBreak/>
              <w:t>Baseline:</w:t>
            </w:r>
            <w:r w:rsidRPr="002A5068">
              <w:rPr>
                <w:rFonts w:ascii="Times New Roman" w:hAnsi="Times New Roman" w:cs="Times New Roman"/>
                <w:sz w:val="18"/>
                <w:szCs w:val="18"/>
              </w:rPr>
              <w:t xml:space="preserve"> 0</w:t>
            </w:r>
          </w:p>
          <w:p w14:paraId="79E39420" w14:textId="77777777" w:rsidR="00183BE7" w:rsidRPr="002A5068" w:rsidRDefault="00183BE7" w:rsidP="00377E24">
            <w:pPr>
              <w:ind w:right="78"/>
              <w:rPr>
                <w:rFonts w:ascii="Times New Roman" w:hAnsi="Times New Roman" w:cs="Times New Roman"/>
                <w:sz w:val="18"/>
                <w:szCs w:val="18"/>
              </w:rPr>
            </w:pPr>
            <w:r w:rsidRPr="002A5068">
              <w:rPr>
                <w:rFonts w:ascii="Times New Roman" w:hAnsi="Times New Roman" w:cs="Times New Roman"/>
                <w:b/>
                <w:sz w:val="18"/>
                <w:szCs w:val="18"/>
              </w:rPr>
              <w:t>Target:</w:t>
            </w:r>
            <w:r w:rsidRPr="002A5068">
              <w:rPr>
                <w:rFonts w:ascii="Times New Roman" w:hAnsi="Times New Roman" w:cs="Times New Roman"/>
                <w:sz w:val="18"/>
                <w:szCs w:val="18"/>
              </w:rPr>
              <w:t xml:space="preserve"> 6 </w:t>
            </w:r>
          </w:p>
          <w:p w14:paraId="2AB697FF" w14:textId="77777777" w:rsidR="00183BE7" w:rsidRPr="002A5068" w:rsidRDefault="00183BE7" w:rsidP="00377E24">
            <w:pPr>
              <w:ind w:left="24" w:right="229"/>
              <w:jc w:val="both"/>
              <w:rPr>
                <w:rFonts w:ascii="Times New Roman" w:hAnsi="Times New Roman" w:cs="Times New Roman"/>
                <w:b/>
                <w:sz w:val="18"/>
                <w:szCs w:val="18"/>
              </w:rPr>
            </w:pPr>
            <w:r w:rsidRPr="002A5068">
              <w:rPr>
                <w:rFonts w:ascii="Times New Roman" w:hAnsi="Times New Roman" w:cs="Times New Roman"/>
                <w:b/>
                <w:sz w:val="18"/>
                <w:szCs w:val="18"/>
              </w:rPr>
              <w:t>Data source:</w:t>
            </w:r>
            <w:r w:rsidRPr="002A5068">
              <w:rPr>
                <w:rFonts w:ascii="Times New Roman" w:hAnsi="Times New Roman" w:cs="Times New Roman"/>
                <w:sz w:val="18"/>
                <w:szCs w:val="18"/>
              </w:rPr>
              <w:t xml:space="preserve"> Ministry of Environment reports</w:t>
            </w:r>
          </w:p>
          <w:p w14:paraId="39F1DB97" w14:textId="77777777" w:rsidR="00183BE7" w:rsidRPr="002A5068" w:rsidRDefault="00183BE7" w:rsidP="00377E24">
            <w:pPr>
              <w:ind w:right="78"/>
              <w:rPr>
                <w:rFonts w:ascii="Times New Roman" w:hAnsi="Times New Roman" w:cs="Times New Roman"/>
                <w:sz w:val="18"/>
                <w:szCs w:val="18"/>
              </w:rPr>
            </w:pPr>
            <w:r w:rsidRPr="002A5068">
              <w:rPr>
                <w:rFonts w:ascii="Times New Roman" w:hAnsi="Times New Roman" w:cs="Times New Roman"/>
                <w:b/>
                <w:sz w:val="18"/>
                <w:szCs w:val="18"/>
              </w:rPr>
              <w:t>Frequency</w:t>
            </w:r>
            <w:r w:rsidRPr="002A5068">
              <w:rPr>
                <w:rFonts w:ascii="Times New Roman" w:hAnsi="Times New Roman" w:cs="Times New Roman"/>
                <w:sz w:val="18"/>
                <w:szCs w:val="18"/>
              </w:rPr>
              <w:t>: Annual</w:t>
            </w:r>
          </w:p>
          <w:p w14:paraId="0E82146A" w14:textId="77777777" w:rsidR="00183BE7" w:rsidRPr="002A5068" w:rsidRDefault="00183BE7" w:rsidP="00377E24">
            <w:pPr>
              <w:ind w:right="78"/>
              <w:rPr>
                <w:rFonts w:ascii="Times New Roman" w:hAnsi="Times New Roman" w:cs="Times New Roman"/>
                <w:sz w:val="18"/>
                <w:szCs w:val="18"/>
              </w:rPr>
            </w:pPr>
          </w:p>
          <w:p w14:paraId="2F55D0D8" w14:textId="1EE29537" w:rsidR="00183BE7" w:rsidRPr="002A5068" w:rsidRDefault="00183BE7" w:rsidP="00377E24">
            <w:pPr>
              <w:ind w:right="78"/>
              <w:rPr>
                <w:rFonts w:ascii="Times New Roman" w:hAnsi="Times New Roman" w:cs="Times New Roman"/>
                <w:sz w:val="18"/>
                <w:szCs w:val="18"/>
              </w:rPr>
            </w:pPr>
            <w:r w:rsidRPr="002A5068">
              <w:rPr>
                <w:rFonts w:ascii="Times New Roman" w:hAnsi="Times New Roman" w:cs="Times New Roman"/>
                <w:b/>
                <w:sz w:val="18"/>
                <w:szCs w:val="18"/>
              </w:rPr>
              <w:t>Indicator 2.2.2</w:t>
            </w:r>
            <w:r w:rsidR="000A320F" w:rsidRPr="002A5068">
              <w:rPr>
                <w:rFonts w:ascii="Times New Roman" w:hAnsi="Times New Roman" w:cs="Times New Roman"/>
                <w:b/>
                <w:sz w:val="18"/>
                <w:szCs w:val="18"/>
              </w:rPr>
              <w:t>.</w:t>
            </w:r>
            <w:r w:rsidRPr="002A5068">
              <w:rPr>
                <w:rFonts w:ascii="Times New Roman" w:hAnsi="Times New Roman" w:cs="Times New Roman"/>
                <w:sz w:val="18"/>
                <w:szCs w:val="18"/>
              </w:rPr>
              <w:t xml:space="preserve"> Number and proportion of crisis-affected people with energy access restored, disaggregated by sex of head of household and other relevant characteristics</w:t>
            </w:r>
            <w:r w:rsidR="000A320F" w:rsidRPr="002A5068">
              <w:rPr>
                <w:rFonts w:ascii="Times New Roman" w:hAnsi="Times New Roman" w:cs="Times New Roman"/>
                <w:sz w:val="18"/>
                <w:szCs w:val="18"/>
              </w:rPr>
              <w:t>.</w:t>
            </w:r>
          </w:p>
          <w:p w14:paraId="0A39BA00" w14:textId="77777777" w:rsidR="00183BE7" w:rsidRPr="002A5068" w:rsidRDefault="00183BE7" w:rsidP="00377E24">
            <w:pPr>
              <w:ind w:right="78"/>
              <w:rPr>
                <w:rFonts w:ascii="Times New Roman" w:hAnsi="Times New Roman" w:cs="Times New Roman"/>
                <w:sz w:val="18"/>
                <w:szCs w:val="18"/>
              </w:rPr>
            </w:pPr>
            <w:r w:rsidRPr="002A5068">
              <w:rPr>
                <w:rFonts w:ascii="Times New Roman" w:hAnsi="Times New Roman" w:cs="Times New Roman"/>
                <w:b/>
                <w:sz w:val="18"/>
                <w:szCs w:val="18"/>
              </w:rPr>
              <w:t>Baseline:</w:t>
            </w:r>
            <w:r w:rsidRPr="002A5068">
              <w:rPr>
                <w:rFonts w:ascii="Times New Roman" w:hAnsi="Times New Roman" w:cs="Times New Roman"/>
                <w:sz w:val="18"/>
                <w:szCs w:val="18"/>
              </w:rPr>
              <w:t xml:space="preserve"> TBD</w:t>
            </w:r>
          </w:p>
          <w:p w14:paraId="63A14912" w14:textId="77777777" w:rsidR="00183BE7" w:rsidRPr="002A5068" w:rsidRDefault="00183BE7" w:rsidP="00377E24">
            <w:pPr>
              <w:ind w:right="78"/>
              <w:rPr>
                <w:rFonts w:ascii="Times New Roman" w:hAnsi="Times New Roman" w:cs="Times New Roman"/>
                <w:sz w:val="18"/>
                <w:szCs w:val="18"/>
              </w:rPr>
            </w:pPr>
            <w:r w:rsidRPr="002A5068">
              <w:rPr>
                <w:rFonts w:ascii="Times New Roman" w:hAnsi="Times New Roman" w:cs="Times New Roman"/>
                <w:b/>
                <w:sz w:val="18"/>
                <w:szCs w:val="18"/>
              </w:rPr>
              <w:t>Target:</w:t>
            </w:r>
            <w:r w:rsidRPr="002A5068">
              <w:rPr>
                <w:rFonts w:ascii="Times New Roman" w:hAnsi="Times New Roman" w:cs="Times New Roman"/>
                <w:sz w:val="18"/>
                <w:szCs w:val="18"/>
              </w:rPr>
              <w:t xml:space="preserve"> TBD</w:t>
            </w:r>
          </w:p>
          <w:p w14:paraId="3D7D24C9" w14:textId="7168817F" w:rsidR="00183BE7" w:rsidRPr="002A5068" w:rsidRDefault="00183BE7" w:rsidP="00377E24">
            <w:pPr>
              <w:ind w:left="24" w:right="229"/>
              <w:jc w:val="both"/>
              <w:rPr>
                <w:rFonts w:ascii="Times New Roman" w:hAnsi="Times New Roman" w:cs="Times New Roman"/>
                <w:b/>
                <w:sz w:val="18"/>
                <w:szCs w:val="18"/>
              </w:rPr>
            </w:pPr>
            <w:r w:rsidRPr="002A5068">
              <w:rPr>
                <w:rFonts w:ascii="Times New Roman" w:hAnsi="Times New Roman" w:cs="Times New Roman"/>
                <w:b/>
                <w:sz w:val="18"/>
                <w:szCs w:val="18"/>
              </w:rPr>
              <w:t>Data source:</w:t>
            </w:r>
            <w:r w:rsidRPr="002A5068">
              <w:rPr>
                <w:rFonts w:ascii="Times New Roman" w:hAnsi="Times New Roman" w:cs="Times New Roman"/>
                <w:sz w:val="18"/>
                <w:szCs w:val="18"/>
              </w:rPr>
              <w:t xml:space="preserve"> Ministry Humanitarian Affairs, </w:t>
            </w:r>
            <w:r w:rsidR="000A320F" w:rsidRPr="002A5068">
              <w:rPr>
                <w:rFonts w:ascii="Times New Roman" w:hAnsi="Times New Roman" w:cs="Times New Roman"/>
                <w:sz w:val="18"/>
                <w:szCs w:val="18"/>
              </w:rPr>
              <w:t>d</w:t>
            </w:r>
            <w:r w:rsidRPr="002A5068">
              <w:rPr>
                <w:rFonts w:ascii="Times New Roman" w:hAnsi="Times New Roman" w:cs="Times New Roman"/>
                <w:sz w:val="18"/>
                <w:szCs w:val="18"/>
              </w:rPr>
              <w:t xml:space="preserve">isaster </w:t>
            </w:r>
            <w:r w:rsidR="000A320F" w:rsidRPr="002A5068">
              <w:rPr>
                <w:rFonts w:ascii="Times New Roman" w:hAnsi="Times New Roman" w:cs="Times New Roman"/>
                <w:sz w:val="18"/>
                <w:szCs w:val="18"/>
              </w:rPr>
              <w:t>m</w:t>
            </w:r>
            <w:r w:rsidRPr="002A5068">
              <w:rPr>
                <w:rFonts w:ascii="Times New Roman" w:hAnsi="Times New Roman" w:cs="Times New Roman"/>
                <w:sz w:val="18"/>
                <w:szCs w:val="18"/>
              </w:rPr>
              <w:t>anagement reports</w:t>
            </w:r>
          </w:p>
          <w:p w14:paraId="05DF7526" w14:textId="77777777" w:rsidR="00183BE7" w:rsidRPr="002A5068" w:rsidRDefault="00183BE7" w:rsidP="00377E24">
            <w:pPr>
              <w:ind w:right="78"/>
              <w:rPr>
                <w:rFonts w:ascii="Times New Roman" w:hAnsi="Times New Roman" w:cs="Times New Roman"/>
                <w:sz w:val="18"/>
                <w:szCs w:val="18"/>
              </w:rPr>
            </w:pPr>
            <w:r w:rsidRPr="002A5068">
              <w:rPr>
                <w:rFonts w:ascii="Times New Roman" w:hAnsi="Times New Roman" w:cs="Times New Roman"/>
                <w:b/>
                <w:sz w:val="18"/>
                <w:szCs w:val="18"/>
              </w:rPr>
              <w:t>Frequency</w:t>
            </w:r>
            <w:r w:rsidRPr="002A5068">
              <w:rPr>
                <w:rFonts w:ascii="Times New Roman" w:hAnsi="Times New Roman" w:cs="Times New Roman"/>
                <w:sz w:val="18"/>
                <w:szCs w:val="18"/>
              </w:rPr>
              <w:t>: Annual</w:t>
            </w:r>
          </w:p>
          <w:p w14:paraId="04F9066B" w14:textId="77777777" w:rsidR="000A320F" w:rsidRPr="002A5068" w:rsidRDefault="000A320F" w:rsidP="00377E24">
            <w:pPr>
              <w:ind w:right="78"/>
              <w:rPr>
                <w:rFonts w:ascii="Times New Roman" w:hAnsi="Times New Roman" w:cs="Times New Roman"/>
                <w:sz w:val="18"/>
                <w:szCs w:val="18"/>
              </w:rPr>
            </w:pPr>
          </w:p>
        </w:tc>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77F0B7" w14:textId="77777777" w:rsidR="00183BE7" w:rsidRPr="002A5068" w:rsidRDefault="00183BE7" w:rsidP="00377E24">
            <w:pPr>
              <w:ind w:left="128" w:right="167"/>
              <w:rPr>
                <w:rFonts w:ascii="Times New Roman" w:hAnsi="Times New Roman" w:cs="Times New Roman"/>
                <w:sz w:val="18"/>
                <w:szCs w:val="18"/>
              </w:rPr>
            </w:pPr>
            <w:r w:rsidRPr="002A5068">
              <w:rPr>
                <w:rFonts w:ascii="Times New Roman" w:hAnsi="Times New Roman" w:cs="Times New Roman"/>
                <w:sz w:val="18"/>
                <w:szCs w:val="18"/>
              </w:rPr>
              <w:lastRenderedPageBreak/>
              <w:t>GEF</w:t>
            </w:r>
          </w:p>
          <w:p w14:paraId="745A7F02" w14:textId="77777777" w:rsidR="00183BE7" w:rsidRPr="002A5068" w:rsidRDefault="00183BE7" w:rsidP="00377E24">
            <w:pPr>
              <w:ind w:left="128" w:right="167"/>
              <w:rPr>
                <w:rFonts w:ascii="Times New Roman" w:hAnsi="Times New Roman" w:cs="Times New Roman"/>
                <w:sz w:val="18"/>
                <w:szCs w:val="18"/>
              </w:rPr>
            </w:pPr>
            <w:r w:rsidRPr="002A5068">
              <w:rPr>
                <w:rFonts w:ascii="Times New Roman" w:hAnsi="Times New Roman" w:cs="Times New Roman"/>
                <w:sz w:val="18"/>
                <w:szCs w:val="18"/>
              </w:rPr>
              <w:t>GCF</w:t>
            </w:r>
          </w:p>
          <w:p w14:paraId="4EC76A75" w14:textId="77777777" w:rsidR="00183BE7" w:rsidRPr="002A5068" w:rsidRDefault="00183BE7" w:rsidP="00377E24">
            <w:pPr>
              <w:ind w:left="128" w:right="167"/>
              <w:rPr>
                <w:rFonts w:ascii="Times New Roman" w:hAnsi="Times New Roman" w:cs="Times New Roman"/>
                <w:sz w:val="18"/>
                <w:szCs w:val="18"/>
              </w:rPr>
            </w:pPr>
            <w:r w:rsidRPr="002A5068">
              <w:rPr>
                <w:rFonts w:ascii="Times New Roman" w:hAnsi="Times New Roman" w:cs="Times New Roman"/>
                <w:sz w:val="18"/>
                <w:szCs w:val="18"/>
              </w:rPr>
              <w:t xml:space="preserve">Ministry of Environment </w:t>
            </w:r>
          </w:p>
        </w:tc>
        <w:tc>
          <w:tcPr>
            <w:tcW w:w="1751" w:type="dxa"/>
            <w:vMerge/>
            <w:tcBorders>
              <w:left w:val="single" w:sz="4" w:space="0" w:color="000000" w:themeColor="text1"/>
              <w:right w:val="single" w:sz="4" w:space="0" w:color="000000" w:themeColor="text1"/>
            </w:tcBorders>
          </w:tcPr>
          <w:p w14:paraId="534BF8B9" w14:textId="77777777" w:rsidR="00183BE7" w:rsidRPr="002A5068" w:rsidRDefault="00183BE7" w:rsidP="00377E24">
            <w:pPr>
              <w:spacing w:after="16"/>
              <w:ind w:left="96"/>
              <w:jc w:val="both"/>
              <w:rPr>
                <w:rFonts w:ascii="Times New Roman" w:hAnsi="Times New Roman" w:cs="Times New Roman"/>
                <w:b/>
                <w:sz w:val="18"/>
                <w:szCs w:val="18"/>
              </w:rPr>
            </w:pPr>
          </w:p>
        </w:tc>
      </w:tr>
      <w:tr w:rsidR="00183BE7" w:rsidRPr="002A5068" w14:paraId="3A3C6F9E" w14:textId="77777777" w:rsidTr="00400A12">
        <w:tc>
          <w:tcPr>
            <w:tcW w:w="2807" w:type="dxa"/>
            <w:vMerge/>
            <w:tcBorders>
              <w:left w:val="single" w:sz="4" w:space="0" w:color="000000" w:themeColor="text1"/>
              <w:right w:val="single" w:sz="4" w:space="0" w:color="000000" w:themeColor="text1"/>
            </w:tcBorders>
          </w:tcPr>
          <w:p w14:paraId="0478503B" w14:textId="77777777" w:rsidR="00183BE7" w:rsidRPr="002A5068" w:rsidRDefault="00183BE7" w:rsidP="00377E24">
            <w:pPr>
              <w:spacing w:after="7"/>
              <w:ind w:left="142" w:right="110"/>
              <w:jc w:val="both"/>
              <w:rPr>
                <w:rFonts w:ascii="Times New Roman" w:hAnsi="Times New Roman" w:cs="Times New Roman"/>
                <w:b/>
                <w:sz w:val="18"/>
                <w:szCs w:val="18"/>
              </w:rPr>
            </w:pPr>
          </w:p>
        </w:tc>
        <w:tc>
          <w:tcPr>
            <w:tcW w:w="1776" w:type="dxa"/>
            <w:vMerge/>
            <w:tcBorders>
              <w:left w:val="single" w:sz="4" w:space="0" w:color="000000" w:themeColor="text1"/>
              <w:right w:val="single" w:sz="4" w:space="0" w:color="000000" w:themeColor="text1"/>
            </w:tcBorders>
          </w:tcPr>
          <w:p w14:paraId="16AAA879" w14:textId="77777777" w:rsidR="00183BE7" w:rsidRPr="002A5068" w:rsidRDefault="00183BE7" w:rsidP="00377E24">
            <w:pPr>
              <w:spacing w:after="12"/>
              <w:jc w:val="both"/>
              <w:rPr>
                <w:rFonts w:ascii="Times New Roman" w:hAnsi="Times New Roman" w:cs="Times New Roman"/>
                <w:sz w:val="18"/>
                <w:szCs w:val="18"/>
              </w:rPr>
            </w:pPr>
          </w:p>
        </w:tc>
        <w:tc>
          <w:tcPr>
            <w:tcW w:w="5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DF6E9" w14:textId="2A6682E6" w:rsidR="00183BE7" w:rsidRPr="002A5068" w:rsidRDefault="00183BE7" w:rsidP="00377E24">
            <w:pPr>
              <w:ind w:left="24" w:right="229"/>
              <w:rPr>
                <w:rFonts w:ascii="Times New Roman" w:hAnsi="Times New Roman" w:cs="Times New Roman"/>
                <w:sz w:val="18"/>
                <w:szCs w:val="18"/>
              </w:rPr>
            </w:pPr>
            <w:r w:rsidRPr="002A5068">
              <w:rPr>
                <w:rFonts w:ascii="Times New Roman" w:hAnsi="Times New Roman" w:cs="Times New Roman"/>
                <w:b/>
                <w:sz w:val="18"/>
                <w:szCs w:val="18"/>
              </w:rPr>
              <w:t>Output 2.3</w:t>
            </w:r>
            <w:r w:rsidR="000A320F" w:rsidRPr="002A5068">
              <w:rPr>
                <w:rFonts w:ascii="Times New Roman" w:hAnsi="Times New Roman" w:cs="Times New Roman"/>
                <w:b/>
                <w:sz w:val="18"/>
                <w:szCs w:val="18"/>
              </w:rPr>
              <w:t>.</w:t>
            </w:r>
            <w:r w:rsidRPr="002A5068">
              <w:rPr>
                <w:rFonts w:ascii="Times New Roman" w:hAnsi="Times New Roman" w:cs="Times New Roman"/>
                <w:sz w:val="18"/>
                <w:szCs w:val="18"/>
              </w:rPr>
              <w:t xml:space="preserve"> Capacities at national and subnational levels strengthened to deliver HIV and related services to reduce vulnerability and enhance productivity. </w:t>
            </w:r>
          </w:p>
          <w:p w14:paraId="2EC61107" w14:textId="77777777" w:rsidR="00183BE7" w:rsidRPr="002A5068" w:rsidRDefault="00183BE7" w:rsidP="00377E24">
            <w:pPr>
              <w:ind w:left="24" w:right="229"/>
              <w:rPr>
                <w:rFonts w:ascii="Times New Roman" w:hAnsi="Times New Roman" w:cs="Times New Roman"/>
                <w:sz w:val="18"/>
                <w:szCs w:val="18"/>
              </w:rPr>
            </w:pPr>
          </w:p>
          <w:p w14:paraId="7F87FED9" w14:textId="39B86F5F" w:rsidR="00183BE7" w:rsidRPr="002A5068" w:rsidRDefault="00183BE7" w:rsidP="00377E24">
            <w:pPr>
              <w:ind w:left="24" w:right="229"/>
              <w:rPr>
                <w:rFonts w:ascii="Times New Roman" w:hAnsi="Times New Roman" w:cs="Times New Roman"/>
                <w:sz w:val="18"/>
                <w:szCs w:val="18"/>
              </w:rPr>
            </w:pPr>
            <w:r w:rsidRPr="002A5068">
              <w:rPr>
                <w:rFonts w:ascii="Times New Roman" w:hAnsi="Times New Roman" w:cs="Times New Roman"/>
                <w:b/>
                <w:sz w:val="18"/>
                <w:szCs w:val="18"/>
              </w:rPr>
              <w:t>Indicator 2.3.1</w:t>
            </w:r>
            <w:r w:rsidR="000A320F" w:rsidRPr="002A5068">
              <w:rPr>
                <w:rFonts w:ascii="Times New Roman" w:hAnsi="Times New Roman" w:cs="Times New Roman"/>
                <w:b/>
                <w:sz w:val="18"/>
                <w:szCs w:val="18"/>
              </w:rPr>
              <w:t>.</w:t>
            </w:r>
            <w:r w:rsidRPr="002A5068">
              <w:rPr>
                <w:rFonts w:ascii="Times New Roman" w:hAnsi="Times New Roman" w:cs="Times New Roman"/>
                <w:sz w:val="18"/>
                <w:szCs w:val="18"/>
              </w:rPr>
              <w:t xml:space="preserve"> Coverage of </w:t>
            </w:r>
            <w:r w:rsidR="000A320F" w:rsidRPr="002A5068">
              <w:rPr>
                <w:rFonts w:ascii="Times New Roman" w:hAnsi="Times New Roman" w:cs="Times New Roman"/>
                <w:sz w:val="18"/>
                <w:szCs w:val="18"/>
              </w:rPr>
              <w:t>tuberculosis</w:t>
            </w:r>
            <w:r w:rsidRPr="002A5068">
              <w:rPr>
                <w:rFonts w:ascii="Times New Roman" w:hAnsi="Times New Roman" w:cs="Times New Roman"/>
                <w:sz w:val="18"/>
                <w:szCs w:val="18"/>
              </w:rPr>
              <w:t xml:space="preserve">, HIV and AIDS services disaggregated by sex, </w:t>
            </w:r>
            <w:r w:rsidRPr="002A5068">
              <w:rPr>
                <w:rFonts w:ascii="Times New Roman" w:hAnsi="Times New Roman" w:cs="Times New Roman"/>
                <w:color w:val="000000" w:themeColor="text1"/>
                <w:sz w:val="18"/>
                <w:szCs w:val="18"/>
              </w:rPr>
              <w:t>and type of service:</w:t>
            </w:r>
          </w:p>
          <w:p w14:paraId="1F48CBB6" w14:textId="739563BA" w:rsidR="00183BE7" w:rsidRPr="002A5068" w:rsidRDefault="00183BE7" w:rsidP="00377E24">
            <w:pPr>
              <w:ind w:left="27"/>
              <w:rPr>
                <w:rFonts w:ascii="Times New Roman" w:hAnsi="Times New Roman" w:cs="Times New Roman"/>
                <w:b/>
                <w:bCs/>
                <w:color w:val="000000" w:themeColor="text1"/>
                <w:sz w:val="18"/>
                <w:szCs w:val="18"/>
              </w:rPr>
            </w:pPr>
            <w:r w:rsidRPr="002A5068">
              <w:rPr>
                <w:rFonts w:ascii="Times New Roman" w:hAnsi="Times New Roman" w:cs="Times New Roman"/>
                <w:b/>
                <w:bCs/>
                <w:color w:val="000000" w:themeColor="text1"/>
                <w:sz w:val="18"/>
                <w:szCs w:val="18"/>
              </w:rPr>
              <w:t xml:space="preserve">   </w:t>
            </w:r>
            <w:r w:rsidR="000A320F" w:rsidRPr="002A5068">
              <w:rPr>
                <w:rFonts w:ascii="Times New Roman" w:hAnsi="Times New Roman" w:cs="Times New Roman"/>
                <w:b/>
                <w:bCs/>
                <w:color w:val="000000" w:themeColor="text1"/>
                <w:sz w:val="18"/>
                <w:szCs w:val="18"/>
              </w:rPr>
              <w:t>(</w:t>
            </w:r>
            <w:r w:rsidRPr="002A5068">
              <w:rPr>
                <w:rFonts w:ascii="Times New Roman" w:hAnsi="Times New Roman" w:cs="Times New Roman"/>
                <w:b/>
                <w:bCs/>
                <w:color w:val="000000" w:themeColor="text1"/>
                <w:sz w:val="18"/>
                <w:szCs w:val="18"/>
              </w:rPr>
              <w:t>a) T</w:t>
            </w:r>
            <w:r w:rsidR="000A320F" w:rsidRPr="002A5068">
              <w:rPr>
                <w:rFonts w:ascii="Times New Roman" w:hAnsi="Times New Roman" w:cs="Times New Roman"/>
                <w:b/>
                <w:bCs/>
                <w:color w:val="000000" w:themeColor="text1"/>
                <w:sz w:val="18"/>
                <w:szCs w:val="18"/>
              </w:rPr>
              <w:t>uberculosis</w:t>
            </w:r>
            <w:r w:rsidRPr="002A5068">
              <w:rPr>
                <w:rFonts w:ascii="Times New Roman" w:hAnsi="Times New Roman" w:cs="Times New Roman"/>
                <w:b/>
                <w:bCs/>
                <w:color w:val="000000" w:themeColor="text1"/>
                <w:sz w:val="18"/>
                <w:szCs w:val="18"/>
              </w:rPr>
              <w:t xml:space="preserve"> treatment  </w:t>
            </w:r>
          </w:p>
          <w:p w14:paraId="46BBC8C7" w14:textId="77777777" w:rsidR="00183BE7" w:rsidRPr="002A5068" w:rsidRDefault="00183BE7" w:rsidP="00377E24">
            <w:pPr>
              <w:rPr>
                <w:rFonts w:ascii="Times New Roman" w:hAnsi="Times New Roman" w:cs="Times New Roman"/>
                <w:b/>
                <w:bCs/>
                <w:color w:val="000000" w:themeColor="text1"/>
                <w:sz w:val="18"/>
                <w:szCs w:val="18"/>
              </w:rPr>
            </w:pPr>
            <w:r w:rsidRPr="002A5068">
              <w:rPr>
                <w:rFonts w:ascii="Times New Roman" w:hAnsi="Times New Roman" w:cs="Times New Roman"/>
                <w:color w:val="000000" w:themeColor="text1"/>
                <w:sz w:val="18"/>
                <w:szCs w:val="18"/>
              </w:rPr>
              <w:t>Baseline:  80 per cent (sex disaggregation under way)</w:t>
            </w:r>
          </w:p>
          <w:p w14:paraId="2D1254F5" w14:textId="77777777" w:rsidR="00183BE7" w:rsidRPr="002A5068" w:rsidRDefault="00183BE7" w:rsidP="00377E24">
            <w:pPr>
              <w:rPr>
                <w:rFonts w:ascii="Times New Roman" w:hAnsi="Times New Roman" w:cs="Times New Roman"/>
                <w:color w:val="000000" w:themeColor="text1"/>
                <w:sz w:val="18"/>
                <w:szCs w:val="18"/>
              </w:rPr>
            </w:pPr>
            <w:r w:rsidRPr="002A5068">
              <w:rPr>
                <w:rFonts w:ascii="Times New Roman" w:hAnsi="Times New Roman" w:cs="Times New Roman"/>
                <w:color w:val="000000" w:themeColor="text1"/>
                <w:sz w:val="18"/>
                <w:szCs w:val="18"/>
              </w:rPr>
              <w:t xml:space="preserve">Target: 85 per cent </w:t>
            </w:r>
          </w:p>
          <w:p w14:paraId="33520C9A" w14:textId="451FDD11" w:rsidR="00183BE7" w:rsidRPr="002A5068" w:rsidRDefault="00183BE7" w:rsidP="00377E24">
            <w:pPr>
              <w:ind w:left="24"/>
              <w:rPr>
                <w:rFonts w:ascii="Times New Roman" w:hAnsi="Times New Roman" w:cs="Times New Roman"/>
                <w:b/>
                <w:bCs/>
                <w:color w:val="000000" w:themeColor="text1"/>
                <w:sz w:val="18"/>
                <w:szCs w:val="18"/>
              </w:rPr>
            </w:pPr>
            <w:r w:rsidRPr="002A5068">
              <w:rPr>
                <w:rFonts w:ascii="Times New Roman" w:hAnsi="Times New Roman" w:cs="Times New Roman"/>
                <w:b/>
                <w:bCs/>
                <w:color w:val="000000" w:themeColor="text1"/>
                <w:sz w:val="18"/>
                <w:szCs w:val="18"/>
              </w:rPr>
              <w:t xml:space="preserve">   </w:t>
            </w:r>
            <w:r w:rsidR="000A320F" w:rsidRPr="002A5068">
              <w:rPr>
                <w:rFonts w:ascii="Times New Roman" w:hAnsi="Times New Roman" w:cs="Times New Roman"/>
                <w:b/>
                <w:bCs/>
                <w:color w:val="000000" w:themeColor="text1"/>
                <w:sz w:val="18"/>
                <w:szCs w:val="18"/>
              </w:rPr>
              <w:t>(</w:t>
            </w:r>
            <w:r w:rsidRPr="002A5068">
              <w:rPr>
                <w:rFonts w:ascii="Times New Roman" w:hAnsi="Times New Roman" w:cs="Times New Roman"/>
                <w:b/>
                <w:bCs/>
                <w:color w:val="000000" w:themeColor="text1"/>
                <w:sz w:val="18"/>
                <w:szCs w:val="18"/>
              </w:rPr>
              <w:t>b) A</w:t>
            </w:r>
            <w:r w:rsidR="000A320F" w:rsidRPr="002A5068">
              <w:rPr>
                <w:rFonts w:ascii="Times New Roman" w:hAnsi="Times New Roman" w:cs="Times New Roman"/>
                <w:b/>
                <w:bCs/>
                <w:color w:val="000000" w:themeColor="text1"/>
                <w:sz w:val="18"/>
                <w:szCs w:val="18"/>
              </w:rPr>
              <w:t>ntiretroviral</w:t>
            </w:r>
            <w:r w:rsidRPr="002A5068">
              <w:rPr>
                <w:rFonts w:ascii="Times New Roman" w:hAnsi="Times New Roman" w:cs="Times New Roman"/>
                <w:b/>
                <w:bCs/>
                <w:color w:val="000000" w:themeColor="text1"/>
                <w:sz w:val="18"/>
                <w:szCs w:val="18"/>
              </w:rPr>
              <w:t xml:space="preserve"> treatment </w:t>
            </w:r>
          </w:p>
          <w:p w14:paraId="6DBA425D" w14:textId="77777777" w:rsidR="00183BE7" w:rsidRPr="002A5068" w:rsidRDefault="00183BE7" w:rsidP="00377E24">
            <w:pPr>
              <w:rPr>
                <w:rFonts w:ascii="Times New Roman" w:hAnsi="Times New Roman" w:cs="Times New Roman"/>
                <w:color w:val="000000" w:themeColor="text1"/>
                <w:sz w:val="18"/>
                <w:szCs w:val="18"/>
              </w:rPr>
            </w:pPr>
            <w:r w:rsidRPr="002A5068">
              <w:rPr>
                <w:rFonts w:ascii="Times New Roman" w:hAnsi="Times New Roman" w:cs="Times New Roman"/>
                <w:color w:val="000000" w:themeColor="text1"/>
                <w:sz w:val="18"/>
                <w:szCs w:val="18"/>
              </w:rPr>
              <w:t xml:space="preserve">Baseline: 11 per cent (sex disaggregation under way) </w:t>
            </w:r>
          </w:p>
          <w:p w14:paraId="1D90E27F" w14:textId="77777777" w:rsidR="00183BE7" w:rsidRPr="002A5068" w:rsidRDefault="00183BE7" w:rsidP="00377E24">
            <w:pPr>
              <w:ind w:right="229"/>
              <w:rPr>
                <w:rFonts w:ascii="Times New Roman" w:hAnsi="Times New Roman" w:cs="Times New Roman"/>
                <w:color w:val="000000" w:themeColor="text1"/>
                <w:sz w:val="18"/>
                <w:szCs w:val="18"/>
              </w:rPr>
            </w:pPr>
            <w:r w:rsidRPr="002A5068">
              <w:rPr>
                <w:rFonts w:ascii="Times New Roman" w:hAnsi="Times New Roman" w:cs="Times New Roman"/>
                <w:color w:val="000000" w:themeColor="text1"/>
                <w:sz w:val="18"/>
                <w:szCs w:val="18"/>
              </w:rPr>
              <w:t xml:space="preserve">Target: 24.8 per cent </w:t>
            </w:r>
          </w:p>
          <w:p w14:paraId="5A4DED97" w14:textId="1B23E494" w:rsidR="00183BE7" w:rsidRPr="002A5068" w:rsidRDefault="000A320F" w:rsidP="00377E24">
            <w:pPr>
              <w:ind w:right="229"/>
              <w:rPr>
                <w:rFonts w:ascii="Times New Roman" w:hAnsi="Times New Roman" w:cs="Times New Roman"/>
                <w:color w:val="000000" w:themeColor="text1"/>
                <w:sz w:val="18"/>
                <w:szCs w:val="18"/>
              </w:rPr>
            </w:pPr>
            <w:r w:rsidRPr="002A5068">
              <w:rPr>
                <w:rFonts w:ascii="Times New Roman" w:hAnsi="Times New Roman" w:cs="Times New Roman"/>
                <w:color w:val="000000" w:themeColor="text1"/>
                <w:sz w:val="18"/>
                <w:szCs w:val="18"/>
              </w:rPr>
              <w:t xml:space="preserve">   </w:t>
            </w:r>
            <w:r w:rsidRPr="002A5068">
              <w:rPr>
                <w:rFonts w:ascii="Times New Roman" w:hAnsi="Times New Roman" w:cs="Times New Roman"/>
                <w:b/>
                <w:color w:val="000000" w:themeColor="text1"/>
                <w:sz w:val="18"/>
                <w:szCs w:val="18"/>
              </w:rPr>
              <w:t>(</w:t>
            </w:r>
            <w:r w:rsidR="00183BE7" w:rsidRPr="002A5068">
              <w:rPr>
                <w:rFonts w:ascii="Times New Roman" w:hAnsi="Times New Roman" w:cs="Times New Roman"/>
                <w:b/>
                <w:color w:val="000000" w:themeColor="text1"/>
                <w:sz w:val="18"/>
              </w:rPr>
              <w:t xml:space="preserve">c) </w:t>
            </w:r>
            <w:r w:rsidR="00183BE7" w:rsidRPr="002A5068">
              <w:rPr>
                <w:rFonts w:ascii="Times New Roman" w:hAnsi="Times New Roman" w:cs="Times New Roman"/>
                <w:b/>
                <w:color w:val="000000" w:themeColor="text1"/>
                <w:sz w:val="18"/>
                <w:szCs w:val="18"/>
              </w:rPr>
              <w:t>Behavioural change information</w:t>
            </w:r>
            <w:r w:rsidR="00183BE7" w:rsidRPr="002A5068">
              <w:rPr>
                <w:rFonts w:ascii="Times New Roman" w:hAnsi="Times New Roman" w:cs="Times New Roman"/>
                <w:color w:val="000000" w:themeColor="text1"/>
                <w:sz w:val="18"/>
                <w:szCs w:val="18"/>
              </w:rPr>
              <w:t xml:space="preserve"> </w:t>
            </w:r>
          </w:p>
          <w:p w14:paraId="7AA09052" w14:textId="77777777" w:rsidR="00183BE7" w:rsidRPr="002A5068" w:rsidRDefault="00183BE7" w:rsidP="00377E24">
            <w:pPr>
              <w:ind w:right="229"/>
              <w:rPr>
                <w:rFonts w:ascii="Times New Roman" w:hAnsi="Times New Roman" w:cs="Times New Roman"/>
                <w:color w:val="000000" w:themeColor="text1"/>
                <w:sz w:val="18"/>
                <w:szCs w:val="18"/>
              </w:rPr>
            </w:pPr>
            <w:r w:rsidRPr="002A5068">
              <w:rPr>
                <w:rFonts w:ascii="Times New Roman" w:hAnsi="Times New Roman" w:cs="Times New Roman"/>
                <w:color w:val="000000" w:themeColor="text1"/>
                <w:sz w:val="18"/>
                <w:szCs w:val="18"/>
              </w:rPr>
              <w:t>Baseline: 442, 392 (55% female)</w:t>
            </w:r>
          </w:p>
          <w:p w14:paraId="7CCD8B27" w14:textId="77777777" w:rsidR="00183BE7" w:rsidRPr="002A5068" w:rsidRDefault="00183BE7" w:rsidP="00377E24">
            <w:pPr>
              <w:ind w:right="229"/>
              <w:rPr>
                <w:rFonts w:ascii="Times New Roman" w:hAnsi="Times New Roman" w:cs="Times New Roman"/>
                <w:color w:val="000000" w:themeColor="text1"/>
                <w:sz w:val="18"/>
                <w:szCs w:val="18"/>
              </w:rPr>
            </w:pPr>
            <w:r w:rsidRPr="002A5068">
              <w:rPr>
                <w:rFonts w:ascii="Times New Roman" w:hAnsi="Times New Roman" w:cs="Times New Roman"/>
                <w:color w:val="000000" w:themeColor="text1"/>
                <w:sz w:val="18"/>
                <w:szCs w:val="18"/>
              </w:rPr>
              <w:t>Target: 994,713 (55% female)</w:t>
            </w:r>
          </w:p>
          <w:p w14:paraId="746050A0" w14:textId="683BFB05" w:rsidR="00183BE7" w:rsidRPr="002A5068" w:rsidRDefault="00183BE7" w:rsidP="00377E24">
            <w:pPr>
              <w:ind w:left="24" w:right="229"/>
              <w:jc w:val="both"/>
              <w:rPr>
                <w:rFonts w:ascii="Times New Roman" w:hAnsi="Times New Roman" w:cs="Times New Roman"/>
                <w:sz w:val="18"/>
                <w:szCs w:val="18"/>
              </w:rPr>
            </w:pPr>
            <w:r w:rsidRPr="002A5068">
              <w:rPr>
                <w:rFonts w:ascii="Times New Roman" w:hAnsi="Times New Roman" w:cs="Times New Roman"/>
                <w:b/>
                <w:sz w:val="18"/>
                <w:szCs w:val="18"/>
              </w:rPr>
              <w:t>Data source:</w:t>
            </w:r>
            <w:r w:rsidRPr="002A5068">
              <w:rPr>
                <w:rFonts w:ascii="Times New Roman" w:hAnsi="Times New Roman" w:cs="Times New Roman"/>
                <w:sz w:val="18"/>
                <w:szCs w:val="18"/>
              </w:rPr>
              <w:t xml:space="preserve"> Ministry of Health, Global Fund </w:t>
            </w:r>
            <w:r w:rsidR="000A320F" w:rsidRPr="002A5068">
              <w:rPr>
                <w:rFonts w:ascii="Times New Roman" w:hAnsi="Times New Roman" w:cs="Times New Roman"/>
                <w:sz w:val="18"/>
                <w:szCs w:val="18"/>
              </w:rPr>
              <w:t>a</w:t>
            </w:r>
            <w:r w:rsidRPr="002A5068">
              <w:rPr>
                <w:rFonts w:ascii="Times New Roman" w:hAnsi="Times New Roman" w:cs="Times New Roman"/>
                <w:sz w:val="18"/>
                <w:szCs w:val="18"/>
              </w:rPr>
              <w:t xml:space="preserve">nnual and </w:t>
            </w:r>
            <w:r w:rsidR="000A320F" w:rsidRPr="002A5068">
              <w:rPr>
                <w:rFonts w:ascii="Times New Roman" w:hAnsi="Times New Roman" w:cs="Times New Roman"/>
                <w:sz w:val="18"/>
                <w:szCs w:val="18"/>
              </w:rPr>
              <w:t>r</w:t>
            </w:r>
            <w:r w:rsidRPr="002A5068">
              <w:rPr>
                <w:rFonts w:ascii="Times New Roman" w:hAnsi="Times New Roman" w:cs="Times New Roman"/>
                <w:sz w:val="18"/>
                <w:szCs w:val="18"/>
              </w:rPr>
              <w:t xml:space="preserve">eview </w:t>
            </w:r>
            <w:r w:rsidR="000A320F" w:rsidRPr="002A5068">
              <w:rPr>
                <w:rFonts w:ascii="Times New Roman" w:hAnsi="Times New Roman" w:cs="Times New Roman"/>
                <w:sz w:val="18"/>
                <w:szCs w:val="18"/>
              </w:rPr>
              <w:t>r</w:t>
            </w:r>
            <w:r w:rsidRPr="002A5068">
              <w:rPr>
                <w:rFonts w:ascii="Times New Roman" w:hAnsi="Times New Roman" w:cs="Times New Roman"/>
                <w:sz w:val="18"/>
                <w:szCs w:val="18"/>
              </w:rPr>
              <w:t xml:space="preserve">eports </w:t>
            </w:r>
          </w:p>
          <w:p w14:paraId="2E01F4E6" w14:textId="77777777" w:rsidR="00183BE7" w:rsidRPr="002A5068" w:rsidRDefault="00183BE7" w:rsidP="00377E24">
            <w:pPr>
              <w:ind w:left="24" w:right="229"/>
              <w:rPr>
                <w:rFonts w:ascii="Times New Roman" w:hAnsi="Times New Roman" w:cs="Times New Roman"/>
                <w:sz w:val="18"/>
                <w:szCs w:val="18"/>
              </w:rPr>
            </w:pPr>
            <w:r w:rsidRPr="002A5068">
              <w:rPr>
                <w:rFonts w:ascii="Times New Roman" w:hAnsi="Times New Roman" w:cs="Times New Roman"/>
                <w:b/>
                <w:sz w:val="18"/>
                <w:szCs w:val="18"/>
              </w:rPr>
              <w:t>Frequency</w:t>
            </w:r>
            <w:r w:rsidRPr="002A5068">
              <w:rPr>
                <w:rFonts w:ascii="Times New Roman" w:hAnsi="Times New Roman" w:cs="Times New Roman"/>
                <w:sz w:val="18"/>
                <w:szCs w:val="18"/>
              </w:rPr>
              <w:t>: Annual</w:t>
            </w:r>
          </w:p>
          <w:p w14:paraId="1C1CEF41" w14:textId="77777777" w:rsidR="00183BE7" w:rsidRPr="002A5068" w:rsidRDefault="00183BE7" w:rsidP="00377E24">
            <w:pPr>
              <w:ind w:left="24" w:right="229"/>
              <w:rPr>
                <w:rFonts w:ascii="Times New Roman" w:hAnsi="Times New Roman" w:cs="Times New Roman"/>
                <w:color w:val="000000" w:themeColor="text1"/>
                <w:sz w:val="18"/>
                <w:szCs w:val="18"/>
              </w:rPr>
            </w:pPr>
          </w:p>
          <w:p w14:paraId="1D133FF8" w14:textId="77777777" w:rsidR="00183BE7" w:rsidRPr="002A5068" w:rsidRDefault="00183BE7" w:rsidP="00377E24">
            <w:pPr>
              <w:ind w:right="229"/>
              <w:rPr>
                <w:rFonts w:ascii="Times New Roman" w:hAnsi="Times New Roman" w:cs="Times New Roman"/>
                <w:color w:val="000000" w:themeColor="text1"/>
                <w:sz w:val="18"/>
                <w:szCs w:val="18"/>
              </w:rPr>
            </w:pPr>
            <w:r w:rsidRPr="002A5068">
              <w:rPr>
                <w:rFonts w:ascii="Times New Roman" w:hAnsi="Times New Roman" w:cs="Times New Roman"/>
                <w:b/>
                <w:sz w:val="18"/>
                <w:szCs w:val="18"/>
              </w:rPr>
              <w:t>Indicator 2.3.2</w:t>
            </w:r>
            <w:r w:rsidRPr="002A5068">
              <w:rPr>
                <w:rFonts w:ascii="Times New Roman" w:hAnsi="Times New Roman" w:cs="Times New Roman"/>
                <w:sz w:val="18"/>
                <w:szCs w:val="18"/>
              </w:rPr>
              <w:t xml:space="preserve"> </w:t>
            </w:r>
            <w:r w:rsidRPr="002A5068">
              <w:rPr>
                <w:rFonts w:ascii="Times New Roman" w:hAnsi="Times New Roman" w:cs="Times New Roman"/>
                <w:color w:val="000000" w:themeColor="text1"/>
                <w:sz w:val="18"/>
                <w:szCs w:val="18"/>
              </w:rPr>
              <w:t>Number of people tested for HIV who received their results</w:t>
            </w:r>
          </w:p>
          <w:p w14:paraId="0689DF25" w14:textId="77777777" w:rsidR="00183BE7" w:rsidRPr="002A5068" w:rsidRDefault="00183BE7" w:rsidP="00377E24">
            <w:pPr>
              <w:ind w:right="229"/>
              <w:rPr>
                <w:rFonts w:ascii="Times New Roman" w:hAnsi="Times New Roman" w:cs="Times New Roman"/>
                <w:color w:val="000000" w:themeColor="text1"/>
                <w:sz w:val="18"/>
                <w:szCs w:val="18"/>
              </w:rPr>
            </w:pPr>
            <w:r w:rsidRPr="002A5068">
              <w:rPr>
                <w:rFonts w:ascii="Times New Roman" w:hAnsi="Times New Roman" w:cs="Times New Roman"/>
                <w:b/>
                <w:color w:val="000000" w:themeColor="text1"/>
                <w:sz w:val="18"/>
                <w:szCs w:val="18"/>
              </w:rPr>
              <w:t>Baseline:</w:t>
            </w:r>
            <w:r w:rsidRPr="002A5068">
              <w:rPr>
                <w:rFonts w:ascii="Times New Roman" w:hAnsi="Times New Roman" w:cs="Times New Roman"/>
                <w:color w:val="000000" w:themeColor="text1"/>
                <w:sz w:val="18"/>
                <w:szCs w:val="18"/>
              </w:rPr>
              <w:t xml:space="preserve"> 248,126</w:t>
            </w:r>
          </w:p>
          <w:p w14:paraId="72423DF1" w14:textId="77777777" w:rsidR="00183BE7" w:rsidRPr="002A5068" w:rsidRDefault="00183BE7" w:rsidP="00377E24">
            <w:pPr>
              <w:ind w:right="229"/>
              <w:rPr>
                <w:rFonts w:ascii="Times New Roman" w:hAnsi="Times New Roman" w:cs="Times New Roman"/>
                <w:color w:val="000000" w:themeColor="text1"/>
                <w:sz w:val="18"/>
                <w:szCs w:val="18"/>
              </w:rPr>
            </w:pPr>
            <w:r w:rsidRPr="002A5068">
              <w:rPr>
                <w:rFonts w:ascii="Times New Roman" w:hAnsi="Times New Roman" w:cs="Times New Roman"/>
                <w:b/>
                <w:color w:val="000000" w:themeColor="text1"/>
                <w:sz w:val="18"/>
                <w:szCs w:val="18"/>
              </w:rPr>
              <w:t>Target:</w:t>
            </w:r>
            <w:r w:rsidRPr="002A5068">
              <w:rPr>
                <w:rFonts w:ascii="Times New Roman" w:hAnsi="Times New Roman" w:cs="Times New Roman"/>
                <w:color w:val="000000" w:themeColor="text1"/>
                <w:sz w:val="18"/>
                <w:szCs w:val="18"/>
              </w:rPr>
              <w:t xml:space="preserve"> 291,175 (disaggregated by HIV test status and gender)</w:t>
            </w:r>
          </w:p>
          <w:p w14:paraId="724F4CE5" w14:textId="5A950B49" w:rsidR="00183BE7" w:rsidRPr="002A5068" w:rsidRDefault="00183BE7" w:rsidP="00377E24">
            <w:pPr>
              <w:spacing w:after="12"/>
              <w:rPr>
                <w:rFonts w:ascii="Times New Roman" w:hAnsi="Times New Roman" w:cs="Times New Roman"/>
                <w:b/>
                <w:sz w:val="18"/>
                <w:szCs w:val="18"/>
              </w:rPr>
            </w:pPr>
            <w:r w:rsidRPr="002A5068">
              <w:rPr>
                <w:rFonts w:ascii="Times New Roman" w:hAnsi="Times New Roman" w:cs="Times New Roman"/>
                <w:b/>
                <w:sz w:val="18"/>
                <w:szCs w:val="18"/>
              </w:rPr>
              <w:t>Data source:</w:t>
            </w:r>
            <w:r w:rsidRPr="002A5068">
              <w:rPr>
                <w:rFonts w:ascii="Times New Roman" w:hAnsi="Times New Roman" w:cs="Times New Roman"/>
                <w:sz w:val="18"/>
                <w:szCs w:val="18"/>
              </w:rPr>
              <w:t xml:space="preserve"> Ministry of Health, Global Fund </w:t>
            </w:r>
            <w:r w:rsidR="005317EF" w:rsidRPr="002A5068">
              <w:rPr>
                <w:rFonts w:ascii="Times New Roman" w:hAnsi="Times New Roman" w:cs="Times New Roman"/>
                <w:sz w:val="18"/>
                <w:szCs w:val="18"/>
              </w:rPr>
              <w:t>a</w:t>
            </w:r>
            <w:r w:rsidRPr="002A5068">
              <w:rPr>
                <w:rFonts w:ascii="Times New Roman" w:hAnsi="Times New Roman" w:cs="Times New Roman"/>
                <w:sz w:val="18"/>
                <w:szCs w:val="18"/>
              </w:rPr>
              <w:t xml:space="preserve">nnual and </w:t>
            </w:r>
            <w:r w:rsidR="005317EF" w:rsidRPr="002A5068">
              <w:rPr>
                <w:rFonts w:ascii="Times New Roman" w:hAnsi="Times New Roman" w:cs="Times New Roman"/>
                <w:sz w:val="18"/>
                <w:szCs w:val="18"/>
              </w:rPr>
              <w:t>r</w:t>
            </w:r>
            <w:r w:rsidRPr="002A5068">
              <w:rPr>
                <w:rFonts w:ascii="Times New Roman" w:hAnsi="Times New Roman" w:cs="Times New Roman"/>
                <w:sz w:val="18"/>
                <w:szCs w:val="18"/>
              </w:rPr>
              <w:t xml:space="preserve">eview </w:t>
            </w:r>
            <w:r w:rsidR="005317EF" w:rsidRPr="002A5068">
              <w:rPr>
                <w:rFonts w:ascii="Times New Roman" w:hAnsi="Times New Roman" w:cs="Times New Roman"/>
                <w:sz w:val="18"/>
                <w:szCs w:val="18"/>
              </w:rPr>
              <w:t>r</w:t>
            </w:r>
            <w:r w:rsidRPr="002A5068">
              <w:rPr>
                <w:rFonts w:ascii="Times New Roman" w:hAnsi="Times New Roman" w:cs="Times New Roman"/>
                <w:sz w:val="18"/>
                <w:szCs w:val="18"/>
              </w:rPr>
              <w:t xml:space="preserve">eports </w:t>
            </w:r>
          </w:p>
          <w:p w14:paraId="54CDC754" w14:textId="77777777" w:rsidR="00183BE7" w:rsidRPr="002A5068" w:rsidRDefault="00183BE7" w:rsidP="00377E24">
            <w:pPr>
              <w:ind w:right="229"/>
              <w:rPr>
                <w:rFonts w:ascii="Times New Roman" w:hAnsi="Times New Roman" w:cs="Times New Roman"/>
                <w:sz w:val="18"/>
                <w:szCs w:val="18"/>
              </w:rPr>
            </w:pPr>
            <w:r w:rsidRPr="002A5068">
              <w:rPr>
                <w:rFonts w:ascii="Times New Roman" w:hAnsi="Times New Roman" w:cs="Times New Roman"/>
                <w:b/>
                <w:sz w:val="18"/>
                <w:szCs w:val="18"/>
              </w:rPr>
              <w:t>Frequency</w:t>
            </w:r>
            <w:r w:rsidRPr="002A5068">
              <w:rPr>
                <w:rFonts w:ascii="Times New Roman" w:hAnsi="Times New Roman" w:cs="Times New Roman"/>
                <w:sz w:val="18"/>
                <w:szCs w:val="18"/>
              </w:rPr>
              <w:t>: Annual</w:t>
            </w:r>
          </w:p>
          <w:p w14:paraId="6745E141" w14:textId="77777777" w:rsidR="005317EF" w:rsidRPr="002A5068" w:rsidRDefault="005317EF" w:rsidP="00377E24">
            <w:pPr>
              <w:ind w:right="229"/>
              <w:rPr>
                <w:rFonts w:ascii="Times New Roman" w:hAnsi="Times New Roman" w:cs="Times New Roman"/>
                <w:color w:val="000000" w:themeColor="text1"/>
                <w:sz w:val="18"/>
                <w:szCs w:val="18"/>
              </w:rPr>
            </w:pPr>
          </w:p>
        </w:tc>
        <w:tc>
          <w:tcPr>
            <w:tcW w:w="2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F6263" w14:textId="22DED19A" w:rsidR="00183BE7" w:rsidRPr="002A5068" w:rsidRDefault="000A320F" w:rsidP="00B16A6B">
            <w:pPr>
              <w:ind w:left="128" w:right="167"/>
              <w:rPr>
                <w:rFonts w:ascii="Times New Roman" w:hAnsi="Times New Roman" w:cs="Times New Roman"/>
                <w:sz w:val="18"/>
                <w:szCs w:val="18"/>
              </w:rPr>
            </w:pPr>
            <w:r w:rsidRPr="002A5068">
              <w:rPr>
                <w:rFonts w:ascii="Times New Roman" w:hAnsi="Times New Roman" w:cs="Times New Roman"/>
                <w:sz w:val="18"/>
                <w:szCs w:val="18"/>
              </w:rPr>
              <w:t xml:space="preserve">The </w:t>
            </w:r>
            <w:r w:rsidR="00183BE7" w:rsidRPr="002A5068">
              <w:rPr>
                <w:rFonts w:ascii="Times New Roman" w:hAnsi="Times New Roman" w:cs="Times New Roman"/>
                <w:sz w:val="18"/>
                <w:szCs w:val="18"/>
              </w:rPr>
              <w:t xml:space="preserve">Global Fund </w:t>
            </w:r>
            <w:r w:rsidRPr="002A5068">
              <w:rPr>
                <w:rFonts w:ascii="Times New Roman" w:hAnsi="Times New Roman" w:cs="Times New Roman"/>
                <w:sz w:val="18"/>
                <w:szCs w:val="18"/>
              </w:rPr>
              <w:t xml:space="preserve">to Fight </w:t>
            </w:r>
            <w:r w:rsidR="00183BE7" w:rsidRPr="002A5068">
              <w:rPr>
                <w:rFonts w:ascii="Times New Roman" w:hAnsi="Times New Roman" w:cs="Times New Roman"/>
                <w:sz w:val="18"/>
                <w:szCs w:val="18"/>
              </w:rPr>
              <w:t>AIDS</w:t>
            </w:r>
            <w:r w:rsidR="005317EF" w:rsidRPr="002A5068">
              <w:rPr>
                <w:rFonts w:ascii="Times New Roman" w:hAnsi="Times New Roman" w:cs="Times New Roman"/>
                <w:sz w:val="18"/>
                <w:szCs w:val="18"/>
              </w:rPr>
              <w:t xml:space="preserve">, Tuberculosis </w:t>
            </w:r>
            <w:r w:rsidR="00183BE7" w:rsidRPr="002A5068">
              <w:rPr>
                <w:rFonts w:ascii="Times New Roman" w:hAnsi="Times New Roman" w:cs="Times New Roman"/>
                <w:sz w:val="18"/>
                <w:szCs w:val="18"/>
              </w:rPr>
              <w:t xml:space="preserve">and Malaria, Ministry of Health </w:t>
            </w:r>
          </w:p>
        </w:tc>
        <w:tc>
          <w:tcPr>
            <w:tcW w:w="1751" w:type="dxa"/>
            <w:vMerge/>
            <w:tcBorders>
              <w:left w:val="single" w:sz="4" w:space="0" w:color="000000" w:themeColor="text1"/>
              <w:right w:val="single" w:sz="4" w:space="0" w:color="000000" w:themeColor="text1"/>
            </w:tcBorders>
          </w:tcPr>
          <w:p w14:paraId="5ACE5FC2" w14:textId="77777777" w:rsidR="00183BE7" w:rsidRPr="002A5068" w:rsidRDefault="00183BE7" w:rsidP="00377E24">
            <w:pPr>
              <w:spacing w:after="16"/>
              <w:ind w:left="96"/>
              <w:jc w:val="both"/>
              <w:rPr>
                <w:rFonts w:ascii="Times New Roman" w:hAnsi="Times New Roman" w:cs="Times New Roman"/>
                <w:b/>
                <w:sz w:val="18"/>
                <w:szCs w:val="18"/>
              </w:rPr>
            </w:pPr>
          </w:p>
        </w:tc>
      </w:tr>
      <w:tr w:rsidR="00183BE7" w:rsidRPr="002A5068" w14:paraId="74718A99" w14:textId="77777777" w:rsidTr="00377E24">
        <w:tc>
          <w:tcPr>
            <w:tcW w:w="2807" w:type="dxa"/>
            <w:vMerge/>
            <w:tcBorders>
              <w:left w:val="single" w:sz="4" w:space="0" w:color="000000" w:themeColor="text1"/>
              <w:right w:val="single" w:sz="4" w:space="0" w:color="000000" w:themeColor="text1"/>
            </w:tcBorders>
          </w:tcPr>
          <w:p w14:paraId="3B92C795" w14:textId="77777777" w:rsidR="00183BE7" w:rsidRPr="002A5068" w:rsidRDefault="00183BE7" w:rsidP="00377E24">
            <w:pPr>
              <w:spacing w:after="7"/>
              <w:ind w:left="142" w:right="110"/>
              <w:jc w:val="both"/>
              <w:rPr>
                <w:rFonts w:ascii="Times New Roman" w:hAnsi="Times New Roman" w:cs="Times New Roman"/>
                <w:b/>
                <w:sz w:val="18"/>
                <w:szCs w:val="18"/>
              </w:rPr>
            </w:pPr>
          </w:p>
        </w:tc>
        <w:tc>
          <w:tcPr>
            <w:tcW w:w="1776" w:type="dxa"/>
            <w:tcBorders>
              <w:left w:val="single" w:sz="4" w:space="0" w:color="000000" w:themeColor="text1"/>
              <w:right w:val="single" w:sz="4" w:space="0" w:color="000000" w:themeColor="text1"/>
            </w:tcBorders>
          </w:tcPr>
          <w:p w14:paraId="08FF680A" w14:textId="77777777" w:rsidR="00183BE7" w:rsidRPr="002A5068" w:rsidRDefault="00183BE7" w:rsidP="00377E24">
            <w:pPr>
              <w:spacing w:after="12"/>
              <w:jc w:val="both"/>
              <w:rPr>
                <w:rFonts w:ascii="Times New Roman" w:hAnsi="Times New Roman" w:cs="Times New Roman"/>
                <w:sz w:val="18"/>
                <w:szCs w:val="18"/>
              </w:rPr>
            </w:pPr>
          </w:p>
        </w:tc>
        <w:tc>
          <w:tcPr>
            <w:tcW w:w="560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4946F0FE" w14:textId="591BD1DE" w:rsidR="00183BE7" w:rsidRPr="002A5068" w:rsidRDefault="00183BE7" w:rsidP="00377E24">
            <w:pPr>
              <w:ind w:right="229"/>
              <w:jc w:val="both"/>
              <w:rPr>
                <w:rFonts w:ascii="Times New Roman" w:hAnsi="Times New Roman" w:cs="Times New Roman"/>
                <w:sz w:val="18"/>
                <w:szCs w:val="18"/>
              </w:rPr>
            </w:pPr>
            <w:r w:rsidRPr="002A5068">
              <w:rPr>
                <w:rFonts w:ascii="Times New Roman" w:hAnsi="Times New Roman" w:cs="Times New Roman"/>
                <w:b/>
                <w:sz w:val="18"/>
                <w:szCs w:val="18"/>
              </w:rPr>
              <w:t>Output 2.4</w:t>
            </w:r>
            <w:r w:rsidR="005317EF" w:rsidRPr="002A5068">
              <w:rPr>
                <w:rFonts w:ascii="Times New Roman" w:hAnsi="Times New Roman" w:cs="Times New Roman"/>
                <w:b/>
                <w:sz w:val="18"/>
                <w:szCs w:val="18"/>
              </w:rPr>
              <w:t>.</w:t>
            </w:r>
            <w:r w:rsidRPr="002A5068">
              <w:rPr>
                <w:rFonts w:ascii="Times New Roman" w:hAnsi="Times New Roman" w:cs="Times New Roman"/>
                <w:sz w:val="18"/>
                <w:szCs w:val="18"/>
              </w:rPr>
              <w:t xml:space="preserve"> National and subnational governments capacities developed for tax and trade policy harmonization, revenue diversification, </w:t>
            </w:r>
            <w:r w:rsidRPr="002A5068">
              <w:rPr>
                <w:rFonts w:ascii="Times New Roman" w:hAnsi="Times New Roman" w:cs="Times New Roman"/>
                <w:sz w:val="18"/>
                <w:szCs w:val="18"/>
              </w:rPr>
              <w:lastRenderedPageBreak/>
              <w:t>expansion of fiscal space and more transparent utilization of public resources</w:t>
            </w:r>
            <w:r w:rsidR="005317EF" w:rsidRPr="002A5068">
              <w:rPr>
                <w:rFonts w:ascii="Times New Roman" w:hAnsi="Times New Roman" w:cs="Times New Roman"/>
                <w:sz w:val="18"/>
                <w:szCs w:val="18"/>
              </w:rPr>
              <w:t>.</w:t>
            </w:r>
          </w:p>
          <w:p w14:paraId="4198244E" w14:textId="24532C8F" w:rsidR="00183BE7" w:rsidRPr="002A5068" w:rsidRDefault="00183BE7" w:rsidP="00377E24">
            <w:pPr>
              <w:ind w:right="229"/>
              <w:jc w:val="both"/>
              <w:rPr>
                <w:rFonts w:ascii="Times New Roman" w:hAnsi="Times New Roman" w:cs="Times New Roman"/>
                <w:sz w:val="18"/>
                <w:szCs w:val="18"/>
              </w:rPr>
            </w:pPr>
            <w:r w:rsidRPr="002A5068">
              <w:rPr>
                <w:rFonts w:ascii="Times New Roman" w:hAnsi="Times New Roman" w:cs="Times New Roman"/>
                <w:b/>
                <w:sz w:val="18"/>
                <w:szCs w:val="18"/>
              </w:rPr>
              <w:t>Indicator 2.4.1</w:t>
            </w:r>
            <w:r w:rsidR="005317EF" w:rsidRPr="002A5068">
              <w:rPr>
                <w:rFonts w:ascii="Times New Roman" w:hAnsi="Times New Roman" w:cs="Times New Roman"/>
                <w:b/>
                <w:sz w:val="18"/>
                <w:szCs w:val="18"/>
              </w:rPr>
              <w:t>.</w:t>
            </w:r>
            <w:r w:rsidRPr="002A5068">
              <w:rPr>
                <w:rFonts w:ascii="Times New Roman" w:hAnsi="Times New Roman" w:cs="Times New Roman"/>
                <w:b/>
                <w:sz w:val="18"/>
                <w:szCs w:val="18"/>
              </w:rPr>
              <w:t xml:space="preserve"> </w:t>
            </w:r>
            <w:r w:rsidRPr="002A5068">
              <w:rPr>
                <w:rFonts w:ascii="Times New Roman" w:hAnsi="Times New Roman" w:cs="Times New Roman"/>
                <w:sz w:val="18"/>
                <w:szCs w:val="18"/>
              </w:rPr>
              <w:t>Degree</w:t>
            </w:r>
            <w:r w:rsidRPr="002A5068">
              <w:rPr>
                <w:rStyle w:val="FootnoteReference"/>
                <w:rFonts w:ascii="Times New Roman" w:hAnsi="Times New Roman"/>
                <w:sz w:val="18"/>
                <w:szCs w:val="18"/>
              </w:rPr>
              <w:footnoteReference w:id="34"/>
            </w:r>
            <w:r w:rsidRPr="002A5068">
              <w:rPr>
                <w:rFonts w:ascii="Times New Roman" w:hAnsi="Times New Roman" w:cs="Times New Roman"/>
                <w:sz w:val="18"/>
                <w:szCs w:val="18"/>
              </w:rPr>
              <w:t xml:space="preserve"> of diversification of revenues collected at state level</w:t>
            </w:r>
          </w:p>
          <w:p w14:paraId="04B58A9F" w14:textId="77777777" w:rsidR="00183BE7" w:rsidRPr="002A5068" w:rsidRDefault="00183BE7" w:rsidP="00377E24">
            <w:pPr>
              <w:ind w:right="229"/>
              <w:jc w:val="both"/>
              <w:rPr>
                <w:rFonts w:ascii="Times New Roman" w:hAnsi="Times New Roman" w:cs="Times New Roman"/>
                <w:sz w:val="18"/>
                <w:szCs w:val="18"/>
              </w:rPr>
            </w:pPr>
            <w:r w:rsidRPr="002A5068">
              <w:rPr>
                <w:rFonts w:ascii="Times New Roman" w:hAnsi="Times New Roman" w:cs="Times New Roman"/>
                <w:b/>
                <w:sz w:val="18"/>
                <w:szCs w:val="18"/>
              </w:rPr>
              <w:t>Baseline:</w:t>
            </w:r>
            <w:r w:rsidRPr="002A5068">
              <w:rPr>
                <w:rFonts w:ascii="Times New Roman" w:hAnsi="Times New Roman" w:cs="Times New Roman"/>
                <w:sz w:val="18"/>
                <w:szCs w:val="18"/>
              </w:rPr>
              <w:t xml:space="preserve"> </w:t>
            </w:r>
            <w:r w:rsidRPr="002A5068">
              <w:rPr>
                <w:rFonts w:ascii="Times New Roman" w:hAnsi="Times New Roman" w:cs="Times New Roman"/>
                <w:b/>
                <w:sz w:val="18"/>
                <w:szCs w:val="18"/>
              </w:rPr>
              <w:t>1</w:t>
            </w:r>
          </w:p>
          <w:p w14:paraId="4393B7C6" w14:textId="77777777" w:rsidR="00183BE7" w:rsidRPr="002A5068" w:rsidRDefault="00183BE7" w:rsidP="00377E24">
            <w:pPr>
              <w:ind w:right="229"/>
              <w:jc w:val="both"/>
              <w:rPr>
                <w:rFonts w:ascii="Times New Roman" w:hAnsi="Times New Roman" w:cs="Times New Roman"/>
                <w:sz w:val="18"/>
                <w:szCs w:val="18"/>
              </w:rPr>
            </w:pPr>
            <w:r w:rsidRPr="002A5068">
              <w:rPr>
                <w:rFonts w:ascii="Times New Roman" w:hAnsi="Times New Roman" w:cs="Times New Roman"/>
                <w:b/>
                <w:sz w:val="18"/>
              </w:rPr>
              <w:t>Target</w:t>
            </w:r>
            <w:r w:rsidRPr="002A5068">
              <w:rPr>
                <w:rFonts w:ascii="Times New Roman" w:hAnsi="Times New Roman" w:cs="Times New Roman"/>
                <w:sz w:val="18"/>
                <w:szCs w:val="18"/>
              </w:rPr>
              <w:t>: 3</w:t>
            </w:r>
          </w:p>
          <w:p w14:paraId="14FE01BF" w14:textId="1B4F1215" w:rsidR="00183BE7" w:rsidRPr="002A5068" w:rsidRDefault="00183BE7" w:rsidP="00377E24">
            <w:pPr>
              <w:ind w:right="229"/>
              <w:jc w:val="both"/>
              <w:rPr>
                <w:rFonts w:ascii="Times New Roman" w:hAnsi="Times New Roman" w:cs="Times New Roman"/>
                <w:sz w:val="18"/>
                <w:szCs w:val="18"/>
              </w:rPr>
            </w:pPr>
            <w:r w:rsidRPr="002A5068">
              <w:rPr>
                <w:rFonts w:ascii="Times New Roman" w:hAnsi="Times New Roman" w:cs="Times New Roman"/>
                <w:b/>
                <w:sz w:val="18"/>
                <w:szCs w:val="18"/>
              </w:rPr>
              <w:t xml:space="preserve">Data source: </w:t>
            </w:r>
            <w:r w:rsidRPr="002A5068">
              <w:rPr>
                <w:rFonts w:ascii="Times New Roman" w:hAnsi="Times New Roman" w:cs="Times New Roman"/>
                <w:sz w:val="18"/>
                <w:szCs w:val="18"/>
              </w:rPr>
              <w:t xml:space="preserve">Revenue authority reports, Ministry of Finance </w:t>
            </w:r>
            <w:r w:rsidR="005317EF" w:rsidRPr="002A5068">
              <w:rPr>
                <w:rFonts w:ascii="Times New Roman" w:hAnsi="Times New Roman" w:cs="Times New Roman"/>
                <w:sz w:val="18"/>
                <w:szCs w:val="18"/>
              </w:rPr>
              <w:t>r</w:t>
            </w:r>
            <w:r w:rsidRPr="002A5068">
              <w:rPr>
                <w:rFonts w:ascii="Times New Roman" w:hAnsi="Times New Roman" w:cs="Times New Roman"/>
                <w:sz w:val="18"/>
                <w:szCs w:val="18"/>
              </w:rPr>
              <w:t>eports</w:t>
            </w:r>
          </w:p>
          <w:p w14:paraId="6F95B58E" w14:textId="77777777" w:rsidR="00183BE7" w:rsidRPr="002A5068" w:rsidRDefault="00183BE7" w:rsidP="00377E24">
            <w:pPr>
              <w:ind w:right="229"/>
              <w:jc w:val="both"/>
              <w:rPr>
                <w:rFonts w:ascii="Times New Roman" w:hAnsi="Times New Roman" w:cs="Times New Roman"/>
                <w:b/>
                <w:sz w:val="18"/>
                <w:szCs w:val="18"/>
              </w:rPr>
            </w:pPr>
            <w:r w:rsidRPr="002A5068">
              <w:rPr>
                <w:rFonts w:ascii="Times New Roman" w:hAnsi="Times New Roman" w:cs="Times New Roman"/>
                <w:b/>
                <w:sz w:val="18"/>
                <w:szCs w:val="18"/>
              </w:rPr>
              <w:t>Frequency:</w:t>
            </w:r>
            <w:r w:rsidRPr="002A5068">
              <w:rPr>
                <w:rFonts w:ascii="Times New Roman" w:hAnsi="Times New Roman" w:cs="Times New Roman"/>
                <w:b/>
                <w:caps/>
                <w:sz w:val="18"/>
                <w:szCs w:val="18"/>
              </w:rPr>
              <w:t xml:space="preserve"> </w:t>
            </w:r>
            <w:r w:rsidRPr="002A5068">
              <w:rPr>
                <w:rFonts w:ascii="Times New Roman" w:hAnsi="Times New Roman" w:cs="Times New Roman"/>
                <w:sz w:val="18"/>
                <w:szCs w:val="18"/>
              </w:rPr>
              <w:t>Annual</w:t>
            </w:r>
          </w:p>
          <w:p w14:paraId="5D62F920" w14:textId="77777777" w:rsidR="00183BE7" w:rsidRPr="002A5068" w:rsidRDefault="00183BE7" w:rsidP="00377E24">
            <w:pPr>
              <w:ind w:right="229"/>
              <w:jc w:val="both"/>
              <w:rPr>
                <w:rFonts w:ascii="Times New Roman" w:hAnsi="Times New Roman" w:cs="Times New Roman"/>
                <w:sz w:val="18"/>
                <w:szCs w:val="18"/>
              </w:rPr>
            </w:pPr>
          </w:p>
          <w:p w14:paraId="38FC3A3C" w14:textId="5E169B5D" w:rsidR="00183BE7" w:rsidRPr="002A5068" w:rsidRDefault="00183BE7" w:rsidP="00377E24">
            <w:pPr>
              <w:ind w:right="229"/>
              <w:jc w:val="both"/>
              <w:rPr>
                <w:rFonts w:ascii="Times New Roman" w:hAnsi="Times New Roman" w:cs="Times New Roman"/>
                <w:sz w:val="18"/>
                <w:szCs w:val="18"/>
              </w:rPr>
            </w:pPr>
            <w:r w:rsidRPr="002A5068">
              <w:rPr>
                <w:rFonts w:ascii="Times New Roman" w:hAnsi="Times New Roman" w:cs="Times New Roman"/>
                <w:b/>
                <w:sz w:val="18"/>
                <w:szCs w:val="18"/>
              </w:rPr>
              <w:t>Indicator 2.4.2</w:t>
            </w:r>
            <w:r w:rsidR="005317EF" w:rsidRPr="002A5068">
              <w:rPr>
                <w:rFonts w:ascii="Times New Roman" w:hAnsi="Times New Roman" w:cs="Times New Roman"/>
                <w:b/>
                <w:sz w:val="18"/>
                <w:szCs w:val="18"/>
              </w:rPr>
              <w:t>.</w:t>
            </w:r>
            <w:r w:rsidRPr="002A5068">
              <w:rPr>
                <w:rFonts w:ascii="Times New Roman" w:hAnsi="Times New Roman" w:cs="Times New Roman"/>
                <w:sz w:val="18"/>
                <w:szCs w:val="18"/>
              </w:rPr>
              <w:t xml:space="preserve"> Number of state governments with functioning gender-responsive tax and trade policy</w:t>
            </w:r>
          </w:p>
          <w:p w14:paraId="3F52E212" w14:textId="77777777" w:rsidR="00183BE7" w:rsidRPr="002A5068" w:rsidRDefault="00183BE7" w:rsidP="00377E24">
            <w:pPr>
              <w:ind w:right="229"/>
              <w:jc w:val="both"/>
              <w:rPr>
                <w:rFonts w:ascii="Times New Roman" w:hAnsi="Times New Roman" w:cs="Times New Roman"/>
                <w:sz w:val="18"/>
                <w:szCs w:val="18"/>
              </w:rPr>
            </w:pPr>
            <w:r w:rsidRPr="002A5068">
              <w:rPr>
                <w:rFonts w:ascii="Times New Roman" w:hAnsi="Times New Roman" w:cs="Times New Roman"/>
                <w:b/>
                <w:sz w:val="18"/>
                <w:szCs w:val="18"/>
              </w:rPr>
              <w:t>Baseline:</w:t>
            </w:r>
            <w:r w:rsidRPr="002A5068">
              <w:rPr>
                <w:rFonts w:ascii="Times New Roman" w:hAnsi="Times New Roman" w:cs="Times New Roman"/>
                <w:sz w:val="18"/>
                <w:szCs w:val="18"/>
              </w:rPr>
              <w:t xml:space="preserve">  tax policy: 4; trade policy: 0</w:t>
            </w:r>
          </w:p>
          <w:p w14:paraId="69B790F2" w14:textId="77777777" w:rsidR="00183BE7" w:rsidRPr="002A5068" w:rsidRDefault="00183BE7" w:rsidP="00377E24">
            <w:pPr>
              <w:spacing w:after="7"/>
              <w:ind w:right="110"/>
              <w:rPr>
                <w:rFonts w:ascii="Times New Roman" w:hAnsi="Times New Roman" w:cs="Times New Roman"/>
                <w:sz w:val="18"/>
                <w:szCs w:val="18"/>
              </w:rPr>
            </w:pPr>
            <w:r w:rsidRPr="002A5068">
              <w:rPr>
                <w:rFonts w:ascii="Times New Roman" w:hAnsi="Times New Roman" w:cs="Times New Roman"/>
                <w:b/>
                <w:sz w:val="18"/>
                <w:szCs w:val="18"/>
              </w:rPr>
              <w:t>Target:</w:t>
            </w:r>
            <w:r w:rsidRPr="002A5068">
              <w:rPr>
                <w:rFonts w:ascii="Times New Roman" w:hAnsi="Times New Roman" w:cs="Times New Roman"/>
                <w:sz w:val="18"/>
                <w:szCs w:val="18"/>
              </w:rPr>
              <w:t xml:space="preserve">  tax policy 10; Trade policy: 3</w:t>
            </w:r>
          </w:p>
          <w:p w14:paraId="42408DE6" w14:textId="437580B4" w:rsidR="00183BE7" w:rsidRPr="002A5068" w:rsidRDefault="00183BE7" w:rsidP="00377E24">
            <w:pPr>
              <w:spacing w:after="7"/>
              <w:ind w:right="110"/>
              <w:rPr>
                <w:rFonts w:ascii="Times New Roman" w:hAnsi="Times New Roman" w:cs="Times New Roman"/>
                <w:sz w:val="18"/>
                <w:szCs w:val="18"/>
              </w:rPr>
            </w:pPr>
            <w:r w:rsidRPr="002A5068">
              <w:rPr>
                <w:rFonts w:ascii="Times New Roman" w:hAnsi="Times New Roman" w:cs="Times New Roman"/>
                <w:b/>
                <w:sz w:val="18"/>
                <w:szCs w:val="18"/>
              </w:rPr>
              <w:t>Data source:</w:t>
            </w:r>
            <w:r w:rsidRPr="002A5068">
              <w:rPr>
                <w:rFonts w:ascii="Times New Roman" w:hAnsi="Times New Roman" w:cs="Times New Roman"/>
                <w:sz w:val="18"/>
                <w:szCs w:val="18"/>
              </w:rPr>
              <w:t xml:space="preserve"> State government revenue and Ministry of Finance </w:t>
            </w:r>
            <w:r w:rsidR="005317EF" w:rsidRPr="002A5068">
              <w:rPr>
                <w:rFonts w:ascii="Times New Roman" w:hAnsi="Times New Roman" w:cs="Times New Roman"/>
                <w:sz w:val="18"/>
                <w:szCs w:val="18"/>
              </w:rPr>
              <w:t>r</w:t>
            </w:r>
            <w:r w:rsidRPr="002A5068">
              <w:rPr>
                <w:rFonts w:ascii="Times New Roman" w:hAnsi="Times New Roman" w:cs="Times New Roman"/>
                <w:sz w:val="18"/>
                <w:szCs w:val="18"/>
              </w:rPr>
              <w:t>eports</w:t>
            </w:r>
          </w:p>
          <w:p w14:paraId="41907F4E" w14:textId="77777777" w:rsidR="00183BE7" w:rsidRPr="002A5068" w:rsidRDefault="00183BE7" w:rsidP="00377E24">
            <w:pPr>
              <w:spacing w:after="7"/>
              <w:ind w:right="110"/>
              <w:rPr>
                <w:rFonts w:ascii="Times New Roman" w:hAnsi="Times New Roman" w:cs="Times New Roman"/>
                <w:sz w:val="18"/>
                <w:szCs w:val="18"/>
              </w:rPr>
            </w:pPr>
            <w:r w:rsidRPr="002A5068">
              <w:rPr>
                <w:rFonts w:ascii="Times New Roman" w:hAnsi="Times New Roman" w:cs="Times New Roman"/>
                <w:b/>
                <w:sz w:val="18"/>
                <w:szCs w:val="18"/>
              </w:rPr>
              <w:t>Frequency</w:t>
            </w:r>
            <w:r w:rsidRPr="002A5068">
              <w:rPr>
                <w:rFonts w:ascii="Times New Roman" w:hAnsi="Times New Roman" w:cs="Times New Roman"/>
                <w:sz w:val="18"/>
                <w:szCs w:val="18"/>
              </w:rPr>
              <w:t xml:space="preserve">: Annual </w:t>
            </w:r>
          </w:p>
          <w:p w14:paraId="5F70A980" w14:textId="77777777" w:rsidR="00183BE7" w:rsidRPr="002A5068" w:rsidRDefault="00183BE7" w:rsidP="00377E24">
            <w:pPr>
              <w:rPr>
                <w:rFonts w:ascii="Times New Roman" w:hAnsi="Times New Roman" w:cs="Times New Roman"/>
                <w:b/>
                <w:sz w:val="18"/>
                <w:szCs w:val="18"/>
              </w:rPr>
            </w:pPr>
          </w:p>
          <w:p w14:paraId="00238F5C" w14:textId="0DD74166" w:rsidR="00183BE7" w:rsidRPr="002A5068" w:rsidRDefault="00183BE7" w:rsidP="00377E24">
            <w:pPr>
              <w:rPr>
                <w:rFonts w:ascii="Times New Roman" w:hAnsi="Times New Roman" w:cs="Times New Roman"/>
                <w:sz w:val="18"/>
                <w:szCs w:val="18"/>
              </w:rPr>
            </w:pPr>
            <w:r w:rsidRPr="002A5068">
              <w:rPr>
                <w:rFonts w:ascii="Times New Roman" w:hAnsi="Times New Roman" w:cs="Times New Roman"/>
                <w:b/>
                <w:sz w:val="18"/>
                <w:szCs w:val="18"/>
              </w:rPr>
              <w:t>Indicator 2.4.3</w:t>
            </w:r>
            <w:r w:rsidR="005317EF" w:rsidRPr="002A5068">
              <w:rPr>
                <w:rFonts w:ascii="Times New Roman" w:hAnsi="Times New Roman" w:cs="Times New Roman"/>
                <w:b/>
                <w:sz w:val="18"/>
                <w:szCs w:val="18"/>
              </w:rPr>
              <w:t>.</w:t>
            </w:r>
            <w:r w:rsidRPr="002A5068">
              <w:rPr>
                <w:rFonts w:ascii="Times New Roman" w:hAnsi="Times New Roman" w:cs="Times New Roman"/>
                <w:b/>
                <w:sz w:val="18"/>
                <w:szCs w:val="18"/>
              </w:rPr>
              <w:t xml:space="preserve"> </w:t>
            </w:r>
            <w:r w:rsidRPr="002A5068">
              <w:rPr>
                <w:rFonts w:ascii="Times New Roman" w:hAnsi="Times New Roman" w:cs="Times New Roman"/>
                <w:sz w:val="18"/>
                <w:szCs w:val="18"/>
              </w:rPr>
              <w:t xml:space="preserve"> Number of states with unified tax systems</w:t>
            </w:r>
          </w:p>
          <w:p w14:paraId="6F3F7990" w14:textId="77777777" w:rsidR="00183BE7" w:rsidRPr="002A5068" w:rsidRDefault="00183BE7" w:rsidP="00377E24">
            <w:pPr>
              <w:ind w:right="229"/>
              <w:jc w:val="both"/>
              <w:rPr>
                <w:rFonts w:ascii="Times New Roman" w:hAnsi="Times New Roman" w:cs="Times New Roman"/>
                <w:sz w:val="18"/>
                <w:szCs w:val="18"/>
              </w:rPr>
            </w:pPr>
            <w:r w:rsidRPr="002A5068">
              <w:rPr>
                <w:rFonts w:ascii="Times New Roman" w:hAnsi="Times New Roman" w:cs="Times New Roman"/>
                <w:b/>
                <w:sz w:val="18"/>
                <w:szCs w:val="18"/>
              </w:rPr>
              <w:t>Baseline:</w:t>
            </w:r>
            <w:r w:rsidRPr="002A5068">
              <w:rPr>
                <w:rFonts w:ascii="Times New Roman" w:hAnsi="Times New Roman" w:cs="Times New Roman"/>
                <w:sz w:val="18"/>
                <w:szCs w:val="18"/>
              </w:rPr>
              <w:t xml:space="preserve"> </w:t>
            </w:r>
            <w:r w:rsidRPr="002A5068">
              <w:rPr>
                <w:rFonts w:ascii="Times New Roman" w:hAnsi="Times New Roman" w:cs="Times New Roman"/>
                <w:sz w:val="18"/>
              </w:rPr>
              <w:t>1</w:t>
            </w:r>
          </w:p>
          <w:p w14:paraId="71276B8B" w14:textId="77777777" w:rsidR="00183BE7" w:rsidRPr="002A5068" w:rsidRDefault="00183BE7" w:rsidP="00377E24">
            <w:pPr>
              <w:ind w:right="229"/>
              <w:jc w:val="both"/>
              <w:rPr>
                <w:rFonts w:ascii="Times New Roman" w:hAnsi="Times New Roman" w:cs="Times New Roman"/>
                <w:sz w:val="18"/>
                <w:szCs w:val="18"/>
              </w:rPr>
            </w:pPr>
            <w:r w:rsidRPr="002A5068">
              <w:rPr>
                <w:rFonts w:ascii="Times New Roman" w:hAnsi="Times New Roman" w:cs="Times New Roman"/>
                <w:b/>
                <w:sz w:val="18"/>
                <w:szCs w:val="18"/>
              </w:rPr>
              <w:t>Target:</w:t>
            </w:r>
            <w:r w:rsidRPr="002A5068">
              <w:rPr>
                <w:rFonts w:ascii="Times New Roman" w:hAnsi="Times New Roman" w:cs="Times New Roman"/>
                <w:sz w:val="18"/>
                <w:szCs w:val="18"/>
              </w:rPr>
              <w:t xml:space="preserve"> 3</w:t>
            </w:r>
          </w:p>
          <w:p w14:paraId="1055A0D2" w14:textId="15F4AEE3" w:rsidR="00183BE7" w:rsidRPr="002A5068" w:rsidRDefault="00183BE7" w:rsidP="00377E24">
            <w:pPr>
              <w:spacing w:after="7"/>
              <w:ind w:right="110"/>
              <w:rPr>
                <w:rFonts w:ascii="Times New Roman" w:hAnsi="Times New Roman" w:cs="Times New Roman"/>
                <w:sz w:val="18"/>
                <w:szCs w:val="18"/>
              </w:rPr>
            </w:pPr>
            <w:r w:rsidRPr="002A5068">
              <w:rPr>
                <w:rFonts w:ascii="Times New Roman" w:hAnsi="Times New Roman" w:cs="Times New Roman"/>
                <w:b/>
                <w:sz w:val="18"/>
                <w:szCs w:val="18"/>
              </w:rPr>
              <w:t>Data source:</w:t>
            </w:r>
            <w:r w:rsidRPr="002A5068">
              <w:rPr>
                <w:rFonts w:ascii="Times New Roman" w:hAnsi="Times New Roman" w:cs="Times New Roman"/>
                <w:sz w:val="18"/>
                <w:szCs w:val="18"/>
              </w:rPr>
              <w:t xml:space="preserve"> State government revenue and Ministry of Finance </w:t>
            </w:r>
            <w:r w:rsidR="005317EF" w:rsidRPr="002A5068">
              <w:rPr>
                <w:rFonts w:ascii="Times New Roman" w:hAnsi="Times New Roman" w:cs="Times New Roman"/>
                <w:sz w:val="18"/>
                <w:szCs w:val="18"/>
              </w:rPr>
              <w:t>r</w:t>
            </w:r>
            <w:r w:rsidRPr="002A5068">
              <w:rPr>
                <w:rFonts w:ascii="Times New Roman" w:hAnsi="Times New Roman" w:cs="Times New Roman"/>
                <w:sz w:val="18"/>
                <w:szCs w:val="18"/>
              </w:rPr>
              <w:t>eports</w:t>
            </w:r>
          </w:p>
          <w:p w14:paraId="48CB096A" w14:textId="77777777" w:rsidR="00183BE7" w:rsidRPr="002A5068" w:rsidRDefault="00183BE7" w:rsidP="00377E24">
            <w:pPr>
              <w:spacing w:after="7"/>
              <w:ind w:right="110"/>
              <w:rPr>
                <w:rFonts w:ascii="Times New Roman" w:hAnsi="Times New Roman" w:cs="Times New Roman"/>
                <w:sz w:val="18"/>
                <w:szCs w:val="18"/>
              </w:rPr>
            </w:pPr>
            <w:r w:rsidRPr="002A5068">
              <w:rPr>
                <w:rFonts w:ascii="Times New Roman" w:hAnsi="Times New Roman" w:cs="Times New Roman"/>
                <w:b/>
                <w:sz w:val="18"/>
                <w:szCs w:val="18"/>
              </w:rPr>
              <w:t>Frequency</w:t>
            </w:r>
            <w:r w:rsidRPr="002A5068">
              <w:rPr>
                <w:rFonts w:ascii="Times New Roman" w:hAnsi="Times New Roman" w:cs="Times New Roman"/>
                <w:sz w:val="18"/>
                <w:szCs w:val="18"/>
              </w:rPr>
              <w:t>: Annual</w:t>
            </w:r>
          </w:p>
          <w:p w14:paraId="40074C5D" w14:textId="77777777" w:rsidR="005317EF" w:rsidRPr="002A5068" w:rsidRDefault="005317EF" w:rsidP="00377E24">
            <w:pPr>
              <w:spacing w:after="7"/>
              <w:ind w:right="110"/>
              <w:rPr>
                <w:rFonts w:ascii="Times New Roman" w:hAnsi="Times New Roman" w:cs="Times New Roman"/>
                <w:sz w:val="18"/>
                <w:szCs w:val="18"/>
              </w:rPr>
            </w:pPr>
          </w:p>
        </w:tc>
        <w:tc>
          <w:tcPr>
            <w:tcW w:w="2090" w:type="dxa"/>
            <w:tcBorders>
              <w:top w:val="single" w:sz="4" w:space="0" w:color="auto"/>
              <w:left w:val="single" w:sz="4" w:space="0" w:color="auto"/>
              <w:bottom w:val="single" w:sz="4" w:space="0" w:color="auto"/>
              <w:right w:val="single" w:sz="4" w:space="0" w:color="auto"/>
            </w:tcBorders>
          </w:tcPr>
          <w:p w14:paraId="73096ED6" w14:textId="77777777" w:rsidR="00183BE7" w:rsidRPr="002A5068" w:rsidRDefault="00183BE7" w:rsidP="00377E24">
            <w:pPr>
              <w:ind w:right="167"/>
              <w:rPr>
                <w:rFonts w:ascii="Times New Roman" w:hAnsi="Times New Roman" w:cs="Times New Roman"/>
                <w:sz w:val="18"/>
                <w:szCs w:val="18"/>
              </w:rPr>
            </w:pPr>
            <w:r w:rsidRPr="002A5068">
              <w:rPr>
                <w:rFonts w:ascii="Times New Roman" w:hAnsi="Times New Roman" w:cs="Times New Roman"/>
                <w:sz w:val="18"/>
                <w:szCs w:val="18"/>
              </w:rPr>
              <w:lastRenderedPageBreak/>
              <w:t>African Development Bank, Japan</w:t>
            </w:r>
          </w:p>
          <w:p w14:paraId="4BEE0CE4" w14:textId="77777777" w:rsidR="00183BE7" w:rsidRPr="002A5068" w:rsidRDefault="00183BE7" w:rsidP="00377E24">
            <w:pPr>
              <w:ind w:right="167"/>
              <w:rPr>
                <w:rFonts w:ascii="Times New Roman" w:hAnsi="Times New Roman" w:cs="Times New Roman"/>
                <w:sz w:val="18"/>
                <w:szCs w:val="18"/>
              </w:rPr>
            </w:pPr>
          </w:p>
          <w:p w14:paraId="06715821" w14:textId="72F3C50B" w:rsidR="00183BE7" w:rsidRPr="002A5068" w:rsidRDefault="00183BE7" w:rsidP="00377E24">
            <w:pPr>
              <w:ind w:right="167"/>
              <w:jc w:val="both"/>
              <w:rPr>
                <w:rFonts w:ascii="Times New Roman" w:hAnsi="Times New Roman" w:cs="Times New Roman"/>
                <w:sz w:val="18"/>
                <w:szCs w:val="18"/>
              </w:rPr>
            </w:pPr>
            <w:r w:rsidRPr="002A5068">
              <w:rPr>
                <w:rFonts w:ascii="Times New Roman" w:hAnsi="Times New Roman" w:cs="Times New Roman"/>
                <w:sz w:val="18"/>
                <w:szCs w:val="18"/>
              </w:rPr>
              <w:lastRenderedPageBreak/>
              <w:t xml:space="preserve">National and </w:t>
            </w:r>
            <w:r w:rsidR="00606AA1" w:rsidRPr="002A5068">
              <w:rPr>
                <w:rFonts w:ascii="Times New Roman" w:hAnsi="Times New Roman" w:cs="Times New Roman"/>
                <w:sz w:val="18"/>
                <w:szCs w:val="18"/>
              </w:rPr>
              <w:t>s</w:t>
            </w:r>
            <w:r w:rsidRPr="002A5068">
              <w:rPr>
                <w:rFonts w:ascii="Times New Roman" w:hAnsi="Times New Roman" w:cs="Times New Roman"/>
                <w:sz w:val="18"/>
                <w:szCs w:val="18"/>
              </w:rPr>
              <w:t xml:space="preserve">tate </w:t>
            </w:r>
            <w:r w:rsidR="00606AA1" w:rsidRPr="002A5068">
              <w:rPr>
                <w:rFonts w:ascii="Times New Roman" w:hAnsi="Times New Roman" w:cs="Times New Roman"/>
                <w:sz w:val="18"/>
                <w:szCs w:val="18"/>
              </w:rPr>
              <w:t>m</w:t>
            </w:r>
            <w:r w:rsidRPr="002A5068">
              <w:rPr>
                <w:rFonts w:ascii="Times New Roman" w:hAnsi="Times New Roman" w:cs="Times New Roman"/>
                <w:sz w:val="18"/>
                <w:szCs w:val="18"/>
              </w:rPr>
              <w:t xml:space="preserve">inistries of </w:t>
            </w:r>
            <w:r w:rsidR="00606AA1" w:rsidRPr="002A5068">
              <w:rPr>
                <w:rFonts w:ascii="Times New Roman" w:hAnsi="Times New Roman" w:cs="Times New Roman"/>
                <w:sz w:val="18"/>
                <w:szCs w:val="18"/>
              </w:rPr>
              <w:t>f</w:t>
            </w:r>
            <w:r w:rsidRPr="002A5068">
              <w:rPr>
                <w:rFonts w:ascii="Times New Roman" w:hAnsi="Times New Roman" w:cs="Times New Roman"/>
                <w:sz w:val="18"/>
                <w:szCs w:val="18"/>
              </w:rPr>
              <w:t xml:space="preserve">inance, NBS, </w:t>
            </w:r>
            <w:r w:rsidR="00606AA1" w:rsidRPr="002A5068">
              <w:rPr>
                <w:rFonts w:ascii="Times New Roman" w:hAnsi="Times New Roman" w:cs="Times New Roman"/>
                <w:sz w:val="18"/>
                <w:szCs w:val="18"/>
              </w:rPr>
              <w:t>u</w:t>
            </w:r>
            <w:r w:rsidRPr="002A5068">
              <w:rPr>
                <w:rFonts w:ascii="Times New Roman" w:hAnsi="Times New Roman" w:cs="Times New Roman"/>
                <w:sz w:val="18"/>
                <w:szCs w:val="18"/>
              </w:rPr>
              <w:t>niversities and CSOs</w:t>
            </w:r>
          </w:p>
        </w:tc>
        <w:tc>
          <w:tcPr>
            <w:tcW w:w="1751" w:type="dxa"/>
            <w:tcBorders>
              <w:top w:val="single" w:sz="4" w:space="0" w:color="000000" w:themeColor="text1"/>
              <w:left w:val="single" w:sz="4" w:space="0" w:color="auto"/>
              <w:bottom w:val="single" w:sz="4" w:space="0" w:color="000000" w:themeColor="text1"/>
              <w:right w:val="single" w:sz="4" w:space="0" w:color="000000" w:themeColor="text1"/>
            </w:tcBorders>
          </w:tcPr>
          <w:p w14:paraId="454EA089" w14:textId="77777777" w:rsidR="00183BE7" w:rsidRPr="002A5068" w:rsidRDefault="00183BE7" w:rsidP="00377E24">
            <w:pPr>
              <w:spacing w:after="15"/>
              <w:ind w:left="276" w:hanging="90"/>
              <w:jc w:val="both"/>
              <w:rPr>
                <w:rFonts w:ascii="Times New Roman" w:hAnsi="Times New Roman" w:cs="Times New Roman"/>
                <w:b/>
                <w:sz w:val="18"/>
                <w:szCs w:val="18"/>
              </w:rPr>
            </w:pPr>
          </w:p>
        </w:tc>
      </w:tr>
    </w:tbl>
    <w:p w14:paraId="6BCCEC7B" w14:textId="16E95349" w:rsidR="000B6352" w:rsidRPr="0034154C" w:rsidRDefault="000B6352" w:rsidP="000B6352">
      <w:pPr>
        <w:tabs>
          <w:tab w:val="left" w:pos="720"/>
        </w:tabs>
        <w:spacing w:after="120"/>
        <w:ind w:right="20"/>
        <w:jc w:val="center"/>
        <w:rPr>
          <w:color w:val="000000"/>
          <w:sz w:val="18"/>
          <w:szCs w:val="18"/>
          <w:lang w:val="en-GB"/>
        </w:rPr>
      </w:pPr>
    </w:p>
    <w:p w14:paraId="043D3965" w14:textId="0CF25101" w:rsidR="0030441F" w:rsidRPr="0034154C" w:rsidRDefault="000B6352" w:rsidP="000B6352">
      <w:pPr>
        <w:tabs>
          <w:tab w:val="left" w:pos="720"/>
        </w:tabs>
        <w:spacing w:after="120"/>
        <w:ind w:right="20"/>
        <w:jc w:val="center"/>
        <w:rPr>
          <w:color w:val="000000"/>
          <w:lang w:val="en-GB"/>
        </w:rPr>
      </w:pPr>
      <w:r w:rsidRPr="00F55E9E">
        <w:rPr>
          <w:noProof/>
          <w:color w:val="000000"/>
          <w:sz w:val="16"/>
          <w:szCs w:val="16"/>
        </w:rPr>
        <w:drawing>
          <wp:inline distT="0" distB="0" distL="0" distR="0" wp14:anchorId="471A4C75" wp14:editId="56F40E14">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30441F" w:rsidRPr="0034154C" w:rsidSect="00016460">
      <w:headerReference w:type="even" r:id="rId20"/>
      <w:head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6F7BB" w14:textId="77777777" w:rsidR="00FC6927" w:rsidRDefault="00FC6927" w:rsidP="00441061">
      <w:r>
        <w:separator/>
      </w:r>
    </w:p>
  </w:endnote>
  <w:endnote w:type="continuationSeparator" w:id="0">
    <w:p w14:paraId="135A6525" w14:textId="77777777" w:rsidR="00FC6927" w:rsidRDefault="00FC6927" w:rsidP="00441061">
      <w:r>
        <w:continuationSeparator/>
      </w:r>
    </w:p>
  </w:endnote>
  <w:endnote w:type="continuationNotice" w:id="1">
    <w:p w14:paraId="72353D85" w14:textId="77777777" w:rsidR="00FC6927" w:rsidRDefault="00FC6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567862"/>
      <w:docPartObj>
        <w:docPartGallery w:val="Page Numbers (Bottom of Page)"/>
        <w:docPartUnique/>
      </w:docPartObj>
    </w:sdtPr>
    <w:sdtEndPr>
      <w:rPr>
        <w:b/>
        <w:noProof/>
        <w:sz w:val="17"/>
        <w:szCs w:val="17"/>
      </w:rPr>
    </w:sdtEndPr>
    <w:sdtContent>
      <w:p w14:paraId="5A099E75" w14:textId="233224FF" w:rsidR="00FA2DB5" w:rsidRPr="00614FED" w:rsidRDefault="00FA2DB5" w:rsidP="00614FED">
        <w:pPr>
          <w:pStyle w:val="Footer"/>
          <w:ind w:hanging="270"/>
          <w:rPr>
            <w:b/>
            <w:sz w:val="17"/>
            <w:szCs w:val="17"/>
          </w:rPr>
        </w:pPr>
        <w:r w:rsidRPr="00614FED">
          <w:rPr>
            <w:b/>
            <w:sz w:val="17"/>
            <w:szCs w:val="17"/>
          </w:rPr>
          <w:fldChar w:fldCharType="begin"/>
        </w:r>
        <w:r w:rsidRPr="00614FED">
          <w:rPr>
            <w:b/>
            <w:sz w:val="17"/>
            <w:szCs w:val="17"/>
          </w:rPr>
          <w:instrText xml:space="preserve"> PAGE   \* MERGEFORMAT </w:instrText>
        </w:r>
        <w:r w:rsidRPr="00614FED">
          <w:rPr>
            <w:b/>
            <w:sz w:val="17"/>
            <w:szCs w:val="17"/>
          </w:rPr>
          <w:fldChar w:fldCharType="separate"/>
        </w:r>
        <w:r w:rsidR="00BC063E">
          <w:rPr>
            <w:b/>
            <w:noProof/>
            <w:sz w:val="17"/>
            <w:szCs w:val="17"/>
          </w:rPr>
          <w:t>8</w:t>
        </w:r>
        <w:r w:rsidRPr="00614FED">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770059"/>
      <w:docPartObj>
        <w:docPartGallery w:val="Page Numbers (Bottom of Page)"/>
        <w:docPartUnique/>
      </w:docPartObj>
    </w:sdtPr>
    <w:sdtEndPr>
      <w:rPr>
        <w:b/>
        <w:noProof/>
        <w:sz w:val="17"/>
        <w:szCs w:val="17"/>
      </w:rPr>
    </w:sdtEndPr>
    <w:sdtContent>
      <w:p w14:paraId="2777CBE6" w14:textId="110FEFC0" w:rsidR="00FA2DB5" w:rsidRPr="002C54A1" w:rsidRDefault="00FA2DB5" w:rsidP="002C54A1">
        <w:pPr>
          <w:pStyle w:val="Footer"/>
          <w:jc w:val="right"/>
          <w:rPr>
            <w:b/>
            <w:sz w:val="17"/>
            <w:szCs w:val="17"/>
          </w:rPr>
        </w:pPr>
        <w:r w:rsidRPr="002C54A1">
          <w:rPr>
            <w:b/>
            <w:sz w:val="17"/>
            <w:szCs w:val="17"/>
          </w:rPr>
          <w:fldChar w:fldCharType="begin"/>
        </w:r>
        <w:r w:rsidRPr="002C54A1">
          <w:rPr>
            <w:b/>
            <w:sz w:val="17"/>
            <w:szCs w:val="17"/>
          </w:rPr>
          <w:instrText xml:space="preserve"> PAGE   \* MERGEFORMAT </w:instrText>
        </w:r>
        <w:r w:rsidRPr="002C54A1">
          <w:rPr>
            <w:b/>
            <w:sz w:val="17"/>
            <w:szCs w:val="17"/>
          </w:rPr>
          <w:fldChar w:fldCharType="separate"/>
        </w:r>
        <w:r w:rsidR="00BC063E">
          <w:rPr>
            <w:b/>
            <w:noProof/>
            <w:sz w:val="17"/>
            <w:szCs w:val="17"/>
          </w:rPr>
          <w:t>7</w:t>
        </w:r>
        <w:r w:rsidRPr="002C54A1">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14EF6" w14:textId="77777777" w:rsidR="00FC6927" w:rsidRDefault="00FC6927" w:rsidP="00441061">
      <w:r>
        <w:separator/>
      </w:r>
    </w:p>
  </w:footnote>
  <w:footnote w:type="continuationSeparator" w:id="0">
    <w:p w14:paraId="6261E6B7" w14:textId="77777777" w:rsidR="00FC6927" w:rsidRDefault="00FC6927" w:rsidP="00441061">
      <w:r>
        <w:continuationSeparator/>
      </w:r>
    </w:p>
  </w:footnote>
  <w:footnote w:type="continuationNotice" w:id="1">
    <w:p w14:paraId="14EC46E4" w14:textId="77777777" w:rsidR="00FC6927" w:rsidRDefault="00FC6927"/>
  </w:footnote>
  <w:footnote w:id="2">
    <w:p w14:paraId="45FD9066" w14:textId="4BEBD0CA"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w:t>
      </w:r>
      <w:hyperlink r:id="rId1" w:history="1">
        <w:r w:rsidRPr="00F91AFF">
          <w:rPr>
            <w:rStyle w:val="Hyperlink"/>
            <w:rFonts w:ascii="Times New Roman" w:hAnsi="Times New Roman"/>
            <w:sz w:val="16"/>
            <w:szCs w:val="16"/>
          </w:rPr>
          <w:t>http://fundforpeace.org/fsi/2017/05/14/fsi-2017-factionalization-and-group-grievance-fuel-rise-in-instability/</w:t>
        </w:r>
      </w:hyperlink>
      <w:r w:rsidRPr="00F91AFF">
        <w:rPr>
          <w:rStyle w:val="Hyperlink"/>
          <w:rFonts w:ascii="Times New Roman" w:hAnsi="Times New Roman"/>
          <w:sz w:val="16"/>
          <w:szCs w:val="16"/>
        </w:rPr>
        <w:t>.</w:t>
      </w:r>
      <w:r w:rsidRPr="00F91AFF">
        <w:rPr>
          <w:rFonts w:ascii="Times New Roman" w:hAnsi="Times New Roman"/>
          <w:sz w:val="16"/>
          <w:szCs w:val="16"/>
        </w:rPr>
        <w:t xml:space="preserve"> </w:t>
      </w:r>
    </w:p>
  </w:footnote>
  <w:footnote w:id="3">
    <w:p w14:paraId="2B99634F" w14:textId="1DF9FFAB"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End-line study on peace, security and sexual and gender-based violence in South Sudan, 2017.</w:t>
      </w:r>
    </w:p>
  </w:footnote>
  <w:footnote w:id="4">
    <w:p w14:paraId="3683A7C4" w14:textId="30B5C27B"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Ibid.</w:t>
      </w:r>
    </w:p>
  </w:footnote>
  <w:footnote w:id="5">
    <w:p w14:paraId="73C7CA6A" w14:textId="3BD228BE"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As per estimates available through OCHA: </w:t>
      </w:r>
      <w:hyperlink r:id="rId2" w:history="1">
        <w:r w:rsidRPr="00F91AFF">
          <w:rPr>
            <w:rStyle w:val="Hyperlink"/>
            <w:rFonts w:ascii="Times New Roman" w:hAnsi="Times New Roman"/>
            <w:sz w:val="16"/>
            <w:szCs w:val="16"/>
          </w:rPr>
          <w:t>http://www.unocha.org/south-sudan</w:t>
        </w:r>
      </w:hyperlink>
      <w:r w:rsidRPr="00F91AFF">
        <w:rPr>
          <w:rStyle w:val="Hyperlink"/>
          <w:rFonts w:ascii="Times New Roman" w:hAnsi="Times New Roman"/>
          <w:sz w:val="16"/>
          <w:szCs w:val="16"/>
        </w:rPr>
        <w:t>.</w:t>
      </w:r>
    </w:p>
    <w:p w14:paraId="52AD37E6" w14:textId="22A433BB" w:rsidR="00FA2DB5" w:rsidRPr="00F91AFF" w:rsidRDefault="00FA2DB5" w:rsidP="00C63C2E">
      <w:pPr>
        <w:pStyle w:val="FootnoteText"/>
        <w:rPr>
          <w:rFonts w:ascii="Times New Roman" w:hAnsi="Times New Roman"/>
          <w:sz w:val="16"/>
          <w:szCs w:val="16"/>
        </w:rPr>
      </w:pPr>
      <w:r w:rsidRPr="00F91AFF">
        <w:rPr>
          <w:rFonts w:ascii="Times New Roman" w:hAnsi="Times New Roman"/>
          <w:sz w:val="16"/>
          <w:szCs w:val="16"/>
        </w:rPr>
        <w:t xml:space="preserve"> and </w:t>
      </w:r>
      <w:hyperlink r:id="rId3" w:history="1">
        <w:r w:rsidRPr="00F91AFF">
          <w:rPr>
            <w:rStyle w:val="Hyperlink"/>
            <w:rFonts w:ascii="Times New Roman" w:hAnsi="Times New Roman"/>
            <w:sz w:val="16"/>
            <w:szCs w:val="16"/>
          </w:rPr>
          <w:t>http://www.unhcr.org/news/stories/2017/8/59915f604/south-sudanese-refugees-uganda-exceed-1-million.html</w:t>
        </w:r>
      </w:hyperlink>
      <w:r w:rsidRPr="00F91AFF">
        <w:rPr>
          <w:rStyle w:val="Hyperlink"/>
          <w:rFonts w:ascii="Times New Roman" w:hAnsi="Times New Roman"/>
          <w:sz w:val="16"/>
          <w:szCs w:val="16"/>
        </w:rPr>
        <w:t>.</w:t>
      </w:r>
    </w:p>
  </w:footnote>
  <w:footnote w:id="6">
    <w:p w14:paraId="5A4641E7" w14:textId="6256C4A9"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Integrated food security phase classification, South Sudan, January-July 2018.</w:t>
      </w:r>
    </w:p>
  </w:footnote>
  <w:footnote w:id="7">
    <w:p w14:paraId="545B2278" w14:textId="77777777"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w:t>
      </w:r>
      <w:hyperlink r:id="rId4" w:history="1">
        <w:r w:rsidRPr="00F91AFF">
          <w:rPr>
            <w:rStyle w:val="Hyperlink"/>
            <w:rFonts w:ascii="Times New Roman" w:hAnsi="Times New Roman"/>
            <w:sz w:val="16"/>
            <w:szCs w:val="16"/>
          </w:rPr>
          <w:t>http://www.undp.org/content/undp/en/home/blog/2017/6/29/Confronting-climate-change-in-South-Sudan.html</w:t>
        </w:r>
      </w:hyperlink>
      <w:r w:rsidRPr="00F91AFF">
        <w:rPr>
          <w:rFonts w:ascii="Times New Roman" w:hAnsi="Times New Roman"/>
          <w:sz w:val="16"/>
          <w:szCs w:val="16"/>
        </w:rPr>
        <w:t xml:space="preserve"> </w:t>
      </w:r>
    </w:p>
  </w:footnote>
  <w:footnote w:id="8">
    <w:p w14:paraId="4746307B" w14:textId="27E29984"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South Sudan: Mapping the supply chain for solar lighting products, Lighting Africa, International Financial Corporation and the World Bank, 2013.</w:t>
      </w:r>
    </w:p>
  </w:footnote>
  <w:footnote w:id="9">
    <w:p w14:paraId="339F887F" w14:textId="5ED002B0"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Republic of South Sudan, National adaptation programme of actions to climate change, 2015.</w:t>
      </w:r>
    </w:p>
  </w:footnote>
  <w:footnote w:id="10">
    <w:p w14:paraId="0A44439C" w14:textId="6E622C11" w:rsidR="00FA2DB5" w:rsidRPr="00F91AFF" w:rsidRDefault="00FA2DB5" w:rsidP="00C63C2E">
      <w:pPr>
        <w:pStyle w:val="EndnoteText"/>
        <w:rPr>
          <w:sz w:val="16"/>
          <w:szCs w:val="16"/>
        </w:rPr>
      </w:pPr>
      <w:r w:rsidRPr="00B16A6B">
        <w:rPr>
          <w:rStyle w:val="FootnoteReference"/>
          <w:sz w:val="16"/>
        </w:rPr>
        <w:footnoteRef/>
      </w:r>
      <w:r w:rsidRPr="00B16A6B">
        <w:rPr>
          <w:sz w:val="16"/>
        </w:rPr>
        <w:t xml:space="preserve"> South Sudan </w:t>
      </w:r>
      <w:r w:rsidRPr="00F91AFF">
        <w:rPr>
          <w:sz w:val="16"/>
          <w:szCs w:val="16"/>
        </w:rPr>
        <w:t>initial national communication</w:t>
      </w:r>
      <w:r w:rsidRPr="00B16A6B">
        <w:rPr>
          <w:sz w:val="16"/>
        </w:rPr>
        <w:t xml:space="preserve"> to the United Nations Framewo</w:t>
      </w:r>
      <w:r w:rsidR="00CD4161">
        <w:rPr>
          <w:sz w:val="16"/>
        </w:rPr>
        <w:t xml:space="preserve">rk Convention on Climate Change, </w:t>
      </w:r>
      <w:r w:rsidRPr="002A5068">
        <w:rPr>
          <w:sz w:val="16"/>
        </w:rPr>
        <w:t xml:space="preserve">Government </w:t>
      </w:r>
      <w:r>
        <w:rPr>
          <w:sz w:val="16"/>
        </w:rPr>
        <w:t xml:space="preserve">of South Sudan and the </w:t>
      </w:r>
      <w:r w:rsidRPr="00F91AFF">
        <w:rPr>
          <w:sz w:val="16"/>
          <w:szCs w:val="16"/>
        </w:rPr>
        <w:t xml:space="preserve">United Nations Environment Programme, </w:t>
      </w:r>
      <w:r w:rsidRPr="00B16A6B">
        <w:rPr>
          <w:sz w:val="16"/>
        </w:rPr>
        <w:t>2017</w:t>
      </w:r>
      <w:r w:rsidRPr="00F91AFF">
        <w:rPr>
          <w:sz w:val="16"/>
          <w:szCs w:val="16"/>
        </w:rPr>
        <w:t>.</w:t>
      </w:r>
    </w:p>
  </w:footnote>
  <w:footnote w:id="11">
    <w:p w14:paraId="77E2787B" w14:textId="28CB37A8"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Ibid.</w:t>
      </w:r>
    </w:p>
  </w:footnote>
  <w:footnote w:id="12">
    <w:p w14:paraId="46350B75" w14:textId="3045F0A6"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South Sudan Poverty Profile, World Bank, 2018.</w:t>
      </w:r>
    </w:p>
  </w:footnote>
  <w:footnote w:id="13">
    <w:p w14:paraId="7C055C3F" w14:textId="286E56C8"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w:t>
      </w:r>
      <w:hyperlink r:id="rId5" w:history="1">
        <w:r w:rsidRPr="00F91AFF">
          <w:rPr>
            <w:rStyle w:val="Hyperlink"/>
            <w:rFonts w:ascii="Times New Roman" w:hAnsi="Times New Roman"/>
            <w:color w:val="auto"/>
            <w:sz w:val="16"/>
            <w:szCs w:val="16"/>
          </w:rPr>
          <w:t>National</w:t>
        </w:r>
      </w:hyperlink>
      <w:r w:rsidRPr="00F91AFF">
        <w:rPr>
          <w:rStyle w:val="Hyperlink"/>
          <w:rFonts w:ascii="Times New Roman" w:hAnsi="Times New Roman"/>
          <w:color w:val="auto"/>
          <w:sz w:val="16"/>
          <w:szCs w:val="16"/>
        </w:rPr>
        <w:t xml:space="preserve"> Bureau of Statistics, 2018</w:t>
      </w:r>
      <w:r w:rsidRPr="00F91AFF">
        <w:rPr>
          <w:rFonts w:ascii="Times New Roman" w:hAnsi="Times New Roman"/>
          <w:sz w:val="16"/>
          <w:szCs w:val="16"/>
        </w:rPr>
        <w:t>.</w:t>
      </w:r>
    </w:p>
  </w:footnote>
  <w:footnote w:id="14">
    <w:p w14:paraId="74B0C76F" w14:textId="75156137"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South Sudan Economic Snapshot, 2017. </w:t>
      </w:r>
    </w:p>
  </w:footnote>
  <w:footnote w:id="15">
    <w:p w14:paraId="3CDFD28E" w14:textId="1313E138" w:rsidR="00FA2DB5" w:rsidRPr="00F91AFF" w:rsidRDefault="00FA2DB5" w:rsidP="00C63C2E">
      <w:pPr>
        <w:rPr>
          <w:sz w:val="16"/>
          <w:szCs w:val="16"/>
        </w:rPr>
      </w:pPr>
      <w:r w:rsidRPr="00F91AFF">
        <w:rPr>
          <w:rStyle w:val="FootnoteReference"/>
          <w:sz w:val="16"/>
          <w:szCs w:val="16"/>
        </w:rPr>
        <w:footnoteRef/>
      </w:r>
      <w:r w:rsidRPr="00F91AFF">
        <w:rPr>
          <w:sz w:val="16"/>
          <w:szCs w:val="16"/>
        </w:rPr>
        <w:t xml:space="preserve"> </w:t>
      </w:r>
      <w:hyperlink r:id="rId6" w:history="1">
        <w:r w:rsidRPr="00F91AFF">
          <w:rPr>
            <w:rStyle w:val="Hyperlink"/>
            <w:sz w:val="16"/>
            <w:szCs w:val="16"/>
          </w:rPr>
          <w:t>http://documents.worldbank.org/curated/en/112071516734556800/pdf/IDA-R2017-0340-11172017.pdf</w:t>
        </w:r>
      </w:hyperlink>
      <w:r w:rsidRPr="00F91AFF">
        <w:rPr>
          <w:rStyle w:val="Hyperlink"/>
          <w:sz w:val="16"/>
          <w:szCs w:val="16"/>
        </w:rPr>
        <w:t>.</w:t>
      </w:r>
    </w:p>
  </w:footnote>
  <w:footnote w:id="16">
    <w:p w14:paraId="719D5458" w14:textId="7CB3EC45"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w:t>
      </w:r>
      <w:hyperlink r:id="rId7" w:history="1">
        <w:r w:rsidRPr="00F91AFF">
          <w:rPr>
            <w:rStyle w:val="Hyperlink"/>
            <w:rFonts w:ascii="Times New Roman" w:hAnsi="Times New Roman"/>
            <w:sz w:val="16"/>
            <w:szCs w:val="16"/>
          </w:rPr>
          <w:t>http://www.worldbank.org/en/country/southsudan/overview</w:t>
        </w:r>
      </w:hyperlink>
      <w:r w:rsidRPr="00F91AFF">
        <w:rPr>
          <w:rStyle w:val="Hyperlink"/>
          <w:rFonts w:ascii="Times New Roman" w:hAnsi="Times New Roman"/>
          <w:sz w:val="16"/>
          <w:szCs w:val="16"/>
        </w:rPr>
        <w:t>.</w:t>
      </w:r>
      <w:r w:rsidRPr="00F91AFF">
        <w:rPr>
          <w:rFonts w:ascii="Times New Roman" w:hAnsi="Times New Roman"/>
          <w:sz w:val="16"/>
          <w:szCs w:val="16"/>
        </w:rPr>
        <w:t xml:space="preserve"> </w:t>
      </w:r>
    </w:p>
  </w:footnote>
  <w:footnote w:id="17">
    <w:p w14:paraId="3BB9AE1A" w14:textId="3BAA4C1D"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Transparency International, 2018): </w:t>
      </w:r>
      <w:hyperlink r:id="rId8" w:history="1">
        <w:r w:rsidRPr="00F91AFF">
          <w:rPr>
            <w:rStyle w:val="Hyperlink"/>
            <w:rFonts w:ascii="Times New Roman" w:hAnsi="Times New Roman"/>
            <w:sz w:val="16"/>
            <w:szCs w:val="16"/>
          </w:rPr>
          <w:t>www.transparency.org/country/SSD</w:t>
        </w:r>
      </w:hyperlink>
      <w:r w:rsidRPr="00F91AFF">
        <w:rPr>
          <w:rStyle w:val="Hyperlink"/>
          <w:rFonts w:ascii="Times New Roman" w:hAnsi="Times New Roman"/>
          <w:sz w:val="16"/>
          <w:szCs w:val="16"/>
        </w:rPr>
        <w:t>.</w:t>
      </w:r>
    </w:p>
  </w:footnote>
  <w:footnote w:id="18">
    <w:p w14:paraId="5D58F848" w14:textId="0F36D2CC"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w:t>
      </w:r>
      <w:hyperlink r:id="rId9" w:history="1">
        <w:r w:rsidRPr="00F91AFF">
          <w:rPr>
            <w:rStyle w:val="Hyperlink"/>
            <w:rFonts w:ascii="Times New Roman" w:hAnsi="Times New Roman"/>
            <w:sz w:val="16"/>
            <w:szCs w:val="16"/>
          </w:rPr>
          <w:t>https://radiotamazuj.org/en/news/article/aweil-inaugurates-first-ever-state-revenue-authority</w:t>
        </w:r>
      </w:hyperlink>
      <w:r w:rsidRPr="00F91AFF">
        <w:rPr>
          <w:rStyle w:val="Hyperlink"/>
          <w:rFonts w:ascii="Times New Roman" w:hAnsi="Times New Roman"/>
          <w:sz w:val="16"/>
          <w:szCs w:val="16"/>
        </w:rPr>
        <w:t>.</w:t>
      </w:r>
      <w:r w:rsidRPr="00F91AFF">
        <w:rPr>
          <w:rFonts w:ascii="Times New Roman" w:hAnsi="Times New Roman"/>
          <w:sz w:val="16"/>
          <w:szCs w:val="16"/>
        </w:rPr>
        <w:t xml:space="preserve"> </w:t>
      </w:r>
    </w:p>
  </w:footnote>
  <w:footnote w:id="19">
    <w:p w14:paraId="3939BE05" w14:textId="5E413083"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w:t>
      </w:r>
      <w:r w:rsidRPr="00F91AFF">
        <w:rPr>
          <w:rFonts w:ascii="Times New Roman" w:eastAsia="Batang" w:hAnsi="Times New Roman"/>
          <w:sz w:val="16"/>
          <w:szCs w:val="16"/>
        </w:rPr>
        <w:t>National census, 2008.</w:t>
      </w:r>
    </w:p>
  </w:footnote>
  <w:footnote w:id="20">
    <w:p w14:paraId="773B93D0" w14:textId="05EEF8B2"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South Sudan UNCF strategic prioritization synthesis note, 2017.  </w:t>
      </w:r>
    </w:p>
  </w:footnote>
  <w:footnote w:id="21">
    <w:p w14:paraId="43A29623" w14:textId="51EBD427"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Evaluation of UNDP country programme document for South Sudan, 2013-2016, outcomes 1 and 5.</w:t>
      </w:r>
    </w:p>
  </w:footnote>
  <w:footnote w:id="22">
    <w:p w14:paraId="4F66950E" w14:textId="5CBF4821"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Annual report of the Global Fund to Fight AIDS, Tuberculosis and Malaria, South Sudan, 2016.</w:t>
      </w:r>
    </w:p>
  </w:footnote>
  <w:footnote w:id="23">
    <w:p w14:paraId="2D7119D9" w14:textId="6D52967E"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Joint annual report, 2017.</w:t>
      </w:r>
    </w:p>
  </w:footnote>
  <w:footnote w:id="24">
    <w:p w14:paraId="66F9528D" w14:textId="1464454E" w:rsidR="00FA2DB5" w:rsidRPr="00F91AFF" w:rsidRDefault="00FA2DB5" w:rsidP="00C63C2E">
      <w:pPr>
        <w:pStyle w:val="FootnoteText"/>
        <w:rPr>
          <w:rFonts w:ascii="Times New Roman" w:hAnsi="Times New Roman"/>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Mid-term evaluation of the support to public administration project, RSS/IGAD, Regional Initiative for Capacity Enhancement in South Sudan.</w:t>
      </w:r>
    </w:p>
  </w:footnote>
  <w:footnote w:id="25">
    <w:p w14:paraId="05E0D852" w14:textId="034769F5" w:rsidR="00FA2DB5" w:rsidRPr="00F91AFF" w:rsidRDefault="00FA2DB5" w:rsidP="00C63C2E">
      <w:pPr>
        <w:pStyle w:val="FootnoteText"/>
        <w:rPr>
          <w:sz w:val="16"/>
          <w:szCs w:val="16"/>
        </w:rPr>
      </w:pPr>
      <w:r w:rsidRPr="00F91AFF">
        <w:rPr>
          <w:rStyle w:val="FootnoteReference"/>
          <w:rFonts w:ascii="Times New Roman" w:hAnsi="Times New Roman"/>
          <w:sz w:val="16"/>
          <w:szCs w:val="16"/>
        </w:rPr>
        <w:footnoteRef/>
      </w:r>
      <w:r w:rsidRPr="00F91AFF">
        <w:rPr>
          <w:rFonts w:ascii="Times New Roman" w:hAnsi="Times New Roman"/>
          <w:sz w:val="16"/>
          <w:szCs w:val="16"/>
        </w:rPr>
        <w:t xml:space="preserve"> Summative evaluation of the UNDP community security and arms control project, 2017</w:t>
      </w:r>
      <w:r w:rsidRPr="00F91AFF">
        <w:rPr>
          <w:rFonts w:ascii="Times New Roman" w:hAnsi="Times New Roman"/>
          <w:color w:val="0070C0"/>
          <w:sz w:val="16"/>
          <w:szCs w:val="16"/>
        </w:rPr>
        <w:t>.</w:t>
      </w:r>
    </w:p>
  </w:footnote>
  <w:footnote w:id="26">
    <w:p w14:paraId="3CFF291F" w14:textId="5A5BDD12" w:rsidR="00FA2DB5" w:rsidRPr="00F91AFF" w:rsidRDefault="00FA2DB5" w:rsidP="00C63C2E">
      <w:pPr>
        <w:pStyle w:val="FootnoteText"/>
        <w:rPr>
          <w:sz w:val="16"/>
          <w:szCs w:val="16"/>
        </w:rPr>
      </w:pPr>
      <w:r w:rsidRPr="00F55E9E">
        <w:rPr>
          <w:rFonts w:ascii="Times New Roman" w:hAnsi="Times New Roman"/>
          <w:sz w:val="16"/>
        </w:rPr>
        <w:footnoteRef/>
      </w:r>
      <w:r w:rsidRPr="00F91AFF">
        <w:rPr>
          <w:rFonts w:ascii="Times New Roman" w:hAnsi="Times New Roman"/>
          <w:sz w:val="16"/>
          <w:szCs w:val="16"/>
        </w:rPr>
        <w:t xml:space="preserve">  </w:t>
      </w:r>
      <w:r>
        <w:rPr>
          <w:rFonts w:ascii="Times New Roman" w:hAnsi="Times New Roman"/>
          <w:sz w:val="16"/>
          <w:szCs w:val="16"/>
        </w:rPr>
        <w:t>UNDP ‘core governance functions’</w:t>
      </w:r>
      <w:r w:rsidRPr="00F55E9E">
        <w:rPr>
          <w:rFonts w:ascii="Times New Roman" w:hAnsi="Times New Roman"/>
          <w:sz w:val="16"/>
        </w:rPr>
        <w:t xml:space="preserve"> definition is guided by the 2009 Report of the Secretary-General on Peacebuilding in the Immediate Aftermath of Conflict, comprising</w:t>
      </w:r>
      <w:r>
        <w:rPr>
          <w:rFonts w:ascii="Times New Roman" w:hAnsi="Times New Roman"/>
          <w:sz w:val="16"/>
          <w:szCs w:val="16"/>
        </w:rPr>
        <w:t>: (a) cent</w:t>
      </w:r>
      <w:r w:rsidRPr="00F91AFF">
        <w:rPr>
          <w:rFonts w:ascii="Times New Roman" w:hAnsi="Times New Roman"/>
          <w:sz w:val="16"/>
          <w:szCs w:val="16"/>
        </w:rPr>
        <w:t>r</w:t>
      </w:r>
      <w:r>
        <w:rPr>
          <w:rFonts w:ascii="Times New Roman" w:hAnsi="Times New Roman"/>
          <w:sz w:val="16"/>
          <w:szCs w:val="16"/>
        </w:rPr>
        <w:t>e</w:t>
      </w:r>
      <w:r w:rsidRPr="00F55E9E">
        <w:rPr>
          <w:rFonts w:ascii="Times New Roman" w:hAnsi="Times New Roman"/>
          <w:sz w:val="16"/>
        </w:rPr>
        <w:t xml:space="preserve"> of government</w:t>
      </w:r>
      <w:r>
        <w:rPr>
          <w:rFonts w:ascii="Times New Roman" w:hAnsi="Times New Roman"/>
          <w:sz w:val="16"/>
          <w:szCs w:val="16"/>
        </w:rPr>
        <w:t>; (b</w:t>
      </w:r>
      <w:r w:rsidRPr="00F55E9E">
        <w:rPr>
          <w:rFonts w:ascii="Times New Roman" w:hAnsi="Times New Roman"/>
          <w:sz w:val="16"/>
        </w:rPr>
        <w:t>) civil service</w:t>
      </w:r>
      <w:r>
        <w:rPr>
          <w:rFonts w:ascii="Times New Roman" w:hAnsi="Times New Roman"/>
          <w:sz w:val="16"/>
          <w:szCs w:val="16"/>
        </w:rPr>
        <w:t>; (c</w:t>
      </w:r>
      <w:r w:rsidRPr="00F55E9E">
        <w:rPr>
          <w:rFonts w:ascii="Times New Roman" w:hAnsi="Times New Roman"/>
          <w:sz w:val="16"/>
        </w:rPr>
        <w:t>) local governance</w:t>
      </w:r>
      <w:r>
        <w:rPr>
          <w:rFonts w:ascii="Times New Roman" w:hAnsi="Times New Roman"/>
          <w:sz w:val="16"/>
          <w:szCs w:val="16"/>
        </w:rPr>
        <w:t>; and (d</w:t>
      </w:r>
      <w:r w:rsidRPr="00F91AFF">
        <w:rPr>
          <w:rFonts w:ascii="Times New Roman" w:hAnsi="Times New Roman"/>
          <w:sz w:val="16"/>
          <w:szCs w:val="16"/>
        </w:rPr>
        <w:t xml:space="preserve">) </w:t>
      </w:r>
      <w:r>
        <w:rPr>
          <w:rFonts w:ascii="Times New Roman" w:hAnsi="Times New Roman"/>
          <w:sz w:val="16"/>
          <w:szCs w:val="16"/>
        </w:rPr>
        <w:t>public financial management.</w:t>
      </w:r>
    </w:p>
  </w:footnote>
  <w:footnote w:id="27">
    <w:p w14:paraId="23D95B69" w14:textId="77777777" w:rsidR="00FA2DB5" w:rsidRPr="00F91AFF" w:rsidRDefault="00FA2DB5" w:rsidP="00C63C2E">
      <w:pPr>
        <w:pStyle w:val="FootnoteText"/>
        <w:rPr>
          <w:sz w:val="16"/>
          <w:szCs w:val="16"/>
        </w:rPr>
      </w:pPr>
      <w:r w:rsidRPr="00F55E9E">
        <w:rPr>
          <w:rStyle w:val="FootnoteReference"/>
          <w:sz w:val="16"/>
        </w:rPr>
        <w:footnoteRef/>
      </w:r>
      <w:r w:rsidRPr="00F55E9E">
        <w:rPr>
          <w:sz w:val="16"/>
        </w:rPr>
        <w:t xml:space="preserve"> </w:t>
      </w:r>
      <w:r w:rsidRPr="00F55E9E">
        <w:rPr>
          <w:rFonts w:ascii="Times New Roman" w:hAnsi="Times New Roman"/>
          <w:sz w:val="16"/>
        </w:rPr>
        <w:t>South Sudan is a leading member of the G7+ and a pilot country for New Deal implementation.</w:t>
      </w:r>
    </w:p>
  </w:footnote>
  <w:footnote w:id="28">
    <w:p w14:paraId="0E5704DE" w14:textId="77777777" w:rsidR="00FA2DB5" w:rsidRPr="00F91AFF" w:rsidRDefault="00FA2DB5" w:rsidP="00011A49">
      <w:pPr>
        <w:pStyle w:val="FootnoteText"/>
        <w:rPr>
          <w:sz w:val="16"/>
          <w:szCs w:val="16"/>
        </w:rPr>
      </w:pPr>
      <w:r w:rsidRPr="00D24D50">
        <w:rPr>
          <w:rStyle w:val="FootnoteReference"/>
          <w:sz w:val="16"/>
        </w:rPr>
        <w:footnoteRef/>
      </w:r>
      <w:r w:rsidRPr="00D24D50">
        <w:rPr>
          <w:sz w:val="16"/>
        </w:rPr>
        <w:t xml:space="preserve"> </w:t>
      </w:r>
      <w:r w:rsidRPr="00D24D50">
        <w:rPr>
          <w:rFonts w:ascii="Times New Roman" w:hAnsi="Times New Roman"/>
          <w:sz w:val="16"/>
        </w:rPr>
        <w:t xml:space="preserve">Including </w:t>
      </w:r>
      <w:r>
        <w:rPr>
          <w:rFonts w:ascii="Times New Roman" w:hAnsi="Times New Roman"/>
          <w:sz w:val="16"/>
          <w:szCs w:val="16"/>
        </w:rPr>
        <w:t xml:space="preserve">the </w:t>
      </w:r>
      <w:r w:rsidRPr="00D24D50">
        <w:rPr>
          <w:rFonts w:ascii="Times New Roman" w:hAnsi="Times New Roman"/>
          <w:sz w:val="16"/>
        </w:rPr>
        <w:t xml:space="preserve">UNDP </w:t>
      </w:r>
      <w:r>
        <w:rPr>
          <w:rFonts w:ascii="Times New Roman" w:hAnsi="Times New Roman"/>
          <w:sz w:val="16"/>
          <w:szCs w:val="16"/>
        </w:rPr>
        <w:t>anti-fraud p</w:t>
      </w:r>
      <w:r w:rsidRPr="00F91AFF">
        <w:rPr>
          <w:rFonts w:ascii="Times New Roman" w:hAnsi="Times New Roman"/>
          <w:sz w:val="16"/>
          <w:szCs w:val="16"/>
        </w:rPr>
        <w:t>o</w:t>
      </w:r>
      <w:r>
        <w:rPr>
          <w:rFonts w:ascii="Times New Roman" w:hAnsi="Times New Roman"/>
          <w:sz w:val="16"/>
          <w:szCs w:val="16"/>
        </w:rPr>
        <w:t>licy; the policy</w:t>
      </w:r>
      <w:r w:rsidRPr="00D24D50">
        <w:rPr>
          <w:rFonts w:ascii="Times New Roman" w:hAnsi="Times New Roman"/>
          <w:sz w:val="16"/>
        </w:rPr>
        <w:t xml:space="preserve"> for </w:t>
      </w:r>
      <w:r>
        <w:rPr>
          <w:rFonts w:ascii="Times New Roman" w:hAnsi="Times New Roman"/>
          <w:sz w:val="16"/>
          <w:szCs w:val="16"/>
        </w:rPr>
        <w:t>protection</w:t>
      </w:r>
      <w:r w:rsidRPr="00D24D50">
        <w:rPr>
          <w:rFonts w:ascii="Times New Roman" w:hAnsi="Times New Roman"/>
          <w:sz w:val="16"/>
        </w:rPr>
        <w:t xml:space="preserve"> against </w:t>
      </w:r>
      <w:r>
        <w:rPr>
          <w:rFonts w:ascii="Times New Roman" w:hAnsi="Times New Roman"/>
          <w:sz w:val="16"/>
          <w:szCs w:val="16"/>
        </w:rPr>
        <w:t>retaliation;</w:t>
      </w:r>
      <w:r w:rsidRPr="00D24D50">
        <w:rPr>
          <w:rFonts w:ascii="Times New Roman" w:hAnsi="Times New Roman"/>
          <w:sz w:val="16"/>
        </w:rPr>
        <w:t xml:space="preserve"> social, environmental standards</w:t>
      </w:r>
      <w:r>
        <w:rPr>
          <w:rFonts w:ascii="Times New Roman" w:hAnsi="Times New Roman"/>
          <w:sz w:val="16"/>
          <w:szCs w:val="16"/>
        </w:rPr>
        <w:t>;</w:t>
      </w:r>
      <w:r w:rsidRPr="00F91AFF">
        <w:rPr>
          <w:rFonts w:ascii="Times New Roman" w:hAnsi="Times New Roman"/>
          <w:sz w:val="16"/>
          <w:szCs w:val="16"/>
        </w:rPr>
        <w:t xml:space="preserve"> </w:t>
      </w:r>
      <w:r>
        <w:rPr>
          <w:rFonts w:ascii="Times New Roman" w:hAnsi="Times New Roman"/>
          <w:sz w:val="16"/>
          <w:szCs w:val="16"/>
        </w:rPr>
        <w:t>and</w:t>
      </w:r>
      <w:r w:rsidRPr="00D24D50">
        <w:rPr>
          <w:rFonts w:ascii="Times New Roman" w:hAnsi="Times New Roman"/>
          <w:sz w:val="16"/>
        </w:rPr>
        <w:t xml:space="preserve"> enhanced safeguards against sexual exploitation and abuse for all interventions</w:t>
      </w:r>
      <w:r>
        <w:rPr>
          <w:rFonts w:ascii="Times New Roman" w:hAnsi="Times New Roman"/>
          <w:sz w:val="16"/>
          <w:szCs w:val="16"/>
        </w:rPr>
        <w:t>.</w:t>
      </w:r>
    </w:p>
  </w:footnote>
  <w:footnote w:id="29">
    <w:p w14:paraId="42DEFFD3" w14:textId="7FF0448C" w:rsidR="00FA2DB5" w:rsidRPr="00F91AFF" w:rsidRDefault="00FA2DB5" w:rsidP="00183BE7">
      <w:pPr>
        <w:pStyle w:val="FootnoteText"/>
        <w:rPr>
          <w:rFonts w:ascii="Times New Roman" w:hAnsi="Times New Roman"/>
          <w:sz w:val="16"/>
          <w:szCs w:val="16"/>
        </w:rPr>
      </w:pPr>
      <w:r w:rsidRPr="00F55E9E">
        <w:rPr>
          <w:rStyle w:val="FootnoteReference"/>
          <w:rFonts w:ascii="Times New Roman" w:hAnsi="Times New Roman"/>
          <w:sz w:val="16"/>
        </w:rPr>
        <w:footnoteRef/>
      </w:r>
      <w:r w:rsidRPr="00F55E9E">
        <w:rPr>
          <w:rFonts w:ascii="Times New Roman" w:hAnsi="Times New Roman"/>
          <w:sz w:val="16"/>
        </w:rPr>
        <w:t xml:space="preserve"> </w:t>
      </w:r>
      <w:r w:rsidRPr="00C2171C">
        <w:rPr>
          <w:rFonts w:ascii="Times New Roman" w:hAnsi="Times New Roman"/>
          <w:sz w:val="16"/>
          <w:szCs w:val="16"/>
        </w:rPr>
        <w:t>TBD.</w:t>
      </w:r>
    </w:p>
  </w:footnote>
  <w:footnote w:id="30">
    <w:p w14:paraId="00091F64" w14:textId="123DF940" w:rsidR="00FA2DB5" w:rsidRPr="00F91AFF" w:rsidRDefault="00FA2DB5" w:rsidP="00183BE7">
      <w:pPr>
        <w:pStyle w:val="FootnoteText"/>
        <w:rPr>
          <w:sz w:val="16"/>
          <w:szCs w:val="16"/>
        </w:rPr>
      </w:pPr>
      <w:r w:rsidRPr="00F55E9E">
        <w:rPr>
          <w:rStyle w:val="FootnoteReference"/>
          <w:rFonts w:ascii="Times New Roman" w:hAnsi="Times New Roman"/>
          <w:sz w:val="16"/>
        </w:rPr>
        <w:footnoteRef/>
      </w:r>
      <w:r w:rsidRPr="00F55E9E">
        <w:rPr>
          <w:rFonts w:ascii="Times New Roman" w:hAnsi="Times New Roman"/>
          <w:sz w:val="16"/>
        </w:rPr>
        <w:t xml:space="preserve"> NDS, Transitional Legislative Assembly and </w:t>
      </w:r>
      <w:r>
        <w:rPr>
          <w:rFonts w:ascii="Times New Roman" w:hAnsi="Times New Roman"/>
          <w:sz w:val="16"/>
        </w:rPr>
        <w:t>Transition Governent of National Unity</w:t>
      </w:r>
      <w:r>
        <w:rPr>
          <w:rFonts w:ascii="Times New Roman" w:hAnsi="Times New Roman"/>
          <w:sz w:val="16"/>
          <w:szCs w:val="16"/>
        </w:rPr>
        <w:t>.</w:t>
      </w:r>
      <w:r w:rsidRPr="00F91AFF">
        <w:rPr>
          <w:sz w:val="16"/>
          <w:szCs w:val="16"/>
        </w:rPr>
        <w:t xml:space="preserve"> </w:t>
      </w:r>
    </w:p>
  </w:footnote>
  <w:footnote w:id="31">
    <w:p w14:paraId="7905FBB8" w14:textId="60C510A3" w:rsidR="00FA2DB5" w:rsidRPr="00F91AFF" w:rsidRDefault="00FA2DB5" w:rsidP="00183BE7">
      <w:pPr>
        <w:pStyle w:val="FootnoteText"/>
        <w:rPr>
          <w:rFonts w:ascii="Times New Roman" w:hAnsi="Times New Roman"/>
          <w:sz w:val="16"/>
          <w:szCs w:val="16"/>
        </w:rPr>
      </w:pPr>
      <w:r w:rsidRPr="00F91AFF">
        <w:rPr>
          <w:rFonts w:ascii="Times New Roman" w:hAnsi="Times New Roman"/>
          <w:sz w:val="16"/>
          <w:szCs w:val="16"/>
        </w:rPr>
        <w:footnoteRef/>
      </w:r>
      <w:r w:rsidRPr="00F91AFF">
        <w:rPr>
          <w:rFonts w:ascii="Times New Roman" w:hAnsi="Times New Roman"/>
          <w:sz w:val="16"/>
          <w:szCs w:val="16"/>
        </w:rPr>
        <w:t xml:space="preserve"> National constitution-making body, legislature, electoral management bodies and key accountability mechanisms prioriti</w:t>
      </w:r>
      <w:r>
        <w:rPr>
          <w:rFonts w:ascii="Times New Roman" w:hAnsi="Times New Roman"/>
          <w:sz w:val="16"/>
          <w:szCs w:val="16"/>
        </w:rPr>
        <w:t>z</w:t>
      </w:r>
      <w:r w:rsidRPr="00F91AFF">
        <w:rPr>
          <w:rFonts w:ascii="Times New Roman" w:hAnsi="Times New Roman"/>
          <w:sz w:val="16"/>
          <w:szCs w:val="16"/>
        </w:rPr>
        <w:t>ed by the HLRF, National Dialogue and other peace processes</w:t>
      </w:r>
      <w:r>
        <w:rPr>
          <w:rFonts w:ascii="Times New Roman" w:hAnsi="Times New Roman"/>
          <w:sz w:val="16"/>
          <w:szCs w:val="16"/>
        </w:rPr>
        <w:t>.</w:t>
      </w:r>
    </w:p>
  </w:footnote>
  <w:footnote w:id="32">
    <w:p w14:paraId="7596AB1E" w14:textId="6C089394" w:rsidR="00FA2DB5" w:rsidRPr="00F91AFF" w:rsidRDefault="00FA2DB5" w:rsidP="00183BE7">
      <w:pPr>
        <w:pStyle w:val="FootnoteText"/>
        <w:rPr>
          <w:rFonts w:ascii="Times New Roman" w:hAnsi="Times New Roman"/>
          <w:sz w:val="16"/>
          <w:szCs w:val="16"/>
        </w:rPr>
      </w:pPr>
      <w:r w:rsidRPr="00F91AFF">
        <w:rPr>
          <w:rFonts w:ascii="Times New Roman" w:hAnsi="Times New Roman"/>
          <w:sz w:val="16"/>
          <w:szCs w:val="16"/>
        </w:rPr>
        <w:footnoteRef/>
      </w:r>
      <w:r>
        <w:rPr>
          <w:rFonts w:ascii="Times New Roman" w:hAnsi="Times New Roman"/>
          <w:sz w:val="16"/>
          <w:szCs w:val="16"/>
        </w:rPr>
        <w:t xml:space="preserve"> </w:t>
      </w:r>
      <w:r w:rsidRPr="00F91AFF">
        <w:rPr>
          <w:rFonts w:ascii="Times New Roman" w:hAnsi="Times New Roman"/>
          <w:sz w:val="16"/>
          <w:szCs w:val="16"/>
        </w:rPr>
        <w:t>Scale: 1: limited capacity; 2:  some capacity; 3: high capacity</w:t>
      </w:r>
      <w:r>
        <w:rPr>
          <w:rFonts w:ascii="Times New Roman" w:hAnsi="Times New Roman"/>
          <w:sz w:val="16"/>
          <w:szCs w:val="16"/>
        </w:rPr>
        <w:t>.</w:t>
      </w:r>
    </w:p>
  </w:footnote>
  <w:footnote w:id="33">
    <w:p w14:paraId="302F8D51" w14:textId="25A5721F" w:rsidR="00FA2DB5" w:rsidRPr="00F91AFF" w:rsidRDefault="00FA2DB5" w:rsidP="00183BE7">
      <w:pPr>
        <w:pStyle w:val="FootnoteText"/>
        <w:rPr>
          <w:rFonts w:ascii="Times New Roman" w:hAnsi="Times New Roman"/>
          <w:sz w:val="16"/>
          <w:szCs w:val="16"/>
        </w:rPr>
      </w:pPr>
      <w:r w:rsidRPr="00F91AFF">
        <w:rPr>
          <w:rFonts w:ascii="Times New Roman" w:hAnsi="Times New Roman"/>
          <w:sz w:val="16"/>
          <w:szCs w:val="16"/>
        </w:rPr>
        <w:footnoteRef/>
      </w:r>
      <w:r w:rsidRPr="00F91AFF">
        <w:rPr>
          <w:rFonts w:ascii="Times New Roman" w:hAnsi="Times New Roman"/>
          <w:sz w:val="16"/>
          <w:szCs w:val="16"/>
        </w:rPr>
        <w:t xml:space="preserve"> Including public service delivery, </w:t>
      </w:r>
      <w:r>
        <w:rPr>
          <w:rFonts w:ascii="Times New Roman" w:hAnsi="Times New Roman"/>
          <w:sz w:val="16"/>
          <w:szCs w:val="16"/>
        </w:rPr>
        <w:t>s</w:t>
      </w:r>
      <w:r w:rsidRPr="00F91AFF">
        <w:rPr>
          <w:rFonts w:ascii="Times New Roman" w:hAnsi="Times New Roman"/>
          <w:sz w:val="16"/>
          <w:szCs w:val="16"/>
        </w:rPr>
        <w:t>afety and security</w:t>
      </w:r>
      <w:r>
        <w:rPr>
          <w:rFonts w:ascii="Times New Roman" w:hAnsi="Times New Roman"/>
          <w:sz w:val="16"/>
          <w:szCs w:val="16"/>
        </w:rPr>
        <w:t>,</w:t>
      </w:r>
      <w:r w:rsidRPr="00F91AFF">
        <w:rPr>
          <w:rFonts w:ascii="Times New Roman" w:hAnsi="Times New Roman"/>
          <w:sz w:val="16"/>
          <w:szCs w:val="16"/>
        </w:rPr>
        <w:t xml:space="preserve"> and representation and oversight</w:t>
      </w:r>
      <w:r>
        <w:rPr>
          <w:rFonts w:ascii="Times New Roman" w:hAnsi="Times New Roman"/>
          <w:sz w:val="16"/>
          <w:szCs w:val="16"/>
        </w:rPr>
        <w:t>.</w:t>
      </w:r>
    </w:p>
  </w:footnote>
  <w:footnote w:id="34">
    <w:p w14:paraId="16A0B57A" w14:textId="164040DF" w:rsidR="00FA2DB5" w:rsidRPr="00F91AFF" w:rsidRDefault="00FA2DB5" w:rsidP="00183BE7">
      <w:pPr>
        <w:pStyle w:val="FootnoteText"/>
        <w:rPr>
          <w:sz w:val="16"/>
          <w:szCs w:val="16"/>
        </w:rPr>
      </w:pPr>
      <w:r w:rsidRPr="00F91AFF">
        <w:rPr>
          <w:rFonts w:ascii="Times New Roman" w:hAnsi="Times New Roman"/>
          <w:sz w:val="16"/>
          <w:szCs w:val="16"/>
        </w:rPr>
        <w:footnoteRef/>
      </w:r>
      <w:r w:rsidRPr="00F91AFF">
        <w:rPr>
          <w:rFonts w:ascii="Times New Roman" w:hAnsi="Times New Roman"/>
          <w:sz w:val="16"/>
          <w:szCs w:val="16"/>
        </w:rPr>
        <w:t xml:space="preserve"> Scale: 1: not diversified; 2: somewhat diversified; 3: highly diversified</w:t>
      </w:r>
      <w:r>
        <w:rPr>
          <w:rFonts w:ascii="Times New Roman" w:hAnsi="Times New Roman"/>
          <w:sz w:val="16"/>
          <w:szCs w:val="16"/>
        </w:rPr>
        <w:t>.</w:t>
      </w:r>
      <w:r w:rsidRPr="00F55E9E">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106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A2DB5" w:rsidRPr="00614FED" w14:paraId="625F25D4" w14:textId="77777777" w:rsidTr="004B4476">
      <w:trPr>
        <w:trHeight w:hRule="exact" w:val="864"/>
      </w:trPr>
      <w:tc>
        <w:tcPr>
          <w:tcW w:w="4838" w:type="dxa"/>
          <w:tcBorders>
            <w:bottom w:val="single" w:sz="4" w:space="0" w:color="auto"/>
          </w:tcBorders>
          <w:vAlign w:val="bottom"/>
        </w:tcPr>
        <w:p w14:paraId="5E82D7ED" w14:textId="394CACCD" w:rsidR="00FA2DB5" w:rsidRPr="00614FED" w:rsidRDefault="00FA2DB5" w:rsidP="004B4476">
          <w:pPr>
            <w:widowControl w:val="0"/>
            <w:tabs>
              <w:tab w:val="center" w:pos="4320"/>
              <w:tab w:val="right" w:pos="8640"/>
            </w:tabs>
            <w:spacing w:after="80"/>
            <w:ind w:left="-1838" w:firstLine="1838"/>
            <w:rPr>
              <w:b/>
              <w:sz w:val="17"/>
              <w:szCs w:val="17"/>
            </w:rPr>
          </w:pPr>
          <w:r w:rsidRPr="00614FED">
            <w:rPr>
              <w:b/>
              <w:sz w:val="17"/>
              <w:szCs w:val="17"/>
            </w:rPr>
            <w:t>DP/DCP</w:t>
          </w:r>
          <w:r>
            <w:rPr>
              <w:b/>
              <w:sz w:val="17"/>
              <w:szCs w:val="17"/>
            </w:rPr>
            <w:t>/</w:t>
          </w:r>
          <w:r w:rsidR="00AB64F2">
            <w:rPr>
              <w:b/>
              <w:sz w:val="17"/>
              <w:szCs w:val="17"/>
            </w:rPr>
            <w:t>SSD</w:t>
          </w:r>
          <w:r w:rsidRPr="00614FED">
            <w:rPr>
              <w:b/>
              <w:sz w:val="17"/>
              <w:szCs w:val="17"/>
            </w:rPr>
            <w:t>/</w:t>
          </w:r>
          <w:r w:rsidR="00AB64F2">
            <w:rPr>
              <w:b/>
              <w:sz w:val="17"/>
              <w:szCs w:val="17"/>
            </w:rPr>
            <w:t>3</w:t>
          </w:r>
        </w:p>
      </w:tc>
      <w:tc>
        <w:tcPr>
          <w:tcW w:w="5047" w:type="dxa"/>
          <w:tcBorders>
            <w:bottom w:val="single" w:sz="4" w:space="0" w:color="auto"/>
          </w:tcBorders>
          <w:vAlign w:val="bottom"/>
        </w:tcPr>
        <w:p w14:paraId="5CA28898" w14:textId="77777777" w:rsidR="00FA2DB5" w:rsidRPr="00614FED" w:rsidRDefault="00FA2DB5" w:rsidP="00614FED">
          <w:pPr>
            <w:widowControl w:val="0"/>
            <w:tabs>
              <w:tab w:val="center" w:pos="4320"/>
              <w:tab w:val="right" w:pos="8640"/>
            </w:tabs>
            <w:rPr>
              <w:sz w:val="17"/>
              <w:szCs w:val="17"/>
            </w:rPr>
          </w:pPr>
        </w:p>
      </w:tc>
    </w:tr>
  </w:tbl>
  <w:p w14:paraId="33246A3E" w14:textId="77777777" w:rsidR="00FA2DB5" w:rsidRPr="005B2525" w:rsidRDefault="00FA2DB5">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106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A2DB5" w:rsidRPr="002C54A1" w14:paraId="57F79BB3" w14:textId="77777777" w:rsidTr="00CC1187">
      <w:trPr>
        <w:trHeight w:hRule="exact" w:val="864"/>
      </w:trPr>
      <w:tc>
        <w:tcPr>
          <w:tcW w:w="4838" w:type="dxa"/>
          <w:tcBorders>
            <w:bottom w:val="single" w:sz="4" w:space="0" w:color="auto"/>
          </w:tcBorders>
          <w:vAlign w:val="bottom"/>
        </w:tcPr>
        <w:p w14:paraId="72AAE2E7" w14:textId="77777777" w:rsidR="00FA2DB5" w:rsidRPr="002C54A1" w:rsidRDefault="00FA2DB5" w:rsidP="002C54A1">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20CF9E46" w14:textId="353641F8" w:rsidR="00FA2DB5" w:rsidRPr="002C54A1" w:rsidRDefault="00FA2DB5" w:rsidP="002C54A1">
          <w:pPr>
            <w:widowControl w:val="0"/>
            <w:tabs>
              <w:tab w:val="center" w:pos="4320"/>
              <w:tab w:val="right" w:pos="8640"/>
            </w:tabs>
            <w:jc w:val="right"/>
            <w:rPr>
              <w:sz w:val="17"/>
              <w:szCs w:val="17"/>
            </w:rPr>
          </w:pPr>
          <w:r w:rsidRPr="002C54A1">
            <w:rPr>
              <w:b/>
              <w:sz w:val="17"/>
              <w:szCs w:val="17"/>
            </w:rPr>
            <w:t>DP/DCP/</w:t>
          </w:r>
          <w:r w:rsidR="00AB64F2">
            <w:rPr>
              <w:b/>
              <w:sz w:val="17"/>
              <w:szCs w:val="17"/>
            </w:rPr>
            <w:t>SSD</w:t>
          </w:r>
          <w:r w:rsidRPr="002C54A1">
            <w:rPr>
              <w:b/>
              <w:sz w:val="17"/>
              <w:szCs w:val="17"/>
            </w:rPr>
            <w:t>/</w:t>
          </w:r>
          <w:r w:rsidR="00AB64F2">
            <w:rPr>
              <w:b/>
              <w:sz w:val="17"/>
              <w:szCs w:val="17"/>
            </w:rPr>
            <w:t>3</w:t>
          </w:r>
        </w:p>
      </w:tc>
    </w:tr>
  </w:tbl>
  <w:p w14:paraId="1DA85841" w14:textId="7D8D995D" w:rsidR="00FA2DB5" w:rsidRPr="00AB64F2" w:rsidRDefault="00AB64F2" w:rsidP="00AB64F2">
    <w:pPr>
      <w:pStyle w:val="Header"/>
      <w:tabs>
        <w:tab w:val="clear" w:pos="4320"/>
        <w:tab w:val="clear" w:pos="8640"/>
        <w:tab w:val="left" w:pos="5175"/>
      </w:tabs>
      <w:rPr>
        <w:sz w:val="16"/>
        <w:szCs w:val="16"/>
        <w:lang w:val="fr-FR"/>
      </w:rPr>
    </w:pPr>
    <w:r>
      <w:rPr>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Ind w:w="-1073"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E536A" w:rsidRPr="008E0FAB" w14:paraId="765E6589" w14:textId="77777777" w:rsidTr="001D2B2E">
      <w:trPr>
        <w:trHeight w:hRule="exact" w:val="864"/>
      </w:trPr>
      <w:tc>
        <w:tcPr>
          <w:tcW w:w="1267" w:type="dxa"/>
          <w:tcBorders>
            <w:bottom w:val="single" w:sz="4" w:space="0" w:color="auto"/>
          </w:tcBorders>
          <w:shd w:val="clear" w:color="auto" w:fill="auto"/>
          <w:vAlign w:val="bottom"/>
        </w:tcPr>
        <w:p w14:paraId="6F816E95" w14:textId="77777777" w:rsidR="005E536A" w:rsidRPr="008E0FAB" w:rsidRDefault="005E536A" w:rsidP="005E536A">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537C344D" w14:textId="77777777" w:rsidR="005E536A" w:rsidRPr="008E0FAB" w:rsidRDefault="005E536A" w:rsidP="005E53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8E0FAB">
            <w:rPr>
              <w:spacing w:val="2"/>
              <w:w w:val="96"/>
              <w:kern w:val="14"/>
              <w:sz w:val="28"/>
              <w:lang w:val="en-GB"/>
            </w:rPr>
            <w:t>United Nations</w:t>
          </w:r>
        </w:p>
      </w:tc>
      <w:tc>
        <w:tcPr>
          <w:tcW w:w="245" w:type="dxa"/>
          <w:tcBorders>
            <w:bottom w:val="single" w:sz="4" w:space="0" w:color="auto"/>
          </w:tcBorders>
          <w:shd w:val="clear" w:color="auto" w:fill="auto"/>
          <w:vAlign w:val="bottom"/>
        </w:tcPr>
        <w:p w14:paraId="5EEF56A5" w14:textId="77777777" w:rsidR="005E536A" w:rsidRPr="008E0FAB" w:rsidRDefault="005E536A" w:rsidP="005E536A">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1EDBEEA1" w14:textId="21F4E39C" w:rsidR="005E536A" w:rsidRPr="008E0FAB" w:rsidRDefault="005E536A" w:rsidP="005E536A">
          <w:pPr>
            <w:suppressAutoHyphens/>
            <w:spacing w:after="80"/>
            <w:jc w:val="right"/>
            <w:rPr>
              <w:spacing w:val="4"/>
              <w:w w:val="103"/>
              <w:kern w:val="14"/>
              <w:position w:val="-4"/>
              <w:lang w:val="en-GB"/>
            </w:rPr>
          </w:pPr>
          <w:r w:rsidRPr="008E0FAB">
            <w:rPr>
              <w:spacing w:val="4"/>
              <w:w w:val="103"/>
              <w:kern w:val="14"/>
              <w:position w:val="-4"/>
              <w:sz w:val="40"/>
              <w:lang w:val="en-GB"/>
            </w:rPr>
            <w:t>DP</w:t>
          </w:r>
          <w:r w:rsidRPr="008E0FAB">
            <w:rPr>
              <w:spacing w:val="4"/>
              <w:w w:val="103"/>
              <w:kern w:val="14"/>
              <w:position w:val="-4"/>
              <w:lang w:val="en-GB"/>
            </w:rPr>
            <w:t>/DCP/</w:t>
          </w:r>
          <w:r>
            <w:rPr>
              <w:spacing w:val="4"/>
              <w:w w:val="103"/>
              <w:kern w:val="14"/>
              <w:position w:val="-4"/>
              <w:lang w:val="en-GB"/>
            </w:rPr>
            <w:t>SSD</w:t>
          </w:r>
          <w:r w:rsidRPr="008E0FAB">
            <w:rPr>
              <w:spacing w:val="4"/>
              <w:w w:val="103"/>
              <w:kern w:val="14"/>
              <w:position w:val="-4"/>
              <w:lang w:val="en-GB"/>
            </w:rPr>
            <w:t>/</w:t>
          </w:r>
          <w:r>
            <w:rPr>
              <w:spacing w:val="4"/>
              <w:w w:val="103"/>
              <w:kern w:val="14"/>
              <w:position w:val="-4"/>
              <w:lang w:val="en-GB"/>
            </w:rPr>
            <w:t>2</w:t>
          </w:r>
        </w:p>
      </w:tc>
    </w:tr>
    <w:tr w:rsidR="005E536A" w:rsidRPr="008E0FAB" w14:paraId="53EFE6C1" w14:textId="77777777" w:rsidTr="001D2B2E">
      <w:trPr>
        <w:gridAfter w:val="1"/>
        <w:wAfter w:w="28" w:type="dxa"/>
        <w:trHeight w:hRule="exact" w:val="2880"/>
      </w:trPr>
      <w:tc>
        <w:tcPr>
          <w:tcW w:w="1267" w:type="dxa"/>
          <w:tcBorders>
            <w:top w:val="single" w:sz="4" w:space="0" w:color="auto"/>
            <w:bottom w:val="single" w:sz="12" w:space="0" w:color="auto"/>
          </w:tcBorders>
          <w:shd w:val="clear" w:color="auto" w:fill="auto"/>
        </w:tcPr>
        <w:p w14:paraId="1E6A2AD0" w14:textId="77777777" w:rsidR="005E536A" w:rsidRPr="008E0FAB" w:rsidRDefault="005E536A" w:rsidP="005E536A">
          <w:pPr>
            <w:tabs>
              <w:tab w:val="center" w:pos="4320"/>
              <w:tab w:val="right" w:pos="8640"/>
            </w:tabs>
            <w:spacing w:before="109"/>
            <w:rPr>
              <w:noProof/>
              <w:sz w:val="17"/>
            </w:rPr>
          </w:pPr>
          <w:r w:rsidRPr="008E0FAB">
            <w:rPr>
              <w:noProof/>
              <w:sz w:val="17"/>
            </w:rPr>
            <w:t xml:space="preserve"> </w:t>
          </w:r>
          <w:r w:rsidRPr="008E0FAB">
            <w:rPr>
              <w:noProof/>
              <w:sz w:val="17"/>
            </w:rPr>
            <w:drawing>
              <wp:inline distT="0" distB="0" distL="0" distR="0" wp14:anchorId="3574638A" wp14:editId="4D1B6E6A">
                <wp:extent cx="702945" cy="592455"/>
                <wp:effectExtent l="0" t="0" r="1905" b="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69F932B8" w14:textId="77777777" w:rsidR="005E536A" w:rsidRPr="008E0FAB" w:rsidRDefault="005E536A" w:rsidP="005E536A">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181BAFC9" w14:textId="77777777" w:rsidR="005E536A" w:rsidRPr="008E0FAB" w:rsidRDefault="005E536A" w:rsidP="005E53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135684">
            <w:rPr>
              <w:b/>
              <w:sz w:val="34"/>
            </w:rPr>
            <w:t>Executive Board of the</w:t>
          </w:r>
          <w:r w:rsidRPr="00135684">
            <w:rPr>
              <w:b/>
              <w:sz w:val="34"/>
            </w:rPr>
            <w:br/>
            <w:t>United Nations Development</w:t>
          </w:r>
          <w:r w:rsidRPr="00135684">
            <w:rPr>
              <w:b/>
              <w:sz w:val="34"/>
            </w:rPr>
            <w:br/>
            <w:t>Programme, the United Nations Population Fund and the United Nations Office for Project Services</w:t>
          </w:r>
        </w:p>
        <w:p w14:paraId="79337DEB" w14:textId="77777777" w:rsidR="005E536A" w:rsidRPr="008E0FAB" w:rsidRDefault="005E536A" w:rsidP="005E536A">
          <w:pPr>
            <w:rPr>
              <w:sz w:val="34"/>
              <w:lang w:val="en-GB"/>
            </w:rPr>
          </w:pPr>
        </w:p>
        <w:p w14:paraId="4772A0A6" w14:textId="77777777" w:rsidR="005E536A" w:rsidRPr="008E0FAB" w:rsidRDefault="005E536A" w:rsidP="005E536A">
          <w:pPr>
            <w:ind w:firstLine="720"/>
            <w:rPr>
              <w:sz w:val="34"/>
              <w:lang w:val="en-GB"/>
            </w:rPr>
          </w:pPr>
        </w:p>
      </w:tc>
      <w:tc>
        <w:tcPr>
          <w:tcW w:w="245" w:type="dxa"/>
          <w:tcBorders>
            <w:top w:val="single" w:sz="4" w:space="0" w:color="auto"/>
            <w:bottom w:val="single" w:sz="12" w:space="0" w:color="auto"/>
          </w:tcBorders>
          <w:shd w:val="clear" w:color="auto" w:fill="auto"/>
        </w:tcPr>
        <w:p w14:paraId="1389D8F3" w14:textId="77777777" w:rsidR="005E536A" w:rsidRPr="008E0FAB" w:rsidRDefault="005E536A" w:rsidP="005E536A">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2A54912F" w14:textId="77777777" w:rsidR="005E536A" w:rsidRPr="008E0FAB" w:rsidRDefault="005E536A" w:rsidP="005E536A">
          <w:pPr>
            <w:suppressAutoHyphens/>
            <w:spacing w:before="240" w:line="240" w:lineRule="exact"/>
            <w:rPr>
              <w:spacing w:val="4"/>
              <w:w w:val="103"/>
              <w:kern w:val="14"/>
              <w:lang w:val="en-GB"/>
            </w:rPr>
          </w:pPr>
          <w:r w:rsidRPr="008E0FAB">
            <w:rPr>
              <w:spacing w:val="4"/>
              <w:w w:val="103"/>
              <w:kern w:val="14"/>
              <w:lang w:val="en-GB"/>
            </w:rPr>
            <w:t>Distr.: General</w:t>
          </w:r>
        </w:p>
        <w:p w14:paraId="095286AD" w14:textId="77777777" w:rsidR="005E536A" w:rsidRPr="008E0FAB" w:rsidRDefault="005E536A" w:rsidP="005E536A">
          <w:pPr>
            <w:suppressAutoHyphens/>
            <w:spacing w:line="240" w:lineRule="exact"/>
            <w:rPr>
              <w:spacing w:val="4"/>
              <w:w w:val="103"/>
              <w:kern w:val="14"/>
              <w:lang w:val="en-GB"/>
            </w:rPr>
          </w:pPr>
          <w:r>
            <w:rPr>
              <w:spacing w:val="4"/>
              <w:w w:val="103"/>
              <w:kern w:val="14"/>
              <w:lang w:val="en-GB"/>
            </w:rPr>
            <w:t>12 June 2018</w:t>
          </w:r>
        </w:p>
        <w:p w14:paraId="3E056314" w14:textId="77777777" w:rsidR="005E536A" w:rsidRPr="008E0FAB" w:rsidRDefault="005E536A" w:rsidP="005E536A">
          <w:pPr>
            <w:suppressAutoHyphens/>
            <w:spacing w:line="240" w:lineRule="exact"/>
            <w:rPr>
              <w:spacing w:val="4"/>
              <w:w w:val="103"/>
              <w:kern w:val="14"/>
              <w:lang w:val="en-GB"/>
            </w:rPr>
          </w:pPr>
        </w:p>
        <w:p w14:paraId="6FB6D400" w14:textId="77777777" w:rsidR="005E536A" w:rsidRPr="008E0FAB" w:rsidRDefault="005E536A" w:rsidP="005E536A">
          <w:pPr>
            <w:suppressAutoHyphens/>
            <w:spacing w:line="240" w:lineRule="exact"/>
            <w:rPr>
              <w:spacing w:val="4"/>
              <w:w w:val="103"/>
              <w:kern w:val="14"/>
              <w:lang w:val="en-GB"/>
            </w:rPr>
          </w:pPr>
          <w:r w:rsidRPr="008E0FAB">
            <w:rPr>
              <w:spacing w:val="4"/>
              <w:w w:val="103"/>
              <w:kern w:val="14"/>
              <w:lang w:val="en-GB"/>
            </w:rPr>
            <w:t>Original: English</w:t>
          </w:r>
        </w:p>
      </w:tc>
    </w:tr>
  </w:tbl>
  <w:p w14:paraId="493BFCDF" w14:textId="5B243D7E" w:rsidR="00FA2DB5" w:rsidRPr="005E536A" w:rsidRDefault="00FA2DB5">
    <w:pPr>
      <w:pStyle w:val="Header"/>
      <w:rPr>
        <w:sz w:val="2"/>
        <w:szCs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8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022"/>
    </w:tblGrid>
    <w:tr w:rsidR="00FA2DB5" w:rsidRPr="00614FED" w14:paraId="074457C4" w14:textId="77777777" w:rsidTr="009465B0">
      <w:trPr>
        <w:trHeight w:hRule="exact" w:val="864"/>
      </w:trPr>
      <w:tc>
        <w:tcPr>
          <w:tcW w:w="4838" w:type="dxa"/>
          <w:tcBorders>
            <w:bottom w:val="single" w:sz="4" w:space="0" w:color="auto"/>
          </w:tcBorders>
          <w:vAlign w:val="bottom"/>
        </w:tcPr>
        <w:p w14:paraId="21C36589" w14:textId="7CBA8743" w:rsidR="00FA2DB5" w:rsidRPr="00614FED" w:rsidRDefault="00FA2DB5" w:rsidP="00E314B2">
          <w:pPr>
            <w:widowControl w:val="0"/>
            <w:tabs>
              <w:tab w:val="center" w:pos="4320"/>
              <w:tab w:val="right" w:pos="8640"/>
            </w:tabs>
            <w:spacing w:after="80"/>
            <w:ind w:left="-1838" w:firstLine="1823"/>
            <w:rPr>
              <w:b/>
              <w:sz w:val="17"/>
              <w:szCs w:val="17"/>
            </w:rPr>
          </w:pPr>
          <w:r w:rsidRPr="00614FED">
            <w:rPr>
              <w:b/>
              <w:sz w:val="17"/>
              <w:szCs w:val="17"/>
            </w:rPr>
            <w:t>DP/DCP</w:t>
          </w:r>
          <w:r>
            <w:rPr>
              <w:b/>
              <w:sz w:val="17"/>
              <w:szCs w:val="17"/>
            </w:rPr>
            <w:t>/</w:t>
          </w:r>
          <w:r w:rsidR="009465B0">
            <w:rPr>
              <w:b/>
              <w:sz w:val="17"/>
              <w:szCs w:val="17"/>
            </w:rPr>
            <w:t>SSD</w:t>
          </w:r>
          <w:r w:rsidRPr="00614FED">
            <w:rPr>
              <w:b/>
              <w:sz w:val="17"/>
              <w:szCs w:val="17"/>
            </w:rPr>
            <w:t>/</w:t>
          </w:r>
          <w:r w:rsidR="009465B0">
            <w:rPr>
              <w:b/>
              <w:sz w:val="17"/>
              <w:szCs w:val="17"/>
            </w:rPr>
            <w:t>3</w:t>
          </w:r>
        </w:p>
      </w:tc>
      <w:tc>
        <w:tcPr>
          <w:tcW w:w="9022" w:type="dxa"/>
          <w:tcBorders>
            <w:bottom w:val="single" w:sz="4" w:space="0" w:color="auto"/>
          </w:tcBorders>
          <w:vAlign w:val="bottom"/>
        </w:tcPr>
        <w:p w14:paraId="601B02B9" w14:textId="77777777" w:rsidR="00FA2DB5" w:rsidRPr="00614FED" w:rsidRDefault="00FA2DB5" w:rsidP="00614FED">
          <w:pPr>
            <w:widowControl w:val="0"/>
            <w:tabs>
              <w:tab w:val="center" w:pos="4320"/>
              <w:tab w:val="right" w:pos="8640"/>
            </w:tabs>
            <w:rPr>
              <w:sz w:val="17"/>
              <w:szCs w:val="17"/>
            </w:rPr>
          </w:pPr>
        </w:p>
      </w:tc>
    </w:tr>
  </w:tbl>
  <w:p w14:paraId="63E7A489" w14:textId="77777777" w:rsidR="00FA2DB5" w:rsidRPr="009465B0" w:rsidRDefault="00FA2DB5">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8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022"/>
    </w:tblGrid>
    <w:tr w:rsidR="00FA2DB5" w:rsidRPr="002C54A1" w14:paraId="646DFB66" w14:textId="77777777" w:rsidTr="009465B0">
      <w:trPr>
        <w:trHeight w:hRule="exact" w:val="864"/>
      </w:trPr>
      <w:tc>
        <w:tcPr>
          <w:tcW w:w="4838" w:type="dxa"/>
          <w:tcBorders>
            <w:bottom w:val="single" w:sz="4" w:space="0" w:color="auto"/>
          </w:tcBorders>
          <w:vAlign w:val="bottom"/>
        </w:tcPr>
        <w:p w14:paraId="32BC91D7" w14:textId="77777777" w:rsidR="00FA2DB5" w:rsidRPr="002C54A1" w:rsidRDefault="00FA2DB5" w:rsidP="002C54A1">
          <w:pPr>
            <w:widowControl w:val="0"/>
            <w:tabs>
              <w:tab w:val="center" w:pos="4320"/>
              <w:tab w:val="right" w:pos="8640"/>
            </w:tabs>
            <w:spacing w:after="80"/>
            <w:rPr>
              <w:b/>
              <w:sz w:val="17"/>
              <w:szCs w:val="17"/>
            </w:rPr>
          </w:pPr>
        </w:p>
      </w:tc>
      <w:tc>
        <w:tcPr>
          <w:tcW w:w="9022" w:type="dxa"/>
          <w:tcBorders>
            <w:bottom w:val="single" w:sz="4" w:space="0" w:color="auto"/>
          </w:tcBorders>
          <w:vAlign w:val="bottom"/>
        </w:tcPr>
        <w:p w14:paraId="0733AC84" w14:textId="20045DA4" w:rsidR="00FA2DB5" w:rsidRPr="002C54A1" w:rsidRDefault="00FA2DB5" w:rsidP="002C54A1">
          <w:pPr>
            <w:widowControl w:val="0"/>
            <w:tabs>
              <w:tab w:val="center" w:pos="4320"/>
              <w:tab w:val="right" w:pos="8640"/>
            </w:tabs>
            <w:jc w:val="right"/>
            <w:rPr>
              <w:sz w:val="17"/>
              <w:szCs w:val="17"/>
            </w:rPr>
          </w:pPr>
          <w:r w:rsidRPr="002C54A1">
            <w:rPr>
              <w:b/>
              <w:sz w:val="17"/>
              <w:szCs w:val="17"/>
            </w:rPr>
            <w:t>DP/DCP/</w:t>
          </w:r>
          <w:r w:rsidR="009465B0">
            <w:rPr>
              <w:b/>
              <w:sz w:val="17"/>
              <w:szCs w:val="17"/>
            </w:rPr>
            <w:t>SSD</w:t>
          </w:r>
          <w:r w:rsidRPr="002C54A1">
            <w:rPr>
              <w:b/>
              <w:sz w:val="17"/>
              <w:szCs w:val="17"/>
            </w:rPr>
            <w:t>/</w:t>
          </w:r>
          <w:r w:rsidR="009465B0">
            <w:rPr>
              <w:b/>
              <w:sz w:val="17"/>
              <w:szCs w:val="17"/>
            </w:rPr>
            <w:t>3</w:t>
          </w:r>
        </w:p>
      </w:tc>
    </w:tr>
  </w:tbl>
  <w:p w14:paraId="6A5261C7" w14:textId="77777777" w:rsidR="00FA2DB5" w:rsidRPr="009465B0" w:rsidRDefault="00FA2DB5">
    <w:pPr>
      <w:pStyle w:val="Header"/>
      <w:rPr>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1E5"/>
    <w:multiLevelType w:val="hybridMultilevel"/>
    <w:tmpl w:val="1C44A7C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1830BCD"/>
    <w:multiLevelType w:val="hybridMultilevel"/>
    <w:tmpl w:val="EE6438F2"/>
    <w:lvl w:ilvl="0" w:tplc="ADD8ACB2">
      <w:start w:val="1"/>
      <w:numFmt w:val="lowerLetter"/>
      <w:lvlText w:val="(%1)"/>
      <w:lvlJc w:val="left"/>
      <w:pPr>
        <w:ind w:left="2070" w:hanging="360"/>
      </w:pPr>
      <w:rPr>
        <w:rFonts w:hint="default"/>
        <w:b w:val="0"/>
        <w:color w:val="000000" w:themeColor="text1"/>
      </w:rPr>
    </w:lvl>
    <w:lvl w:ilvl="1" w:tplc="08090019">
      <w:start w:val="1"/>
      <w:numFmt w:val="lowerLetter"/>
      <w:lvlText w:val="%2."/>
      <w:lvlJc w:val="left"/>
      <w:pPr>
        <w:ind w:left="4050" w:hanging="360"/>
      </w:pPr>
    </w:lvl>
    <w:lvl w:ilvl="2" w:tplc="0809001B">
      <w:start w:val="1"/>
      <w:numFmt w:val="lowerRoman"/>
      <w:lvlText w:val="%3."/>
      <w:lvlJc w:val="right"/>
      <w:pPr>
        <w:ind w:left="4770" w:hanging="180"/>
      </w:pPr>
    </w:lvl>
    <w:lvl w:ilvl="3" w:tplc="0809000F" w:tentative="1">
      <w:start w:val="1"/>
      <w:numFmt w:val="decimal"/>
      <w:lvlText w:val="%4."/>
      <w:lvlJc w:val="left"/>
      <w:pPr>
        <w:ind w:left="5490" w:hanging="360"/>
      </w:pPr>
    </w:lvl>
    <w:lvl w:ilvl="4" w:tplc="08090019" w:tentative="1">
      <w:start w:val="1"/>
      <w:numFmt w:val="lowerLetter"/>
      <w:lvlText w:val="%5."/>
      <w:lvlJc w:val="left"/>
      <w:pPr>
        <w:ind w:left="6210" w:hanging="360"/>
      </w:pPr>
    </w:lvl>
    <w:lvl w:ilvl="5" w:tplc="0809001B" w:tentative="1">
      <w:start w:val="1"/>
      <w:numFmt w:val="lowerRoman"/>
      <w:lvlText w:val="%6."/>
      <w:lvlJc w:val="right"/>
      <w:pPr>
        <w:ind w:left="6930" w:hanging="180"/>
      </w:pPr>
    </w:lvl>
    <w:lvl w:ilvl="6" w:tplc="0809000F" w:tentative="1">
      <w:start w:val="1"/>
      <w:numFmt w:val="decimal"/>
      <w:lvlText w:val="%7."/>
      <w:lvlJc w:val="left"/>
      <w:pPr>
        <w:ind w:left="7650" w:hanging="360"/>
      </w:pPr>
    </w:lvl>
    <w:lvl w:ilvl="7" w:tplc="08090019" w:tentative="1">
      <w:start w:val="1"/>
      <w:numFmt w:val="lowerLetter"/>
      <w:lvlText w:val="%8."/>
      <w:lvlJc w:val="left"/>
      <w:pPr>
        <w:ind w:left="8370" w:hanging="360"/>
      </w:pPr>
    </w:lvl>
    <w:lvl w:ilvl="8" w:tplc="0809001B" w:tentative="1">
      <w:start w:val="1"/>
      <w:numFmt w:val="lowerRoman"/>
      <w:lvlText w:val="%9."/>
      <w:lvlJc w:val="right"/>
      <w:pPr>
        <w:ind w:left="9090" w:hanging="180"/>
      </w:pPr>
    </w:lvl>
  </w:abstractNum>
  <w:abstractNum w:abstractNumId="2" w15:restartNumberingAfterBreak="0">
    <w:nsid w:val="131F371E"/>
    <w:multiLevelType w:val="hybridMultilevel"/>
    <w:tmpl w:val="4C6C4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8C67E7"/>
    <w:multiLevelType w:val="hybridMultilevel"/>
    <w:tmpl w:val="2076D516"/>
    <w:lvl w:ilvl="0" w:tplc="0C8EE990">
      <w:start w:val="1"/>
      <w:numFmt w:val="lowerLetter"/>
      <w:lvlText w:val="(%1)"/>
      <w:lvlJc w:val="left"/>
      <w:pPr>
        <w:ind w:left="1800" w:hanging="360"/>
      </w:pPr>
      <w:rPr>
        <w:rFonts w:hint="default"/>
        <w:color w:val="00000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D04151"/>
    <w:multiLevelType w:val="hybridMultilevel"/>
    <w:tmpl w:val="06CAB0A0"/>
    <w:lvl w:ilvl="0" w:tplc="D236DE36">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E1F2D"/>
    <w:multiLevelType w:val="hybridMultilevel"/>
    <w:tmpl w:val="E5B01D20"/>
    <w:lvl w:ilvl="0" w:tplc="C2C217C0">
      <w:start w:val="1"/>
      <w:numFmt w:val="upperRoman"/>
      <w:lvlText w:val="%1."/>
      <w:lvlJc w:val="left"/>
      <w:pPr>
        <w:ind w:left="1080" w:hanging="72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B650E"/>
    <w:multiLevelType w:val="hybridMultilevel"/>
    <w:tmpl w:val="20B2D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406BD"/>
    <w:multiLevelType w:val="hybridMultilevel"/>
    <w:tmpl w:val="472CCE0A"/>
    <w:lvl w:ilvl="0" w:tplc="504040FA">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E5CE5"/>
    <w:multiLevelType w:val="hybridMultilevel"/>
    <w:tmpl w:val="15FE03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9281115"/>
    <w:multiLevelType w:val="multilevel"/>
    <w:tmpl w:val="1B46CE2E"/>
    <w:lvl w:ilvl="0">
      <w:start w:val="2"/>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440" w:hanging="144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800" w:hanging="180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1" w15:restartNumberingAfterBreak="0">
    <w:nsid w:val="2A1E04B4"/>
    <w:multiLevelType w:val="hybridMultilevel"/>
    <w:tmpl w:val="D9484E90"/>
    <w:lvl w:ilvl="0" w:tplc="08090001">
      <w:start w:val="1"/>
      <w:numFmt w:val="bullet"/>
      <w:lvlText w:val=""/>
      <w:lvlJc w:val="left"/>
      <w:pPr>
        <w:ind w:left="360" w:hanging="360"/>
      </w:pPr>
      <w:rPr>
        <w:rFonts w:ascii="Symbol" w:hAnsi="Symbol" w:hint="default"/>
      </w:rPr>
    </w:lvl>
    <w:lvl w:ilvl="1" w:tplc="771E2098">
      <w:start w:val="6"/>
      <w:numFmt w:val="bullet"/>
      <w:lvlText w:val="•"/>
      <w:lvlJc w:val="left"/>
      <w:pPr>
        <w:ind w:left="1440" w:hanging="720"/>
      </w:pPr>
      <w:rPr>
        <w:rFonts w:ascii="Calibri" w:eastAsia="Calibri"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5EF5530"/>
    <w:multiLevelType w:val="hybridMultilevel"/>
    <w:tmpl w:val="6E0058F4"/>
    <w:lvl w:ilvl="0" w:tplc="4BCEA3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F138A7"/>
    <w:multiLevelType w:val="hybridMultilevel"/>
    <w:tmpl w:val="457AAD22"/>
    <w:lvl w:ilvl="0" w:tplc="0409000F">
      <w:start w:val="1"/>
      <w:numFmt w:val="decimal"/>
      <w:lvlText w:val="%1."/>
      <w:lvlJc w:val="left"/>
      <w:pPr>
        <w:ind w:left="189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9786C4E"/>
    <w:multiLevelType w:val="multilevel"/>
    <w:tmpl w:val="578E4C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6" w15:restartNumberingAfterBreak="0">
    <w:nsid w:val="420C7BDC"/>
    <w:multiLevelType w:val="hybridMultilevel"/>
    <w:tmpl w:val="31B07964"/>
    <w:lvl w:ilvl="0" w:tplc="5A44672E">
      <w:start w:val="1"/>
      <w:numFmt w:val="decimal"/>
      <w:lvlText w:val="%1."/>
      <w:lvlJc w:val="left"/>
      <w:pPr>
        <w:ind w:left="1440" w:hanging="360"/>
      </w:pPr>
      <w:rPr>
        <w:rFonts w:hint="default"/>
        <w:sz w:val="20"/>
        <w:szCs w:val="20"/>
      </w:rPr>
    </w:lvl>
    <w:lvl w:ilvl="1" w:tplc="08090019">
      <w:start w:val="1"/>
      <w:numFmt w:val="lowerLetter"/>
      <w:lvlText w:val="%2."/>
      <w:lvlJc w:val="left"/>
      <w:pPr>
        <w:ind w:left="8550" w:hanging="360"/>
      </w:pPr>
    </w:lvl>
    <w:lvl w:ilvl="2" w:tplc="0809001B" w:tentative="1">
      <w:start w:val="1"/>
      <w:numFmt w:val="lowerRoman"/>
      <w:lvlText w:val="%3."/>
      <w:lvlJc w:val="right"/>
      <w:pPr>
        <w:ind w:left="9270" w:hanging="180"/>
      </w:pPr>
    </w:lvl>
    <w:lvl w:ilvl="3" w:tplc="0809000F" w:tentative="1">
      <w:start w:val="1"/>
      <w:numFmt w:val="decimal"/>
      <w:lvlText w:val="%4."/>
      <w:lvlJc w:val="left"/>
      <w:pPr>
        <w:ind w:left="9990" w:hanging="360"/>
      </w:pPr>
    </w:lvl>
    <w:lvl w:ilvl="4" w:tplc="08090019" w:tentative="1">
      <w:start w:val="1"/>
      <w:numFmt w:val="lowerLetter"/>
      <w:lvlText w:val="%5."/>
      <w:lvlJc w:val="left"/>
      <w:pPr>
        <w:ind w:left="10710" w:hanging="360"/>
      </w:pPr>
    </w:lvl>
    <w:lvl w:ilvl="5" w:tplc="0809001B" w:tentative="1">
      <w:start w:val="1"/>
      <w:numFmt w:val="lowerRoman"/>
      <w:lvlText w:val="%6."/>
      <w:lvlJc w:val="right"/>
      <w:pPr>
        <w:ind w:left="11430" w:hanging="180"/>
      </w:pPr>
    </w:lvl>
    <w:lvl w:ilvl="6" w:tplc="0809000F" w:tentative="1">
      <w:start w:val="1"/>
      <w:numFmt w:val="decimal"/>
      <w:lvlText w:val="%7."/>
      <w:lvlJc w:val="left"/>
      <w:pPr>
        <w:ind w:left="12150" w:hanging="360"/>
      </w:pPr>
    </w:lvl>
    <w:lvl w:ilvl="7" w:tplc="08090019" w:tentative="1">
      <w:start w:val="1"/>
      <w:numFmt w:val="lowerLetter"/>
      <w:lvlText w:val="%8."/>
      <w:lvlJc w:val="left"/>
      <w:pPr>
        <w:ind w:left="12870" w:hanging="360"/>
      </w:pPr>
    </w:lvl>
    <w:lvl w:ilvl="8" w:tplc="0809001B" w:tentative="1">
      <w:start w:val="1"/>
      <w:numFmt w:val="lowerRoman"/>
      <w:lvlText w:val="%9."/>
      <w:lvlJc w:val="right"/>
      <w:pPr>
        <w:ind w:left="13590" w:hanging="180"/>
      </w:pPr>
    </w:lvl>
  </w:abstractNum>
  <w:abstractNum w:abstractNumId="17" w15:restartNumberingAfterBreak="0">
    <w:nsid w:val="45714FEA"/>
    <w:multiLevelType w:val="hybridMultilevel"/>
    <w:tmpl w:val="FF6EE00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C324FC7"/>
    <w:multiLevelType w:val="hybridMultilevel"/>
    <w:tmpl w:val="A5B239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4D241608"/>
    <w:multiLevelType w:val="multilevel"/>
    <w:tmpl w:val="E18EA94C"/>
    <w:lvl w:ilvl="0">
      <w:start w:val="2"/>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4E6A74E0"/>
    <w:multiLevelType w:val="hybridMultilevel"/>
    <w:tmpl w:val="8CBEF0FE"/>
    <w:lvl w:ilvl="0" w:tplc="D236DE36">
      <w:start w:val="1"/>
      <w:numFmt w:val="decimal"/>
      <w:lvlText w:val="%1."/>
      <w:lvlJc w:val="left"/>
      <w:pPr>
        <w:ind w:left="720" w:hanging="360"/>
      </w:pPr>
      <w:rPr>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A9604B"/>
    <w:multiLevelType w:val="hybridMultilevel"/>
    <w:tmpl w:val="DEBA4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FB10B1"/>
    <w:multiLevelType w:val="hybridMultilevel"/>
    <w:tmpl w:val="27429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C5FD3"/>
    <w:multiLevelType w:val="hybridMultilevel"/>
    <w:tmpl w:val="DA3A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A5417"/>
    <w:multiLevelType w:val="hybridMultilevel"/>
    <w:tmpl w:val="66869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1" w15:restartNumberingAfterBreak="0">
    <w:nsid w:val="6D761A4D"/>
    <w:multiLevelType w:val="hybridMultilevel"/>
    <w:tmpl w:val="47B663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E82418B"/>
    <w:multiLevelType w:val="hybridMultilevel"/>
    <w:tmpl w:val="76C29210"/>
    <w:lvl w:ilvl="0" w:tplc="A87C2900">
      <w:start w:val="1"/>
      <w:numFmt w:val="decimal"/>
      <w:lvlText w:val="%1."/>
      <w:lvlJc w:val="left"/>
      <w:pPr>
        <w:ind w:left="2070" w:hanging="360"/>
      </w:pPr>
      <w:rPr>
        <w:b w:val="0"/>
        <w:color w:val="000000" w:themeColor="text1"/>
      </w:rPr>
    </w:lvl>
    <w:lvl w:ilvl="1" w:tplc="08090019">
      <w:start w:val="1"/>
      <w:numFmt w:val="lowerLetter"/>
      <w:lvlText w:val="%2."/>
      <w:lvlJc w:val="left"/>
      <w:pPr>
        <w:ind w:left="4050" w:hanging="360"/>
      </w:pPr>
    </w:lvl>
    <w:lvl w:ilvl="2" w:tplc="0809001B">
      <w:start w:val="1"/>
      <w:numFmt w:val="lowerRoman"/>
      <w:lvlText w:val="%3."/>
      <w:lvlJc w:val="right"/>
      <w:pPr>
        <w:ind w:left="4770" w:hanging="180"/>
      </w:pPr>
    </w:lvl>
    <w:lvl w:ilvl="3" w:tplc="0809000F" w:tentative="1">
      <w:start w:val="1"/>
      <w:numFmt w:val="decimal"/>
      <w:lvlText w:val="%4."/>
      <w:lvlJc w:val="left"/>
      <w:pPr>
        <w:ind w:left="5490" w:hanging="360"/>
      </w:pPr>
    </w:lvl>
    <w:lvl w:ilvl="4" w:tplc="08090019" w:tentative="1">
      <w:start w:val="1"/>
      <w:numFmt w:val="lowerLetter"/>
      <w:lvlText w:val="%5."/>
      <w:lvlJc w:val="left"/>
      <w:pPr>
        <w:ind w:left="6210" w:hanging="360"/>
      </w:pPr>
    </w:lvl>
    <w:lvl w:ilvl="5" w:tplc="0809001B" w:tentative="1">
      <w:start w:val="1"/>
      <w:numFmt w:val="lowerRoman"/>
      <w:lvlText w:val="%6."/>
      <w:lvlJc w:val="right"/>
      <w:pPr>
        <w:ind w:left="6930" w:hanging="180"/>
      </w:pPr>
    </w:lvl>
    <w:lvl w:ilvl="6" w:tplc="0809000F" w:tentative="1">
      <w:start w:val="1"/>
      <w:numFmt w:val="decimal"/>
      <w:lvlText w:val="%7."/>
      <w:lvlJc w:val="left"/>
      <w:pPr>
        <w:ind w:left="7650" w:hanging="360"/>
      </w:pPr>
    </w:lvl>
    <w:lvl w:ilvl="7" w:tplc="08090019" w:tentative="1">
      <w:start w:val="1"/>
      <w:numFmt w:val="lowerLetter"/>
      <w:lvlText w:val="%8."/>
      <w:lvlJc w:val="left"/>
      <w:pPr>
        <w:ind w:left="8370" w:hanging="360"/>
      </w:pPr>
    </w:lvl>
    <w:lvl w:ilvl="8" w:tplc="0809001B" w:tentative="1">
      <w:start w:val="1"/>
      <w:numFmt w:val="lowerRoman"/>
      <w:lvlText w:val="%9."/>
      <w:lvlJc w:val="right"/>
      <w:pPr>
        <w:ind w:left="9090" w:hanging="180"/>
      </w:pPr>
    </w:lvl>
  </w:abstractNum>
  <w:abstractNum w:abstractNumId="3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1874C0"/>
    <w:multiLevelType w:val="hybridMultilevel"/>
    <w:tmpl w:val="E1F4D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5"/>
  </w:num>
  <w:num w:numId="4">
    <w:abstractNumId w:val="1"/>
  </w:num>
  <w:num w:numId="5">
    <w:abstractNumId w:val="16"/>
  </w:num>
  <w:num w:numId="6">
    <w:abstractNumId w:val="29"/>
  </w:num>
  <w:num w:numId="7">
    <w:abstractNumId w:val="22"/>
  </w:num>
  <w:num w:numId="8">
    <w:abstractNumId w:val="25"/>
  </w:num>
  <w:num w:numId="9">
    <w:abstractNumId w:val="15"/>
  </w:num>
  <w:num w:numId="10">
    <w:abstractNumId w:val="7"/>
  </w:num>
  <w:num w:numId="11">
    <w:abstractNumId w:val="33"/>
  </w:num>
  <w:num w:numId="12">
    <w:abstractNumId w:val="30"/>
  </w:num>
  <w:num w:numId="13">
    <w:abstractNumId w:val="26"/>
  </w:num>
  <w:num w:numId="14">
    <w:abstractNumId w:val="3"/>
  </w:num>
  <w:num w:numId="15">
    <w:abstractNumId w:val="19"/>
  </w:num>
  <w:num w:numId="16">
    <w:abstractNumId w:val="27"/>
  </w:num>
  <w:num w:numId="17">
    <w:abstractNumId w:val="4"/>
  </w:num>
  <w:num w:numId="18">
    <w:abstractNumId w:val="23"/>
  </w:num>
  <w:num w:numId="19">
    <w:abstractNumId w:val="31"/>
  </w:num>
  <w:num w:numId="20">
    <w:abstractNumId w:val="28"/>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9"/>
  </w:num>
  <w:num w:numId="37">
    <w:abstractNumId w:val="11"/>
  </w:num>
  <w:num w:numId="38">
    <w:abstractNumId w:val="2"/>
  </w:num>
  <w:num w:numId="39">
    <w:abstractNumId w:val="24"/>
  </w:num>
  <w:num w:numId="40">
    <w:abstractNumId w:val="13"/>
  </w:num>
  <w:num w:numId="41">
    <w:abstractNumId w:val="21"/>
  </w:num>
  <w:num w:numId="42">
    <w:abstractNumId w:val="8"/>
  </w:num>
  <w:num w:numId="43">
    <w:abstractNumId w:val="0"/>
  </w:num>
  <w:num w:numId="44">
    <w:abstractNumId w:val="17"/>
  </w:num>
  <w:num w:numId="4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B"/>
    <w:rsid w:val="000006F5"/>
    <w:rsid w:val="000010B5"/>
    <w:rsid w:val="0000176C"/>
    <w:rsid w:val="000027D2"/>
    <w:rsid w:val="00003A32"/>
    <w:rsid w:val="00005D0F"/>
    <w:rsid w:val="00005E26"/>
    <w:rsid w:val="000069B9"/>
    <w:rsid w:val="00006EF1"/>
    <w:rsid w:val="00007536"/>
    <w:rsid w:val="00007F2F"/>
    <w:rsid w:val="00010045"/>
    <w:rsid w:val="00011A49"/>
    <w:rsid w:val="00011F60"/>
    <w:rsid w:val="0001309E"/>
    <w:rsid w:val="000141D0"/>
    <w:rsid w:val="00014C9E"/>
    <w:rsid w:val="00015B7F"/>
    <w:rsid w:val="00015B97"/>
    <w:rsid w:val="00015FDE"/>
    <w:rsid w:val="00016102"/>
    <w:rsid w:val="00016217"/>
    <w:rsid w:val="00016460"/>
    <w:rsid w:val="00016861"/>
    <w:rsid w:val="00017A37"/>
    <w:rsid w:val="000200CF"/>
    <w:rsid w:val="000200F1"/>
    <w:rsid w:val="000205F1"/>
    <w:rsid w:val="000208E3"/>
    <w:rsid w:val="0002129E"/>
    <w:rsid w:val="00022047"/>
    <w:rsid w:val="000225CE"/>
    <w:rsid w:val="0002410C"/>
    <w:rsid w:val="00024898"/>
    <w:rsid w:val="00025C55"/>
    <w:rsid w:val="00025D6B"/>
    <w:rsid w:val="00025F50"/>
    <w:rsid w:val="000274B9"/>
    <w:rsid w:val="0002758B"/>
    <w:rsid w:val="000276A0"/>
    <w:rsid w:val="000304D8"/>
    <w:rsid w:val="00032808"/>
    <w:rsid w:val="00032863"/>
    <w:rsid w:val="00032F4A"/>
    <w:rsid w:val="000330DB"/>
    <w:rsid w:val="000339A6"/>
    <w:rsid w:val="0003429F"/>
    <w:rsid w:val="000343EE"/>
    <w:rsid w:val="00034CE9"/>
    <w:rsid w:val="0003538B"/>
    <w:rsid w:val="0003562A"/>
    <w:rsid w:val="00036095"/>
    <w:rsid w:val="00036AF4"/>
    <w:rsid w:val="00037D92"/>
    <w:rsid w:val="00041C10"/>
    <w:rsid w:val="00042140"/>
    <w:rsid w:val="00042DD8"/>
    <w:rsid w:val="00043293"/>
    <w:rsid w:val="0004363E"/>
    <w:rsid w:val="00043804"/>
    <w:rsid w:val="00043AE4"/>
    <w:rsid w:val="00043B38"/>
    <w:rsid w:val="000441A1"/>
    <w:rsid w:val="0004437D"/>
    <w:rsid w:val="00046AE8"/>
    <w:rsid w:val="00047C6F"/>
    <w:rsid w:val="000503F8"/>
    <w:rsid w:val="00050401"/>
    <w:rsid w:val="00050869"/>
    <w:rsid w:val="00050BB3"/>
    <w:rsid w:val="0005162D"/>
    <w:rsid w:val="00051815"/>
    <w:rsid w:val="0005197B"/>
    <w:rsid w:val="00052157"/>
    <w:rsid w:val="000525CB"/>
    <w:rsid w:val="000538BF"/>
    <w:rsid w:val="0005458A"/>
    <w:rsid w:val="000545E6"/>
    <w:rsid w:val="00054B5C"/>
    <w:rsid w:val="0005573A"/>
    <w:rsid w:val="00055F80"/>
    <w:rsid w:val="00056092"/>
    <w:rsid w:val="000561C1"/>
    <w:rsid w:val="00056204"/>
    <w:rsid w:val="0005675D"/>
    <w:rsid w:val="0005692A"/>
    <w:rsid w:val="00056A53"/>
    <w:rsid w:val="000570D1"/>
    <w:rsid w:val="000571A9"/>
    <w:rsid w:val="000576FF"/>
    <w:rsid w:val="00060290"/>
    <w:rsid w:val="00061820"/>
    <w:rsid w:val="00061867"/>
    <w:rsid w:val="0006197C"/>
    <w:rsid w:val="0006279C"/>
    <w:rsid w:val="00062BF4"/>
    <w:rsid w:val="000638C5"/>
    <w:rsid w:val="00063E24"/>
    <w:rsid w:val="000641D5"/>
    <w:rsid w:val="00064BD3"/>
    <w:rsid w:val="000653A5"/>
    <w:rsid w:val="000656D4"/>
    <w:rsid w:val="00065E0F"/>
    <w:rsid w:val="000663A1"/>
    <w:rsid w:val="000666FB"/>
    <w:rsid w:val="00070AFE"/>
    <w:rsid w:val="00070CB1"/>
    <w:rsid w:val="00070CFB"/>
    <w:rsid w:val="00071975"/>
    <w:rsid w:val="00072229"/>
    <w:rsid w:val="0007317A"/>
    <w:rsid w:val="00073CF1"/>
    <w:rsid w:val="000740E9"/>
    <w:rsid w:val="00074BD0"/>
    <w:rsid w:val="00074D9A"/>
    <w:rsid w:val="00074DB9"/>
    <w:rsid w:val="000753C4"/>
    <w:rsid w:val="00075DF0"/>
    <w:rsid w:val="000762CA"/>
    <w:rsid w:val="00076ECF"/>
    <w:rsid w:val="00080137"/>
    <w:rsid w:val="000803A4"/>
    <w:rsid w:val="000806E3"/>
    <w:rsid w:val="00080DE2"/>
    <w:rsid w:val="00081553"/>
    <w:rsid w:val="000828AD"/>
    <w:rsid w:val="00082F04"/>
    <w:rsid w:val="00082FBE"/>
    <w:rsid w:val="0008339E"/>
    <w:rsid w:val="000835A4"/>
    <w:rsid w:val="000844A1"/>
    <w:rsid w:val="00087D66"/>
    <w:rsid w:val="00087EE2"/>
    <w:rsid w:val="00090AD1"/>
    <w:rsid w:val="00090F4F"/>
    <w:rsid w:val="00091476"/>
    <w:rsid w:val="00092682"/>
    <w:rsid w:val="00092879"/>
    <w:rsid w:val="0009354B"/>
    <w:rsid w:val="00093FF7"/>
    <w:rsid w:val="00094CB4"/>
    <w:rsid w:val="00094E87"/>
    <w:rsid w:val="00095721"/>
    <w:rsid w:val="00095E7E"/>
    <w:rsid w:val="0009718B"/>
    <w:rsid w:val="000972E1"/>
    <w:rsid w:val="00097FB2"/>
    <w:rsid w:val="000A151D"/>
    <w:rsid w:val="000A1D3A"/>
    <w:rsid w:val="000A2476"/>
    <w:rsid w:val="000A24C5"/>
    <w:rsid w:val="000A320F"/>
    <w:rsid w:val="000A3C51"/>
    <w:rsid w:val="000A3F7F"/>
    <w:rsid w:val="000A6B0E"/>
    <w:rsid w:val="000B0697"/>
    <w:rsid w:val="000B0F13"/>
    <w:rsid w:val="000B1620"/>
    <w:rsid w:val="000B2A9F"/>
    <w:rsid w:val="000B2E81"/>
    <w:rsid w:val="000B2EB9"/>
    <w:rsid w:val="000B3A13"/>
    <w:rsid w:val="000B4030"/>
    <w:rsid w:val="000B4266"/>
    <w:rsid w:val="000B4BB2"/>
    <w:rsid w:val="000B55AC"/>
    <w:rsid w:val="000B5E51"/>
    <w:rsid w:val="000B6352"/>
    <w:rsid w:val="000B6379"/>
    <w:rsid w:val="000B7349"/>
    <w:rsid w:val="000C0A70"/>
    <w:rsid w:val="000C0BCB"/>
    <w:rsid w:val="000C1213"/>
    <w:rsid w:val="000C159E"/>
    <w:rsid w:val="000C1972"/>
    <w:rsid w:val="000C3A0D"/>
    <w:rsid w:val="000C3E05"/>
    <w:rsid w:val="000C4DD2"/>
    <w:rsid w:val="000C5338"/>
    <w:rsid w:val="000C5C03"/>
    <w:rsid w:val="000C5CF5"/>
    <w:rsid w:val="000C6D4E"/>
    <w:rsid w:val="000C76B0"/>
    <w:rsid w:val="000C7B04"/>
    <w:rsid w:val="000C7BBE"/>
    <w:rsid w:val="000D1320"/>
    <w:rsid w:val="000D1CCB"/>
    <w:rsid w:val="000D1EEF"/>
    <w:rsid w:val="000D2475"/>
    <w:rsid w:val="000D442C"/>
    <w:rsid w:val="000D4CFD"/>
    <w:rsid w:val="000D4D3E"/>
    <w:rsid w:val="000D4DC4"/>
    <w:rsid w:val="000D7A21"/>
    <w:rsid w:val="000E063D"/>
    <w:rsid w:val="000E1F92"/>
    <w:rsid w:val="000E2873"/>
    <w:rsid w:val="000E46E8"/>
    <w:rsid w:val="000E488C"/>
    <w:rsid w:val="000E4D3E"/>
    <w:rsid w:val="000E52D9"/>
    <w:rsid w:val="000E612D"/>
    <w:rsid w:val="000E6AB1"/>
    <w:rsid w:val="000E745A"/>
    <w:rsid w:val="000E7829"/>
    <w:rsid w:val="000E7E9E"/>
    <w:rsid w:val="000F0044"/>
    <w:rsid w:val="000F02E9"/>
    <w:rsid w:val="000F1CFB"/>
    <w:rsid w:val="000F46C8"/>
    <w:rsid w:val="000F50C5"/>
    <w:rsid w:val="000F5541"/>
    <w:rsid w:val="000F6D34"/>
    <w:rsid w:val="000F703B"/>
    <w:rsid w:val="000F72ED"/>
    <w:rsid w:val="000F7A4C"/>
    <w:rsid w:val="00101A9D"/>
    <w:rsid w:val="001023B7"/>
    <w:rsid w:val="00102BD6"/>
    <w:rsid w:val="00104D28"/>
    <w:rsid w:val="001054D2"/>
    <w:rsid w:val="0010661C"/>
    <w:rsid w:val="00106EF8"/>
    <w:rsid w:val="001077FF"/>
    <w:rsid w:val="0010798B"/>
    <w:rsid w:val="00110139"/>
    <w:rsid w:val="001101A2"/>
    <w:rsid w:val="00111489"/>
    <w:rsid w:val="00111792"/>
    <w:rsid w:val="00111797"/>
    <w:rsid w:val="00111A54"/>
    <w:rsid w:val="00111B19"/>
    <w:rsid w:val="00112236"/>
    <w:rsid w:val="00112B51"/>
    <w:rsid w:val="001130D2"/>
    <w:rsid w:val="00113659"/>
    <w:rsid w:val="001145A8"/>
    <w:rsid w:val="00114A64"/>
    <w:rsid w:val="00114A76"/>
    <w:rsid w:val="00115F59"/>
    <w:rsid w:val="00116BAF"/>
    <w:rsid w:val="00116C1A"/>
    <w:rsid w:val="00116F8B"/>
    <w:rsid w:val="00121DED"/>
    <w:rsid w:val="00121F3E"/>
    <w:rsid w:val="0012229E"/>
    <w:rsid w:val="00123849"/>
    <w:rsid w:val="00123A5E"/>
    <w:rsid w:val="00124DA5"/>
    <w:rsid w:val="00125010"/>
    <w:rsid w:val="00125266"/>
    <w:rsid w:val="00125B82"/>
    <w:rsid w:val="00125CA3"/>
    <w:rsid w:val="00125FC4"/>
    <w:rsid w:val="0012735A"/>
    <w:rsid w:val="001277FD"/>
    <w:rsid w:val="00130133"/>
    <w:rsid w:val="00130487"/>
    <w:rsid w:val="001305E6"/>
    <w:rsid w:val="001307F6"/>
    <w:rsid w:val="00130AF6"/>
    <w:rsid w:val="0013110D"/>
    <w:rsid w:val="00131E81"/>
    <w:rsid w:val="0013239A"/>
    <w:rsid w:val="0013284D"/>
    <w:rsid w:val="0013289E"/>
    <w:rsid w:val="00132D44"/>
    <w:rsid w:val="00132D93"/>
    <w:rsid w:val="00133450"/>
    <w:rsid w:val="0013571B"/>
    <w:rsid w:val="00135964"/>
    <w:rsid w:val="00135D32"/>
    <w:rsid w:val="00136587"/>
    <w:rsid w:val="00136A5E"/>
    <w:rsid w:val="00136B75"/>
    <w:rsid w:val="0013761A"/>
    <w:rsid w:val="00140793"/>
    <w:rsid w:val="00140B5B"/>
    <w:rsid w:val="00142E5A"/>
    <w:rsid w:val="00143DAB"/>
    <w:rsid w:val="0014423A"/>
    <w:rsid w:val="001442DF"/>
    <w:rsid w:val="00147042"/>
    <w:rsid w:val="001471A7"/>
    <w:rsid w:val="001476DA"/>
    <w:rsid w:val="0015010F"/>
    <w:rsid w:val="001506F6"/>
    <w:rsid w:val="00151641"/>
    <w:rsid w:val="00152C9A"/>
    <w:rsid w:val="00153447"/>
    <w:rsid w:val="00153BD6"/>
    <w:rsid w:val="00153D7E"/>
    <w:rsid w:val="00154032"/>
    <w:rsid w:val="00154667"/>
    <w:rsid w:val="001547D3"/>
    <w:rsid w:val="00154E5A"/>
    <w:rsid w:val="0015548E"/>
    <w:rsid w:val="001559BD"/>
    <w:rsid w:val="00156187"/>
    <w:rsid w:val="0015665B"/>
    <w:rsid w:val="0015675D"/>
    <w:rsid w:val="00156B9E"/>
    <w:rsid w:val="00157747"/>
    <w:rsid w:val="00157F09"/>
    <w:rsid w:val="00157F79"/>
    <w:rsid w:val="001615D6"/>
    <w:rsid w:val="00161B68"/>
    <w:rsid w:val="00162466"/>
    <w:rsid w:val="00162580"/>
    <w:rsid w:val="00162D42"/>
    <w:rsid w:val="0016335E"/>
    <w:rsid w:val="00163E72"/>
    <w:rsid w:val="00163E84"/>
    <w:rsid w:val="00165BD4"/>
    <w:rsid w:val="00166733"/>
    <w:rsid w:val="001668AA"/>
    <w:rsid w:val="001675B1"/>
    <w:rsid w:val="0016789D"/>
    <w:rsid w:val="00167C87"/>
    <w:rsid w:val="001701BE"/>
    <w:rsid w:val="00170B44"/>
    <w:rsid w:val="00171590"/>
    <w:rsid w:val="00171A1C"/>
    <w:rsid w:val="00171DA9"/>
    <w:rsid w:val="00172701"/>
    <w:rsid w:val="00172A0F"/>
    <w:rsid w:val="00172D28"/>
    <w:rsid w:val="00172EE3"/>
    <w:rsid w:val="0017488D"/>
    <w:rsid w:val="00176262"/>
    <w:rsid w:val="00176741"/>
    <w:rsid w:val="00176CD3"/>
    <w:rsid w:val="00177E7E"/>
    <w:rsid w:val="00180C96"/>
    <w:rsid w:val="0018110C"/>
    <w:rsid w:val="00182BCA"/>
    <w:rsid w:val="0018343E"/>
    <w:rsid w:val="0018356F"/>
    <w:rsid w:val="00183711"/>
    <w:rsid w:val="00183A1C"/>
    <w:rsid w:val="00183BE7"/>
    <w:rsid w:val="00183DF1"/>
    <w:rsid w:val="0018509A"/>
    <w:rsid w:val="0018513F"/>
    <w:rsid w:val="00186A92"/>
    <w:rsid w:val="001876C5"/>
    <w:rsid w:val="00187D68"/>
    <w:rsid w:val="001900F3"/>
    <w:rsid w:val="00190155"/>
    <w:rsid w:val="0019068D"/>
    <w:rsid w:val="001906B5"/>
    <w:rsid w:val="00190B16"/>
    <w:rsid w:val="00190E9E"/>
    <w:rsid w:val="001913EE"/>
    <w:rsid w:val="0019276F"/>
    <w:rsid w:val="001930DC"/>
    <w:rsid w:val="001935EF"/>
    <w:rsid w:val="00193FF8"/>
    <w:rsid w:val="00194163"/>
    <w:rsid w:val="0019431B"/>
    <w:rsid w:val="00194FEB"/>
    <w:rsid w:val="001950F8"/>
    <w:rsid w:val="001963F0"/>
    <w:rsid w:val="00196445"/>
    <w:rsid w:val="001966FA"/>
    <w:rsid w:val="001970A4"/>
    <w:rsid w:val="001976DB"/>
    <w:rsid w:val="00197AD1"/>
    <w:rsid w:val="001A052D"/>
    <w:rsid w:val="001A082C"/>
    <w:rsid w:val="001A1DEA"/>
    <w:rsid w:val="001A29C3"/>
    <w:rsid w:val="001A3A23"/>
    <w:rsid w:val="001A3C2C"/>
    <w:rsid w:val="001A4E0A"/>
    <w:rsid w:val="001A7075"/>
    <w:rsid w:val="001B0020"/>
    <w:rsid w:val="001B00C5"/>
    <w:rsid w:val="001B0BAB"/>
    <w:rsid w:val="001B2400"/>
    <w:rsid w:val="001B3F87"/>
    <w:rsid w:val="001B4026"/>
    <w:rsid w:val="001B4308"/>
    <w:rsid w:val="001B453E"/>
    <w:rsid w:val="001B459A"/>
    <w:rsid w:val="001B46BC"/>
    <w:rsid w:val="001B4D4F"/>
    <w:rsid w:val="001B529A"/>
    <w:rsid w:val="001B532B"/>
    <w:rsid w:val="001B57F8"/>
    <w:rsid w:val="001B598C"/>
    <w:rsid w:val="001B5C9E"/>
    <w:rsid w:val="001B5E09"/>
    <w:rsid w:val="001B7648"/>
    <w:rsid w:val="001B76A6"/>
    <w:rsid w:val="001C07F8"/>
    <w:rsid w:val="001C0F72"/>
    <w:rsid w:val="001C1147"/>
    <w:rsid w:val="001C2F59"/>
    <w:rsid w:val="001C3308"/>
    <w:rsid w:val="001C3586"/>
    <w:rsid w:val="001C44C9"/>
    <w:rsid w:val="001C5C8D"/>
    <w:rsid w:val="001C6C08"/>
    <w:rsid w:val="001C6C52"/>
    <w:rsid w:val="001D02CB"/>
    <w:rsid w:val="001D0BC9"/>
    <w:rsid w:val="001D11B9"/>
    <w:rsid w:val="001D2056"/>
    <w:rsid w:val="001D31A1"/>
    <w:rsid w:val="001D36D3"/>
    <w:rsid w:val="001D42D1"/>
    <w:rsid w:val="001D64E5"/>
    <w:rsid w:val="001D6EB8"/>
    <w:rsid w:val="001E05EC"/>
    <w:rsid w:val="001E1047"/>
    <w:rsid w:val="001E12BA"/>
    <w:rsid w:val="001E16E2"/>
    <w:rsid w:val="001E1BE3"/>
    <w:rsid w:val="001E295F"/>
    <w:rsid w:val="001E4809"/>
    <w:rsid w:val="001E4F4F"/>
    <w:rsid w:val="001E74FB"/>
    <w:rsid w:val="001F1886"/>
    <w:rsid w:val="001F1C28"/>
    <w:rsid w:val="001F1FD1"/>
    <w:rsid w:val="001F27F4"/>
    <w:rsid w:val="001F2841"/>
    <w:rsid w:val="001F302E"/>
    <w:rsid w:val="001F33B2"/>
    <w:rsid w:val="001F3DC0"/>
    <w:rsid w:val="001F4C5A"/>
    <w:rsid w:val="001F4EA9"/>
    <w:rsid w:val="001F4F73"/>
    <w:rsid w:val="001F523E"/>
    <w:rsid w:val="001F524A"/>
    <w:rsid w:val="001F532A"/>
    <w:rsid w:val="001F5B6B"/>
    <w:rsid w:val="001F5F38"/>
    <w:rsid w:val="001F6425"/>
    <w:rsid w:val="001F6772"/>
    <w:rsid w:val="001F6C73"/>
    <w:rsid w:val="001F731E"/>
    <w:rsid w:val="001F7421"/>
    <w:rsid w:val="00200195"/>
    <w:rsid w:val="00200B5F"/>
    <w:rsid w:val="00201BA8"/>
    <w:rsid w:val="00201C34"/>
    <w:rsid w:val="00201EEF"/>
    <w:rsid w:val="00201FE6"/>
    <w:rsid w:val="0020223E"/>
    <w:rsid w:val="00202570"/>
    <w:rsid w:val="00203F26"/>
    <w:rsid w:val="002047C8"/>
    <w:rsid w:val="002052B3"/>
    <w:rsid w:val="00205453"/>
    <w:rsid w:val="002058F9"/>
    <w:rsid w:val="0020597F"/>
    <w:rsid w:val="00207183"/>
    <w:rsid w:val="002078AF"/>
    <w:rsid w:val="00207AEF"/>
    <w:rsid w:val="00207F32"/>
    <w:rsid w:val="00210320"/>
    <w:rsid w:val="002105CC"/>
    <w:rsid w:val="00210EF9"/>
    <w:rsid w:val="0021213C"/>
    <w:rsid w:val="00212AE2"/>
    <w:rsid w:val="00212B1F"/>
    <w:rsid w:val="00213340"/>
    <w:rsid w:val="00213D7C"/>
    <w:rsid w:val="00214513"/>
    <w:rsid w:val="002155B7"/>
    <w:rsid w:val="0021766A"/>
    <w:rsid w:val="002179DB"/>
    <w:rsid w:val="002204C8"/>
    <w:rsid w:val="002211F1"/>
    <w:rsid w:val="002225D3"/>
    <w:rsid w:val="00222A35"/>
    <w:rsid w:val="0022301D"/>
    <w:rsid w:val="002238B7"/>
    <w:rsid w:val="00224B2C"/>
    <w:rsid w:val="00224C33"/>
    <w:rsid w:val="00224C94"/>
    <w:rsid w:val="00225C5E"/>
    <w:rsid w:val="00226A4B"/>
    <w:rsid w:val="002273C7"/>
    <w:rsid w:val="00227675"/>
    <w:rsid w:val="00227E55"/>
    <w:rsid w:val="0023043C"/>
    <w:rsid w:val="00232AA0"/>
    <w:rsid w:val="00233115"/>
    <w:rsid w:val="00233AE4"/>
    <w:rsid w:val="002349DB"/>
    <w:rsid w:val="00234CDF"/>
    <w:rsid w:val="002351AE"/>
    <w:rsid w:val="00236B91"/>
    <w:rsid w:val="00237856"/>
    <w:rsid w:val="002405D6"/>
    <w:rsid w:val="0024084D"/>
    <w:rsid w:val="00240A82"/>
    <w:rsid w:val="00240A92"/>
    <w:rsid w:val="00240DFE"/>
    <w:rsid w:val="002411A9"/>
    <w:rsid w:val="00241F96"/>
    <w:rsid w:val="002424C0"/>
    <w:rsid w:val="00242617"/>
    <w:rsid w:val="00242B48"/>
    <w:rsid w:val="00242CAA"/>
    <w:rsid w:val="002431F8"/>
    <w:rsid w:val="0024503B"/>
    <w:rsid w:val="0024547B"/>
    <w:rsid w:val="00245A42"/>
    <w:rsid w:val="00245D74"/>
    <w:rsid w:val="00246034"/>
    <w:rsid w:val="00246604"/>
    <w:rsid w:val="00246D03"/>
    <w:rsid w:val="00246DDF"/>
    <w:rsid w:val="0024729F"/>
    <w:rsid w:val="00247DF2"/>
    <w:rsid w:val="00247E3F"/>
    <w:rsid w:val="00250055"/>
    <w:rsid w:val="00250554"/>
    <w:rsid w:val="00250BAD"/>
    <w:rsid w:val="002513EE"/>
    <w:rsid w:val="002516CA"/>
    <w:rsid w:val="0025255B"/>
    <w:rsid w:val="002530D8"/>
    <w:rsid w:val="00254DEE"/>
    <w:rsid w:val="00255476"/>
    <w:rsid w:val="00255AF8"/>
    <w:rsid w:val="0025649B"/>
    <w:rsid w:val="002573CC"/>
    <w:rsid w:val="00257679"/>
    <w:rsid w:val="00260FAA"/>
    <w:rsid w:val="00262338"/>
    <w:rsid w:val="0026376A"/>
    <w:rsid w:val="00263938"/>
    <w:rsid w:val="002646D7"/>
    <w:rsid w:val="002653BB"/>
    <w:rsid w:val="00266419"/>
    <w:rsid w:val="00266653"/>
    <w:rsid w:val="00266ABA"/>
    <w:rsid w:val="00266CFC"/>
    <w:rsid w:val="00266F27"/>
    <w:rsid w:val="002671D7"/>
    <w:rsid w:val="002700A0"/>
    <w:rsid w:val="0027037E"/>
    <w:rsid w:val="00270FCE"/>
    <w:rsid w:val="002715A8"/>
    <w:rsid w:val="002715CB"/>
    <w:rsid w:val="0027259C"/>
    <w:rsid w:val="002729AB"/>
    <w:rsid w:val="00273543"/>
    <w:rsid w:val="00274C82"/>
    <w:rsid w:val="00275FDD"/>
    <w:rsid w:val="0027654D"/>
    <w:rsid w:val="002766A9"/>
    <w:rsid w:val="00277A27"/>
    <w:rsid w:val="00280DDC"/>
    <w:rsid w:val="00280E8F"/>
    <w:rsid w:val="002810DF"/>
    <w:rsid w:val="002812AB"/>
    <w:rsid w:val="002816D8"/>
    <w:rsid w:val="00282A8C"/>
    <w:rsid w:val="00282C7E"/>
    <w:rsid w:val="00283673"/>
    <w:rsid w:val="00283721"/>
    <w:rsid w:val="00283902"/>
    <w:rsid w:val="00283B21"/>
    <w:rsid w:val="00283D87"/>
    <w:rsid w:val="00284F7B"/>
    <w:rsid w:val="00285324"/>
    <w:rsid w:val="002854EE"/>
    <w:rsid w:val="0028565C"/>
    <w:rsid w:val="002867F1"/>
    <w:rsid w:val="002875DE"/>
    <w:rsid w:val="00287E07"/>
    <w:rsid w:val="0029001B"/>
    <w:rsid w:val="00290B07"/>
    <w:rsid w:val="00290D96"/>
    <w:rsid w:val="00290EB3"/>
    <w:rsid w:val="00291629"/>
    <w:rsid w:val="002917D4"/>
    <w:rsid w:val="00292286"/>
    <w:rsid w:val="002927D7"/>
    <w:rsid w:val="00292846"/>
    <w:rsid w:val="00292A90"/>
    <w:rsid w:val="00292EEE"/>
    <w:rsid w:val="00295F54"/>
    <w:rsid w:val="002964F4"/>
    <w:rsid w:val="00296E09"/>
    <w:rsid w:val="00296F8E"/>
    <w:rsid w:val="002971D6"/>
    <w:rsid w:val="002A150F"/>
    <w:rsid w:val="002A21F5"/>
    <w:rsid w:val="002A2F08"/>
    <w:rsid w:val="002A3641"/>
    <w:rsid w:val="002A36B3"/>
    <w:rsid w:val="002A495F"/>
    <w:rsid w:val="002A5068"/>
    <w:rsid w:val="002A56DB"/>
    <w:rsid w:val="002A5879"/>
    <w:rsid w:val="002A5DB1"/>
    <w:rsid w:val="002A6C8F"/>
    <w:rsid w:val="002A706F"/>
    <w:rsid w:val="002A70EA"/>
    <w:rsid w:val="002A7363"/>
    <w:rsid w:val="002A7F43"/>
    <w:rsid w:val="002B0790"/>
    <w:rsid w:val="002B07A8"/>
    <w:rsid w:val="002B0D51"/>
    <w:rsid w:val="002B1905"/>
    <w:rsid w:val="002B1C57"/>
    <w:rsid w:val="002B23B4"/>
    <w:rsid w:val="002B2CF7"/>
    <w:rsid w:val="002B365E"/>
    <w:rsid w:val="002B3B63"/>
    <w:rsid w:val="002B3E6C"/>
    <w:rsid w:val="002B43D0"/>
    <w:rsid w:val="002B489A"/>
    <w:rsid w:val="002B5EF3"/>
    <w:rsid w:val="002B6294"/>
    <w:rsid w:val="002B6341"/>
    <w:rsid w:val="002B64F8"/>
    <w:rsid w:val="002B707E"/>
    <w:rsid w:val="002C031A"/>
    <w:rsid w:val="002C0526"/>
    <w:rsid w:val="002C2694"/>
    <w:rsid w:val="002C27A8"/>
    <w:rsid w:val="002C28C6"/>
    <w:rsid w:val="002C2DAE"/>
    <w:rsid w:val="002C2F36"/>
    <w:rsid w:val="002C333E"/>
    <w:rsid w:val="002C36C8"/>
    <w:rsid w:val="002C4A62"/>
    <w:rsid w:val="002C50F3"/>
    <w:rsid w:val="002C51A0"/>
    <w:rsid w:val="002C5309"/>
    <w:rsid w:val="002C54A1"/>
    <w:rsid w:val="002C57E0"/>
    <w:rsid w:val="002C6B5B"/>
    <w:rsid w:val="002C76AA"/>
    <w:rsid w:val="002C7811"/>
    <w:rsid w:val="002C7971"/>
    <w:rsid w:val="002C7F7C"/>
    <w:rsid w:val="002D0584"/>
    <w:rsid w:val="002D1151"/>
    <w:rsid w:val="002D18A3"/>
    <w:rsid w:val="002D2E2A"/>
    <w:rsid w:val="002D309F"/>
    <w:rsid w:val="002D311E"/>
    <w:rsid w:val="002D4274"/>
    <w:rsid w:val="002D5295"/>
    <w:rsid w:val="002D52BF"/>
    <w:rsid w:val="002D56AC"/>
    <w:rsid w:val="002D68FA"/>
    <w:rsid w:val="002D7ECA"/>
    <w:rsid w:val="002E013D"/>
    <w:rsid w:val="002E0141"/>
    <w:rsid w:val="002E02B7"/>
    <w:rsid w:val="002E0362"/>
    <w:rsid w:val="002E0B5D"/>
    <w:rsid w:val="002E0B76"/>
    <w:rsid w:val="002E1139"/>
    <w:rsid w:val="002E13C0"/>
    <w:rsid w:val="002E1495"/>
    <w:rsid w:val="002E2466"/>
    <w:rsid w:val="002E2900"/>
    <w:rsid w:val="002E34A2"/>
    <w:rsid w:val="002E34ED"/>
    <w:rsid w:val="002E3C0D"/>
    <w:rsid w:val="002E43EC"/>
    <w:rsid w:val="002E43FD"/>
    <w:rsid w:val="002E4883"/>
    <w:rsid w:val="002E4B48"/>
    <w:rsid w:val="002E58CD"/>
    <w:rsid w:val="002E5B3C"/>
    <w:rsid w:val="002E7104"/>
    <w:rsid w:val="002E7A79"/>
    <w:rsid w:val="002F0DBF"/>
    <w:rsid w:val="002F1D9E"/>
    <w:rsid w:val="002F2C6E"/>
    <w:rsid w:val="002F3AE5"/>
    <w:rsid w:val="002F3C88"/>
    <w:rsid w:val="002F4067"/>
    <w:rsid w:val="002F47EB"/>
    <w:rsid w:val="002F5102"/>
    <w:rsid w:val="002F7339"/>
    <w:rsid w:val="002F7461"/>
    <w:rsid w:val="002F7F64"/>
    <w:rsid w:val="00300E46"/>
    <w:rsid w:val="00301D9D"/>
    <w:rsid w:val="0030216C"/>
    <w:rsid w:val="003025E2"/>
    <w:rsid w:val="0030441F"/>
    <w:rsid w:val="0030474E"/>
    <w:rsid w:val="0030518A"/>
    <w:rsid w:val="003051D8"/>
    <w:rsid w:val="00305DFF"/>
    <w:rsid w:val="00306356"/>
    <w:rsid w:val="003065D6"/>
    <w:rsid w:val="00306D24"/>
    <w:rsid w:val="003074E5"/>
    <w:rsid w:val="00307712"/>
    <w:rsid w:val="003102B5"/>
    <w:rsid w:val="00310CC4"/>
    <w:rsid w:val="00312890"/>
    <w:rsid w:val="00312AE4"/>
    <w:rsid w:val="00313247"/>
    <w:rsid w:val="0031404A"/>
    <w:rsid w:val="00314B7C"/>
    <w:rsid w:val="00314E49"/>
    <w:rsid w:val="00315105"/>
    <w:rsid w:val="00315445"/>
    <w:rsid w:val="00317183"/>
    <w:rsid w:val="00317BAD"/>
    <w:rsid w:val="003204AE"/>
    <w:rsid w:val="00320515"/>
    <w:rsid w:val="003208EF"/>
    <w:rsid w:val="00320ABD"/>
    <w:rsid w:val="00320FC5"/>
    <w:rsid w:val="00321B71"/>
    <w:rsid w:val="00321D8A"/>
    <w:rsid w:val="00323107"/>
    <w:rsid w:val="00324846"/>
    <w:rsid w:val="00324ABD"/>
    <w:rsid w:val="00324D9B"/>
    <w:rsid w:val="00324EBA"/>
    <w:rsid w:val="00325752"/>
    <w:rsid w:val="00325C03"/>
    <w:rsid w:val="0032633C"/>
    <w:rsid w:val="00326506"/>
    <w:rsid w:val="00326C18"/>
    <w:rsid w:val="003272A6"/>
    <w:rsid w:val="003273CB"/>
    <w:rsid w:val="00330255"/>
    <w:rsid w:val="0033125E"/>
    <w:rsid w:val="0033136C"/>
    <w:rsid w:val="003314D2"/>
    <w:rsid w:val="00331D7E"/>
    <w:rsid w:val="0033232F"/>
    <w:rsid w:val="0033325E"/>
    <w:rsid w:val="00333B0E"/>
    <w:rsid w:val="0033404E"/>
    <w:rsid w:val="003348EB"/>
    <w:rsid w:val="003348F0"/>
    <w:rsid w:val="00335C55"/>
    <w:rsid w:val="00335E11"/>
    <w:rsid w:val="00335FDA"/>
    <w:rsid w:val="003364D7"/>
    <w:rsid w:val="00336836"/>
    <w:rsid w:val="00336913"/>
    <w:rsid w:val="0033718C"/>
    <w:rsid w:val="00337407"/>
    <w:rsid w:val="00337806"/>
    <w:rsid w:val="00337BB8"/>
    <w:rsid w:val="00337E05"/>
    <w:rsid w:val="0034045B"/>
    <w:rsid w:val="00340E02"/>
    <w:rsid w:val="00340E0C"/>
    <w:rsid w:val="003414C4"/>
    <w:rsid w:val="0034154C"/>
    <w:rsid w:val="0034182E"/>
    <w:rsid w:val="003419E4"/>
    <w:rsid w:val="00341C22"/>
    <w:rsid w:val="00343E6E"/>
    <w:rsid w:val="00343E9A"/>
    <w:rsid w:val="003449A6"/>
    <w:rsid w:val="003450C8"/>
    <w:rsid w:val="00345BA9"/>
    <w:rsid w:val="00346391"/>
    <w:rsid w:val="0034782B"/>
    <w:rsid w:val="00347A79"/>
    <w:rsid w:val="00351082"/>
    <w:rsid w:val="00351C22"/>
    <w:rsid w:val="00351E5C"/>
    <w:rsid w:val="0035277B"/>
    <w:rsid w:val="00352963"/>
    <w:rsid w:val="0035337B"/>
    <w:rsid w:val="00353EEB"/>
    <w:rsid w:val="00353FD8"/>
    <w:rsid w:val="0035580F"/>
    <w:rsid w:val="00355B50"/>
    <w:rsid w:val="00355F7A"/>
    <w:rsid w:val="00356539"/>
    <w:rsid w:val="00357987"/>
    <w:rsid w:val="00357CB4"/>
    <w:rsid w:val="00357CC9"/>
    <w:rsid w:val="003604EE"/>
    <w:rsid w:val="003612F0"/>
    <w:rsid w:val="00361AB6"/>
    <w:rsid w:val="00362616"/>
    <w:rsid w:val="003626B5"/>
    <w:rsid w:val="0036286B"/>
    <w:rsid w:val="00363371"/>
    <w:rsid w:val="00363D1C"/>
    <w:rsid w:val="00363EDD"/>
    <w:rsid w:val="00364491"/>
    <w:rsid w:val="00364989"/>
    <w:rsid w:val="003660C5"/>
    <w:rsid w:val="003664C0"/>
    <w:rsid w:val="003665E1"/>
    <w:rsid w:val="00366769"/>
    <w:rsid w:val="00367A28"/>
    <w:rsid w:val="00367B1F"/>
    <w:rsid w:val="00367E04"/>
    <w:rsid w:val="003726FA"/>
    <w:rsid w:val="0037345F"/>
    <w:rsid w:val="003761F2"/>
    <w:rsid w:val="00376A05"/>
    <w:rsid w:val="00376D5D"/>
    <w:rsid w:val="003774FE"/>
    <w:rsid w:val="00377DE4"/>
    <w:rsid w:val="00377E24"/>
    <w:rsid w:val="00380BE8"/>
    <w:rsid w:val="00381A19"/>
    <w:rsid w:val="003828D3"/>
    <w:rsid w:val="00384943"/>
    <w:rsid w:val="0039034E"/>
    <w:rsid w:val="00390E30"/>
    <w:rsid w:val="00391596"/>
    <w:rsid w:val="00391CB0"/>
    <w:rsid w:val="003931B1"/>
    <w:rsid w:val="00393ABE"/>
    <w:rsid w:val="0039439F"/>
    <w:rsid w:val="0039458D"/>
    <w:rsid w:val="0039464C"/>
    <w:rsid w:val="00394947"/>
    <w:rsid w:val="00394D61"/>
    <w:rsid w:val="00395932"/>
    <w:rsid w:val="003959A9"/>
    <w:rsid w:val="00396E39"/>
    <w:rsid w:val="003973D4"/>
    <w:rsid w:val="003A03E2"/>
    <w:rsid w:val="003A18AF"/>
    <w:rsid w:val="003A1B35"/>
    <w:rsid w:val="003A1F5A"/>
    <w:rsid w:val="003A20C4"/>
    <w:rsid w:val="003A2290"/>
    <w:rsid w:val="003A2ECE"/>
    <w:rsid w:val="003A4252"/>
    <w:rsid w:val="003A539A"/>
    <w:rsid w:val="003A62A4"/>
    <w:rsid w:val="003A6720"/>
    <w:rsid w:val="003A7163"/>
    <w:rsid w:val="003A7476"/>
    <w:rsid w:val="003A76A8"/>
    <w:rsid w:val="003A7D86"/>
    <w:rsid w:val="003B0262"/>
    <w:rsid w:val="003B0364"/>
    <w:rsid w:val="003B0AA1"/>
    <w:rsid w:val="003B1988"/>
    <w:rsid w:val="003B243D"/>
    <w:rsid w:val="003B24DE"/>
    <w:rsid w:val="003B2505"/>
    <w:rsid w:val="003B2F45"/>
    <w:rsid w:val="003B304F"/>
    <w:rsid w:val="003B46A3"/>
    <w:rsid w:val="003B4CB4"/>
    <w:rsid w:val="003B56F7"/>
    <w:rsid w:val="003B5968"/>
    <w:rsid w:val="003B5D18"/>
    <w:rsid w:val="003B6919"/>
    <w:rsid w:val="003B6A2E"/>
    <w:rsid w:val="003B7013"/>
    <w:rsid w:val="003B7744"/>
    <w:rsid w:val="003B795D"/>
    <w:rsid w:val="003C074A"/>
    <w:rsid w:val="003C0A67"/>
    <w:rsid w:val="003C2246"/>
    <w:rsid w:val="003C22AE"/>
    <w:rsid w:val="003C26A6"/>
    <w:rsid w:val="003C26C1"/>
    <w:rsid w:val="003C3FB7"/>
    <w:rsid w:val="003C4036"/>
    <w:rsid w:val="003C4C1B"/>
    <w:rsid w:val="003C5292"/>
    <w:rsid w:val="003C5536"/>
    <w:rsid w:val="003C572B"/>
    <w:rsid w:val="003C5C11"/>
    <w:rsid w:val="003C6326"/>
    <w:rsid w:val="003C6A5A"/>
    <w:rsid w:val="003C6AAD"/>
    <w:rsid w:val="003C75FC"/>
    <w:rsid w:val="003C76E4"/>
    <w:rsid w:val="003C7793"/>
    <w:rsid w:val="003D11D7"/>
    <w:rsid w:val="003D167B"/>
    <w:rsid w:val="003D1D4D"/>
    <w:rsid w:val="003D1F57"/>
    <w:rsid w:val="003D2E59"/>
    <w:rsid w:val="003D330B"/>
    <w:rsid w:val="003D3682"/>
    <w:rsid w:val="003D37DD"/>
    <w:rsid w:val="003D4141"/>
    <w:rsid w:val="003D45DF"/>
    <w:rsid w:val="003D47C6"/>
    <w:rsid w:val="003D4A96"/>
    <w:rsid w:val="003D4F4F"/>
    <w:rsid w:val="003D567F"/>
    <w:rsid w:val="003D7376"/>
    <w:rsid w:val="003D7E38"/>
    <w:rsid w:val="003D7EAC"/>
    <w:rsid w:val="003E08E3"/>
    <w:rsid w:val="003E0D95"/>
    <w:rsid w:val="003E1146"/>
    <w:rsid w:val="003E1722"/>
    <w:rsid w:val="003E1AFA"/>
    <w:rsid w:val="003E379A"/>
    <w:rsid w:val="003E4055"/>
    <w:rsid w:val="003E52B0"/>
    <w:rsid w:val="003E61D1"/>
    <w:rsid w:val="003E64DC"/>
    <w:rsid w:val="003E74A4"/>
    <w:rsid w:val="003E7A43"/>
    <w:rsid w:val="003F0B58"/>
    <w:rsid w:val="003F0D40"/>
    <w:rsid w:val="003F109A"/>
    <w:rsid w:val="003F2236"/>
    <w:rsid w:val="003F27B7"/>
    <w:rsid w:val="003F29BB"/>
    <w:rsid w:val="003F2CE6"/>
    <w:rsid w:val="003F4051"/>
    <w:rsid w:val="003F4635"/>
    <w:rsid w:val="003F5812"/>
    <w:rsid w:val="003F5CE5"/>
    <w:rsid w:val="003F625A"/>
    <w:rsid w:val="003F62BA"/>
    <w:rsid w:val="003F6AA4"/>
    <w:rsid w:val="003F6EA1"/>
    <w:rsid w:val="0040075F"/>
    <w:rsid w:val="00400A12"/>
    <w:rsid w:val="00400BC0"/>
    <w:rsid w:val="00400E4A"/>
    <w:rsid w:val="00402E9A"/>
    <w:rsid w:val="00402F75"/>
    <w:rsid w:val="00403FA8"/>
    <w:rsid w:val="00404040"/>
    <w:rsid w:val="00404213"/>
    <w:rsid w:val="00404342"/>
    <w:rsid w:val="004048AC"/>
    <w:rsid w:val="00404B8E"/>
    <w:rsid w:val="00405254"/>
    <w:rsid w:val="004062C1"/>
    <w:rsid w:val="004068C2"/>
    <w:rsid w:val="00407330"/>
    <w:rsid w:val="0040767B"/>
    <w:rsid w:val="00410C4F"/>
    <w:rsid w:val="0041153C"/>
    <w:rsid w:val="00412559"/>
    <w:rsid w:val="0041340B"/>
    <w:rsid w:val="0041368B"/>
    <w:rsid w:val="004136A9"/>
    <w:rsid w:val="00413B3D"/>
    <w:rsid w:val="00413CA0"/>
    <w:rsid w:val="00414663"/>
    <w:rsid w:val="004154C9"/>
    <w:rsid w:val="00415A00"/>
    <w:rsid w:val="00415E7F"/>
    <w:rsid w:val="00417186"/>
    <w:rsid w:val="00417A5B"/>
    <w:rsid w:val="00420288"/>
    <w:rsid w:val="0042142B"/>
    <w:rsid w:val="0042178C"/>
    <w:rsid w:val="00421C78"/>
    <w:rsid w:val="004224CE"/>
    <w:rsid w:val="00424416"/>
    <w:rsid w:val="00424A78"/>
    <w:rsid w:val="004254DB"/>
    <w:rsid w:val="0042557A"/>
    <w:rsid w:val="00425CB0"/>
    <w:rsid w:val="00425E29"/>
    <w:rsid w:val="00425FA0"/>
    <w:rsid w:val="00427EEA"/>
    <w:rsid w:val="00430ACA"/>
    <w:rsid w:val="004310FF"/>
    <w:rsid w:val="00431836"/>
    <w:rsid w:val="00431E93"/>
    <w:rsid w:val="004321E6"/>
    <w:rsid w:val="0043278E"/>
    <w:rsid w:val="00432903"/>
    <w:rsid w:val="00434571"/>
    <w:rsid w:val="0043460D"/>
    <w:rsid w:val="00434EFD"/>
    <w:rsid w:val="00435674"/>
    <w:rsid w:val="004358FB"/>
    <w:rsid w:val="00435D81"/>
    <w:rsid w:val="004360AC"/>
    <w:rsid w:val="00436B83"/>
    <w:rsid w:val="00436F45"/>
    <w:rsid w:val="004370DA"/>
    <w:rsid w:val="00437723"/>
    <w:rsid w:val="00441061"/>
    <w:rsid w:val="004410C7"/>
    <w:rsid w:val="0044112C"/>
    <w:rsid w:val="00442073"/>
    <w:rsid w:val="00442C27"/>
    <w:rsid w:val="00442E3E"/>
    <w:rsid w:val="004430BB"/>
    <w:rsid w:val="004430C0"/>
    <w:rsid w:val="00443556"/>
    <w:rsid w:val="00444504"/>
    <w:rsid w:val="00444E1A"/>
    <w:rsid w:val="004455DC"/>
    <w:rsid w:val="0044560C"/>
    <w:rsid w:val="00445D2E"/>
    <w:rsid w:val="00445E98"/>
    <w:rsid w:val="00446DE4"/>
    <w:rsid w:val="0044731F"/>
    <w:rsid w:val="00447545"/>
    <w:rsid w:val="00447AED"/>
    <w:rsid w:val="004501C9"/>
    <w:rsid w:val="00450585"/>
    <w:rsid w:val="00450C70"/>
    <w:rsid w:val="00451F66"/>
    <w:rsid w:val="00451FD9"/>
    <w:rsid w:val="00452D86"/>
    <w:rsid w:val="00453344"/>
    <w:rsid w:val="004534F8"/>
    <w:rsid w:val="00453DC5"/>
    <w:rsid w:val="00454E76"/>
    <w:rsid w:val="004550CB"/>
    <w:rsid w:val="00457080"/>
    <w:rsid w:val="0045735F"/>
    <w:rsid w:val="00457C57"/>
    <w:rsid w:val="00460891"/>
    <w:rsid w:val="0046110B"/>
    <w:rsid w:val="004616E4"/>
    <w:rsid w:val="004630C4"/>
    <w:rsid w:val="00463355"/>
    <w:rsid w:val="004635DC"/>
    <w:rsid w:val="00464286"/>
    <w:rsid w:val="00464367"/>
    <w:rsid w:val="00464FB2"/>
    <w:rsid w:val="004662A8"/>
    <w:rsid w:val="00466753"/>
    <w:rsid w:val="00466CDC"/>
    <w:rsid w:val="00466E8E"/>
    <w:rsid w:val="0046745E"/>
    <w:rsid w:val="00467FDF"/>
    <w:rsid w:val="0047167E"/>
    <w:rsid w:val="004721CE"/>
    <w:rsid w:val="0047275D"/>
    <w:rsid w:val="004736BE"/>
    <w:rsid w:val="004738D4"/>
    <w:rsid w:val="00473C54"/>
    <w:rsid w:val="004741CA"/>
    <w:rsid w:val="0047472E"/>
    <w:rsid w:val="0047556D"/>
    <w:rsid w:val="00475789"/>
    <w:rsid w:val="00476170"/>
    <w:rsid w:val="004771EF"/>
    <w:rsid w:val="004772AB"/>
    <w:rsid w:val="004812BB"/>
    <w:rsid w:val="004817D1"/>
    <w:rsid w:val="004820B0"/>
    <w:rsid w:val="00482117"/>
    <w:rsid w:val="004822D6"/>
    <w:rsid w:val="00482E2F"/>
    <w:rsid w:val="0048467F"/>
    <w:rsid w:val="00485207"/>
    <w:rsid w:val="004859B4"/>
    <w:rsid w:val="00486AA7"/>
    <w:rsid w:val="00486ACD"/>
    <w:rsid w:val="00486DC4"/>
    <w:rsid w:val="0048771B"/>
    <w:rsid w:val="004904B4"/>
    <w:rsid w:val="004904EF"/>
    <w:rsid w:val="00490B8D"/>
    <w:rsid w:val="00491DBC"/>
    <w:rsid w:val="00492C65"/>
    <w:rsid w:val="00492CC6"/>
    <w:rsid w:val="00492DE2"/>
    <w:rsid w:val="0049382E"/>
    <w:rsid w:val="0049403F"/>
    <w:rsid w:val="00494323"/>
    <w:rsid w:val="00494349"/>
    <w:rsid w:val="00494485"/>
    <w:rsid w:val="004949EC"/>
    <w:rsid w:val="0049501C"/>
    <w:rsid w:val="0049539F"/>
    <w:rsid w:val="00495669"/>
    <w:rsid w:val="00495D54"/>
    <w:rsid w:val="00495F30"/>
    <w:rsid w:val="00496DD5"/>
    <w:rsid w:val="0049762B"/>
    <w:rsid w:val="00497E3E"/>
    <w:rsid w:val="004A065A"/>
    <w:rsid w:val="004A0F27"/>
    <w:rsid w:val="004A0F37"/>
    <w:rsid w:val="004A0F68"/>
    <w:rsid w:val="004A1B98"/>
    <w:rsid w:val="004A1F18"/>
    <w:rsid w:val="004A25A8"/>
    <w:rsid w:val="004A28E1"/>
    <w:rsid w:val="004A2CEA"/>
    <w:rsid w:val="004A35F0"/>
    <w:rsid w:val="004A3608"/>
    <w:rsid w:val="004A4FBD"/>
    <w:rsid w:val="004A60A4"/>
    <w:rsid w:val="004A6FF1"/>
    <w:rsid w:val="004A7810"/>
    <w:rsid w:val="004A7CBA"/>
    <w:rsid w:val="004A7E93"/>
    <w:rsid w:val="004B1939"/>
    <w:rsid w:val="004B1CE6"/>
    <w:rsid w:val="004B2289"/>
    <w:rsid w:val="004B277A"/>
    <w:rsid w:val="004B3CFB"/>
    <w:rsid w:val="004B4476"/>
    <w:rsid w:val="004B455C"/>
    <w:rsid w:val="004B494D"/>
    <w:rsid w:val="004B5C91"/>
    <w:rsid w:val="004B5D6B"/>
    <w:rsid w:val="004B76F8"/>
    <w:rsid w:val="004C0621"/>
    <w:rsid w:val="004C17F5"/>
    <w:rsid w:val="004C1FA6"/>
    <w:rsid w:val="004C2DD9"/>
    <w:rsid w:val="004C3101"/>
    <w:rsid w:val="004C3C3A"/>
    <w:rsid w:val="004C5CFD"/>
    <w:rsid w:val="004C664E"/>
    <w:rsid w:val="004C741C"/>
    <w:rsid w:val="004D0D85"/>
    <w:rsid w:val="004D117A"/>
    <w:rsid w:val="004D122D"/>
    <w:rsid w:val="004D12C0"/>
    <w:rsid w:val="004D18EA"/>
    <w:rsid w:val="004D2093"/>
    <w:rsid w:val="004D2B49"/>
    <w:rsid w:val="004D3713"/>
    <w:rsid w:val="004D6254"/>
    <w:rsid w:val="004D6B24"/>
    <w:rsid w:val="004D70FD"/>
    <w:rsid w:val="004D7290"/>
    <w:rsid w:val="004D7640"/>
    <w:rsid w:val="004D777E"/>
    <w:rsid w:val="004D7940"/>
    <w:rsid w:val="004D79EB"/>
    <w:rsid w:val="004D7E99"/>
    <w:rsid w:val="004E00CE"/>
    <w:rsid w:val="004E04D0"/>
    <w:rsid w:val="004E21EF"/>
    <w:rsid w:val="004E2BDB"/>
    <w:rsid w:val="004E2F42"/>
    <w:rsid w:val="004E3493"/>
    <w:rsid w:val="004E368E"/>
    <w:rsid w:val="004E40A0"/>
    <w:rsid w:val="004E4888"/>
    <w:rsid w:val="004E5B03"/>
    <w:rsid w:val="004E5F3C"/>
    <w:rsid w:val="004E62B5"/>
    <w:rsid w:val="004E6EB2"/>
    <w:rsid w:val="004F132A"/>
    <w:rsid w:val="004F1ABC"/>
    <w:rsid w:val="004F2036"/>
    <w:rsid w:val="004F2418"/>
    <w:rsid w:val="004F2C09"/>
    <w:rsid w:val="004F2ED9"/>
    <w:rsid w:val="004F2FA6"/>
    <w:rsid w:val="004F32BD"/>
    <w:rsid w:val="004F403A"/>
    <w:rsid w:val="004F4815"/>
    <w:rsid w:val="004F50AF"/>
    <w:rsid w:val="004F681D"/>
    <w:rsid w:val="004F6E14"/>
    <w:rsid w:val="004F6F4A"/>
    <w:rsid w:val="004F7433"/>
    <w:rsid w:val="004F755B"/>
    <w:rsid w:val="004F7C60"/>
    <w:rsid w:val="005003E3"/>
    <w:rsid w:val="00501D70"/>
    <w:rsid w:val="00501DC3"/>
    <w:rsid w:val="0050228C"/>
    <w:rsid w:val="00502321"/>
    <w:rsid w:val="00502363"/>
    <w:rsid w:val="00502857"/>
    <w:rsid w:val="005044A9"/>
    <w:rsid w:val="00504C33"/>
    <w:rsid w:val="00505994"/>
    <w:rsid w:val="00505FD4"/>
    <w:rsid w:val="00506E25"/>
    <w:rsid w:val="00510059"/>
    <w:rsid w:val="0051063E"/>
    <w:rsid w:val="0051132C"/>
    <w:rsid w:val="00511720"/>
    <w:rsid w:val="0051228A"/>
    <w:rsid w:val="00512675"/>
    <w:rsid w:val="00513483"/>
    <w:rsid w:val="00514010"/>
    <w:rsid w:val="00514712"/>
    <w:rsid w:val="00514A55"/>
    <w:rsid w:val="00514EB1"/>
    <w:rsid w:val="00514EF5"/>
    <w:rsid w:val="00515096"/>
    <w:rsid w:val="00515175"/>
    <w:rsid w:val="005167A6"/>
    <w:rsid w:val="0051782D"/>
    <w:rsid w:val="00517D1C"/>
    <w:rsid w:val="0052087E"/>
    <w:rsid w:val="00520A2D"/>
    <w:rsid w:val="0052100D"/>
    <w:rsid w:val="00521174"/>
    <w:rsid w:val="005224D3"/>
    <w:rsid w:val="0052293B"/>
    <w:rsid w:val="0052315E"/>
    <w:rsid w:val="005235BB"/>
    <w:rsid w:val="005236CB"/>
    <w:rsid w:val="005239F5"/>
    <w:rsid w:val="005240D9"/>
    <w:rsid w:val="00524B27"/>
    <w:rsid w:val="005250F9"/>
    <w:rsid w:val="00526BDE"/>
    <w:rsid w:val="00526D11"/>
    <w:rsid w:val="00530ED3"/>
    <w:rsid w:val="005317EF"/>
    <w:rsid w:val="0053438E"/>
    <w:rsid w:val="005346B7"/>
    <w:rsid w:val="00534E35"/>
    <w:rsid w:val="00535425"/>
    <w:rsid w:val="005355EE"/>
    <w:rsid w:val="0053581E"/>
    <w:rsid w:val="005359EE"/>
    <w:rsid w:val="00535B16"/>
    <w:rsid w:val="00536405"/>
    <w:rsid w:val="005366D0"/>
    <w:rsid w:val="00537E27"/>
    <w:rsid w:val="0054002C"/>
    <w:rsid w:val="00540B4D"/>
    <w:rsid w:val="00540F3A"/>
    <w:rsid w:val="00540FFA"/>
    <w:rsid w:val="005411DF"/>
    <w:rsid w:val="00542930"/>
    <w:rsid w:val="005435B3"/>
    <w:rsid w:val="0054406F"/>
    <w:rsid w:val="005442EE"/>
    <w:rsid w:val="00544B9E"/>
    <w:rsid w:val="00544CE2"/>
    <w:rsid w:val="00545F1F"/>
    <w:rsid w:val="0054682B"/>
    <w:rsid w:val="00546E3B"/>
    <w:rsid w:val="0055014F"/>
    <w:rsid w:val="00550849"/>
    <w:rsid w:val="00550866"/>
    <w:rsid w:val="005514DB"/>
    <w:rsid w:val="00551F9B"/>
    <w:rsid w:val="005538D3"/>
    <w:rsid w:val="00553B03"/>
    <w:rsid w:val="0055423C"/>
    <w:rsid w:val="00554251"/>
    <w:rsid w:val="00554568"/>
    <w:rsid w:val="00554BF3"/>
    <w:rsid w:val="00554FBA"/>
    <w:rsid w:val="00555845"/>
    <w:rsid w:val="00556322"/>
    <w:rsid w:val="005563C8"/>
    <w:rsid w:val="0055655F"/>
    <w:rsid w:val="0055657D"/>
    <w:rsid w:val="00557336"/>
    <w:rsid w:val="00560D0D"/>
    <w:rsid w:val="00560F56"/>
    <w:rsid w:val="005618F3"/>
    <w:rsid w:val="00561FAE"/>
    <w:rsid w:val="0056203B"/>
    <w:rsid w:val="005622AE"/>
    <w:rsid w:val="005624E8"/>
    <w:rsid w:val="0056386A"/>
    <w:rsid w:val="00565203"/>
    <w:rsid w:val="005659B1"/>
    <w:rsid w:val="00565FB1"/>
    <w:rsid w:val="005662FB"/>
    <w:rsid w:val="00566608"/>
    <w:rsid w:val="0056662F"/>
    <w:rsid w:val="005669F5"/>
    <w:rsid w:val="00566D68"/>
    <w:rsid w:val="00566DC1"/>
    <w:rsid w:val="005671D8"/>
    <w:rsid w:val="00567781"/>
    <w:rsid w:val="00567C2D"/>
    <w:rsid w:val="00567ECC"/>
    <w:rsid w:val="0057001A"/>
    <w:rsid w:val="005702BB"/>
    <w:rsid w:val="005713B1"/>
    <w:rsid w:val="0057178B"/>
    <w:rsid w:val="005750E7"/>
    <w:rsid w:val="00575D1D"/>
    <w:rsid w:val="00575D3E"/>
    <w:rsid w:val="005761D4"/>
    <w:rsid w:val="005764F3"/>
    <w:rsid w:val="00576F38"/>
    <w:rsid w:val="005770EF"/>
    <w:rsid w:val="00577ADF"/>
    <w:rsid w:val="005811AC"/>
    <w:rsid w:val="00582126"/>
    <w:rsid w:val="00583090"/>
    <w:rsid w:val="005835F4"/>
    <w:rsid w:val="00583EFE"/>
    <w:rsid w:val="00584076"/>
    <w:rsid w:val="005841A3"/>
    <w:rsid w:val="0058421A"/>
    <w:rsid w:val="005846B5"/>
    <w:rsid w:val="00584D45"/>
    <w:rsid w:val="005860E4"/>
    <w:rsid w:val="00586D9A"/>
    <w:rsid w:val="0058726A"/>
    <w:rsid w:val="00587488"/>
    <w:rsid w:val="00590EAE"/>
    <w:rsid w:val="0059112A"/>
    <w:rsid w:val="005920D1"/>
    <w:rsid w:val="00593216"/>
    <w:rsid w:val="0059352E"/>
    <w:rsid w:val="005937E3"/>
    <w:rsid w:val="00593933"/>
    <w:rsid w:val="00593B08"/>
    <w:rsid w:val="00594BC3"/>
    <w:rsid w:val="00596013"/>
    <w:rsid w:val="00596CA7"/>
    <w:rsid w:val="00596DC8"/>
    <w:rsid w:val="00596E16"/>
    <w:rsid w:val="00597A00"/>
    <w:rsid w:val="005A0098"/>
    <w:rsid w:val="005A0904"/>
    <w:rsid w:val="005A0A23"/>
    <w:rsid w:val="005A16A3"/>
    <w:rsid w:val="005A1A5E"/>
    <w:rsid w:val="005A1C48"/>
    <w:rsid w:val="005A253A"/>
    <w:rsid w:val="005A31A3"/>
    <w:rsid w:val="005A393E"/>
    <w:rsid w:val="005A40AF"/>
    <w:rsid w:val="005A4DFF"/>
    <w:rsid w:val="005A64BF"/>
    <w:rsid w:val="005A6E5C"/>
    <w:rsid w:val="005A7DCB"/>
    <w:rsid w:val="005B00DB"/>
    <w:rsid w:val="005B068D"/>
    <w:rsid w:val="005B1D12"/>
    <w:rsid w:val="005B2525"/>
    <w:rsid w:val="005B2F4F"/>
    <w:rsid w:val="005B3C75"/>
    <w:rsid w:val="005B3F70"/>
    <w:rsid w:val="005B4421"/>
    <w:rsid w:val="005B4434"/>
    <w:rsid w:val="005B4E72"/>
    <w:rsid w:val="005B624B"/>
    <w:rsid w:val="005B7929"/>
    <w:rsid w:val="005B795A"/>
    <w:rsid w:val="005C03B4"/>
    <w:rsid w:val="005C04B8"/>
    <w:rsid w:val="005C0FDA"/>
    <w:rsid w:val="005C10C6"/>
    <w:rsid w:val="005C137D"/>
    <w:rsid w:val="005C1B89"/>
    <w:rsid w:val="005C1EA8"/>
    <w:rsid w:val="005C2134"/>
    <w:rsid w:val="005C23AF"/>
    <w:rsid w:val="005C23D3"/>
    <w:rsid w:val="005C25D1"/>
    <w:rsid w:val="005C327E"/>
    <w:rsid w:val="005C35A9"/>
    <w:rsid w:val="005C464B"/>
    <w:rsid w:val="005C4E5F"/>
    <w:rsid w:val="005C56FF"/>
    <w:rsid w:val="005C5E4E"/>
    <w:rsid w:val="005C6DD2"/>
    <w:rsid w:val="005C74A0"/>
    <w:rsid w:val="005C78E8"/>
    <w:rsid w:val="005D0011"/>
    <w:rsid w:val="005D052C"/>
    <w:rsid w:val="005D15EA"/>
    <w:rsid w:val="005D16FE"/>
    <w:rsid w:val="005D32CE"/>
    <w:rsid w:val="005D37BA"/>
    <w:rsid w:val="005D4084"/>
    <w:rsid w:val="005D4777"/>
    <w:rsid w:val="005D4C2B"/>
    <w:rsid w:val="005D4CF6"/>
    <w:rsid w:val="005D5032"/>
    <w:rsid w:val="005D60FF"/>
    <w:rsid w:val="005D6623"/>
    <w:rsid w:val="005D6E7B"/>
    <w:rsid w:val="005D6EA5"/>
    <w:rsid w:val="005D7466"/>
    <w:rsid w:val="005E0382"/>
    <w:rsid w:val="005E162C"/>
    <w:rsid w:val="005E1F1B"/>
    <w:rsid w:val="005E48D9"/>
    <w:rsid w:val="005E5099"/>
    <w:rsid w:val="005E536A"/>
    <w:rsid w:val="005E53AB"/>
    <w:rsid w:val="005E5BDC"/>
    <w:rsid w:val="005E5F94"/>
    <w:rsid w:val="005E6303"/>
    <w:rsid w:val="005E68C9"/>
    <w:rsid w:val="005E68F2"/>
    <w:rsid w:val="005E6B93"/>
    <w:rsid w:val="005E711C"/>
    <w:rsid w:val="005E7953"/>
    <w:rsid w:val="005E79E1"/>
    <w:rsid w:val="005E7E41"/>
    <w:rsid w:val="005E7E82"/>
    <w:rsid w:val="005F17D1"/>
    <w:rsid w:val="005F2C42"/>
    <w:rsid w:val="005F3E00"/>
    <w:rsid w:val="005F4A47"/>
    <w:rsid w:val="005F4A4A"/>
    <w:rsid w:val="005F54CB"/>
    <w:rsid w:val="005F6C28"/>
    <w:rsid w:val="005F78D0"/>
    <w:rsid w:val="005F7AB6"/>
    <w:rsid w:val="005F7E3C"/>
    <w:rsid w:val="0060034A"/>
    <w:rsid w:val="00600FA8"/>
    <w:rsid w:val="006020B3"/>
    <w:rsid w:val="00602203"/>
    <w:rsid w:val="00602399"/>
    <w:rsid w:val="00602B56"/>
    <w:rsid w:val="00603D92"/>
    <w:rsid w:val="00604D6A"/>
    <w:rsid w:val="006063AA"/>
    <w:rsid w:val="006063DA"/>
    <w:rsid w:val="00606610"/>
    <w:rsid w:val="00606AA1"/>
    <w:rsid w:val="00606B3D"/>
    <w:rsid w:val="00606CD0"/>
    <w:rsid w:val="00606CE3"/>
    <w:rsid w:val="00607337"/>
    <w:rsid w:val="006076D8"/>
    <w:rsid w:val="00610318"/>
    <w:rsid w:val="00611DD3"/>
    <w:rsid w:val="00611E27"/>
    <w:rsid w:val="00611EF0"/>
    <w:rsid w:val="00612219"/>
    <w:rsid w:val="00612E04"/>
    <w:rsid w:val="00613B19"/>
    <w:rsid w:val="00614D4E"/>
    <w:rsid w:val="00614FED"/>
    <w:rsid w:val="006151ED"/>
    <w:rsid w:val="006152FA"/>
    <w:rsid w:val="00616904"/>
    <w:rsid w:val="006173A4"/>
    <w:rsid w:val="00617C44"/>
    <w:rsid w:val="00620086"/>
    <w:rsid w:val="00621321"/>
    <w:rsid w:val="00622CE4"/>
    <w:rsid w:val="00622F9E"/>
    <w:rsid w:val="006234A7"/>
    <w:rsid w:val="00623F8E"/>
    <w:rsid w:val="0062431E"/>
    <w:rsid w:val="00624A41"/>
    <w:rsid w:val="00624F6D"/>
    <w:rsid w:val="00625036"/>
    <w:rsid w:val="00625917"/>
    <w:rsid w:val="00625987"/>
    <w:rsid w:val="00625F73"/>
    <w:rsid w:val="00626AF1"/>
    <w:rsid w:val="0062789F"/>
    <w:rsid w:val="00630167"/>
    <w:rsid w:val="006301BE"/>
    <w:rsid w:val="0063096E"/>
    <w:rsid w:val="00631025"/>
    <w:rsid w:val="00632079"/>
    <w:rsid w:val="0063221F"/>
    <w:rsid w:val="006326EA"/>
    <w:rsid w:val="00632CA9"/>
    <w:rsid w:val="00633349"/>
    <w:rsid w:val="00633748"/>
    <w:rsid w:val="00633A84"/>
    <w:rsid w:val="00633D61"/>
    <w:rsid w:val="0063402B"/>
    <w:rsid w:val="0063489F"/>
    <w:rsid w:val="00634C5D"/>
    <w:rsid w:val="00636570"/>
    <w:rsid w:val="00636F6A"/>
    <w:rsid w:val="006376C7"/>
    <w:rsid w:val="00637859"/>
    <w:rsid w:val="00637901"/>
    <w:rsid w:val="006379BF"/>
    <w:rsid w:val="00637E1B"/>
    <w:rsid w:val="00637F9B"/>
    <w:rsid w:val="006402DF"/>
    <w:rsid w:val="0064059E"/>
    <w:rsid w:val="00640B8B"/>
    <w:rsid w:val="006415DC"/>
    <w:rsid w:val="0064164B"/>
    <w:rsid w:val="00642676"/>
    <w:rsid w:val="00642D6D"/>
    <w:rsid w:val="00643249"/>
    <w:rsid w:val="00643910"/>
    <w:rsid w:val="00644468"/>
    <w:rsid w:val="00645426"/>
    <w:rsid w:val="00645F5E"/>
    <w:rsid w:val="0064643C"/>
    <w:rsid w:val="00647B1E"/>
    <w:rsid w:val="00647C55"/>
    <w:rsid w:val="0065008B"/>
    <w:rsid w:val="00651632"/>
    <w:rsid w:val="006538A0"/>
    <w:rsid w:val="00653A3B"/>
    <w:rsid w:val="00653FD9"/>
    <w:rsid w:val="00654D42"/>
    <w:rsid w:val="0065623B"/>
    <w:rsid w:val="00656328"/>
    <w:rsid w:val="00660279"/>
    <w:rsid w:val="0066032F"/>
    <w:rsid w:val="00660A94"/>
    <w:rsid w:val="00661B45"/>
    <w:rsid w:val="006622B9"/>
    <w:rsid w:val="00662CD7"/>
    <w:rsid w:val="00662E1E"/>
    <w:rsid w:val="00663059"/>
    <w:rsid w:val="006633E7"/>
    <w:rsid w:val="0066371E"/>
    <w:rsid w:val="0066431D"/>
    <w:rsid w:val="00664EC1"/>
    <w:rsid w:val="00665BB3"/>
    <w:rsid w:val="00666803"/>
    <w:rsid w:val="00666A31"/>
    <w:rsid w:val="00670086"/>
    <w:rsid w:val="00670420"/>
    <w:rsid w:val="00670AA2"/>
    <w:rsid w:val="00671162"/>
    <w:rsid w:val="006714D4"/>
    <w:rsid w:val="0067178A"/>
    <w:rsid w:val="00672437"/>
    <w:rsid w:val="006724AD"/>
    <w:rsid w:val="006728DF"/>
    <w:rsid w:val="00672AC3"/>
    <w:rsid w:val="00672AE4"/>
    <w:rsid w:val="00672BAB"/>
    <w:rsid w:val="00672BD5"/>
    <w:rsid w:val="00672C84"/>
    <w:rsid w:val="0067314A"/>
    <w:rsid w:val="00673CF8"/>
    <w:rsid w:val="00673D1E"/>
    <w:rsid w:val="006741A8"/>
    <w:rsid w:val="00675B20"/>
    <w:rsid w:val="00675E2D"/>
    <w:rsid w:val="00676AD7"/>
    <w:rsid w:val="0067703E"/>
    <w:rsid w:val="006779CF"/>
    <w:rsid w:val="00677A8F"/>
    <w:rsid w:val="00677CDD"/>
    <w:rsid w:val="00677D63"/>
    <w:rsid w:val="00677DDE"/>
    <w:rsid w:val="00677F8A"/>
    <w:rsid w:val="00680E31"/>
    <w:rsid w:val="0068128F"/>
    <w:rsid w:val="006821E3"/>
    <w:rsid w:val="00682BA8"/>
    <w:rsid w:val="00682E66"/>
    <w:rsid w:val="006834D8"/>
    <w:rsid w:val="00683AD6"/>
    <w:rsid w:val="006840FB"/>
    <w:rsid w:val="006842AE"/>
    <w:rsid w:val="006846DF"/>
    <w:rsid w:val="00684D74"/>
    <w:rsid w:val="00685602"/>
    <w:rsid w:val="00685618"/>
    <w:rsid w:val="00685A94"/>
    <w:rsid w:val="00685EB8"/>
    <w:rsid w:val="00686D88"/>
    <w:rsid w:val="00687537"/>
    <w:rsid w:val="006875BA"/>
    <w:rsid w:val="0068767E"/>
    <w:rsid w:val="0069049E"/>
    <w:rsid w:val="00690801"/>
    <w:rsid w:val="0069097D"/>
    <w:rsid w:val="0069168E"/>
    <w:rsid w:val="00693E4A"/>
    <w:rsid w:val="00693FEA"/>
    <w:rsid w:val="00694C68"/>
    <w:rsid w:val="006957F2"/>
    <w:rsid w:val="00696C8D"/>
    <w:rsid w:val="00697227"/>
    <w:rsid w:val="00697D49"/>
    <w:rsid w:val="006A06DA"/>
    <w:rsid w:val="006A20E5"/>
    <w:rsid w:val="006A25A0"/>
    <w:rsid w:val="006A3126"/>
    <w:rsid w:val="006A5579"/>
    <w:rsid w:val="006A5773"/>
    <w:rsid w:val="006A5804"/>
    <w:rsid w:val="006A58F0"/>
    <w:rsid w:val="006A6262"/>
    <w:rsid w:val="006A67E8"/>
    <w:rsid w:val="006A769B"/>
    <w:rsid w:val="006B00B2"/>
    <w:rsid w:val="006B0341"/>
    <w:rsid w:val="006B0372"/>
    <w:rsid w:val="006B0764"/>
    <w:rsid w:val="006B081C"/>
    <w:rsid w:val="006B249A"/>
    <w:rsid w:val="006B3AA2"/>
    <w:rsid w:val="006B4467"/>
    <w:rsid w:val="006B50C4"/>
    <w:rsid w:val="006B6708"/>
    <w:rsid w:val="006B6C46"/>
    <w:rsid w:val="006B6E78"/>
    <w:rsid w:val="006C0039"/>
    <w:rsid w:val="006C04EA"/>
    <w:rsid w:val="006C1927"/>
    <w:rsid w:val="006C2585"/>
    <w:rsid w:val="006C27DD"/>
    <w:rsid w:val="006C3B0B"/>
    <w:rsid w:val="006C3EF4"/>
    <w:rsid w:val="006C4008"/>
    <w:rsid w:val="006C4380"/>
    <w:rsid w:val="006C4E2C"/>
    <w:rsid w:val="006C5732"/>
    <w:rsid w:val="006C589E"/>
    <w:rsid w:val="006C5931"/>
    <w:rsid w:val="006C6D92"/>
    <w:rsid w:val="006C70D4"/>
    <w:rsid w:val="006C73EF"/>
    <w:rsid w:val="006C74AB"/>
    <w:rsid w:val="006D03D2"/>
    <w:rsid w:val="006D08AC"/>
    <w:rsid w:val="006D1723"/>
    <w:rsid w:val="006D2646"/>
    <w:rsid w:val="006D5D3F"/>
    <w:rsid w:val="006D60ED"/>
    <w:rsid w:val="006D648E"/>
    <w:rsid w:val="006D7C6A"/>
    <w:rsid w:val="006E00F5"/>
    <w:rsid w:val="006E0538"/>
    <w:rsid w:val="006E1166"/>
    <w:rsid w:val="006E1805"/>
    <w:rsid w:val="006E1C48"/>
    <w:rsid w:val="006E235C"/>
    <w:rsid w:val="006E24D9"/>
    <w:rsid w:val="006E2EF8"/>
    <w:rsid w:val="006E3197"/>
    <w:rsid w:val="006E3838"/>
    <w:rsid w:val="006E50C2"/>
    <w:rsid w:val="006E596E"/>
    <w:rsid w:val="006E5B62"/>
    <w:rsid w:val="006E5C5F"/>
    <w:rsid w:val="006E6368"/>
    <w:rsid w:val="006E65E0"/>
    <w:rsid w:val="006E6749"/>
    <w:rsid w:val="006F033F"/>
    <w:rsid w:val="006F15B6"/>
    <w:rsid w:val="006F24D8"/>
    <w:rsid w:val="006F33B8"/>
    <w:rsid w:val="006F3A61"/>
    <w:rsid w:val="006F3A74"/>
    <w:rsid w:val="006F3CC2"/>
    <w:rsid w:val="006F41F4"/>
    <w:rsid w:val="006F4486"/>
    <w:rsid w:val="006F46D8"/>
    <w:rsid w:val="006F4C9C"/>
    <w:rsid w:val="006F640F"/>
    <w:rsid w:val="006F762A"/>
    <w:rsid w:val="0070059F"/>
    <w:rsid w:val="00700D14"/>
    <w:rsid w:val="00701B6B"/>
    <w:rsid w:val="0070384F"/>
    <w:rsid w:val="0070398C"/>
    <w:rsid w:val="007039AD"/>
    <w:rsid w:val="00703A9E"/>
    <w:rsid w:val="00703D6D"/>
    <w:rsid w:val="00704095"/>
    <w:rsid w:val="00704152"/>
    <w:rsid w:val="00704F92"/>
    <w:rsid w:val="00704FB5"/>
    <w:rsid w:val="00705563"/>
    <w:rsid w:val="00705DE5"/>
    <w:rsid w:val="00706139"/>
    <w:rsid w:val="00706B71"/>
    <w:rsid w:val="007077ED"/>
    <w:rsid w:val="00707E80"/>
    <w:rsid w:val="00707F93"/>
    <w:rsid w:val="0071022A"/>
    <w:rsid w:val="0071048E"/>
    <w:rsid w:val="00710D61"/>
    <w:rsid w:val="0071277A"/>
    <w:rsid w:val="00712BC2"/>
    <w:rsid w:val="00712EE5"/>
    <w:rsid w:val="00712FE3"/>
    <w:rsid w:val="00713493"/>
    <w:rsid w:val="00713494"/>
    <w:rsid w:val="00713895"/>
    <w:rsid w:val="00713F4A"/>
    <w:rsid w:val="00714031"/>
    <w:rsid w:val="0071466E"/>
    <w:rsid w:val="00714A6C"/>
    <w:rsid w:val="00714CD3"/>
    <w:rsid w:val="0071685D"/>
    <w:rsid w:val="0071733B"/>
    <w:rsid w:val="007175C3"/>
    <w:rsid w:val="007206A8"/>
    <w:rsid w:val="0072116D"/>
    <w:rsid w:val="0072226F"/>
    <w:rsid w:val="00723BBD"/>
    <w:rsid w:val="0072480D"/>
    <w:rsid w:val="00725A22"/>
    <w:rsid w:val="00725B78"/>
    <w:rsid w:val="007262A5"/>
    <w:rsid w:val="00727082"/>
    <w:rsid w:val="007277A3"/>
    <w:rsid w:val="00727C9F"/>
    <w:rsid w:val="007305D0"/>
    <w:rsid w:val="00730B28"/>
    <w:rsid w:val="007312A3"/>
    <w:rsid w:val="00731862"/>
    <w:rsid w:val="0073233C"/>
    <w:rsid w:val="00732D0C"/>
    <w:rsid w:val="0073305B"/>
    <w:rsid w:val="007337C2"/>
    <w:rsid w:val="00733C01"/>
    <w:rsid w:val="00733C0B"/>
    <w:rsid w:val="00733EAD"/>
    <w:rsid w:val="00734F54"/>
    <w:rsid w:val="00734F7F"/>
    <w:rsid w:val="00735665"/>
    <w:rsid w:val="00736668"/>
    <w:rsid w:val="007367F5"/>
    <w:rsid w:val="00736D93"/>
    <w:rsid w:val="00737C04"/>
    <w:rsid w:val="00737F64"/>
    <w:rsid w:val="007403CE"/>
    <w:rsid w:val="00740540"/>
    <w:rsid w:val="00740841"/>
    <w:rsid w:val="007416D2"/>
    <w:rsid w:val="00741829"/>
    <w:rsid w:val="00742806"/>
    <w:rsid w:val="00742B3A"/>
    <w:rsid w:val="00742DF0"/>
    <w:rsid w:val="00743388"/>
    <w:rsid w:val="00743A95"/>
    <w:rsid w:val="00743C5F"/>
    <w:rsid w:val="00744110"/>
    <w:rsid w:val="00744595"/>
    <w:rsid w:val="00744A10"/>
    <w:rsid w:val="00745ADF"/>
    <w:rsid w:val="00745CE9"/>
    <w:rsid w:val="00745F6B"/>
    <w:rsid w:val="00746AB8"/>
    <w:rsid w:val="00746B94"/>
    <w:rsid w:val="00747A52"/>
    <w:rsid w:val="00747CAE"/>
    <w:rsid w:val="00747F10"/>
    <w:rsid w:val="00750C56"/>
    <w:rsid w:val="00750CCA"/>
    <w:rsid w:val="00750F1E"/>
    <w:rsid w:val="00751471"/>
    <w:rsid w:val="00751C12"/>
    <w:rsid w:val="00752691"/>
    <w:rsid w:val="007528F2"/>
    <w:rsid w:val="00753043"/>
    <w:rsid w:val="007545D3"/>
    <w:rsid w:val="007551EA"/>
    <w:rsid w:val="00755E38"/>
    <w:rsid w:val="00756071"/>
    <w:rsid w:val="00756627"/>
    <w:rsid w:val="00756C8E"/>
    <w:rsid w:val="007575C4"/>
    <w:rsid w:val="00757D63"/>
    <w:rsid w:val="00757EE3"/>
    <w:rsid w:val="00760108"/>
    <w:rsid w:val="007601D0"/>
    <w:rsid w:val="0076265C"/>
    <w:rsid w:val="00762977"/>
    <w:rsid w:val="00762A1B"/>
    <w:rsid w:val="00762D6D"/>
    <w:rsid w:val="00763700"/>
    <w:rsid w:val="0076427C"/>
    <w:rsid w:val="00765217"/>
    <w:rsid w:val="007659AA"/>
    <w:rsid w:val="00765CF0"/>
    <w:rsid w:val="00766334"/>
    <w:rsid w:val="00766F64"/>
    <w:rsid w:val="007679CA"/>
    <w:rsid w:val="007708AD"/>
    <w:rsid w:val="0077097A"/>
    <w:rsid w:val="00770B7C"/>
    <w:rsid w:val="00772558"/>
    <w:rsid w:val="0077266C"/>
    <w:rsid w:val="00772802"/>
    <w:rsid w:val="007732C2"/>
    <w:rsid w:val="00773C0C"/>
    <w:rsid w:val="00774A6E"/>
    <w:rsid w:val="00775066"/>
    <w:rsid w:val="007757BF"/>
    <w:rsid w:val="007762C2"/>
    <w:rsid w:val="00776406"/>
    <w:rsid w:val="00776D4F"/>
    <w:rsid w:val="00776D58"/>
    <w:rsid w:val="00777279"/>
    <w:rsid w:val="0078005A"/>
    <w:rsid w:val="00781B6F"/>
    <w:rsid w:val="00781F9C"/>
    <w:rsid w:val="0078223F"/>
    <w:rsid w:val="00782DFD"/>
    <w:rsid w:val="00784424"/>
    <w:rsid w:val="00785474"/>
    <w:rsid w:val="00786608"/>
    <w:rsid w:val="007869D3"/>
    <w:rsid w:val="00786D56"/>
    <w:rsid w:val="007875CF"/>
    <w:rsid w:val="00787B99"/>
    <w:rsid w:val="00790416"/>
    <w:rsid w:val="0079074F"/>
    <w:rsid w:val="00790ABF"/>
    <w:rsid w:val="007925B6"/>
    <w:rsid w:val="00792C3E"/>
    <w:rsid w:val="00792ED3"/>
    <w:rsid w:val="007941A8"/>
    <w:rsid w:val="0079421C"/>
    <w:rsid w:val="00794C86"/>
    <w:rsid w:val="00795002"/>
    <w:rsid w:val="0079526D"/>
    <w:rsid w:val="00795571"/>
    <w:rsid w:val="007956BC"/>
    <w:rsid w:val="00795A2C"/>
    <w:rsid w:val="00797390"/>
    <w:rsid w:val="00797612"/>
    <w:rsid w:val="00797CA1"/>
    <w:rsid w:val="007A05B6"/>
    <w:rsid w:val="007A1384"/>
    <w:rsid w:val="007A1C0A"/>
    <w:rsid w:val="007A1C59"/>
    <w:rsid w:val="007A3469"/>
    <w:rsid w:val="007A3741"/>
    <w:rsid w:val="007A43F8"/>
    <w:rsid w:val="007A57A8"/>
    <w:rsid w:val="007A5B41"/>
    <w:rsid w:val="007A5F0C"/>
    <w:rsid w:val="007A60C5"/>
    <w:rsid w:val="007A6A92"/>
    <w:rsid w:val="007A7A20"/>
    <w:rsid w:val="007B15CD"/>
    <w:rsid w:val="007B394C"/>
    <w:rsid w:val="007B3A58"/>
    <w:rsid w:val="007B3A76"/>
    <w:rsid w:val="007B4D28"/>
    <w:rsid w:val="007B5792"/>
    <w:rsid w:val="007B5F64"/>
    <w:rsid w:val="007B6A8C"/>
    <w:rsid w:val="007B7B89"/>
    <w:rsid w:val="007B7B9F"/>
    <w:rsid w:val="007C0678"/>
    <w:rsid w:val="007C2157"/>
    <w:rsid w:val="007C2B90"/>
    <w:rsid w:val="007C31E2"/>
    <w:rsid w:val="007C4704"/>
    <w:rsid w:val="007C48BE"/>
    <w:rsid w:val="007C5749"/>
    <w:rsid w:val="007C5CE1"/>
    <w:rsid w:val="007C6F85"/>
    <w:rsid w:val="007C778D"/>
    <w:rsid w:val="007D0032"/>
    <w:rsid w:val="007D0569"/>
    <w:rsid w:val="007D16B1"/>
    <w:rsid w:val="007D19E4"/>
    <w:rsid w:val="007D2967"/>
    <w:rsid w:val="007D42EB"/>
    <w:rsid w:val="007D4839"/>
    <w:rsid w:val="007D6200"/>
    <w:rsid w:val="007D7400"/>
    <w:rsid w:val="007D7761"/>
    <w:rsid w:val="007D79FF"/>
    <w:rsid w:val="007E02A7"/>
    <w:rsid w:val="007E0AD5"/>
    <w:rsid w:val="007E307F"/>
    <w:rsid w:val="007E468A"/>
    <w:rsid w:val="007E4A0A"/>
    <w:rsid w:val="007E51A5"/>
    <w:rsid w:val="007E549D"/>
    <w:rsid w:val="007E6920"/>
    <w:rsid w:val="007E6938"/>
    <w:rsid w:val="007E7F4C"/>
    <w:rsid w:val="007F0269"/>
    <w:rsid w:val="007F04DF"/>
    <w:rsid w:val="007F128D"/>
    <w:rsid w:val="007F1C9B"/>
    <w:rsid w:val="007F2534"/>
    <w:rsid w:val="007F2E6A"/>
    <w:rsid w:val="007F2E8D"/>
    <w:rsid w:val="007F2EA5"/>
    <w:rsid w:val="007F2EC6"/>
    <w:rsid w:val="007F3018"/>
    <w:rsid w:val="007F3214"/>
    <w:rsid w:val="007F3A60"/>
    <w:rsid w:val="007F42E2"/>
    <w:rsid w:val="007F448D"/>
    <w:rsid w:val="007F4653"/>
    <w:rsid w:val="007F5FB2"/>
    <w:rsid w:val="007F6223"/>
    <w:rsid w:val="007F6862"/>
    <w:rsid w:val="007F6FF4"/>
    <w:rsid w:val="008013FC"/>
    <w:rsid w:val="00801F86"/>
    <w:rsid w:val="0080342A"/>
    <w:rsid w:val="008041D4"/>
    <w:rsid w:val="008050C8"/>
    <w:rsid w:val="008055A2"/>
    <w:rsid w:val="008060C3"/>
    <w:rsid w:val="008063A1"/>
    <w:rsid w:val="008067C1"/>
    <w:rsid w:val="00806E76"/>
    <w:rsid w:val="00807A6E"/>
    <w:rsid w:val="00807F00"/>
    <w:rsid w:val="00810C70"/>
    <w:rsid w:val="00811021"/>
    <w:rsid w:val="008112A8"/>
    <w:rsid w:val="00812095"/>
    <w:rsid w:val="008123B7"/>
    <w:rsid w:val="0081246E"/>
    <w:rsid w:val="008125DB"/>
    <w:rsid w:val="00812AA2"/>
    <w:rsid w:val="008134BD"/>
    <w:rsid w:val="00814656"/>
    <w:rsid w:val="00814756"/>
    <w:rsid w:val="00814BD1"/>
    <w:rsid w:val="00814F77"/>
    <w:rsid w:val="00816250"/>
    <w:rsid w:val="00816FE7"/>
    <w:rsid w:val="008175C9"/>
    <w:rsid w:val="00817E65"/>
    <w:rsid w:val="0082033C"/>
    <w:rsid w:val="00820E45"/>
    <w:rsid w:val="0082107D"/>
    <w:rsid w:val="008210E5"/>
    <w:rsid w:val="00821A77"/>
    <w:rsid w:val="00821C83"/>
    <w:rsid w:val="00821E2C"/>
    <w:rsid w:val="00822835"/>
    <w:rsid w:val="0082459B"/>
    <w:rsid w:val="008249ED"/>
    <w:rsid w:val="0082577D"/>
    <w:rsid w:val="0082583E"/>
    <w:rsid w:val="0082598C"/>
    <w:rsid w:val="00826758"/>
    <w:rsid w:val="008267C4"/>
    <w:rsid w:val="00827D7A"/>
    <w:rsid w:val="00830489"/>
    <w:rsid w:val="00832D8F"/>
    <w:rsid w:val="0083527D"/>
    <w:rsid w:val="008353E0"/>
    <w:rsid w:val="008365F0"/>
    <w:rsid w:val="008400F2"/>
    <w:rsid w:val="00841534"/>
    <w:rsid w:val="008417BB"/>
    <w:rsid w:val="00842B73"/>
    <w:rsid w:val="0084325A"/>
    <w:rsid w:val="00843441"/>
    <w:rsid w:val="0084423C"/>
    <w:rsid w:val="00844823"/>
    <w:rsid w:val="00845326"/>
    <w:rsid w:val="008462F1"/>
    <w:rsid w:val="00846823"/>
    <w:rsid w:val="00846930"/>
    <w:rsid w:val="00847BE5"/>
    <w:rsid w:val="00850FDE"/>
    <w:rsid w:val="008511A7"/>
    <w:rsid w:val="0085245C"/>
    <w:rsid w:val="00852876"/>
    <w:rsid w:val="008535E7"/>
    <w:rsid w:val="008543F5"/>
    <w:rsid w:val="0085454A"/>
    <w:rsid w:val="00854C2E"/>
    <w:rsid w:val="00855004"/>
    <w:rsid w:val="008555F5"/>
    <w:rsid w:val="00855F6C"/>
    <w:rsid w:val="00856421"/>
    <w:rsid w:val="0085723E"/>
    <w:rsid w:val="008572C4"/>
    <w:rsid w:val="0085733E"/>
    <w:rsid w:val="0085765A"/>
    <w:rsid w:val="0086019D"/>
    <w:rsid w:val="008604A8"/>
    <w:rsid w:val="00860636"/>
    <w:rsid w:val="00860804"/>
    <w:rsid w:val="00860E61"/>
    <w:rsid w:val="00860E64"/>
    <w:rsid w:val="008616F7"/>
    <w:rsid w:val="00861802"/>
    <w:rsid w:val="00861AFA"/>
    <w:rsid w:val="00862197"/>
    <w:rsid w:val="00862303"/>
    <w:rsid w:val="00863C61"/>
    <w:rsid w:val="00863E21"/>
    <w:rsid w:val="0086427D"/>
    <w:rsid w:val="00864686"/>
    <w:rsid w:val="00864B56"/>
    <w:rsid w:val="00864C1F"/>
    <w:rsid w:val="00865422"/>
    <w:rsid w:val="00865522"/>
    <w:rsid w:val="00865ADF"/>
    <w:rsid w:val="00865E71"/>
    <w:rsid w:val="0086644C"/>
    <w:rsid w:val="008666B5"/>
    <w:rsid w:val="00866C1E"/>
    <w:rsid w:val="00866F79"/>
    <w:rsid w:val="008703B3"/>
    <w:rsid w:val="0087071B"/>
    <w:rsid w:val="00870731"/>
    <w:rsid w:val="008713FC"/>
    <w:rsid w:val="00871486"/>
    <w:rsid w:val="00873148"/>
    <w:rsid w:val="00874757"/>
    <w:rsid w:val="00876985"/>
    <w:rsid w:val="008769B5"/>
    <w:rsid w:val="00876A22"/>
    <w:rsid w:val="00877240"/>
    <w:rsid w:val="008777FC"/>
    <w:rsid w:val="00883780"/>
    <w:rsid w:val="00883ACA"/>
    <w:rsid w:val="00883B99"/>
    <w:rsid w:val="00883F60"/>
    <w:rsid w:val="00885066"/>
    <w:rsid w:val="00885F85"/>
    <w:rsid w:val="0088665E"/>
    <w:rsid w:val="00886C7F"/>
    <w:rsid w:val="00887F48"/>
    <w:rsid w:val="00891EAE"/>
    <w:rsid w:val="00891F7B"/>
    <w:rsid w:val="008921A8"/>
    <w:rsid w:val="008923C8"/>
    <w:rsid w:val="008924B5"/>
    <w:rsid w:val="0089286B"/>
    <w:rsid w:val="00892B83"/>
    <w:rsid w:val="008930D4"/>
    <w:rsid w:val="00893260"/>
    <w:rsid w:val="008932A8"/>
    <w:rsid w:val="00893756"/>
    <w:rsid w:val="00894063"/>
    <w:rsid w:val="008943AD"/>
    <w:rsid w:val="0089471E"/>
    <w:rsid w:val="00894A9E"/>
    <w:rsid w:val="008950F6"/>
    <w:rsid w:val="008957DA"/>
    <w:rsid w:val="00896815"/>
    <w:rsid w:val="00896CFE"/>
    <w:rsid w:val="0089707B"/>
    <w:rsid w:val="00897FBA"/>
    <w:rsid w:val="008A0744"/>
    <w:rsid w:val="008A0A6E"/>
    <w:rsid w:val="008A0D0F"/>
    <w:rsid w:val="008A0F91"/>
    <w:rsid w:val="008A184E"/>
    <w:rsid w:val="008A1B0A"/>
    <w:rsid w:val="008A2FB3"/>
    <w:rsid w:val="008A398B"/>
    <w:rsid w:val="008A4417"/>
    <w:rsid w:val="008A4437"/>
    <w:rsid w:val="008A464F"/>
    <w:rsid w:val="008A4E5C"/>
    <w:rsid w:val="008A5601"/>
    <w:rsid w:val="008A59AD"/>
    <w:rsid w:val="008A5BCF"/>
    <w:rsid w:val="008A65A0"/>
    <w:rsid w:val="008B0EEB"/>
    <w:rsid w:val="008B12BF"/>
    <w:rsid w:val="008B14E0"/>
    <w:rsid w:val="008B1CE9"/>
    <w:rsid w:val="008B2A41"/>
    <w:rsid w:val="008B2E41"/>
    <w:rsid w:val="008B3920"/>
    <w:rsid w:val="008B3B73"/>
    <w:rsid w:val="008B431D"/>
    <w:rsid w:val="008B4E5D"/>
    <w:rsid w:val="008B4ED6"/>
    <w:rsid w:val="008B51FD"/>
    <w:rsid w:val="008B586B"/>
    <w:rsid w:val="008B5BE9"/>
    <w:rsid w:val="008B6766"/>
    <w:rsid w:val="008B7186"/>
    <w:rsid w:val="008B7192"/>
    <w:rsid w:val="008B7CA6"/>
    <w:rsid w:val="008C0073"/>
    <w:rsid w:val="008C0718"/>
    <w:rsid w:val="008C10D0"/>
    <w:rsid w:val="008C14D9"/>
    <w:rsid w:val="008C1939"/>
    <w:rsid w:val="008C3396"/>
    <w:rsid w:val="008C4D85"/>
    <w:rsid w:val="008C621C"/>
    <w:rsid w:val="008C697C"/>
    <w:rsid w:val="008C6BA6"/>
    <w:rsid w:val="008C6F7C"/>
    <w:rsid w:val="008C7448"/>
    <w:rsid w:val="008C75ED"/>
    <w:rsid w:val="008C7649"/>
    <w:rsid w:val="008C7A9E"/>
    <w:rsid w:val="008C7B1E"/>
    <w:rsid w:val="008D142D"/>
    <w:rsid w:val="008D1478"/>
    <w:rsid w:val="008D2107"/>
    <w:rsid w:val="008D30E0"/>
    <w:rsid w:val="008D330F"/>
    <w:rsid w:val="008D3409"/>
    <w:rsid w:val="008D3D66"/>
    <w:rsid w:val="008D4026"/>
    <w:rsid w:val="008D4C72"/>
    <w:rsid w:val="008D4CB4"/>
    <w:rsid w:val="008D505E"/>
    <w:rsid w:val="008D5F58"/>
    <w:rsid w:val="008D6EA6"/>
    <w:rsid w:val="008D772B"/>
    <w:rsid w:val="008E0991"/>
    <w:rsid w:val="008E0ED0"/>
    <w:rsid w:val="008E0FAB"/>
    <w:rsid w:val="008E2DCF"/>
    <w:rsid w:val="008E338E"/>
    <w:rsid w:val="008E3CB6"/>
    <w:rsid w:val="008E4E39"/>
    <w:rsid w:val="008E5266"/>
    <w:rsid w:val="008E5420"/>
    <w:rsid w:val="008E5579"/>
    <w:rsid w:val="008E57FE"/>
    <w:rsid w:val="008E6011"/>
    <w:rsid w:val="008E60A2"/>
    <w:rsid w:val="008E677D"/>
    <w:rsid w:val="008E7639"/>
    <w:rsid w:val="008E7F9B"/>
    <w:rsid w:val="008F04E6"/>
    <w:rsid w:val="008F05F3"/>
    <w:rsid w:val="008F1797"/>
    <w:rsid w:val="008F1B37"/>
    <w:rsid w:val="008F2665"/>
    <w:rsid w:val="008F2B18"/>
    <w:rsid w:val="008F2CC1"/>
    <w:rsid w:val="008F38E7"/>
    <w:rsid w:val="008F3A67"/>
    <w:rsid w:val="008F3CDA"/>
    <w:rsid w:val="008F507E"/>
    <w:rsid w:val="008F5251"/>
    <w:rsid w:val="008F5564"/>
    <w:rsid w:val="008F5A43"/>
    <w:rsid w:val="008F5EDC"/>
    <w:rsid w:val="008F5F42"/>
    <w:rsid w:val="008F620E"/>
    <w:rsid w:val="008F6376"/>
    <w:rsid w:val="008F6555"/>
    <w:rsid w:val="008F66E4"/>
    <w:rsid w:val="008F69FF"/>
    <w:rsid w:val="00900CC2"/>
    <w:rsid w:val="00901770"/>
    <w:rsid w:val="009019FB"/>
    <w:rsid w:val="00902AA5"/>
    <w:rsid w:val="009036C8"/>
    <w:rsid w:val="009044FD"/>
    <w:rsid w:val="009052B7"/>
    <w:rsid w:val="0090573D"/>
    <w:rsid w:val="00905B05"/>
    <w:rsid w:val="00907485"/>
    <w:rsid w:val="0090753C"/>
    <w:rsid w:val="00911B66"/>
    <w:rsid w:val="00912A7E"/>
    <w:rsid w:val="00913C8F"/>
    <w:rsid w:val="00914203"/>
    <w:rsid w:val="00915330"/>
    <w:rsid w:val="00916435"/>
    <w:rsid w:val="00916E69"/>
    <w:rsid w:val="00917525"/>
    <w:rsid w:val="0091768B"/>
    <w:rsid w:val="0091777D"/>
    <w:rsid w:val="00917C39"/>
    <w:rsid w:val="00917CBD"/>
    <w:rsid w:val="0092057D"/>
    <w:rsid w:val="009206D3"/>
    <w:rsid w:val="009218DE"/>
    <w:rsid w:val="00921F0E"/>
    <w:rsid w:val="00922A25"/>
    <w:rsid w:val="00922C7B"/>
    <w:rsid w:val="00922D00"/>
    <w:rsid w:val="0092320F"/>
    <w:rsid w:val="00923C3F"/>
    <w:rsid w:val="00923F17"/>
    <w:rsid w:val="00924092"/>
    <w:rsid w:val="00924950"/>
    <w:rsid w:val="00924EDB"/>
    <w:rsid w:val="00925F05"/>
    <w:rsid w:val="00926215"/>
    <w:rsid w:val="009266DA"/>
    <w:rsid w:val="0092724D"/>
    <w:rsid w:val="00930DE8"/>
    <w:rsid w:val="00930E56"/>
    <w:rsid w:val="009318DD"/>
    <w:rsid w:val="00931E60"/>
    <w:rsid w:val="00933670"/>
    <w:rsid w:val="009342C5"/>
    <w:rsid w:val="00934EC6"/>
    <w:rsid w:val="00935293"/>
    <w:rsid w:val="00935413"/>
    <w:rsid w:val="00935F5D"/>
    <w:rsid w:val="00936570"/>
    <w:rsid w:val="0093669F"/>
    <w:rsid w:val="009368E0"/>
    <w:rsid w:val="00936DDC"/>
    <w:rsid w:val="0094018D"/>
    <w:rsid w:val="009417EF"/>
    <w:rsid w:val="0094260B"/>
    <w:rsid w:val="00942661"/>
    <w:rsid w:val="00945307"/>
    <w:rsid w:val="0094558D"/>
    <w:rsid w:val="009465B0"/>
    <w:rsid w:val="00946FCE"/>
    <w:rsid w:val="00947FA3"/>
    <w:rsid w:val="009515BC"/>
    <w:rsid w:val="009515F7"/>
    <w:rsid w:val="00952094"/>
    <w:rsid w:val="009524AA"/>
    <w:rsid w:val="0095349A"/>
    <w:rsid w:val="00953B5B"/>
    <w:rsid w:val="00953ED0"/>
    <w:rsid w:val="009546E8"/>
    <w:rsid w:val="0095492E"/>
    <w:rsid w:val="00954A4C"/>
    <w:rsid w:val="00955A2B"/>
    <w:rsid w:val="00955F7D"/>
    <w:rsid w:val="00957531"/>
    <w:rsid w:val="0096089E"/>
    <w:rsid w:val="00960938"/>
    <w:rsid w:val="00961DBE"/>
    <w:rsid w:val="0096242F"/>
    <w:rsid w:val="00962A6D"/>
    <w:rsid w:val="00962E3B"/>
    <w:rsid w:val="00962E4A"/>
    <w:rsid w:val="00962FF5"/>
    <w:rsid w:val="00963B0E"/>
    <w:rsid w:val="00963BED"/>
    <w:rsid w:val="00964A4E"/>
    <w:rsid w:val="00965B02"/>
    <w:rsid w:val="00965C07"/>
    <w:rsid w:val="00965D2D"/>
    <w:rsid w:val="00965FCA"/>
    <w:rsid w:val="00966080"/>
    <w:rsid w:val="00966142"/>
    <w:rsid w:val="009701EE"/>
    <w:rsid w:val="0097084F"/>
    <w:rsid w:val="00970A16"/>
    <w:rsid w:val="0097181E"/>
    <w:rsid w:val="00971847"/>
    <w:rsid w:val="00972964"/>
    <w:rsid w:val="00972ED4"/>
    <w:rsid w:val="009733B3"/>
    <w:rsid w:val="00973BA1"/>
    <w:rsid w:val="00974E9E"/>
    <w:rsid w:val="009750A3"/>
    <w:rsid w:val="009757A8"/>
    <w:rsid w:val="009763AD"/>
    <w:rsid w:val="0097762F"/>
    <w:rsid w:val="00977E5E"/>
    <w:rsid w:val="009803F8"/>
    <w:rsid w:val="00981395"/>
    <w:rsid w:val="00981571"/>
    <w:rsid w:val="009816B8"/>
    <w:rsid w:val="00983024"/>
    <w:rsid w:val="00983230"/>
    <w:rsid w:val="009835D4"/>
    <w:rsid w:val="0098379A"/>
    <w:rsid w:val="00983A9E"/>
    <w:rsid w:val="00983B15"/>
    <w:rsid w:val="00983B45"/>
    <w:rsid w:val="00983B5C"/>
    <w:rsid w:val="00986090"/>
    <w:rsid w:val="009871F8"/>
    <w:rsid w:val="0098766F"/>
    <w:rsid w:val="009901F1"/>
    <w:rsid w:val="00991111"/>
    <w:rsid w:val="0099359D"/>
    <w:rsid w:val="00993912"/>
    <w:rsid w:val="00994050"/>
    <w:rsid w:val="009946F9"/>
    <w:rsid w:val="0099498B"/>
    <w:rsid w:val="009953FC"/>
    <w:rsid w:val="009962CF"/>
    <w:rsid w:val="009969D6"/>
    <w:rsid w:val="009A027B"/>
    <w:rsid w:val="009A18A8"/>
    <w:rsid w:val="009A18BF"/>
    <w:rsid w:val="009A1EFA"/>
    <w:rsid w:val="009A3059"/>
    <w:rsid w:val="009A3949"/>
    <w:rsid w:val="009A41D4"/>
    <w:rsid w:val="009A4543"/>
    <w:rsid w:val="009A4F59"/>
    <w:rsid w:val="009A5DB1"/>
    <w:rsid w:val="009A5F46"/>
    <w:rsid w:val="009A70CA"/>
    <w:rsid w:val="009A7C5A"/>
    <w:rsid w:val="009A7E51"/>
    <w:rsid w:val="009A7F67"/>
    <w:rsid w:val="009B026A"/>
    <w:rsid w:val="009B055F"/>
    <w:rsid w:val="009B13C6"/>
    <w:rsid w:val="009B21B9"/>
    <w:rsid w:val="009B2607"/>
    <w:rsid w:val="009B2FAD"/>
    <w:rsid w:val="009B4504"/>
    <w:rsid w:val="009B4CD0"/>
    <w:rsid w:val="009B4DA7"/>
    <w:rsid w:val="009C076C"/>
    <w:rsid w:val="009C0A8A"/>
    <w:rsid w:val="009C1E27"/>
    <w:rsid w:val="009C21C6"/>
    <w:rsid w:val="009C383B"/>
    <w:rsid w:val="009C3A80"/>
    <w:rsid w:val="009C409F"/>
    <w:rsid w:val="009C41EC"/>
    <w:rsid w:val="009C46CA"/>
    <w:rsid w:val="009C4A0D"/>
    <w:rsid w:val="009C5238"/>
    <w:rsid w:val="009C5CE9"/>
    <w:rsid w:val="009C5D68"/>
    <w:rsid w:val="009D00B9"/>
    <w:rsid w:val="009D00C9"/>
    <w:rsid w:val="009D0193"/>
    <w:rsid w:val="009D0286"/>
    <w:rsid w:val="009D0AE8"/>
    <w:rsid w:val="009D12B4"/>
    <w:rsid w:val="009D149D"/>
    <w:rsid w:val="009D1E70"/>
    <w:rsid w:val="009D1FCD"/>
    <w:rsid w:val="009D2135"/>
    <w:rsid w:val="009D25BC"/>
    <w:rsid w:val="009D2655"/>
    <w:rsid w:val="009D2FA7"/>
    <w:rsid w:val="009D3342"/>
    <w:rsid w:val="009D37F7"/>
    <w:rsid w:val="009D38E7"/>
    <w:rsid w:val="009D3FAF"/>
    <w:rsid w:val="009D3FD0"/>
    <w:rsid w:val="009D4CAE"/>
    <w:rsid w:val="009D55F9"/>
    <w:rsid w:val="009D5A11"/>
    <w:rsid w:val="009D6A1B"/>
    <w:rsid w:val="009D6DD4"/>
    <w:rsid w:val="009D712B"/>
    <w:rsid w:val="009D765F"/>
    <w:rsid w:val="009D7760"/>
    <w:rsid w:val="009E0160"/>
    <w:rsid w:val="009E041A"/>
    <w:rsid w:val="009E085D"/>
    <w:rsid w:val="009E16E6"/>
    <w:rsid w:val="009E1802"/>
    <w:rsid w:val="009E1E62"/>
    <w:rsid w:val="009E2335"/>
    <w:rsid w:val="009E23A4"/>
    <w:rsid w:val="009E2953"/>
    <w:rsid w:val="009E30CE"/>
    <w:rsid w:val="009E4B64"/>
    <w:rsid w:val="009E4CDF"/>
    <w:rsid w:val="009E516B"/>
    <w:rsid w:val="009E7618"/>
    <w:rsid w:val="009F04C3"/>
    <w:rsid w:val="009F0760"/>
    <w:rsid w:val="009F1D8A"/>
    <w:rsid w:val="009F1FE9"/>
    <w:rsid w:val="009F2FD2"/>
    <w:rsid w:val="009F36C2"/>
    <w:rsid w:val="009F3B29"/>
    <w:rsid w:val="009F4860"/>
    <w:rsid w:val="009F48F1"/>
    <w:rsid w:val="009F5252"/>
    <w:rsid w:val="009F63A8"/>
    <w:rsid w:val="009F7160"/>
    <w:rsid w:val="009F77EF"/>
    <w:rsid w:val="009F7834"/>
    <w:rsid w:val="00A00057"/>
    <w:rsid w:val="00A00485"/>
    <w:rsid w:val="00A0076C"/>
    <w:rsid w:val="00A00B3E"/>
    <w:rsid w:val="00A01178"/>
    <w:rsid w:val="00A01A5F"/>
    <w:rsid w:val="00A02140"/>
    <w:rsid w:val="00A025AC"/>
    <w:rsid w:val="00A02751"/>
    <w:rsid w:val="00A02C96"/>
    <w:rsid w:val="00A02E65"/>
    <w:rsid w:val="00A0340A"/>
    <w:rsid w:val="00A03443"/>
    <w:rsid w:val="00A03604"/>
    <w:rsid w:val="00A040B6"/>
    <w:rsid w:val="00A0440C"/>
    <w:rsid w:val="00A04785"/>
    <w:rsid w:val="00A047AE"/>
    <w:rsid w:val="00A04F62"/>
    <w:rsid w:val="00A0585F"/>
    <w:rsid w:val="00A065F2"/>
    <w:rsid w:val="00A0694A"/>
    <w:rsid w:val="00A0708A"/>
    <w:rsid w:val="00A077AC"/>
    <w:rsid w:val="00A07A33"/>
    <w:rsid w:val="00A07A9D"/>
    <w:rsid w:val="00A07AF7"/>
    <w:rsid w:val="00A10A30"/>
    <w:rsid w:val="00A1137C"/>
    <w:rsid w:val="00A113D7"/>
    <w:rsid w:val="00A11639"/>
    <w:rsid w:val="00A116C1"/>
    <w:rsid w:val="00A11F0F"/>
    <w:rsid w:val="00A1230F"/>
    <w:rsid w:val="00A12894"/>
    <w:rsid w:val="00A1415F"/>
    <w:rsid w:val="00A1433F"/>
    <w:rsid w:val="00A159CE"/>
    <w:rsid w:val="00A160B8"/>
    <w:rsid w:val="00A16126"/>
    <w:rsid w:val="00A173A5"/>
    <w:rsid w:val="00A17708"/>
    <w:rsid w:val="00A20302"/>
    <w:rsid w:val="00A20A57"/>
    <w:rsid w:val="00A20CF3"/>
    <w:rsid w:val="00A2105B"/>
    <w:rsid w:val="00A21664"/>
    <w:rsid w:val="00A217E9"/>
    <w:rsid w:val="00A21C6C"/>
    <w:rsid w:val="00A2220F"/>
    <w:rsid w:val="00A22B58"/>
    <w:rsid w:val="00A23574"/>
    <w:rsid w:val="00A2365A"/>
    <w:rsid w:val="00A24133"/>
    <w:rsid w:val="00A249F0"/>
    <w:rsid w:val="00A25C9E"/>
    <w:rsid w:val="00A262BF"/>
    <w:rsid w:val="00A269A5"/>
    <w:rsid w:val="00A26B98"/>
    <w:rsid w:val="00A27809"/>
    <w:rsid w:val="00A27B4A"/>
    <w:rsid w:val="00A30533"/>
    <w:rsid w:val="00A31101"/>
    <w:rsid w:val="00A313B2"/>
    <w:rsid w:val="00A317B0"/>
    <w:rsid w:val="00A31FD2"/>
    <w:rsid w:val="00A34591"/>
    <w:rsid w:val="00A34E44"/>
    <w:rsid w:val="00A35657"/>
    <w:rsid w:val="00A35AD1"/>
    <w:rsid w:val="00A35D8A"/>
    <w:rsid w:val="00A3640F"/>
    <w:rsid w:val="00A37050"/>
    <w:rsid w:val="00A37C68"/>
    <w:rsid w:val="00A37ECF"/>
    <w:rsid w:val="00A404E6"/>
    <w:rsid w:val="00A407A4"/>
    <w:rsid w:val="00A40B90"/>
    <w:rsid w:val="00A40BAE"/>
    <w:rsid w:val="00A40C23"/>
    <w:rsid w:val="00A40CE2"/>
    <w:rsid w:val="00A40E77"/>
    <w:rsid w:val="00A41CDE"/>
    <w:rsid w:val="00A41DFA"/>
    <w:rsid w:val="00A4203E"/>
    <w:rsid w:val="00A42FAE"/>
    <w:rsid w:val="00A43C09"/>
    <w:rsid w:val="00A4473E"/>
    <w:rsid w:val="00A4517A"/>
    <w:rsid w:val="00A47176"/>
    <w:rsid w:val="00A475C5"/>
    <w:rsid w:val="00A4768C"/>
    <w:rsid w:val="00A50A68"/>
    <w:rsid w:val="00A50D3B"/>
    <w:rsid w:val="00A50E38"/>
    <w:rsid w:val="00A50EDC"/>
    <w:rsid w:val="00A510C6"/>
    <w:rsid w:val="00A511B4"/>
    <w:rsid w:val="00A5181E"/>
    <w:rsid w:val="00A518AA"/>
    <w:rsid w:val="00A525E7"/>
    <w:rsid w:val="00A52F9E"/>
    <w:rsid w:val="00A54317"/>
    <w:rsid w:val="00A548D3"/>
    <w:rsid w:val="00A553F6"/>
    <w:rsid w:val="00A555C0"/>
    <w:rsid w:val="00A559FC"/>
    <w:rsid w:val="00A56348"/>
    <w:rsid w:val="00A56E1C"/>
    <w:rsid w:val="00A5703F"/>
    <w:rsid w:val="00A5725C"/>
    <w:rsid w:val="00A57D39"/>
    <w:rsid w:val="00A57F3C"/>
    <w:rsid w:val="00A6054F"/>
    <w:rsid w:val="00A6071D"/>
    <w:rsid w:val="00A6106E"/>
    <w:rsid w:val="00A6114E"/>
    <w:rsid w:val="00A6316B"/>
    <w:rsid w:val="00A63719"/>
    <w:rsid w:val="00A63DCF"/>
    <w:rsid w:val="00A64ED8"/>
    <w:rsid w:val="00A65114"/>
    <w:rsid w:val="00A65316"/>
    <w:rsid w:val="00A65886"/>
    <w:rsid w:val="00A65B9D"/>
    <w:rsid w:val="00A65F85"/>
    <w:rsid w:val="00A674FF"/>
    <w:rsid w:val="00A67601"/>
    <w:rsid w:val="00A70233"/>
    <w:rsid w:val="00A70F69"/>
    <w:rsid w:val="00A7124E"/>
    <w:rsid w:val="00A72611"/>
    <w:rsid w:val="00A73ABB"/>
    <w:rsid w:val="00A751A1"/>
    <w:rsid w:val="00A755C6"/>
    <w:rsid w:val="00A75A7C"/>
    <w:rsid w:val="00A762C9"/>
    <w:rsid w:val="00A76CEE"/>
    <w:rsid w:val="00A76D2C"/>
    <w:rsid w:val="00A775C6"/>
    <w:rsid w:val="00A77746"/>
    <w:rsid w:val="00A806AA"/>
    <w:rsid w:val="00A8165B"/>
    <w:rsid w:val="00A81CEF"/>
    <w:rsid w:val="00A82239"/>
    <w:rsid w:val="00A82FFD"/>
    <w:rsid w:val="00A83BF6"/>
    <w:rsid w:val="00A84C2C"/>
    <w:rsid w:val="00A863A5"/>
    <w:rsid w:val="00A86A18"/>
    <w:rsid w:val="00A86BC3"/>
    <w:rsid w:val="00A87B4F"/>
    <w:rsid w:val="00A87F31"/>
    <w:rsid w:val="00A90D27"/>
    <w:rsid w:val="00A9103B"/>
    <w:rsid w:val="00A91284"/>
    <w:rsid w:val="00A918A7"/>
    <w:rsid w:val="00A91A2F"/>
    <w:rsid w:val="00A921A7"/>
    <w:rsid w:val="00A92871"/>
    <w:rsid w:val="00A9394F"/>
    <w:rsid w:val="00A93EED"/>
    <w:rsid w:val="00A945B1"/>
    <w:rsid w:val="00A955EB"/>
    <w:rsid w:val="00A96A04"/>
    <w:rsid w:val="00A97118"/>
    <w:rsid w:val="00AA1164"/>
    <w:rsid w:val="00AA155D"/>
    <w:rsid w:val="00AA15CC"/>
    <w:rsid w:val="00AA1F49"/>
    <w:rsid w:val="00AA26F4"/>
    <w:rsid w:val="00AA2821"/>
    <w:rsid w:val="00AA2B86"/>
    <w:rsid w:val="00AA3A2E"/>
    <w:rsid w:val="00AA4099"/>
    <w:rsid w:val="00AA435A"/>
    <w:rsid w:val="00AA5CD6"/>
    <w:rsid w:val="00AA64F2"/>
    <w:rsid w:val="00AA6913"/>
    <w:rsid w:val="00AA6C84"/>
    <w:rsid w:val="00AA6D73"/>
    <w:rsid w:val="00AA7D7C"/>
    <w:rsid w:val="00AB0055"/>
    <w:rsid w:val="00AB0135"/>
    <w:rsid w:val="00AB0809"/>
    <w:rsid w:val="00AB1FD9"/>
    <w:rsid w:val="00AB2190"/>
    <w:rsid w:val="00AB3761"/>
    <w:rsid w:val="00AB39EB"/>
    <w:rsid w:val="00AB3AAC"/>
    <w:rsid w:val="00AB3F27"/>
    <w:rsid w:val="00AB3FD9"/>
    <w:rsid w:val="00AB4B59"/>
    <w:rsid w:val="00AB529A"/>
    <w:rsid w:val="00AB5983"/>
    <w:rsid w:val="00AB64F2"/>
    <w:rsid w:val="00AB691D"/>
    <w:rsid w:val="00AB7140"/>
    <w:rsid w:val="00AB73CC"/>
    <w:rsid w:val="00AB7BFC"/>
    <w:rsid w:val="00AB7DE7"/>
    <w:rsid w:val="00AC03AB"/>
    <w:rsid w:val="00AC0650"/>
    <w:rsid w:val="00AC104A"/>
    <w:rsid w:val="00AC192D"/>
    <w:rsid w:val="00AC1BE7"/>
    <w:rsid w:val="00AC275F"/>
    <w:rsid w:val="00AC3091"/>
    <w:rsid w:val="00AC3D3E"/>
    <w:rsid w:val="00AC3EE4"/>
    <w:rsid w:val="00AC3FCF"/>
    <w:rsid w:val="00AC4700"/>
    <w:rsid w:val="00AC50A4"/>
    <w:rsid w:val="00AC55AF"/>
    <w:rsid w:val="00AC5A95"/>
    <w:rsid w:val="00AC5E26"/>
    <w:rsid w:val="00AC5EDB"/>
    <w:rsid w:val="00AC6074"/>
    <w:rsid w:val="00AC61C1"/>
    <w:rsid w:val="00AC6471"/>
    <w:rsid w:val="00AD0681"/>
    <w:rsid w:val="00AD08BF"/>
    <w:rsid w:val="00AD0F68"/>
    <w:rsid w:val="00AD1751"/>
    <w:rsid w:val="00AD21BE"/>
    <w:rsid w:val="00AD243A"/>
    <w:rsid w:val="00AD2A89"/>
    <w:rsid w:val="00AD2B6E"/>
    <w:rsid w:val="00AD3443"/>
    <w:rsid w:val="00AD40C4"/>
    <w:rsid w:val="00AD4568"/>
    <w:rsid w:val="00AD4ADF"/>
    <w:rsid w:val="00AD4B3C"/>
    <w:rsid w:val="00AD4F61"/>
    <w:rsid w:val="00AD68A5"/>
    <w:rsid w:val="00AD6ACE"/>
    <w:rsid w:val="00AD74E4"/>
    <w:rsid w:val="00AD7706"/>
    <w:rsid w:val="00AD7C66"/>
    <w:rsid w:val="00AE0059"/>
    <w:rsid w:val="00AE06AF"/>
    <w:rsid w:val="00AE0F80"/>
    <w:rsid w:val="00AE1387"/>
    <w:rsid w:val="00AE185D"/>
    <w:rsid w:val="00AE18D3"/>
    <w:rsid w:val="00AE1BFE"/>
    <w:rsid w:val="00AE1E4F"/>
    <w:rsid w:val="00AE3842"/>
    <w:rsid w:val="00AE3D83"/>
    <w:rsid w:val="00AE3D84"/>
    <w:rsid w:val="00AE4374"/>
    <w:rsid w:val="00AE466A"/>
    <w:rsid w:val="00AE485C"/>
    <w:rsid w:val="00AE5D85"/>
    <w:rsid w:val="00AE6DF2"/>
    <w:rsid w:val="00AE739E"/>
    <w:rsid w:val="00AE7A92"/>
    <w:rsid w:val="00AE7C1F"/>
    <w:rsid w:val="00AE7D4F"/>
    <w:rsid w:val="00AE7FE4"/>
    <w:rsid w:val="00AF0117"/>
    <w:rsid w:val="00AF0D96"/>
    <w:rsid w:val="00AF17D3"/>
    <w:rsid w:val="00AF1D77"/>
    <w:rsid w:val="00AF34DB"/>
    <w:rsid w:val="00AF38BA"/>
    <w:rsid w:val="00AF4F67"/>
    <w:rsid w:val="00AF5811"/>
    <w:rsid w:val="00AF5F99"/>
    <w:rsid w:val="00AF6509"/>
    <w:rsid w:val="00AF66B4"/>
    <w:rsid w:val="00AF7CCF"/>
    <w:rsid w:val="00B00BBE"/>
    <w:rsid w:val="00B01C75"/>
    <w:rsid w:val="00B02FE9"/>
    <w:rsid w:val="00B0456E"/>
    <w:rsid w:val="00B04CBA"/>
    <w:rsid w:val="00B04F53"/>
    <w:rsid w:val="00B050D4"/>
    <w:rsid w:val="00B0620B"/>
    <w:rsid w:val="00B0682C"/>
    <w:rsid w:val="00B0698D"/>
    <w:rsid w:val="00B06A05"/>
    <w:rsid w:val="00B06BF6"/>
    <w:rsid w:val="00B06F7F"/>
    <w:rsid w:val="00B07849"/>
    <w:rsid w:val="00B100F0"/>
    <w:rsid w:val="00B10669"/>
    <w:rsid w:val="00B1082D"/>
    <w:rsid w:val="00B10DC0"/>
    <w:rsid w:val="00B10E91"/>
    <w:rsid w:val="00B11FD3"/>
    <w:rsid w:val="00B12FBE"/>
    <w:rsid w:val="00B13889"/>
    <w:rsid w:val="00B13B0C"/>
    <w:rsid w:val="00B1402E"/>
    <w:rsid w:val="00B14865"/>
    <w:rsid w:val="00B149F9"/>
    <w:rsid w:val="00B16A6B"/>
    <w:rsid w:val="00B206D9"/>
    <w:rsid w:val="00B210E7"/>
    <w:rsid w:val="00B215EE"/>
    <w:rsid w:val="00B21D50"/>
    <w:rsid w:val="00B21E31"/>
    <w:rsid w:val="00B22F62"/>
    <w:rsid w:val="00B22F9B"/>
    <w:rsid w:val="00B23747"/>
    <w:rsid w:val="00B23E0A"/>
    <w:rsid w:val="00B24090"/>
    <w:rsid w:val="00B25172"/>
    <w:rsid w:val="00B25489"/>
    <w:rsid w:val="00B257E3"/>
    <w:rsid w:val="00B260C7"/>
    <w:rsid w:val="00B264C0"/>
    <w:rsid w:val="00B26ADA"/>
    <w:rsid w:val="00B26CA2"/>
    <w:rsid w:val="00B272E7"/>
    <w:rsid w:val="00B27494"/>
    <w:rsid w:val="00B2765B"/>
    <w:rsid w:val="00B279B9"/>
    <w:rsid w:val="00B27B86"/>
    <w:rsid w:val="00B27BFD"/>
    <w:rsid w:val="00B27F66"/>
    <w:rsid w:val="00B3019B"/>
    <w:rsid w:val="00B3091D"/>
    <w:rsid w:val="00B31B61"/>
    <w:rsid w:val="00B31CED"/>
    <w:rsid w:val="00B33F5A"/>
    <w:rsid w:val="00B348A2"/>
    <w:rsid w:val="00B34F48"/>
    <w:rsid w:val="00B35534"/>
    <w:rsid w:val="00B356F0"/>
    <w:rsid w:val="00B35DF0"/>
    <w:rsid w:val="00B36654"/>
    <w:rsid w:val="00B369AA"/>
    <w:rsid w:val="00B36F0E"/>
    <w:rsid w:val="00B37913"/>
    <w:rsid w:val="00B37B23"/>
    <w:rsid w:val="00B416EA"/>
    <w:rsid w:val="00B4198D"/>
    <w:rsid w:val="00B41D31"/>
    <w:rsid w:val="00B41E54"/>
    <w:rsid w:val="00B41E7D"/>
    <w:rsid w:val="00B42941"/>
    <w:rsid w:val="00B46742"/>
    <w:rsid w:val="00B46960"/>
    <w:rsid w:val="00B47173"/>
    <w:rsid w:val="00B47C92"/>
    <w:rsid w:val="00B47D11"/>
    <w:rsid w:val="00B47F4C"/>
    <w:rsid w:val="00B50761"/>
    <w:rsid w:val="00B51187"/>
    <w:rsid w:val="00B51BA0"/>
    <w:rsid w:val="00B535BD"/>
    <w:rsid w:val="00B53701"/>
    <w:rsid w:val="00B53D7F"/>
    <w:rsid w:val="00B54986"/>
    <w:rsid w:val="00B56307"/>
    <w:rsid w:val="00B56A26"/>
    <w:rsid w:val="00B57C9A"/>
    <w:rsid w:val="00B6021A"/>
    <w:rsid w:val="00B603D5"/>
    <w:rsid w:val="00B60702"/>
    <w:rsid w:val="00B6110A"/>
    <w:rsid w:val="00B6175B"/>
    <w:rsid w:val="00B6176A"/>
    <w:rsid w:val="00B6301A"/>
    <w:rsid w:val="00B63217"/>
    <w:rsid w:val="00B643DF"/>
    <w:rsid w:val="00B64805"/>
    <w:rsid w:val="00B64B6C"/>
    <w:rsid w:val="00B64CAD"/>
    <w:rsid w:val="00B651FA"/>
    <w:rsid w:val="00B66751"/>
    <w:rsid w:val="00B668CB"/>
    <w:rsid w:val="00B67830"/>
    <w:rsid w:val="00B678D4"/>
    <w:rsid w:val="00B67AA6"/>
    <w:rsid w:val="00B67BE7"/>
    <w:rsid w:val="00B7066C"/>
    <w:rsid w:val="00B717D8"/>
    <w:rsid w:val="00B71A67"/>
    <w:rsid w:val="00B71CCD"/>
    <w:rsid w:val="00B721B1"/>
    <w:rsid w:val="00B724FA"/>
    <w:rsid w:val="00B72DF3"/>
    <w:rsid w:val="00B72E2F"/>
    <w:rsid w:val="00B73512"/>
    <w:rsid w:val="00B7383E"/>
    <w:rsid w:val="00B74146"/>
    <w:rsid w:val="00B74896"/>
    <w:rsid w:val="00B74A81"/>
    <w:rsid w:val="00B75A66"/>
    <w:rsid w:val="00B76414"/>
    <w:rsid w:val="00B76A32"/>
    <w:rsid w:val="00B76F6C"/>
    <w:rsid w:val="00B8080B"/>
    <w:rsid w:val="00B811EF"/>
    <w:rsid w:val="00B821DD"/>
    <w:rsid w:val="00B831B9"/>
    <w:rsid w:val="00B83322"/>
    <w:rsid w:val="00B83C03"/>
    <w:rsid w:val="00B8407E"/>
    <w:rsid w:val="00B85AD3"/>
    <w:rsid w:val="00B8680E"/>
    <w:rsid w:val="00B86EF1"/>
    <w:rsid w:val="00B873BF"/>
    <w:rsid w:val="00B8780E"/>
    <w:rsid w:val="00B90674"/>
    <w:rsid w:val="00B90F73"/>
    <w:rsid w:val="00B91406"/>
    <w:rsid w:val="00B915FE"/>
    <w:rsid w:val="00B9191E"/>
    <w:rsid w:val="00B91FFF"/>
    <w:rsid w:val="00B92B9D"/>
    <w:rsid w:val="00B9322A"/>
    <w:rsid w:val="00B934E3"/>
    <w:rsid w:val="00B93E01"/>
    <w:rsid w:val="00B94323"/>
    <w:rsid w:val="00B94444"/>
    <w:rsid w:val="00B94D42"/>
    <w:rsid w:val="00B9566B"/>
    <w:rsid w:val="00B9580A"/>
    <w:rsid w:val="00B9590A"/>
    <w:rsid w:val="00B95BCF"/>
    <w:rsid w:val="00B95D62"/>
    <w:rsid w:val="00B95F92"/>
    <w:rsid w:val="00B961B7"/>
    <w:rsid w:val="00B963D4"/>
    <w:rsid w:val="00B9723D"/>
    <w:rsid w:val="00B9772B"/>
    <w:rsid w:val="00B97859"/>
    <w:rsid w:val="00B97DE9"/>
    <w:rsid w:val="00BA25B3"/>
    <w:rsid w:val="00BA2DEF"/>
    <w:rsid w:val="00BA35F2"/>
    <w:rsid w:val="00BA42FB"/>
    <w:rsid w:val="00BA4768"/>
    <w:rsid w:val="00BA4A92"/>
    <w:rsid w:val="00BA516F"/>
    <w:rsid w:val="00BA628C"/>
    <w:rsid w:val="00BA703B"/>
    <w:rsid w:val="00BA7059"/>
    <w:rsid w:val="00BA7ADF"/>
    <w:rsid w:val="00BA7BDB"/>
    <w:rsid w:val="00BB0051"/>
    <w:rsid w:val="00BB02C6"/>
    <w:rsid w:val="00BB0656"/>
    <w:rsid w:val="00BB0E16"/>
    <w:rsid w:val="00BB1082"/>
    <w:rsid w:val="00BB1CD3"/>
    <w:rsid w:val="00BB1FCD"/>
    <w:rsid w:val="00BB2127"/>
    <w:rsid w:val="00BB2C0D"/>
    <w:rsid w:val="00BB3805"/>
    <w:rsid w:val="00BB4589"/>
    <w:rsid w:val="00BB471C"/>
    <w:rsid w:val="00BB482A"/>
    <w:rsid w:val="00BB52A5"/>
    <w:rsid w:val="00BB5893"/>
    <w:rsid w:val="00BB5B0F"/>
    <w:rsid w:val="00BB62F8"/>
    <w:rsid w:val="00BB6740"/>
    <w:rsid w:val="00BB6BC6"/>
    <w:rsid w:val="00BB7401"/>
    <w:rsid w:val="00BB7D2A"/>
    <w:rsid w:val="00BB7EA1"/>
    <w:rsid w:val="00BB7F81"/>
    <w:rsid w:val="00BC063E"/>
    <w:rsid w:val="00BC0647"/>
    <w:rsid w:val="00BC0874"/>
    <w:rsid w:val="00BC0EA2"/>
    <w:rsid w:val="00BC0EFC"/>
    <w:rsid w:val="00BC1CDB"/>
    <w:rsid w:val="00BC1F2A"/>
    <w:rsid w:val="00BC2432"/>
    <w:rsid w:val="00BC269B"/>
    <w:rsid w:val="00BC27D2"/>
    <w:rsid w:val="00BC2D86"/>
    <w:rsid w:val="00BC676A"/>
    <w:rsid w:val="00BD22C3"/>
    <w:rsid w:val="00BD2301"/>
    <w:rsid w:val="00BD24A2"/>
    <w:rsid w:val="00BD3259"/>
    <w:rsid w:val="00BD35E1"/>
    <w:rsid w:val="00BD3F1D"/>
    <w:rsid w:val="00BD4D1E"/>
    <w:rsid w:val="00BD5158"/>
    <w:rsid w:val="00BD52B1"/>
    <w:rsid w:val="00BD54FC"/>
    <w:rsid w:val="00BD5663"/>
    <w:rsid w:val="00BD6030"/>
    <w:rsid w:val="00BD63C3"/>
    <w:rsid w:val="00BD67CE"/>
    <w:rsid w:val="00BD6F25"/>
    <w:rsid w:val="00BD7084"/>
    <w:rsid w:val="00BD729A"/>
    <w:rsid w:val="00BD76A4"/>
    <w:rsid w:val="00BE1C8A"/>
    <w:rsid w:val="00BE2592"/>
    <w:rsid w:val="00BE25DC"/>
    <w:rsid w:val="00BE4857"/>
    <w:rsid w:val="00BE5847"/>
    <w:rsid w:val="00BE5BE0"/>
    <w:rsid w:val="00BE6030"/>
    <w:rsid w:val="00BE62D5"/>
    <w:rsid w:val="00BE6445"/>
    <w:rsid w:val="00BE66DE"/>
    <w:rsid w:val="00BE686E"/>
    <w:rsid w:val="00BE697B"/>
    <w:rsid w:val="00BE70E8"/>
    <w:rsid w:val="00BE78D4"/>
    <w:rsid w:val="00BE7EC7"/>
    <w:rsid w:val="00BF0E76"/>
    <w:rsid w:val="00BF19DC"/>
    <w:rsid w:val="00BF19E4"/>
    <w:rsid w:val="00BF1F4F"/>
    <w:rsid w:val="00BF2B3E"/>
    <w:rsid w:val="00BF2DAF"/>
    <w:rsid w:val="00BF4686"/>
    <w:rsid w:val="00BF4937"/>
    <w:rsid w:val="00BF4E1B"/>
    <w:rsid w:val="00BF55D0"/>
    <w:rsid w:val="00BF6987"/>
    <w:rsid w:val="00BF6FFF"/>
    <w:rsid w:val="00BF7255"/>
    <w:rsid w:val="00BF7CA9"/>
    <w:rsid w:val="00C00DDC"/>
    <w:rsid w:val="00C01083"/>
    <w:rsid w:val="00C01B70"/>
    <w:rsid w:val="00C01C57"/>
    <w:rsid w:val="00C0276B"/>
    <w:rsid w:val="00C02857"/>
    <w:rsid w:val="00C02E5C"/>
    <w:rsid w:val="00C03D5B"/>
    <w:rsid w:val="00C04595"/>
    <w:rsid w:val="00C0480F"/>
    <w:rsid w:val="00C04C36"/>
    <w:rsid w:val="00C05F69"/>
    <w:rsid w:val="00C076B5"/>
    <w:rsid w:val="00C10426"/>
    <w:rsid w:val="00C1043C"/>
    <w:rsid w:val="00C11A68"/>
    <w:rsid w:val="00C12A51"/>
    <w:rsid w:val="00C12CD1"/>
    <w:rsid w:val="00C156CA"/>
    <w:rsid w:val="00C156F6"/>
    <w:rsid w:val="00C1591E"/>
    <w:rsid w:val="00C17353"/>
    <w:rsid w:val="00C173EE"/>
    <w:rsid w:val="00C2078E"/>
    <w:rsid w:val="00C20D36"/>
    <w:rsid w:val="00C21038"/>
    <w:rsid w:val="00C2171C"/>
    <w:rsid w:val="00C21E0F"/>
    <w:rsid w:val="00C2286B"/>
    <w:rsid w:val="00C22EC1"/>
    <w:rsid w:val="00C2396B"/>
    <w:rsid w:val="00C23D89"/>
    <w:rsid w:val="00C24B1E"/>
    <w:rsid w:val="00C25A9E"/>
    <w:rsid w:val="00C26865"/>
    <w:rsid w:val="00C26D47"/>
    <w:rsid w:val="00C2785F"/>
    <w:rsid w:val="00C27917"/>
    <w:rsid w:val="00C30599"/>
    <w:rsid w:val="00C3067E"/>
    <w:rsid w:val="00C306BB"/>
    <w:rsid w:val="00C30BA6"/>
    <w:rsid w:val="00C31467"/>
    <w:rsid w:val="00C31937"/>
    <w:rsid w:val="00C31FBC"/>
    <w:rsid w:val="00C32CE6"/>
    <w:rsid w:val="00C333BD"/>
    <w:rsid w:val="00C33F0C"/>
    <w:rsid w:val="00C3468B"/>
    <w:rsid w:val="00C34CCB"/>
    <w:rsid w:val="00C34D57"/>
    <w:rsid w:val="00C34EEE"/>
    <w:rsid w:val="00C35515"/>
    <w:rsid w:val="00C35807"/>
    <w:rsid w:val="00C35A4B"/>
    <w:rsid w:val="00C36097"/>
    <w:rsid w:val="00C36614"/>
    <w:rsid w:val="00C36696"/>
    <w:rsid w:val="00C36720"/>
    <w:rsid w:val="00C36777"/>
    <w:rsid w:val="00C36E33"/>
    <w:rsid w:val="00C36F86"/>
    <w:rsid w:val="00C37518"/>
    <w:rsid w:val="00C37A73"/>
    <w:rsid w:val="00C37CD0"/>
    <w:rsid w:val="00C37F00"/>
    <w:rsid w:val="00C37F01"/>
    <w:rsid w:val="00C40DDD"/>
    <w:rsid w:val="00C421C9"/>
    <w:rsid w:val="00C42393"/>
    <w:rsid w:val="00C42A3A"/>
    <w:rsid w:val="00C437C6"/>
    <w:rsid w:val="00C44EEA"/>
    <w:rsid w:val="00C4517F"/>
    <w:rsid w:val="00C45232"/>
    <w:rsid w:val="00C46E94"/>
    <w:rsid w:val="00C4713F"/>
    <w:rsid w:val="00C47547"/>
    <w:rsid w:val="00C47DBA"/>
    <w:rsid w:val="00C50148"/>
    <w:rsid w:val="00C50735"/>
    <w:rsid w:val="00C52097"/>
    <w:rsid w:val="00C52899"/>
    <w:rsid w:val="00C52BA5"/>
    <w:rsid w:val="00C52DED"/>
    <w:rsid w:val="00C52F47"/>
    <w:rsid w:val="00C53323"/>
    <w:rsid w:val="00C53881"/>
    <w:rsid w:val="00C54D46"/>
    <w:rsid w:val="00C54D8C"/>
    <w:rsid w:val="00C56BCF"/>
    <w:rsid w:val="00C57493"/>
    <w:rsid w:val="00C605E6"/>
    <w:rsid w:val="00C608ED"/>
    <w:rsid w:val="00C60A8F"/>
    <w:rsid w:val="00C60FB7"/>
    <w:rsid w:val="00C6186C"/>
    <w:rsid w:val="00C63564"/>
    <w:rsid w:val="00C63C2E"/>
    <w:rsid w:val="00C64295"/>
    <w:rsid w:val="00C64725"/>
    <w:rsid w:val="00C64A0E"/>
    <w:rsid w:val="00C64B0D"/>
    <w:rsid w:val="00C64BB5"/>
    <w:rsid w:val="00C64D07"/>
    <w:rsid w:val="00C64EFB"/>
    <w:rsid w:val="00C65674"/>
    <w:rsid w:val="00C65B24"/>
    <w:rsid w:val="00C66B7A"/>
    <w:rsid w:val="00C66CEF"/>
    <w:rsid w:val="00C670FE"/>
    <w:rsid w:val="00C6738E"/>
    <w:rsid w:val="00C67E2F"/>
    <w:rsid w:val="00C71087"/>
    <w:rsid w:val="00C71E3C"/>
    <w:rsid w:val="00C73B63"/>
    <w:rsid w:val="00C73C17"/>
    <w:rsid w:val="00C7441E"/>
    <w:rsid w:val="00C744F9"/>
    <w:rsid w:val="00C7500C"/>
    <w:rsid w:val="00C75492"/>
    <w:rsid w:val="00C76038"/>
    <w:rsid w:val="00C762D8"/>
    <w:rsid w:val="00C763D1"/>
    <w:rsid w:val="00C7683B"/>
    <w:rsid w:val="00C77C78"/>
    <w:rsid w:val="00C80006"/>
    <w:rsid w:val="00C8062A"/>
    <w:rsid w:val="00C8069C"/>
    <w:rsid w:val="00C8146C"/>
    <w:rsid w:val="00C81B91"/>
    <w:rsid w:val="00C8231E"/>
    <w:rsid w:val="00C831FD"/>
    <w:rsid w:val="00C83F08"/>
    <w:rsid w:val="00C8445A"/>
    <w:rsid w:val="00C846DD"/>
    <w:rsid w:val="00C846E0"/>
    <w:rsid w:val="00C8491B"/>
    <w:rsid w:val="00C85312"/>
    <w:rsid w:val="00C85CA6"/>
    <w:rsid w:val="00C8675E"/>
    <w:rsid w:val="00C873DA"/>
    <w:rsid w:val="00C90A7F"/>
    <w:rsid w:val="00C9147E"/>
    <w:rsid w:val="00C91949"/>
    <w:rsid w:val="00C925ED"/>
    <w:rsid w:val="00C9294D"/>
    <w:rsid w:val="00C929EC"/>
    <w:rsid w:val="00C9339F"/>
    <w:rsid w:val="00C95D86"/>
    <w:rsid w:val="00C96083"/>
    <w:rsid w:val="00C96A10"/>
    <w:rsid w:val="00C9753B"/>
    <w:rsid w:val="00C97A0C"/>
    <w:rsid w:val="00C97AE5"/>
    <w:rsid w:val="00CA03A1"/>
    <w:rsid w:val="00CA0AAD"/>
    <w:rsid w:val="00CA0C87"/>
    <w:rsid w:val="00CA1295"/>
    <w:rsid w:val="00CA12F9"/>
    <w:rsid w:val="00CA19CD"/>
    <w:rsid w:val="00CA1DAD"/>
    <w:rsid w:val="00CA237E"/>
    <w:rsid w:val="00CA2E7F"/>
    <w:rsid w:val="00CA472A"/>
    <w:rsid w:val="00CA4A62"/>
    <w:rsid w:val="00CA4E10"/>
    <w:rsid w:val="00CA561E"/>
    <w:rsid w:val="00CA5B58"/>
    <w:rsid w:val="00CA659E"/>
    <w:rsid w:val="00CB0E79"/>
    <w:rsid w:val="00CB102A"/>
    <w:rsid w:val="00CB23DD"/>
    <w:rsid w:val="00CB2757"/>
    <w:rsid w:val="00CB2FE7"/>
    <w:rsid w:val="00CB3B57"/>
    <w:rsid w:val="00CB42AE"/>
    <w:rsid w:val="00CB432A"/>
    <w:rsid w:val="00CB4BB6"/>
    <w:rsid w:val="00CB6768"/>
    <w:rsid w:val="00CB714D"/>
    <w:rsid w:val="00CB75E1"/>
    <w:rsid w:val="00CB7743"/>
    <w:rsid w:val="00CB789C"/>
    <w:rsid w:val="00CB7B73"/>
    <w:rsid w:val="00CC03A4"/>
    <w:rsid w:val="00CC08F9"/>
    <w:rsid w:val="00CC1187"/>
    <w:rsid w:val="00CC17DB"/>
    <w:rsid w:val="00CC1A86"/>
    <w:rsid w:val="00CC2F01"/>
    <w:rsid w:val="00CC4343"/>
    <w:rsid w:val="00CC49BF"/>
    <w:rsid w:val="00CC61D6"/>
    <w:rsid w:val="00CC6453"/>
    <w:rsid w:val="00CC7BF1"/>
    <w:rsid w:val="00CD1958"/>
    <w:rsid w:val="00CD27CB"/>
    <w:rsid w:val="00CD2814"/>
    <w:rsid w:val="00CD2BCF"/>
    <w:rsid w:val="00CD2D8A"/>
    <w:rsid w:val="00CD31EA"/>
    <w:rsid w:val="00CD4161"/>
    <w:rsid w:val="00CD5819"/>
    <w:rsid w:val="00CD5BE4"/>
    <w:rsid w:val="00CD692F"/>
    <w:rsid w:val="00CD6EF4"/>
    <w:rsid w:val="00CD72B0"/>
    <w:rsid w:val="00CE0392"/>
    <w:rsid w:val="00CE1905"/>
    <w:rsid w:val="00CE1D07"/>
    <w:rsid w:val="00CE1DD5"/>
    <w:rsid w:val="00CE2303"/>
    <w:rsid w:val="00CE27DB"/>
    <w:rsid w:val="00CE27F2"/>
    <w:rsid w:val="00CE2A62"/>
    <w:rsid w:val="00CE2FC8"/>
    <w:rsid w:val="00CE3198"/>
    <w:rsid w:val="00CE3F30"/>
    <w:rsid w:val="00CE444B"/>
    <w:rsid w:val="00CE47FB"/>
    <w:rsid w:val="00CE5481"/>
    <w:rsid w:val="00CE5866"/>
    <w:rsid w:val="00CE5ACC"/>
    <w:rsid w:val="00CE634C"/>
    <w:rsid w:val="00CE6845"/>
    <w:rsid w:val="00CE6DC2"/>
    <w:rsid w:val="00CE6DEC"/>
    <w:rsid w:val="00CE6F9E"/>
    <w:rsid w:val="00CF003F"/>
    <w:rsid w:val="00CF0045"/>
    <w:rsid w:val="00CF027C"/>
    <w:rsid w:val="00CF1491"/>
    <w:rsid w:val="00CF15B4"/>
    <w:rsid w:val="00CF2A7D"/>
    <w:rsid w:val="00CF46A6"/>
    <w:rsid w:val="00CF4EFA"/>
    <w:rsid w:val="00CF5F99"/>
    <w:rsid w:val="00CF61BF"/>
    <w:rsid w:val="00CF6557"/>
    <w:rsid w:val="00CF7194"/>
    <w:rsid w:val="00CF747A"/>
    <w:rsid w:val="00CF7817"/>
    <w:rsid w:val="00CF7C90"/>
    <w:rsid w:val="00CF7EA0"/>
    <w:rsid w:val="00D000E1"/>
    <w:rsid w:val="00D00600"/>
    <w:rsid w:val="00D00A29"/>
    <w:rsid w:val="00D012E0"/>
    <w:rsid w:val="00D024F4"/>
    <w:rsid w:val="00D02591"/>
    <w:rsid w:val="00D02612"/>
    <w:rsid w:val="00D02887"/>
    <w:rsid w:val="00D02F0B"/>
    <w:rsid w:val="00D0329F"/>
    <w:rsid w:val="00D04689"/>
    <w:rsid w:val="00D04F9C"/>
    <w:rsid w:val="00D0512F"/>
    <w:rsid w:val="00D05881"/>
    <w:rsid w:val="00D05D45"/>
    <w:rsid w:val="00D06299"/>
    <w:rsid w:val="00D06E77"/>
    <w:rsid w:val="00D074B5"/>
    <w:rsid w:val="00D07B34"/>
    <w:rsid w:val="00D07C07"/>
    <w:rsid w:val="00D07D19"/>
    <w:rsid w:val="00D100FC"/>
    <w:rsid w:val="00D1045D"/>
    <w:rsid w:val="00D10F08"/>
    <w:rsid w:val="00D1143D"/>
    <w:rsid w:val="00D11A84"/>
    <w:rsid w:val="00D11AEC"/>
    <w:rsid w:val="00D11FF5"/>
    <w:rsid w:val="00D133AA"/>
    <w:rsid w:val="00D13B0B"/>
    <w:rsid w:val="00D13CCF"/>
    <w:rsid w:val="00D14764"/>
    <w:rsid w:val="00D14CF7"/>
    <w:rsid w:val="00D14F82"/>
    <w:rsid w:val="00D1576E"/>
    <w:rsid w:val="00D15E67"/>
    <w:rsid w:val="00D17B86"/>
    <w:rsid w:val="00D17F16"/>
    <w:rsid w:val="00D202F1"/>
    <w:rsid w:val="00D204CB"/>
    <w:rsid w:val="00D20655"/>
    <w:rsid w:val="00D20A48"/>
    <w:rsid w:val="00D20ABB"/>
    <w:rsid w:val="00D210C1"/>
    <w:rsid w:val="00D21B97"/>
    <w:rsid w:val="00D22B3B"/>
    <w:rsid w:val="00D23BBC"/>
    <w:rsid w:val="00D24306"/>
    <w:rsid w:val="00D24AEE"/>
    <w:rsid w:val="00D26A33"/>
    <w:rsid w:val="00D2729A"/>
    <w:rsid w:val="00D27905"/>
    <w:rsid w:val="00D3073E"/>
    <w:rsid w:val="00D308B5"/>
    <w:rsid w:val="00D31676"/>
    <w:rsid w:val="00D316C8"/>
    <w:rsid w:val="00D31EC4"/>
    <w:rsid w:val="00D32F10"/>
    <w:rsid w:val="00D33275"/>
    <w:rsid w:val="00D333EA"/>
    <w:rsid w:val="00D337D5"/>
    <w:rsid w:val="00D33DF7"/>
    <w:rsid w:val="00D34817"/>
    <w:rsid w:val="00D35B53"/>
    <w:rsid w:val="00D365BB"/>
    <w:rsid w:val="00D36944"/>
    <w:rsid w:val="00D3712B"/>
    <w:rsid w:val="00D3795A"/>
    <w:rsid w:val="00D37AB5"/>
    <w:rsid w:val="00D401E3"/>
    <w:rsid w:val="00D407AE"/>
    <w:rsid w:val="00D40C74"/>
    <w:rsid w:val="00D41275"/>
    <w:rsid w:val="00D41BF6"/>
    <w:rsid w:val="00D42896"/>
    <w:rsid w:val="00D42D66"/>
    <w:rsid w:val="00D43282"/>
    <w:rsid w:val="00D43EA4"/>
    <w:rsid w:val="00D44508"/>
    <w:rsid w:val="00D44630"/>
    <w:rsid w:val="00D4468C"/>
    <w:rsid w:val="00D45B9E"/>
    <w:rsid w:val="00D45E4E"/>
    <w:rsid w:val="00D46729"/>
    <w:rsid w:val="00D46E7F"/>
    <w:rsid w:val="00D47026"/>
    <w:rsid w:val="00D47810"/>
    <w:rsid w:val="00D50043"/>
    <w:rsid w:val="00D503B3"/>
    <w:rsid w:val="00D506AF"/>
    <w:rsid w:val="00D5128E"/>
    <w:rsid w:val="00D52051"/>
    <w:rsid w:val="00D52C9D"/>
    <w:rsid w:val="00D52FD0"/>
    <w:rsid w:val="00D53406"/>
    <w:rsid w:val="00D53734"/>
    <w:rsid w:val="00D54385"/>
    <w:rsid w:val="00D558EB"/>
    <w:rsid w:val="00D56CD9"/>
    <w:rsid w:val="00D6094D"/>
    <w:rsid w:val="00D610C8"/>
    <w:rsid w:val="00D61154"/>
    <w:rsid w:val="00D6157B"/>
    <w:rsid w:val="00D617E2"/>
    <w:rsid w:val="00D61D8E"/>
    <w:rsid w:val="00D6231C"/>
    <w:rsid w:val="00D6259C"/>
    <w:rsid w:val="00D63501"/>
    <w:rsid w:val="00D63B91"/>
    <w:rsid w:val="00D64A4A"/>
    <w:rsid w:val="00D6679C"/>
    <w:rsid w:val="00D66A3F"/>
    <w:rsid w:val="00D7080F"/>
    <w:rsid w:val="00D71B48"/>
    <w:rsid w:val="00D71C83"/>
    <w:rsid w:val="00D720D0"/>
    <w:rsid w:val="00D72F5D"/>
    <w:rsid w:val="00D73EE6"/>
    <w:rsid w:val="00D742D2"/>
    <w:rsid w:val="00D744DC"/>
    <w:rsid w:val="00D74E49"/>
    <w:rsid w:val="00D75CF7"/>
    <w:rsid w:val="00D75F59"/>
    <w:rsid w:val="00D762E8"/>
    <w:rsid w:val="00D776C3"/>
    <w:rsid w:val="00D77797"/>
    <w:rsid w:val="00D80153"/>
    <w:rsid w:val="00D809BA"/>
    <w:rsid w:val="00D81AC7"/>
    <w:rsid w:val="00D8290B"/>
    <w:rsid w:val="00D8348C"/>
    <w:rsid w:val="00D83685"/>
    <w:rsid w:val="00D836D9"/>
    <w:rsid w:val="00D83E45"/>
    <w:rsid w:val="00D842CD"/>
    <w:rsid w:val="00D8495C"/>
    <w:rsid w:val="00D8554C"/>
    <w:rsid w:val="00D86737"/>
    <w:rsid w:val="00D8696A"/>
    <w:rsid w:val="00D8705A"/>
    <w:rsid w:val="00D874B2"/>
    <w:rsid w:val="00D87C1F"/>
    <w:rsid w:val="00D90DF1"/>
    <w:rsid w:val="00D90F5A"/>
    <w:rsid w:val="00D9136A"/>
    <w:rsid w:val="00D913FD"/>
    <w:rsid w:val="00D9142A"/>
    <w:rsid w:val="00D9153B"/>
    <w:rsid w:val="00D91542"/>
    <w:rsid w:val="00D91EE9"/>
    <w:rsid w:val="00D92508"/>
    <w:rsid w:val="00D92594"/>
    <w:rsid w:val="00D92AE7"/>
    <w:rsid w:val="00D93339"/>
    <w:rsid w:val="00D93F0A"/>
    <w:rsid w:val="00D9569F"/>
    <w:rsid w:val="00D95903"/>
    <w:rsid w:val="00D95B6E"/>
    <w:rsid w:val="00D95D78"/>
    <w:rsid w:val="00D965F1"/>
    <w:rsid w:val="00D96668"/>
    <w:rsid w:val="00D97288"/>
    <w:rsid w:val="00DA0810"/>
    <w:rsid w:val="00DA0BCC"/>
    <w:rsid w:val="00DA23EE"/>
    <w:rsid w:val="00DA25A1"/>
    <w:rsid w:val="00DA3FCE"/>
    <w:rsid w:val="00DA4961"/>
    <w:rsid w:val="00DA50D1"/>
    <w:rsid w:val="00DA51AC"/>
    <w:rsid w:val="00DA534D"/>
    <w:rsid w:val="00DA5D39"/>
    <w:rsid w:val="00DA61F6"/>
    <w:rsid w:val="00DB120D"/>
    <w:rsid w:val="00DB266C"/>
    <w:rsid w:val="00DB2BE7"/>
    <w:rsid w:val="00DB4203"/>
    <w:rsid w:val="00DB4BE3"/>
    <w:rsid w:val="00DB5562"/>
    <w:rsid w:val="00DB69BA"/>
    <w:rsid w:val="00DB69EE"/>
    <w:rsid w:val="00DB70B3"/>
    <w:rsid w:val="00DB7CA1"/>
    <w:rsid w:val="00DB7EC5"/>
    <w:rsid w:val="00DC00A1"/>
    <w:rsid w:val="00DC0384"/>
    <w:rsid w:val="00DC094F"/>
    <w:rsid w:val="00DC0D8B"/>
    <w:rsid w:val="00DC1F1C"/>
    <w:rsid w:val="00DC2400"/>
    <w:rsid w:val="00DC24B5"/>
    <w:rsid w:val="00DC25DA"/>
    <w:rsid w:val="00DC499C"/>
    <w:rsid w:val="00DC4C59"/>
    <w:rsid w:val="00DC5149"/>
    <w:rsid w:val="00DC5340"/>
    <w:rsid w:val="00DC547F"/>
    <w:rsid w:val="00DC5623"/>
    <w:rsid w:val="00DC608E"/>
    <w:rsid w:val="00DC68E1"/>
    <w:rsid w:val="00DC6D44"/>
    <w:rsid w:val="00DC7FCE"/>
    <w:rsid w:val="00DD13FC"/>
    <w:rsid w:val="00DD1B88"/>
    <w:rsid w:val="00DD3049"/>
    <w:rsid w:val="00DD334C"/>
    <w:rsid w:val="00DD382B"/>
    <w:rsid w:val="00DD3C08"/>
    <w:rsid w:val="00DD427C"/>
    <w:rsid w:val="00DD49B3"/>
    <w:rsid w:val="00DD4A18"/>
    <w:rsid w:val="00DD4BAC"/>
    <w:rsid w:val="00DD5838"/>
    <w:rsid w:val="00DD5A0B"/>
    <w:rsid w:val="00DD5B8E"/>
    <w:rsid w:val="00DD634F"/>
    <w:rsid w:val="00DD6696"/>
    <w:rsid w:val="00DD69FB"/>
    <w:rsid w:val="00DE01ED"/>
    <w:rsid w:val="00DE0476"/>
    <w:rsid w:val="00DE0FC5"/>
    <w:rsid w:val="00DE11C9"/>
    <w:rsid w:val="00DE1709"/>
    <w:rsid w:val="00DE1976"/>
    <w:rsid w:val="00DE1AB0"/>
    <w:rsid w:val="00DE1B2F"/>
    <w:rsid w:val="00DE1C5A"/>
    <w:rsid w:val="00DE2057"/>
    <w:rsid w:val="00DE252D"/>
    <w:rsid w:val="00DE2676"/>
    <w:rsid w:val="00DE2AAC"/>
    <w:rsid w:val="00DE2F26"/>
    <w:rsid w:val="00DE3C1D"/>
    <w:rsid w:val="00DE405E"/>
    <w:rsid w:val="00DE5344"/>
    <w:rsid w:val="00DE5E04"/>
    <w:rsid w:val="00DE61EA"/>
    <w:rsid w:val="00DE6634"/>
    <w:rsid w:val="00DE6E4A"/>
    <w:rsid w:val="00DE6FC9"/>
    <w:rsid w:val="00DE7726"/>
    <w:rsid w:val="00DF0C87"/>
    <w:rsid w:val="00DF1125"/>
    <w:rsid w:val="00DF1CBA"/>
    <w:rsid w:val="00DF27AC"/>
    <w:rsid w:val="00DF28E7"/>
    <w:rsid w:val="00DF2FD1"/>
    <w:rsid w:val="00DF399A"/>
    <w:rsid w:val="00DF3AC9"/>
    <w:rsid w:val="00DF447B"/>
    <w:rsid w:val="00DF4633"/>
    <w:rsid w:val="00DF5175"/>
    <w:rsid w:val="00DF5476"/>
    <w:rsid w:val="00DF5B54"/>
    <w:rsid w:val="00DF6280"/>
    <w:rsid w:val="00DF6DCD"/>
    <w:rsid w:val="00DF6FD3"/>
    <w:rsid w:val="00DF7852"/>
    <w:rsid w:val="00DF7B14"/>
    <w:rsid w:val="00E00009"/>
    <w:rsid w:val="00E00774"/>
    <w:rsid w:val="00E01EF4"/>
    <w:rsid w:val="00E02CF2"/>
    <w:rsid w:val="00E0455A"/>
    <w:rsid w:val="00E04947"/>
    <w:rsid w:val="00E06041"/>
    <w:rsid w:val="00E069F7"/>
    <w:rsid w:val="00E06C35"/>
    <w:rsid w:val="00E0710D"/>
    <w:rsid w:val="00E07F71"/>
    <w:rsid w:val="00E107C3"/>
    <w:rsid w:val="00E1141C"/>
    <w:rsid w:val="00E114D8"/>
    <w:rsid w:val="00E119B2"/>
    <w:rsid w:val="00E12032"/>
    <w:rsid w:val="00E1256E"/>
    <w:rsid w:val="00E1347F"/>
    <w:rsid w:val="00E13524"/>
    <w:rsid w:val="00E1621B"/>
    <w:rsid w:val="00E16676"/>
    <w:rsid w:val="00E178BD"/>
    <w:rsid w:val="00E21114"/>
    <w:rsid w:val="00E21F64"/>
    <w:rsid w:val="00E2222B"/>
    <w:rsid w:val="00E22636"/>
    <w:rsid w:val="00E22B84"/>
    <w:rsid w:val="00E2350C"/>
    <w:rsid w:val="00E25BE0"/>
    <w:rsid w:val="00E26045"/>
    <w:rsid w:val="00E26BDB"/>
    <w:rsid w:val="00E26EAA"/>
    <w:rsid w:val="00E27304"/>
    <w:rsid w:val="00E27ED5"/>
    <w:rsid w:val="00E304D5"/>
    <w:rsid w:val="00E314B2"/>
    <w:rsid w:val="00E31678"/>
    <w:rsid w:val="00E33084"/>
    <w:rsid w:val="00E337F5"/>
    <w:rsid w:val="00E339E4"/>
    <w:rsid w:val="00E34593"/>
    <w:rsid w:val="00E34EBC"/>
    <w:rsid w:val="00E354F7"/>
    <w:rsid w:val="00E37211"/>
    <w:rsid w:val="00E37848"/>
    <w:rsid w:val="00E40214"/>
    <w:rsid w:val="00E4034D"/>
    <w:rsid w:val="00E404B3"/>
    <w:rsid w:val="00E40E8E"/>
    <w:rsid w:val="00E40FC1"/>
    <w:rsid w:val="00E41EE7"/>
    <w:rsid w:val="00E41F28"/>
    <w:rsid w:val="00E42084"/>
    <w:rsid w:val="00E425E0"/>
    <w:rsid w:val="00E43B01"/>
    <w:rsid w:val="00E442C4"/>
    <w:rsid w:val="00E44854"/>
    <w:rsid w:val="00E44F43"/>
    <w:rsid w:val="00E46515"/>
    <w:rsid w:val="00E469BC"/>
    <w:rsid w:val="00E47A61"/>
    <w:rsid w:val="00E47F94"/>
    <w:rsid w:val="00E50093"/>
    <w:rsid w:val="00E51B39"/>
    <w:rsid w:val="00E51C3C"/>
    <w:rsid w:val="00E52329"/>
    <w:rsid w:val="00E538E3"/>
    <w:rsid w:val="00E540A3"/>
    <w:rsid w:val="00E543B9"/>
    <w:rsid w:val="00E544E9"/>
    <w:rsid w:val="00E548E7"/>
    <w:rsid w:val="00E54B2E"/>
    <w:rsid w:val="00E54BF4"/>
    <w:rsid w:val="00E54D70"/>
    <w:rsid w:val="00E550DC"/>
    <w:rsid w:val="00E55808"/>
    <w:rsid w:val="00E559EA"/>
    <w:rsid w:val="00E5696D"/>
    <w:rsid w:val="00E56E45"/>
    <w:rsid w:val="00E56ED8"/>
    <w:rsid w:val="00E5722C"/>
    <w:rsid w:val="00E5794D"/>
    <w:rsid w:val="00E60087"/>
    <w:rsid w:val="00E6161C"/>
    <w:rsid w:val="00E62DEC"/>
    <w:rsid w:val="00E63233"/>
    <w:rsid w:val="00E63679"/>
    <w:rsid w:val="00E63FE6"/>
    <w:rsid w:val="00E646F7"/>
    <w:rsid w:val="00E64C11"/>
    <w:rsid w:val="00E65960"/>
    <w:rsid w:val="00E65F8A"/>
    <w:rsid w:val="00E66ECB"/>
    <w:rsid w:val="00E6741A"/>
    <w:rsid w:val="00E67486"/>
    <w:rsid w:val="00E67625"/>
    <w:rsid w:val="00E67DD4"/>
    <w:rsid w:val="00E70561"/>
    <w:rsid w:val="00E712B8"/>
    <w:rsid w:val="00E71537"/>
    <w:rsid w:val="00E71726"/>
    <w:rsid w:val="00E71772"/>
    <w:rsid w:val="00E71941"/>
    <w:rsid w:val="00E71A3E"/>
    <w:rsid w:val="00E71C9D"/>
    <w:rsid w:val="00E71F8C"/>
    <w:rsid w:val="00E71FEB"/>
    <w:rsid w:val="00E727CE"/>
    <w:rsid w:val="00E729C9"/>
    <w:rsid w:val="00E737E5"/>
    <w:rsid w:val="00E7382C"/>
    <w:rsid w:val="00E738BF"/>
    <w:rsid w:val="00E73D84"/>
    <w:rsid w:val="00E73E34"/>
    <w:rsid w:val="00E74325"/>
    <w:rsid w:val="00E7465C"/>
    <w:rsid w:val="00E749E1"/>
    <w:rsid w:val="00E75A46"/>
    <w:rsid w:val="00E80016"/>
    <w:rsid w:val="00E8007A"/>
    <w:rsid w:val="00E80578"/>
    <w:rsid w:val="00E80B43"/>
    <w:rsid w:val="00E81790"/>
    <w:rsid w:val="00E81885"/>
    <w:rsid w:val="00E82198"/>
    <w:rsid w:val="00E83199"/>
    <w:rsid w:val="00E833CB"/>
    <w:rsid w:val="00E83995"/>
    <w:rsid w:val="00E83CA4"/>
    <w:rsid w:val="00E83CBA"/>
    <w:rsid w:val="00E83D2E"/>
    <w:rsid w:val="00E83FB2"/>
    <w:rsid w:val="00E8405D"/>
    <w:rsid w:val="00E844D4"/>
    <w:rsid w:val="00E8479D"/>
    <w:rsid w:val="00E84EA8"/>
    <w:rsid w:val="00E8564F"/>
    <w:rsid w:val="00E85A94"/>
    <w:rsid w:val="00E85AB5"/>
    <w:rsid w:val="00E87A7F"/>
    <w:rsid w:val="00E90309"/>
    <w:rsid w:val="00E90615"/>
    <w:rsid w:val="00E906AE"/>
    <w:rsid w:val="00E908B5"/>
    <w:rsid w:val="00E9169C"/>
    <w:rsid w:val="00E916EE"/>
    <w:rsid w:val="00E91FE0"/>
    <w:rsid w:val="00E92039"/>
    <w:rsid w:val="00E9209B"/>
    <w:rsid w:val="00E92A24"/>
    <w:rsid w:val="00E93AF8"/>
    <w:rsid w:val="00E95315"/>
    <w:rsid w:val="00E95AC2"/>
    <w:rsid w:val="00E967A7"/>
    <w:rsid w:val="00E96C8B"/>
    <w:rsid w:val="00E96FCF"/>
    <w:rsid w:val="00E97167"/>
    <w:rsid w:val="00E97DBB"/>
    <w:rsid w:val="00EA0169"/>
    <w:rsid w:val="00EA0331"/>
    <w:rsid w:val="00EA093A"/>
    <w:rsid w:val="00EA17A2"/>
    <w:rsid w:val="00EA1EB0"/>
    <w:rsid w:val="00EA3781"/>
    <w:rsid w:val="00EA38D4"/>
    <w:rsid w:val="00EA411C"/>
    <w:rsid w:val="00EA5023"/>
    <w:rsid w:val="00EA56BE"/>
    <w:rsid w:val="00EA655E"/>
    <w:rsid w:val="00EA7061"/>
    <w:rsid w:val="00EA7ADA"/>
    <w:rsid w:val="00EA7C5B"/>
    <w:rsid w:val="00EB10CD"/>
    <w:rsid w:val="00EB1376"/>
    <w:rsid w:val="00EB13FE"/>
    <w:rsid w:val="00EB1AD9"/>
    <w:rsid w:val="00EB2088"/>
    <w:rsid w:val="00EB254B"/>
    <w:rsid w:val="00EB375F"/>
    <w:rsid w:val="00EB39F1"/>
    <w:rsid w:val="00EB3B87"/>
    <w:rsid w:val="00EB3F2B"/>
    <w:rsid w:val="00EB460F"/>
    <w:rsid w:val="00EB472E"/>
    <w:rsid w:val="00EB4F4F"/>
    <w:rsid w:val="00EB5434"/>
    <w:rsid w:val="00EB5BED"/>
    <w:rsid w:val="00EB5D6C"/>
    <w:rsid w:val="00EB6A9B"/>
    <w:rsid w:val="00EB76D6"/>
    <w:rsid w:val="00EC0178"/>
    <w:rsid w:val="00EC025C"/>
    <w:rsid w:val="00EC049F"/>
    <w:rsid w:val="00EC09E1"/>
    <w:rsid w:val="00EC11E3"/>
    <w:rsid w:val="00EC2537"/>
    <w:rsid w:val="00EC3828"/>
    <w:rsid w:val="00EC57B0"/>
    <w:rsid w:val="00EC5EF7"/>
    <w:rsid w:val="00EC6ED7"/>
    <w:rsid w:val="00EC700C"/>
    <w:rsid w:val="00EC744D"/>
    <w:rsid w:val="00EC7B08"/>
    <w:rsid w:val="00ED024E"/>
    <w:rsid w:val="00ED194C"/>
    <w:rsid w:val="00ED1CF7"/>
    <w:rsid w:val="00ED1E20"/>
    <w:rsid w:val="00ED20FA"/>
    <w:rsid w:val="00ED29D2"/>
    <w:rsid w:val="00ED2C26"/>
    <w:rsid w:val="00ED3768"/>
    <w:rsid w:val="00ED3898"/>
    <w:rsid w:val="00ED5866"/>
    <w:rsid w:val="00ED597C"/>
    <w:rsid w:val="00ED5A96"/>
    <w:rsid w:val="00ED5EC2"/>
    <w:rsid w:val="00ED644C"/>
    <w:rsid w:val="00ED68ED"/>
    <w:rsid w:val="00EE0DF2"/>
    <w:rsid w:val="00EE0E33"/>
    <w:rsid w:val="00EE1124"/>
    <w:rsid w:val="00EE1202"/>
    <w:rsid w:val="00EE1AF4"/>
    <w:rsid w:val="00EE21DD"/>
    <w:rsid w:val="00EE2E0C"/>
    <w:rsid w:val="00EE3C3E"/>
    <w:rsid w:val="00EE4140"/>
    <w:rsid w:val="00EE47B8"/>
    <w:rsid w:val="00EE56DF"/>
    <w:rsid w:val="00EE5ED7"/>
    <w:rsid w:val="00EE64CC"/>
    <w:rsid w:val="00EE65F8"/>
    <w:rsid w:val="00EE6D6B"/>
    <w:rsid w:val="00EE72F8"/>
    <w:rsid w:val="00EE74B7"/>
    <w:rsid w:val="00EE75C6"/>
    <w:rsid w:val="00EE77D5"/>
    <w:rsid w:val="00EF0097"/>
    <w:rsid w:val="00EF0757"/>
    <w:rsid w:val="00EF0A4A"/>
    <w:rsid w:val="00EF0E33"/>
    <w:rsid w:val="00EF195B"/>
    <w:rsid w:val="00EF1A24"/>
    <w:rsid w:val="00EF1BF1"/>
    <w:rsid w:val="00EF2365"/>
    <w:rsid w:val="00EF2E82"/>
    <w:rsid w:val="00EF33EB"/>
    <w:rsid w:val="00EF3A78"/>
    <w:rsid w:val="00EF52F3"/>
    <w:rsid w:val="00EF5D51"/>
    <w:rsid w:val="00EF6232"/>
    <w:rsid w:val="00EF70AE"/>
    <w:rsid w:val="00EF71E1"/>
    <w:rsid w:val="00F0009E"/>
    <w:rsid w:val="00F007B8"/>
    <w:rsid w:val="00F0155B"/>
    <w:rsid w:val="00F01BD5"/>
    <w:rsid w:val="00F024E3"/>
    <w:rsid w:val="00F0264E"/>
    <w:rsid w:val="00F02815"/>
    <w:rsid w:val="00F02956"/>
    <w:rsid w:val="00F02E94"/>
    <w:rsid w:val="00F03335"/>
    <w:rsid w:val="00F0360F"/>
    <w:rsid w:val="00F03790"/>
    <w:rsid w:val="00F03CE1"/>
    <w:rsid w:val="00F041F1"/>
    <w:rsid w:val="00F04866"/>
    <w:rsid w:val="00F05EA1"/>
    <w:rsid w:val="00F05EAF"/>
    <w:rsid w:val="00F06D7C"/>
    <w:rsid w:val="00F07089"/>
    <w:rsid w:val="00F073A9"/>
    <w:rsid w:val="00F0748A"/>
    <w:rsid w:val="00F1049D"/>
    <w:rsid w:val="00F108B7"/>
    <w:rsid w:val="00F110F0"/>
    <w:rsid w:val="00F119F0"/>
    <w:rsid w:val="00F12791"/>
    <w:rsid w:val="00F13F9C"/>
    <w:rsid w:val="00F1458A"/>
    <w:rsid w:val="00F147FD"/>
    <w:rsid w:val="00F1505E"/>
    <w:rsid w:val="00F15FC1"/>
    <w:rsid w:val="00F166CE"/>
    <w:rsid w:val="00F17185"/>
    <w:rsid w:val="00F17762"/>
    <w:rsid w:val="00F17F86"/>
    <w:rsid w:val="00F2004F"/>
    <w:rsid w:val="00F208EC"/>
    <w:rsid w:val="00F21C54"/>
    <w:rsid w:val="00F21D1F"/>
    <w:rsid w:val="00F22320"/>
    <w:rsid w:val="00F22DAA"/>
    <w:rsid w:val="00F22FA9"/>
    <w:rsid w:val="00F23232"/>
    <w:rsid w:val="00F236CE"/>
    <w:rsid w:val="00F23A50"/>
    <w:rsid w:val="00F23C5A"/>
    <w:rsid w:val="00F23CF0"/>
    <w:rsid w:val="00F23E91"/>
    <w:rsid w:val="00F23F00"/>
    <w:rsid w:val="00F24244"/>
    <w:rsid w:val="00F24B8E"/>
    <w:rsid w:val="00F25AC9"/>
    <w:rsid w:val="00F25BD4"/>
    <w:rsid w:val="00F261BC"/>
    <w:rsid w:val="00F264DC"/>
    <w:rsid w:val="00F277D4"/>
    <w:rsid w:val="00F27AA6"/>
    <w:rsid w:val="00F30064"/>
    <w:rsid w:val="00F31104"/>
    <w:rsid w:val="00F3230D"/>
    <w:rsid w:val="00F32324"/>
    <w:rsid w:val="00F33E65"/>
    <w:rsid w:val="00F34E93"/>
    <w:rsid w:val="00F401A3"/>
    <w:rsid w:val="00F408EA"/>
    <w:rsid w:val="00F40BFD"/>
    <w:rsid w:val="00F40D61"/>
    <w:rsid w:val="00F410E0"/>
    <w:rsid w:val="00F41AE5"/>
    <w:rsid w:val="00F42B92"/>
    <w:rsid w:val="00F431BC"/>
    <w:rsid w:val="00F43852"/>
    <w:rsid w:val="00F43EE9"/>
    <w:rsid w:val="00F43F5A"/>
    <w:rsid w:val="00F44511"/>
    <w:rsid w:val="00F4474B"/>
    <w:rsid w:val="00F454E8"/>
    <w:rsid w:val="00F4597D"/>
    <w:rsid w:val="00F45F40"/>
    <w:rsid w:val="00F46A4B"/>
    <w:rsid w:val="00F47481"/>
    <w:rsid w:val="00F4799F"/>
    <w:rsid w:val="00F50010"/>
    <w:rsid w:val="00F50145"/>
    <w:rsid w:val="00F5097D"/>
    <w:rsid w:val="00F513E5"/>
    <w:rsid w:val="00F51C74"/>
    <w:rsid w:val="00F51DA2"/>
    <w:rsid w:val="00F51F09"/>
    <w:rsid w:val="00F5219B"/>
    <w:rsid w:val="00F52DC2"/>
    <w:rsid w:val="00F53138"/>
    <w:rsid w:val="00F534C0"/>
    <w:rsid w:val="00F5445A"/>
    <w:rsid w:val="00F54930"/>
    <w:rsid w:val="00F54C70"/>
    <w:rsid w:val="00F5523B"/>
    <w:rsid w:val="00F55E9E"/>
    <w:rsid w:val="00F5669E"/>
    <w:rsid w:val="00F57890"/>
    <w:rsid w:val="00F60496"/>
    <w:rsid w:val="00F6051B"/>
    <w:rsid w:val="00F619CD"/>
    <w:rsid w:val="00F623B6"/>
    <w:rsid w:val="00F627E2"/>
    <w:rsid w:val="00F6280F"/>
    <w:rsid w:val="00F62819"/>
    <w:rsid w:val="00F6394B"/>
    <w:rsid w:val="00F63D30"/>
    <w:rsid w:val="00F63ECC"/>
    <w:rsid w:val="00F64599"/>
    <w:rsid w:val="00F65350"/>
    <w:rsid w:val="00F65866"/>
    <w:rsid w:val="00F664A2"/>
    <w:rsid w:val="00F6653B"/>
    <w:rsid w:val="00F67B64"/>
    <w:rsid w:val="00F70030"/>
    <w:rsid w:val="00F70578"/>
    <w:rsid w:val="00F708D9"/>
    <w:rsid w:val="00F70A60"/>
    <w:rsid w:val="00F71524"/>
    <w:rsid w:val="00F720FB"/>
    <w:rsid w:val="00F72114"/>
    <w:rsid w:val="00F7219F"/>
    <w:rsid w:val="00F721C2"/>
    <w:rsid w:val="00F736D5"/>
    <w:rsid w:val="00F750DF"/>
    <w:rsid w:val="00F77BA6"/>
    <w:rsid w:val="00F77E25"/>
    <w:rsid w:val="00F80602"/>
    <w:rsid w:val="00F80962"/>
    <w:rsid w:val="00F81376"/>
    <w:rsid w:val="00F81F9D"/>
    <w:rsid w:val="00F8208A"/>
    <w:rsid w:val="00F834AB"/>
    <w:rsid w:val="00F84BA4"/>
    <w:rsid w:val="00F84C20"/>
    <w:rsid w:val="00F85382"/>
    <w:rsid w:val="00F870DD"/>
    <w:rsid w:val="00F87614"/>
    <w:rsid w:val="00F8786B"/>
    <w:rsid w:val="00F909F3"/>
    <w:rsid w:val="00F91A97"/>
    <w:rsid w:val="00F91AFF"/>
    <w:rsid w:val="00F92112"/>
    <w:rsid w:val="00F9230A"/>
    <w:rsid w:val="00F92366"/>
    <w:rsid w:val="00F92753"/>
    <w:rsid w:val="00F9360A"/>
    <w:rsid w:val="00F93925"/>
    <w:rsid w:val="00F94DD8"/>
    <w:rsid w:val="00F94EA2"/>
    <w:rsid w:val="00F94EC4"/>
    <w:rsid w:val="00F95730"/>
    <w:rsid w:val="00F9598E"/>
    <w:rsid w:val="00F95A06"/>
    <w:rsid w:val="00F95D5A"/>
    <w:rsid w:val="00F96B32"/>
    <w:rsid w:val="00F9735A"/>
    <w:rsid w:val="00F97788"/>
    <w:rsid w:val="00FA0339"/>
    <w:rsid w:val="00FA052D"/>
    <w:rsid w:val="00FA0622"/>
    <w:rsid w:val="00FA1FD7"/>
    <w:rsid w:val="00FA279D"/>
    <w:rsid w:val="00FA2817"/>
    <w:rsid w:val="00FA2B75"/>
    <w:rsid w:val="00FA2DB5"/>
    <w:rsid w:val="00FA3093"/>
    <w:rsid w:val="00FA34E6"/>
    <w:rsid w:val="00FA3D06"/>
    <w:rsid w:val="00FA42F4"/>
    <w:rsid w:val="00FA4817"/>
    <w:rsid w:val="00FA6502"/>
    <w:rsid w:val="00FA74C3"/>
    <w:rsid w:val="00FB0730"/>
    <w:rsid w:val="00FB0BC1"/>
    <w:rsid w:val="00FB0BD1"/>
    <w:rsid w:val="00FB14A0"/>
    <w:rsid w:val="00FB34FC"/>
    <w:rsid w:val="00FB3B2B"/>
    <w:rsid w:val="00FB425B"/>
    <w:rsid w:val="00FB4E4A"/>
    <w:rsid w:val="00FB5170"/>
    <w:rsid w:val="00FB51E6"/>
    <w:rsid w:val="00FB6D3A"/>
    <w:rsid w:val="00FB745E"/>
    <w:rsid w:val="00FB7924"/>
    <w:rsid w:val="00FB7B20"/>
    <w:rsid w:val="00FB7C61"/>
    <w:rsid w:val="00FB7F35"/>
    <w:rsid w:val="00FC11D6"/>
    <w:rsid w:val="00FC2D02"/>
    <w:rsid w:val="00FC38B2"/>
    <w:rsid w:val="00FC48DD"/>
    <w:rsid w:val="00FC569E"/>
    <w:rsid w:val="00FC5A5B"/>
    <w:rsid w:val="00FC5F97"/>
    <w:rsid w:val="00FC607F"/>
    <w:rsid w:val="00FC67E5"/>
    <w:rsid w:val="00FC6927"/>
    <w:rsid w:val="00FC6BFF"/>
    <w:rsid w:val="00FC6E07"/>
    <w:rsid w:val="00FC7B5F"/>
    <w:rsid w:val="00FD04EB"/>
    <w:rsid w:val="00FD0946"/>
    <w:rsid w:val="00FD1036"/>
    <w:rsid w:val="00FD131D"/>
    <w:rsid w:val="00FD1894"/>
    <w:rsid w:val="00FD2BB7"/>
    <w:rsid w:val="00FD5177"/>
    <w:rsid w:val="00FD597D"/>
    <w:rsid w:val="00FD5E4E"/>
    <w:rsid w:val="00FD782F"/>
    <w:rsid w:val="00FD7AD8"/>
    <w:rsid w:val="00FE0B79"/>
    <w:rsid w:val="00FE272A"/>
    <w:rsid w:val="00FE354A"/>
    <w:rsid w:val="00FE35E1"/>
    <w:rsid w:val="00FE3AFC"/>
    <w:rsid w:val="00FE3C0A"/>
    <w:rsid w:val="00FE4572"/>
    <w:rsid w:val="00FE4787"/>
    <w:rsid w:val="00FE50FB"/>
    <w:rsid w:val="00FE592D"/>
    <w:rsid w:val="00FE6078"/>
    <w:rsid w:val="00FE6D86"/>
    <w:rsid w:val="00FE7F1E"/>
    <w:rsid w:val="00FF01ED"/>
    <w:rsid w:val="00FF0DA7"/>
    <w:rsid w:val="00FF1AE3"/>
    <w:rsid w:val="00FF3276"/>
    <w:rsid w:val="00FF374A"/>
    <w:rsid w:val="00FF3AF1"/>
    <w:rsid w:val="00FF3C71"/>
    <w:rsid w:val="00FF41D5"/>
    <w:rsid w:val="00FF4397"/>
    <w:rsid w:val="00FF4861"/>
    <w:rsid w:val="00FF566D"/>
    <w:rsid w:val="00FF5ABE"/>
    <w:rsid w:val="00FF5B26"/>
    <w:rsid w:val="00FF63A1"/>
    <w:rsid w:val="00FF69CB"/>
    <w:rsid w:val="00FF7850"/>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F3D4816"/>
  <w15:docId w15:val="{A64FD722-EBCD-4D1F-8388-20C6BE05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99"/>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17A"/>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ft,footnote text,fn, Tegn1,Char,f"/>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Char Char,FO,16 Point,Superscript 6 Point,Footnotes refss,BVI fnr,fr,Footnote text,(NECG) Footnote Reference,4_G,callout,Footnote Reference Superscript,Footnote Reference Char Char Char,RSC_WP (footnote reference),16 Poin,ftref1"/>
    <w:link w:val="Char2"/>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customStyle="1" w:styleId="MediumGrid1-Accent21">
    <w:name w:val="Medium Grid 1 - Accent 21"/>
    <w:aliases w:val="List Paragraph (numbered (a)),Lapis Bulleted List,Dot pt,F5 List Paragraph,List Paragraph1,No Spacing1,List Paragraph Char Char Char,Indicator Text,Numbered Para 1,Bullet 1,List Paragraph12,Bullet Point"/>
    <w:basedOn w:val="Normal"/>
    <w:link w:val="MediumGrid1-Accent2Char"/>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link w:val="BodyText3"/>
    <w:semiHidden/>
    <w:rsid w:val="00D6679C"/>
    <w:rPr>
      <w:sz w:val="24"/>
      <w:lang w:val="en-US" w:eastAsia="en-US"/>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ft Char,fn Char"/>
    <w:link w:val="FootnoteText"/>
    <w:uiPriority w:val="99"/>
    <w:rsid w:val="00D6679C"/>
    <w:rPr>
      <w:rFonts w:ascii="Courier" w:hAnsi="Courier"/>
      <w:lang w:val="en-US" w:eastAsia="en-US"/>
    </w:rPr>
  </w:style>
  <w:style w:type="character" w:customStyle="1" w:styleId="MediumGrid1-Accent2Char">
    <w:name w:val="Medium Grid 1 - Accent 2 Char"/>
    <w:aliases w:val="List Paragraph (numbered (a)) Char,Medium Grid 1 - Accent 21 Char,Lapis Bulleted List Char,Dot pt Char,F5 List Paragraph Char,List Paragraph1 Char,No Spacing1 Char,List Paragraph Char Char Char Char,Indicator Text Char"/>
    <w:link w:val="MediumGrid1-Accent21"/>
    <w:qFormat/>
    <w:locked/>
    <w:rsid w:val="009A4543"/>
    <w:rPr>
      <w:lang w:val="en-US" w:eastAsia="en-US"/>
    </w:rPr>
  </w:style>
  <w:style w:type="paragraph" w:customStyle="1" w:styleId="MediumList2-Accent21">
    <w:name w:val="Medium List 2 - Accent 21"/>
    <w:hidden/>
    <w:uiPriority w:val="99"/>
    <w:semiHidden/>
    <w:rsid w:val="0050228C"/>
  </w:style>
  <w:style w:type="character" w:styleId="FollowedHyperlink">
    <w:name w:val="FollowedHyperlink"/>
    <w:semiHidden/>
    <w:unhideWhenUsed/>
    <w:rsid w:val="00B16A6B"/>
    <w:rPr>
      <w:color w:val="800080"/>
      <w:u w:val="single"/>
    </w:rPr>
  </w:style>
  <w:style w:type="paragraph" w:customStyle="1" w:styleId="Char2">
    <w:name w:val="Char2"/>
    <w:basedOn w:val="Normal"/>
    <w:link w:val="FootnoteReference"/>
    <w:uiPriority w:val="99"/>
    <w:rsid w:val="00DE2F26"/>
    <w:pPr>
      <w:spacing w:after="160" w:line="240" w:lineRule="exact"/>
    </w:pPr>
    <w:rPr>
      <w:vertAlign w:val="superscript"/>
      <w:lang w:val="en-GB" w:eastAsia="en-GB"/>
    </w:rPr>
  </w:style>
  <w:style w:type="character" w:customStyle="1" w:styleId="Heading2Char">
    <w:name w:val="Heading 2 Char"/>
    <w:link w:val="Heading2"/>
    <w:rsid w:val="00DE2F26"/>
    <w:rPr>
      <w:rFonts w:ascii="Arial" w:hAnsi="Arial"/>
      <w:b/>
      <w:sz w:val="28"/>
      <w:lang w:val="en-US" w:eastAsia="en-US"/>
    </w:rPr>
  </w:style>
  <w:style w:type="paragraph" w:customStyle="1" w:styleId="ColorfulList-Accent11">
    <w:name w:val="Colorful List - Accent 11"/>
    <w:basedOn w:val="Normal"/>
    <w:uiPriority w:val="72"/>
    <w:qFormat/>
    <w:rsid w:val="004F1ABC"/>
    <w:pPr>
      <w:ind w:left="720"/>
    </w:pPr>
  </w:style>
  <w:style w:type="character" w:customStyle="1" w:styleId="title-notes1">
    <w:name w:val="title-notes1"/>
    <w:rsid w:val="007C0678"/>
    <w:rPr>
      <w:b w:val="0"/>
      <w:bCs w:val="0"/>
      <w:color w:val="6F747F"/>
      <w:sz w:val="21"/>
      <w:szCs w:val="21"/>
    </w:rPr>
  </w:style>
  <w:style w:type="paragraph" w:styleId="ListParagraph">
    <w:name w:val="List Paragraph"/>
    <w:aliases w:val="Ha,References,paragraph,references,WB Para,Bullets,Akapit z listą BS,Table of contents numbered,Graphic,List Paragraph Char Char,Resume Title,heading 4,ADB paragraph numbering,lp1,Bullet List"/>
    <w:basedOn w:val="Normal"/>
    <w:link w:val="ListParagraphChar"/>
    <w:uiPriority w:val="34"/>
    <w:qFormat/>
    <w:rsid w:val="00864686"/>
    <w:pPr>
      <w:ind w:left="720"/>
    </w:pPr>
  </w:style>
  <w:style w:type="character" w:customStyle="1" w:styleId="name2">
    <w:name w:val="name2"/>
    <w:rsid w:val="0071048E"/>
    <w:rPr>
      <w:vanish w:val="0"/>
      <w:webHidden w:val="0"/>
      <w:specVanish w:val="0"/>
    </w:rPr>
  </w:style>
  <w:style w:type="paragraph" w:styleId="NormalWeb">
    <w:name w:val="Normal (Web)"/>
    <w:basedOn w:val="Normal"/>
    <w:uiPriority w:val="99"/>
    <w:unhideWhenUsed/>
    <w:rsid w:val="00566D68"/>
    <w:pPr>
      <w:spacing w:before="100" w:beforeAutospacing="1" w:after="100" w:afterAutospacing="1"/>
    </w:pPr>
    <w:rPr>
      <w:sz w:val="24"/>
      <w:szCs w:val="24"/>
    </w:rPr>
  </w:style>
  <w:style w:type="paragraph" w:customStyle="1" w:styleId="Default">
    <w:name w:val="Default"/>
    <w:rsid w:val="00B16A6B"/>
    <w:pPr>
      <w:autoSpaceDE w:val="0"/>
      <w:autoSpaceDN w:val="0"/>
      <w:adjustRightInd w:val="0"/>
    </w:pPr>
    <w:rPr>
      <w:color w:val="000000"/>
      <w:sz w:val="24"/>
      <w:szCs w:val="24"/>
    </w:rPr>
  </w:style>
  <w:style w:type="character" w:styleId="Strong">
    <w:name w:val="Strong"/>
    <w:uiPriority w:val="22"/>
    <w:qFormat/>
    <w:locked/>
    <w:rsid w:val="00241F96"/>
    <w:rPr>
      <w:b/>
      <w:bCs/>
    </w:rPr>
  </w:style>
  <w:style w:type="paragraph" w:styleId="Revision">
    <w:name w:val="Revision"/>
    <w:hidden/>
    <w:uiPriority w:val="99"/>
    <w:unhideWhenUsed/>
    <w:rsid w:val="00B16A6B"/>
  </w:style>
  <w:style w:type="character" w:styleId="Emphasis">
    <w:name w:val="Emphasis"/>
    <w:basedOn w:val="DefaultParagraphFont"/>
    <w:uiPriority w:val="20"/>
    <w:qFormat/>
    <w:locked/>
    <w:rsid w:val="009B026A"/>
    <w:rPr>
      <w:i/>
      <w:iCs/>
    </w:rPr>
  </w:style>
  <w:style w:type="character" w:customStyle="1" w:styleId="apple-converted-space">
    <w:name w:val="apple-converted-space"/>
    <w:basedOn w:val="DefaultParagraphFont"/>
    <w:rsid w:val="009B026A"/>
  </w:style>
  <w:style w:type="paragraph" w:styleId="EndnoteText">
    <w:name w:val="endnote text"/>
    <w:basedOn w:val="Normal"/>
    <w:link w:val="EndnoteTextChar"/>
    <w:uiPriority w:val="99"/>
    <w:unhideWhenUsed/>
    <w:rsid w:val="00B16A6B"/>
  </w:style>
  <w:style w:type="character" w:customStyle="1" w:styleId="EndnoteTextChar">
    <w:name w:val="Endnote Text Char"/>
    <w:basedOn w:val="DefaultParagraphFont"/>
    <w:link w:val="EndnoteText"/>
    <w:uiPriority w:val="99"/>
    <w:rsid w:val="00025D6B"/>
  </w:style>
  <w:style w:type="character" w:styleId="EndnoteReference">
    <w:name w:val="endnote reference"/>
    <w:basedOn w:val="DefaultParagraphFont"/>
    <w:uiPriority w:val="99"/>
    <w:semiHidden/>
    <w:unhideWhenUsed/>
    <w:rsid w:val="00025D6B"/>
    <w:rPr>
      <w:vertAlign w:val="superscript"/>
    </w:rPr>
  </w:style>
  <w:style w:type="character" w:customStyle="1" w:styleId="ListParagraphChar">
    <w:name w:val="List Paragraph Char"/>
    <w:aliases w:val="Ha Char,References Char,paragraph Char,references Char,WB Para Char,Bullets Char,Akapit z listą BS Char,Table of contents numbered Char,Graphic Char,List Paragraph Char Char Char1,Resume Title Char,heading 4 Char,lp1 Char"/>
    <w:basedOn w:val="DefaultParagraphFont"/>
    <w:link w:val="ListParagraph"/>
    <w:uiPriority w:val="34"/>
    <w:rsid w:val="00642D6D"/>
  </w:style>
  <w:style w:type="paragraph" w:customStyle="1" w:styleId="BVIfnrCarCar">
    <w:name w:val="BVI fnr Car Car"/>
    <w:aliases w:val="BVI fnr Car,BVI fnr Car Car Car Car,BVI fnr Char Char Char Char Char Char Char, BVI fnr Car Car, BVI fnr Car Car Car Car, BVI fnr Char Char Char Char Char Char Char"/>
    <w:basedOn w:val="Normal"/>
    <w:uiPriority w:val="99"/>
    <w:rsid w:val="00C63C2E"/>
    <w:pPr>
      <w:spacing w:after="160" w:line="240" w:lineRule="exact"/>
    </w:pPr>
    <w:rPr>
      <w:vertAlign w:val="superscript"/>
      <w:lang w:val="en-GB" w:eastAsia="en-GB"/>
    </w:rPr>
  </w:style>
  <w:style w:type="paragraph" w:styleId="NoSpacing">
    <w:name w:val="No Spacing"/>
    <w:uiPriority w:val="1"/>
    <w:qFormat/>
    <w:rsid w:val="00183BE7"/>
    <w:rPr>
      <w:rFonts w:asciiTheme="minorHAnsi" w:eastAsiaTheme="minorHAnsi" w:hAnsiTheme="minorHAnsi" w:cstheme="minorBidi"/>
      <w:sz w:val="22"/>
      <w:szCs w:val="22"/>
    </w:rPr>
  </w:style>
  <w:style w:type="table" w:styleId="TableGrid">
    <w:name w:val="Table Grid"/>
    <w:basedOn w:val="TableNormal"/>
    <w:uiPriority w:val="39"/>
    <w:rsid w:val="00183BE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A6B"/>
    <w:rPr>
      <w:color w:val="808080"/>
      <w:shd w:val="clear" w:color="auto" w:fill="E6E6E6"/>
    </w:rPr>
  </w:style>
  <w:style w:type="character" w:customStyle="1" w:styleId="UnresolvedMention11">
    <w:name w:val="Unresolved Mention11"/>
    <w:basedOn w:val="DefaultParagraphFont"/>
    <w:uiPriority w:val="99"/>
    <w:semiHidden/>
    <w:unhideWhenUsed/>
    <w:rsid w:val="00B16A6B"/>
    <w:rPr>
      <w:color w:val="808080"/>
      <w:shd w:val="clear" w:color="auto" w:fill="E6E6E6"/>
    </w:rPr>
  </w:style>
  <w:style w:type="paragraph" w:customStyle="1" w:styleId="BVIfnrCarCarCarCarChar">
    <w:name w:val="BVI fnr Car Car Car Car Char"/>
    <w:basedOn w:val="Normal"/>
    <w:uiPriority w:val="99"/>
    <w:rsid w:val="00B16A6B"/>
    <w:pPr>
      <w:widowControl w:val="0"/>
      <w:adjustRightInd w:val="0"/>
      <w:spacing w:after="160" w:line="240" w:lineRule="exact"/>
      <w:jc w:val="both"/>
    </w:pPr>
    <w:rPr>
      <w:rFonts w:asciiTheme="minorHAnsi" w:eastAsiaTheme="minorHAnsi" w:hAnsiTheme="minorHAnsi" w:cstheme="minorBidi"/>
      <w:sz w:val="22"/>
      <w:szCs w:val="22"/>
      <w:vertAlign w:val="superscript"/>
      <w:lang w:val="en-GB"/>
    </w:rPr>
  </w:style>
  <w:style w:type="character" w:customStyle="1" w:styleId="UnresolvedMention2">
    <w:name w:val="Unresolved Mention2"/>
    <w:basedOn w:val="DefaultParagraphFont"/>
    <w:uiPriority w:val="99"/>
    <w:semiHidden/>
    <w:unhideWhenUsed/>
    <w:rsid w:val="00B16A6B"/>
    <w:rPr>
      <w:color w:val="808080"/>
      <w:shd w:val="clear" w:color="auto" w:fill="E6E6E6"/>
    </w:rPr>
  </w:style>
  <w:style w:type="paragraph" w:styleId="TOCHeading">
    <w:name w:val="TOC Heading"/>
    <w:basedOn w:val="Heading1"/>
    <w:next w:val="Normal"/>
    <w:uiPriority w:val="39"/>
    <w:unhideWhenUsed/>
    <w:qFormat/>
    <w:rsid w:val="00B16A6B"/>
    <w:pPr>
      <w:keepLines/>
      <w:widowControl/>
      <w:suppressAutoHyphens w:val="0"/>
      <w:spacing w:before="240" w:line="259" w:lineRule="auto"/>
      <w:outlineLvl w:val="9"/>
    </w:pPr>
    <w:rPr>
      <w:rFonts w:asciiTheme="majorHAnsi" w:eastAsiaTheme="majorEastAsia" w:hAnsiTheme="majorHAnsi" w:cstheme="majorBidi"/>
      <w:b w:val="0"/>
      <w:color w:val="2E74B5" w:themeColor="accent1" w:themeShade="BF"/>
      <w:spacing w:val="0"/>
      <w:sz w:val="32"/>
      <w:szCs w:val="32"/>
      <w:lang w:val="en-US" w:eastAsia="en-US"/>
    </w:rPr>
  </w:style>
  <w:style w:type="paragraph" w:styleId="TOC1">
    <w:name w:val="toc 1"/>
    <w:basedOn w:val="Normal"/>
    <w:next w:val="Normal"/>
    <w:autoRedefine/>
    <w:uiPriority w:val="39"/>
    <w:unhideWhenUsed/>
    <w:rsid w:val="00B16A6B"/>
    <w:pPr>
      <w:spacing w:after="100"/>
    </w:pPr>
    <w:rPr>
      <w:lang w:val="en-GB"/>
    </w:rPr>
  </w:style>
  <w:style w:type="paragraph" w:styleId="TOC2">
    <w:name w:val="toc 2"/>
    <w:basedOn w:val="Normal"/>
    <w:next w:val="Normal"/>
    <w:autoRedefine/>
    <w:uiPriority w:val="39"/>
    <w:unhideWhenUsed/>
    <w:rsid w:val="00B16A6B"/>
    <w:pPr>
      <w:spacing w:after="100"/>
      <w:ind w:left="200"/>
    </w:pPr>
    <w:rPr>
      <w:lang w:val="en-GB"/>
    </w:rPr>
  </w:style>
  <w:style w:type="character" w:customStyle="1" w:styleId="UnresolvedMention3">
    <w:name w:val="Unresolved Mention3"/>
    <w:basedOn w:val="DefaultParagraphFont"/>
    <w:uiPriority w:val="99"/>
    <w:semiHidden/>
    <w:unhideWhenUsed/>
    <w:rsid w:val="00B16A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5278705">
      <w:bodyDiv w:val="1"/>
      <w:marLeft w:val="0"/>
      <w:marRight w:val="0"/>
      <w:marTop w:val="0"/>
      <w:marBottom w:val="0"/>
      <w:divBdr>
        <w:top w:val="none" w:sz="0" w:space="0" w:color="auto"/>
        <w:left w:val="none" w:sz="0" w:space="0" w:color="auto"/>
        <w:bottom w:val="none" w:sz="0" w:space="0" w:color="auto"/>
        <w:right w:val="none" w:sz="0" w:space="0" w:color="auto"/>
      </w:divBdr>
    </w:div>
    <w:div w:id="44179015">
      <w:bodyDiv w:val="1"/>
      <w:marLeft w:val="0"/>
      <w:marRight w:val="0"/>
      <w:marTop w:val="0"/>
      <w:marBottom w:val="0"/>
      <w:divBdr>
        <w:top w:val="none" w:sz="0" w:space="0" w:color="auto"/>
        <w:left w:val="none" w:sz="0" w:space="0" w:color="auto"/>
        <w:bottom w:val="none" w:sz="0" w:space="0" w:color="auto"/>
        <w:right w:val="none" w:sz="0" w:space="0" w:color="auto"/>
      </w:divBdr>
    </w:div>
    <w:div w:id="105852786">
      <w:bodyDiv w:val="1"/>
      <w:marLeft w:val="0"/>
      <w:marRight w:val="0"/>
      <w:marTop w:val="0"/>
      <w:marBottom w:val="0"/>
      <w:divBdr>
        <w:top w:val="none" w:sz="0" w:space="0" w:color="auto"/>
        <w:left w:val="none" w:sz="0" w:space="0" w:color="auto"/>
        <w:bottom w:val="none" w:sz="0" w:space="0" w:color="auto"/>
        <w:right w:val="none" w:sz="0" w:space="0" w:color="auto"/>
      </w:divBdr>
    </w:div>
    <w:div w:id="110128071">
      <w:bodyDiv w:val="1"/>
      <w:marLeft w:val="0"/>
      <w:marRight w:val="0"/>
      <w:marTop w:val="0"/>
      <w:marBottom w:val="0"/>
      <w:divBdr>
        <w:top w:val="none" w:sz="0" w:space="0" w:color="auto"/>
        <w:left w:val="none" w:sz="0" w:space="0" w:color="auto"/>
        <w:bottom w:val="none" w:sz="0" w:space="0" w:color="auto"/>
        <w:right w:val="none" w:sz="0" w:space="0" w:color="auto"/>
      </w:divBdr>
    </w:div>
    <w:div w:id="148057149">
      <w:bodyDiv w:val="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255527360">
      <w:bodyDiv w:val="1"/>
      <w:marLeft w:val="0"/>
      <w:marRight w:val="0"/>
      <w:marTop w:val="0"/>
      <w:marBottom w:val="0"/>
      <w:divBdr>
        <w:top w:val="none" w:sz="0" w:space="0" w:color="auto"/>
        <w:left w:val="none" w:sz="0" w:space="0" w:color="auto"/>
        <w:bottom w:val="none" w:sz="0" w:space="0" w:color="auto"/>
        <w:right w:val="none" w:sz="0" w:space="0" w:color="auto"/>
      </w:divBdr>
    </w:div>
    <w:div w:id="281230531">
      <w:bodyDiv w:val="1"/>
      <w:marLeft w:val="0"/>
      <w:marRight w:val="0"/>
      <w:marTop w:val="0"/>
      <w:marBottom w:val="0"/>
      <w:divBdr>
        <w:top w:val="none" w:sz="0" w:space="0" w:color="auto"/>
        <w:left w:val="none" w:sz="0" w:space="0" w:color="auto"/>
        <w:bottom w:val="none" w:sz="0" w:space="0" w:color="auto"/>
        <w:right w:val="none" w:sz="0" w:space="0" w:color="auto"/>
      </w:divBdr>
    </w:div>
    <w:div w:id="316111175">
      <w:bodyDiv w:val="1"/>
      <w:marLeft w:val="0"/>
      <w:marRight w:val="0"/>
      <w:marTop w:val="0"/>
      <w:marBottom w:val="0"/>
      <w:divBdr>
        <w:top w:val="none" w:sz="0" w:space="0" w:color="auto"/>
        <w:left w:val="none" w:sz="0" w:space="0" w:color="auto"/>
        <w:bottom w:val="none" w:sz="0" w:space="0" w:color="auto"/>
        <w:right w:val="none" w:sz="0" w:space="0" w:color="auto"/>
      </w:divBdr>
    </w:div>
    <w:div w:id="317154910">
      <w:bodyDiv w:val="1"/>
      <w:marLeft w:val="0"/>
      <w:marRight w:val="0"/>
      <w:marTop w:val="0"/>
      <w:marBottom w:val="0"/>
      <w:divBdr>
        <w:top w:val="none" w:sz="0" w:space="0" w:color="auto"/>
        <w:left w:val="none" w:sz="0" w:space="0" w:color="auto"/>
        <w:bottom w:val="none" w:sz="0" w:space="0" w:color="auto"/>
        <w:right w:val="none" w:sz="0" w:space="0" w:color="auto"/>
      </w:divBdr>
    </w:div>
    <w:div w:id="338192970">
      <w:bodyDiv w:val="1"/>
      <w:marLeft w:val="0"/>
      <w:marRight w:val="0"/>
      <w:marTop w:val="0"/>
      <w:marBottom w:val="0"/>
      <w:divBdr>
        <w:top w:val="none" w:sz="0" w:space="0" w:color="auto"/>
        <w:left w:val="none" w:sz="0" w:space="0" w:color="auto"/>
        <w:bottom w:val="none" w:sz="0" w:space="0" w:color="auto"/>
        <w:right w:val="none" w:sz="0" w:space="0" w:color="auto"/>
      </w:divBdr>
    </w:div>
    <w:div w:id="381758485">
      <w:bodyDiv w:val="1"/>
      <w:marLeft w:val="0"/>
      <w:marRight w:val="0"/>
      <w:marTop w:val="0"/>
      <w:marBottom w:val="0"/>
      <w:divBdr>
        <w:top w:val="none" w:sz="0" w:space="0" w:color="auto"/>
        <w:left w:val="none" w:sz="0" w:space="0" w:color="auto"/>
        <w:bottom w:val="none" w:sz="0" w:space="0" w:color="auto"/>
        <w:right w:val="none" w:sz="0" w:space="0" w:color="auto"/>
      </w:divBdr>
    </w:div>
    <w:div w:id="480852414">
      <w:bodyDiv w:val="1"/>
      <w:marLeft w:val="0"/>
      <w:marRight w:val="0"/>
      <w:marTop w:val="0"/>
      <w:marBottom w:val="0"/>
      <w:divBdr>
        <w:top w:val="none" w:sz="0" w:space="0" w:color="auto"/>
        <w:left w:val="none" w:sz="0" w:space="0" w:color="auto"/>
        <w:bottom w:val="none" w:sz="0" w:space="0" w:color="auto"/>
        <w:right w:val="none" w:sz="0" w:space="0" w:color="auto"/>
      </w:divBdr>
    </w:div>
    <w:div w:id="529535904">
      <w:bodyDiv w:val="1"/>
      <w:marLeft w:val="0"/>
      <w:marRight w:val="0"/>
      <w:marTop w:val="0"/>
      <w:marBottom w:val="0"/>
      <w:divBdr>
        <w:top w:val="none" w:sz="0" w:space="0" w:color="auto"/>
        <w:left w:val="none" w:sz="0" w:space="0" w:color="auto"/>
        <w:bottom w:val="none" w:sz="0" w:space="0" w:color="auto"/>
        <w:right w:val="none" w:sz="0" w:space="0" w:color="auto"/>
      </w:divBdr>
    </w:div>
    <w:div w:id="533811774">
      <w:bodyDiv w:val="1"/>
      <w:marLeft w:val="0"/>
      <w:marRight w:val="0"/>
      <w:marTop w:val="0"/>
      <w:marBottom w:val="0"/>
      <w:divBdr>
        <w:top w:val="none" w:sz="0" w:space="0" w:color="auto"/>
        <w:left w:val="none" w:sz="0" w:space="0" w:color="auto"/>
        <w:bottom w:val="none" w:sz="0" w:space="0" w:color="auto"/>
        <w:right w:val="none" w:sz="0" w:space="0" w:color="auto"/>
      </w:divBdr>
    </w:div>
    <w:div w:id="537202902">
      <w:bodyDiv w:val="1"/>
      <w:marLeft w:val="0"/>
      <w:marRight w:val="0"/>
      <w:marTop w:val="0"/>
      <w:marBottom w:val="0"/>
      <w:divBdr>
        <w:top w:val="none" w:sz="0" w:space="0" w:color="auto"/>
        <w:left w:val="none" w:sz="0" w:space="0" w:color="auto"/>
        <w:bottom w:val="none" w:sz="0" w:space="0" w:color="auto"/>
        <w:right w:val="none" w:sz="0" w:space="0" w:color="auto"/>
      </w:divBdr>
      <w:divsChild>
        <w:div w:id="1569143946">
          <w:marLeft w:val="0"/>
          <w:marRight w:val="0"/>
          <w:marTop w:val="0"/>
          <w:marBottom w:val="0"/>
          <w:divBdr>
            <w:top w:val="none" w:sz="0" w:space="0" w:color="auto"/>
            <w:left w:val="none" w:sz="0" w:space="0" w:color="auto"/>
            <w:bottom w:val="none" w:sz="0" w:space="0" w:color="auto"/>
            <w:right w:val="none" w:sz="0" w:space="0" w:color="auto"/>
          </w:divBdr>
          <w:divsChild>
            <w:div w:id="1673214162">
              <w:marLeft w:val="0"/>
              <w:marRight w:val="0"/>
              <w:marTop w:val="0"/>
              <w:marBottom w:val="0"/>
              <w:divBdr>
                <w:top w:val="none" w:sz="0" w:space="0" w:color="auto"/>
                <w:left w:val="none" w:sz="0" w:space="0" w:color="auto"/>
                <w:bottom w:val="none" w:sz="0" w:space="0" w:color="auto"/>
                <w:right w:val="none" w:sz="0" w:space="0" w:color="auto"/>
              </w:divBdr>
              <w:divsChild>
                <w:div w:id="1723092586">
                  <w:marLeft w:val="-150"/>
                  <w:marRight w:val="-150"/>
                  <w:marTop w:val="0"/>
                  <w:marBottom w:val="0"/>
                  <w:divBdr>
                    <w:top w:val="none" w:sz="0" w:space="0" w:color="auto"/>
                    <w:left w:val="none" w:sz="0" w:space="0" w:color="auto"/>
                    <w:bottom w:val="none" w:sz="0" w:space="0" w:color="auto"/>
                    <w:right w:val="none" w:sz="0" w:space="0" w:color="auto"/>
                  </w:divBdr>
                  <w:divsChild>
                    <w:div w:id="613633018">
                      <w:marLeft w:val="0"/>
                      <w:marRight w:val="0"/>
                      <w:marTop w:val="0"/>
                      <w:marBottom w:val="0"/>
                      <w:divBdr>
                        <w:top w:val="none" w:sz="0" w:space="0" w:color="auto"/>
                        <w:left w:val="none" w:sz="0" w:space="0" w:color="auto"/>
                        <w:bottom w:val="none" w:sz="0" w:space="0" w:color="auto"/>
                        <w:right w:val="none" w:sz="0" w:space="0" w:color="auto"/>
                      </w:divBdr>
                      <w:divsChild>
                        <w:div w:id="1726219188">
                          <w:marLeft w:val="0"/>
                          <w:marRight w:val="0"/>
                          <w:marTop w:val="0"/>
                          <w:marBottom w:val="0"/>
                          <w:divBdr>
                            <w:top w:val="none" w:sz="0" w:space="0" w:color="auto"/>
                            <w:left w:val="none" w:sz="0" w:space="0" w:color="auto"/>
                            <w:bottom w:val="none" w:sz="0" w:space="0" w:color="auto"/>
                            <w:right w:val="none" w:sz="0" w:space="0" w:color="auto"/>
                          </w:divBdr>
                          <w:divsChild>
                            <w:div w:id="568226159">
                              <w:marLeft w:val="0"/>
                              <w:marRight w:val="0"/>
                              <w:marTop w:val="0"/>
                              <w:marBottom w:val="0"/>
                              <w:divBdr>
                                <w:top w:val="none" w:sz="0" w:space="0" w:color="auto"/>
                                <w:left w:val="none" w:sz="0" w:space="0" w:color="auto"/>
                                <w:bottom w:val="none" w:sz="0" w:space="0" w:color="auto"/>
                                <w:right w:val="none" w:sz="0" w:space="0" w:color="auto"/>
                              </w:divBdr>
                              <w:divsChild>
                                <w:div w:id="9713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359746">
      <w:bodyDiv w:val="1"/>
      <w:marLeft w:val="0"/>
      <w:marRight w:val="0"/>
      <w:marTop w:val="0"/>
      <w:marBottom w:val="0"/>
      <w:divBdr>
        <w:top w:val="none" w:sz="0" w:space="0" w:color="auto"/>
        <w:left w:val="none" w:sz="0" w:space="0" w:color="auto"/>
        <w:bottom w:val="none" w:sz="0" w:space="0" w:color="auto"/>
        <w:right w:val="none" w:sz="0" w:space="0" w:color="auto"/>
      </w:divBdr>
      <w:divsChild>
        <w:div w:id="1122528665">
          <w:marLeft w:val="547"/>
          <w:marRight w:val="0"/>
          <w:marTop w:val="0"/>
          <w:marBottom w:val="0"/>
          <w:divBdr>
            <w:top w:val="none" w:sz="0" w:space="0" w:color="auto"/>
            <w:left w:val="none" w:sz="0" w:space="0" w:color="auto"/>
            <w:bottom w:val="none" w:sz="0" w:space="0" w:color="auto"/>
            <w:right w:val="none" w:sz="0" w:space="0" w:color="auto"/>
          </w:divBdr>
        </w:div>
      </w:divsChild>
    </w:div>
    <w:div w:id="616759532">
      <w:bodyDiv w:val="1"/>
      <w:marLeft w:val="0"/>
      <w:marRight w:val="0"/>
      <w:marTop w:val="0"/>
      <w:marBottom w:val="0"/>
      <w:divBdr>
        <w:top w:val="none" w:sz="0" w:space="0" w:color="auto"/>
        <w:left w:val="none" w:sz="0" w:space="0" w:color="auto"/>
        <w:bottom w:val="none" w:sz="0" w:space="0" w:color="auto"/>
        <w:right w:val="none" w:sz="0" w:space="0" w:color="auto"/>
      </w:divBdr>
      <w:divsChild>
        <w:div w:id="124589472">
          <w:marLeft w:val="0"/>
          <w:marRight w:val="0"/>
          <w:marTop w:val="0"/>
          <w:marBottom w:val="0"/>
          <w:divBdr>
            <w:top w:val="none" w:sz="0" w:space="0" w:color="auto"/>
            <w:left w:val="none" w:sz="0" w:space="0" w:color="auto"/>
            <w:bottom w:val="none" w:sz="0" w:space="0" w:color="auto"/>
            <w:right w:val="none" w:sz="0" w:space="0" w:color="auto"/>
          </w:divBdr>
          <w:divsChild>
            <w:div w:id="1481115208">
              <w:marLeft w:val="0"/>
              <w:marRight w:val="0"/>
              <w:marTop w:val="0"/>
              <w:marBottom w:val="0"/>
              <w:divBdr>
                <w:top w:val="none" w:sz="0" w:space="0" w:color="auto"/>
                <w:left w:val="none" w:sz="0" w:space="0" w:color="auto"/>
                <w:bottom w:val="none" w:sz="0" w:space="0" w:color="auto"/>
                <w:right w:val="none" w:sz="0" w:space="0" w:color="auto"/>
              </w:divBdr>
              <w:divsChild>
                <w:div w:id="1506627291">
                  <w:marLeft w:val="-150"/>
                  <w:marRight w:val="-150"/>
                  <w:marTop w:val="0"/>
                  <w:marBottom w:val="0"/>
                  <w:divBdr>
                    <w:top w:val="none" w:sz="0" w:space="0" w:color="auto"/>
                    <w:left w:val="none" w:sz="0" w:space="0" w:color="auto"/>
                    <w:bottom w:val="none" w:sz="0" w:space="0" w:color="auto"/>
                    <w:right w:val="none" w:sz="0" w:space="0" w:color="auto"/>
                  </w:divBdr>
                  <w:divsChild>
                    <w:div w:id="1870484838">
                      <w:marLeft w:val="0"/>
                      <w:marRight w:val="0"/>
                      <w:marTop w:val="0"/>
                      <w:marBottom w:val="0"/>
                      <w:divBdr>
                        <w:top w:val="none" w:sz="0" w:space="0" w:color="auto"/>
                        <w:left w:val="none" w:sz="0" w:space="0" w:color="auto"/>
                        <w:bottom w:val="none" w:sz="0" w:space="0" w:color="auto"/>
                        <w:right w:val="none" w:sz="0" w:space="0" w:color="auto"/>
                      </w:divBdr>
                      <w:divsChild>
                        <w:div w:id="52507341">
                          <w:marLeft w:val="0"/>
                          <w:marRight w:val="0"/>
                          <w:marTop w:val="0"/>
                          <w:marBottom w:val="0"/>
                          <w:divBdr>
                            <w:top w:val="none" w:sz="0" w:space="0" w:color="auto"/>
                            <w:left w:val="none" w:sz="0" w:space="0" w:color="auto"/>
                            <w:bottom w:val="none" w:sz="0" w:space="0" w:color="auto"/>
                            <w:right w:val="none" w:sz="0" w:space="0" w:color="auto"/>
                          </w:divBdr>
                          <w:divsChild>
                            <w:div w:id="21443060">
                              <w:marLeft w:val="0"/>
                              <w:marRight w:val="0"/>
                              <w:marTop w:val="0"/>
                              <w:marBottom w:val="0"/>
                              <w:divBdr>
                                <w:top w:val="none" w:sz="0" w:space="0" w:color="auto"/>
                                <w:left w:val="none" w:sz="0" w:space="0" w:color="auto"/>
                                <w:bottom w:val="none" w:sz="0" w:space="0" w:color="auto"/>
                                <w:right w:val="none" w:sz="0" w:space="0" w:color="auto"/>
                              </w:divBdr>
                              <w:divsChild>
                                <w:div w:id="1694182720">
                                  <w:marLeft w:val="0"/>
                                  <w:marRight w:val="0"/>
                                  <w:marTop w:val="0"/>
                                  <w:marBottom w:val="0"/>
                                  <w:divBdr>
                                    <w:top w:val="none" w:sz="0" w:space="0" w:color="auto"/>
                                    <w:left w:val="none" w:sz="0" w:space="0" w:color="auto"/>
                                    <w:bottom w:val="none" w:sz="0" w:space="0" w:color="auto"/>
                                    <w:right w:val="none" w:sz="0" w:space="0" w:color="auto"/>
                                  </w:divBdr>
                                  <w:divsChild>
                                    <w:div w:id="19883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7779">
      <w:bodyDiv w:val="1"/>
      <w:marLeft w:val="0"/>
      <w:marRight w:val="0"/>
      <w:marTop w:val="0"/>
      <w:marBottom w:val="0"/>
      <w:divBdr>
        <w:top w:val="none" w:sz="0" w:space="0" w:color="auto"/>
        <w:left w:val="none" w:sz="0" w:space="0" w:color="auto"/>
        <w:bottom w:val="none" w:sz="0" w:space="0" w:color="auto"/>
        <w:right w:val="none" w:sz="0" w:space="0" w:color="auto"/>
      </w:divBdr>
    </w:div>
    <w:div w:id="701367060">
      <w:bodyDiv w:val="1"/>
      <w:marLeft w:val="0"/>
      <w:marRight w:val="0"/>
      <w:marTop w:val="0"/>
      <w:marBottom w:val="0"/>
      <w:divBdr>
        <w:top w:val="none" w:sz="0" w:space="0" w:color="auto"/>
        <w:left w:val="none" w:sz="0" w:space="0" w:color="auto"/>
        <w:bottom w:val="none" w:sz="0" w:space="0" w:color="auto"/>
        <w:right w:val="none" w:sz="0" w:space="0" w:color="auto"/>
      </w:divBdr>
    </w:div>
    <w:div w:id="806506636">
      <w:bodyDiv w:val="1"/>
      <w:marLeft w:val="0"/>
      <w:marRight w:val="0"/>
      <w:marTop w:val="0"/>
      <w:marBottom w:val="0"/>
      <w:divBdr>
        <w:top w:val="none" w:sz="0" w:space="0" w:color="auto"/>
        <w:left w:val="none" w:sz="0" w:space="0" w:color="auto"/>
        <w:bottom w:val="none" w:sz="0" w:space="0" w:color="auto"/>
        <w:right w:val="none" w:sz="0" w:space="0" w:color="auto"/>
      </w:divBdr>
    </w:div>
    <w:div w:id="824778942">
      <w:bodyDiv w:val="1"/>
      <w:marLeft w:val="0"/>
      <w:marRight w:val="0"/>
      <w:marTop w:val="0"/>
      <w:marBottom w:val="0"/>
      <w:divBdr>
        <w:top w:val="none" w:sz="0" w:space="0" w:color="auto"/>
        <w:left w:val="none" w:sz="0" w:space="0" w:color="auto"/>
        <w:bottom w:val="none" w:sz="0" w:space="0" w:color="auto"/>
        <w:right w:val="none" w:sz="0" w:space="0" w:color="auto"/>
      </w:divBdr>
    </w:div>
    <w:div w:id="880364415">
      <w:bodyDiv w:val="1"/>
      <w:marLeft w:val="0"/>
      <w:marRight w:val="0"/>
      <w:marTop w:val="0"/>
      <w:marBottom w:val="0"/>
      <w:divBdr>
        <w:top w:val="none" w:sz="0" w:space="0" w:color="auto"/>
        <w:left w:val="none" w:sz="0" w:space="0" w:color="auto"/>
        <w:bottom w:val="none" w:sz="0" w:space="0" w:color="auto"/>
        <w:right w:val="none" w:sz="0" w:space="0" w:color="auto"/>
      </w:divBdr>
      <w:divsChild>
        <w:div w:id="917057020">
          <w:marLeft w:val="547"/>
          <w:marRight w:val="0"/>
          <w:marTop w:val="0"/>
          <w:marBottom w:val="0"/>
          <w:divBdr>
            <w:top w:val="none" w:sz="0" w:space="0" w:color="auto"/>
            <w:left w:val="none" w:sz="0" w:space="0" w:color="auto"/>
            <w:bottom w:val="none" w:sz="0" w:space="0" w:color="auto"/>
            <w:right w:val="none" w:sz="0" w:space="0" w:color="auto"/>
          </w:divBdr>
        </w:div>
      </w:divsChild>
    </w:div>
    <w:div w:id="950405636">
      <w:bodyDiv w:val="1"/>
      <w:marLeft w:val="0"/>
      <w:marRight w:val="0"/>
      <w:marTop w:val="0"/>
      <w:marBottom w:val="0"/>
      <w:divBdr>
        <w:top w:val="none" w:sz="0" w:space="0" w:color="auto"/>
        <w:left w:val="none" w:sz="0" w:space="0" w:color="auto"/>
        <w:bottom w:val="none" w:sz="0" w:space="0" w:color="auto"/>
        <w:right w:val="none" w:sz="0" w:space="0" w:color="auto"/>
      </w:divBdr>
    </w:div>
    <w:div w:id="1039281203">
      <w:bodyDiv w:val="1"/>
      <w:marLeft w:val="0"/>
      <w:marRight w:val="0"/>
      <w:marTop w:val="0"/>
      <w:marBottom w:val="0"/>
      <w:divBdr>
        <w:top w:val="none" w:sz="0" w:space="0" w:color="auto"/>
        <w:left w:val="none" w:sz="0" w:space="0" w:color="auto"/>
        <w:bottom w:val="none" w:sz="0" w:space="0" w:color="auto"/>
        <w:right w:val="none" w:sz="0" w:space="0" w:color="auto"/>
      </w:divBdr>
    </w:div>
    <w:div w:id="1119301675">
      <w:bodyDiv w:val="1"/>
      <w:marLeft w:val="0"/>
      <w:marRight w:val="0"/>
      <w:marTop w:val="0"/>
      <w:marBottom w:val="0"/>
      <w:divBdr>
        <w:top w:val="none" w:sz="0" w:space="0" w:color="auto"/>
        <w:left w:val="none" w:sz="0" w:space="0" w:color="auto"/>
        <w:bottom w:val="none" w:sz="0" w:space="0" w:color="auto"/>
        <w:right w:val="none" w:sz="0" w:space="0" w:color="auto"/>
      </w:divBdr>
      <w:divsChild>
        <w:div w:id="27417705">
          <w:marLeft w:val="0"/>
          <w:marRight w:val="0"/>
          <w:marTop w:val="0"/>
          <w:marBottom w:val="0"/>
          <w:divBdr>
            <w:top w:val="none" w:sz="0" w:space="0" w:color="auto"/>
            <w:left w:val="none" w:sz="0" w:space="0" w:color="auto"/>
            <w:bottom w:val="none" w:sz="0" w:space="0" w:color="auto"/>
            <w:right w:val="none" w:sz="0" w:space="0" w:color="auto"/>
          </w:divBdr>
          <w:divsChild>
            <w:div w:id="3480354">
              <w:marLeft w:val="0"/>
              <w:marRight w:val="0"/>
              <w:marTop w:val="0"/>
              <w:marBottom w:val="0"/>
              <w:divBdr>
                <w:top w:val="none" w:sz="0" w:space="0" w:color="auto"/>
                <w:left w:val="none" w:sz="0" w:space="0" w:color="auto"/>
                <w:bottom w:val="none" w:sz="0" w:space="0" w:color="auto"/>
                <w:right w:val="none" w:sz="0" w:space="0" w:color="auto"/>
              </w:divBdr>
              <w:divsChild>
                <w:div w:id="289634399">
                  <w:marLeft w:val="-150"/>
                  <w:marRight w:val="-150"/>
                  <w:marTop w:val="0"/>
                  <w:marBottom w:val="0"/>
                  <w:divBdr>
                    <w:top w:val="none" w:sz="0" w:space="0" w:color="auto"/>
                    <w:left w:val="none" w:sz="0" w:space="0" w:color="auto"/>
                    <w:bottom w:val="none" w:sz="0" w:space="0" w:color="auto"/>
                    <w:right w:val="none" w:sz="0" w:space="0" w:color="auto"/>
                  </w:divBdr>
                  <w:divsChild>
                    <w:div w:id="1264337508">
                      <w:marLeft w:val="0"/>
                      <w:marRight w:val="0"/>
                      <w:marTop w:val="0"/>
                      <w:marBottom w:val="0"/>
                      <w:divBdr>
                        <w:top w:val="none" w:sz="0" w:space="0" w:color="auto"/>
                        <w:left w:val="none" w:sz="0" w:space="0" w:color="auto"/>
                        <w:bottom w:val="none" w:sz="0" w:space="0" w:color="auto"/>
                        <w:right w:val="none" w:sz="0" w:space="0" w:color="auto"/>
                      </w:divBdr>
                      <w:divsChild>
                        <w:div w:id="1455442387">
                          <w:marLeft w:val="0"/>
                          <w:marRight w:val="0"/>
                          <w:marTop w:val="0"/>
                          <w:marBottom w:val="0"/>
                          <w:divBdr>
                            <w:top w:val="none" w:sz="0" w:space="0" w:color="auto"/>
                            <w:left w:val="none" w:sz="0" w:space="0" w:color="auto"/>
                            <w:bottom w:val="none" w:sz="0" w:space="0" w:color="auto"/>
                            <w:right w:val="none" w:sz="0" w:space="0" w:color="auto"/>
                          </w:divBdr>
                          <w:divsChild>
                            <w:div w:id="1029768138">
                              <w:marLeft w:val="0"/>
                              <w:marRight w:val="0"/>
                              <w:marTop w:val="0"/>
                              <w:marBottom w:val="0"/>
                              <w:divBdr>
                                <w:top w:val="none" w:sz="0" w:space="0" w:color="auto"/>
                                <w:left w:val="none" w:sz="0" w:space="0" w:color="auto"/>
                                <w:bottom w:val="none" w:sz="0" w:space="0" w:color="auto"/>
                                <w:right w:val="none" w:sz="0" w:space="0" w:color="auto"/>
                              </w:divBdr>
                              <w:divsChild>
                                <w:div w:id="209850471">
                                  <w:marLeft w:val="0"/>
                                  <w:marRight w:val="0"/>
                                  <w:marTop w:val="0"/>
                                  <w:marBottom w:val="0"/>
                                  <w:divBdr>
                                    <w:top w:val="none" w:sz="0" w:space="0" w:color="auto"/>
                                    <w:left w:val="none" w:sz="0" w:space="0" w:color="auto"/>
                                    <w:bottom w:val="none" w:sz="0" w:space="0" w:color="auto"/>
                                    <w:right w:val="none" w:sz="0" w:space="0" w:color="auto"/>
                                  </w:divBdr>
                                  <w:divsChild>
                                    <w:div w:id="2040474400">
                                      <w:marLeft w:val="0"/>
                                      <w:marRight w:val="0"/>
                                      <w:marTop w:val="0"/>
                                      <w:marBottom w:val="0"/>
                                      <w:divBdr>
                                        <w:top w:val="none" w:sz="0" w:space="0" w:color="auto"/>
                                        <w:left w:val="none" w:sz="0" w:space="0" w:color="auto"/>
                                        <w:bottom w:val="none" w:sz="0" w:space="0" w:color="auto"/>
                                        <w:right w:val="none" w:sz="0" w:space="0" w:color="auto"/>
                                      </w:divBdr>
                                      <w:divsChild>
                                        <w:div w:id="1768960400">
                                          <w:marLeft w:val="0"/>
                                          <w:marRight w:val="0"/>
                                          <w:marTop w:val="0"/>
                                          <w:marBottom w:val="0"/>
                                          <w:divBdr>
                                            <w:top w:val="none" w:sz="0" w:space="0" w:color="auto"/>
                                            <w:left w:val="none" w:sz="0" w:space="0" w:color="auto"/>
                                            <w:bottom w:val="none" w:sz="0" w:space="0" w:color="auto"/>
                                            <w:right w:val="none" w:sz="0" w:space="0" w:color="auto"/>
                                          </w:divBdr>
                                          <w:divsChild>
                                            <w:div w:id="13097500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99181">
      <w:bodyDiv w:val="1"/>
      <w:marLeft w:val="0"/>
      <w:marRight w:val="0"/>
      <w:marTop w:val="0"/>
      <w:marBottom w:val="0"/>
      <w:divBdr>
        <w:top w:val="none" w:sz="0" w:space="0" w:color="auto"/>
        <w:left w:val="none" w:sz="0" w:space="0" w:color="auto"/>
        <w:bottom w:val="none" w:sz="0" w:space="0" w:color="auto"/>
        <w:right w:val="none" w:sz="0" w:space="0" w:color="auto"/>
      </w:divBdr>
      <w:divsChild>
        <w:div w:id="1671180066">
          <w:marLeft w:val="274"/>
          <w:marRight w:val="0"/>
          <w:marTop w:val="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72738297">
      <w:bodyDiv w:val="1"/>
      <w:marLeft w:val="0"/>
      <w:marRight w:val="0"/>
      <w:marTop w:val="0"/>
      <w:marBottom w:val="0"/>
      <w:divBdr>
        <w:top w:val="none" w:sz="0" w:space="0" w:color="auto"/>
        <w:left w:val="none" w:sz="0" w:space="0" w:color="auto"/>
        <w:bottom w:val="none" w:sz="0" w:space="0" w:color="auto"/>
        <w:right w:val="none" w:sz="0" w:space="0" w:color="auto"/>
      </w:divBdr>
    </w:div>
    <w:div w:id="1363087712">
      <w:bodyDiv w:val="1"/>
      <w:marLeft w:val="0"/>
      <w:marRight w:val="0"/>
      <w:marTop w:val="0"/>
      <w:marBottom w:val="0"/>
      <w:divBdr>
        <w:top w:val="none" w:sz="0" w:space="0" w:color="auto"/>
        <w:left w:val="none" w:sz="0" w:space="0" w:color="auto"/>
        <w:bottom w:val="none" w:sz="0" w:space="0" w:color="auto"/>
        <w:right w:val="none" w:sz="0" w:space="0" w:color="auto"/>
      </w:divBdr>
      <w:divsChild>
        <w:div w:id="1608273390">
          <w:marLeft w:val="0"/>
          <w:marRight w:val="0"/>
          <w:marTop w:val="0"/>
          <w:marBottom w:val="0"/>
          <w:divBdr>
            <w:top w:val="none" w:sz="0" w:space="0" w:color="auto"/>
            <w:left w:val="none" w:sz="0" w:space="0" w:color="auto"/>
            <w:bottom w:val="none" w:sz="0" w:space="0" w:color="auto"/>
            <w:right w:val="none" w:sz="0" w:space="0" w:color="auto"/>
          </w:divBdr>
          <w:divsChild>
            <w:div w:id="392892740">
              <w:marLeft w:val="0"/>
              <w:marRight w:val="0"/>
              <w:marTop w:val="450"/>
              <w:marBottom w:val="450"/>
              <w:divBdr>
                <w:top w:val="none" w:sz="0" w:space="8" w:color="auto"/>
                <w:left w:val="none" w:sz="0" w:space="15" w:color="auto"/>
                <w:bottom w:val="none" w:sz="0" w:space="15" w:color="auto"/>
                <w:right w:val="none" w:sz="0" w:space="15" w:color="auto"/>
              </w:divBdr>
              <w:divsChild>
                <w:div w:id="879391079">
                  <w:marLeft w:val="0"/>
                  <w:marRight w:val="0"/>
                  <w:marTop w:val="0"/>
                  <w:marBottom w:val="0"/>
                  <w:divBdr>
                    <w:top w:val="none" w:sz="0" w:space="0" w:color="auto"/>
                    <w:left w:val="none" w:sz="0" w:space="0" w:color="auto"/>
                    <w:bottom w:val="none" w:sz="0" w:space="0" w:color="auto"/>
                    <w:right w:val="none" w:sz="0" w:space="0" w:color="auto"/>
                  </w:divBdr>
                  <w:divsChild>
                    <w:div w:id="1925868980">
                      <w:marLeft w:val="0"/>
                      <w:marRight w:val="0"/>
                      <w:marTop w:val="0"/>
                      <w:marBottom w:val="0"/>
                      <w:divBdr>
                        <w:top w:val="none" w:sz="0" w:space="0" w:color="auto"/>
                        <w:left w:val="none" w:sz="0" w:space="0" w:color="auto"/>
                        <w:bottom w:val="none" w:sz="0" w:space="0" w:color="auto"/>
                        <w:right w:val="none" w:sz="0" w:space="0" w:color="auto"/>
                      </w:divBdr>
                      <w:divsChild>
                        <w:div w:id="1581136282">
                          <w:marLeft w:val="0"/>
                          <w:marRight w:val="0"/>
                          <w:marTop w:val="0"/>
                          <w:marBottom w:val="0"/>
                          <w:divBdr>
                            <w:top w:val="none" w:sz="0" w:space="0" w:color="auto"/>
                            <w:left w:val="none" w:sz="0" w:space="0" w:color="auto"/>
                            <w:bottom w:val="none" w:sz="0" w:space="0" w:color="auto"/>
                            <w:right w:val="none" w:sz="0" w:space="0" w:color="auto"/>
                          </w:divBdr>
                          <w:divsChild>
                            <w:div w:id="885600438">
                              <w:marLeft w:val="0"/>
                              <w:marRight w:val="0"/>
                              <w:marTop w:val="0"/>
                              <w:marBottom w:val="0"/>
                              <w:divBdr>
                                <w:top w:val="none" w:sz="0" w:space="0" w:color="auto"/>
                                <w:left w:val="none" w:sz="0" w:space="0" w:color="auto"/>
                                <w:bottom w:val="none" w:sz="0" w:space="0" w:color="auto"/>
                                <w:right w:val="none" w:sz="0" w:space="0" w:color="auto"/>
                              </w:divBdr>
                              <w:divsChild>
                                <w:div w:id="1242642614">
                                  <w:marLeft w:val="0"/>
                                  <w:marRight w:val="0"/>
                                  <w:marTop w:val="0"/>
                                  <w:marBottom w:val="0"/>
                                  <w:divBdr>
                                    <w:top w:val="none" w:sz="0" w:space="0" w:color="auto"/>
                                    <w:left w:val="none" w:sz="0" w:space="0" w:color="auto"/>
                                    <w:bottom w:val="none" w:sz="0" w:space="0" w:color="auto"/>
                                    <w:right w:val="none" w:sz="0" w:space="0" w:color="auto"/>
                                  </w:divBdr>
                                  <w:divsChild>
                                    <w:div w:id="19168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866633">
      <w:bodyDiv w:val="1"/>
      <w:marLeft w:val="0"/>
      <w:marRight w:val="0"/>
      <w:marTop w:val="0"/>
      <w:marBottom w:val="0"/>
      <w:divBdr>
        <w:top w:val="none" w:sz="0" w:space="0" w:color="auto"/>
        <w:left w:val="none" w:sz="0" w:space="0" w:color="auto"/>
        <w:bottom w:val="none" w:sz="0" w:space="0" w:color="auto"/>
        <w:right w:val="none" w:sz="0" w:space="0" w:color="auto"/>
      </w:divBdr>
    </w:div>
    <w:div w:id="1714647027">
      <w:bodyDiv w:val="1"/>
      <w:marLeft w:val="0"/>
      <w:marRight w:val="0"/>
      <w:marTop w:val="0"/>
      <w:marBottom w:val="0"/>
      <w:divBdr>
        <w:top w:val="none" w:sz="0" w:space="0" w:color="auto"/>
        <w:left w:val="none" w:sz="0" w:space="0" w:color="auto"/>
        <w:bottom w:val="none" w:sz="0" w:space="0" w:color="auto"/>
        <w:right w:val="none" w:sz="0" w:space="0" w:color="auto"/>
      </w:divBdr>
    </w:div>
    <w:div w:id="1729448866">
      <w:bodyDiv w:val="1"/>
      <w:marLeft w:val="0"/>
      <w:marRight w:val="0"/>
      <w:marTop w:val="0"/>
      <w:marBottom w:val="0"/>
      <w:divBdr>
        <w:top w:val="none" w:sz="0" w:space="0" w:color="auto"/>
        <w:left w:val="none" w:sz="0" w:space="0" w:color="auto"/>
        <w:bottom w:val="none" w:sz="0" w:space="0" w:color="auto"/>
        <w:right w:val="none" w:sz="0" w:space="0" w:color="auto"/>
      </w:divBdr>
    </w:div>
    <w:div w:id="1758214299">
      <w:bodyDiv w:val="1"/>
      <w:marLeft w:val="0"/>
      <w:marRight w:val="0"/>
      <w:marTop w:val="0"/>
      <w:marBottom w:val="0"/>
      <w:divBdr>
        <w:top w:val="none" w:sz="0" w:space="0" w:color="auto"/>
        <w:left w:val="none" w:sz="0" w:space="0" w:color="auto"/>
        <w:bottom w:val="none" w:sz="0" w:space="0" w:color="auto"/>
        <w:right w:val="none" w:sz="0" w:space="0" w:color="auto"/>
      </w:divBdr>
      <w:divsChild>
        <w:div w:id="1643802568">
          <w:marLeft w:val="0"/>
          <w:marRight w:val="0"/>
          <w:marTop w:val="0"/>
          <w:marBottom w:val="0"/>
          <w:divBdr>
            <w:top w:val="none" w:sz="0" w:space="0" w:color="auto"/>
            <w:left w:val="none" w:sz="0" w:space="0" w:color="auto"/>
            <w:bottom w:val="none" w:sz="0" w:space="0" w:color="auto"/>
            <w:right w:val="none" w:sz="0" w:space="0" w:color="auto"/>
          </w:divBdr>
          <w:divsChild>
            <w:div w:id="159271693">
              <w:marLeft w:val="0"/>
              <w:marRight w:val="0"/>
              <w:marTop w:val="0"/>
              <w:marBottom w:val="0"/>
              <w:divBdr>
                <w:top w:val="none" w:sz="0" w:space="0" w:color="auto"/>
                <w:left w:val="none" w:sz="0" w:space="0" w:color="auto"/>
                <w:bottom w:val="none" w:sz="0" w:space="0" w:color="auto"/>
                <w:right w:val="none" w:sz="0" w:space="0" w:color="auto"/>
              </w:divBdr>
              <w:divsChild>
                <w:div w:id="517886398">
                  <w:marLeft w:val="0"/>
                  <w:marRight w:val="0"/>
                  <w:marTop w:val="0"/>
                  <w:marBottom w:val="0"/>
                  <w:divBdr>
                    <w:top w:val="none" w:sz="0" w:space="0" w:color="auto"/>
                    <w:left w:val="none" w:sz="0" w:space="0" w:color="auto"/>
                    <w:bottom w:val="none" w:sz="0" w:space="0" w:color="auto"/>
                    <w:right w:val="none" w:sz="0" w:space="0" w:color="auto"/>
                  </w:divBdr>
                  <w:divsChild>
                    <w:div w:id="177236523">
                      <w:marLeft w:val="0"/>
                      <w:marRight w:val="0"/>
                      <w:marTop w:val="0"/>
                      <w:marBottom w:val="0"/>
                      <w:divBdr>
                        <w:top w:val="none" w:sz="0" w:space="0" w:color="auto"/>
                        <w:left w:val="none" w:sz="0" w:space="0" w:color="auto"/>
                        <w:bottom w:val="none" w:sz="0" w:space="0" w:color="auto"/>
                        <w:right w:val="none" w:sz="0" w:space="0" w:color="auto"/>
                      </w:divBdr>
                      <w:divsChild>
                        <w:div w:id="15484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7130">
      <w:bodyDiv w:val="1"/>
      <w:marLeft w:val="0"/>
      <w:marRight w:val="0"/>
      <w:marTop w:val="0"/>
      <w:marBottom w:val="0"/>
      <w:divBdr>
        <w:top w:val="none" w:sz="0" w:space="0" w:color="auto"/>
        <w:left w:val="none" w:sz="0" w:space="0" w:color="auto"/>
        <w:bottom w:val="none" w:sz="0" w:space="0" w:color="auto"/>
        <w:right w:val="none" w:sz="0" w:space="0" w:color="auto"/>
      </w:divBdr>
    </w:div>
    <w:div w:id="1893274934">
      <w:bodyDiv w:val="1"/>
      <w:marLeft w:val="0"/>
      <w:marRight w:val="0"/>
      <w:marTop w:val="0"/>
      <w:marBottom w:val="0"/>
      <w:divBdr>
        <w:top w:val="none" w:sz="0" w:space="0" w:color="auto"/>
        <w:left w:val="none" w:sz="0" w:space="0" w:color="auto"/>
        <w:bottom w:val="none" w:sz="0" w:space="0" w:color="auto"/>
        <w:right w:val="none" w:sz="0" w:space="0" w:color="auto"/>
      </w:divBdr>
    </w:div>
    <w:div w:id="2004354293">
      <w:bodyDiv w:val="1"/>
      <w:marLeft w:val="0"/>
      <w:marRight w:val="0"/>
      <w:marTop w:val="0"/>
      <w:marBottom w:val="0"/>
      <w:divBdr>
        <w:top w:val="none" w:sz="0" w:space="0" w:color="auto"/>
        <w:left w:val="none" w:sz="0" w:space="0" w:color="auto"/>
        <w:bottom w:val="none" w:sz="0" w:space="0" w:color="auto"/>
        <w:right w:val="none" w:sz="0" w:space="0" w:color="auto"/>
      </w:divBdr>
    </w:div>
    <w:div w:id="2094427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ransparency.org/country/SSD" TargetMode="External"/><Relationship Id="rId3" Type="http://schemas.openxmlformats.org/officeDocument/2006/relationships/hyperlink" Target="http://www.unhcr.org/news/stories/2017/8/59915f604/south-sudanese-refugees-uganda-exceed-1-million.html" TargetMode="External"/><Relationship Id="rId7" Type="http://schemas.openxmlformats.org/officeDocument/2006/relationships/hyperlink" Target="http://www.worldbank.org/en/country/southsudan/overview" TargetMode="External"/><Relationship Id="rId2" Type="http://schemas.openxmlformats.org/officeDocument/2006/relationships/hyperlink" Target="http://www.unocha.org/south-sudan" TargetMode="External"/><Relationship Id="rId1" Type="http://schemas.openxmlformats.org/officeDocument/2006/relationships/hyperlink" Target="http://fundforpeace.org/fsi/2017/05/14/fsi-2017-factionalization-and-group-grievance-fuel-rise-in-instability/" TargetMode="External"/><Relationship Id="rId6" Type="http://schemas.openxmlformats.org/officeDocument/2006/relationships/hyperlink" Target="http://documents.worldbank.org/curated/en/112071516734556800/pdf/IDA-R2017-0340-11172017.pdf" TargetMode="External"/><Relationship Id="rId5" Type="http://schemas.openxmlformats.org/officeDocument/2006/relationships/hyperlink" Target="https://tradingeconomics.com/south-sudan/inflation-cpi" TargetMode="External"/><Relationship Id="rId4" Type="http://schemas.openxmlformats.org/officeDocument/2006/relationships/hyperlink" Target="http://www.undp.org/content/undp/en/home/blog/2017/6/29/Confronting-climate-change-in-South-Sudan.html" TargetMode="External"/><Relationship Id="rId9" Type="http://schemas.openxmlformats.org/officeDocument/2006/relationships/hyperlink" Target="https://radiotamazuj.org/en/news/article/aweil-inaugurates-first-ever-state-revenue-authorit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5B3CB8-2A28-415E-902A-AA0C52594BC9}">
  <ds:schemaRefs>
    <ds:schemaRef ds:uri="http://schemas.openxmlformats.org/officeDocument/2006/bibliography"/>
  </ds:schemaRefs>
</ds:datastoreItem>
</file>

<file path=customXml/itemProps5.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6.xml><?xml version="1.0" encoding="utf-8"?>
<ds:datastoreItem xmlns:ds="http://schemas.openxmlformats.org/officeDocument/2006/customXml" ds:itemID="{066AE062-62A4-410A-9AE8-C7D593FC9CBE}">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D6E81FA9-8BEB-4B3F-876F-20ED5567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5774</Words>
  <Characters>35568</Characters>
  <Application>Microsoft Office Word</Application>
  <DocSecurity>0</DocSecurity>
  <Lines>867</Lines>
  <Paragraphs>386</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40956</CharactersWithSpaces>
  <SharedDoc>false</SharedDoc>
  <HLinks>
    <vt:vector size="30" baseType="variant">
      <vt:variant>
        <vt:i4>1638410</vt:i4>
      </vt:variant>
      <vt:variant>
        <vt:i4>15</vt:i4>
      </vt:variant>
      <vt:variant>
        <vt:i4>0</vt:i4>
      </vt:variant>
      <vt:variant>
        <vt:i4>5</vt:i4>
      </vt:variant>
      <vt:variant>
        <vt:lpwstr>http://www.fidh.org/human-rights-in-pakistan-six-recommendations-ahead-of-the-elections-13211</vt:lpwstr>
      </vt:variant>
      <vt:variant>
        <vt:lpwstr/>
      </vt:variant>
      <vt:variant>
        <vt:i4>7077951</vt:i4>
      </vt:variant>
      <vt:variant>
        <vt:i4>9</vt:i4>
      </vt:variant>
      <vt:variant>
        <vt:i4>0</vt:i4>
      </vt:variant>
      <vt:variant>
        <vt:i4>5</vt:i4>
      </vt:variant>
      <vt:variant>
        <vt:lpwstr>http://www.ipripak.org/pakistans-youth-bulge-human-resource-development-hrd-challenges/</vt:lpwstr>
      </vt:variant>
      <vt:variant>
        <vt:lpwstr/>
      </vt:variant>
      <vt:variant>
        <vt:i4>6226033</vt:i4>
      </vt:variant>
      <vt:variant>
        <vt:i4>6</vt:i4>
      </vt:variant>
      <vt:variant>
        <vt:i4>0</vt:i4>
      </vt:variant>
      <vt:variant>
        <vt:i4>5</vt:i4>
      </vt:variant>
      <vt:variant>
        <vt:lpwstr>http://hdr.undp.org/sites/default/files/2015_human_development_report.pdf</vt:lpwstr>
      </vt:variant>
      <vt:variant>
        <vt:lpwstr/>
      </vt:variant>
      <vt:variant>
        <vt:i4>1310815</vt:i4>
      </vt:variant>
      <vt:variant>
        <vt:i4>3</vt:i4>
      </vt:variant>
      <vt:variant>
        <vt:i4>0</vt:i4>
      </vt:variant>
      <vt:variant>
        <vt:i4>5</vt:i4>
      </vt:variant>
      <vt:variant>
        <vt:lpwstr>http://www.tradingeconomics.com/pakistan/gdp-growth/forecast</vt:lpwstr>
      </vt:variant>
      <vt:variant>
        <vt:lpwstr/>
      </vt:variant>
      <vt:variant>
        <vt:i4>1310815</vt:i4>
      </vt:variant>
      <vt:variant>
        <vt:i4>0</vt:i4>
      </vt:variant>
      <vt:variant>
        <vt:i4>0</vt:i4>
      </vt:variant>
      <vt:variant>
        <vt:i4>5</vt:i4>
      </vt:variant>
      <vt:variant>
        <vt:lpwstr>http://www.tradingeconomics.com/pakistan/gdp-growth/forecast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4</cp:revision>
  <cp:lastPrinted>2017-04-26T20:50:00Z</cp:lastPrinted>
  <dcterms:created xsi:type="dcterms:W3CDTF">2018-05-31T16:19:00Z</dcterms:created>
  <dcterms:modified xsi:type="dcterms:W3CDTF">2018-05-31T16:57:00Z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