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887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922471" w14:paraId="3DD3F0EF" w14:textId="77777777" w:rsidTr="00E15AB6">
        <w:trPr>
          <w:trHeight w:val="553"/>
        </w:trPr>
        <w:tc>
          <w:tcPr>
            <w:tcW w:w="9630" w:type="dxa"/>
            <w:shd w:val="clear" w:color="auto" w:fill="1F497D"/>
            <w:hideMark/>
          </w:tcPr>
          <w:p w14:paraId="2795EDE3" w14:textId="0028C61E" w:rsidR="00922471" w:rsidRPr="00BD6AF7" w:rsidRDefault="00E15AB6" w:rsidP="00E15AB6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6AF7">
              <w:rPr>
                <w:b/>
                <w:smallCaps/>
                <w:color w:val="FFFFFF" w:themeColor="background1"/>
                <w:spacing w:val="-6"/>
                <w:sz w:val="36"/>
                <w:szCs w:val="36"/>
              </w:rPr>
              <w:t xml:space="preserve">United Nations Development </w:t>
            </w:r>
            <w:proofErr w:type="spellStart"/>
            <w:r w:rsidRPr="00BD6AF7">
              <w:rPr>
                <w:b/>
                <w:smallCaps/>
                <w:color w:val="FFFFFF" w:themeColor="background1"/>
                <w:spacing w:val="-6"/>
                <w:sz w:val="36"/>
                <w:szCs w:val="36"/>
              </w:rPr>
              <w:t>Programme</w:t>
            </w:r>
            <w:proofErr w:type="spellEnd"/>
          </w:p>
        </w:tc>
      </w:tr>
      <w:tr w:rsidR="00922471" w14:paraId="4AA72669" w14:textId="77777777" w:rsidTr="00E15AB6">
        <w:trPr>
          <w:trHeight w:val="566"/>
        </w:trPr>
        <w:tc>
          <w:tcPr>
            <w:tcW w:w="9630" w:type="dxa"/>
            <w:shd w:val="clear" w:color="auto" w:fill="C6D9F1"/>
            <w:vAlign w:val="center"/>
            <w:hideMark/>
          </w:tcPr>
          <w:p w14:paraId="06CEE801" w14:textId="5B34761B" w:rsidR="00922471" w:rsidRPr="00BD6AF7" w:rsidRDefault="00E15AB6" w:rsidP="00E15AB6">
            <w:pPr>
              <w:jc w:val="center"/>
              <w:rPr>
                <w:rFonts w:ascii="Calibri" w:eastAsia="Calibri" w:hAnsi="Calibri" w:cs="Times New Roman"/>
                <w:b/>
                <w:sz w:val="34"/>
                <w:szCs w:val="34"/>
              </w:rPr>
            </w:pPr>
            <w:r w:rsidRPr="00BD6AF7">
              <w:rPr>
                <w:rFonts w:ascii="Calibri" w:eastAsia="Calibri" w:hAnsi="Calibri" w:cs="Times New Roman"/>
                <w:b/>
                <w:sz w:val="34"/>
                <w:szCs w:val="34"/>
              </w:rPr>
              <w:t>Frequently asked questions about cost-r</w:t>
            </w:r>
            <w:r w:rsidR="00922471" w:rsidRPr="00BD6AF7">
              <w:rPr>
                <w:rFonts w:ascii="Calibri" w:eastAsia="Calibri" w:hAnsi="Calibri" w:cs="Times New Roman"/>
                <w:b/>
                <w:sz w:val="34"/>
                <w:szCs w:val="34"/>
              </w:rPr>
              <w:t>ecovery</w:t>
            </w:r>
          </w:p>
        </w:tc>
      </w:tr>
    </w:tbl>
    <w:p w14:paraId="561FC073" w14:textId="77777777" w:rsidR="00104AF6" w:rsidRDefault="00104AF6">
      <w:pPr>
        <w:rPr>
          <w:rFonts w:cs="Segoe UI Historic"/>
          <w:b/>
          <w:sz w:val="36"/>
          <w:szCs w:val="36"/>
        </w:rPr>
      </w:pPr>
    </w:p>
    <w:p w14:paraId="2CE7E67D" w14:textId="77777777" w:rsidR="009817B0" w:rsidRPr="002613A0" w:rsidRDefault="009817B0" w:rsidP="00FF234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Segoe UI"/>
          <w:b/>
          <w:i/>
          <w:color w:val="000000"/>
        </w:rPr>
      </w:pPr>
      <w:r w:rsidRPr="002613A0">
        <w:rPr>
          <w:rFonts w:eastAsia="Times New Roman" w:cs="Segoe UI"/>
          <w:b/>
          <w:i/>
          <w:color w:val="000000"/>
        </w:rPr>
        <w:t xml:space="preserve">What is the difference between regular and other resources? </w:t>
      </w:r>
      <w:r w:rsidR="00FF2342" w:rsidRPr="002613A0">
        <w:rPr>
          <w:rFonts w:eastAsia="Times New Roman" w:cs="Segoe UI"/>
          <w:b/>
          <w:i/>
          <w:color w:val="000000"/>
        </w:rPr>
        <w:t xml:space="preserve">What is the difference between core and non-core resources? </w:t>
      </w:r>
    </w:p>
    <w:p w14:paraId="57820A12" w14:textId="123CB0DC" w:rsidR="006C33EE" w:rsidRPr="0009795E" w:rsidRDefault="006C33EE" w:rsidP="0009795E">
      <w:pPr>
        <w:spacing w:before="100" w:beforeAutospacing="1" w:after="100" w:afterAutospacing="1"/>
        <w:ind w:left="360"/>
        <w:rPr>
          <w:rFonts w:eastAsia="Times New Roman" w:cs="Segoe UI"/>
          <w:color w:val="000000"/>
        </w:rPr>
      </w:pPr>
      <w:r w:rsidRPr="0009795E">
        <w:rPr>
          <w:rFonts w:eastAsia="Times New Roman" w:cs="Segoe UI"/>
          <w:color w:val="000000"/>
        </w:rPr>
        <w:t>Regular resources are sometimes referred to as ‘core’ resources. Similarly, other resources</w:t>
      </w:r>
      <w:r w:rsidR="0017755E" w:rsidRPr="0009795E">
        <w:rPr>
          <w:rFonts w:eastAsia="Times New Roman" w:cs="Segoe UI"/>
          <w:color w:val="000000"/>
        </w:rPr>
        <w:t xml:space="preserve">, </w:t>
      </w:r>
      <w:r w:rsidR="00C355C6" w:rsidRPr="0009795E">
        <w:rPr>
          <w:rFonts w:eastAsia="Times New Roman" w:cs="Segoe UI"/>
          <w:color w:val="000000"/>
        </w:rPr>
        <w:t xml:space="preserve">comprised of </w:t>
      </w:r>
      <w:r w:rsidR="0017755E" w:rsidRPr="0009795E">
        <w:rPr>
          <w:rFonts w:eastAsia="Times New Roman" w:cs="Segoe UI"/>
          <w:color w:val="000000"/>
        </w:rPr>
        <w:t xml:space="preserve">thematic funds, UN pooled funding, funding earmarked </w:t>
      </w:r>
      <w:r w:rsidR="002B051B">
        <w:rPr>
          <w:rFonts w:eastAsia="Times New Roman" w:cs="Segoe UI"/>
          <w:color w:val="000000"/>
        </w:rPr>
        <w:t>for</w:t>
      </w:r>
      <w:r w:rsidR="0017755E" w:rsidRPr="0009795E">
        <w:rPr>
          <w:rFonts w:eastAsia="Times New Roman" w:cs="Segoe UI"/>
          <w:color w:val="000000"/>
        </w:rPr>
        <w:t xml:space="preserve"> </w:t>
      </w:r>
      <w:proofErr w:type="spellStart"/>
      <w:r w:rsidR="0017755E" w:rsidRPr="0009795E">
        <w:rPr>
          <w:rFonts w:eastAsia="Times New Roman" w:cs="Segoe UI"/>
          <w:color w:val="000000"/>
        </w:rPr>
        <w:t>programmes</w:t>
      </w:r>
      <w:proofErr w:type="spellEnd"/>
      <w:r w:rsidR="0017755E" w:rsidRPr="0009795E">
        <w:rPr>
          <w:rFonts w:eastAsia="Times New Roman" w:cs="Segoe UI"/>
          <w:color w:val="000000"/>
        </w:rPr>
        <w:t xml:space="preserve"> or projects and vertical funds,</w:t>
      </w:r>
      <w:r w:rsidRPr="0009795E">
        <w:rPr>
          <w:rFonts w:eastAsia="Times New Roman" w:cs="Segoe UI"/>
          <w:color w:val="000000"/>
        </w:rPr>
        <w:t xml:space="preserve"> are referred to as ‘non-core’ resources.</w:t>
      </w:r>
      <w:r w:rsidR="00C355C6" w:rsidRPr="0009795E">
        <w:rPr>
          <w:rFonts w:eastAsia="Times New Roman" w:cs="Segoe UI"/>
          <w:color w:val="000000"/>
        </w:rPr>
        <w:t xml:space="preserve">  The diagram below provides a brief description of the different types of funding.</w:t>
      </w:r>
    </w:p>
    <w:p w14:paraId="32C94B60" w14:textId="77777777" w:rsidR="009817B0" w:rsidRDefault="009817B0" w:rsidP="0009795E">
      <w:pPr>
        <w:spacing w:before="100" w:beforeAutospacing="1" w:after="100" w:afterAutospacing="1"/>
        <w:jc w:val="center"/>
        <w:rPr>
          <w:rFonts w:ascii="Segoe UI" w:eastAsia="Times New Roman" w:hAnsi="Segoe UI" w:cs="Segoe UI"/>
          <w:color w:val="000000"/>
        </w:rPr>
      </w:pPr>
      <w:r w:rsidRPr="009817B0">
        <w:rPr>
          <w:rFonts w:ascii="Segoe UI" w:eastAsia="Times New Roman" w:hAnsi="Segoe UI" w:cs="Segoe UI"/>
          <w:noProof/>
          <w:color w:val="000000"/>
        </w:rPr>
        <w:drawing>
          <wp:inline distT="0" distB="0" distL="0" distR="0" wp14:anchorId="6A83C756" wp14:editId="5C832873">
            <wp:extent cx="5779918" cy="315610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270" cy="315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D7EDC" w14:textId="77777777" w:rsidR="006C33EE" w:rsidRDefault="009817B0" w:rsidP="0009795E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 w:val="18"/>
          <w:szCs w:val="18"/>
        </w:rPr>
      </w:pPr>
      <w:r w:rsidRPr="00A21C98">
        <w:rPr>
          <w:rFonts w:ascii="Segoe UI" w:eastAsia="Times New Roman" w:hAnsi="Segoe UI" w:cs="Segoe UI"/>
          <w:color w:val="000000"/>
          <w:sz w:val="18"/>
          <w:szCs w:val="18"/>
        </w:rPr>
        <w:t xml:space="preserve">(Source: </w:t>
      </w:r>
      <w:hyperlink r:id="rId8" w:history="1">
        <w:r w:rsidRPr="00A21C98">
          <w:rPr>
            <w:rStyle w:val="Hyperlink"/>
            <w:rFonts w:ascii="Segoe UI" w:eastAsia="Times New Roman" w:hAnsi="Segoe UI" w:cs="Segoe UI"/>
            <w:sz w:val="18"/>
            <w:szCs w:val="18"/>
          </w:rPr>
          <w:t>http://www.undp.org/content/dam/undp/library/corporate/Partnerships/Funding%20Compendium%202015.pdf</w:t>
        </w:r>
      </w:hyperlink>
      <w:r w:rsidRPr="00A21C98">
        <w:rPr>
          <w:rFonts w:ascii="Segoe UI" w:eastAsia="Times New Roman" w:hAnsi="Segoe UI" w:cs="Segoe UI"/>
          <w:color w:val="000000"/>
          <w:sz w:val="18"/>
          <w:szCs w:val="18"/>
        </w:rPr>
        <w:t xml:space="preserve">   )</w:t>
      </w:r>
    </w:p>
    <w:p w14:paraId="16ECA48A" w14:textId="77777777" w:rsidR="00A21C98" w:rsidRPr="00A21C98" w:rsidRDefault="00A21C98" w:rsidP="0009795E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z w:val="18"/>
          <w:szCs w:val="18"/>
        </w:rPr>
      </w:pPr>
    </w:p>
    <w:p w14:paraId="577C028E" w14:textId="77777777" w:rsidR="00FF2342" w:rsidRPr="002613A0" w:rsidRDefault="00FF2342" w:rsidP="00FF2342">
      <w:pPr>
        <w:numPr>
          <w:ilvl w:val="0"/>
          <w:numId w:val="1"/>
        </w:numPr>
        <w:rPr>
          <w:rFonts w:ascii="Segoe UI" w:eastAsia="Times New Roman" w:hAnsi="Segoe UI" w:cs="Segoe UI"/>
          <w:b/>
          <w:i/>
          <w:color w:val="000000"/>
        </w:rPr>
      </w:pPr>
      <w:r w:rsidRPr="002613A0">
        <w:rPr>
          <w:rFonts w:ascii="Calibri" w:eastAsia="Times New Roman" w:hAnsi="Calibri" w:cs="Calibri"/>
          <w:b/>
          <w:i/>
          <w:color w:val="000000"/>
        </w:rPr>
        <w:t>What are core contributions used for?</w:t>
      </w:r>
    </w:p>
    <w:p w14:paraId="4B7AF0EE" w14:textId="158A1C46" w:rsidR="009817B0" w:rsidRPr="009817B0" w:rsidRDefault="009817B0" w:rsidP="0009795E">
      <w:pPr>
        <w:pStyle w:val="ListParagraph"/>
        <w:spacing w:before="100" w:beforeAutospacing="1" w:after="100" w:afterAutospacing="1"/>
        <w:rPr>
          <w:rFonts w:ascii="Segoe UI" w:eastAsia="Times New Roman" w:hAnsi="Segoe UI" w:cs="Segoe UI"/>
          <w:color w:val="000000"/>
        </w:rPr>
      </w:pPr>
      <w:r>
        <w:t xml:space="preserve">Regular resources </w:t>
      </w:r>
      <w:r w:rsidR="00C355C6">
        <w:t xml:space="preserve">contributions </w:t>
      </w:r>
      <w:r>
        <w:t>enable UNDP to leverage its key strengths to deliver on its Strategic Plan</w:t>
      </w:r>
      <w:r w:rsidR="00C355C6">
        <w:t xml:space="preserve"> as </w:t>
      </w:r>
      <w:r>
        <w:t>illustrated in the figure below.</w:t>
      </w:r>
    </w:p>
    <w:p w14:paraId="4679B127" w14:textId="77777777" w:rsidR="00551A88" w:rsidRDefault="00551A88" w:rsidP="00551A88">
      <w:pPr>
        <w:pStyle w:val="ListParagraph"/>
        <w:rPr>
          <w:rFonts w:ascii="Segoe UI" w:eastAsia="Times New Roman" w:hAnsi="Segoe UI" w:cs="Segoe UI"/>
          <w:color w:val="000000"/>
        </w:rPr>
      </w:pPr>
    </w:p>
    <w:p w14:paraId="458E0513" w14:textId="77777777" w:rsidR="009817B0" w:rsidRDefault="009817B0" w:rsidP="00551A88">
      <w:pPr>
        <w:pStyle w:val="ListParagraph"/>
        <w:rPr>
          <w:rFonts w:ascii="Segoe UI" w:eastAsia="Times New Roman" w:hAnsi="Segoe UI" w:cs="Segoe UI"/>
          <w:color w:val="000000"/>
        </w:rPr>
      </w:pPr>
      <w:r w:rsidRPr="00CC7BE3">
        <w:rPr>
          <w:rFonts w:eastAsia="MS Mincho"/>
          <w:noProof/>
          <w:sz w:val="22"/>
        </w:rPr>
        <w:lastRenderedPageBreak/>
        <w:drawing>
          <wp:anchor distT="0" distB="0" distL="114300" distR="114300" simplePos="0" relativeHeight="251658240" behindDoc="1" locked="0" layoutInCell="1" allowOverlap="1" wp14:anchorId="72F3E7B6" wp14:editId="1B0CB4C0">
            <wp:simplePos x="0" y="0"/>
            <wp:positionH relativeFrom="margin">
              <wp:posOffset>-57150</wp:posOffset>
            </wp:positionH>
            <wp:positionV relativeFrom="paragraph">
              <wp:posOffset>19050</wp:posOffset>
            </wp:positionV>
            <wp:extent cx="6210300" cy="2537460"/>
            <wp:effectExtent l="19050" t="19050" r="19050" b="34290"/>
            <wp:wrapTight wrapText="bothSides">
              <wp:wrapPolygon edited="0">
                <wp:start x="-66" y="-162"/>
                <wp:lineTo x="-66" y="21730"/>
                <wp:lineTo x="16631" y="21730"/>
                <wp:lineTo x="16697" y="21730"/>
                <wp:lineTo x="20871" y="18162"/>
                <wp:lineTo x="21335" y="18162"/>
                <wp:lineTo x="21600" y="17189"/>
                <wp:lineTo x="21600" y="4054"/>
                <wp:lineTo x="21004" y="3243"/>
                <wp:lineTo x="16763" y="-162"/>
                <wp:lineTo x="-66" y="-162"/>
              </wp:wrapPolygon>
            </wp:wrapTight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596EC" w14:textId="77777777" w:rsidR="009817B0" w:rsidRDefault="009817B0" w:rsidP="00551A88">
      <w:pPr>
        <w:pStyle w:val="ListParagraph"/>
        <w:rPr>
          <w:rFonts w:ascii="Segoe UI" w:eastAsia="Times New Roman" w:hAnsi="Segoe UI" w:cs="Segoe UI"/>
          <w:color w:val="000000"/>
        </w:rPr>
      </w:pPr>
    </w:p>
    <w:p w14:paraId="598394B4" w14:textId="77777777" w:rsidR="006C33EE" w:rsidRDefault="006C33EE" w:rsidP="0009795E">
      <w:pPr>
        <w:rPr>
          <w:rFonts w:ascii="Segoe UI" w:eastAsia="Times New Roman" w:hAnsi="Segoe UI" w:cs="Segoe UI"/>
          <w:color w:val="000000"/>
          <w:highlight w:val="red"/>
        </w:rPr>
      </w:pPr>
    </w:p>
    <w:p w14:paraId="3BD6F412" w14:textId="7EA018F7" w:rsidR="00FF2342" w:rsidRPr="002613A0" w:rsidRDefault="00FF2342" w:rsidP="00FF2342">
      <w:pPr>
        <w:numPr>
          <w:ilvl w:val="0"/>
          <w:numId w:val="1"/>
        </w:numPr>
        <w:rPr>
          <w:rFonts w:ascii="Segoe UI" w:eastAsia="Times New Roman" w:hAnsi="Segoe UI" w:cs="Segoe UI"/>
          <w:b/>
          <w:i/>
          <w:color w:val="000000"/>
        </w:rPr>
      </w:pPr>
      <w:r w:rsidRPr="002613A0">
        <w:rPr>
          <w:rFonts w:ascii="Calibri" w:eastAsia="Times New Roman" w:hAnsi="Calibri" w:cs="Calibri"/>
          <w:b/>
          <w:i/>
          <w:color w:val="000000"/>
        </w:rPr>
        <w:t xml:space="preserve">What </w:t>
      </w:r>
      <w:r w:rsidR="00D5166F" w:rsidRPr="002613A0">
        <w:rPr>
          <w:rFonts w:ascii="Calibri" w:eastAsia="Times New Roman" w:hAnsi="Calibri" w:cs="Calibri"/>
          <w:b/>
          <w:i/>
          <w:color w:val="000000"/>
        </w:rPr>
        <w:t>is meant by the term</w:t>
      </w:r>
      <w:r w:rsidRPr="002613A0">
        <w:rPr>
          <w:rFonts w:ascii="Calibri" w:eastAsia="Times New Roman" w:hAnsi="Calibri" w:cs="Calibri"/>
          <w:b/>
          <w:i/>
          <w:color w:val="000000"/>
        </w:rPr>
        <w:t xml:space="preserve"> ‘harmonized approach’</w:t>
      </w:r>
      <w:r w:rsidR="00C355C6" w:rsidRPr="002613A0">
        <w:rPr>
          <w:rFonts w:ascii="Calibri" w:eastAsia="Times New Roman" w:hAnsi="Calibri" w:cs="Calibri"/>
          <w:b/>
          <w:i/>
          <w:color w:val="000000"/>
        </w:rPr>
        <w:t xml:space="preserve"> when discussing cost recovery</w:t>
      </w:r>
      <w:r w:rsidRPr="002613A0">
        <w:rPr>
          <w:rFonts w:ascii="Calibri" w:eastAsia="Times New Roman" w:hAnsi="Calibri" w:cs="Calibri"/>
          <w:b/>
          <w:i/>
          <w:color w:val="000000"/>
        </w:rPr>
        <w:t xml:space="preserve">? What is the difference between ‘harmonized approach to cost </w:t>
      </w:r>
      <w:r w:rsidR="00003760" w:rsidRPr="002613A0">
        <w:rPr>
          <w:rFonts w:ascii="Calibri" w:eastAsia="Times New Roman" w:hAnsi="Calibri" w:cs="Calibri"/>
          <w:b/>
          <w:i/>
          <w:color w:val="000000"/>
        </w:rPr>
        <w:t xml:space="preserve">classification’ </w:t>
      </w:r>
      <w:r w:rsidRPr="002613A0">
        <w:rPr>
          <w:rFonts w:ascii="Calibri" w:eastAsia="Times New Roman" w:hAnsi="Calibri" w:cs="Calibri"/>
          <w:b/>
          <w:i/>
          <w:color w:val="000000"/>
        </w:rPr>
        <w:t xml:space="preserve">and ‘harmonized approach to cost </w:t>
      </w:r>
      <w:r w:rsidR="00003760" w:rsidRPr="002613A0">
        <w:rPr>
          <w:rFonts w:ascii="Calibri" w:eastAsia="Times New Roman" w:hAnsi="Calibri" w:cs="Calibri"/>
          <w:b/>
          <w:i/>
          <w:color w:val="000000"/>
        </w:rPr>
        <w:t>recovery’</w:t>
      </w:r>
      <w:r w:rsidRPr="002613A0">
        <w:rPr>
          <w:rFonts w:ascii="Calibri" w:eastAsia="Times New Roman" w:hAnsi="Calibri" w:cs="Calibri"/>
          <w:b/>
          <w:i/>
          <w:color w:val="000000"/>
        </w:rPr>
        <w:t>?</w:t>
      </w:r>
    </w:p>
    <w:p w14:paraId="405E23A4" w14:textId="77777777" w:rsidR="00003760" w:rsidRDefault="00003760" w:rsidP="0009795E">
      <w:pPr>
        <w:rPr>
          <w:rFonts w:ascii="Calibri" w:eastAsia="Times New Roman" w:hAnsi="Calibri" w:cs="Calibri"/>
          <w:color w:val="000000"/>
        </w:rPr>
      </w:pPr>
    </w:p>
    <w:p w14:paraId="768A20E4" w14:textId="66A20ED1" w:rsidR="00003760" w:rsidRDefault="00003760" w:rsidP="0009795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term ‘harmonized approach’ refers to the </w:t>
      </w:r>
      <w:r w:rsidR="005D784D">
        <w:rPr>
          <w:rFonts w:ascii="Calibri" w:eastAsia="Times New Roman" w:hAnsi="Calibri" w:cs="Calibri"/>
          <w:color w:val="000000"/>
        </w:rPr>
        <w:t>principle</w:t>
      </w:r>
      <w:r>
        <w:rPr>
          <w:rFonts w:ascii="Calibri" w:eastAsia="Times New Roman" w:hAnsi="Calibri" w:cs="Calibri"/>
          <w:color w:val="000000"/>
        </w:rPr>
        <w:t xml:space="preserve"> that </w:t>
      </w:r>
      <w:r w:rsidR="007A63FD">
        <w:rPr>
          <w:rFonts w:ascii="Calibri" w:eastAsia="Times New Roman" w:hAnsi="Calibri" w:cs="Calibri"/>
          <w:color w:val="000000"/>
        </w:rPr>
        <w:t xml:space="preserve">methodologies </w:t>
      </w:r>
      <w:r>
        <w:rPr>
          <w:rFonts w:ascii="Calibri" w:eastAsia="Times New Roman" w:hAnsi="Calibri" w:cs="Calibri"/>
          <w:color w:val="000000"/>
        </w:rPr>
        <w:t xml:space="preserve">for </w:t>
      </w:r>
      <w:r w:rsidR="000575E4">
        <w:rPr>
          <w:rFonts w:ascii="Calibri" w:eastAsia="Times New Roman" w:hAnsi="Calibri" w:cs="Calibri"/>
          <w:color w:val="000000"/>
        </w:rPr>
        <w:t>cost classification</w:t>
      </w:r>
      <w:r>
        <w:rPr>
          <w:rFonts w:ascii="Calibri" w:eastAsia="Times New Roman" w:hAnsi="Calibri" w:cs="Calibri"/>
          <w:color w:val="000000"/>
        </w:rPr>
        <w:t xml:space="preserve"> and cost </w:t>
      </w:r>
      <w:r w:rsidR="000575E4">
        <w:rPr>
          <w:rFonts w:ascii="Calibri" w:eastAsia="Times New Roman" w:hAnsi="Calibri" w:cs="Calibri"/>
          <w:color w:val="000000"/>
        </w:rPr>
        <w:t>recovery</w:t>
      </w:r>
      <w:r w:rsidR="00E97C2C">
        <w:rPr>
          <w:rFonts w:ascii="Calibri" w:eastAsia="Times New Roman" w:hAnsi="Calibri" w:cs="Calibri"/>
          <w:color w:val="000000"/>
        </w:rPr>
        <w:t xml:space="preserve"> </w:t>
      </w:r>
      <w:r w:rsidR="00292E5F">
        <w:rPr>
          <w:rFonts w:ascii="Calibri" w:eastAsia="Times New Roman" w:hAnsi="Calibri" w:cs="Calibri"/>
          <w:color w:val="000000"/>
        </w:rPr>
        <w:t>are</w:t>
      </w:r>
      <w:r w:rsidR="00E97C2C">
        <w:rPr>
          <w:rFonts w:ascii="Calibri" w:eastAsia="Times New Roman" w:hAnsi="Calibri" w:cs="Calibri"/>
          <w:color w:val="000000"/>
        </w:rPr>
        <w:t xml:space="preserve"> </w:t>
      </w:r>
      <w:r w:rsidR="00292E5F">
        <w:rPr>
          <w:rFonts w:ascii="Calibri" w:eastAsia="Times New Roman" w:hAnsi="Calibri" w:cs="Calibri"/>
          <w:color w:val="000000"/>
        </w:rPr>
        <w:t>aligned</w:t>
      </w:r>
      <w:r w:rsidR="00CF7D00">
        <w:rPr>
          <w:rFonts w:ascii="Calibri" w:eastAsia="Times New Roman" w:hAnsi="Calibri" w:cs="Calibri"/>
          <w:color w:val="000000"/>
        </w:rPr>
        <w:t>.</w:t>
      </w:r>
      <w:r w:rsidR="00E97C2C">
        <w:rPr>
          <w:rFonts w:ascii="Calibri" w:eastAsia="Times New Roman" w:hAnsi="Calibri" w:cs="Calibri"/>
          <w:color w:val="000000"/>
        </w:rPr>
        <w:t xml:space="preserve"> The </w:t>
      </w:r>
      <w:r w:rsidR="007A63FD">
        <w:rPr>
          <w:rFonts w:ascii="Calibri" w:eastAsia="Times New Roman" w:hAnsi="Calibri" w:cs="Calibri"/>
          <w:color w:val="000000"/>
        </w:rPr>
        <w:t>principle</w:t>
      </w:r>
      <w:r w:rsidR="00E97C2C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appl</w:t>
      </w:r>
      <w:r w:rsidR="007A63FD">
        <w:rPr>
          <w:rFonts w:ascii="Calibri" w:eastAsia="Times New Roman" w:hAnsi="Calibri" w:cs="Calibri"/>
          <w:color w:val="000000"/>
        </w:rPr>
        <w:t xml:space="preserve">ies </w:t>
      </w:r>
      <w:r>
        <w:rPr>
          <w:rFonts w:ascii="Calibri" w:eastAsia="Times New Roman" w:hAnsi="Calibri" w:cs="Calibri"/>
          <w:color w:val="000000"/>
        </w:rPr>
        <w:t>to UNDP</w:t>
      </w:r>
      <w:r w:rsidR="00C355C6">
        <w:rPr>
          <w:rFonts w:ascii="Calibri" w:eastAsia="Times New Roman" w:hAnsi="Calibri" w:cs="Calibri"/>
          <w:color w:val="000000"/>
        </w:rPr>
        <w:t>,</w:t>
      </w:r>
      <w:r w:rsidR="00787E5C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UNICEF, UNFPA and UN Women</w:t>
      </w:r>
      <w:r w:rsidR="00DF26B1">
        <w:rPr>
          <w:rFonts w:ascii="Calibri" w:eastAsia="Times New Roman" w:hAnsi="Calibri" w:cs="Calibri"/>
          <w:color w:val="000000"/>
        </w:rPr>
        <w:t xml:space="preserve"> (‘the four agencies’)</w:t>
      </w:r>
      <w:r>
        <w:rPr>
          <w:rFonts w:ascii="Calibri" w:eastAsia="Times New Roman" w:hAnsi="Calibri" w:cs="Calibri"/>
          <w:color w:val="000000"/>
        </w:rPr>
        <w:t>.</w:t>
      </w:r>
    </w:p>
    <w:p w14:paraId="2C1CD49F" w14:textId="77777777" w:rsidR="00003760" w:rsidRDefault="00003760" w:rsidP="0009795E">
      <w:pPr>
        <w:rPr>
          <w:rFonts w:ascii="Calibri" w:eastAsia="Times New Roman" w:hAnsi="Calibri" w:cs="Calibri"/>
          <w:color w:val="000000"/>
        </w:rPr>
      </w:pPr>
    </w:p>
    <w:p w14:paraId="4A1241F2" w14:textId="39736CE5" w:rsidR="00C355C6" w:rsidRDefault="00CF7D00" w:rsidP="0009795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</w:t>
      </w:r>
      <w:r w:rsidR="00003760">
        <w:rPr>
          <w:rFonts w:ascii="Calibri" w:eastAsia="Times New Roman" w:hAnsi="Calibri" w:cs="Calibri"/>
          <w:color w:val="000000"/>
        </w:rPr>
        <w:t xml:space="preserve"> ‘</w:t>
      </w:r>
      <w:r w:rsidR="007A63FD">
        <w:rPr>
          <w:rFonts w:ascii="Calibri" w:eastAsia="Times New Roman" w:hAnsi="Calibri" w:cs="Calibri"/>
          <w:color w:val="000000"/>
        </w:rPr>
        <w:t>h</w:t>
      </w:r>
      <w:r w:rsidR="00003760">
        <w:rPr>
          <w:rFonts w:ascii="Calibri" w:eastAsia="Times New Roman" w:hAnsi="Calibri" w:cs="Calibri"/>
          <w:color w:val="000000"/>
        </w:rPr>
        <w:t xml:space="preserve">armonized approach to cost </w:t>
      </w:r>
      <w:r w:rsidR="00003760" w:rsidRPr="0009795E">
        <w:rPr>
          <w:rFonts w:ascii="Calibri" w:eastAsia="Times New Roman" w:hAnsi="Calibri" w:cs="Calibri"/>
          <w:b/>
          <w:color w:val="000000"/>
          <w:u w:val="single"/>
        </w:rPr>
        <w:t>classification</w:t>
      </w:r>
      <w:r w:rsidR="00003760">
        <w:rPr>
          <w:rFonts w:ascii="Calibri" w:eastAsia="Times New Roman" w:hAnsi="Calibri" w:cs="Calibri"/>
          <w:color w:val="000000"/>
        </w:rPr>
        <w:t>’ re</w:t>
      </w:r>
      <w:r w:rsidR="00C355C6">
        <w:rPr>
          <w:rFonts w:ascii="Calibri" w:eastAsia="Times New Roman" w:hAnsi="Calibri" w:cs="Calibri"/>
          <w:color w:val="000000"/>
        </w:rPr>
        <w:t>fers</w:t>
      </w:r>
      <w:r w:rsidR="00003760">
        <w:rPr>
          <w:rFonts w:ascii="Calibri" w:eastAsia="Times New Roman" w:hAnsi="Calibri" w:cs="Calibri"/>
          <w:color w:val="000000"/>
        </w:rPr>
        <w:t xml:space="preserve"> to the </w:t>
      </w:r>
      <w:r w:rsidR="00102BF6">
        <w:rPr>
          <w:rFonts w:ascii="Calibri" w:eastAsia="Times New Roman" w:hAnsi="Calibri" w:cs="Calibri"/>
          <w:color w:val="000000"/>
        </w:rPr>
        <w:t>categories</w:t>
      </w:r>
      <w:r w:rsidR="00C355C6">
        <w:rPr>
          <w:rFonts w:ascii="Calibri" w:eastAsia="Times New Roman" w:hAnsi="Calibri" w:cs="Calibri"/>
          <w:color w:val="000000"/>
        </w:rPr>
        <w:t xml:space="preserve"> approved by the Executive Board by</w:t>
      </w:r>
      <w:r w:rsidR="000575E4">
        <w:rPr>
          <w:rFonts w:ascii="Calibri" w:eastAsia="Times New Roman" w:hAnsi="Calibri" w:cs="Calibri"/>
          <w:color w:val="000000"/>
        </w:rPr>
        <w:t xml:space="preserve"> which the four agencies </w:t>
      </w:r>
      <w:r w:rsidR="00E83943">
        <w:rPr>
          <w:rFonts w:ascii="Calibri" w:eastAsia="Times New Roman" w:hAnsi="Calibri" w:cs="Calibri"/>
          <w:color w:val="000000"/>
        </w:rPr>
        <w:t xml:space="preserve">all </w:t>
      </w:r>
      <w:r w:rsidR="000575E4">
        <w:rPr>
          <w:rFonts w:ascii="Calibri" w:eastAsia="Times New Roman" w:hAnsi="Calibri" w:cs="Calibri"/>
          <w:color w:val="000000"/>
        </w:rPr>
        <w:t>classify their activities and related costs</w:t>
      </w:r>
      <w:r w:rsidR="00C355C6">
        <w:rPr>
          <w:rFonts w:ascii="Calibri" w:eastAsia="Times New Roman" w:hAnsi="Calibri" w:cs="Calibri"/>
          <w:color w:val="000000"/>
        </w:rPr>
        <w:t>:</w:t>
      </w:r>
      <w:r w:rsidR="000575E4">
        <w:rPr>
          <w:rFonts w:ascii="Calibri" w:eastAsia="Times New Roman" w:hAnsi="Calibri" w:cs="Calibri"/>
          <w:color w:val="000000"/>
        </w:rPr>
        <w:t xml:space="preserve"> </w:t>
      </w:r>
    </w:p>
    <w:p w14:paraId="67C6AE1A" w14:textId="636CBE60" w:rsidR="00C355C6" w:rsidRPr="0009795E" w:rsidRDefault="000575E4" w:rsidP="0009795E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 w:rsidRPr="0009795E">
        <w:rPr>
          <w:rFonts w:ascii="Calibri" w:eastAsia="Times New Roman" w:hAnsi="Calibri" w:cs="Calibri"/>
          <w:color w:val="000000"/>
        </w:rPr>
        <w:t xml:space="preserve">Development activities, with subcategories (a) </w:t>
      </w:r>
      <w:proofErr w:type="spellStart"/>
      <w:r w:rsidRPr="0009795E">
        <w:rPr>
          <w:rFonts w:ascii="Calibri" w:eastAsia="Times New Roman" w:hAnsi="Calibri" w:cs="Calibri"/>
          <w:color w:val="000000"/>
        </w:rPr>
        <w:t>Programme</w:t>
      </w:r>
      <w:proofErr w:type="spellEnd"/>
      <w:r w:rsidRPr="0009795E">
        <w:rPr>
          <w:rFonts w:ascii="Calibri" w:eastAsia="Times New Roman" w:hAnsi="Calibri" w:cs="Calibri"/>
          <w:color w:val="000000"/>
        </w:rPr>
        <w:t xml:space="preserve"> activities; and (b) Development effectiveness activities; </w:t>
      </w:r>
    </w:p>
    <w:p w14:paraId="49AD3BC9" w14:textId="3054540B" w:rsidR="00C355C6" w:rsidRDefault="000575E4" w:rsidP="0009795E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 w:rsidRPr="0009795E">
        <w:rPr>
          <w:rFonts w:ascii="Calibri" w:eastAsia="Times New Roman" w:hAnsi="Calibri" w:cs="Calibri"/>
          <w:color w:val="000000"/>
        </w:rPr>
        <w:t xml:space="preserve">UN Development Coordination activities; </w:t>
      </w:r>
    </w:p>
    <w:p w14:paraId="1E20899A" w14:textId="58DE8381" w:rsidR="00C355C6" w:rsidRDefault="000575E4" w:rsidP="0009795E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 w:rsidRPr="0009795E">
        <w:rPr>
          <w:rFonts w:ascii="Calibri" w:eastAsia="Times New Roman" w:hAnsi="Calibri" w:cs="Calibri"/>
          <w:color w:val="000000"/>
        </w:rPr>
        <w:t xml:space="preserve">Management activities; and </w:t>
      </w:r>
    </w:p>
    <w:p w14:paraId="6915B319" w14:textId="6D07235B" w:rsidR="000575E4" w:rsidRPr="0009795E" w:rsidRDefault="000575E4" w:rsidP="0009795E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 w:rsidRPr="0009795E">
        <w:rPr>
          <w:rFonts w:ascii="Calibri" w:eastAsia="Times New Roman" w:hAnsi="Calibri" w:cs="Calibri"/>
          <w:color w:val="000000"/>
        </w:rPr>
        <w:t>Special Purpose activities.</w:t>
      </w:r>
    </w:p>
    <w:p w14:paraId="0084B009" w14:textId="77777777" w:rsidR="000575E4" w:rsidRDefault="000575E4" w:rsidP="0009795E">
      <w:pPr>
        <w:rPr>
          <w:rFonts w:ascii="Calibri" w:eastAsia="Times New Roman" w:hAnsi="Calibri" w:cs="Calibri"/>
          <w:color w:val="000000"/>
        </w:rPr>
      </w:pPr>
    </w:p>
    <w:p w14:paraId="7D61F699" w14:textId="7EF1EFD5" w:rsidR="00AF3FE2" w:rsidRPr="0009795E" w:rsidRDefault="00CF7D00" w:rsidP="00AF3FE2">
      <w:pPr>
        <w:jc w:val="both"/>
        <w:rPr>
          <w:rFonts w:cstheme="minorHAnsi"/>
        </w:rPr>
      </w:pPr>
      <w:r w:rsidRPr="0009795E">
        <w:rPr>
          <w:rFonts w:eastAsia="Times New Roman" w:cstheme="minorHAnsi"/>
          <w:color w:val="000000"/>
        </w:rPr>
        <w:t>A</w:t>
      </w:r>
      <w:r w:rsidR="000575E4" w:rsidRPr="0009795E">
        <w:rPr>
          <w:rFonts w:eastAsia="Times New Roman" w:cstheme="minorHAnsi"/>
          <w:color w:val="000000"/>
        </w:rPr>
        <w:t xml:space="preserve"> ‘</w:t>
      </w:r>
      <w:r w:rsidR="00102BF6" w:rsidRPr="0009795E">
        <w:rPr>
          <w:rFonts w:eastAsia="Times New Roman" w:cstheme="minorHAnsi"/>
          <w:color w:val="000000"/>
        </w:rPr>
        <w:t>h</w:t>
      </w:r>
      <w:r w:rsidR="000575E4" w:rsidRPr="0009795E">
        <w:rPr>
          <w:rFonts w:eastAsia="Times New Roman" w:cstheme="minorHAnsi"/>
          <w:color w:val="000000"/>
        </w:rPr>
        <w:t xml:space="preserve">armonized approach to cost </w:t>
      </w:r>
      <w:r w:rsidR="000575E4" w:rsidRPr="0009795E">
        <w:rPr>
          <w:rFonts w:eastAsia="Times New Roman" w:cstheme="minorHAnsi"/>
          <w:b/>
          <w:color w:val="000000"/>
          <w:u w:val="single"/>
        </w:rPr>
        <w:t>recovery</w:t>
      </w:r>
      <w:r w:rsidR="000575E4" w:rsidRPr="0009795E">
        <w:rPr>
          <w:rFonts w:eastAsia="Times New Roman" w:cstheme="minorHAnsi"/>
          <w:color w:val="000000"/>
        </w:rPr>
        <w:t>’ relates to the work</w:t>
      </w:r>
      <w:r w:rsidRPr="0009795E">
        <w:rPr>
          <w:rFonts w:eastAsia="Times New Roman" w:cstheme="minorHAnsi"/>
          <w:color w:val="000000"/>
        </w:rPr>
        <w:t xml:space="preserve"> of the </w:t>
      </w:r>
      <w:r w:rsidR="00DF26B1">
        <w:rPr>
          <w:rFonts w:eastAsia="Times New Roman" w:cstheme="minorHAnsi"/>
          <w:color w:val="000000"/>
        </w:rPr>
        <w:t>f</w:t>
      </w:r>
      <w:r w:rsidR="0096332A" w:rsidRPr="0009795E">
        <w:rPr>
          <w:rFonts w:eastAsia="Times New Roman" w:cstheme="minorHAnsi"/>
          <w:color w:val="000000"/>
        </w:rPr>
        <w:t xml:space="preserve">our </w:t>
      </w:r>
      <w:r w:rsidRPr="0009795E">
        <w:rPr>
          <w:rFonts w:eastAsia="Times New Roman" w:cstheme="minorHAnsi"/>
          <w:color w:val="000000"/>
        </w:rPr>
        <w:t xml:space="preserve">agencies to </w:t>
      </w:r>
      <w:r w:rsidR="0096332A" w:rsidRPr="0009795E">
        <w:rPr>
          <w:rFonts w:eastAsia="Times New Roman" w:cstheme="minorHAnsi"/>
          <w:color w:val="000000"/>
        </w:rPr>
        <w:t>ensure there is a transparent methodology for calculation</w:t>
      </w:r>
      <w:r w:rsidR="00A12A49" w:rsidRPr="0009795E">
        <w:rPr>
          <w:rFonts w:eastAsia="Times New Roman" w:cstheme="minorHAnsi"/>
          <w:color w:val="000000"/>
        </w:rPr>
        <w:t xml:space="preserve"> of a recovery rate</w:t>
      </w:r>
      <w:r w:rsidR="0096332A" w:rsidRPr="0009795E">
        <w:rPr>
          <w:rFonts w:eastAsia="Times New Roman" w:cstheme="minorHAnsi"/>
          <w:color w:val="000000"/>
        </w:rPr>
        <w:t xml:space="preserve"> in line with the classifications noted above.</w:t>
      </w:r>
      <w:r w:rsidR="00A12A49" w:rsidRPr="0009795E">
        <w:rPr>
          <w:rFonts w:eastAsia="Times New Roman" w:cstheme="minorHAnsi"/>
          <w:color w:val="000000"/>
        </w:rPr>
        <w:t xml:space="preserve">  </w:t>
      </w:r>
      <w:r w:rsidR="00AF3FE2" w:rsidRPr="0009795E">
        <w:rPr>
          <w:rFonts w:cstheme="minorHAnsi"/>
        </w:rPr>
        <w:t>The Executive Boards of the agencies decided on the harmonized approach to cost recovery (EB decision 2013/9 for UNDP/UNFPA refers).</w:t>
      </w:r>
    </w:p>
    <w:p w14:paraId="323E47AA" w14:textId="77777777" w:rsidR="00AF3FE2" w:rsidRDefault="00AF3FE2" w:rsidP="00AF3FE2">
      <w:pPr>
        <w:jc w:val="both"/>
        <w:rPr>
          <w:rFonts w:ascii="Times New Roman" w:hAnsi="Times New Roman"/>
          <w:sz w:val="20"/>
          <w:szCs w:val="20"/>
        </w:rPr>
      </w:pPr>
    </w:p>
    <w:p w14:paraId="517EF068" w14:textId="77777777" w:rsidR="00A21C98" w:rsidRDefault="00A21C98" w:rsidP="00AF3FE2">
      <w:pPr>
        <w:jc w:val="both"/>
        <w:rPr>
          <w:rFonts w:ascii="Times New Roman" w:hAnsi="Times New Roman"/>
          <w:sz w:val="20"/>
          <w:szCs w:val="20"/>
        </w:rPr>
      </w:pPr>
    </w:p>
    <w:p w14:paraId="3437A3F3" w14:textId="0BB9BA9E" w:rsidR="00FF2342" w:rsidRPr="002613A0" w:rsidRDefault="00024C0C" w:rsidP="00FF2342">
      <w:pPr>
        <w:numPr>
          <w:ilvl w:val="0"/>
          <w:numId w:val="1"/>
        </w:numPr>
        <w:rPr>
          <w:rFonts w:ascii="Segoe UI" w:eastAsia="Times New Roman" w:hAnsi="Segoe UI" w:cs="Segoe UI"/>
          <w:b/>
          <w:i/>
          <w:color w:val="000000"/>
        </w:rPr>
      </w:pPr>
      <w:r w:rsidRPr="002613A0">
        <w:rPr>
          <w:rFonts w:ascii="Calibri" w:eastAsia="Times New Roman" w:hAnsi="Calibri" w:cs="Calibri"/>
          <w:b/>
          <w:i/>
          <w:color w:val="000000"/>
        </w:rPr>
        <w:t xml:space="preserve">Please </w:t>
      </w:r>
      <w:r w:rsidR="002613A0">
        <w:rPr>
          <w:rFonts w:ascii="Calibri" w:eastAsia="Times New Roman" w:hAnsi="Calibri" w:cs="Calibri"/>
          <w:b/>
          <w:i/>
          <w:color w:val="000000"/>
        </w:rPr>
        <w:t xml:space="preserve">explain the harmonized </w:t>
      </w:r>
      <w:r w:rsidR="00FF2342" w:rsidRPr="002613A0">
        <w:rPr>
          <w:rFonts w:ascii="Calibri" w:eastAsia="Times New Roman" w:hAnsi="Calibri" w:cs="Calibri"/>
          <w:b/>
          <w:i/>
          <w:color w:val="000000"/>
        </w:rPr>
        <w:t>building block (LEGO) approach to cost recovery.</w:t>
      </w:r>
      <w:r w:rsidR="00157A7C" w:rsidRPr="002613A0">
        <w:rPr>
          <w:rFonts w:ascii="Calibri" w:eastAsia="Times New Roman" w:hAnsi="Calibri" w:cs="Calibri"/>
          <w:b/>
          <w:i/>
          <w:color w:val="000000"/>
        </w:rPr>
        <w:br/>
      </w:r>
    </w:p>
    <w:p w14:paraId="7D1D73AB" w14:textId="1479613A" w:rsidR="00157A7C" w:rsidRPr="0009795E" w:rsidRDefault="00157A7C" w:rsidP="0009795E">
      <w:pPr>
        <w:ind w:left="720"/>
        <w:rPr>
          <w:rFonts w:eastAsia="Times New Roman" w:cs="Segoe UI"/>
          <w:color w:val="000000"/>
          <w:highlight w:val="green"/>
        </w:rPr>
      </w:pPr>
      <w:r w:rsidRPr="0009795E">
        <w:rPr>
          <w:rFonts w:eastAsia="Times New Roman" w:cs="Segoe UI"/>
          <w:color w:val="000000"/>
        </w:rPr>
        <w:t>The essence of the ‘</w:t>
      </w:r>
      <w:r w:rsidR="005B505A" w:rsidRPr="0009795E">
        <w:rPr>
          <w:rFonts w:eastAsia="Times New Roman" w:cs="Segoe UI"/>
          <w:color w:val="000000"/>
        </w:rPr>
        <w:t>LEGO</w:t>
      </w:r>
      <w:r w:rsidRPr="0009795E">
        <w:rPr>
          <w:rFonts w:eastAsia="Times New Roman" w:cs="Segoe UI"/>
          <w:color w:val="000000"/>
        </w:rPr>
        <w:t xml:space="preserve">’ approach </w:t>
      </w:r>
      <w:r w:rsidR="005B505A" w:rsidRPr="0009795E">
        <w:rPr>
          <w:rFonts w:eastAsia="Times New Roman" w:cs="Segoe UI"/>
          <w:color w:val="000000"/>
        </w:rPr>
        <w:t>presented to the Executive Board in April 2017</w:t>
      </w:r>
      <w:r w:rsidR="009244B4" w:rsidRPr="0009795E">
        <w:rPr>
          <w:rFonts w:eastAsia="Times New Roman" w:cs="Segoe UI"/>
          <w:color w:val="000000"/>
        </w:rPr>
        <w:t xml:space="preserve"> is to provide a conceptual model to assist the Executive Board </w:t>
      </w:r>
      <w:r w:rsidR="00E83943" w:rsidRPr="0009795E">
        <w:rPr>
          <w:rFonts w:eastAsia="Times New Roman" w:cs="Segoe UI"/>
          <w:color w:val="000000"/>
        </w:rPr>
        <w:t xml:space="preserve">in its consideration of </w:t>
      </w:r>
      <w:r w:rsidR="009244B4" w:rsidRPr="0009795E">
        <w:rPr>
          <w:rFonts w:eastAsia="Times New Roman" w:cs="Segoe UI"/>
          <w:color w:val="000000"/>
        </w:rPr>
        <w:t>wh</w:t>
      </w:r>
      <w:r w:rsidR="00971824">
        <w:rPr>
          <w:rFonts w:eastAsia="Times New Roman" w:cs="Segoe UI"/>
          <w:color w:val="000000"/>
        </w:rPr>
        <w:t xml:space="preserve">ich </w:t>
      </w:r>
      <w:r w:rsidR="009244B4" w:rsidRPr="0009795E">
        <w:rPr>
          <w:rFonts w:eastAsia="Times New Roman" w:cs="Segoe UI"/>
          <w:color w:val="000000"/>
        </w:rPr>
        <w:t xml:space="preserve">Institutional Budget </w:t>
      </w:r>
      <w:r w:rsidR="00E83943" w:rsidRPr="0009795E">
        <w:rPr>
          <w:rFonts w:eastAsia="Times New Roman" w:cs="Segoe UI"/>
          <w:color w:val="000000"/>
        </w:rPr>
        <w:t xml:space="preserve">costs should be </w:t>
      </w:r>
      <w:r w:rsidR="009244B4" w:rsidRPr="0009795E">
        <w:rPr>
          <w:rFonts w:eastAsia="Times New Roman" w:cs="Segoe UI"/>
          <w:color w:val="000000"/>
        </w:rPr>
        <w:t xml:space="preserve">funded by core resources vs. those that </w:t>
      </w:r>
      <w:r w:rsidR="00E83943" w:rsidRPr="0009795E">
        <w:rPr>
          <w:rFonts w:eastAsia="Times New Roman" w:cs="Segoe UI"/>
          <w:color w:val="000000"/>
        </w:rPr>
        <w:t>sh</w:t>
      </w:r>
      <w:r w:rsidR="009244B4" w:rsidRPr="0009795E">
        <w:rPr>
          <w:rFonts w:eastAsia="Times New Roman" w:cs="Segoe UI"/>
          <w:color w:val="000000"/>
        </w:rPr>
        <w:t xml:space="preserve">ould be </w:t>
      </w:r>
      <w:r w:rsidR="002B051B" w:rsidRPr="0009795E">
        <w:rPr>
          <w:rFonts w:eastAsia="Times New Roman" w:cs="Segoe UI"/>
          <w:color w:val="000000"/>
        </w:rPr>
        <w:t>charged</w:t>
      </w:r>
      <w:r w:rsidR="009244B4" w:rsidRPr="0009795E">
        <w:rPr>
          <w:rFonts w:eastAsia="Times New Roman" w:cs="Segoe UI"/>
          <w:color w:val="000000"/>
        </w:rPr>
        <w:t xml:space="preserve"> via cost recovery from project</w:t>
      </w:r>
      <w:r w:rsidR="00E83943" w:rsidRPr="0009795E">
        <w:rPr>
          <w:rFonts w:eastAsia="Times New Roman" w:cs="Segoe UI"/>
          <w:color w:val="000000"/>
        </w:rPr>
        <w:t xml:space="preserve"> activities</w:t>
      </w:r>
      <w:r w:rsidR="009244B4" w:rsidRPr="0009795E">
        <w:rPr>
          <w:rFonts w:eastAsia="Times New Roman" w:cs="Segoe UI"/>
          <w:color w:val="000000"/>
        </w:rPr>
        <w:t xml:space="preserve">.  </w:t>
      </w:r>
      <w:r w:rsidR="00E83943" w:rsidRPr="0009795E">
        <w:rPr>
          <w:rFonts w:eastAsia="Times New Roman" w:cs="Segoe UI"/>
          <w:color w:val="000000"/>
        </w:rPr>
        <w:t xml:space="preserve"> The costs could be ‘built’ beginning </w:t>
      </w:r>
      <w:r w:rsidR="00E83943" w:rsidRPr="0009795E">
        <w:rPr>
          <w:rFonts w:eastAsia="Times New Roman" w:cs="Segoe UI"/>
          <w:color w:val="000000"/>
        </w:rPr>
        <w:lastRenderedPageBreak/>
        <w:t>with the most essential activities first</w:t>
      </w:r>
      <w:r w:rsidR="00CC6238">
        <w:rPr>
          <w:rFonts w:eastAsia="Times New Roman" w:cs="Segoe UI"/>
          <w:color w:val="000000"/>
        </w:rPr>
        <w:t>, with</w:t>
      </w:r>
      <w:r w:rsidR="002B051B" w:rsidRPr="0009795E">
        <w:rPr>
          <w:rFonts w:eastAsia="Times New Roman" w:cs="Segoe UI"/>
          <w:color w:val="000000"/>
        </w:rPr>
        <w:t xml:space="preserve"> </w:t>
      </w:r>
      <w:r w:rsidR="00971824">
        <w:rPr>
          <w:rFonts w:eastAsia="Times New Roman" w:cs="Segoe UI"/>
          <w:color w:val="000000"/>
        </w:rPr>
        <w:t>other activities</w:t>
      </w:r>
      <w:r w:rsidR="00CC6238">
        <w:rPr>
          <w:rFonts w:eastAsia="Times New Roman" w:cs="Segoe UI"/>
          <w:color w:val="000000"/>
        </w:rPr>
        <w:t>’</w:t>
      </w:r>
      <w:r w:rsidR="00971824">
        <w:rPr>
          <w:rFonts w:eastAsia="Times New Roman" w:cs="Segoe UI"/>
          <w:color w:val="000000"/>
        </w:rPr>
        <w:t xml:space="preserve"> costs being </w:t>
      </w:r>
      <w:r w:rsidR="002B051B" w:rsidRPr="0009795E">
        <w:rPr>
          <w:rFonts w:eastAsia="Times New Roman" w:cs="Segoe UI"/>
          <w:color w:val="000000"/>
        </w:rPr>
        <w:t>added (with additional blocks).</w:t>
      </w:r>
    </w:p>
    <w:p w14:paraId="7B82E5EA" w14:textId="77777777" w:rsidR="00157A7C" w:rsidRPr="0009795E" w:rsidRDefault="00157A7C" w:rsidP="0009795E">
      <w:pPr>
        <w:ind w:left="720"/>
        <w:rPr>
          <w:rFonts w:ascii="Segoe UI" w:eastAsia="Times New Roman" w:hAnsi="Segoe UI" w:cs="Segoe UI"/>
          <w:color w:val="000000"/>
          <w:highlight w:val="green"/>
        </w:rPr>
      </w:pPr>
    </w:p>
    <w:p w14:paraId="67BB2A15" w14:textId="71B5A4A4" w:rsidR="00FF2342" w:rsidRPr="002613A0" w:rsidRDefault="00024C0C" w:rsidP="00FF2342">
      <w:pPr>
        <w:numPr>
          <w:ilvl w:val="0"/>
          <w:numId w:val="1"/>
        </w:numPr>
        <w:rPr>
          <w:rFonts w:ascii="Segoe UI" w:eastAsia="Times New Roman" w:hAnsi="Segoe UI" w:cs="Segoe UI"/>
          <w:b/>
          <w:i/>
          <w:color w:val="000000"/>
        </w:rPr>
      </w:pPr>
      <w:r w:rsidRPr="002613A0">
        <w:rPr>
          <w:rFonts w:ascii="Calibri" w:eastAsia="Times New Roman" w:hAnsi="Calibri" w:cs="Calibri"/>
          <w:b/>
          <w:i/>
          <w:color w:val="000000"/>
        </w:rPr>
        <w:t>D</w:t>
      </w:r>
      <w:r w:rsidR="00D5166F" w:rsidRPr="002613A0">
        <w:rPr>
          <w:rFonts w:ascii="Calibri" w:eastAsia="Times New Roman" w:hAnsi="Calibri" w:cs="Calibri"/>
          <w:b/>
          <w:i/>
          <w:color w:val="000000"/>
        </w:rPr>
        <w:t xml:space="preserve">o other Funds and </w:t>
      </w:r>
      <w:proofErr w:type="spellStart"/>
      <w:r w:rsidR="00D5166F" w:rsidRPr="002613A0">
        <w:rPr>
          <w:rFonts w:ascii="Calibri" w:eastAsia="Times New Roman" w:hAnsi="Calibri" w:cs="Calibri"/>
          <w:b/>
          <w:i/>
          <w:color w:val="000000"/>
        </w:rPr>
        <w:t>Programmes</w:t>
      </w:r>
      <w:proofErr w:type="spellEnd"/>
      <w:r w:rsidR="00D5166F" w:rsidRPr="002613A0">
        <w:rPr>
          <w:rFonts w:ascii="Calibri" w:eastAsia="Times New Roman" w:hAnsi="Calibri" w:cs="Calibri"/>
          <w:b/>
          <w:i/>
          <w:color w:val="000000"/>
        </w:rPr>
        <w:t xml:space="preserve"> under the 2013 harmonized cost recovery EB </w:t>
      </w:r>
      <w:r w:rsidR="00FF2342" w:rsidRPr="002613A0">
        <w:rPr>
          <w:rFonts w:ascii="Calibri" w:eastAsia="Times New Roman" w:hAnsi="Calibri" w:cs="Calibri"/>
          <w:b/>
          <w:i/>
          <w:color w:val="000000"/>
        </w:rPr>
        <w:t>decision have positive results?  </w:t>
      </w:r>
    </w:p>
    <w:p w14:paraId="124A4D03" w14:textId="77777777" w:rsidR="000575E4" w:rsidRDefault="000575E4" w:rsidP="0009795E">
      <w:pPr>
        <w:ind w:left="720"/>
        <w:rPr>
          <w:rFonts w:ascii="Calibri" w:eastAsia="Times New Roman" w:hAnsi="Calibri" w:cs="Calibri"/>
          <w:color w:val="000000"/>
        </w:rPr>
      </w:pPr>
    </w:p>
    <w:p w14:paraId="47791659" w14:textId="77777777" w:rsidR="000575E4" w:rsidRDefault="000575E4" w:rsidP="0009795E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Below is an overview of the progress made over the 2014-2016 period in the effective average cost recovery rates from the four agencies (source: April/2017 presentation to the Executive Board)</w:t>
      </w:r>
    </w:p>
    <w:p w14:paraId="0B5B3F42" w14:textId="77777777" w:rsidR="000575E4" w:rsidRDefault="000575E4" w:rsidP="0009795E">
      <w:pPr>
        <w:ind w:left="720"/>
        <w:rPr>
          <w:rFonts w:ascii="Calibri" w:eastAsia="Times New Roman" w:hAnsi="Calibri" w:cs="Calibri"/>
          <w:color w:val="000000"/>
        </w:rPr>
      </w:pPr>
    </w:p>
    <w:p w14:paraId="4696822B" w14:textId="77777777" w:rsidR="000575E4" w:rsidRDefault="000575E4" w:rsidP="0009795E">
      <w:pPr>
        <w:ind w:left="720"/>
        <w:rPr>
          <w:rFonts w:ascii="Calibri" w:eastAsia="Times New Roman" w:hAnsi="Calibri" w:cs="Calibri"/>
          <w:color w:val="000000"/>
        </w:rPr>
      </w:pPr>
      <w:r w:rsidRPr="000575E4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C70C407" wp14:editId="4D1D2505">
            <wp:extent cx="4351994" cy="2461985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53938" cy="24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C987F" w14:textId="77777777" w:rsidR="000575E4" w:rsidRDefault="000575E4" w:rsidP="0009795E">
      <w:pPr>
        <w:ind w:left="720"/>
        <w:rPr>
          <w:rFonts w:ascii="Calibri" w:eastAsia="Times New Roman" w:hAnsi="Calibri" w:cs="Calibri"/>
          <w:color w:val="000000"/>
        </w:rPr>
      </w:pPr>
    </w:p>
    <w:p w14:paraId="5942F0B0" w14:textId="77777777" w:rsidR="000575E4" w:rsidRPr="00FF2342" w:rsidRDefault="000575E4" w:rsidP="0009795E">
      <w:pPr>
        <w:ind w:left="720"/>
        <w:rPr>
          <w:rFonts w:ascii="Segoe UI" w:eastAsia="Times New Roman" w:hAnsi="Segoe UI" w:cs="Segoe UI"/>
          <w:color w:val="000000"/>
        </w:rPr>
      </w:pPr>
    </w:p>
    <w:p w14:paraId="71ED6BC8" w14:textId="392F0723" w:rsidR="00FF2342" w:rsidRPr="002613A0" w:rsidRDefault="00024C0C" w:rsidP="00FF2342">
      <w:pPr>
        <w:numPr>
          <w:ilvl w:val="0"/>
          <w:numId w:val="1"/>
        </w:numPr>
        <w:rPr>
          <w:rFonts w:ascii="Segoe UI" w:eastAsia="Times New Roman" w:hAnsi="Segoe UI" w:cs="Segoe UI"/>
          <w:b/>
          <w:i/>
          <w:color w:val="000000"/>
        </w:rPr>
      </w:pPr>
      <w:r w:rsidRPr="002613A0">
        <w:rPr>
          <w:rFonts w:ascii="Calibri" w:eastAsia="Times New Roman" w:hAnsi="Calibri" w:cs="Calibri"/>
          <w:b/>
          <w:i/>
          <w:color w:val="000000"/>
        </w:rPr>
        <w:t>H</w:t>
      </w:r>
      <w:r w:rsidR="00FF2342" w:rsidRPr="002613A0">
        <w:rPr>
          <w:rFonts w:ascii="Calibri" w:eastAsia="Times New Roman" w:hAnsi="Calibri" w:cs="Calibri"/>
          <w:b/>
          <w:i/>
          <w:color w:val="000000"/>
        </w:rPr>
        <w:t>ow does country categorization (</w:t>
      </w:r>
      <w:r w:rsidR="00E83943" w:rsidRPr="002613A0">
        <w:rPr>
          <w:rFonts w:ascii="Calibri" w:eastAsia="Times New Roman" w:hAnsi="Calibri" w:cs="Calibri"/>
          <w:b/>
          <w:i/>
          <w:color w:val="000000"/>
        </w:rPr>
        <w:t xml:space="preserve">e.g., </w:t>
      </w:r>
      <w:r w:rsidR="00FF2342" w:rsidRPr="002613A0">
        <w:rPr>
          <w:rFonts w:ascii="Calibri" w:eastAsia="Times New Roman" w:hAnsi="Calibri" w:cs="Calibri"/>
          <w:b/>
          <w:i/>
          <w:color w:val="000000"/>
        </w:rPr>
        <w:t>graduation to MIC status) affect cost recovery policy</w:t>
      </w:r>
      <w:r w:rsidR="007C2971" w:rsidRPr="002613A0">
        <w:rPr>
          <w:rFonts w:ascii="Calibri" w:eastAsia="Times New Roman" w:hAnsi="Calibri" w:cs="Calibri"/>
          <w:b/>
          <w:i/>
          <w:color w:val="000000"/>
        </w:rPr>
        <w:t xml:space="preserve"> and resources available to MIC</w:t>
      </w:r>
      <w:r w:rsidR="00FF2342" w:rsidRPr="002613A0">
        <w:rPr>
          <w:rFonts w:ascii="Calibri" w:eastAsia="Times New Roman" w:hAnsi="Calibri" w:cs="Calibri"/>
          <w:b/>
          <w:i/>
          <w:color w:val="000000"/>
        </w:rPr>
        <w:t>s?</w:t>
      </w:r>
    </w:p>
    <w:p w14:paraId="3C4CBCF6" w14:textId="77777777" w:rsidR="000575E4" w:rsidRPr="0009795E" w:rsidRDefault="000575E4" w:rsidP="0009795E">
      <w:pPr>
        <w:ind w:left="720"/>
        <w:rPr>
          <w:rFonts w:ascii="Calibri" w:eastAsia="Times New Roman" w:hAnsi="Calibri" w:cs="Calibri"/>
          <w:color w:val="000000"/>
        </w:rPr>
      </w:pPr>
    </w:p>
    <w:p w14:paraId="66F9F305" w14:textId="24BB6C2F" w:rsidR="000575E4" w:rsidRPr="0009795E" w:rsidRDefault="000575E4" w:rsidP="0009795E">
      <w:pPr>
        <w:ind w:left="720"/>
        <w:rPr>
          <w:rFonts w:ascii="Calibri" w:eastAsia="Times New Roman" w:hAnsi="Calibri" w:cs="Calibri"/>
          <w:color w:val="000000"/>
        </w:rPr>
      </w:pPr>
      <w:r w:rsidRPr="0009795E">
        <w:rPr>
          <w:rFonts w:ascii="Calibri" w:eastAsia="Times New Roman" w:hAnsi="Calibri" w:cs="Calibri"/>
          <w:color w:val="000000"/>
        </w:rPr>
        <w:t>Country categorization does not per se affect the application of the cost recovery policy and resources available to MICs.  Cost recovery policy (i.e.</w:t>
      </w:r>
      <w:r w:rsidR="00E83943">
        <w:rPr>
          <w:rFonts w:ascii="Calibri" w:eastAsia="Times New Roman" w:hAnsi="Calibri" w:cs="Calibri"/>
          <w:color w:val="000000"/>
        </w:rPr>
        <w:t>,</w:t>
      </w:r>
      <w:r w:rsidRPr="0009795E">
        <w:rPr>
          <w:rFonts w:ascii="Calibri" w:eastAsia="Times New Roman" w:hAnsi="Calibri" w:cs="Calibri"/>
          <w:color w:val="000000"/>
        </w:rPr>
        <w:t xml:space="preserve"> what rates are charged) is driven by the policies approved by the Executive Board and relates to the funding channel through which contributions are received.</w:t>
      </w:r>
    </w:p>
    <w:p w14:paraId="1DECF5DD" w14:textId="77777777" w:rsidR="000575E4" w:rsidRPr="00FF2342" w:rsidRDefault="000575E4" w:rsidP="0009795E">
      <w:pPr>
        <w:ind w:left="720"/>
        <w:rPr>
          <w:rFonts w:ascii="Segoe UI" w:eastAsia="Times New Roman" w:hAnsi="Segoe UI" w:cs="Segoe UI"/>
          <w:color w:val="000000"/>
          <w:highlight w:val="green"/>
        </w:rPr>
      </w:pPr>
    </w:p>
    <w:p w14:paraId="26A0DA1B" w14:textId="77777777" w:rsidR="00FF2342" w:rsidRPr="002613A0" w:rsidRDefault="00FF2342" w:rsidP="00FF2342">
      <w:pPr>
        <w:numPr>
          <w:ilvl w:val="0"/>
          <w:numId w:val="1"/>
        </w:numPr>
        <w:rPr>
          <w:rFonts w:ascii="Segoe UI" w:eastAsia="Times New Roman" w:hAnsi="Segoe UI" w:cs="Segoe UI"/>
          <w:b/>
          <w:i/>
          <w:color w:val="000000"/>
        </w:rPr>
      </w:pPr>
      <w:r w:rsidRPr="002613A0">
        <w:rPr>
          <w:rFonts w:ascii="Calibri" w:eastAsia="Times New Roman" w:hAnsi="Calibri" w:cs="Calibri"/>
          <w:b/>
          <w:i/>
          <w:color w:val="000000"/>
        </w:rPr>
        <w:t>If core contributions have decreased, why has the cost recovery rate stayed the same?</w:t>
      </w:r>
    </w:p>
    <w:p w14:paraId="03DC07D7" w14:textId="77777777" w:rsidR="00157A7C" w:rsidRPr="0009795E" w:rsidRDefault="00157A7C" w:rsidP="0009795E">
      <w:pPr>
        <w:ind w:left="720"/>
        <w:rPr>
          <w:rFonts w:ascii="Calibri" w:eastAsia="Times New Roman" w:hAnsi="Calibri" w:cs="Calibri"/>
          <w:color w:val="000000"/>
        </w:rPr>
      </w:pPr>
    </w:p>
    <w:p w14:paraId="2B258844" w14:textId="5AE4C817" w:rsidR="00157A7C" w:rsidRPr="0009795E" w:rsidRDefault="00157A7C" w:rsidP="0009795E">
      <w:pPr>
        <w:ind w:left="720"/>
        <w:rPr>
          <w:rFonts w:ascii="Calibri" w:eastAsia="Times New Roman" w:hAnsi="Calibri" w:cs="Calibri"/>
          <w:color w:val="000000"/>
        </w:rPr>
      </w:pPr>
      <w:r w:rsidRPr="0009795E">
        <w:rPr>
          <w:rFonts w:ascii="Calibri" w:eastAsia="Times New Roman" w:hAnsi="Calibri" w:cs="Calibri"/>
          <w:color w:val="000000"/>
        </w:rPr>
        <w:t xml:space="preserve">The effective average cost recovery rate that </w:t>
      </w:r>
      <w:r w:rsidR="00963ADB">
        <w:rPr>
          <w:rFonts w:ascii="Calibri" w:eastAsia="Times New Roman" w:hAnsi="Calibri" w:cs="Calibri"/>
          <w:color w:val="000000"/>
        </w:rPr>
        <w:t xml:space="preserve">UNDP </w:t>
      </w:r>
      <w:r w:rsidRPr="0009795E">
        <w:rPr>
          <w:rFonts w:ascii="Calibri" w:eastAsia="Times New Roman" w:hAnsi="Calibri" w:cs="Calibri"/>
          <w:color w:val="000000"/>
        </w:rPr>
        <w:t xml:space="preserve">has </w:t>
      </w:r>
      <w:r w:rsidR="00963ADB">
        <w:rPr>
          <w:rFonts w:ascii="Calibri" w:eastAsia="Times New Roman" w:hAnsi="Calibri" w:cs="Calibri"/>
          <w:color w:val="000000"/>
        </w:rPr>
        <w:t xml:space="preserve">charged </w:t>
      </w:r>
      <w:r w:rsidRPr="0009795E">
        <w:rPr>
          <w:rFonts w:ascii="Calibri" w:eastAsia="Times New Roman" w:hAnsi="Calibri" w:cs="Calibri"/>
          <w:color w:val="000000"/>
        </w:rPr>
        <w:t xml:space="preserve">over the past three years has </w:t>
      </w:r>
      <w:r w:rsidR="00B67A3C">
        <w:rPr>
          <w:rFonts w:ascii="Calibri" w:eastAsia="Times New Roman" w:hAnsi="Calibri" w:cs="Calibri"/>
          <w:color w:val="000000"/>
        </w:rPr>
        <w:t xml:space="preserve">not stayed the same. It has </w:t>
      </w:r>
      <w:r w:rsidRPr="0009795E">
        <w:rPr>
          <w:rFonts w:ascii="Calibri" w:eastAsia="Times New Roman" w:hAnsi="Calibri" w:cs="Calibri"/>
          <w:color w:val="000000"/>
        </w:rPr>
        <w:t xml:space="preserve">increased from 6.1 per cent in 2014 to 6.4 per cent in 2016. </w:t>
      </w:r>
    </w:p>
    <w:p w14:paraId="59E96547" w14:textId="77777777" w:rsidR="00157A7C" w:rsidRDefault="00157A7C" w:rsidP="0009795E">
      <w:pPr>
        <w:ind w:left="720"/>
        <w:rPr>
          <w:rFonts w:ascii="Segoe UI" w:eastAsia="Times New Roman" w:hAnsi="Segoe UI" w:cs="Segoe UI"/>
          <w:color w:val="000000"/>
          <w:highlight w:val="green"/>
        </w:rPr>
      </w:pPr>
    </w:p>
    <w:p w14:paraId="607A2A8D" w14:textId="77777777" w:rsidR="00D5166F" w:rsidRDefault="00D5166F" w:rsidP="0009795E">
      <w:pPr>
        <w:ind w:left="720"/>
        <w:rPr>
          <w:rFonts w:ascii="Segoe UI" w:eastAsia="Times New Roman" w:hAnsi="Segoe UI" w:cs="Segoe UI"/>
          <w:color w:val="000000"/>
          <w:highlight w:val="green"/>
        </w:rPr>
      </w:pPr>
    </w:p>
    <w:p w14:paraId="49BF508B" w14:textId="77777777" w:rsidR="00D5166F" w:rsidRDefault="00D5166F" w:rsidP="0009795E">
      <w:pPr>
        <w:ind w:left="720"/>
        <w:rPr>
          <w:rFonts w:ascii="Segoe UI" w:eastAsia="Times New Roman" w:hAnsi="Segoe UI" w:cs="Segoe UI"/>
          <w:color w:val="000000"/>
          <w:highlight w:val="green"/>
        </w:rPr>
      </w:pPr>
    </w:p>
    <w:p w14:paraId="4B81BEDC" w14:textId="77777777" w:rsidR="00D5166F" w:rsidRDefault="00D5166F" w:rsidP="0009795E">
      <w:pPr>
        <w:ind w:left="720"/>
        <w:rPr>
          <w:rFonts w:ascii="Segoe UI" w:eastAsia="Times New Roman" w:hAnsi="Segoe UI" w:cs="Segoe UI"/>
          <w:color w:val="000000"/>
          <w:highlight w:val="green"/>
        </w:rPr>
      </w:pPr>
    </w:p>
    <w:p w14:paraId="5C31AB0C" w14:textId="77777777" w:rsidR="007C2971" w:rsidRPr="00FF2342" w:rsidRDefault="007C2971" w:rsidP="0009795E">
      <w:pPr>
        <w:ind w:left="720"/>
        <w:rPr>
          <w:rFonts w:ascii="Segoe UI" w:eastAsia="Times New Roman" w:hAnsi="Segoe UI" w:cs="Segoe UI"/>
          <w:color w:val="000000"/>
          <w:highlight w:val="green"/>
        </w:rPr>
      </w:pPr>
    </w:p>
    <w:p w14:paraId="35B5E45D" w14:textId="09C97EE8" w:rsidR="00FF2342" w:rsidRPr="002613A0" w:rsidRDefault="00591884" w:rsidP="0009795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000000"/>
        </w:rPr>
      </w:pPr>
      <w:r w:rsidRPr="002613A0">
        <w:rPr>
          <w:rFonts w:ascii="Calibri" w:eastAsia="Times New Roman" w:hAnsi="Calibri" w:cs="Calibri"/>
          <w:b/>
          <w:i/>
          <w:color w:val="000000"/>
        </w:rPr>
        <w:lastRenderedPageBreak/>
        <w:t xml:space="preserve">What </w:t>
      </w:r>
      <w:r w:rsidR="006C33EE" w:rsidRPr="002613A0">
        <w:rPr>
          <w:rFonts w:ascii="Calibri" w:eastAsia="Times New Roman" w:hAnsi="Calibri" w:cs="Calibri"/>
          <w:b/>
          <w:i/>
          <w:color w:val="000000"/>
        </w:rPr>
        <w:t xml:space="preserve">are </w:t>
      </w:r>
      <w:r w:rsidR="00FF2342" w:rsidRPr="002613A0">
        <w:rPr>
          <w:rFonts w:ascii="Calibri" w:eastAsia="Times New Roman" w:hAnsi="Calibri" w:cs="Calibri"/>
          <w:b/>
          <w:i/>
          <w:color w:val="000000"/>
        </w:rPr>
        <w:t>the definition</w:t>
      </w:r>
      <w:r w:rsidR="006C33EE" w:rsidRPr="002613A0">
        <w:rPr>
          <w:rFonts w:ascii="Calibri" w:eastAsia="Times New Roman" w:hAnsi="Calibri" w:cs="Calibri"/>
          <w:b/>
          <w:i/>
          <w:color w:val="000000"/>
        </w:rPr>
        <w:t>s</w:t>
      </w:r>
      <w:r w:rsidR="00FF2342" w:rsidRPr="002613A0">
        <w:rPr>
          <w:rFonts w:ascii="Calibri" w:eastAsia="Times New Roman" w:hAnsi="Calibri" w:cs="Calibri"/>
          <w:b/>
          <w:i/>
          <w:color w:val="000000"/>
        </w:rPr>
        <w:t xml:space="preserve"> of</w:t>
      </w:r>
      <w:r w:rsidR="006C33EE" w:rsidRPr="002613A0">
        <w:rPr>
          <w:rFonts w:ascii="Calibri" w:eastAsia="Times New Roman" w:hAnsi="Calibri" w:cs="Calibri"/>
          <w:b/>
          <w:i/>
          <w:color w:val="000000"/>
        </w:rPr>
        <w:t>: (</w:t>
      </w:r>
      <w:proofErr w:type="spellStart"/>
      <w:r w:rsidR="006C33EE" w:rsidRPr="002613A0">
        <w:rPr>
          <w:rFonts w:ascii="Calibri" w:eastAsia="Times New Roman" w:hAnsi="Calibri" w:cs="Calibri"/>
          <w:b/>
          <w:i/>
          <w:color w:val="000000"/>
        </w:rPr>
        <w:t>i</w:t>
      </w:r>
      <w:proofErr w:type="spellEnd"/>
      <w:r w:rsidR="006C33EE" w:rsidRPr="002613A0">
        <w:rPr>
          <w:rFonts w:ascii="Calibri" w:eastAsia="Times New Roman" w:hAnsi="Calibri" w:cs="Calibri"/>
          <w:b/>
          <w:i/>
          <w:color w:val="000000"/>
        </w:rPr>
        <w:t xml:space="preserve">) </w:t>
      </w:r>
      <w:r w:rsidR="00FF2342" w:rsidRPr="002613A0">
        <w:rPr>
          <w:rFonts w:ascii="Calibri" w:eastAsia="Times New Roman" w:hAnsi="Calibri" w:cs="Calibri"/>
          <w:b/>
          <w:i/>
          <w:color w:val="000000"/>
        </w:rPr>
        <w:t>cost recovery</w:t>
      </w:r>
      <w:r w:rsidR="006C33EE" w:rsidRPr="002613A0">
        <w:rPr>
          <w:rFonts w:ascii="Calibri" w:eastAsia="Times New Roman" w:hAnsi="Calibri" w:cs="Calibri"/>
          <w:b/>
          <w:i/>
          <w:color w:val="000000"/>
        </w:rPr>
        <w:t>; (</w:t>
      </w:r>
      <w:r w:rsidRPr="002613A0">
        <w:rPr>
          <w:rFonts w:ascii="Calibri" w:eastAsia="Times New Roman" w:hAnsi="Calibri" w:cs="Calibri"/>
          <w:b/>
          <w:i/>
          <w:color w:val="000000"/>
        </w:rPr>
        <w:t>ii</w:t>
      </w:r>
      <w:r w:rsidR="006C33EE" w:rsidRPr="002613A0">
        <w:rPr>
          <w:rFonts w:ascii="Calibri" w:eastAsia="Times New Roman" w:hAnsi="Calibri" w:cs="Calibri"/>
          <w:b/>
          <w:i/>
          <w:color w:val="000000"/>
        </w:rPr>
        <w:t>) indirect costs; and (</w:t>
      </w:r>
      <w:r w:rsidRPr="002613A0">
        <w:rPr>
          <w:rFonts w:ascii="Calibri" w:eastAsia="Times New Roman" w:hAnsi="Calibri" w:cs="Calibri"/>
          <w:b/>
          <w:i/>
          <w:color w:val="000000"/>
        </w:rPr>
        <w:t>iii</w:t>
      </w:r>
      <w:r w:rsidR="006C33EE" w:rsidRPr="002613A0">
        <w:rPr>
          <w:rFonts w:ascii="Calibri" w:eastAsia="Times New Roman" w:hAnsi="Calibri" w:cs="Calibri"/>
          <w:b/>
          <w:i/>
          <w:color w:val="000000"/>
        </w:rPr>
        <w:t>) direct costs?</w:t>
      </w:r>
      <w:r w:rsidRPr="002613A0">
        <w:rPr>
          <w:rFonts w:ascii="Calibri" w:eastAsia="Times New Roman" w:hAnsi="Calibri" w:cs="Calibri"/>
          <w:b/>
          <w:i/>
          <w:color w:val="000000"/>
        </w:rPr>
        <w:t xml:space="preserve"> </w:t>
      </w:r>
    </w:p>
    <w:p w14:paraId="1E069C6D" w14:textId="77777777" w:rsidR="006C33EE" w:rsidRPr="0009795E" w:rsidRDefault="006C33EE" w:rsidP="0009795E">
      <w:pPr>
        <w:rPr>
          <w:rFonts w:ascii="Calibri" w:eastAsia="Times New Roman" w:hAnsi="Calibri" w:cs="Calibri"/>
          <w:color w:val="000000"/>
        </w:rPr>
      </w:pPr>
    </w:p>
    <w:p w14:paraId="7EABD6DD" w14:textId="12EDBD67" w:rsidR="006C33EE" w:rsidRPr="0009795E" w:rsidRDefault="00E83943" w:rsidP="0009795E">
      <w:pPr>
        <w:ind w:left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chart below </w:t>
      </w:r>
      <w:r w:rsidR="006C33EE" w:rsidRPr="00BE64B2">
        <w:rPr>
          <w:rFonts w:ascii="Calibri" w:eastAsia="Times New Roman" w:hAnsi="Calibri" w:cs="Calibri"/>
          <w:color w:val="000000"/>
        </w:rPr>
        <w:t xml:space="preserve">illustrates </w:t>
      </w:r>
      <w:r w:rsidR="00963ADB">
        <w:rPr>
          <w:rFonts w:ascii="Calibri" w:eastAsia="Times New Roman" w:hAnsi="Calibri" w:cs="Calibri"/>
          <w:color w:val="000000"/>
        </w:rPr>
        <w:t xml:space="preserve">and defines </w:t>
      </w:r>
      <w:r w:rsidR="006C33EE" w:rsidRPr="00BE64B2">
        <w:rPr>
          <w:rFonts w:ascii="Calibri" w:eastAsia="Times New Roman" w:hAnsi="Calibri" w:cs="Calibri"/>
          <w:color w:val="000000"/>
        </w:rPr>
        <w:t xml:space="preserve">the </w:t>
      </w:r>
      <w:r>
        <w:rPr>
          <w:rFonts w:ascii="Calibri" w:eastAsia="Times New Roman" w:hAnsi="Calibri" w:cs="Calibri"/>
          <w:color w:val="000000"/>
        </w:rPr>
        <w:t>relationship</w:t>
      </w:r>
      <w:r w:rsidR="006C33EE" w:rsidRPr="00BE64B2">
        <w:rPr>
          <w:rFonts w:ascii="Calibri" w:eastAsia="Times New Roman" w:hAnsi="Calibri" w:cs="Calibri"/>
          <w:color w:val="000000"/>
        </w:rPr>
        <w:t xml:space="preserve"> </w:t>
      </w:r>
      <w:r w:rsidR="008D7973">
        <w:rPr>
          <w:rFonts w:ascii="Calibri" w:eastAsia="Times New Roman" w:hAnsi="Calibri" w:cs="Calibri"/>
          <w:color w:val="000000"/>
        </w:rPr>
        <w:t>among</w:t>
      </w:r>
      <w:r w:rsidR="006C33EE" w:rsidRPr="00BE64B2">
        <w:rPr>
          <w:rFonts w:ascii="Calibri" w:eastAsia="Times New Roman" w:hAnsi="Calibri" w:cs="Calibri"/>
          <w:color w:val="000000"/>
        </w:rPr>
        <w:t xml:space="preserve"> cost recovery, </w:t>
      </w:r>
      <w:r w:rsidR="00963ADB">
        <w:rPr>
          <w:rFonts w:ascii="Calibri" w:eastAsia="Times New Roman" w:hAnsi="Calibri" w:cs="Calibri"/>
          <w:color w:val="000000"/>
        </w:rPr>
        <w:t>in</w:t>
      </w:r>
      <w:r w:rsidR="006C33EE" w:rsidRPr="00BE64B2">
        <w:rPr>
          <w:rFonts w:ascii="Calibri" w:eastAsia="Times New Roman" w:hAnsi="Calibri" w:cs="Calibri"/>
          <w:color w:val="000000"/>
        </w:rPr>
        <w:t>direct costs and direct costs.</w:t>
      </w:r>
      <w:r w:rsidR="006C33EE" w:rsidRPr="006C33EE">
        <w:rPr>
          <w:rFonts w:ascii="Calibri" w:eastAsia="Times New Roman" w:hAnsi="Calibri" w:cs="Calibri"/>
          <w:color w:val="000000"/>
        </w:rPr>
        <w:t xml:space="preserve"> </w:t>
      </w:r>
    </w:p>
    <w:p w14:paraId="215ED140" w14:textId="796992F7" w:rsidR="006C33EE" w:rsidRDefault="008A308A" w:rsidP="0009795E">
      <w:pPr>
        <w:rPr>
          <w:rFonts w:ascii="Calibri" w:eastAsia="Times New Roman" w:hAnsi="Calibri" w:cs="Calibri"/>
          <w:color w:val="000000"/>
          <w:highlight w:val="green"/>
        </w:rPr>
      </w:pPr>
      <w:r w:rsidRPr="00B67A3C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8409961" wp14:editId="7BA9019A">
            <wp:simplePos x="0" y="0"/>
            <wp:positionH relativeFrom="column">
              <wp:posOffset>266700</wp:posOffset>
            </wp:positionH>
            <wp:positionV relativeFrom="paragraph">
              <wp:posOffset>150495</wp:posOffset>
            </wp:positionV>
            <wp:extent cx="5305425" cy="3077708"/>
            <wp:effectExtent l="0" t="0" r="0" b="8890"/>
            <wp:wrapTight wrapText="bothSides">
              <wp:wrapPolygon edited="0">
                <wp:start x="0" y="0"/>
                <wp:lineTo x="0" y="21529"/>
                <wp:lineTo x="21484" y="21529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077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ACC31" w14:textId="7F22E9A0" w:rsidR="00B67A3C" w:rsidRDefault="00B67A3C" w:rsidP="0009795E">
      <w:pPr>
        <w:rPr>
          <w:rFonts w:ascii="Calibri" w:eastAsia="Times New Roman" w:hAnsi="Calibri" w:cs="Calibri"/>
          <w:color w:val="000000"/>
          <w:highlight w:val="green"/>
        </w:rPr>
      </w:pPr>
    </w:p>
    <w:p w14:paraId="4600FAF5" w14:textId="2EA86F6F" w:rsidR="00963ADB" w:rsidRPr="00640E75" w:rsidRDefault="00963ADB" w:rsidP="00963ADB">
      <w:pPr>
        <w:ind w:left="360"/>
        <w:rPr>
          <w:rFonts w:ascii="Calibri" w:eastAsia="Times New Roman" w:hAnsi="Calibri" w:cs="Calibri"/>
          <w:color w:val="000000"/>
        </w:rPr>
      </w:pPr>
      <w:r w:rsidRPr="00226CC3">
        <w:rPr>
          <w:rFonts w:ascii="Calibri" w:eastAsia="Times New Roman" w:hAnsi="Calibri" w:cs="Calibri"/>
          <w:color w:val="000000"/>
          <w:u w:val="single"/>
        </w:rPr>
        <w:t>Note</w:t>
      </w:r>
      <w:r w:rsidRPr="00640E75">
        <w:rPr>
          <w:rFonts w:ascii="Calibri" w:eastAsia="Times New Roman" w:hAnsi="Calibri" w:cs="Calibri"/>
          <w:color w:val="000000"/>
        </w:rPr>
        <w:t>:  This information was included in the February 2017 presentation by the four agencies to the joint Executive Boards.</w:t>
      </w:r>
    </w:p>
    <w:p w14:paraId="2028445A" w14:textId="77777777" w:rsidR="00024C0C" w:rsidRDefault="00024C0C" w:rsidP="0009795E">
      <w:pPr>
        <w:rPr>
          <w:rFonts w:ascii="Calibri" w:eastAsia="Times New Roman" w:hAnsi="Calibri" w:cs="Calibri"/>
          <w:color w:val="000000"/>
          <w:highlight w:val="green"/>
        </w:rPr>
      </w:pPr>
    </w:p>
    <w:p w14:paraId="36822685" w14:textId="77777777" w:rsidR="00E83943" w:rsidRDefault="00E83943" w:rsidP="0009795E">
      <w:pPr>
        <w:rPr>
          <w:rFonts w:ascii="Calibri" w:eastAsia="Times New Roman" w:hAnsi="Calibri" w:cs="Calibri"/>
          <w:color w:val="000000"/>
        </w:rPr>
      </w:pPr>
    </w:p>
    <w:p w14:paraId="3BE1253D" w14:textId="23A64095" w:rsidR="00591884" w:rsidRPr="00226CC3" w:rsidRDefault="00591884" w:rsidP="000979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color w:val="000000"/>
        </w:rPr>
      </w:pPr>
      <w:r w:rsidRPr="00226CC3">
        <w:rPr>
          <w:rFonts w:ascii="Calibri" w:eastAsia="Times New Roman" w:hAnsi="Calibri" w:cs="Calibri"/>
          <w:b/>
          <w:i/>
          <w:color w:val="000000"/>
        </w:rPr>
        <w:t>What are the definitions of GMS and DPC?</w:t>
      </w:r>
    </w:p>
    <w:p w14:paraId="475E6003" w14:textId="77777777" w:rsidR="00591884" w:rsidRDefault="00591884" w:rsidP="0009795E">
      <w:pPr>
        <w:rPr>
          <w:rFonts w:ascii="Calibri" w:eastAsia="Times New Roman" w:hAnsi="Calibri" w:cs="Calibri"/>
          <w:color w:val="000000"/>
        </w:rPr>
      </w:pPr>
    </w:p>
    <w:p w14:paraId="0A963E8A" w14:textId="77777777" w:rsidR="00591884" w:rsidRDefault="00591884" w:rsidP="0009795E">
      <w:pPr>
        <w:rPr>
          <w:rFonts w:ascii="Calibri" w:eastAsia="Times New Roman" w:hAnsi="Calibri" w:cs="Calibri"/>
          <w:color w:val="000000"/>
        </w:rPr>
      </w:pPr>
    </w:p>
    <w:p w14:paraId="43D2EE49" w14:textId="2A845530" w:rsidR="00024C0C" w:rsidRPr="0009795E" w:rsidRDefault="00963ADB" w:rsidP="0009795E">
      <w:pPr>
        <w:ind w:left="360"/>
        <w:rPr>
          <w:rFonts w:ascii="Calibri" w:eastAsia="Times New Roman" w:hAnsi="Calibri" w:cs="Calibri"/>
          <w:color w:val="000000"/>
        </w:rPr>
      </w:pPr>
      <w:r w:rsidRPr="0009795E">
        <w:rPr>
          <w:rFonts w:ascii="Calibri" w:eastAsia="Times New Roman" w:hAnsi="Calibri" w:cs="Calibri"/>
          <w:color w:val="000000"/>
        </w:rPr>
        <w:t xml:space="preserve">The </w:t>
      </w:r>
      <w:r w:rsidR="00591884">
        <w:rPr>
          <w:rFonts w:ascii="Calibri" w:eastAsia="Times New Roman" w:hAnsi="Calibri" w:cs="Calibri"/>
          <w:color w:val="000000"/>
        </w:rPr>
        <w:t xml:space="preserve">nature of </w:t>
      </w:r>
      <w:r w:rsidR="00024C0C" w:rsidRPr="0009795E">
        <w:rPr>
          <w:rFonts w:ascii="Calibri" w:eastAsia="Times New Roman" w:hAnsi="Calibri" w:cs="Calibri"/>
          <w:b/>
          <w:color w:val="000000"/>
        </w:rPr>
        <w:t xml:space="preserve">GMS </w:t>
      </w:r>
      <w:r w:rsidR="00024C0C">
        <w:rPr>
          <w:rFonts w:ascii="Calibri" w:eastAsia="Times New Roman" w:hAnsi="Calibri" w:cs="Calibri"/>
          <w:color w:val="000000"/>
        </w:rPr>
        <w:t>(General Management Services)</w:t>
      </w:r>
      <w:r w:rsidR="00024C0C" w:rsidRPr="0009795E">
        <w:rPr>
          <w:rFonts w:ascii="Calibri" w:eastAsia="Times New Roman" w:hAnsi="Calibri" w:cs="Calibri"/>
          <w:color w:val="000000"/>
        </w:rPr>
        <w:t xml:space="preserve"> and </w:t>
      </w:r>
      <w:r w:rsidR="00024C0C" w:rsidRPr="0009795E">
        <w:rPr>
          <w:rFonts w:ascii="Calibri" w:eastAsia="Times New Roman" w:hAnsi="Calibri" w:cs="Calibri"/>
          <w:b/>
          <w:color w:val="000000"/>
        </w:rPr>
        <w:t>DPC</w:t>
      </w:r>
      <w:r w:rsidR="00024C0C">
        <w:rPr>
          <w:rFonts w:ascii="Calibri" w:eastAsia="Times New Roman" w:hAnsi="Calibri" w:cs="Calibri"/>
          <w:color w:val="000000"/>
        </w:rPr>
        <w:t xml:space="preserve"> (Direct Project Costs)</w:t>
      </w:r>
      <w:r w:rsidR="00E83943">
        <w:rPr>
          <w:rFonts w:ascii="Calibri" w:eastAsia="Times New Roman" w:hAnsi="Calibri" w:cs="Calibri"/>
          <w:color w:val="000000"/>
        </w:rPr>
        <w:t xml:space="preserve"> a</w:t>
      </w:r>
      <w:r w:rsidR="00591884">
        <w:rPr>
          <w:rFonts w:ascii="Calibri" w:eastAsia="Times New Roman" w:hAnsi="Calibri" w:cs="Calibri"/>
          <w:color w:val="000000"/>
        </w:rPr>
        <w:t xml:space="preserve">nd the types of expenses </w:t>
      </w:r>
      <w:r w:rsidR="00B11042">
        <w:rPr>
          <w:rFonts w:ascii="Calibri" w:eastAsia="Times New Roman" w:hAnsi="Calibri" w:cs="Calibri"/>
          <w:color w:val="000000"/>
        </w:rPr>
        <w:t xml:space="preserve">categorized </w:t>
      </w:r>
      <w:r w:rsidR="00591884">
        <w:rPr>
          <w:rFonts w:ascii="Calibri" w:eastAsia="Times New Roman" w:hAnsi="Calibri" w:cs="Calibri"/>
          <w:color w:val="000000"/>
        </w:rPr>
        <w:t>under each a</w:t>
      </w:r>
      <w:r w:rsidR="00E83943">
        <w:rPr>
          <w:rFonts w:ascii="Calibri" w:eastAsia="Times New Roman" w:hAnsi="Calibri" w:cs="Calibri"/>
          <w:color w:val="000000"/>
        </w:rPr>
        <w:t>re in the table below</w:t>
      </w:r>
      <w:r w:rsidR="00024C0C">
        <w:rPr>
          <w:rFonts w:ascii="Calibri" w:eastAsia="Times New Roman" w:hAnsi="Calibri" w:cs="Calibri"/>
          <w:color w:val="000000"/>
        </w:rPr>
        <w:t>:</w:t>
      </w:r>
      <w:r w:rsidR="00024C0C" w:rsidRPr="0009795E">
        <w:rPr>
          <w:rFonts w:ascii="Calibri" w:eastAsia="Times New Roman" w:hAnsi="Calibri" w:cs="Calibri"/>
          <w:color w:val="000000"/>
        </w:rPr>
        <w:t xml:space="preserve"> </w:t>
      </w:r>
    </w:p>
    <w:p w14:paraId="0E0C4C33" w14:textId="77777777" w:rsidR="00024C0C" w:rsidRDefault="00024C0C" w:rsidP="0009795E">
      <w:pPr>
        <w:rPr>
          <w:rFonts w:ascii="Calibri" w:eastAsia="Times New Roman" w:hAnsi="Calibri" w:cs="Calibri"/>
          <w:color w:val="000000"/>
          <w:highlight w:val="green"/>
        </w:rPr>
      </w:pPr>
    </w:p>
    <w:p w14:paraId="08D406AA" w14:textId="77777777" w:rsidR="00024C0C" w:rsidRDefault="00024C0C" w:rsidP="0009795E">
      <w:pPr>
        <w:rPr>
          <w:rFonts w:ascii="Calibri" w:eastAsia="Times New Roman" w:hAnsi="Calibri" w:cs="Calibri"/>
          <w:color w:val="000000"/>
          <w:highlight w:val="green"/>
        </w:rPr>
      </w:pPr>
      <w:r w:rsidRPr="00024C0C">
        <w:rPr>
          <w:rFonts w:ascii="Calibri" w:eastAsia="Times New Roman" w:hAnsi="Calibri" w:cs="Calibri"/>
          <w:noProof/>
          <w:color w:val="000000"/>
        </w:rPr>
        <w:lastRenderedPageBreak/>
        <w:drawing>
          <wp:inline distT="0" distB="0" distL="0" distR="0" wp14:anchorId="3F75CC62" wp14:editId="1460E0B3">
            <wp:extent cx="5600700" cy="4295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2DB00" w14:textId="77777777" w:rsidR="000D4D0C" w:rsidRPr="00226CC3" w:rsidRDefault="000D4D0C" w:rsidP="0009795E">
      <w:pPr>
        <w:pStyle w:val="ListParagraph"/>
        <w:numPr>
          <w:ilvl w:val="0"/>
          <w:numId w:val="1"/>
        </w:numPr>
        <w:rPr>
          <w:rFonts w:eastAsia="Times New Roman" w:cs="Times New Roman"/>
          <w:b/>
          <w:i/>
          <w:color w:val="000000"/>
        </w:rPr>
      </w:pPr>
      <w:r w:rsidRPr="00226CC3">
        <w:rPr>
          <w:rFonts w:eastAsia="Times New Roman" w:cs="Times New Roman"/>
          <w:b/>
          <w:i/>
          <w:color w:val="000000"/>
        </w:rPr>
        <w:t xml:space="preserve"> What is the definition of GLOC?</w:t>
      </w:r>
    </w:p>
    <w:p w14:paraId="7A5D039B" w14:textId="77777777" w:rsidR="000D4D0C" w:rsidRPr="0009795E" w:rsidRDefault="000D4D0C" w:rsidP="0009795E">
      <w:pPr>
        <w:ind w:left="360"/>
        <w:rPr>
          <w:rFonts w:eastAsia="Times New Roman" w:cs="Times New Roman"/>
          <w:color w:val="000000"/>
        </w:rPr>
      </w:pPr>
    </w:p>
    <w:p w14:paraId="76FECA1B" w14:textId="3BC4C795" w:rsidR="00024C0C" w:rsidRPr="0009795E" w:rsidRDefault="00024C0C" w:rsidP="0009795E">
      <w:pPr>
        <w:ind w:left="360"/>
        <w:rPr>
          <w:rFonts w:eastAsia="Times New Roman" w:cs="Times New Roman"/>
          <w:color w:val="000000"/>
        </w:rPr>
      </w:pPr>
      <w:r w:rsidRPr="0009795E">
        <w:rPr>
          <w:rFonts w:eastAsia="Times New Roman" w:cs="Times New Roman"/>
          <w:b/>
          <w:color w:val="000000"/>
        </w:rPr>
        <w:t>GLOC</w:t>
      </w:r>
      <w:r w:rsidRPr="0009795E">
        <w:rPr>
          <w:rFonts w:eastAsia="Times New Roman" w:cs="Times New Roman"/>
          <w:color w:val="000000"/>
        </w:rPr>
        <w:t xml:space="preserve"> is an abbreviation for ‘Government Local Office </w:t>
      </w:r>
      <w:r w:rsidR="00963ADB" w:rsidRPr="0009795E">
        <w:rPr>
          <w:rFonts w:eastAsia="Times New Roman" w:cs="Times New Roman"/>
          <w:color w:val="000000"/>
        </w:rPr>
        <w:t>C</w:t>
      </w:r>
      <w:r w:rsidRPr="0009795E">
        <w:rPr>
          <w:rFonts w:eastAsia="Times New Roman" w:cs="Times New Roman"/>
          <w:color w:val="000000"/>
        </w:rPr>
        <w:t>ost Contributions</w:t>
      </w:r>
      <w:r w:rsidR="00B203F0">
        <w:rPr>
          <w:rFonts w:eastAsia="Times New Roman" w:cs="Times New Roman"/>
          <w:color w:val="000000"/>
        </w:rPr>
        <w:t>.’</w:t>
      </w:r>
      <w:r w:rsidRPr="0009795E">
        <w:rPr>
          <w:rFonts w:eastAsia="Times New Roman" w:cs="Times New Roman"/>
          <w:color w:val="000000"/>
        </w:rPr>
        <w:t xml:space="preserve"> It </w:t>
      </w:r>
      <w:r w:rsidR="00963ADB" w:rsidRPr="0009795E">
        <w:rPr>
          <w:rFonts w:eastAsia="Times New Roman" w:cs="Times New Roman"/>
          <w:color w:val="000000"/>
        </w:rPr>
        <w:t>is defined as contributions (in</w:t>
      </w:r>
      <w:r w:rsidRPr="0009795E">
        <w:rPr>
          <w:rFonts w:eastAsia="Times New Roman" w:cs="Times New Roman"/>
          <w:color w:val="000000"/>
        </w:rPr>
        <w:t xml:space="preserve"> cash or in-kind</w:t>
      </w:r>
      <w:r w:rsidR="00963ADB" w:rsidRPr="0009795E">
        <w:rPr>
          <w:rFonts w:eastAsia="Times New Roman" w:cs="Times New Roman"/>
          <w:color w:val="000000"/>
        </w:rPr>
        <w:t>) from</w:t>
      </w:r>
      <w:r w:rsidRPr="0009795E">
        <w:rPr>
          <w:rFonts w:eastAsia="Times New Roman" w:cs="Times New Roman"/>
          <w:color w:val="000000"/>
        </w:rPr>
        <w:t xml:space="preserve"> </w:t>
      </w:r>
      <w:proofErr w:type="spellStart"/>
      <w:r w:rsidRPr="0009795E">
        <w:rPr>
          <w:rFonts w:eastAsia="Times New Roman" w:cs="Times New Roman"/>
          <w:color w:val="000000"/>
        </w:rPr>
        <w:t>programme</w:t>
      </w:r>
      <w:proofErr w:type="spellEnd"/>
      <w:r w:rsidRPr="0009795E">
        <w:rPr>
          <w:rFonts w:eastAsia="Times New Roman" w:cs="Times New Roman"/>
          <w:color w:val="000000"/>
        </w:rPr>
        <w:t xml:space="preserve"> governments to offset the cost of UNDP’s </w:t>
      </w:r>
      <w:r w:rsidR="00963ADB" w:rsidRPr="0009795E">
        <w:rPr>
          <w:rFonts w:eastAsia="Times New Roman" w:cs="Times New Roman"/>
          <w:color w:val="000000"/>
        </w:rPr>
        <w:t xml:space="preserve">local office </w:t>
      </w:r>
      <w:r w:rsidRPr="0009795E">
        <w:rPr>
          <w:rFonts w:eastAsia="Times New Roman" w:cs="Times New Roman"/>
          <w:color w:val="000000"/>
        </w:rPr>
        <w:t xml:space="preserve">presence in the respective </w:t>
      </w:r>
      <w:proofErr w:type="spellStart"/>
      <w:r w:rsidRPr="0009795E">
        <w:rPr>
          <w:rFonts w:eastAsia="Times New Roman" w:cs="Times New Roman"/>
          <w:color w:val="000000"/>
        </w:rPr>
        <w:t>programme</w:t>
      </w:r>
      <w:proofErr w:type="spellEnd"/>
      <w:r w:rsidRPr="0009795E">
        <w:rPr>
          <w:rFonts w:eastAsia="Times New Roman" w:cs="Times New Roman"/>
          <w:color w:val="000000"/>
        </w:rPr>
        <w:t xml:space="preserve"> country.</w:t>
      </w:r>
    </w:p>
    <w:p w14:paraId="35EAA9A3" w14:textId="6DC54BB4" w:rsidR="00024C0C" w:rsidRPr="00FF2342" w:rsidRDefault="00024C0C" w:rsidP="0009795E">
      <w:pPr>
        <w:ind w:left="720"/>
        <w:rPr>
          <w:rFonts w:ascii="Segoe UI" w:eastAsia="Times New Roman" w:hAnsi="Segoe UI" w:cs="Segoe UI"/>
          <w:color w:val="000000"/>
          <w:highlight w:val="yellow"/>
        </w:rPr>
      </w:pPr>
    </w:p>
    <w:p w14:paraId="6CD78B52" w14:textId="4471B5BD" w:rsidR="004B27E2" w:rsidRPr="00226CC3" w:rsidRDefault="00FF2342" w:rsidP="0009795E">
      <w:pPr>
        <w:numPr>
          <w:ilvl w:val="0"/>
          <w:numId w:val="1"/>
        </w:numPr>
        <w:rPr>
          <w:rFonts w:ascii="Segoe UI" w:eastAsia="Times New Roman" w:hAnsi="Segoe UI" w:cs="Segoe UI"/>
          <w:b/>
          <w:i/>
          <w:color w:val="000000"/>
        </w:rPr>
      </w:pPr>
      <w:r w:rsidRPr="00226CC3">
        <w:rPr>
          <w:rFonts w:ascii="Calibri" w:eastAsia="Times New Roman" w:hAnsi="Calibri" w:cs="Calibri"/>
          <w:b/>
          <w:i/>
          <w:color w:val="000000"/>
        </w:rPr>
        <w:t xml:space="preserve">What is a GMS </w:t>
      </w:r>
      <w:r w:rsidR="004B27E2" w:rsidRPr="00226CC3">
        <w:rPr>
          <w:rFonts w:ascii="Calibri" w:eastAsia="Times New Roman" w:hAnsi="Calibri" w:cs="Calibri"/>
          <w:b/>
          <w:i/>
          <w:color w:val="000000"/>
        </w:rPr>
        <w:t xml:space="preserve">(cost recovery) </w:t>
      </w:r>
      <w:r w:rsidRPr="00226CC3">
        <w:rPr>
          <w:rFonts w:ascii="Calibri" w:eastAsia="Times New Roman" w:hAnsi="Calibri" w:cs="Calibri"/>
          <w:b/>
          <w:i/>
          <w:color w:val="000000"/>
        </w:rPr>
        <w:t>waiver?</w:t>
      </w:r>
      <w:r w:rsidR="004B27E2" w:rsidRPr="00226CC3">
        <w:rPr>
          <w:rFonts w:ascii="Calibri" w:eastAsia="Times New Roman" w:hAnsi="Calibri" w:cs="Calibri"/>
          <w:b/>
          <w:i/>
          <w:color w:val="000000"/>
        </w:rPr>
        <w:t xml:space="preserve"> </w:t>
      </w:r>
      <w:r w:rsidR="00A8581A" w:rsidRPr="00226CC3">
        <w:rPr>
          <w:rFonts w:ascii="Calibri" w:eastAsia="Times New Roman" w:hAnsi="Calibri" w:cs="Calibri"/>
          <w:b/>
          <w:i/>
          <w:color w:val="000000"/>
        </w:rPr>
        <w:t>D</w:t>
      </w:r>
      <w:r w:rsidR="004B27E2" w:rsidRPr="00226CC3">
        <w:rPr>
          <w:rFonts w:ascii="Calibri" w:eastAsia="Times New Roman" w:hAnsi="Calibri" w:cs="Calibri"/>
          <w:b/>
          <w:i/>
          <w:color w:val="000000"/>
        </w:rPr>
        <w:t>oes UNDP still approve waivers</w:t>
      </w:r>
      <w:r w:rsidR="001E38AF" w:rsidRPr="00226CC3">
        <w:rPr>
          <w:rFonts w:ascii="Calibri" w:eastAsia="Times New Roman" w:hAnsi="Calibri" w:cs="Calibri"/>
          <w:b/>
          <w:i/>
          <w:color w:val="000000"/>
        </w:rPr>
        <w:t>?</w:t>
      </w:r>
      <w:r w:rsidR="004B27E2" w:rsidRPr="00226CC3">
        <w:rPr>
          <w:rFonts w:ascii="Calibri" w:eastAsia="Times New Roman" w:hAnsi="Calibri" w:cs="Calibri"/>
          <w:b/>
          <w:i/>
          <w:color w:val="000000"/>
        </w:rPr>
        <w:t> </w:t>
      </w:r>
    </w:p>
    <w:p w14:paraId="2288FC43" w14:textId="77777777" w:rsidR="00A8581A" w:rsidRDefault="00A8581A" w:rsidP="0009795E">
      <w:pPr>
        <w:rPr>
          <w:rFonts w:ascii="Calibri" w:eastAsia="Times New Roman" w:hAnsi="Calibri" w:cs="Calibri"/>
          <w:color w:val="000000"/>
        </w:rPr>
      </w:pPr>
    </w:p>
    <w:p w14:paraId="1D03E11C" w14:textId="5955FB0F" w:rsidR="00A8581A" w:rsidRDefault="001E38AF" w:rsidP="0009795E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 GMS waiver is approval by an agency to apply a cost recovery rate lower than the standard rate. </w:t>
      </w:r>
      <w:r w:rsidR="00A8581A">
        <w:rPr>
          <w:rFonts w:ascii="Calibri" w:eastAsia="Times New Roman" w:hAnsi="Calibri" w:cs="Calibri"/>
          <w:color w:val="000000"/>
        </w:rPr>
        <w:t xml:space="preserve">The Executive Board decided that the </w:t>
      </w:r>
      <w:r w:rsidR="00C60742">
        <w:rPr>
          <w:rFonts w:ascii="Calibri" w:eastAsia="Times New Roman" w:hAnsi="Calibri" w:cs="Calibri"/>
          <w:color w:val="000000"/>
        </w:rPr>
        <w:t>head of each agency</w:t>
      </w:r>
      <w:r w:rsidR="00A8581A">
        <w:rPr>
          <w:rFonts w:ascii="Calibri" w:eastAsia="Times New Roman" w:hAnsi="Calibri" w:cs="Calibri"/>
          <w:color w:val="000000"/>
        </w:rPr>
        <w:t xml:space="preserve"> could grant a waiver of the standard cost recovery rate under exceptional circumstances</w:t>
      </w:r>
      <w:r>
        <w:rPr>
          <w:rFonts w:ascii="Calibri" w:eastAsia="Times New Roman" w:hAnsi="Calibri" w:cs="Calibri"/>
          <w:color w:val="000000"/>
        </w:rPr>
        <w:t xml:space="preserve"> as defined by the agency</w:t>
      </w:r>
      <w:r w:rsidR="00A8581A">
        <w:rPr>
          <w:rFonts w:ascii="Calibri" w:eastAsia="Times New Roman" w:hAnsi="Calibri" w:cs="Calibri"/>
          <w:color w:val="000000"/>
        </w:rPr>
        <w:t>.  The four agencies are tasked to report the number of waivers in their respective annual reports.</w:t>
      </w:r>
      <w:r w:rsidR="00030587">
        <w:rPr>
          <w:rFonts w:ascii="Calibri" w:eastAsia="Times New Roman" w:hAnsi="Calibri" w:cs="Calibri"/>
          <w:color w:val="000000"/>
        </w:rPr>
        <w:t xml:space="preserve">  The table below summarizes the number of waivers granted during the period 2014-2016.</w:t>
      </w:r>
    </w:p>
    <w:p w14:paraId="1018D996" w14:textId="77777777" w:rsidR="00A8581A" w:rsidRPr="0009795E" w:rsidRDefault="00A8581A" w:rsidP="0009795E">
      <w:pPr>
        <w:rPr>
          <w:rFonts w:ascii="Segoe UI" w:eastAsia="Times New Roman" w:hAnsi="Segoe UI" w:cs="Segoe UI"/>
          <w:color w:val="000000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875"/>
        <w:gridCol w:w="1481"/>
        <w:gridCol w:w="1309"/>
        <w:gridCol w:w="1530"/>
      </w:tblGrid>
      <w:tr w:rsidR="00030587" w14:paraId="73DBDB52" w14:textId="77777777" w:rsidTr="0009795E">
        <w:tc>
          <w:tcPr>
            <w:tcW w:w="2875" w:type="dxa"/>
          </w:tcPr>
          <w:p w14:paraId="1B8DF861" w14:textId="129ECD15" w:rsidR="00030587" w:rsidRPr="0009795E" w:rsidRDefault="00030587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09795E">
              <w:rPr>
                <w:rFonts w:eastAsia="Times New Roman" w:cs="Segoe UI"/>
                <w:b/>
                <w:color w:val="000000"/>
              </w:rPr>
              <w:t>Number</w:t>
            </w:r>
            <w:r w:rsidRPr="0009795E">
              <w:rPr>
                <w:rFonts w:ascii="Segoe UI" w:eastAsia="Times New Roman" w:hAnsi="Segoe UI" w:cs="Segoe UI"/>
                <w:b/>
                <w:color w:val="000000"/>
              </w:rPr>
              <w:t xml:space="preserve"> of Waivers</w:t>
            </w:r>
          </w:p>
        </w:tc>
        <w:tc>
          <w:tcPr>
            <w:tcW w:w="1481" w:type="dxa"/>
          </w:tcPr>
          <w:p w14:paraId="307E6C65" w14:textId="43399267" w:rsidR="00030587" w:rsidRPr="0009795E" w:rsidRDefault="00030587">
            <w:pPr>
              <w:rPr>
                <w:rFonts w:eastAsia="Times New Roman" w:cs="Segoe UI"/>
                <w:b/>
                <w:color w:val="000000"/>
              </w:rPr>
            </w:pPr>
            <w:r w:rsidRPr="0009795E">
              <w:rPr>
                <w:rFonts w:eastAsia="Times New Roman" w:cs="Segoe UI"/>
                <w:b/>
                <w:color w:val="000000"/>
              </w:rPr>
              <w:t xml:space="preserve">      2014</w:t>
            </w:r>
          </w:p>
        </w:tc>
        <w:tc>
          <w:tcPr>
            <w:tcW w:w="1309" w:type="dxa"/>
          </w:tcPr>
          <w:p w14:paraId="7D111948" w14:textId="39BCF976" w:rsidR="00030587" w:rsidRPr="0009795E" w:rsidRDefault="00030587">
            <w:pPr>
              <w:rPr>
                <w:rFonts w:eastAsia="Times New Roman" w:cs="Segoe UI"/>
                <w:b/>
                <w:color w:val="000000"/>
              </w:rPr>
            </w:pPr>
            <w:r w:rsidRPr="0009795E">
              <w:rPr>
                <w:rFonts w:eastAsia="Times New Roman" w:cs="Segoe UI"/>
                <w:b/>
                <w:color w:val="000000"/>
              </w:rPr>
              <w:t xml:space="preserve">   2015</w:t>
            </w:r>
          </w:p>
        </w:tc>
        <w:tc>
          <w:tcPr>
            <w:tcW w:w="1530" w:type="dxa"/>
          </w:tcPr>
          <w:p w14:paraId="1403E103" w14:textId="21BAE9DA" w:rsidR="00030587" w:rsidRPr="0009795E" w:rsidRDefault="00030587">
            <w:pPr>
              <w:rPr>
                <w:rFonts w:eastAsia="Times New Roman" w:cs="Segoe UI"/>
                <w:b/>
                <w:color w:val="000000"/>
              </w:rPr>
            </w:pPr>
            <w:r w:rsidRPr="0009795E">
              <w:rPr>
                <w:rFonts w:eastAsia="Times New Roman" w:cs="Segoe UI"/>
                <w:b/>
                <w:color w:val="000000"/>
              </w:rPr>
              <w:t xml:space="preserve">    2016</w:t>
            </w:r>
          </w:p>
        </w:tc>
      </w:tr>
      <w:tr w:rsidR="00030587" w14:paraId="7CA95E88" w14:textId="77777777" w:rsidTr="0009795E">
        <w:tc>
          <w:tcPr>
            <w:tcW w:w="2875" w:type="dxa"/>
          </w:tcPr>
          <w:p w14:paraId="5479D193" w14:textId="1AAA1CB3" w:rsidR="00030587" w:rsidRDefault="00030587" w:rsidP="0009795E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UNDP</w:t>
            </w:r>
          </w:p>
        </w:tc>
        <w:tc>
          <w:tcPr>
            <w:tcW w:w="1481" w:type="dxa"/>
          </w:tcPr>
          <w:p w14:paraId="6069C6BF" w14:textId="0B1BC3F7" w:rsidR="00030587" w:rsidRPr="0009795E" w:rsidRDefault="00030587" w:rsidP="0009795E">
            <w:pPr>
              <w:jc w:val="center"/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>24</w:t>
            </w:r>
          </w:p>
        </w:tc>
        <w:tc>
          <w:tcPr>
            <w:tcW w:w="1309" w:type="dxa"/>
          </w:tcPr>
          <w:p w14:paraId="54FA7F20" w14:textId="12B251B0" w:rsidR="00030587" w:rsidRPr="0009795E" w:rsidRDefault="00030587" w:rsidP="0009795E">
            <w:pPr>
              <w:jc w:val="center"/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>9</w:t>
            </w:r>
          </w:p>
        </w:tc>
        <w:tc>
          <w:tcPr>
            <w:tcW w:w="1530" w:type="dxa"/>
          </w:tcPr>
          <w:p w14:paraId="28EBE47D" w14:textId="51782AD5" w:rsidR="00030587" w:rsidRPr="0009795E" w:rsidRDefault="00030587">
            <w:pPr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 xml:space="preserve">      12</w:t>
            </w:r>
          </w:p>
        </w:tc>
      </w:tr>
      <w:tr w:rsidR="00030587" w14:paraId="0B301595" w14:textId="77777777" w:rsidTr="0009795E">
        <w:tc>
          <w:tcPr>
            <w:tcW w:w="2875" w:type="dxa"/>
          </w:tcPr>
          <w:p w14:paraId="089C806B" w14:textId="57E06288" w:rsidR="00030587" w:rsidRDefault="00030587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UNFPA</w:t>
            </w:r>
          </w:p>
        </w:tc>
        <w:tc>
          <w:tcPr>
            <w:tcW w:w="1481" w:type="dxa"/>
          </w:tcPr>
          <w:p w14:paraId="76F749D5" w14:textId="07C6F5FE" w:rsidR="00030587" w:rsidRPr="0009795E" w:rsidRDefault="00030587">
            <w:pPr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 xml:space="preserve">           3</w:t>
            </w:r>
          </w:p>
        </w:tc>
        <w:tc>
          <w:tcPr>
            <w:tcW w:w="1309" w:type="dxa"/>
          </w:tcPr>
          <w:p w14:paraId="07D85CBB" w14:textId="76D7D7A1" w:rsidR="00030587" w:rsidRPr="0009795E" w:rsidRDefault="00030587">
            <w:pPr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 xml:space="preserve">         6</w:t>
            </w:r>
          </w:p>
        </w:tc>
        <w:tc>
          <w:tcPr>
            <w:tcW w:w="1530" w:type="dxa"/>
          </w:tcPr>
          <w:p w14:paraId="126A183A" w14:textId="0A100439" w:rsidR="00030587" w:rsidRPr="0009795E" w:rsidRDefault="00030587">
            <w:pPr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 xml:space="preserve">        8</w:t>
            </w:r>
          </w:p>
        </w:tc>
      </w:tr>
      <w:tr w:rsidR="00030587" w14:paraId="33DEE451" w14:textId="77777777" w:rsidTr="0009795E">
        <w:tc>
          <w:tcPr>
            <w:tcW w:w="2875" w:type="dxa"/>
          </w:tcPr>
          <w:p w14:paraId="4EB8A48F" w14:textId="5630DDA3" w:rsidR="00030587" w:rsidRDefault="00030587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UNICEF</w:t>
            </w:r>
          </w:p>
        </w:tc>
        <w:tc>
          <w:tcPr>
            <w:tcW w:w="1481" w:type="dxa"/>
          </w:tcPr>
          <w:p w14:paraId="1C8DDAF7" w14:textId="237EC631" w:rsidR="00030587" w:rsidRPr="0009795E" w:rsidRDefault="00030587">
            <w:pPr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 xml:space="preserve">           1</w:t>
            </w:r>
          </w:p>
        </w:tc>
        <w:tc>
          <w:tcPr>
            <w:tcW w:w="1309" w:type="dxa"/>
          </w:tcPr>
          <w:p w14:paraId="0916077B" w14:textId="51860437" w:rsidR="00030587" w:rsidRPr="0009795E" w:rsidRDefault="00030587">
            <w:pPr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 xml:space="preserve">         9</w:t>
            </w:r>
          </w:p>
        </w:tc>
        <w:tc>
          <w:tcPr>
            <w:tcW w:w="1530" w:type="dxa"/>
          </w:tcPr>
          <w:p w14:paraId="2D29B3AE" w14:textId="1D5C9796" w:rsidR="00030587" w:rsidRPr="0009795E" w:rsidRDefault="00030587">
            <w:pPr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 xml:space="preserve">        0</w:t>
            </w:r>
          </w:p>
        </w:tc>
      </w:tr>
      <w:tr w:rsidR="00030587" w14:paraId="67F08EAF" w14:textId="77777777" w:rsidTr="0009795E">
        <w:tc>
          <w:tcPr>
            <w:tcW w:w="2875" w:type="dxa"/>
          </w:tcPr>
          <w:p w14:paraId="08E9C38E" w14:textId="2BB39513" w:rsidR="00030587" w:rsidRDefault="00030587">
            <w:pPr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UN Women</w:t>
            </w:r>
          </w:p>
        </w:tc>
        <w:tc>
          <w:tcPr>
            <w:tcW w:w="1481" w:type="dxa"/>
          </w:tcPr>
          <w:p w14:paraId="0AFFE70C" w14:textId="043014A9" w:rsidR="00030587" w:rsidRPr="0009795E" w:rsidRDefault="00030587">
            <w:pPr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 xml:space="preserve">           1</w:t>
            </w:r>
          </w:p>
        </w:tc>
        <w:tc>
          <w:tcPr>
            <w:tcW w:w="1309" w:type="dxa"/>
          </w:tcPr>
          <w:p w14:paraId="164F5D47" w14:textId="43954F97" w:rsidR="00030587" w:rsidRPr="0009795E" w:rsidRDefault="00030587">
            <w:pPr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 xml:space="preserve">         1</w:t>
            </w:r>
          </w:p>
        </w:tc>
        <w:tc>
          <w:tcPr>
            <w:tcW w:w="1530" w:type="dxa"/>
          </w:tcPr>
          <w:p w14:paraId="7DBA1CD2" w14:textId="521B3689" w:rsidR="00030587" w:rsidRPr="0009795E" w:rsidRDefault="00030587">
            <w:pPr>
              <w:rPr>
                <w:rFonts w:eastAsia="Times New Roman" w:cs="Segoe UI"/>
                <w:color w:val="000000"/>
              </w:rPr>
            </w:pPr>
            <w:r>
              <w:rPr>
                <w:rFonts w:eastAsia="Times New Roman" w:cs="Segoe UI"/>
                <w:color w:val="000000"/>
              </w:rPr>
              <w:t xml:space="preserve">        6</w:t>
            </w:r>
          </w:p>
        </w:tc>
      </w:tr>
    </w:tbl>
    <w:p w14:paraId="7CDD6F01" w14:textId="5D26A15C" w:rsidR="004B27E2" w:rsidRPr="00FF2342" w:rsidRDefault="004B27E2" w:rsidP="0009795E">
      <w:pPr>
        <w:ind w:left="720"/>
        <w:rPr>
          <w:rFonts w:ascii="Segoe UI" w:eastAsia="Times New Roman" w:hAnsi="Segoe UI" w:cs="Segoe UI"/>
          <w:color w:val="000000"/>
          <w:highlight w:val="green"/>
        </w:rPr>
      </w:pPr>
    </w:p>
    <w:p w14:paraId="6F2A9FC8" w14:textId="7A3A0EAD" w:rsidR="00FF2342" w:rsidRPr="00226CC3" w:rsidRDefault="00030587" w:rsidP="0009795E">
      <w:pPr>
        <w:numPr>
          <w:ilvl w:val="0"/>
          <w:numId w:val="1"/>
        </w:numPr>
        <w:rPr>
          <w:rFonts w:eastAsia="Times New Roman" w:cs="Segoe UI"/>
          <w:b/>
          <w:i/>
          <w:color w:val="000000"/>
        </w:rPr>
      </w:pPr>
      <w:r w:rsidRPr="00226CC3">
        <w:rPr>
          <w:rFonts w:ascii="Calibri" w:eastAsia="Times New Roman" w:hAnsi="Calibri" w:cs="Calibri"/>
          <w:b/>
          <w:color w:val="000000"/>
        </w:rPr>
        <w:t xml:space="preserve"> </w:t>
      </w:r>
      <w:r w:rsidRPr="00226CC3">
        <w:rPr>
          <w:rFonts w:eastAsia="Times New Roman" w:cs="Calibri"/>
          <w:b/>
          <w:i/>
          <w:color w:val="000000"/>
        </w:rPr>
        <w:t>H</w:t>
      </w:r>
      <w:r w:rsidR="00FF2342" w:rsidRPr="00226CC3">
        <w:rPr>
          <w:rFonts w:eastAsia="Times New Roman" w:cs="Calibri"/>
          <w:b/>
          <w:i/>
          <w:color w:val="000000"/>
        </w:rPr>
        <w:t>ow does UNDP align its cost recovery policy with national policies which may limit/cap cost recovery?</w:t>
      </w:r>
    </w:p>
    <w:p w14:paraId="51409C63" w14:textId="77777777" w:rsidR="004B27E2" w:rsidRPr="0009795E" w:rsidRDefault="004B27E2" w:rsidP="0009795E">
      <w:pPr>
        <w:rPr>
          <w:rFonts w:eastAsia="Times New Roman" w:cs="Calibri"/>
          <w:color w:val="000000"/>
        </w:rPr>
      </w:pPr>
    </w:p>
    <w:p w14:paraId="36BC6EFD" w14:textId="4E76A5B8" w:rsidR="004B27E2" w:rsidRPr="0009795E" w:rsidRDefault="004B27E2" w:rsidP="0009795E">
      <w:pPr>
        <w:ind w:firstLine="720"/>
        <w:rPr>
          <w:rFonts w:eastAsia="Times New Roman" w:cs="Calibri"/>
          <w:color w:val="000000"/>
        </w:rPr>
      </w:pPr>
      <w:r w:rsidRPr="0009795E">
        <w:rPr>
          <w:rFonts w:eastAsia="Times New Roman" w:cs="Calibri"/>
          <w:color w:val="000000"/>
        </w:rPr>
        <w:t>UNDP is guided by the decisions of the Executive Board on its cost recovery policy.</w:t>
      </w:r>
      <w:r w:rsidR="00435BFE">
        <w:rPr>
          <w:rFonts w:eastAsia="Times New Roman" w:cs="Calibri"/>
          <w:color w:val="000000"/>
        </w:rPr>
        <w:t xml:space="preserve"> </w:t>
      </w:r>
    </w:p>
    <w:p w14:paraId="75FA9E66" w14:textId="77777777" w:rsidR="004B27E2" w:rsidRPr="0009795E" w:rsidRDefault="004B27E2" w:rsidP="0009795E">
      <w:pPr>
        <w:rPr>
          <w:rFonts w:eastAsia="Times New Roman" w:cs="Segoe UI"/>
          <w:color w:val="000000"/>
        </w:rPr>
      </w:pPr>
    </w:p>
    <w:p w14:paraId="2A9B9BA1" w14:textId="20520440" w:rsidR="00FF2342" w:rsidRPr="00226CC3" w:rsidRDefault="00FF2342" w:rsidP="0009795E">
      <w:pPr>
        <w:pStyle w:val="ListParagraph"/>
        <w:numPr>
          <w:ilvl w:val="0"/>
          <w:numId w:val="1"/>
        </w:numPr>
        <w:rPr>
          <w:rFonts w:eastAsia="Times New Roman" w:cs="Calibri"/>
          <w:b/>
          <w:i/>
          <w:color w:val="000000"/>
        </w:rPr>
      </w:pPr>
      <w:r w:rsidRPr="00226CC3">
        <w:rPr>
          <w:rFonts w:eastAsia="Times New Roman" w:cs="Calibri"/>
          <w:b/>
          <w:i/>
          <w:color w:val="000000"/>
        </w:rPr>
        <w:t xml:space="preserve">When UNDP says that its cost is 8 cents to 1 dollar, what costs is it referring to? Direct costs? </w:t>
      </w:r>
      <w:proofErr w:type="spellStart"/>
      <w:r w:rsidRPr="00226CC3">
        <w:rPr>
          <w:rFonts w:eastAsia="Times New Roman" w:cs="Calibri"/>
          <w:b/>
          <w:i/>
          <w:color w:val="000000"/>
        </w:rPr>
        <w:t>Programme</w:t>
      </w:r>
      <w:proofErr w:type="spellEnd"/>
      <w:r w:rsidRPr="00226CC3">
        <w:rPr>
          <w:rFonts w:eastAsia="Times New Roman" w:cs="Calibri"/>
          <w:b/>
          <w:i/>
          <w:color w:val="000000"/>
        </w:rPr>
        <w:t xml:space="preserve"> costs?</w:t>
      </w:r>
    </w:p>
    <w:p w14:paraId="2EAE2A9C" w14:textId="77777777" w:rsidR="004B27E2" w:rsidRPr="0009795E" w:rsidRDefault="004B27E2">
      <w:pPr>
        <w:rPr>
          <w:rFonts w:eastAsia="Times New Roman" w:cs="Segoe UI"/>
          <w:color w:val="000000"/>
        </w:rPr>
      </w:pPr>
    </w:p>
    <w:p w14:paraId="6AA56235" w14:textId="0579D967" w:rsidR="004B27E2" w:rsidRPr="0009795E" w:rsidRDefault="004B27E2" w:rsidP="0009795E">
      <w:pPr>
        <w:ind w:left="720"/>
        <w:rPr>
          <w:rFonts w:eastAsia="Times New Roman" w:cs="Segoe UI"/>
          <w:color w:val="000000"/>
        </w:rPr>
      </w:pPr>
      <w:r w:rsidRPr="0009795E">
        <w:rPr>
          <w:rFonts w:eastAsia="Times New Roman" w:cs="Segoe UI"/>
          <w:color w:val="000000"/>
        </w:rPr>
        <w:t>UNDP is referring to its management costs</w:t>
      </w:r>
      <w:r w:rsidR="00EC469D" w:rsidRPr="0009795E">
        <w:rPr>
          <w:rFonts w:eastAsia="Times New Roman" w:cs="Segoe UI"/>
          <w:color w:val="000000"/>
        </w:rPr>
        <w:t xml:space="preserve">, </w:t>
      </w:r>
      <w:r w:rsidR="00EC469D">
        <w:rPr>
          <w:rFonts w:eastAsia="Times New Roman" w:cs="Segoe UI"/>
          <w:color w:val="000000"/>
        </w:rPr>
        <w:t>which</w:t>
      </w:r>
      <w:r w:rsidR="00EC469D" w:rsidRPr="0009795E">
        <w:rPr>
          <w:rFonts w:eastAsia="Times New Roman" w:cs="Segoe UI"/>
          <w:color w:val="000000"/>
        </w:rPr>
        <w:t xml:space="preserve"> </w:t>
      </w:r>
      <w:r w:rsidR="00EC469D">
        <w:rPr>
          <w:rFonts w:eastAsia="Times New Roman" w:cs="Segoe UI"/>
          <w:color w:val="000000"/>
        </w:rPr>
        <w:t xml:space="preserve">it has estimated are 8% (eight cents) of each dollar of </w:t>
      </w:r>
      <w:proofErr w:type="spellStart"/>
      <w:r w:rsidR="00EC469D">
        <w:rPr>
          <w:rFonts w:eastAsia="Times New Roman" w:cs="Segoe UI"/>
          <w:color w:val="000000"/>
        </w:rPr>
        <w:t>programme</w:t>
      </w:r>
      <w:proofErr w:type="spellEnd"/>
      <w:r w:rsidR="00EC469D">
        <w:rPr>
          <w:rFonts w:eastAsia="Times New Roman" w:cs="Segoe UI"/>
          <w:color w:val="000000"/>
        </w:rPr>
        <w:t xml:space="preserve"> resources.</w:t>
      </w:r>
    </w:p>
    <w:p w14:paraId="65B58CA7" w14:textId="77777777" w:rsidR="004B27E2" w:rsidRPr="0009795E" w:rsidRDefault="004B27E2" w:rsidP="0009795E">
      <w:pPr>
        <w:ind w:left="360"/>
        <w:rPr>
          <w:rFonts w:eastAsia="Times New Roman" w:cs="Segoe UI"/>
          <w:color w:val="000000"/>
        </w:rPr>
      </w:pPr>
    </w:p>
    <w:p w14:paraId="73060AFC" w14:textId="0FFCCD6C" w:rsidR="00FF2342" w:rsidRPr="00003FF1" w:rsidRDefault="00FF2342" w:rsidP="0009795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i/>
          <w:color w:val="000000"/>
        </w:rPr>
      </w:pPr>
      <w:r w:rsidRPr="00003FF1">
        <w:rPr>
          <w:rFonts w:eastAsia="Times New Roman" w:cs="Calibri"/>
          <w:b/>
          <w:i/>
          <w:color w:val="000000"/>
        </w:rPr>
        <w:t>What are the transitionary measures</w:t>
      </w:r>
      <w:r w:rsidRPr="00003FF1">
        <w:rPr>
          <w:rFonts w:ascii="Calibri" w:eastAsia="Times New Roman" w:hAnsi="Calibri" w:cs="Calibri"/>
          <w:b/>
          <w:i/>
          <w:color w:val="000000"/>
        </w:rPr>
        <w:t>?</w:t>
      </w:r>
    </w:p>
    <w:p w14:paraId="55E1D18C" w14:textId="77777777" w:rsidR="00435BFE" w:rsidRDefault="00435BFE">
      <w:pPr>
        <w:rPr>
          <w:rFonts w:ascii="Segoe UI" w:eastAsia="Times New Roman" w:hAnsi="Segoe UI" w:cs="Segoe UI"/>
          <w:color w:val="000000"/>
        </w:rPr>
      </w:pPr>
    </w:p>
    <w:p w14:paraId="3FD4BDA9" w14:textId="1AE0931B" w:rsidR="00532113" w:rsidRPr="0009795E" w:rsidRDefault="00EC469D" w:rsidP="0009795E">
      <w:pPr>
        <w:tabs>
          <w:tab w:val="left" w:pos="1260"/>
        </w:tabs>
        <w:spacing w:after="120"/>
        <w:ind w:left="360" w:right="547"/>
        <w:jc w:val="both"/>
      </w:pPr>
      <w:bookmarkStart w:id="0" w:name="_Ref358819458"/>
      <w:r>
        <w:rPr>
          <w:lang w:val="en-GB"/>
        </w:rPr>
        <w:t xml:space="preserve"> </w:t>
      </w:r>
      <w:r w:rsidR="00532113" w:rsidRPr="0009795E">
        <w:rPr>
          <w:lang w:val="en-GB"/>
        </w:rPr>
        <w:t xml:space="preserve">The </w:t>
      </w:r>
      <w:r>
        <w:rPr>
          <w:lang w:val="en-GB"/>
        </w:rPr>
        <w:t xml:space="preserve">Executive Board has approved use of a limited amount of regular </w:t>
      </w:r>
      <w:r w:rsidR="00435BFE">
        <w:rPr>
          <w:lang w:val="en-GB"/>
        </w:rPr>
        <w:t>re</w:t>
      </w:r>
      <w:r>
        <w:rPr>
          <w:lang w:val="en-GB"/>
        </w:rPr>
        <w:t xml:space="preserve">sources </w:t>
      </w:r>
      <w:r w:rsidR="005D48E9">
        <w:rPr>
          <w:lang w:val="en-GB"/>
        </w:rPr>
        <w:t xml:space="preserve">in the </w:t>
      </w:r>
      <w:r>
        <w:rPr>
          <w:lang w:val="en-GB"/>
        </w:rPr>
        <w:t>integrate</w:t>
      </w:r>
      <w:r w:rsidR="005D48E9">
        <w:rPr>
          <w:lang w:val="en-GB"/>
        </w:rPr>
        <w:t>d</w:t>
      </w:r>
      <w:r>
        <w:rPr>
          <w:lang w:val="en-GB"/>
        </w:rPr>
        <w:t xml:space="preserve"> budgets (2014-17 and 2018-21)</w:t>
      </w:r>
      <w:r w:rsidR="005D48E9">
        <w:rPr>
          <w:lang w:val="en-GB"/>
        </w:rPr>
        <w:t>.</w:t>
      </w:r>
      <w:r>
        <w:rPr>
          <w:lang w:val="en-GB"/>
        </w:rPr>
        <w:t xml:space="preserve">  </w:t>
      </w:r>
      <w:r w:rsidR="00532113" w:rsidRPr="0009795E">
        <w:rPr>
          <w:lang w:val="en-GB"/>
        </w:rPr>
        <w:t xml:space="preserve">These </w:t>
      </w:r>
      <w:r w:rsidR="00CE6132">
        <w:rPr>
          <w:lang w:val="en-GB"/>
        </w:rPr>
        <w:t xml:space="preserve">so-called transitionary </w:t>
      </w:r>
      <w:r w:rsidR="00532113" w:rsidRPr="0009795E">
        <w:rPr>
          <w:lang w:val="en-GB"/>
        </w:rPr>
        <w:t>measures were</w:t>
      </w:r>
      <w:r w:rsidR="00CE6132">
        <w:rPr>
          <w:lang w:val="en-GB"/>
        </w:rPr>
        <w:t xml:space="preserve"> intended to </w:t>
      </w:r>
      <w:r w:rsidR="001E38AF">
        <w:rPr>
          <w:lang w:val="en-GB"/>
        </w:rPr>
        <w:t>financially ‘</w:t>
      </w:r>
      <w:r w:rsidR="00CE6132">
        <w:rPr>
          <w:lang w:val="en-GB"/>
        </w:rPr>
        <w:t>bridge</w:t>
      </w:r>
      <w:r w:rsidR="001E38AF">
        <w:rPr>
          <w:lang w:val="en-GB"/>
        </w:rPr>
        <w:t>’</w:t>
      </w:r>
      <w:r w:rsidR="00CE6132">
        <w:rPr>
          <w:lang w:val="en-GB"/>
        </w:rPr>
        <w:t xml:space="preserve"> </w:t>
      </w:r>
      <w:r w:rsidR="00532113" w:rsidRPr="0009795E">
        <w:rPr>
          <w:lang w:val="en-GB"/>
        </w:rPr>
        <w:t xml:space="preserve">the </w:t>
      </w:r>
      <w:r w:rsidR="00CE6132">
        <w:rPr>
          <w:lang w:val="en-GB"/>
        </w:rPr>
        <w:t xml:space="preserve">transition period until </w:t>
      </w:r>
      <w:r w:rsidR="00532113" w:rsidRPr="0009795E">
        <w:rPr>
          <w:lang w:val="en-GB"/>
        </w:rPr>
        <w:t xml:space="preserve">the cost recovery methodology approved by the Executive Board </w:t>
      </w:r>
      <w:r w:rsidR="005D48E9">
        <w:rPr>
          <w:lang w:val="en-GB"/>
        </w:rPr>
        <w:t>can take full effect</w:t>
      </w:r>
      <w:r w:rsidR="00CE6132">
        <w:rPr>
          <w:lang w:val="en-GB"/>
        </w:rPr>
        <w:t>.</w:t>
      </w:r>
      <w:r w:rsidR="005D48E9">
        <w:rPr>
          <w:lang w:val="en-GB"/>
        </w:rPr>
        <w:t xml:space="preserve"> </w:t>
      </w:r>
      <w:r w:rsidR="00532113" w:rsidRPr="0009795E">
        <w:rPr>
          <w:lang w:val="en-GB"/>
        </w:rPr>
        <w:t>The need for such measures was highlighted in DP/FPA/2013/1, and illustrated during the discussions on cost recovery held at the first regular session 2013 of the Executive Board.</w:t>
      </w:r>
      <w:bookmarkEnd w:id="0"/>
    </w:p>
    <w:p w14:paraId="5F7CD6E8" w14:textId="77777777" w:rsidR="00532113" w:rsidRPr="0009795E" w:rsidRDefault="00532113">
      <w:pPr>
        <w:rPr>
          <w:rFonts w:ascii="Segoe UI" w:eastAsia="Times New Roman" w:hAnsi="Segoe UI" w:cs="Segoe UI"/>
          <w:i/>
          <w:color w:val="000000"/>
        </w:rPr>
      </w:pPr>
    </w:p>
    <w:p w14:paraId="534D6C4E" w14:textId="490EB1AE" w:rsidR="00FF2342" w:rsidRPr="00003FF1" w:rsidRDefault="00FF2342" w:rsidP="0009795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i/>
          <w:color w:val="000000"/>
        </w:rPr>
      </w:pPr>
      <w:r w:rsidRPr="00003FF1">
        <w:rPr>
          <w:rFonts w:ascii="Calibri" w:eastAsia="Times New Roman" w:hAnsi="Calibri" w:cs="Calibri"/>
          <w:b/>
          <w:i/>
          <w:color w:val="000000"/>
        </w:rPr>
        <w:t>  Where can we find the EB decisions and documents relevant/related to cost recovery?</w:t>
      </w:r>
    </w:p>
    <w:p w14:paraId="5C40C6FF" w14:textId="77777777" w:rsidR="004B27E2" w:rsidRDefault="004B27E2" w:rsidP="00FF2342">
      <w:pPr>
        <w:ind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C1F1C99" w14:textId="77777777" w:rsidR="004B27E2" w:rsidRPr="0009795E" w:rsidRDefault="004B27E2" w:rsidP="0009795E">
      <w:pPr>
        <w:ind w:left="720"/>
        <w:rPr>
          <w:rFonts w:ascii="Calibri" w:eastAsia="Times New Roman" w:hAnsi="Calibri" w:cs="Calibri"/>
          <w:color w:val="000000"/>
        </w:rPr>
      </w:pPr>
      <w:r w:rsidRPr="0009795E">
        <w:rPr>
          <w:rFonts w:ascii="Calibri" w:eastAsia="Times New Roman" w:hAnsi="Calibri" w:cs="Calibri"/>
          <w:color w:val="000000"/>
        </w:rPr>
        <w:t xml:space="preserve">The pertinent EB documents and decisions related to cost recovery can be found on the Executive Board websites of the respective agencies. See below overview with URLS. </w:t>
      </w:r>
    </w:p>
    <w:p w14:paraId="1098EC02" w14:textId="77777777" w:rsidR="004B27E2" w:rsidRDefault="004B27E2" w:rsidP="00FF2342">
      <w:pPr>
        <w:ind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5A2B4B5" w14:textId="77777777" w:rsidR="004B27E2" w:rsidRPr="0009795E" w:rsidRDefault="004B27E2" w:rsidP="0009795E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B054D6">
        <w:rPr>
          <w:rFonts w:ascii="Calibri" w:eastAsia="Times New Roman" w:hAnsi="Calibri" w:cs="Calibri"/>
          <w:color w:val="000000"/>
        </w:rPr>
        <w:t xml:space="preserve">DP-FPA/2012/1 - </w:t>
      </w:r>
      <w:hyperlink r:id="rId17" w:history="1">
        <w:r w:rsidRPr="0009795E">
          <w:rPr>
            <w:rStyle w:val="Hyperlink"/>
            <w:rFonts w:cs="Arial"/>
            <w:spacing w:val="8"/>
          </w:rPr>
          <w:t>Roadmap to the in</w:t>
        </w:r>
        <w:r w:rsidRPr="0009795E">
          <w:rPr>
            <w:rStyle w:val="Hyperlink"/>
            <w:rFonts w:cs="Arial"/>
            <w:spacing w:val="8"/>
          </w:rPr>
          <w:t>t</w:t>
        </w:r>
        <w:r w:rsidRPr="0009795E">
          <w:rPr>
            <w:rStyle w:val="Hyperlink"/>
            <w:rFonts w:cs="Arial"/>
            <w:spacing w:val="8"/>
          </w:rPr>
          <w:t>egrated budget: Joint UNDP, UNFPA and UNICEF review on the impact of cost definitions and classifica</w:t>
        </w:r>
        <w:r w:rsidRPr="0009795E">
          <w:rPr>
            <w:rStyle w:val="Hyperlink"/>
            <w:rFonts w:cs="Arial"/>
            <w:spacing w:val="8"/>
          </w:rPr>
          <w:t>t</w:t>
        </w:r>
        <w:r w:rsidRPr="0009795E">
          <w:rPr>
            <w:rStyle w:val="Hyperlink"/>
            <w:rFonts w:cs="Arial"/>
            <w:spacing w:val="8"/>
          </w:rPr>
          <w:t>ion of activities on harmonized cost-recovery rates</w:t>
        </w:r>
      </w:hyperlink>
    </w:p>
    <w:p w14:paraId="5DFB757E" w14:textId="77777777" w:rsidR="004B27E2" w:rsidRDefault="004B27E2" w:rsidP="00FF2342">
      <w:pPr>
        <w:ind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2D758A4" w14:textId="77777777" w:rsidR="004B27E2" w:rsidRDefault="004B27E2" w:rsidP="0009795E">
      <w:pPr>
        <w:pStyle w:val="ListParagraph"/>
        <w:numPr>
          <w:ilvl w:val="0"/>
          <w:numId w:val="10"/>
        </w:numPr>
        <w:rPr>
          <w:rFonts w:ascii="Segoe UI" w:eastAsia="Times New Roman" w:hAnsi="Segoe UI" w:cs="Segoe UI"/>
          <w:color w:val="000000"/>
        </w:rPr>
      </w:pPr>
      <w:r w:rsidRPr="0009795E">
        <w:rPr>
          <w:rFonts w:eastAsia="Times New Roman" w:cs="Segoe UI"/>
          <w:color w:val="000000"/>
        </w:rPr>
        <w:t>DP-FPA/2013/1</w:t>
      </w:r>
      <w:r w:rsidRPr="0009795E">
        <w:rPr>
          <w:rFonts w:ascii="Segoe UI" w:eastAsia="Times New Roman" w:hAnsi="Segoe UI" w:cs="Segoe UI"/>
          <w:color w:val="000000"/>
        </w:rPr>
        <w:t xml:space="preserve"> - </w:t>
      </w:r>
      <w:hyperlink r:id="rId18" w:history="1">
        <w:r w:rsidRPr="0009795E">
          <w:rPr>
            <w:rStyle w:val="Hyperlink"/>
            <w:rFonts w:eastAsia="Times New Roman" w:cs="Segoe UI"/>
          </w:rPr>
          <w:t>The road map to an integrated budget: joint review of the i</w:t>
        </w:r>
        <w:r w:rsidRPr="0009795E">
          <w:rPr>
            <w:rStyle w:val="Hyperlink"/>
            <w:rFonts w:eastAsia="Times New Roman" w:cs="Segoe UI"/>
          </w:rPr>
          <w:t>m</w:t>
        </w:r>
        <w:r w:rsidRPr="0009795E">
          <w:rPr>
            <w:rStyle w:val="Hyperlink"/>
            <w:rFonts w:eastAsia="Times New Roman" w:cs="Segoe UI"/>
          </w:rPr>
          <w:t>pact of cost definitions and classifications of activities on the harmonized cost recovery rates</w:t>
        </w:r>
      </w:hyperlink>
      <w:r w:rsidRPr="0009795E">
        <w:rPr>
          <w:rFonts w:ascii="Segoe UI" w:eastAsia="Times New Roman" w:hAnsi="Segoe UI" w:cs="Segoe UI"/>
          <w:color w:val="000000"/>
        </w:rPr>
        <w:tab/>
      </w:r>
    </w:p>
    <w:p w14:paraId="27C8D55D" w14:textId="77777777" w:rsidR="00257A51" w:rsidRPr="00257A51" w:rsidRDefault="00257A51" w:rsidP="00257A51">
      <w:pPr>
        <w:pStyle w:val="ListParagraph"/>
        <w:rPr>
          <w:rFonts w:ascii="Segoe UI" w:eastAsia="Times New Roman" w:hAnsi="Segoe UI" w:cs="Segoe UI"/>
          <w:color w:val="000000"/>
        </w:rPr>
      </w:pPr>
    </w:p>
    <w:p w14:paraId="06E1648D" w14:textId="4ACA9D20" w:rsidR="00257A51" w:rsidRPr="00257A51" w:rsidRDefault="00B054D6" w:rsidP="00257A51">
      <w:pPr>
        <w:pStyle w:val="ListParagraph"/>
        <w:numPr>
          <w:ilvl w:val="0"/>
          <w:numId w:val="10"/>
        </w:numPr>
        <w:rPr>
          <w:color w:val="1F497D"/>
        </w:rPr>
      </w:pPr>
      <w:r>
        <w:t xml:space="preserve">DP/2014/2 - </w:t>
      </w:r>
      <w:r w:rsidR="00257A51">
        <w:t xml:space="preserve"> UNDP Executive Board decision 2013/9, on the </w:t>
      </w:r>
      <w:hyperlink r:id="rId19" w:history="1">
        <w:r w:rsidR="00257A51">
          <w:rPr>
            <w:rStyle w:val="Hyperlink"/>
          </w:rPr>
          <w:t>‘Road map towards an integrated budget, beginning 2014, and update on cost recovery</w:t>
        </w:r>
      </w:hyperlink>
      <w:r w:rsidR="00257A51">
        <w:t xml:space="preserve">’ </w:t>
      </w:r>
      <w:r w:rsidR="00257A51" w:rsidRPr="00257A51">
        <w:rPr>
          <w:color w:val="000000"/>
        </w:rPr>
        <w:t>(pgs. 10-12)</w:t>
      </w:r>
    </w:p>
    <w:p w14:paraId="0FDB3630" w14:textId="77777777" w:rsidR="00257A51" w:rsidRPr="00257A51" w:rsidRDefault="00257A51" w:rsidP="00257A51">
      <w:pPr>
        <w:pStyle w:val="ListParagraph"/>
        <w:rPr>
          <w:color w:val="1F497D"/>
        </w:rPr>
      </w:pPr>
    </w:p>
    <w:p w14:paraId="67BA956B" w14:textId="7F0433EB" w:rsidR="00257A51" w:rsidRPr="00257A51" w:rsidRDefault="00B054D6" w:rsidP="00257A51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 w:themeColor="text1"/>
          <w:spacing w:val="4"/>
        </w:rPr>
      </w:pPr>
      <w:r>
        <w:rPr>
          <w:color w:val="000000" w:themeColor="text1"/>
          <w:spacing w:val="4"/>
        </w:rPr>
        <w:t>DP/2017/2 -</w:t>
      </w:r>
      <w:r w:rsidR="00257A51" w:rsidRPr="00257A51">
        <w:rPr>
          <w:color w:val="000000" w:themeColor="text1"/>
          <w:spacing w:val="4"/>
        </w:rPr>
        <w:t xml:space="preserve"> UNDP Executive Board decision 2016/16 on ‘</w:t>
      </w:r>
      <w:hyperlink r:id="rId20" w:history="1">
        <w:r w:rsidR="00257A51" w:rsidRPr="00257A51">
          <w:rPr>
            <w:rStyle w:val="Hyperlink"/>
            <w:spacing w:val="4"/>
          </w:rPr>
          <w:t>UNDP funding issues</w:t>
        </w:r>
      </w:hyperlink>
      <w:r w:rsidR="00257A51" w:rsidRPr="00257A51">
        <w:rPr>
          <w:color w:val="000000" w:themeColor="text1"/>
          <w:spacing w:val="4"/>
        </w:rPr>
        <w:t>’ (pgs. 20-21)</w:t>
      </w:r>
    </w:p>
    <w:p w14:paraId="7C031CBC" w14:textId="77777777" w:rsidR="00257A51" w:rsidRPr="00257A51" w:rsidRDefault="00257A51" w:rsidP="00257A51">
      <w:pPr>
        <w:pStyle w:val="ListParagraph"/>
        <w:rPr>
          <w:color w:val="000000" w:themeColor="text1"/>
          <w:spacing w:val="4"/>
        </w:rPr>
      </w:pPr>
    </w:p>
    <w:p w14:paraId="1E724399" w14:textId="0564D7E9" w:rsidR="00257A51" w:rsidRPr="00257A51" w:rsidRDefault="00257A51" w:rsidP="00257A51">
      <w:pPr>
        <w:pStyle w:val="ListParagraph"/>
        <w:numPr>
          <w:ilvl w:val="0"/>
          <w:numId w:val="10"/>
        </w:numPr>
        <w:rPr>
          <w:color w:val="1F497D"/>
        </w:rPr>
      </w:pPr>
      <w:r w:rsidRPr="00257A51">
        <w:rPr>
          <w:color w:val="000000" w:themeColor="text1"/>
          <w:spacing w:val="4"/>
        </w:rPr>
        <w:t>DP/2018/3</w:t>
      </w:r>
      <w:r w:rsidR="00B054D6">
        <w:rPr>
          <w:color w:val="000000" w:themeColor="text1"/>
          <w:spacing w:val="4"/>
        </w:rPr>
        <w:t xml:space="preserve"> -</w:t>
      </w:r>
      <w:r w:rsidRPr="00257A51">
        <w:rPr>
          <w:color w:val="000000" w:themeColor="text1"/>
          <w:spacing w:val="4"/>
        </w:rPr>
        <w:t xml:space="preserve"> UNDP Executive Board decision 2017/11 on the </w:t>
      </w:r>
      <w:hyperlink r:id="rId21" w:history="1">
        <w:r w:rsidRPr="00257A51">
          <w:rPr>
            <w:rStyle w:val="Hyperlink"/>
            <w:spacing w:val="4"/>
          </w:rPr>
          <w:t>‘Cumulative review of the UNDP Integrated Budget, 2014-2017</w:t>
        </w:r>
      </w:hyperlink>
      <w:r w:rsidRPr="00257A51">
        <w:rPr>
          <w:color w:val="000000" w:themeColor="text1"/>
          <w:spacing w:val="4"/>
        </w:rPr>
        <w:t>; (pgs. 11-12)</w:t>
      </w:r>
    </w:p>
    <w:p w14:paraId="3A1737EA" w14:textId="77777777" w:rsidR="00257A51" w:rsidRPr="0009795E" w:rsidRDefault="00257A51" w:rsidP="00257A51">
      <w:pPr>
        <w:pStyle w:val="ListParagraph"/>
        <w:rPr>
          <w:rFonts w:ascii="Segoe UI" w:eastAsia="Times New Roman" w:hAnsi="Segoe UI" w:cs="Segoe UI"/>
          <w:color w:val="000000"/>
        </w:rPr>
      </w:pPr>
    </w:p>
    <w:p w14:paraId="6A703456" w14:textId="77777777" w:rsidR="004B27E2" w:rsidRDefault="004B27E2" w:rsidP="00FF2342">
      <w:pPr>
        <w:ind w:hanging="360"/>
        <w:rPr>
          <w:rFonts w:ascii="Segoe UI" w:eastAsia="Times New Roman" w:hAnsi="Segoe UI" w:cs="Segoe UI"/>
          <w:color w:val="000000"/>
        </w:rPr>
      </w:pPr>
    </w:p>
    <w:p w14:paraId="213FF9BF" w14:textId="775A0C2D" w:rsidR="00FF2342" w:rsidRPr="00257A51" w:rsidRDefault="005D48E9" w:rsidP="0009795E">
      <w:pPr>
        <w:pStyle w:val="ListParagraph"/>
        <w:numPr>
          <w:ilvl w:val="0"/>
          <w:numId w:val="1"/>
        </w:numPr>
        <w:rPr>
          <w:rFonts w:cs="Calibri"/>
          <w:b/>
          <w:i/>
        </w:rPr>
      </w:pPr>
      <w:r w:rsidRPr="00257A51">
        <w:rPr>
          <w:rFonts w:cs="Calibri"/>
          <w:b/>
          <w:i/>
        </w:rPr>
        <w:t>W</w:t>
      </w:r>
      <w:bookmarkStart w:id="1" w:name="_GoBack"/>
      <w:bookmarkEnd w:id="1"/>
      <w:r w:rsidR="00FF2342" w:rsidRPr="00257A51">
        <w:rPr>
          <w:rFonts w:cs="Calibri"/>
          <w:b/>
          <w:i/>
        </w:rPr>
        <w:t>hat specific types of expenses are included in each cost classification category?</w:t>
      </w:r>
    </w:p>
    <w:p w14:paraId="4EF48F6B" w14:textId="77777777" w:rsidR="005D48E9" w:rsidRDefault="005D48E9" w:rsidP="00FF2342">
      <w:pPr>
        <w:ind w:hanging="3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72EED51" w14:textId="470E3CAF" w:rsidR="005D48E9" w:rsidRPr="0009795E" w:rsidRDefault="005D48E9" w:rsidP="0009795E">
      <w:pPr>
        <w:ind w:left="720"/>
        <w:rPr>
          <w:rFonts w:eastAsia="Times New Roman" w:cs="Calibri"/>
          <w:color w:val="000000"/>
        </w:rPr>
      </w:pPr>
      <w:r w:rsidRPr="0009795E">
        <w:rPr>
          <w:rFonts w:eastAsia="Times New Roman" w:cs="Calibri"/>
          <w:color w:val="000000"/>
        </w:rPr>
        <w:t>The types of expenses included in each category are described below.</w:t>
      </w:r>
      <w:r>
        <w:rPr>
          <w:rFonts w:eastAsia="Times New Roman" w:cs="Calibri"/>
          <w:color w:val="000000"/>
        </w:rPr>
        <w:t xml:space="preserve">  The four agencies all utilize the same classification</w:t>
      </w:r>
      <w:r w:rsidR="004E146D">
        <w:rPr>
          <w:rFonts w:eastAsia="Times New Roman" w:cs="Calibri"/>
          <w:color w:val="000000"/>
        </w:rPr>
        <w:t xml:space="preserve"> system</w:t>
      </w:r>
      <w:r>
        <w:rPr>
          <w:rFonts w:eastAsia="Times New Roman" w:cs="Calibri"/>
          <w:color w:val="000000"/>
        </w:rPr>
        <w:t>.</w:t>
      </w:r>
    </w:p>
    <w:p w14:paraId="5AF82EE8" w14:textId="77777777" w:rsidR="0088741A" w:rsidRDefault="0088741A" w:rsidP="0088741A">
      <w:pPr>
        <w:pStyle w:val="NormalWithNumbering2"/>
        <w:numPr>
          <w:ilvl w:val="0"/>
          <w:numId w:val="0"/>
        </w:numPr>
        <w:rPr>
          <w:rFonts w:asciiTheme="minorHAnsi" w:hAnsiTheme="minorHAnsi"/>
          <w:b/>
          <w:szCs w:val="24"/>
        </w:rPr>
      </w:pPr>
    </w:p>
    <w:p w14:paraId="5A624AF4" w14:textId="0EC1FCB5" w:rsidR="004B27E2" w:rsidRPr="0009795E" w:rsidRDefault="004B27E2" w:rsidP="00F411FD">
      <w:pPr>
        <w:pStyle w:val="NormalWithNumbering2"/>
        <w:numPr>
          <w:ilvl w:val="0"/>
          <w:numId w:val="0"/>
        </w:numPr>
        <w:ind w:left="720"/>
        <w:rPr>
          <w:rFonts w:asciiTheme="minorHAnsi" w:hAnsiTheme="minorHAnsi"/>
          <w:bCs/>
          <w:szCs w:val="24"/>
        </w:rPr>
      </w:pPr>
      <w:r w:rsidRPr="0009795E">
        <w:rPr>
          <w:rFonts w:asciiTheme="minorHAnsi" w:hAnsiTheme="minorHAnsi"/>
          <w:b/>
          <w:szCs w:val="24"/>
        </w:rPr>
        <w:t>Development activities</w:t>
      </w:r>
      <w:r w:rsidR="00E43DDA">
        <w:rPr>
          <w:rFonts w:asciiTheme="minorHAnsi" w:hAnsiTheme="minorHAnsi"/>
          <w:b/>
          <w:szCs w:val="24"/>
        </w:rPr>
        <w:t>:</w:t>
      </w:r>
      <w:r w:rsidR="00E43DDA">
        <w:rPr>
          <w:rFonts w:asciiTheme="minorHAnsi" w:hAnsiTheme="minorHAnsi"/>
          <w:szCs w:val="24"/>
        </w:rPr>
        <w:t xml:space="preserve"> </w:t>
      </w:r>
      <w:r w:rsidRPr="0009795E">
        <w:rPr>
          <w:rFonts w:asciiTheme="minorHAnsi" w:hAnsiTheme="minorHAnsi"/>
          <w:szCs w:val="24"/>
        </w:rPr>
        <w:t xml:space="preserve"> costs associated with ‘</w:t>
      </w:r>
      <w:proofErr w:type="spellStart"/>
      <w:r w:rsidRPr="0009795E">
        <w:rPr>
          <w:rFonts w:asciiTheme="minorHAnsi" w:hAnsiTheme="minorHAnsi"/>
          <w:szCs w:val="24"/>
        </w:rPr>
        <w:t>programmes</w:t>
      </w:r>
      <w:proofErr w:type="spellEnd"/>
      <w:r w:rsidRPr="0009795E">
        <w:rPr>
          <w:rFonts w:asciiTheme="minorHAnsi" w:hAnsiTheme="minorHAnsi"/>
          <w:szCs w:val="24"/>
        </w:rPr>
        <w:t>’ and ‘development effectiveness’ activities which contribute to the effective delivery of development results, as follows:</w:t>
      </w:r>
    </w:p>
    <w:p w14:paraId="07E2516E" w14:textId="77777777" w:rsidR="004B27E2" w:rsidRPr="0009795E" w:rsidRDefault="004B27E2" w:rsidP="00F411FD">
      <w:pPr>
        <w:pStyle w:val="NormalWithNumbering2"/>
        <w:numPr>
          <w:ilvl w:val="0"/>
          <w:numId w:val="0"/>
        </w:numPr>
        <w:ind w:left="1440"/>
        <w:rPr>
          <w:rFonts w:asciiTheme="minorHAnsi" w:hAnsiTheme="minorHAnsi"/>
          <w:szCs w:val="24"/>
        </w:rPr>
      </w:pPr>
      <w:proofErr w:type="spellStart"/>
      <w:r w:rsidRPr="0009795E">
        <w:rPr>
          <w:rFonts w:asciiTheme="minorHAnsi" w:hAnsiTheme="minorHAnsi"/>
          <w:i/>
          <w:szCs w:val="24"/>
        </w:rPr>
        <w:t>Programmes</w:t>
      </w:r>
      <w:proofErr w:type="spellEnd"/>
      <w:r w:rsidRPr="0009795E">
        <w:rPr>
          <w:rFonts w:asciiTheme="minorHAnsi" w:hAnsiTheme="minorHAnsi"/>
          <w:szCs w:val="24"/>
        </w:rPr>
        <w:t xml:space="preserve">: activities and associated costs traced to specific </w:t>
      </w:r>
      <w:proofErr w:type="spellStart"/>
      <w:r w:rsidRPr="0009795E">
        <w:rPr>
          <w:rFonts w:asciiTheme="minorHAnsi" w:hAnsiTheme="minorHAnsi"/>
          <w:szCs w:val="24"/>
        </w:rPr>
        <w:t>programme</w:t>
      </w:r>
      <w:proofErr w:type="spellEnd"/>
      <w:r w:rsidRPr="0009795E">
        <w:rPr>
          <w:rFonts w:asciiTheme="minorHAnsi" w:hAnsiTheme="minorHAnsi"/>
          <w:szCs w:val="24"/>
        </w:rPr>
        <w:t xml:space="preserve"> components or projects, which contribute to delivery of development results contained in country/regional/global </w:t>
      </w:r>
      <w:proofErr w:type="spellStart"/>
      <w:r w:rsidRPr="0009795E">
        <w:rPr>
          <w:rFonts w:asciiTheme="minorHAnsi" w:hAnsiTheme="minorHAnsi"/>
          <w:szCs w:val="24"/>
        </w:rPr>
        <w:t>programme</w:t>
      </w:r>
      <w:proofErr w:type="spellEnd"/>
      <w:r w:rsidRPr="0009795E">
        <w:rPr>
          <w:rFonts w:asciiTheme="minorHAnsi" w:hAnsiTheme="minorHAnsi"/>
          <w:szCs w:val="24"/>
        </w:rPr>
        <w:t xml:space="preserve"> documents or other programming arrangements;</w:t>
      </w:r>
    </w:p>
    <w:p w14:paraId="105A93D3" w14:textId="77777777" w:rsidR="004B27E2" w:rsidRPr="0009795E" w:rsidRDefault="004B27E2" w:rsidP="00F411FD">
      <w:pPr>
        <w:pStyle w:val="NormalWithNumbering2"/>
        <w:numPr>
          <w:ilvl w:val="0"/>
          <w:numId w:val="0"/>
        </w:numPr>
        <w:ind w:left="1440"/>
        <w:rPr>
          <w:rFonts w:asciiTheme="minorHAnsi" w:hAnsiTheme="minorHAnsi"/>
        </w:rPr>
      </w:pPr>
      <w:r w:rsidRPr="0009795E">
        <w:rPr>
          <w:rFonts w:asciiTheme="minorHAnsi" w:hAnsiTheme="minorHAnsi"/>
          <w:i/>
        </w:rPr>
        <w:t>Development effectiveness</w:t>
      </w:r>
      <w:r w:rsidRPr="0009795E">
        <w:rPr>
          <w:rFonts w:asciiTheme="minorHAnsi" w:hAnsiTheme="minorHAnsi"/>
        </w:rPr>
        <w:t>:</w:t>
      </w:r>
      <w:r w:rsidRPr="0009795E">
        <w:rPr>
          <w:rFonts w:asciiTheme="minorHAnsi" w:hAnsiTheme="minorHAnsi"/>
          <w:b/>
        </w:rPr>
        <w:t xml:space="preserve">  </w:t>
      </w:r>
      <w:r w:rsidRPr="0009795E">
        <w:rPr>
          <w:rFonts w:asciiTheme="minorHAnsi" w:hAnsiTheme="minorHAnsi"/>
        </w:rPr>
        <w:t xml:space="preserve">the costs of activities of a policy-advisory, technical and implementation nature that are needed for achievement of the objectives of </w:t>
      </w:r>
      <w:proofErr w:type="spellStart"/>
      <w:r w:rsidRPr="0009795E">
        <w:rPr>
          <w:rFonts w:asciiTheme="minorHAnsi" w:hAnsiTheme="minorHAnsi"/>
        </w:rPr>
        <w:t>programmes</w:t>
      </w:r>
      <w:proofErr w:type="spellEnd"/>
      <w:r w:rsidRPr="0009795E">
        <w:rPr>
          <w:rFonts w:asciiTheme="minorHAnsi" w:hAnsiTheme="minorHAnsi"/>
        </w:rPr>
        <w:t xml:space="preserve"> and projects in the focus areas of the organizations. These inputs are essential to the delivery of development results, and are not included in specific </w:t>
      </w:r>
      <w:proofErr w:type="spellStart"/>
      <w:r w:rsidRPr="0009795E">
        <w:rPr>
          <w:rFonts w:asciiTheme="minorHAnsi" w:hAnsiTheme="minorHAnsi"/>
        </w:rPr>
        <w:t>programme</w:t>
      </w:r>
      <w:proofErr w:type="spellEnd"/>
      <w:r w:rsidRPr="0009795E">
        <w:rPr>
          <w:rFonts w:asciiTheme="minorHAnsi" w:hAnsiTheme="minorHAnsi"/>
        </w:rPr>
        <w:t xml:space="preserve"> components or projects in country, regional, or global </w:t>
      </w:r>
      <w:proofErr w:type="spellStart"/>
      <w:r w:rsidRPr="0009795E">
        <w:rPr>
          <w:rFonts w:asciiTheme="minorHAnsi" w:hAnsiTheme="minorHAnsi"/>
        </w:rPr>
        <w:t>programme</w:t>
      </w:r>
      <w:proofErr w:type="spellEnd"/>
      <w:r w:rsidRPr="0009795E">
        <w:rPr>
          <w:rFonts w:asciiTheme="minorHAnsi" w:hAnsiTheme="minorHAnsi"/>
        </w:rPr>
        <w:t xml:space="preserve"> documents.</w:t>
      </w:r>
    </w:p>
    <w:p w14:paraId="7DE5B53A" w14:textId="31C47CEB" w:rsidR="004B27E2" w:rsidRPr="0009795E" w:rsidRDefault="004B27E2" w:rsidP="0009795E">
      <w:pPr>
        <w:pStyle w:val="NormalWithNumbering2"/>
        <w:numPr>
          <w:ilvl w:val="0"/>
          <w:numId w:val="0"/>
        </w:numPr>
        <w:ind w:left="720"/>
        <w:rPr>
          <w:rFonts w:asciiTheme="minorHAnsi" w:hAnsiTheme="minorHAnsi"/>
          <w:iCs/>
        </w:rPr>
      </w:pPr>
      <w:r w:rsidRPr="0009795E">
        <w:rPr>
          <w:rFonts w:asciiTheme="minorHAnsi" w:hAnsiTheme="minorHAnsi"/>
          <w:b/>
          <w:iCs/>
        </w:rPr>
        <w:t>United Nations development coordination</w:t>
      </w:r>
      <w:r w:rsidR="005D48E9">
        <w:rPr>
          <w:rFonts w:asciiTheme="minorHAnsi" w:hAnsiTheme="minorHAnsi"/>
          <w:b/>
          <w:iCs/>
        </w:rPr>
        <w:t>:</w:t>
      </w:r>
      <w:r w:rsidRPr="0009795E">
        <w:rPr>
          <w:rFonts w:asciiTheme="minorHAnsi" w:hAnsiTheme="minorHAnsi"/>
        </w:rPr>
        <w:t xml:space="preserve"> activities and associated costs supporting the coordination of development activities of the United Nations system. </w:t>
      </w:r>
    </w:p>
    <w:p w14:paraId="70667F62" w14:textId="449D7565" w:rsidR="004B27E2" w:rsidRPr="0009795E" w:rsidRDefault="004B27E2" w:rsidP="0009795E">
      <w:pPr>
        <w:pStyle w:val="NormalWithNumbering2"/>
        <w:numPr>
          <w:ilvl w:val="0"/>
          <w:numId w:val="0"/>
        </w:numPr>
        <w:ind w:left="720"/>
        <w:rPr>
          <w:rFonts w:asciiTheme="minorHAnsi" w:hAnsiTheme="minorHAnsi"/>
        </w:rPr>
      </w:pPr>
      <w:r w:rsidRPr="0009795E">
        <w:rPr>
          <w:rFonts w:asciiTheme="minorHAnsi" w:hAnsiTheme="minorHAnsi"/>
          <w:b/>
          <w:iCs/>
        </w:rPr>
        <w:t>Management</w:t>
      </w:r>
      <w:r w:rsidR="005D48E9">
        <w:rPr>
          <w:rFonts w:asciiTheme="minorHAnsi" w:hAnsiTheme="minorHAnsi"/>
          <w:b/>
          <w:iCs/>
        </w:rPr>
        <w:t>:</w:t>
      </w:r>
      <w:r w:rsidR="005D48E9">
        <w:rPr>
          <w:rFonts w:asciiTheme="minorHAnsi" w:hAnsiTheme="minorHAnsi"/>
          <w:iCs/>
        </w:rPr>
        <w:t xml:space="preserve"> </w:t>
      </w:r>
      <w:r w:rsidRPr="0009795E">
        <w:rPr>
          <w:rFonts w:asciiTheme="minorHAnsi" w:hAnsiTheme="minorHAnsi"/>
          <w:iCs/>
        </w:rPr>
        <w:t>activitie</w:t>
      </w:r>
      <w:r w:rsidRPr="0009795E">
        <w:rPr>
          <w:rFonts w:asciiTheme="minorHAnsi" w:hAnsiTheme="minorHAnsi"/>
        </w:rPr>
        <w:t>s and associated costs whose primary function is the promotion of the identity, direction and well-being of an organization. These include executive direction, representation, external relations and partnerships, corporate communications, legal, oversight, audit, corporate evaluation, information technology, finance, administration, security and human resources.</w:t>
      </w:r>
    </w:p>
    <w:p w14:paraId="71191692" w14:textId="038343CC" w:rsidR="00532113" w:rsidRPr="0009795E" w:rsidRDefault="004B27E2" w:rsidP="0009795E">
      <w:pPr>
        <w:pStyle w:val="NormalWithNumbering2"/>
        <w:numPr>
          <w:ilvl w:val="0"/>
          <w:numId w:val="0"/>
        </w:numPr>
        <w:ind w:left="720"/>
        <w:rPr>
          <w:rFonts w:asciiTheme="minorHAnsi" w:hAnsiTheme="minorHAnsi"/>
        </w:rPr>
      </w:pPr>
      <w:r w:rsidRPr="0009795E">
        <w:rPr>
          <w:rFonts w:asciiTheme="minorHAnsi" w:hAnsiTheme="minorHAnsi"/>
          <w:b/>
          <w:iCs/>
        </w:rPr>
        <w:t>Special purpose</w:t>
      </w:r>
      <w:r w:rsidR="005D48E9">
        <w:rPr>
          <w:rFonts w:asciiTheme="minorHAnsi" w:hAnsiTheme="minorHAnsi"/>
          <w:b/>
          <w:iCs/>
        </w:rPr>
        <w:t>:</w:t>
      </w:r>
      <w:r w:rsidRPr="0009795E">
        <w:rPr>
          <w:rFonts w:asciiTheme="minorHAnsi" w:hAnsiTheme="minorHAnsi"/>
        </w:rPr>
        <w:t xml:space="preserve"> activities and associated costs of a cross-cutting nature that (a) involve material capital investments; or (b) do not represent a cost related to the management activities of the organization. </w:t>
      </w:r>
    </w:p>
    <w:sectPr w:rsidR="00532113" w:rsidRPr="0009795E" w:rsidSect="00D431DC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36220D" w16cid:durableId="1DE624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C9CFF" w14:textId="77777777" w:rsidR="00416D98" w:rsidRDefault="00416D98" w:rsidP="00003760">
      <w:r>
        <w:separator/>
      </w:r>
    </w:p>
  </w:endnote>
  <w:endnote w:type="continuationSeparator" w:id="0">
    <w:p w14:paraId="2893EB92" w14:textId="77777777" w:rsidR="00416D98" w:rsidRDefault="00416D98" w:rsidP="0000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08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382D1" w14:textId="082A8295" w:rsidR="00C60742" w:rsidRDefault="00C607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1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28C3533" w14:textId="77777777" w:rsidR="00C60742" w:rsidRDefault="00C60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E3F12" w14:textId="77777777" w:rsidR="00416D98" w:rsidRDefault="00416D98" w:rsidP="00003760">
      <w:r>
        <w:separator/>
      </w:r>
    </w:p>
  </w:footnote>
  <w:footnote w:type="continuationSeparator" w:id="0">
    <w:p w14:paraId="5B118EC2" w14:textId="77777777" w:rsidR="00416D98" w:rsidRDefault="00416D98" w:rsidP="0000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0FEA"/>
    <w:multiLevelType w:val="hybridMultilevel"/>
    <w:tmpl w:val="822E90D8"/>
    <w:lvl w:ilvl="0" w:tplc="AB8A47AA">
      <w:start w:val="1"/>
      <w:numFmt w:val="lowerLetter"/>
      <w:lvlRestart w:val="0"/>
      <w:lvlText w:val="(%1)"/>
      <w:lvlJc w:val="left"/>
      <w:pPr>
        <w:ind w:left="10080" w:hanging="360"/>
      </w:pPr>
    </w:lvl>
    <w:lvl w:ilvl="1" w:tplc="04090019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" w15:restartNumberingAfterBreak="0">
    <w:nsid w:val="26F137F8"/>
    <w:multiLevelType w:val="hybridMultilevel"/>
    <w:tmpl w:val="21D2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3CA4"/>
    <w:multiLevelType w:val="hybridMultilevel"/>
    <w:tmpl w:val="DF5C70BE"/>
    <w:lvl w:ilvl="0" w:tplc="A9FCCECA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D20E0486">
      <w:start w:val="1"/>
      <w:numFmt w:val="lowerLetter"/>
      <w:lvlText w:val="(%2)"/>
      <w:lvlJc w:val="left"/>
      <w:pPr>
        <w:ind w:left="2250" w:hanging="360"/>
      </w:pPr>
      <w:rPr>
        <w:rFonts w:ascii="Times New Roman" w:eastAsia="Calibri" w:hAnsi="Times New Roman" w:cs="Times New Roman"/>
      </w:rPr>
    </w:lvl>
    <w:lvl w:ilvl="2" w:tplc="2584A6CC">
      <w:start w:val="1"/>
      <w:numFmt w:val="lowerRoman"/>
      <w:lvlText w:val="%3."/>
      <w:lvlJc w:val="right"/>
      <w:pPr>
        <w:ind w:left="297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6E7053E"/>
    <w:multiLevelType w:val="multilevel"/>
    <w:tmpl w:val="813E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4"/>
      <w:numFmt w:val="bullet"/>
      <w:lvlText w:val=""/>
      <w:lvlJc w:val="left"/>
      <w:pPr>
        <w:ind w:left="2160" w:hanging="360"/>
      </w:pPr>
      <w:rPr>
        <w:rFonts w:ascii="Symbol" w:eastAsia="Times New Roman" w:hAnsi="Symbol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CA44A0"/>
    <w:multiLevelType w:val="multilevel"/>
    <w:tmpl w:val="BDF63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4"/>
      <w:numFmt w:val="bullet"/>
      <w:lvlText w:val=""/>
      <w:lvlJc w:val="left"/>
      <w:pPr>
        <w:ind w:left="2160" w:hanging="360"/>
      </w:pPr>
      <w:rPr>
        <w:rFonts w:ascii="Symbol" w:eastAsia="Times New Roman" w:hAnsi="Symbol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258A5"/>
    <w:multiLevelType w:val="hybridMultilevel"/>
    <w:tmpl w:val="9BD2424A"/>
    <w:lvl w:ilvl="0" w:tplc="F2B49E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5108E"/>
    <w:multiLevelType w:val="hybridMultilevel"/>
    <w:tmpl w:val="A2844AB0"/>
    <w:lvl w:ilvl="0" w:tplc="984C1D1C">
      <w:start w:val="1"/>
      <w:numFmt w:val="decimal"/>
      <w:pStyle w:val="NormalWithNumbering2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85AFA"/>
    <w:multiLevelType w:val="hybridMultilevel"/>
    <w:tmpl w:val="DA7EA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C02FF9"/>
    <w:multiLevelType w:val="multilevel"/>
    <w:tmpl w:val="E110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4"/>
      <w:numFmt w:val="bullet"/>
      <w:lvlText w:val=""/>
      <w:lvlJc w:val="left"/>
      <w:pPr>
        <w:ind w:left="2160" w:hanging="360"/>
      </w:pPr>
      <w:rPr>
        <w:rFonts w:ascii="Symbol" w:eastAsia="Times New Roman" w:hAnsi="Symbol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E96AF1"/>
    <w:multiLevelType w:val="hybridMultilevel"/>
    <w:tmpl w:val="84B4771C"/>
    <w:lvl w:ilvl="0" w:tplc="BCD26156">
      <w:start w:val="1"/>
      <w:numFmt w:val="decimal"/>
      <w:lvlText w:val="%1."/>
      <w:lvlJc w:val="left"/>
      <w:pPr>
        <w:ind w:left="198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42"/>
    <w:rsid w:val="00003760"/>
    <w:rsid w:val="00003FF1"/>
    <w:rsid w:val="00024C0C"/>
    <w:rsid w:val="00030587"/>
    <w:rsid w:val="00052201"/>
    <w:rsid w:val="0005532D"/>
    <w:rsid w:val="000575E4"/>
    <w:rsid w:val="0009300F"/>
    <w:rsid w:val="0009795E"/>
    <w:rsid w:val="000D4D0C"/>
    <w:rsid w:val="000D6319"/>
    <w:rsid w:val="00102BF6"/>
    <w:rsid w:val="00104AF6"/>
    <w:rsid w:val="001565D1"/>
    <w:rsid w:val="00157A7C"/>
    <w:rsid w:val="0017755E"/>
    <w:rsid w:val="00181C49"/>
    <w:rsid w:val="001E38AF"/>
    <w:rsid w:val="00226CC3"/>
    <w:rsid w:val="00232866"/>
    <w:rsid w:val="00257A51"/>
    <w:rsid w:val="002613A0"/>
    <w:rsid w:val="00292E5F"/>
    <w:rsid w:val="002B051B"/>
    <w:rsid w:val="002C3B1E"/>
    <w:rsid w:val="00375068"/>
    <w:rsid w:val="0038756F"/>
    <w:rsid w:val="003901F8"/>
    <w:rsid w:val="00416D98"/>
    <w:rsid w:val="004279E0"/>
    <w:rsid w:val="00435BFE"/>
    <w:rsid w:val="00446AB2"/>
    <w:rsid w:val="004B27E2"/>
    <w:rsid w:val="004C1C90"/>
    <w:rsid w:val="004E146D"/>
    <w:rsid w:val="00532113"/>
    <w:rsid w:val="005460F9"/>
    <w:rsid w:val="00551A88"/>
    <w:rsid w:val="00591884"/>
    <w:rsid w:val="005A4013"/>
    <w:rsid w:val="005B505A"/>
    <w:rsid w:val="005D48E9"/>
    <w:rsid w:val="005D784D"/>
    <w:rsid w:val="00602B13"/>
    <w:rsid w:val="00633ED8"/>
    <w:rsid w:val="00640E75"/>
    <w:rsid w:val="00680151"/>
    <w:rsid w:val="006C33EE"/>
    <w:rsid w:val="00770DFD"/>
    <w:rsid w:val="00787E5C"/>
    <w:rsid w:val="007A63FD"/>
    <w:rsid w:val="007B14D2"/>
    <w:rsid w:val="007C2971"/>
    <w:rsid w:val="00865F5E"/>
    <w:rsid w:val="0087252E"/>
    <w:rsid w:val="0088741A"/>
    <w:rsid w:val="008A308A"/>
    <w:rsid w:val="008A3297"/>
    <w:rsid w:val="008D7973"/>
    <w:rsid w:val="00907481"/>
    <w:rsid w:val="00922471"/>
    <w:rsid w:val="0092259F"/>
    <w:rsid w:val="009244B4"/>
    <w:rsid w:val="0096332A"/>
    <w:rsid w:val="00963ADB"/>
    <w:rsid w:val="00971824"/>
    <w:rsid w:val="009817B0"/>
    <w:rsid w:val="00A12A49"/>
    <w:rsid w:val="00A21C98"/>
    <w:rsid w:val="00A420D0"/>
    <w:rsid w:val="00A8581A"/>
    <w:rsid w:val="00AF3FE2"/>
    <w:rsid w:val="00B054D6"/>
    <w:rsid w:val="00B11042"/>
    <w:rsid w:val="00B203F0"/>
    <w:rsid w:val="00B42C67"/>
    <w:rsid w:val="00B67A3C"/>
    <w:rsid w:val="00BD05FE"/>
    <w:rsid w:val="00BD6AF7"/>
    <w:rsid w:val="00BF26E2"/>
    <w:rsid w:val="00C355C6"/>
    <w:rsid w:val="00C50B21"/>
    <w:rsid w:val="00C5581F"/>
    <w:rsid w:val="00C60742"/>
    <w:rsid w:val="00C80B86"/>
    <w:rsid w:val="00CC6238"/>
    <w:rsid w:val="00CE6132"/>
    <w:rsid w:val="00CF7D00"/>
    <w:rsid w:val="00D2192D"/>
    <w:rsid w:val="00D417F1"/>
    <w:rsid w:val="00D431DC"/>
    <w:rsid w:val="00D5166F"/>
    <w:rsid w:val="00DB0F63"/>
    <w:rsid w:val="00DF26B1"/>
    <w:rsid w:val="00E15AB6"/>
    <w:rsid w:val="00E43DDA"/>
    <w:rsid w:val="00E83943"/>
    <w:rsid w:val="00E97C2C"/>
    <w:rsid w:val="00EC469D"/>
    <w:rsid w:val="00F411FD"/>
    <w:rsid w:val="00F437C7"/>
    <w:rsid w:val="00F67CF9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87D7"/>
  <w15:chartTrackingRefBased/>
  <w15:docId w15:val="{FDB94BD8-BEE0-044C-B5A6-5F58F0F4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2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7B0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B0"/>
    <w:rPr>
      <w:rFonts w:ascii="Helvetica" w:hAnsi="Helvetic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7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817B0"/>
    <w:rPr>
      <w:color w:val="808080"/>
      <w:shd w:val="clear" w:color="auto" w:fill="E6E6E6"/>
    </w:rPr>
  </w:style>
  <w:style w:type="character" w:styleId="FootnoteReference">
    <w:name w:val="footnote reference"/>
    <w:aliases w:val="ftref"/>
    <w:basedOn w:val="DefaultParagraphFont"/>
    <w:rsid w:val="00003760"/>
    <w:rPr>
      <w:vertAlign w:val="superscript"/>
    </w:rPr>
  </w:style>
  <w:style w:type="paragraph" w:styleId="FootnoteText">
    <w:name w:val="footnote text"/>
    <w:aliases w:val="FOOTNOTES,fn,single space,footnote text,f,ft,Footnote Text 1,Footnote Text Char1,Footnote Text Char Char,Footnote Text Char Char Char,Footnote Text Char2 Char,Footnote Text Char1 Char Char,ALTS FOOTNOTE,ADB"/>
    <w:basedOn w:val="Normal"/>
    <w:link w:val="FootnoteTextChar"/>
    <w:rsid w:val="00003760"/>
    <w:pPr>
      <w:spacing w:after="240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aliases w:val="FOOTNOTES Char,fn Char,single space Char,footnote text Char,f Char,ft Char,Footnote Text 1 Char,Footnote Text Char1 Char,Footnote Text Char Char Char1,Footnote Text Char Char Char Char,Footnote Text Char2 Char Char,ALTS FOOTNOTE Char"/>
    <w:basedOn w:val="DefaultParagraphFont"/>
    <w:link w:val="FootnoteText"/>
    <w:rsid w:val="0000376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NormalWithNumbering2">
    <w:name w:val="Normal With Numbering 2"/>
    <w:basedOn w:val="Normal"/>
    <w:link w:val="NormalWithNumbering2Char"/>
    <w:qFormat/>
    <w:rsid w:val="00003760"/>
    <w:pPr>
      <w:numPr>
        <w:numId w:val="2"/>
      </w:numPr>
      <w:spacing w:after="240"/>
      <w:mirrorIndents/>
    </w:pPr>
    <w:rPr>
      <w:rFonts w:ascii="Times New Roman" w:eastAsia="Calibri" w:hAnsi="Times New Roman" w:cs="Times New Roman"/>
      <w:szCs w:val="22"/>
    </w:rPr>
  </w:style>
  <w:style w:type="character" w:customStyle="1" w:styleId="NormalWithNumbering2Char">
    <w:name w:val="Normal With Numbering 2 Char"/>
    <w:basedOn w:val="DefaultParagraphFont"/>
    <w:link w:val="NormalWithNumbering2"/>
    <w:rsid w:val="00003760"/>
    <w:rPr>
      <w:rFonts w:ascii="Times New Roman" w:eastAsia="Calibri" w:hAnsi="Times New Roman" w:cs="Times New Roman"/>
      <w:szCs w:val="22"/>
    </w:rPr>
  </w:style>
  <w:style w:type="character" w:customStyle="1" w:styleId="last">
    <w:name w:val="last"/>
    <w:basedOn w:val="DefaultParagraphFont"/>
    <w:rsid w:val="004B27E2"/>
  </w:style>
  <w:style w:type="character" w:customStyle="1" w:styleId="Heading1Char">
    <w:name w:val="Heading 1 Char"/>
    <w:basedOn w:val="DefaultParagraphFont"/>
    <w:link w:val="Heading1"/>
    <w:rsid w:val="004B27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ediumGrid1-Accent2Char1">
    <w:name w:val="Medium Grid 1 - Accent 2 Char1"/>
    <w:aliases w:val="List Paragraph (numbered (a)) Char"/>
    <w:link w:val="MediumGrid1-Accent2"/>
    <w:uiPriority w:val="34"/>
    <w:rsid w:val="00532113"/>
    <w:rPr>
      <w:rFonts w:cs="Calibri"/>
      <w:sz w:val="22"/>
      <w:szCs w:val="22"/>
    </w:rPr>
  </w:style>
  <w:style w:type="table" w:styleId="MediumGrid1-Accent2">
    <w:name w:val="Medium Grid 1 Accent 2"/>
    <w:basedOn w:val="TableNormal"/>
    <w:link w:val="MediumGrid1-Accent2Char1"/>
    <w:uiPriority w:val="34"/>
    <w:semiHidden/>
    <w:unhideWhenUsed/>
    <w:rsid w:val="00532113"/>
    <w:rPr>
      <w:rFonts w:cs="Calibr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B1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8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742"/>
  </w:style>
  <w:style w:type="paragraph" w:styleId="Footer">
    <w:name w:val="footer"/>
    <w:basedOn w:val="Normal"/>
    <w:link w:val="FooterChar"/>
    <w:uiPriority w:val="99"/>
    <w:unhideWhenUsed/>
    <w:rsid w:val="00C6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742"/>
  </w:style>
  <w:style w:type="character" w:styleId="FollowedHyperlink">
    <w:name w:val="FollowedHyperlink"/>
    <w:basedOn w:val="DefaultParagraphFont"/>
    <w:uiPriority w:val="99"/>
    <w:semiHidden/>
    <w:unhideWhenUsed/>
    <w:rsid w:val="00104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34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42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content/dam/undp/library/corporate/Partnerships/Funding%20Compendium%202015.pdf" TargetMode="External"/><Relationship Id="rId13" Type="http://schemas.microsoft.com/office/2007/relationships/diagramDrawing" Target="diagrams/drawing1.xml"/><Relationship Id="rId18" Type="http://schemas.openxmlformats.org/officeDocument/2006/relationships/hyperlink" Target="http://www.undp.org/content/dam/undp/library/corporate/Executive%20Board/2013/English/DPFPA2013-1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dp.org/content/dam/undp/library/corporate/Executive%20Board/2018/First-regular-session/dp2018-3.docx" TargetMode="Externa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hyperlink" Target="http://www.undp.org/content/dam/undp/library/corporate/Executive%20Board/2012/second-regular-session/English/DPFPA2012-1.doc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undp.org/content/dam/undp/library/corporate/Executive%20Board/2017/First-regular-session/dp2017-2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hyperlink" Target="http://www.undp.org/content/dam/undp/library/corporate/Executive%20Board/2014/first-regular-session/English/dp2014-2e.pdf" TargetMode="Externa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359BAD-D18A-4EED-B661-AB3B294565E4}" type="doc">
      <dgm:prSet loTypeId="urn:microsoft.com/office/officeart/2005/8/layout/hList6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AEBC8EF8-E811-478D-B4FC-12A8F0D0FE0F}">
      <dgm:prSet phldrT="[Text]" custT="1"/>
      <dgm:spPr>
        <a:xfrm rot="16200000">
          <a:off x="-529965" y="531288"/>
          <a:ext cx="2360507" cy="1297930"/>
        </a:xfrm>
        <a:solidFill>
          <a:srgbClr val="ED7D31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700" b="1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UNDP as operational backbone at country office level</a:t>
          </a:r>
          <a:endParaRPr lang="en-US" sz="700" b="1" dirty="0">
            <a:solidFill>
              <a:sysClr val="windowText" lastClr="000000"/>
            </a:solidFill>
            <a:latin typeface="Times New Roman" charset="0"/>
            <a:ea typeface="+mn-ea"/>
            <a:cs typeface="Times New Roman" charset="0"/>
          </a:endParaRPr>
        </a:p>
      </dgm:t>
    </dgm:pt>
    <dgm:pt modelId="{708A5B9B-6AFE-492C-918B-E587AB077DF3}" type="parTrans" cxnId="{FC55C57E-62AE-4BBD-8A71-DCDC42BCC71E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FB3E2FA5-AE89-4A82-8834-75D7B999466C}" type="sibTrans" cxnId="{FC55C57E-62AE-4BBD-8A71-DCDC42BCC71E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8385D056-11D9-40BD-9BE7-5D986914DC94}">
      <dgm:prSet phldrT="[Text]" custT="1"/>
      <dgm:spPr>
        <a:xfrm rot="16200000">
          <a:off x="-529965" y="531288"/>
          <a:ext cx="2360507" cy="1297930"/>
        </a:xfrm>
        <a:solidFill>
          <a:srgbClr val="ED7D31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Calibri Light"/>
            <a:buAutoNum type="arabicPeriod"/>
          </a:pPr>
          <a:r>
            <a:rPr lang="en-US" sz="70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Enable coordinated, flexible and rapid response to development and emergencies</a:t>
          </a:r>
          <a:endParaRPr lang="en-US" sz="700" dirty="0">
            <a:solidFill>
              <a:sysClr val="windowText" lastClr="000000"/>
            </a:solidFill>
            <a:latin typeface="Times New Roman" charset="0"/>
            <a:ea typeface="+mn-ea"/>
            <a:cs typeface="Times New Roman" charset="0"/>
          </a:endParaRPr>
        </a:p>
      </dgm:t>
    </dgm:pt>
    <dgm:pt modelId="{2947C1BF-E87B-4033-9141-4E347CAF57F2}" type="parTrans" cxnId="{5E27BB13-0118-4D2E-8873-89907AD57A44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8CE2CC23-BF17-4983-947A-8022A781AF23}" type="sibTrans" cxnId="{5E27BB13-0118-4D2E-8873-89907AD57A44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2EF62342-0691-4E44-BF5A-54767DA898E2}">
      <dgm:prSet custT="1"/>
      <dgm:spPr>
        <a:xfrm rot="16200000">
          <a:off x="858310" y="531288"/>
          <a:ext cx="2360507" cy="1297930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L="0"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UNDP as integrator</a:t>
          </a:r>
        </a:p>
      </dgm:t>
    </dgm:pt>
    <dgm:pt modelId="{A81AD520-268A-48CF-B98E-D8B3E760CF3E}" type="parTrans" cxnId="{B08754D0-2EE9-4675-85AD-869E309AEE16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4A430D06-1816-4948-804E-41FA4F50A0FA}" type="sibTrans" cxnId="{B08754D0-2EE9-4675-85AD-869E309AEE16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3B63DECA-478F-466F-8870-0A39ADD44CAB}">
      <dgm:prSet phldrT="[Text]" custT="1"/>
      <dgm:spPr>
        <a:xfrm rot="16200000">
          <a:off x="-529965" y="531288"/>
          <a:ext cx="2360507" cy="1297930"/>
        </a:xfrm>
        <a:solidFill>
          <a:srgbClr val="ED7D31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Calibri Light"/>
            <a:buAutoNum type="arabicPeriod"/>
          </a:pPr>
          <a:r>
            <a:rPr lang="en-US" sz="7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Optimize country support and presence at national and sub-national levels</a:t>
          </a:r>
        </a:p>
      </dgm:t>
    </dgm:pt>
    <dgm:pt modelId="{F5490964-A274-49C5-A457-DA3229C3895D}" type="parTrans" cxnId="{88824622-A5D5-4242-AB8C-BA1D2220784A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3C8BE578-8AFE-4A94-9D00-2E750A5A76C2}" type="sibTrans" cxnId="{88824622-A5D5-4242-AB8C-BA1D2220784A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BD9135A4-DD2F-446B-B1A2-FB79C93A9C25}">
      <dgm:prSet phldrT="[Text]" custT="1"/>
      <dgm:spPr>
        <a:xfrm rot="16200000">
          <a:off x="-529965" y="531288"/>
          <a:ext cx="2360507" cy="1297930"/>
        </a:xfrm>
        <a:solidFill>
          <a:srgbClr val="ED7D31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Calibri Light"/>
            <a:buAutoNum type="arabicPeriod"/>
          </a:pPr>
          <a:r>
            <a:rPr lang="en-US" sz="7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Serve as operational backbone </a:t>
          </a:r>
          <a:r>
            <a:rPr lang="en-US" sz="70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to United Nations </a:t>
          </a:r>
          <a:r>
            <a:rPr lang="en-US" sz="7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system</a:t>
          </a:r>
        </a:p>
      </dgm:t>
    </dgm:pt>
    <dgm:pt modelId="{1E983EA2-02CD-4935-BC7A-C0E2108FF0C4}" type="parTrans" cxnId="{DAFC514A-337D-46AF-9F23-25DC88A1C6F9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AE503158-033E-4952-AD14-B1509E8844E2}" type="sibTrans" cxnId="{DAFC514A-337D-46AF-9F23-25DC88A1C6F9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F5C6494D-B525-4980-A2ED-510F2A2A2D70}">
      <dgm:prSet phldrT="[Text]" custT="1"/>
      <dgm:spPr>
        <a:xfrm rot="16200000">
          <a:off x="858310" y="531288"/>
          <a:ext cx="2360507" cy="1297930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L="114300" marR="0" lvl="1" indent="-114300" algn="l" defTabSz="66675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 typeface="Calibri Light"/>
            <a:buAutoNum type="arabicPeriod"/>
            <a:tabLst/>
            <a:defRPr/>
          </a:pPr>
          <a:r>
            <a:rPr lang="en-US" sz="700" kern="120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Convene across line ministries and development partners to promote ‘whole-of-government’ and ‘whole-of-society’ responses vital for transformational change.</a:t>
          </a:r>
          <a:endParaRPr lang="en-US" sz="700" kern="1200" dirty="0">
            <a:solidFill>
              <a:sysClr val="windowText" lastClr="000000"/>
            </a:solidFill>
            <a:latin typeface="Times New Roman" charset="0"/>
            <a:ea typeface="+mn-ea"/>
            <a:cs typeface="Times New Roman" charset="0"/>
          </a:endParaRPr>
        </a:p>
      </dgm:t>
    </dgm:pt>
    <dgm:pt modelId="{293D6FA0-4D64-457B-90A3-BEB483C8F569}" type="parTrans" cxnId="{86AE0860-17EF-4FC8-9A88-0245ED42352B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921F753F-6ADF-49E5-9338-5CC0E6296C64}" type="sibTrans" cxnId="{86AE0860-17EF-4FC8-9A88-0245ED42352B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574B1DDE-CDAD-4189-8C1D-F4A18E5D43C8}">
      <dgm:prSet phldrT="[Text]" custT="1"/>
      <dgm:spPr>
        <a:xfrm rot="16200000">
          <a:off x="-529965" y="531288"/>
          <a:ext cx="2360507" cy="1297930"/>
        </a:xfrm>
        <a:solidFill>
          <a:srgbClr val="ED7D31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Calibri Light"/>
            <a:buAutoNum type="arabicPeriod"/>
          </a:pPr>
          <a:r>
            <a:rPr lang="en-US" sz="7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Sustain long-term trusted relationships through the country office network</a:t>
          </a:r>
        </a:p>
      </dgm:t>
    </dgm:pt>
    <dgm:pt modelId="{10AF2417-AD5A-45CF-B3B6-696B08D22480}" type="sibTrans" cxnId="{9F642515-452F-4F90-8A48-1A3B9B46FAD0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218E178D-885C-42ED-A7E2-7FA2E721B88E}" type="parTrans" cxnId="{9F642515-452F-4F90-8A48-1A3B9B46FAD0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8D563398-402B-4DF9-BC24-4BA70EA1E4DA}">
      <dgm:prSet custT="1"/>
      <dgm:spPr>
        <a:xfrm rot="16200000">
          <a:off x="858310" y="531288"/>
          <a:ext cx="2360507" cy="1297930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L="114300" marR="0" lvl="1" indent="-114300" algn="l" defTabSz="66675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 typeface="Calibri Light"/>
            <a:buAutoNum type="arabicPeriod"/>
            <a:tabLst/>
            <a:defRPr/>
          </a:pPr>
          <a:endParaRPr lang="en-US" sz="700" kern="1200" dirty="0">
            <a:solidFill>
              <a:sysClr val="windowText" lastClr="000000"/>
            </a:solidFill>
            <a:latin typeface="Times New Roman" charset="0"/>
            <a:ea typeface="+mn-ea"/>
            <a:cs typeface="Times New Roman" charset="0"/>
          </a:endParaRPr>
        </a:p>
      </dgm:t>
    </dgm:pt>
    <dgm:pt modelId="{1508D8D1-ABA2-4DA1-8340-FBF7CB2BC8ED}" type="parTrans" cxnId="{8CA3217D-6441-4459-B00B-26D06716FBF6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79B9EA82-ED3A-48D0-9FD7-D5E48F259248}" type="sibTrans" cxnId="{8CA3217D-6441-4459-B00B-26D06716FBF6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A404EBFF-B861-4902-9A9B-6EADF3BF516F}">
      <dgm:prSet custT="1"/>
      <dgm:spPr>
        <a:xfrm rot="16200000">
          <a:off x="3655858" y="531288"/>
          <a:ext cx="2360507" cy="1297930"/>
        </a:xfr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L="114300" marR="0" lvl="1" indent="-114300" algn="l" defTabSz="66675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 typeface="+mj-lt"/>
            <a:buNone/>
            <a:tabLst/>
            <a:defRPr/>
          </a:pPr>
          <a:r>
            <a:rPr lang="en-US" sz="700" b="1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Leveraging financing for sustainable development goals</a:t>
          </a:r>
        </a:p>
        <a:p>
          <a:pPr marL="114300" marR="0" lvl="1" indent="-114300" algn="l" defTabSz="66675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 typeface="Calibri Light"/>
            <a:buAutoNum type="arabicPeriod"/>
            <a:tabLst/>
            <a:defRPr/>
          </a:pPr>
          <a:r>
            <a:rPr lang="en-US" sz="700" b="0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1. Support </a:t>
          </a:r>
          <a:r>
            <a:rPr lang="en-US" sz="700" b="0" kern="1200" dirty="0" err="1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programme</a:t>
          </a:r>
          <a:r>
            <a:rPr lang="en-US" sz="700" b="0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 countries to plan, access, leverage and measure financing for the sustainable development goals, with focused support to low-income countries and least developed countries</a:t>
          </a:r>
          <a:endParaRPr lang="en-US" sz="700" b="1" kern="1200" dirty="0">
            <a:solidFill>
              <a:sysClr val="windowText" lastClr="000000"/>
            </a:solidFill>
            <a:latin typeface="Times New Roman" charset="0"/>
            <a:ea typeface="+mn-ea"/>
            <a:cs typeface="Times New Roman" charset="0"/>
          </a:endParaRPr>
        </a:p>
      </dgm:t>
    </dgm:pt>
    <dgm:pt modelId="{80AEE0B8-78EA-42DE-8C5B-A07E1CF7F5D2}" type="parTrans" cxnId="{40F300DE-9F48-4270-8DC1-31CF96162AD7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DBC4B4B5-8CEB-4FF3-8280-0DCB75B300F3}" type="sibTrans" cxnId="{40F300DE-9F48-4270-8DC1-31CF96162AD7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5FA327BD-3C39-4677-A606-A3B147C8FCA9}">
      <dgm:prSet phldrT="[Text]" custT="1"/>
      <dgm:spPr>
        <a:xfrm rot="16200000">
          <a:off x="858310" y="531288"/>
          <a:ext cx="2360507" cy="1297930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 typeface="Calibri Light"/>
            <a:buAutoNum type="arabicPeriod"/>
          </a:pPr>
          <a:r>
            <a:rPr lang="en-US" sz="700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Deliver results through two platforms for effective support to the 2030 Agenda as follows;      (a) Country Support Platforms for the sustainable development goals and (b) Global Development Advisory and Implementation Services Platform</a:t>
          </a:r>
        </a:p>
      </dgm:t>
    </dgm:pt>
    <dgm:pt modelId="{F057DE7C-ED50-49B6-B337-EAE3766BB2DC}" type="parTrans" cxnId="{254372D5-E030-4D41-9C9F-39249779842B}">
      <dgm:prSet/>
      <dgm:spPr/>
      <dgm:t>
        <a:bodyPr/>
        <a:lstStyle/>
        <a:p>
          <a:endParaRPr lang="en-US" sz="700">
            <a:latin typeface="Times New Roman" charset="0"/>
            <a:ea typeface="Times New Roman" charset="0"/>
            <a:cs typeface="Times New Roman" charset="0"/>
          </a:endParaRPr>
        </a:p>
      </dgm:t>
    </dgm:pt>
    <dgm:pt modelId="{CA6061C5-0CCC-49C4-9FCE-424C90800339}" type="sibTrans" cxnId="{254372D5-E030-4D41-9C9F-39249779842B}">
      <dgm:prSet/>
      <dgm:spPr/>
      <dgm:t>
        <a:bodyPr/>
        <a:lstStyle/>
        <a:p>
          <a:endParaRPr lang="en-US" sz="700">
            <a:latin typeface="Times New Roman" charset="0"/>
            <a:ea typeface="Times New Roman" charset="0"/>
            <a:cs typeface="Times New Roman" charset="0"/>
          </a:endParaRPr>
        </a:p>
      </dgm:t>
    </dgm:pt>
    <dgm:pt modelId="{6C2F0234-00F1-4D56-9BB8-CF0C1CF7EC1C}">
      <dgm:prSet custT="1"/>
      <dgm:spPr>
        <a:xfrm rot="16200000">
          <a:off x="2260583" y="531288"/>
          <a:ext cx="2360507" cy="1297930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L="0" marR="0" lvl="1" indent="0" algn="l" defTabSz="66675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 typeface="Arial" panose="020B0604020202020204" pitchFamily="34" charset="0"/>
            <a:buNone/>
            <a:tabLst/>
            <a:defRPr/>
          </a:pPr>
          <a:r>
            <a:rPr lang="en-US" sz="700" b="1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Thought leadership, innovation, and quality assurance</a:t>
          </a:r>
        </a:p>
        <a:p>
          <a:pPr marL="0" marR="0" lvl="1" indent="0" algn="l" defTabSz="66675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 typeface="Arial" panose="020B0604020202020204" pitchFamily="34" charset="0"/>
            <a:buNone/>
            <a:tabLst/>
            <a:defRPr/>
          </a:pPr>
          <a:r>
            <a:rPr lang="en-US" sz="700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1. Enhance thought leadership, expertise and technologies, innovation, quality assurance, Monitoring and Evaluation </a:t>
          </a:r>
        </a:p>
        <a:p>
          <a:pPr marL="0" marR="0" lvl="1" indent="0" algn="l" defTabSz="66675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 typeface="Arial" panose="020B0604020202020204" pitchFamily="34" charset="0"/>
            <a:buNone/>
            <a:tabLst/>
            <a:defRPr/>
          </a:pPr>
          <a:r>
            <a:rPr lang="en-US" sz="700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2. Develop top line knowledge management practices and systems, enabling access to specialized expertise</a:t>
          </a:r>
        </a:p>
      </dgm:t>
    </dgm:pt>
    <dgm:pt modelId="{AE69CCA4-58A3-46E5-B6FD-D51009073F0B}" type="sibTrans" cxnId="{7EE8F931-A589-40D9-89F3-C9B52CDD9419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A9B5E4E4-8E5D-4DCB-B117-A04687925BE4}" type="parTrans" cxnId="{7EE8F931-A589-40D9-89F3-C9B52CDD9419}">
      <dgm:prSet/>
      <dgm:spPr/>
      <dgm:t>
        <a:bodyPr/>
        <a:lstStyle/>
        <a:p>
          <a:endParaRPr lang="en-US" sz="700">
            <a:solidFill>
              <a:schemeClr val="tx1"/>
            </a:solidFill>
            <a:latin typeface="Times New Roman" charset="0"/>
            <a:ea typeface="Times New Roman" charset="0"/>
            <a:cs typeface="Times New Roman" charset="0"/>
          </a:endParaRPr>
        </a:p>
      </dgm:t>
    </dgm:pt>
    <dgm:pt modelId="{076857D2-B2DC-4AF1-9138-285909B4876E}" type="pres">
      <dgm:prSet presAssocID="{C8359BAD-D18A-4EED-B661-AB3B294565E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F35F30C-814D-4DD0-AC58-865C28668FAA}" type="pres">
      <dgm:prSet presAssocID="{AEBC8EF8-E811-478D-B4FC-12A8F0D0FE0F}" presName="node" presStyleLbl="node1" presStyleIdx="0" presStyleCnt="4">
        <dgm:presLayoutVars>
          <dgm:bulletEnabled val="1"/>
        </dgm:presLayoutVars>
      </dgm:prSet>
      <dgm:spPr>
        <a:prstGeom prst="flowChartManualOperation">
          <a:avLst/>
        </a:prstGeom>
      </dgm:spPr>
      <dgm:t>
        <a:bodyPr/>
        <a:lstStyle/>
        <a:p>
          <a:endParaRPr lang="en-US"/>
        </a:p>
      </dgm:t>
    </dgm:pt>
    <dgm:pt modelId="{DBAF3345-7577-47E2-946C-39B3E63AA68C}" type="pres">
      <dgm:prSet presAssocID="{FB3E2FA5-AE89-4A82-8834-75D7B999466C}" presName="sibTrans" presStyleCnt="0"/>
      <dgm:spPr/>
    </dgm:pt>
    <dgm:pt modelId="{7FC4C69F-984C-4B83-9150-650E736DF896}" type="pres">
      <dgm:prSet presAssocID="{2EF62342-0691-4E44-BF5A-54767DA898E2}" presName="node" presStyleLbl="node1" presStyleIdx="1" presStyleCnt="4" custLinFactNeighborX="-7189" custLinFactNeighborY="-307">
        <dgm:presLayoutVars>
          <dgm:bulletEnabled val="1"/>
        </dgm:presLayoutVars>
      </dgm:prSet>
      <dgm:spPr>
        <a:prstGeom prst="flowChartManualOperation">
          <a:avLst/>
        </a:prstGeom>
      </dgm:spPr>
      <dgm:t>
        <a:bodyPr/>
        <a:lstStyle/>
        <a:p>
          <a:endParaRPr lang="en-US"/>
        </a:p>
      </dgm:t>
    </dgm:pt>
    <dgm:pt modelId="{3B7CA8F2-A3C0-45DB-882A-2F8957D2A913}" type="pres">
      <dgm:prSet presAssocID="{4A430D06-1816-4948-804E-41FA4F50A0FA}" presName="sibTrans" presStyleCnt="0"/>
      <dgm:spPr/>
    </dgm:pt>
    <dgm:pt modelId="{326E76AB-A2E0-4135-A6F2-5B16534899C0}" type="pres">
      <dgm:prSet presAssocID="{6C2F0234-00F1-4D56-9BB8-CF0C1CF7EC1C}" presName="node" presStyleLbl="node1" presStyleIdx="2" presStyleCnt="4" custLinFactNeighborY="0">
        <dgm:presLayoutVars>
          <dgm:bulletEnabled val="1"/>
        </dgm:presLayoutVars>
      </dgm:prSet>
      <dgm:spPr>
        <a:prstGeom prst="flowChartManualOperation">
          <a:avLst/>
        </a:prstGeom>
      </dgm:spPr>
      <dgm:t>
        <a:bodyPr/>
        <a:lstStyle/>
        <a:p>
          <a:endParaRPr lang="en-US"/>
        </a:p>
      </dgm:t>
    </dgm:pt>
    <dgm:pt modelId="{83015608-2E9A-422F-8F53-FE70D18D5A1E}" type="pres">
      <dgm:prSet presAssocID="{AE69CCA4-58A3-46E5-B6FD-D51009073F0B}" presName="sibTrans" presStyleCnt="0"/>
      <dgm:spPr/>
    </dgm:pt>
    <dgm:pt modelId="{371E8B3D-2B60-41EB-9E16-2809D8B0D53F}" type="pres">
      <dgm:prSet presAssocID="{A404EBFF-B861-4902-9A9B-6EADF3BF516F}" presName="node" presStyleLbl="node1" presStyleIdx="3" presStyleCnt="4">
        <dgm:presLayoutVars>
          <dgm:bulletEnabled val="1"/>
        </dgm:presLayoutVars>
      </dgm:prSet>
      <dgm:spPr>
        <a:prstGeom prst="flowChartManualOperation">
          <a:avLst/>
        </a:prstGeom>
      </dgm:spPr>
      <dgm:t>
        <a:bodyPr/>
        <a:lstStyle/>
        <a:p>
          <a:endParaRPr lang="en-US"/>
        </a:p>
      </dgm:t>
    </dgm:pt>
  </dgm:ptLst>
  <dgm:cxnLst>
    <dgm:cxn modelId="{254372D5-E030-4D41-9C9F-39249779842B}" srcId="{2EF62342-0691-4E44-BF5A-54767DA898E2}" destId="{5FA327BD-3C39-4677-A606-A3B147C8FCA9}" srcOrd="0" destOrd="0" parTransId="{F057DE7C-ED50-49B6-B337-EAE3766BB2DC}" sibTransId="{CA6061C5-0CCC-49C4-9FCE-424C90800339}"/>
    <dgm:cxn modelId="{602DA841-F660-42FF-A1C4-FDD8EA12C8BC}" type="presOf" srcId="{6C2F0234-00F1-4D56-9BB8-CF0C1CF7EC1C}" destId="{326E76AB-A2E0-4135-A6F2-5B16534899C0}" srcOrd="0" destOrd="0" presId="urn:microsoft.com/office/officeart/2005/8/layout/hList6"/>
    <dgm:cxn modelId="{C41532FF-A070-4B6B-B289-406A22796859}" type="presOf" srcId="{8385D056-11D9-40BD-9BE7-5D986914DC94}" destId="{9F35F30C-814D-4DD0-AC58-865C28668FAA}" srcOrd="0" destOrd="3" presId="urn:microsoft.com/office/officeart/2005/8/layout/hList6"/>
    <dgm:cxn modelId="{0349C582-6E19-4299-ADD8-8781BEB45363}" type="presOf" srcId="{2EF62342-0691-4E44-BF5A-54767DA898E2}" destId="{7FC4C69F-984C-4B83-9150-650E736DF896}" srcOrd="0" destOrd="0" presId="urn:microsoft.com/office/officeart/2005/8/layout/hList6"/>
    <dgm:cxn modelId="{86AE0860-17EF-4FC8-9A88-0245ED42352B}" srcId="{2EF62342-0691-4E44-BF5A-54767DA898E2}" destId="{F5C6494D-B525-4980-A2ED-510F2A2A2D70}" srcOrd="1" destOrd="0" parTransId="{293D6FA0-4D64-457B-90A3-BEB483C8F569}" sibTransId="{921F753F-6ADF-49E5-9338-5CC0E6296C64}"/>
    <dgm:cxn modelId="{0A31930F-1B23-49D7-99DC-5243149C2CF7}" type="presOf" srcId="{AEBC8EF8-E811-478D-B4FC-12A8F0D0FE0F}" destId="{9F35F30C-814D-4DD0-AC58-865C28668FAA}" srcOrd="0" destOrd="0" presId="urn:microsoft.com/office/officeart/2005/8/layout/hList6"/>
    <dgm:cxn modelId="{BC997817-81D8-4B92-8F5C-816F431915AD}" type="presOf" srcId="{5FA327BD-3C39-4677-A606-A3B147C8FCA9}" destId="{7FC4C69F-984C-4B83-9150-650E736DF896}" srcOrd="0" destOrd="1" presId="urn:microsoft.com/office/officeart/2005/8/layout/hList6"/>
    <dgm:cxn modelId="{88824622-A5D5-4242-AB8C-BA1D2220784A}" srcId="{AEBC8EF8-E811-478D-B4FC-12A8F0D0FE0F}" destId="{3B63DECA-478F-466F-8870-0A39ADD44CAB}" srcOrd="1" destOrd="0" parTransId="{F5490964-A274-49C5-A457-DA3229C3895D}" sibTransId="{3C8BE578-8AFE-4A94-9D00-2E750A5A76C2}"/>
    <dgm:cxn modelId="{9F642515-452F-4F90-8A48-1A3B9B46FAD0}" srcId="{AEBC8EF8-E811-478D-B4FC-12A8F0D0FE0F}" destId="{574B1DDE-CDAD-4189-8C1D-F4A18E5D43C8}" srcOrd="0" destOrd="0" parTransId="{218E178D-885C-42ED-A7E2-7FA2E721B88E}" sibTransId="{10AF2417-AD5A-45CF-B3B6-696B08D22480}"/>
    <dgm:cxn modelId="{8CA3217D-6441-4459-B00B-26D06716FBF6}" srcId="{2EF62342-0691-4E44-BF5A-54767DA898E2}" destId="{8D563398-402B-4DF9-BC24-4BA70EA1E4DA}" srcOrd="2" destOrd="0" parTransId="{1508D8D1-ABA2-4DA1-8340-FBF7CB2BC8ED}" sibTransId="{79B9EA82-ED3A-48D0-9FD7-D5E48F259248}"/>
    <dgm:cxn modelId="{78A73827-1B4F-4D6D-93BD-6830A15ACD49}" type="presOf" srcId="{BD9135A4-DD2F-446B-B1A2-FB79C93A9C25}" destId="{9F35F30C-814D-4DD0-AC58-865C28668FAA}" srcOrd="0" destOrd="4" presId="urn:microsoft.com/office/officeart/2005/8/layout/hList6"/>
    <dgm:cxn modelId="{B5C33A4E-C6CF-4A34-A12C-0D00EFB044D9}" type="presOf" srcId="{C8359BAD-D18A-4EED-B661-AB3B294565E4}" destId="{076857D2-B2DC-4AF1-9138-285909B4876E}" srcOrd="0" destOrd="0" presId="urn:microsoft.com/office/officeart/2005/8/layout/hList6"/>
    <dgm:cxn modelId="{F2994295-2A8E-4A46-B8CB-A3B0BEE6EF87}" type="presOf" srcId="{F5C6494D-B525-4980-A2ED-510F2A2A2D70}" destId="{7FC4C69F-984C-4B83-9150-650E736DF896}" srcOrd="0" destOrd="2" presId="urn:microsoft.com/office/officeart/2005/8/layout/hList6"/>
    <dgm:cxn modelId="{94F7257E-EF68-4335-BAA6-66FC7E298538}" type="presOf" srcId="{574B1DDE-CDAD-4189-8C1D-F4A18E5D43C8}" destId="{9F35F30C-814D-4DD0-AC58-865C28668FAA}" srcOrd="0" destOrd="1" presId="urn:microsoft.com/office/officeart/2005/8/layout/hList6"/>
    <dgm:cxn modelId="{7EE8F931-A589-40D9-89F3-C9B52CDD9419}" srcId="{C8359BAD-D18A-4EED-B661-AB3B294565E4}" destId="{6C2F0234-00F1-4D56-9BB8-CF0C1CF7EC1C}" srcOrd="2" destOrd="0" parTransId="{A9B5E4E4-8E5D-4DCB-B117-A04687925BE4}" sibTransId="{AE69CCA4-58A3-46E5-B6FD-D51009073F0B}"/>
    <dgm:cxn modelId="{B08754D0-2EE9-4675-85AD-869E309AEE16}" srcId="{C8359BAD-D18A-4EED-B661-AB3B294565E4}" destId="{2EF62342-0691-4E44-BF5A-54767DA898E2}" srcOrd="1" destOrd="0" parTransId="{A81AD520-268A-48CF-B98E-D8B3E760CF3E}" sibTransId="{4A430D06-1816-4948-804E-41FA4F50A0FA}"/>
    <dgm:cxn modelId="{23CE07E9-B403-45AC-BDA8-58B285C2A4D6}" type="presOf" srcId="{A404EBFF-B861-4902-9A9B-6EADF3BF516F}" destId="{371E8B3D-2B60-41EB-9E16-2809D8B0D53F}" srcOrd="0" destOrd="0" presId="urn:microsoft.com/office/officeart/2005/8/layout/hList6"/>
    <dgm:cxn modelId="{FC55C57E-62AE-4BBD-8A71-DCDC42BCC71E}" srcId="{C8359BAD-D18A-4EED-B661-AB3B294565E4}" destId="{AEBC8EF8-E811-478D-B4FC-12A8F0D0FE0F}" srcOrd="0" destOrd="0" parTransId="{708A5B9B-6AFE-492C-918B-E587AB077DF3}" sibTransId="{FB3E2FA5-AE89-4A82-8834-75D7B999466C}"/>
    <dgm:cxn modelId="{3123AD49-74E7-4515-90FA-4E531B555B00}" type="presOf" srcId="{8D563398-402B-4DF9-BC24-4BA70EA1E4DA}" destId="{7FC4C69F-984C-4B83-9150-650E736DF896}" srcOrd="0" destOrd="3" presId="urn:microsoft.com/office/officeart/2005/8/layout/hList6"/>
    <dgm:cxn modelId="{8C6C1B2D-819C-4ECE-A51E-ED5D59B8BEF1}" type="presOf" srcId="{3B63DECA-478F-466F-8870-0A39ADD44CAB}" destId="{9F35F30C-814D-4DD0-AC58-865C28668FAA}" srcOrd="0" destOrd="2" presId="urn:microsoft.com/office/officeart/2005/8/layout/hList6"/>
    <dgm:cxn modelId="{DAFC514A-337D-46AF-9F23-25DC88A1C6F9}" srcId="{AEBC8EF8-E811-478D-B4FC-12A8F0D0FE0F}" destId="{BD9135A4-DD2F-446B-B1A2-FB79C93A9C25}" srcOrd="3" destOrd="0" parTransId="{1E983EA2-02CD-4935-BC7A-C0E2108FF0C4}" sibTransId="{AE503158-033E-4952-AD14-B1509E8844E2}"/>
    <dgm:cxn modelId="{40F300DE-9F48-4270-8DC1-31CF96162AD7}" srcId="{C8359BAD-D18A-4EED-B661-AB3B294565E4}" destId="{A404EBFF-B861-4902-9A9B-6EADF3BF516F}" srcOrd="3" destOrd="0" parTransId="{80AEE0B8-78EA-42DE-8C5B-A07E1CF7F5D2}" sibTransId="{DBC4B4B5-8CEB-4FF3-8280-0DCB75B300F3}"/>
    <dgm:cxn modelId="{5E27BB13-0118-4D2E-8873-89907AD57A44}" srcId="{AEBC8EF8-E811-478D-B4FC-12A8F0D0FE0F}" destId="{8385D056-11D9-40BD-9BE7-5D986914DC94}" srcOrd="2" destOrd="0" parTransId="{2947C1BF-E87B-4033-9141-4E347CAF57F2}" sibTransId="{8CE2CC23-BF17-4983-947A-8022A781AF23}"/>
    <dgm:cxn modelId="{4E7F60CF-D96D-4220-A3B3-02FE924DDCD4}" type="presParOf" srcId="{076857D2-B2DC-4AF1-9138-285909B4876E}" destId="{9F35F30C-814D-4DD0-AC58-865C28668FAA}" srcOrd="0" destOrd="0" presId="urn:microsoft.com/office/officeart/2005/8/layout/hList6"/>
    <dgm:cxn modelId="{B3645EF7-A4C0-479D-9676-E7EAFE04E21D}" type="presParOf" srcId="{076857D2-B2DC-4AF1-9138-285909B4876E}" destId="{DBAF3345-7577-47E2-946C-39B3E63AA68C}" srcOrd="1" destOrd="0" presId="urn:microsoft.com/office/officeart/2005/8/layout/hList6"/>
    <dgm:cxn modelId="{D73AB679-9AB2-460A-9E36-02039F563431}" type="presParOf" srcId="{076857D2-B2DC-4AF1-9138-285909B4876E}" destId="{7FC4C69F-984C-4B83-9150-650E736DF896}" srcOrd="2" destOrd="0" presId="urn:microsoft.com/office/officeart/2005/8/layout/hList6"/>
    <dgm:cxn modelId="{75134BF0-5F59-4462-B853-AD1614B6F880}" type="presParOf" srcId="{076857D2-B2DC-4AF1-9138-285909B4876E}" destId="{3B7CA8F2-A3C0-45DB-882A-2F8957D2A913}" srcOrd="3" destOrd="0" presId="urn:microsoft.com/office/officeart/2005/8/layout/hList6"/>
    <dgm:cxn modelId="{27084073-F87A-4ADF-B62A-6DC6F3F5D795}" type="presParOf" srcId="{076857D2-B2DC-4AF1-9138-285909B4876E}" destId="{326E76AB-A2E0-4135-A6F2-5B16534899C0}" srcOrd="4" destOrd="0" presId="urn:microsoft.com/office/officeart/2005/8/layout/hList6"/>
    <dgm:cxn modelId="{5F293C7A-DB99-4F70-B5B7-DF0FC59BDB29}" type="presParOf" srcId="{076857D2-B2DC-4AF1-9138-285909B4876E}" destId="{83015608-2E9A-422F-8F53-FE70D18D5A1E}" srcOrd="5" destOrd="0" presId="urn:microsoft.com/office/officeart/2005/8/layout/hList6"/>
    <dgm:cxn modelId="{41DD3770-6D22-447C-AC9C-20A0AED3E545}" type="presParOf" srcId="{076857D2-B2DC-4AF1-9138-285909B4876E}" destId="{371E8B3D-2B60-41EB-9E16-2809D8B0D53F}" srcOrd="6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35F30C-814D-4DD0-AC58-865C28668FAA}">
      <dsp:nvSpPr>
        <dsp:cNvPr id="0" name=""/>
        <dsp:cNvSpPr/>
      </dsp:nvSpPr>
      <dsp:spPr>
        <a:xfrm rot="16200000">
          <a:off x="-532640" y="534137"/>
          <a:ext cx="2537460" cy="1469184"/>
        </a:xfrm>
        <a:prstGeom prst="flowChartManualOperation">
          <a:avLst/>
        </a:prstGeom>
        <a:solidFill>
          <a:srgbClr val="ED7D31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0" rIns="44450" bIns="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UNDP as operational backbone at country office level</a:t>
          </a:r>
          <a:endParaRPr lang="en-US" sz="700" b="1" kern="1200" dirty="0">
            <a:solidFill>
              <a:sysClr val="windowText" lastClr="000000"/>
            </a:solidFill>
            <a:latin typeface="Times New Roman" charset="0"/>
            <a:ea typeface="+mn-ea"/>
            <a:cs typeface="Times New Roman" charset="0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 Light"/>
            <a:buChar char="••"/>
          </a:pPr>
          <a:r>
            <a:rPr lang="en-US" sz="700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Sustain long-term trusted relationships through the country office network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 Light"/>
            <a:buChar char="••"/>
          </a:pPr>
          <a:r>
            <a:rPr lang="en-US" sz="700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Optimize country support and presence at national and sub-national levels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 Light"/>
            <a:buChar char="••"/>
          </a:pPr>
          <a:r>
            <a:rPr lang="en-US" sz="700" kern="120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Enable coordinated, flexible and rapid response to development and emergencies</a:t>
          </a:r>
          <a:endParaRPr lang="en-US" sz="700" kern="1200" dirty="0">
            <a:solidFill>
              <a:sysClr val="windowText" lastClr="000000"/>
            </a:solidFill>
            <a:latin typeface="Times New Roman" charset="0"/>
            <a:ea typeface="+mn-ea"/>
            <a:cs typeface="Times New Roman" charset="0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 Light"/>
            <a:buChar char="••"/>
          </a:pPr>
          <a:r>
            <a:rPr lang="en-US" sz="700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Serve as operational backbone </a:t>
          </a:r>
          <a:r>
            <a:rPr lang="en-US" sz="700" kern="120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to United Nations </a:t>
          </a:r>
          <a:r>
            <a:rPr lang="en-US" sz="700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system</a:t>
          </a:r>
        </a:p>
      </dsp:txBody>
      <dsp:txXfrm rot="5400000">
        <a:off x="1498" y="507491"/>
        <a:ext cx="1469184" cy="1522476"/>
      </dsp:txXfrm>
    </dsp:sp>
    <dsp:sp modelId="{7FC4C69F-984C-4B83-9150-650E736DF896}">
      <dsp:nvSpPr>
        <dsp:cNvPr id="0" name=""/>
        <dsp:cNvSpPr/>
      </dsp:nvSpPr>
      <dsp:spPr>
        <a:xfrm rot="16200000">
          <a:off x="1038811" y="534137"/>
          <a:ext cx="2537460" cy="1469184"/>
        </a:xfrm>
        <a:prstGeom prst="flowChartManualOperation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0" rIns="44450" bIns="0" numCol="1" spcCol="1270" anchor="t" anchorCtr="0">
          <a:noAutofit/>
        </a:bodyPr>
        <a:lstStyle/>
        <a:p>
          <a:pPr marL="0"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UNDP as integrator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 typeface="Calibri Light"/>
            <a:buChar char="••"/>
          </a:pPr>
          <a:r>
            <a:rPr lang="en-US" sz="700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Deliver results through two platforms for effective support to the 2030 Agenda as follows;      (a) Country Support Platforms for the sustainable development goals and (b) Global Development Advisory and Implementation Services Platform</a:t>
          </a:r>
        </a:p>
        <a:p>
          <a:pPr marL="114300" marR="0" lvl="1" indent="-114300" algn="l" defTabSz="66675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 typeface="Calibri Light"/>
            <a:buChar char="••"/>
            <a:tabLst/>
            <a:defRPr/>
          </a:pPr>
          <a:r>
            <a:rPr lang="en-US" sz="700" kern="120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Convene across line ministries and development partners to promote ‘whole-of-government’ and ‘whole-of-society’ responses vital for transformational change.</a:t>
          </a:r>
          <a:endParaRPr lang="en-US" sz="700" kern="1200" dirty="0">
            <a:solidFill>
              <a:sysClr val="windowText" lastClr="000000"/>
            </a:solidFill>
            <a:latin typeface="Times New Roman" charset="0"/>
            <a:ea typeface="+mn-ea"/>
            <a:cs typeface="Times New Roman" charset="0"/>
          </a:endParaRPr>
        </a:p>
        <a:p>
          <a:pPr marL="114300" marR="0" lvl="1" indent="-114300" algn="l" defTabSz="66675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 typeface="Calibri Light"/>
            <a:buChar char="••"/>
            <a:tabLst/>
            <a:defRPr/>
          </a:pPr>
          <a:endParaRPr lang="en-US" sz="700" kern="1200" dirty="0">
            <a:solidFill>
              <a:sysClr val="windowText" lastClr="000000"/>
            </a:solidFill>
            <a:latin typeface="Times New Roman" charset="0"/>
            <a:ea typeface="+mn-ea"/>
            <a:cs typeface="Times New Roman" charset="0"/>
          </a:endParaRPr>
        </a:p>
      </dsp:txBody>
      <dsp:txXfrm rot="5400000">
        <a:off x="1572949" y="507491"/>
        <a:ext cx="1469184" cy="1522476"/>
      </dsp:txXfrm>
    </dsp:sp>
    <dsp:sp modelId="{326E76AB-A2E0-4135-A6F2-5B16534899C0}">
      <dsp:nvSpPr>
        <dsp:cNvPr id="0" name=""/>
        <dsp:cNvSpPr/>
      </dsp:nvSpPr>
      <dsp:spPr>
        <a:xfrm rot="16200000">
          <a:off x="2626106" y="534137"/>
          <a:ext cx="2537460" cy="1469184"/>
        </a:xfrm>
        <a:prstGeom prst="flowChartManualOperati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0" rIns="44450" bIns="0" numCol="1" spcCol="1270" anchor="ctr" anchorCtr="0">
          <a:noAutofit/>
        </a:bodyPr>
        <a:lstStyle/>
        <a:p>
          <a:pPr marL="0" marR="0" lvl="1" indent="0" algn="l" defTabSz="66675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 typeface="Arial" panose="020B0604020202020204" pitchFamily="34" charset="0"/>
            <a:buNone/>
            <a:tabLst/>
            <a:defRPr/>
          </a:pPr>
          <a:r>
            <a:rPr lang="en-US" sz="700" b="1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Thought leadership, innovation, and quality assurance</a:t>
          </a:r>
        </a:p>
        <a:p>
          <a:pPr marL="0" marR="0" lvl="1" indent="0" algn="l" defTabSz="66675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 typeface="Arial" panose="020B0604020202020204" pitchFamily="34" charset="0"/>
            <a:buNone/>
            <a:tabLst/>
            <a:defRPr/>
          </a:pPr>
          <a:r>
            <a:rPr lang="en-US" sz="700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1. Enhance thought leadership, expertise and technologies, innovation, quality assurance, Monitoring and Evaluation </a:t>
          </a:r>
        </a:p>
        <a:p>
          <a:pPr marL="0" marR="0" lvl="1" indent="0" algn="l" defTabSz="66675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 typeface="Arial" panose="020B0604020202020204" pitchFamily="34" charset="0"/>
            <a:buNone/>
            <a:tabLst/>
            <a:defRPr/>
          </a:pPr>
          <a:r>
            <a:rPr lang="en-US" sz="700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2. Develop top line knowledge management practices and systems, enabling access to specialized expertise</a:t>
          </a:r>
        </a:p>
      </dsp:txBody>
      <dsp:txXfrm rot="5400000">
        <a:off x="3160244" y="507491"/>
        <a:ext cx="1469184" cy="1522476"/>
      </dsp:txXfrm>
    </dsp:sp>
    <dsp:sp modelId="{371E8B3D-2B60-41EB-9E16-2809D8B0D53F}">
      <dsp:nvSpPr>
        <dsp:cNvPr id="0" name=""/>
        <dsp:cNvSpPr/>
      </dsp:nvSpPr>
      <dsp:spPr>
        <a:xfrm rot="16200000">
          <a:off x="4205480" y="534137"/>
          <a:ext cx="2537460" cy="1469184"/>
        </a:xfrm>
        <a:prstGeom prst="flowChartManualOperation">
          <a:avLst/>
        </a:prstGeom>
        <a:solidFill>
          <a:srgbClr val="5B9BD5">
            <a:lumMod val="40000"/>
            <a:lumOff val="6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0" rIns="44450" bIns="0" numCol="1" spcCol="1270" anchor="ctr" anchorCtr="0">
          <a:noAutofit/>
        </a:bodyPr>
        <a:lstStyle/>
        <a:p>
          <a:pPr marL="114300" marR="0" lvl="1" indent="-114300" algn="l" defTabSz="66675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 typeface="+mj-lt"/>
            <a:buNone/>
            <a:tabLst/>
            <a:defRPr/>
          </a:pPr>
          <a:r>
            <a:rPr lang="en-US" sz="700" b="1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Leveraging financing for sustainable development goals</a:t>
          </a:r>
        </a:p>
        <a:p>
          <a:pPr marL="114300" marR="0" lvl="1" indent="-114300" algn="l" defTabSz="66675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 typeface="Calibri Light"/>
            <a:buAutoNum type="arabicPeriod"/>
            <a:tabLst/>
            <a:defRPr/>
          </a:pPr>
          <a:r>
            <a:rPr lang="en-US" sz="700" b="0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1. Support </a:t>
          </a:r>
          <a:r>
            <a:rPr lang="en-US" sz="700" b="0" kern="1200" dirty="0" err="1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programme</a:t>
          </a:r>
          <a:r>
            <a:rPr lang="en-US" sz="700" b="0" kern="1200" dirty="0">
              <a:solidFill>
                <a:sysClr val="windowText" lastClr="000000"/>
              </a:solidFill>
              <a:latin typeface="Times New Roman" charset="0"/>
              <a:ea typeface="+mn-ea"/>
              <a:cs typeface="Times New Roman" charset="0"/>
            </a:rPr>
            <a:t> countries to plan, access, leverage and measure financing for the sustainable development goals, with focused support to low-income countries and least developed countries</a:t>
          </a:r>
          <a:endParaRPr lang="en-US" sz="700" b="1" kern="1200" dirty="0">
            <a:solidFill>
              <a:sysClr val="windowText" lastClr="000000"/>
            </a:solidFill>
            <a:latin typeface="Times New Roman" charset="0"/>
            <a:ea typeface="+mn-ea"/>
            <a:cs typeface="Times New Roman" charset="0"/>
          </a:endParaRPr>
        </a:p>
      </dsp:txBody>
      <dsp:txXfrm rot="5400000">
        <a:off x="4739618" y="507491"/>
        <a:ext cx="1469184" cy="1522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Loemban Tobing</dc:creator>
  <cp:keywords/>
  <dc:description/>
  <cp:lastModifiedBy>Dalita Balassanian</cp:lastModifiedBy>
  <cp:revision>9</cp:revision>
  <dcterms:created xsi:type="dcterms:W3CDTF">2017-12-22T16:19:00Z</dcterms:created>
  <dcterms:modified xsi:type="dcterms:W3CDTF">2017-12-22T17:13:00Z</dcterms:modified>
</cp:coreProperties>
</file>