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ind w:right="1260"/>
        <w:rPr>
          <w:rFonts w:eastAsia="Times New Roman"/>
          <w:b/>
          <w:color w:val="000000"/>
          <w:sz w:val="20"/>
          <w:szCs w:val="20"/>
          <w:bdr w:val="none" w:sz="0" w:space="0" w:color="auto"/>
          <w:lang w:val="en-GB"/>
        </w:rPr>
      </w:pPr>
      <w:r w:rsidRPr="00040FB6">
        <w:rPr>
          <w:rFonts w:eastAsia="Times New Roman"/>
          <w:b/>
          <w:color w:val="000000"/>
          <w:sz w:val="20"/>
          <w:szCs w:val="20"/>
          <w:bdr w:val="none" w:sz="0" w:space="0" w:color="auto"/>
          <w:lang w:val="en-GB"/>
        </w:rPr>
        <w:t>First regular session 2016</w:t>
      </w:r>
    </w:p>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sz w:val="20"/>
          <w:szCs w:val="20"/>
          <w:bdr w:val="none" w:sz="0" w:space="0" w:color="auto"/>
          <w:lang w:val="en-GB"/>
        </w:rPr>
      </w:pPr>
      <w:r w:rsidRPr="00040FB6">
        <w:rPr>
          <w:rFonts w:eastAsia="Times New Roman"/>
          <w:color w:val="000000"/>
          <w:sz w:val="20"/>
          <w:szCs w:val="20"/>
          <w:bdr w:val="none" w:sz="0" w:space="0" w:color="auto"/>
          <w:lang w:val="en-GB"/>
        </w:rPr>
        <w:t>25-29 January 2016, New York</w:t>
      </w:r>
    </w:p>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sz w:val="20"/>
          <w:szCs w:val="20"/>
          <w:bdr w:val="none" w:sz="0" w:space="0" w:color="auto"/>
          <w:lang w:val="en-GB"/>
        </w:rPr>
      </w:pPr>
      <w:r w:rsidRPr="00040FB6">
        <w:rPr>
          <w:rFonts w:eastAsia="Times New Roman"/>
          <w:color w:val="000000"/>
          <w:sz w:val="20"/>
          <w:szCs w:val="20"/>
          <w:bdr w:val="none" w:sz="0" w:space="0" w:color="auto"/>
          <w:lang w:val="en-GB"/>
        </w:rPr>
        <w:t>Item 2 of the provisional agenda</w:t>
      </w:r>
    </w:p>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ind w:right="1260"/>
        <w:rPr>
          <w:rFonts w:eastAsia="Times New Roman"/>
          <w:b/>
          <w:color w:val="000000"/>
          <w:sz w:val="20"/>
          <w:szCs w:val="20"/>
          <w:bdr w:val="none" w:sz="0" w:space="0" w:color="auto"/>
          <w:lang w:val="en-GB"/>
        </w:rPr>
      </w:pPr>
      <w:r w:rsidRPr="00040FB6">
        <w:rPr>
          <w:rFonts w:eastAsia="Times New Roman"/>
          <w:b/>
          <w:color w:val="000000"/>
          <w:sz w:val="20"/>
          <w:szCs w:val="20"/>
          <w:bdr w:val="none" w:sz="0" w:space="0" w:color="auto"/>
          <w:lang w:val="en-GB"/>
        </w:rPr>
        <w:t>Country programmes and related matters</w:t>
      </w:r>
    </w:p>
    <w:p w:rsidR="00AA5776" w:rsidRPr="00BF3BE0" w:rsidRDefault="00AA5776" w:rsidP="00BB3C5A">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160" w:line="259" w:lineRule="auto"/>
        <w:ind w:right="-360"/>
        <w:rPr>
          <w:rFonts w:eastAsia="Calibri"/>
          <w:b/>
          <w:sz w:val="20"/>
          <w:szCs w:val="20"/>
          <w:bdr w:val="none" w:sz="0" w:space="0" w:color="auto"/>
          <w:lang w:val="en-GB"/>
        </w:rPr>
      </w:pPr>
    </w:p>
    <w:p w:rsidR="00AA5776" w:rsidRPr="00AA5776" w:rsidRDefault="00AA5776" w:rsidP="00BB3C5A">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160" w:line="259" w:lineRule="auto"/>
        <w:ind w:right="-360"/>
        <w:rPr>
          <w:rFonts w:eastAsia="Calibri"/>
          <w:b/>
          <w:sz w:val="20"/>
          <w:szCs w:val="20"/>
          <w:bdr w:val="none" w:sz="0" w:space="0" w:color="auto"/>
          <w:lang w:val="en-GB"/>
        </w:rPr>
      </w:pPr>
    </w:p>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160" w:line="259" w:lineRule="auto"/>
        <w:ind w:right="-360"/>
        <w:rPr>
          <w:rFonts w:eastAsia="Calibri"/>
          <w:b/>
          <w:sz w:val="32"/>
          <w:szCs w:val="32"/>
          <w:bdr w:val="none" w:sz="0" w:space="0" w:color="auto"/>
          <w:lang w:val="en-GB"/>
        </w:rPr>
      </w:pPr>
      <w:r w:rsidRPr="00040FB6">
        <w:rPr>
          <w:rFonts w:eastAsia="Calibri"/>
          <w:b/>
          <w:sz w:val="32"/>
          <w:szCs w:val="32"/>
          <w:bdr w:val="none" w:sz="0" w:space="0" w:color="auto"/>
          <w:lang w:val="en-GB"/>
        </w:rPr>
        <w:t>Draft country programme document for Iraq (2016-2020)</w:t>
      </w:r>
    </w:p>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rPr>
      </w:pPr>
    </w:p>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rPr>
      </w:pPr>
    </w:p>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rPr>
      </w:pPr>
    </w:p>
    <w:p w:rsidR="00BB3C5A" w:rsidRPr="00040FB6" w:rsidRDefault="00BB3C5A" w:rsidP="00BB3C5A">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rFonts w:eastAsia="Times New Roman"/>
          <w:spacing w:val="-2"/>
          <w:w w:val="103"/>
          <w:kern w:val="14"/>
          <w:bdr w:val="none" w:sz="0" w:space="0" w:color="auto"/>
          <w:lang w:val="en-GB"/>
        </w:rPr>
      </w:pPr>
      <w:r w:rsidRPr="00040FB6">
        <w:rPr>
          <w:rFonts w:eastAsia="Times New Roman"/>
          <w:spacing w:val="-2"/>
          <w:w w:val="103"/>
          <w:kern w:val="14"/>
          <w:bdr w:val="none" w:sz="0" w:space="0" w:color="auto"/>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BB3C5A" w:rsidRPr="00040FB6" w:rsidTr="009D15B9">
        <w:tc>
          <w:tcPr>
            <w:tcW w:w="1060" w:type="dxa"/>
            <w:shd w:val="clear" w:color="auto" w:fill="auto"/>
          </w:tcPr>
          <w:p w:rsidR="00BB3C5A" w:rsidRPr="00040FB6" w:rsidRDefault="00AB6F5D" w:rsidP="00BB3C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right"/>
              <w:rPr>
                <w:rFonts w:eastAsia="Times New Roman"/>
                <w:i/>
                <w:spacing w:val="4"/>
                <w:w w:val="103"/>
                <w:kern w:val="14"/>
                <w:sz w:val="14"/>
                <w:szCs w:val="20"/>
                <w:bdr w:val="none" w:sz="0" w:space="0" w:color="auto"/>
                <w:lang w:val="en-GB"/>
              </w:rPr>
            </w:pPr>
            <w:r w:rsidRPr="00040FB6">
              <w:rPr>
                <w:rFonts w:eastAsia="Times New Roman"/>
                <w:i/>
                <w:spacing w:val="4"/>
                <w:w w:val="103"/>
                <w:kern w:val="14"/>
                <w:sz w:val="14"/>
                <w:szCs w:val="20"/>
                <w:bdr w:val="none" w:sz="0" w:space="0" w:color="auto"/>
                <w:lang w:val="en-GB"/>
              </w:rPr>
              <w:t>Chapter</w:t>
            </w:r>
          </w:p>
        </w:tc>
        <w:tc>
          <w:tcPr>
            <w:tcW w:w="7315" w:type="dxa"/>
            <w:shd w:val="clear" w:color="auto" w:fill="auto"/>
          </w:tcPr>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eastAsia="Times New Roman"/>
                <w:i/>
                <w:spacing w:val="4"/>
                <w:w w:val="103"/>
                <w:kern w:val="14"/>
                <w:sz w:val="14"/>
                <w:szCs w:val="20"/>
                <w:bdr w:val="none" w:sz="0" w:space="0" w:color="auto"/>
                <w:lang w:val="en-GB"/>
              </w:rPr>
            </w:pPr>
          </w:p>
        </w:tc>
        <w:tc>
          <w:tcPr>
            <w:tcW w:w="1527" w:type="dxa"/>
            <w:gridSpan w:val="2"/>
            <w:shd w:val="clear" w:color="auto" w:fill="auto"/>
          </w:tcPr>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right"/>
              <w:rPr>
                <w:rFonts w:eastAsia="Times New Roman"/>
                <w:i/>
                <w:spacing w:val="4"/>
                <w:w w:val="103"/>
                <w:kern w:val="14"/>
                <w:sz w:val="14"/>
                <w:szCs w:val="20"/>
                <w:bdr w:val="none" w:sz="0" w:space="0" w:color="auto"/>
                <w:lang w:val="en-GB"/>
              </w:rPr>
            </w:pPr>
            <w:r w:rsidRPr="00040FB6">
              <w:rPr>
                <w:rFonts w:eastAsia="Times New Roman"/>
                <w:i/>
                <w:spacing w:val="4"/>
                <w:w w:val="103"/>
                <w:kern w:val="14"/>
                <w:sz w:val="14"/>
                <w:szCs w:val="20"/>
                <w:bdr w:val="none" w:sz="0" w:space="0" w:color="auto"/>
                <w:lang w:val="en-GB"/>
              </w:rPr>
              <w:t>Page</w:t>
            </w:r>
          </w:p>
        </w:tc>
      </w:tr>
      <w:tr w:rsidR="00BB3C5A" w:rsidRPr="00040FB6" w:rsidTr="009D15B9">
        <w:tc>
          <w:tcPr>
            <w:tcW w:w="8375" w:type="dxa"/>
            <w:gridSpan w:val="2"/>
            <w:shd w:val="clear" w:color="auto" w:fill="auto"/>
          </w:tcPr>
          <w:p w:rsidR="00BB3C5A" w:rsidRPr="00040FB6" w:rsidRDefault="00BB3C5A" w:rsidP="00BB3C5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right" w:pos="1080"/>
                <w:tab w:val="left" w:pos="1296"/>
                <w:tab w:val="left" w:pos="1728"/>
                <w:tab w:val="left" w:pos="2160"/>
                <w:tab w:val="left" w:pos="2592"/>
                <w:tab w:val="right" w:leader="dot" w:pos="8381"/>
              </w:tabs>
              <w:suppressAutoHyphens/>
              <w:spacing w:after="120" w:line="240" w:lineRule="exact"/>
              <w:rPr>
                <w:rFonts w:eastAsia="Times New Roman"/>
                <w:spacing w:val="4"/>
                <w:w w:val="103"/>
                <w:kern w:val="14"/>
                <w:sz w:val="20"/>
                <w:szCs w:val="20"/>
                <w:bdr w:val="none" w:sz="0" w:space="0" w:color="auto"/>
                <w:lang w:val="en-GB"/>
              </w:rPr>
            </w:pPr>
            <w:r w:rsidRPr="00040FB6">
              <w:rPr>
                <w:rFonts w:eastAsia="Times New Roman"/>
                <w:spacing w:val="4"/>
                <w:w w:val="103"/>
                <w:kern w:val="14"/>
                <w:sz w:val="20"/>
                <w:szCs w:val="20"/>
                <w:bdr w:val="none" w:sz="0" w:space="0" w:color="auto"/>
                <w:lang w:val="en-GB"/>
              </w:rPr>
              <w:tab/>
              <w:t>Programme rationale</w:t>
            </w:r>
            <w:r w:rsidRPr="00040FB6">
              <w:rPr>
                <w:rFonts w:eastAsia="Times New Roman"/>
                <w:spacing w:val="60"/>
                <w:w w:val="103"/>
                <w:kern w:val="14"/>
                <w:sz w:val="17"/>
                <w:szCs w:val="20"/>
                <w:bdr w:val="none" w:sz="0" w:space="0" w:color="auto"/>
                <w:lang w:val="en-GB"/>
              </w:rPr>
              <w:tab/>
            </w:r>
          </w:p>
        </w:tc>
        <w:tc>
          <w:tcPr>
            <w:tcW w:w="1527" w:type="dxa"/>
            <w:gridSpan w:val="2"/>
            <w:vMerge w:val="restart"/>
            <w:shd w:val="clear" w:color="auto" w:fill="auto"/>
            <w:vAlign w:val="bottom"/>
          </w:tcPr>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exact"/>
              <w:jc w:val="right"/>
              <w:rPr>
                <w:rFonts w:eastAsia="Times New Roman"/>
                <w:spacing w:val="4"/>
                <w:w w:val="103"/>
                <w:kern w:val="14"/>
                <w:sz w:val="20"/>
                <w:szCs w:val="20"/>
                <w:bdr w:val="none" w:sz="0" w:space="0" w:color="auto"/>
                <w:lang w:val="en-GB"/>
              </w:rPr>
            </w:pPr>
            <w:r w:rsidRPr="00040FB6">
              <w:rPr>
                <w:rFonts w:eastAsia="Times New Roman"/>
                <w:spacing w:val="4"/>
                <w:w w:val="103"/>
                <w:kern w:val="14"/>
                <w:sz w:val="20"/>
                <w:szCs w:val="20"/>
                <w:bdr w:val="none" w:sz="0" w:space="0" w:color="auto"/>
                <w:lang w:val="en-GB"/>
              </w:rPr>
              <w:t>2</w:t>
            </w:r>
          </w:p>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exact"/>
              <w:jc w:val="right"/>
              <w:rPr>
                <w:rFonts w:eastAsia="Times New Roman"/>
                <w:spacing w:val="4"/>
                <w:w w:val="103"/>
                <w:kern w:val="14"/>
                <w:sz w:val="20"/>
                <w:szCs w:val="20"/>
                <w:bdr w:val="none" w:sz="0" w:space="0" w:color="auto"/>
                <w:lang w:val="en-GB"/>
              </w:rPr>
            </w:pPr>
            <w:r w:rsidRPr="00040FB6">
              <w:rPr>
                <w:rFonts w:eastAsia="Times New Roman"/>
                <w:spacing w:val="4"/>
                <w:w w:val="103"/>
                <w:kern w:val="14"/>
                <w:sz w:val="20"/>
                <w:szCs w:val="20"/>
                <w:bdr w:val="none" w:sz="0" w:space="0" w:color="auto"/>
                <w:lang w:val="en-GB"/>
              </w:rPr>
              <w:t>4</w:t>
            </w:r>
          </w:p>
        </w:tc>
      </w:tr>
      <w:tr w:rsidR="00BB3C5A" w:rsidRPr="00040FB6" w:rsidTr="009D15B9">
        <w:tc>
          <w:tcPr>
            <w:tcW w:w="8375" w:type="dxa"/>
            <w:gridSpan w:val="2"/>
            <w:shd w:val="clear" w:color="auto" w:fill="auto"/>
          </w:tcPr>
          <w:p w:rsidR="00BB3C5A" w:rsidRPr="00040FB6" w:rsidRDefault="00BB3C5A" w:rsidP="00BB3C5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rFonts w:eastAsia="Times New Roman"/>
                <w:spacing w:val="4"/>
                <w:w w:val="103"/>
                <w:kern w:val="14"/>
                <w:sz w:val="20"/>
                <w:szCs w:val="20"/>
                <w:bdr w:val="none" w:sz="0" w:space="0" w:color="auto"/>
                <w:lang w:val="en-GB"/>
              </w:rPr>
            </w:pPr>
            <w:r w:rsidRPr="00040FB6">
              <w:rPr>
                <w:rFonts w:eastAsia="Times New Roman"/>
                <w:spacing w:val="4"/>
                <w:w w:val="103"/>
                <w:kern w:val="14"/>
                <w:sz w:val="20"/>
                <w:szCs w:val="20"/>
                <w:bdr w:val="none" w:sz="0" w:space="0" w:color="auto"/>
                <w:lang w:val="en-GB"/>
              </w:rPr>
              <w:tab/>
              <w:t>Programme priorities and partnerships</w:t>
            </w:r>
            <w:r w:rsidRPr="00040FB6">
              <w:rPr>
                <w:rFonts w:eastAsia="Times New Roman"/>
                <w:spacing w:val="60"/>
                <w:w w:val="103"/>
                <w:kern w:val="14"/>
                <w:sz w:val="17"/>
                <w:szCs w:val="20"/>
                <w:bdr w:val="none" w:sz="0" w:space="0" w:color="auto"/>
                <w:lang w:val="en-GB"/>
              </w:rPr>
              <w:tab/>
            </w:r>
          </w:p>
        </w:tc>
        <w:tc>
          <w:tcPr>
            <w:tcW w:w="1527" w:type="dxa"/>
            <w:gridSpan w:val="2"/>
            <w:vMerge/>
            <w:shd w:val="clear" w:color="auto" w:fill="auto"/>
            <w:vAlign w:val="bottom"/>
          </w:tcPr>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exact"/>
              <w:jc w:val="right"/>
              <w:rPr>
                <w:rFonts w:eastAsia="Times New Roman"/>
                <w:spacing w:val="4"/>
                <w:w w:val="103"/>
                <w:kern w:val="14"/>
                <w:sz w:val="20"/>
                <w:szCs w:val="20"/>
                <w:bdr w:val="none" w:sz="0" w:space="0" w:color="auto"/>
                <w:lang w:val="en-GB"/>
              </w:rPr>
            </w:pPr>
          </w:p>
        </w:tc>
      </w:tr>
      <w:tr w:rsidR="00BB3C5A" w:rsidRPr="00040FB6" w:rsidTr="009D15B9">
        <w:tc>
          <w:tcPr>
            <w:tcW w:w="8375" w:type="dxa"/>
            <w:gridSpan w:val="2"/>
            <w:shd w:val="clear" w:color="auto" w:fill="auto"/>
          </w:tcPr>
          <w:p w:rsidR="00BB3C5A" w:rsidRPr="00040FB6" w:rsidRDefault="00BB3C5A" w:rsidP="00BB3C5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right" w:pos="1080"/>
                <w:tab w:val="left" w:pos="1296"/>
                <w:tab w:val="left" w:pos="1728"/>
                <w:tab w:val="left" w:pos="2160"/>
                <w:tab w:val="left" w:pos="2592"/>
                <w:tab w:val="left" w:pos="3024"/>
                <w:tab w:val="right" w:leader="dot" w:pos="8381"/>
              </w:tabs>
              <w:suppressAutoHyphens/>
              <w:spacing w:after="120" w:line="240" w:lineRule="exact"/>
              <w:rPr>
                <w:rFonts w:eastAsia="Times New Roman"/>
                <w:spacing w:val="4"/>
                <w:w w:val="103"/>
                <w:kern w:val="14"/>
                <w:sz w:val="20"/>
                <w:szCs w:val="20"/>
                <w:bdr w:val="none" w:sz="0" w:space="0" w:color="auto"/>
                <w:lang w:val="en-GB"/>
              </w:rPr>
            </w:pPr>
            <w:r w:rsidRPr="00040FB6">
              <w:rPr>
                <w:rFonts w:eastAsia="Times New Roman"/>
                <w:spacing w:val="4"/>
                <w:w w:val="103"/>
                <w:kern w:val="14"/>
                <w:sz w:val="20"/>
                <w:szCs w:val="20"/>
                <w:bdr w:val="none" w:sz="0" w:space="0" w:color="auto"/>
                <w:lang w:val="en-GB"/>
              </w:rPr>
              <w:tab/>
              <w:t>Programme and risk management</w:t>
            </w:r>
            <w:r w:rsidRPr="00040FB6">
              <w:rPr>
                <w:rFonts w:eastAsia="Times New Roman"/>
                <w:spacing w:val="60"/>
                <w:w w:val="103"/>
                <w:kern w:val="14"/>
                <w:sz w:val="17"/>
                <w:szCs w:val="20"/>
                <w:bdr w:val="none" w:sz="0" w:space="0" w:color="auto"/>
                <w:lang w:val="en-GB"/>
              </w:rPr>
              <w:tab/>
            </w:r>
          </w:p>
        </w:tc>
        <w:tc>
          <w:tcPr>
            <w:tcW w:w="1527" w:type="dxa"/>
            <w:gridSpan w:val="2"/>
            <w:vMerge w:val="restart"/>
            <w:shd w:val="clear" w:color="auto" w:fill="auto"/>
            <w:vAlign w:val="bottom"/>
          </w:tcPr>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exact"/>
              <w:jc w:val="right"/>
              <w:rPr>
                <w:rFonts w:eastAsia="Times New Roman"/>
                <w:spacing w:val="4"/>
                <w:w w:val="103"/>
                <w:kern w:val="14"/>
                <w:sz w:val="20"/>
                <w:szCs w:val="20"/>
                <w:bdr w:val="none" w:sz="0" w:space="0" w:color="auto"/>
                <w:lang w:val="en-GB"/>
              </w:rPr>
            </w:pPr>
            <w:r w:rsidRPr="00040FB6">
              <w:rPr>
                <w:rFonts w:eastAsia="Times New Roman"/>
                <w:spacing w:val="4"/>
                <w:w w:val="103"/>
                <w:kern w:val="14"/>
                <w:sz w:val="20"/>
                <w:szCs w:val="20"/>
                <w:bdr w:val="none" w:sz="0" w:space="0" w:color="auto"/>
                <w:lang w:val="en-GB"/>
              </w:rPr>
              <w:t>6</w:t>
            </w:r>
          </w:p>
          <w:p w:rsidR="00BB3C5A" w:rsidRPr="00040FB6" w:rsidRDefault="005504FB" w:rsidP="00BB3C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exact"/>
              <w:jc w:val="right"/>
              <w:rPr>
                <w:rFonts w:eastAsia="Times New Roman"/>
                <w:spacing w:val="4"/>
                <w:w w:val="103"/>
                <w:kern w:val="14"/>
                <w:sz w:val="20"/>
                <w:szCs w:val="20"/>
                <w:bdr w:val="none" w:sz="0" w:space="0" w:color="auto"/>
                <w:lang w:val="en-GB"/>
              </w:rPr>
            </w:pPr>
            <w:r w:rsidRPr="00040FB6">
              <w:rPr>
                <w:rFonts w:eastAsia="Times New Roman"/>
                <w:spacing w:val="4"/>
                <w:w w:val="103"/>
                <w:kern w:val="14"/>
                <w:sz w:val="20"/>
                <w:szCs w:val="20"/>
                <w:bdr w:val="none" w:sz="0" w:space="0" w:color="auto"/>
                <w:lang w:val="en-GB"/>
              </w:rPr>
              <w:t>7</w:t>
            </w:r>
          </w:p>
        </w:tc>
      </w:tr>
      <w:tr w:rsidR="00BB3C5A" w:rsidRPr="00040FB6" w:rsidTr="009D15B9">
        <w:tc>
          <w:tcPr>
            <w:tcW w:w="8375" w:type="dxa"/>
            <w:gridSpan w:val="2"/>
            <w:shd w:val="clear" w:color="auto" w:fill="auto"/>
          </w:tcPr>
          <w:p w:rsidR="00BB3C5A" w:rsidRPr="00040FB6" w:rsidRDefault="00BB3C5A" w:rsidP="00BB3C5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rFonts w:eastAsia="Times New Roman"/>
                <w:spacing w:val="4"/>
                <w:w w:val="103"/>
                <w:kern w:val="14"/>
                <w:sz w:val="20"/>
                <w:szCs w:val="20"/>
                <w:bdr w:val="none" w:sz="0" w:space="0" w:color="auto"/>
                <w:lang w:val="en-GB"/>
              </w:rPr>
            </w:pPr>
            <w:r w:rsidRPr="00040FB6">
              <w:rPr>
                <w:rFonts w:eastAsia="Times New Roman"/>
                <w:spacing w:val="4"/>
                <w:w w:val="103"/>
                <w:kern w:val="14"/>
                <w:sz w:val="20"/>
                <w:szCs w:val="20"/>
                <w:bdr w:val="none" w:sz="0" w:space="0" w:color="auto"/>
                <w:lang w:val="en-GB"/>
              </w:rPr>
              <w:tab/>
              <w:t>Monitoring and evaluation</w:t>
            </w:r>
            <w:r w:rsidRPr="00040FB6">
              <w:rPr>
                <w:rFonts w:eastAsia="Times New Roman"/>
                <w:spacing w:val="60"/>
                <w:w w:val="103"/>
                <w:kern w:val="14"/>
                <w:sz w:val="17"/>
                <w:szCs w:val="20"/>
                <w:bdr w:val="none" w:sz="0" w:space="0" w:color="auto"/>
                <w:lang w:val="en-GB"/>
              </w:rPr>
              <w:tab/>
            </w:r>
          </w:p>
        </w:tc>
        <w:tc>
          <w:tcPr>
            <w:tcW w:w="1527" w:type="dxa"/>
            <w:gridSpan w:val="2"/>
            <w:vMerge/>
            <w:shd w:val="clear" w:color="auto" w:fill="auto"/>
            <w:vAlign w:val="bottom"/>
          </w:tcPr>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exact"/>
              <w:jc w:val="right"/>
              <w:rPr>
                <w:rFonts w:eastAsia="Times New Roman"/>
                <w:spacing w:val="4"/>
                <w:w w:val="103"/>
                <w:kern w:val="14"/>
                <w:sz w:val="20"/>
                <w:szCs w:val="20"/>
                <w:bdr w:val="none" w:sz="0" w:space="0" w:color="auto"/>
                <w:lang w:val="en-GB"/>
              </w:rPr>
            </w:pPr>
          </w:p>
        </w:tc>
      </w:tr>
      <w:tr w:rsidR="00BB3C5A" w:rsidRPr="00040FB6" w:rsidTr="009D15B9">
        <w:tc>
          <w:tcPr>
            <w:tcW w:w="9369" w:type="dxa"/>
            <w:gridSpan w:val="3"/>
            <w:shd w:val="clear" w:color="auto" w:fill="auto"/>
          </w:tcPr>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tabs>
                <w:tab w:val="right" w:pos="1080"/>
                <w:tab w:val="left" w:pos="1296"/>
                <w:tab w:val="right" w:pos="1714"/>
                <w:tab w:val="left" w:pos="2160"/>
                <w:tab w:val="left" w:pos="2592"/>
                <w:tab w:val="left" w:pos="3024"/>
                <w:tab w:val="left" w:pos="3456"/>
              </w:tabs>
              <w:suppressAutoHyphens/>
              <w:spacing w:after="120" w:line="240" w:lineRule="exact"/>
              <w:ind w:left="475"/>
              <w:rPr>
                <w:rFonts w:eastAsia="Times New Roman"/>
                <w:spacing w:val="4"/>
                <w:w w:val="103"/>
                <w:kern w:val="14"/>
                <w:sz w:val="20"/>
                <w:szCs w:val="20"/>
                <w:bdr w:val="none" w:sz="0" w:space="0" w:color="auto"/>
                <w:lang w:val="en-GB"/>
              </w:rPr>
            </w:pPr>
            <w:r w:rsidRPr="00040FB6">
              <w:rPr>
                <w:rFonts w:eastAsia="Times New Roman"/>
                <w:spacing w:val="4"/>
                <w:w w:val="103"/>
                <w:kern w:val="14"/>
                <w:sz w:val="20"/>
                <w:szCs w:val="20"/>
                <w:bdr w:val="none" w:sz="0" w:space="0" w:color="auto"/>
                <w:lang w:val="en-GB"/>
              </w:rPr>
              <w:t>Annex</w:t>
            </w:r>
          </w:p>
        </w:tc>
        <w:tc>
          <w:tcPr>
            <w:tcW w:w="533" w:type="dxa"/>
            <w:shd w:val="clear" w:color="auto" w:fill="auto"/>
            <w:vAlign w:val="bottom"/>
          </w:tcPr>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exact"/>
              <w:jc w:val="right"/>
              <w:rPr>
                <w:rFonts w:eastAsia="Times New Roman"/>
                <w:spacing w:val="4"/>
                <w:w w:val="103"/>
                <w:kern w:val="14"/>
                <w:sz w:val="20"/>
                <w:szCs w:val="20"/>
                <w:bdr w:val="none" w:sz="0" w:space="0" w:color="auto"/>
                <w:lang w:val="en-GB"/>
              </w:rPr>
            </w:pPr>
          </w:p>
        </w:tc>
      </w:tr>
      <w:tr w:rsidR="00BB3C5A" w:rsidRPr="00040FB6" w:rsidTr="009D15B9">
        <w:tc>
          <w:tcPr>
            <w:tcW w:w="9369" w:type="dxa"/>
            <w:gridSpan w:val="3"/>
            <w:shd w:val="clear" w:color="auto" w:fill="auto"/>
          </w:tcPr>
          <w:p w:rsidR="00BB3C5A" w:rsidRPr="00040FB6" w:rsidRDefault="00BB3C5A" w:rsidP="00F02E34">
            <w:pPr>
              <w:pBdr>
                <w:top w:val="none" w:sz="0" w:space="0" w:color="auto"/>
                <w:left w:val="none" w:sz="0" w:space="0" w:color="auto"/>
                <w:bottom w:val="none" w:sz="0" w:space="0" w:color="auto"/>
                <w:right w:val="none" w:sz="0" w:space="0" w:color="auto"/>
                <w:between w:val="none" w:sz="0" w:space="0" w:color="auto"/>
                <w:bar w:val="none" w:sz="0" w:color="auto"/>
              </w:pBd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rFonts w:eastAsia="Times New Roman"/>
                <w:spacing w:val="60"/>
                <w:w w:val="103"/>
                <w:kern w:val="14"/>
                <w:sz w:val="17"/>
                <w:szCs w:val="20"/>
                <w:bdr w:val="none" w:sz="0" w:space="0" w:color="auto"/>
                <w:lang w:val="en-GB"/>
              </w:rPr>
            </w:pPr>
            <w:r w:rsidRPr="00040FB6">
              <w:rPr>
                <w:rFonts w:eastAsia="Times New Roman"/>
                <w:spacing w:val="4"/>
                <w:w w:val="103"/>
                <w:kern w:val="14"/>
                <w:sz w:val="20"/>
                <w:szCs w:val="20"/>
                <w:bdr w:val="none" w:sz="0" w:space="0" w:color="auto"/>
                <w:lang w:val="en-GB"/>
              </w:rPr>
              <w:t xml:space="preserve">Results and resources framework </w:t>
            </w:r>
            <w:r w:rsidR="00BF3BE0">
              <w:rPr>
                <w:rFonts w:eastAsia="Times New Roman"/>
                <w:spacing w:val="4"/>
                <w:w w:val="103"/>
                <w:kern w:val="14"/>
                <w:sz w:val="20"/>
                <w:szCs w:val="20"/>
                <w:bdr w:val="none" w:sz="0" w:space="0" w:color="auto"/>
                <w:lang w:val="en-GB"/>
              </w:rPr>
              <w:t xml:space="preserve">for Iraq </w:t>
            </w:r>
            <w:r w:rsidRPr="00040FB6">
              <w:rPr>
                <w:rFonts w:eastAsia="Times New Roman"/>
                <w:spacing w:val="4"/>
                <w:w w:val="103"/>
                <w:kern w:val="14"/>
                <w:sz w:val="20"/>
                <w:szCs w:val="20"/>
                <w:bdr w:val="none" w:sz="0" w:space="0" w:color="auto"/>
                <w:lang w:val="en-GB"/>
              </w:rPr>
              <w:t>(2016-2020)</w:t>
            </w:r>
          </w:p>
        </w:tc>
        <w:tc>
          <w:tcPr>
            <w:tcW w:w="533" w:type="dxa"/>
            <w:shd w:val="clear" w:color="auto" w:fill="auto"/>
            <w:vAlign w:val="bottom"/>
          </w:tcPr>
          <w:p w:rsidR="00BB3C5A" w:rsidRPr="00040FB6" w:rsidRDefault="00BB3C5A" w:rsidP="00BB3C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exact"/>
              <w:jc w:val="right"/>
              <w:rPr>
                <w:rFonts w:eastAsia="Times New Roman"/>
                <w:spacing w:val="4"/>
                <w:w w:val="103"/>
                <w:kern w:val="14"/>
                <w:sz w:val="20"/>
                <w:szCs w:val="20"/>
                <w:bdr w:val="none" w:sz="0" w:space="0" w:color="auto"/>
                <w:lang w:val="en-GB"/>
              </w:rPr>
            </w:pPr>
            <w:r w:rsidRPr="00040FB6">
              <w:rPr>
                <w:rFonts w:eastAsia="Times New Roman"/>
                <w:spacing w:val="4"/>
                <w:w w:val="103"/>
                <w:kern w:val="14"/>
                <w:sz w:val="20"/>
                <w:szCs w:val="20"/>
                <w:bdr w:val="none" w:sz="0" w:space="0" w:color="auto"/>
                <w:lang w:val="en-GB"/>
              </w:rPr>
              <w:t>8</w:t>
            </w:r>
          </w:p>
        </w:tc>
      </w:tr>
    </w:tbl>
    <w:p w:rsidR="006F7A7C" w:rsidRPr="00040FB6" w:rsidRDefault="006F7A7C">
      <w:pPr>
        <w:pStyle w:val="Body"/>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hAnsi="Times New Roman" w:cs="Times New Roman"/>
          <w:b/>
          <w:bCs/>
          <w:lang w:val="en-GB"/>
        </w:rPr>
      </w:pPr>
    </w:p>
    <w:p w:rsidR="00A432B4" w:rsidRPr="00040FB6" w:rsidRDefault="00A432B4">
      <w:pPr>
        <w:pStyle w:val="Body"/>
        <w:rPr>
          <w:rFonts w:hAnsi="Times New Roman" w:cs="Times New Roman"/>
          <w:lang w:val="en-GB"/>
        </w:rPr>
      </w:pPr>
    </w:p>
    <w:p w:rsidR="00A432B4" w:rsidRPr="00040FB6" w:rsidRDefault="00A432B4">
      <w:pPr>
        <w:pStyle w:val="Body"/>
        <w:rPr>
          <w:rFonts w:hAnsi="Times New Roman" w:cs="Times New Roman"/>
          <w:lang w:val="en-GB"/>
        </w:rPr>
        <w:sectPr w:rsidR="00A432B4" w:rsidRPr="00040FB6">
          <w:headerReference w:type="even" r:id="rId8"/>
          <w:headerReference w:type="default" r:id="rId9"/>
          <w:footerReference w:type="even" r:id="rId10"/>
          <w:footerReference w:type="default" r:id="rId11"/>
          <w:headerReference w:type="first" r:id="rId12"/>
          <w:pgSz w:w="12240" w:h="15840"/>
          <w:pgMar w:top="1166" w:right="1195" w:bottom="1440" w:left="1195" w:header="576" w:footer="720" w:gutter="0"/>
          <w:pgNumType w:start="1"/>
          <w:cols w:space="720"/>
          <w:titlePg/>
        </w:sectPr>
      </w:pPr>
    </w:p>
    <w:p w:rsidR="00652595" w:rsidRPr="00040FB6" w:rsidRDefault="00652595" w:rsidP="00BB3C5A">
      <w:pPr>
        <w:pStyle w:val="ListParagraph"/>
        <w:keepNext/>
        <w:numPr>
          <w:ilvl w:val="0"/>
          <w:numId w:val="43"/>
        </w:numPr>
        <w:ind w:left="900" w:right="720" w:hanging="360"/>
        <w:outlineLvl w:val="1"/>
        <w:rPr>
          <w:b/>
          <w:bCs/>
          <w:sz w:val="28"/>
          <w:szCs w:val="28"/>
          <w:lang w:val="en-GB"/>
        </w:rPr>
      </w:pPr>
      <w:r w:rsidRPr="00040FB6">
        <w:rPr>
          <w:b/>
          <w:bCs/>
          <w:sz w:val="28"/>
          <w:szCs w:val="28"/>
          <w:lang w:val="en-GB"/>
        </w:rPr>
        <w:lastRenderedPageBreak/>
        <w:t xml:space="preserve">Programme </w:t>
      </w:r>
      <w:r w:rsidR="00BB3C5A" w:rsidRPr="00040FB6">
        <w:rPr>
          <w:b/>
          <w:bCs/>
          <w:sz w:val="28"/>
          <w:szCs w:val="28"/>
          <w:lang w:val="en-GB"/>
        </w:rPr>
        <w:t>ra</w:t>
      </w:r>
      <w:r w:rsidRPr="00040FB6">
        <w:rPr>
          <w:b/>
          <w:bCs/>
          <w:sz w:val="28"/>
          <w:szCs w:val="28"/>
          <w:lang w:val="en-GB"/>
        </w:rPr>
        <w:t xml:space="preserve">tionale </w:t>
      </w:r>
    </w:p>
    <w:p w:rsidR="00652595" w:rsidRPr="00040FB6" w:rsidRDefault="00652595" w:rsidP="00BB3C5A">
      <w:pPr>
        <w:ind w:left="900" w:right="720"/>
        <w:rPr>
          <w:color w:val="000000"/>
          <w:sz w:val="20"/>
          <w:szCs w:val="20"/>
          <w:u w:color="000000"/>
          <w:lang w:val="en-GB"/>
        </w:rPr>
      </w:pPr>
    </w:p>
    <w:p w:rsidR="00652595" w:rsidRPr="00040FB6" w:rsidRDefault="00652595" w:rsidP="009D5342">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firstLine="0"/>
        <w:jc w:val="both"/>
        <w:rPr>
          <w:color w:val="000000"/>
          <w:sz w:val="20"/>
          <w:szCs w:val="20"/>
          <w:u w:color="000000"/>
          <w:lang w:val="en-GB"/>
        </w:rPr>
      </w:pPr>
      <w:r w:rsidRPr="00040FB6">
        <w:rPr>
          <w:color w:val="000000"/>
          <w:sz w:val="20"/>
          <w:szCs w:val="20"/>
          <w:u w:color="000000"/>
          <w:lang w:val="en-GB"/>
        </w:rPr>
        <w:t xml:space="preserve">Prolonged periods of dictatorship and war have made Iraq a weak state. Following the overthrow of </w:t>
      </w:r>
      <w:r w:rsidR="00AB6F5D" w:rsidRPr="00040FB6">
        <w:rPr>
          <w:color w:val="000000"/>
          <w:sz w:val="20"/>
          <w:szCs w:val="20"/>
          <w:u w:color="000000"/>
          <w:lang w:val="en-GB"/>
        </w:rPr>
        <w:t>the</w:t>
      </w:r>
      <w:r w:rsidRPr="00040FB6">
        <w:rPr>
          <w:color w:val="000000"/>
          <w:sz w:val="20"/>
          <w:szCs w:val="20"/>
          <w:u w:color="000000"/>
          <w:lang w:val="en-GB"/>
        </w:rPr>
        <w:t xml:space="preserve"> Ba’athist regime in 2003, international military intervention and armed insurrection left Iraq divided along sectarian, ethnic and geographic lines. Exacerbating matters further, the Islamic State in Iraq and the Levant (ISIL) captured large areas of Anbar Province in January 2014. This precipitated wide displacement of over one million civilians. The situation deteriorated further when ISIL overran </w:t>
      </w:r>
      <w:r w:rsidR="005504FB" w:rsidRPr="00040FB6">
        <w:rPr>
          <w:color w:val="000000"/>
          <w:sz w:val="20"/>
          <w:szCs w:val="20"/>
          <w:u w:color="000000"/>
          <w:lang w:val="en-GB"/>
        </w:rPr>
        <w:t xml:space="preserve">Mosul, </w:t>
      </w:r>
      <w:r w:rsidR="00AB6F5D" w:rsidRPr="00040FB6">
        <w:rPr>
          <w:color w:val="000000"/>
          <w:sz w:val="20"/>
          <w:szCs w:val="20"/>
          <w:u w:color="000000"/>
          <w:lang w:val="en-GB"/>
        </w:rPr>
        <w:t xml:space="preserve">the </w:t>
      </w:r>
      <w:r w:rsidRPr="00040FB6">
        <w:rPr>
          <w:color w:val="000000"/>
          <w:sz w:val="20"/>
          <w:szCs w:val="20"/>
          <w:u w:color="000000"/>
          <w:lang w:val="en-GB"/>
        </w:rPr>
        <w:t>second largest city, in June 2014</w:t>
      </w:r>
      <w:r w:rsidR="00AB6F5D" w:rsidRPr="00040FB6">
        <w:rPr>
          <w:color w:val="000000"/>
          <w:sz w:val="20"/>
          <w:szCs w:val="20"/>
          <w:u w:color="000000"/>
          <w:lang w:val="en-GB"/>
        </w:rPr>
        <w:t>,</w:t>
      </w:r>
      <w:r w:rsidRPr="00040FB6">
        <w:rPr>
          <w:color w:val="000000"/>
          <w:sz w:val="20"/>
          <w:szCs w:val="20"/>
          <w:u w:color="000000"/>
          <w:lang w:val="en-GB"/>
        </w:rPr>
        <w:t xml:space="preserve"> </w:t>
      </w:r>
      <w:r w:rsidR="002C7D0C">
        <w:rPr>
          <w:color w:val="000000"/>
          <w:sz w:val="20"/>
          <w:szCs w:val="20"/>
          <w:u w:color="000000"/>
          <w:lang w:val="en-GB"/>
        </w:rPr>
        <w:t>capturing</w:t>
      </w:r>
      <w:r w:rsidRPr="00040FB6">
        <w:rPr>
          <w:color w:val="000000"/>
          <w:sz w:val="20"/>
          <w:szCs w:val="20"/>
          <w:u w:color="000000"/>
          <w:lang w:val="en-GB"/>
        </w:rPr>
        <w:t xml:space="preserve"> large portions of territory in the </w:t>
      </w:r>
      <w:r w:rsidR="00AB6F5D" w:rsidRPr="00040FB6">
        <w:rPr>
          <w:color w:val="000000"/>
          <w:sz w:val="20"/>
          <w:szCs w:val="20"/>
          <w:u w:color="000000"/>
          <w:lang w:val="en-GB"/>
        </w:rPr>
        <w:t>g</w:t>
      </w:r>
      <w:r w:rsidRPr="00040FB6">
        <w:rPr>
          <w:color w:val="000000"/>
          <w:sz w:val="20"/>
          <w:szCs w:val="20"/>
          <w:u w:color="000000"/>
          <w:lang w:val="en-GB"/>
        </w:rPr>
        <w:t>overnorates of Salahuddin</w:t>
      </w:r>
      <w:r w:rsidR="00AB6F5D" w:rsidRPr="00040FB6">
        <w:rPr>
          <w:color w:val="000000"/>
          <w:sz w:val="20"/>
          <w:szCs w:val="20"/>
          <w:u w:color="000000"/>
          <w:lang w:val="en-GB"/>
        </w:rPr>
        <w:t>,</w:t>
      </w:r>
      <w:r w:rsidRPr="00040FB6">
        <w:rPr>
          <w:color w:val="000000"/>
          <w:sz w:val="20"/>
          <w:szCs w:val="20"/>
          <w:u w:color="000000"/>
          <w:lang w:val="en-GB"/>
        </w:rPr>
        <w:t xml:space="preserve"> including its capital</w:t>
      </w:r>
      <w:r w:rsidR="00AB6F5D" w:rsidRPr="00040FB6">
        <w:rPr>
          <w:color w:val="000000"/>
          <w:sz w:val="20"/>
          <w:szCs w:val="20"/>
          <w:u w:color="000000"/>
          <w:lang w:val="en-GB"/>
        </w:rPr>
        <w:t>,</w:t>
      </w:r>
      <w:r w:rsidRPr="00040FB6">
        <w:rPr>
          <w:color w:val="000000"/>
          <w:sz w:val="20"/>
          <w:szCs w:val="20"/>
          <w:u w:color="000000"/>
          <w:lang w:val="en-GB"/>
        </w:rPr>
        <w:t xml:space="preserve"> Tikrit</w:t>
      </w:r>
      <w:r w:rsidR="00AB6F5D" w:rsidRPr="00040FB6">
        <w:rPr>
          <w:color w:val="000000"/>
          <w:sz w:val="20"/>
          <w:szCs w:val="20"/>
          <w:u w:color="000000"/>
          <w:lang w:val="en-GB"/>
        </w:rPr>
        <w:t>,</w:t>
      </w:r>
      <w:r w:rsidRPr="00040FB6">
        <w:rPr>
          <w:color w:val="000000"/>
          <w:sz w:val="20"/>
          <w:szCs w:val="20"/>
          <w:u w:color="000000"/>
          <w:lang w:val="en-GB"/>
        </w:rPr>
        <w:t xml:space="preserve"> and parts of Diyala, all predominantly Sunni governorates with si</w:t>
      </w:r>
      <w:r w:rsidR="002C7D0C">
        <w:rPr>
          <w:color w:val="000000"/>
          <w:sz w:val="20"/>
          <w:szCs w:val="20"/>
          <w:u w:color="000000"/>
          <w:lang w:val="en-GB"/>
        </w:rPr>
        <w:t>zeable</w:t>
      </w:r>
      <w:r w:rsidRPr="00040FB6">
        <w:rPr>
          <w:color w:val="000000"/>
          <w:sz w:val="20"/>
          <w:szCs w:val="20"/>
          <w:u w:color="000000"/>
          <w:lang w:val="en-GB"/>
        </w:rPr>
        <w:t xml:space="preserve"> minority communities. Today, the number of internally displaced persons within</w:t>
      </w:r>
      <w:r w:rsidR="00AB6F5D" w:rsidRPr="00040FB6">
        <w:rPr>
          <w:color w:val="000000"/>
          <w:sz w:val="20"/>
          <w:szCs w:val="20"/>
          <w:u w:color="000000"/>
          <w:lang w:val="en-GB"/>
        </w:rPr>
        <w:t xml:space="preserve"> the </w:t>
      </w:r>
      <w:r w:rsidRPr="00040FB6">
        <w:rPr>
          <w:color w:val="000000"/>
          <w:sz w:val="20"/>
          <w:szCs w:val="20"/>
          <w:u w:color="000000"/>
          <w:lang w:val="en-GB"/>
        </w:rPr>
        <w:t xml:space="preserve">borders </w:t>
      </w:r>
      <w:r w:rsidR="00AB6F5D" w:rsidRPr="00040FB6">
        <w:rPr>
          <w:color w:val="000000"/>
          <w:sz w:val="20"/>
          <w:szCs w:val="20"/>
          <w:u w:color="000000"/>
          <w:lang w:val="en-GB"/>
        </w:rPr>
        <w:t xml:space="preserve">of Iraq </w:t>
      </w:r>
      <w:r w:rsidRPr="00040FB6">
        <w:rPr>
          <w:color w:val="000000"/>
          <w:sz w:val="20"/>
          <w:szCs w:val="20"/>
          <w:u w:color="000000"/>
          <w:lang w:val="en-GB"/>
        </w:rPr>
        <w:t xml:space="preserve">has reached over </w:t>
      </w:r>
      <w:r w:rsidR="005504FB" w:rsidRPr="00040FB6">
        <w:rPr>
          <w:color w:val="000000"/>
          <w:sz w:val="20"/>
          <w:szCs w:val="20"/>
          <w:u w:color="000000"/>
          <w:lang w:val="en-GB"/>
        </w:rPr>
        <w:t xml:space="preserve">3 </w:t>
      </w:r>
      <w:r w:rsidRPr="00040FB6">
        <w:rPr>
          <w:color w:val="000000"/>
          <w:sz w:val="20"/>
          <w:szCs w:val="20"/>
          <w:u w:color="000000"/>
          <w:lang w:val="en-GB"/>
        </w:rPr>
        <w:t>million</w:t>
      </w:r>
      <w:r w:rsidRPr="00040FB6">
        <w:rPr>
          <w:color w:val="000000"/>
          <w:sz w:val="20"/>
          <w:szCs w:val="20"/>
          <w:u w:color="000000"/>
          <w:vertAlign w:val="superscript"/>
          <w:lang w:val="en-GB"/>
        </w:rPr>
        <w:footnoteReference w:id="2"/>
      </w:r>
      <w:r w:rsidRPr="00040FB6">
        <w:rPr>
          <w:color w:val="000000"/>
          <w:sz w:val="20"/>
          <w:szCs w:val="20"/>
          <w:u w:color="000000"/>
          <w:lang w:val="en-GB"/>
        </w:rPr>
        <w:t xml:space="preserve">, over 1 million of whom are hosted by the </w:t>
      </w:r>
      <w:r w:rsidR="00AB6F5D" w:rsidRPr="00040FB6">
        <w:rPr>
          <w:color w:val="000000"/>
          <w:sz w:val="20"/>
          <w:szCs w:val="20"/>
          <w:u w:color="000000"/>
          <w:lang w:val="en-GB"/>
        </w:rPr>
        <w:t>Kurdistan region</w:t>
      </w:r>
      <w:r w:rsidRPr="00040FB6">
        <w:rPr>
          <w:color w:val="000000"/>
          <w:sz w:val="20"/>
          <w:szCs w:val="20"/>
          <w:u w:color="000000"/>
          <w:lang w:val="en-GB"/>
        </w:rPr>
        <w:t xml:space="preserve"> of Iraq. The </w:t>
      </w:r>
      <w:r w:rsidR="00AB6F5D" w:rsidRPr="00040FB6">
        <w:rPr>
          <w:color w:val="000000"/>
          <w:sz w:val="20"/>
          <w:szCs w:val="20"/>
          <w:u w:color="000000"/>
          <w:lang w:val="en-GB"/>
        </w:rPr>
        <w:t>Kurdistan region</w:t>
      </w:r>
      <w:r w:rsidRPr="00040FB6">
        <w:rPr>
          <w:color w:val="000000"/>
          <w:sz w:val="20"/>
          <w:szCs w:val="20"/>
          <w:u w:color="000000"/>
          <w:lang w:val="en-GB"/>
        </w:rPr>
        <w:t xml:space="preserve"> has generally enjoyed relative stability since 1991. Considerable development gains have been accumulated </w:t>
      </w:r>
      <w:r w:rsidR="005504FB" w:rsidRPr="00040FB6">
        <w:rPr>
          <w:color w:val="000000"/>
          <w:sz w:val="20"/>
          <w:szCs w:val="20"/>
          <w:u w:color="000000"/>
          <w:lang w:val="en-GB"/>
        </w:rPr>
        <w:t xml:space="preserve">over </w:t>
      </w:r>
      <w:r w:rsidRPr="00040FB6">
        <w:rPr>
          <w:color w:val="000000"/>
          <w:sz w:val="20"/>
          <w:szCs w:val="20"/>
          <w:u w:color="000000"/>
          <w:lang w:val="en-GB"/>
        </w:rPr>
        <w:t>the past two decades</w:t>
      </w:r>
      <w:r w:rsidR="005504FB" w:rsidRPr="00040FB6">
        <w:rPr>
          <w:color w:val="000000"/>
          <w:sz w:val="20"/>
          <w:szCs w:val="20"/>
          <w:u w:color="000000"/>
          <w:lang w:val="en-GB"/>
        </w:rPr>
        <w:t>,</w:t>
      </w:r>
      <w:r w:rsidRPr="00040FB6">
        <w:rPr>
          <w:color w:val="000000"/>
          <w:sz w:val="20"/>
          <w:szCs w:val="20"/>
          <w:u w:color="000000"/>
          <w:lang w:val="en-GB"/>
        </w:rPr>
        <w:t xml:space="preserve"> and the Kurdistan </w:t>
      </w:r>
      <w:r w:rsidR="00284547" w:rsidRPr="00040FB6">
        <w:rPr>
          <w:color w:val="000000"/>
          <w:sz w:val="20"/>
          <w:szCs w:val="20"/>
          <w:u w:color="000000"/>
          <w:lang w:val="en-GB"/>
        </w:rPr>
        <w:t>r</w:t>
      </w:r>
      <w:r w:rsidRPr="00040FB6">
        <w:rPr>
          <w:color w:val="000000"/>
          <w:sz w:val="20"/>
          <w:szCs w:val="20"/>
          <w:u w:color="000000"/>
          <w:lang w:val="en-GB"/>
        </w:rPr>
        <w:t xml:space="preserve">egional </w:t>
      </w:r>
      <w:r w:rsidR="00284547" w:rsidRPr="00040FB6">
        <w:rPr>
          <w:color w:val="000000"/>
          <w:sz w:val="20"/>
          <w:szCs w:val="20"/>
          <w:u w:color="000000"/>
          <w:lang w:val="en-GB"/>
        </w:rPr>
        <w:t>g</w:t>
      </w:r>
      <w:r w:rsidRPr="00040FB6">
        <w:rPr>
          <w:color w:val="000000"/>
          <w:sz w:val="20"/>
          <w:szCs w:val="20"/>
          <w:u w:color="000000"/>
          <w:lang w:val="en-GB"/>
        </w:rPr>
        <w:t xml:space="preserve">overnment has developed an ambitious plan, </w:t>
      </w:r>
      <w:r w:rsidR="00AB6F5D" w:rsidRPr="00040FB6">
        <w:rPr>
          <w:color w:val="000000"/>
          <w:sz w:val="20"/>
          <w:szCs w:val="20"/>
          <w:u w:color="000000"/>
          <w:lang w:val="en-GB"/>
        </w:rPr>
        <w:t>‘</w:t>
      </w:r>
      <w:r w:rsidRPr="00040FB6">
        <w:rPr>
          <w:color w:val="000000"/>
          <w:sz w:val="20"/>
          <w:szCs w:val="20"/>
          <w:u w:color="000000"/>
          <w:lang w:val="en-GB"/>
        </w:rPr>
        <w:t>Vision 2020</w:t>
      </w:r>
      <w:r w:rsidR="00AB6F5D" w:rsidRPr="00040FB6">
        <w:rPr>
          <w:color w:val="000000"/>
          <w:sz w:val="20"/>
          <w:szCs w:val="20"/>
          <w:u w:color="000000"/>
          <w:lang w:val="en-GB"/>
        </w:rPr>
        <w:t>’</w:t>
      </w:r>
      <w:r w:rsidRPr="00040FB6">
        <w:rPr>
          <w:color w:val="000000"/>
          <w:sz w:val="20"/>
          <w:szCs w:val="20"/>
          <w:u w:color="000000"/>
          <w:lang w:val="en-GB"/>
        </w:rPr>
        <w:t>, to deepen these gains.</w:t>
      </w:r>
    </w:p>
    <w:p w:rsidR="00652595" w:rsidRPr="00040FB6" w:rsidRDefault="00652595" w:rsidP="009D5342">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firstLine="0"/>
        <w:jc w:val="both"/>
        <w:rPr>
          <w:color w:val="000000"/>
          <w:sz w:val="20"/>
          <w:szCs w:val="20"/>
          <w:u w:color="000000"/>
          <w:lang w:val="en-GB"/>
        </w:rPr>
      </w:pPr>
      <w:r w:rsidRPr="00040FB6">
        <w:rPr>
          <w:color w:val="000000"/>
          <w:sz w:val="20"/>
          <w:szCs w:val="20"/>
          <w:u w:color="000000"/>
          <w:lang w:val="en-GB"/>
        </w:rPr>
        <w:t xml:space="preserve">At the broadest level, </w:t>
      </w:r>
      <w:r w:rsidR="00AB6F5D" w:rsidRPr="00040FB6">
        <w:rPr>
          <w:color w:val="000000"/>
          <w:sz w:val="20"/>
          <w:szCs w:val="20"/>
          <w:u w:color="000000"/>
          <w:lang w:val="en-GB"/>
        </w:rPr>
        <w:t xml:space="preserve">the </w:t>
      </w:r>
      <w:r w:rsidRPr="00040FB6">
        <w:rPr>
          <w:color w:val="000000"/>
          <w:sz w:val="20"/>
          <w:szCs w:val="20"/>
          <w:u w:color="000000"/>
          <w:lang w:val="en-GB"/>
        </w:rPr>
        <w:t xml:space="preserve">transition </w:t>
      </w:r>
      <w:r w:rsidR="00AB6F5D" w:rsidRPr="00040FB6">
        <w:rPr>
          <w:color w:val="000000"/>
          <w:sz w:val="20"/>
          <w:szCs w:val="20"/>
          <w:u w:color="000000"/>
          <w:lang w:val="en-GB"/>
        </w:rPr>
        <w:t xml:space="preserve">of Iraq </w:t>
      </w:r>
      <w:r w:rsidRPr="00040FB6">
        <w:rPr>
          <w:color w:val="000000"/>
          <w:sz w:val="20"/>
          <w:szCs w:val="20"/>
          <w:u w:color="000000"/>
          <w:lang w:val="en-GB"/>
        </w:rPr>
        <w:t>from a centralized state to a functioning democracy has been distorted and remains incomplete. This is manifested in large areas being outside government control over prolonged periods</w:t>
      </w:r>
      <w:r w:rsidR="005504FB" w:rsidRPr="00040FB6">
        <w:rPr>
          <w:color w:val="000000"/>
          <w:sz w:val="20"/>
          <w:szCs w:val="20"/>
          <w:u w:color="000000"/>
          <w:lang w:val="en-GB"/>
        </w:rPr>
        <w:t>;</w:t>
      </w:r>
      <w:r w:rsidRPr="00040FB6">
        <w:rPr>
          <w:color w:val="000000"/>
          <w:sz w:val="20"/>
          <w:szCs w:val="20"/>
          <w:u w:color="000000"/>
          <w:lang w:val="en-GB"/>
        </w:rPr>
        <w:t xml:space="preserve"> pervasive insecurity and violence </w:t>
      </w:r>
      <w:r w:rsidR="00AB6F5D" w:rsidRPr="00040FB6">
        <w:rPr>
          <w:color w:val="000000"/>
          <w:sz w:val="20"/>
          <w:szCs w:val="20"/>
          <w:u w:color="000000"/>
          <w:lang w:val="en-GB"/>
        </w:rPr>
        <w:t xml:space="preserve">– </w:t>
      </w:r>
      <w:r w:rsidRPr="00040FB6">
        <w:rPr>
          <w:color w:val="000000"/>
          <w:sz w:val="20"/>
          <w:szCs w:val="20"/>
          <w:u w:color="000000"/>
          <w:lang w:val="en-GB"/>
        </w:rPr>
        <w:t>not least sexual-and gender-based violence</w:t>
      </w:r>
      <w:r w:rsidR="00AB6F5D" w:rsidRPr="00040FB6">
        <w:rPr>
          <w:color w:val="000000"/>
          <w:sz w:val="20"/>
          <w:szCs w:val="20"/>
          <w:u w:color="000000"/>
          <w:lang w:val="en-GB"/>
        </w:rPr>
        <w:t>,</w:t>
      </w:r>
      <w:r w:rsidRPr="00040FB6">
        <w:rPr>
          <w:color w:val="000000"/>
          <w:sz w:val="20"/>
          <w:szCs w:val="20"/>
          <w:u w:color="000000"/>
          <w:lang w:val="en-GB"/>
        </w:rPr>
        <w:t xml:space="preserve"> </w:t>
      </w:r>
      <w:r w:rsidR="00C76B0F" w:rsidRPr="00040FB6">
        <w:rPr>
          <w:color w:val="000000"/>
          <w:sz w:val="20"/>
          <w:szCs w:val="20"/>
          <w:u w:color="000000"/>
          <w:lang w:val="en-GB"/>
        </w:rPr>
        <w:t>w</w:t>
      </w:r>
      <w:r w:rsidR="00AB6F5D" w:rsidRPr="00040FB6">
        <w:rPr>
          <w:color w:val="000000"/>
          <w:sz w:val="20"/>
          <w:szCs w:val="20"/>
          <w:u w:color="000000"/>
          <w:lang w:val="en-GB"/>
        </w:rPr>
        <w:t>hich has resulted in the deaths of</w:t>
      </w:r>
      <w:r w:rsidR="00C76B0F" w:rsidRPr="00040FB6">
        <w:rPr>
          <w:color w:val="000000"/>
          <w:sz w:val="20"/>
          <w:szCs w:val="20"/>
          <w:u w:color="000000"/>
          <w:lang w:val="en-GB"/>
        </w:rPr>
        <w:t xml:space="preserve"> over 14,000 women since 2003</w:t>
      </w:r>
      <w:r w:rsidR="00C76B0F" w:rsidRPr="00040FB6">
        <w:rPr>
          <w:rStyle w:val="FootnoteReference"/>
          <w:color w:val="000000"/>
          <w:sz w:val="20"/>
          <w:szCs w:val="20"/>
          <w:u w:color="000000"/>
          <w:lang w:val="en-GB"/>
        </w:rPr>
        <w:footnoteReference w:id="3"/>
      </w:r>
      <w:r w:rsidR="002C7D0C">
        <w:rPr>
          <w:color w:val="000000"/>
          <w:sz w:val="20"/>
          <w:szCs w:val="20"/>
          <w:u w:color="000000"/>
          <w:lang w:val="en-GB"/>
        </w:rPr>
        <w:t xml:space="preserve"> –</w:t>
      </w:r>
      <w:r w:rsidRPr="00040FB6">
        <w:rPr>
          <w:color w:val="000000"/>
          <w:sz w:val="20"/>
          <w:szCs w:val="20"/>
          <w:u w:color="000000"/>
          <w:lang w:val="en-GB"/>
        </w:rPr>
        <w:t>loss of momentum in the adoption and implementation of vital reforms</w:t>
      </w:r>
      <w:r w:rsidR="00AB6F5D" w:rsidRPr="00040FB6">
        <w:rPr>
          <w:color w:val="000000"/>
          <w:sz w:val="20"/>
          <w:szCs w:val="20"/>
          <w:u w:color="000000"/>
          <w:lang w:val="en-GB"/>
        </w:rPr>
        <w:t>;</w:t>
      </w:r>
      <w:r w:rsidRPr="00040FB6">
        <w:rPr>
          <w:color w:val="000000"/>
          <w:sz w:val="20"/>
          <w:szCs w:val="20"/>
          <w:u w:color="000000"/>
          <w:lang w:val="en-GB"/>
        </w:rPr>
        <w:t xml:space="preserve"> poor accessibility, limited coverage and sub-standard quality of basic services (social, economic and rule of law)</w:t>
      </w:r>
      <w:r w:rsidR="00AB6F5D" w:rsidRPr="00040FB6">
        <w:rPr>
          <w:color w:val="000000"/>
          <w:sz w:val="20"/>
          <w:szCs w:val="20"/>
          <w:u w:color="000000"/>
          <w:lang w:val="en-GB"/>
        </w:rPr>
        <w:t>;</w:t>
      </w:r>
      <w:r w:rsidRPr="00040FB6">
        <w:rPr>
          <w:color w:val="000000"/>
          <w:sz w:val="20"/>
          <w:szCs w:val="20"/>
          <w:u w:color="000000"/>
          <w:lang w:val="en-GB"/>
        </w:rPr>
        <w:t xml:space="preserve"> massive population displacement</w:t>
      </w:r>
      <w:r w:rsidR="00AB6F5D" w:rsidRPr="00040FB6">
        <w:rPr>
          <w:color w:val="000000"/>
          <w:sz w:val="20"/>
          <w:szCs w:val="20"/>
          <w:u w:color="000000"/>
          <w:lang w:val="en-GB"/>
        </w:rPr>
        <w:t>;</w:t>
      </w:r>
      <w:r w:rsidR="00070F13" w:rsidRPr="00040FB6">
        <w:rPr>
          <w:color w:val="000000"/>
          <w:sz w:val="20"/>
          <w:szCs w:val="20"/>
          <w:u w:color="000000"/>
          <w:lang w:val="en-GB"/>
        </w:rPr>
        <w:t xml:space="preserve"> </w:t>
      </w:r>
      <w:r w:rsidRPr="00040FB6">
        <w:rPr>
          <w:color w:val="000000"/>
          <w:sz w:val="20"/>
          <w:szCs w:val="20"/>
          <w:u w:color="000000"/>
          <w:lang w:val="en-GB"/>
        </w:rPr>
        <w:t xml:space="preserve">and a severe lack of public trust and confidence in the state. </w:t>
      </w:r>
    </w:p>
    <w:p w:rsidR="00652595" w:rsidRPr="00040FB6" w:rsidRDefault="00652595" w:rsidP="009D5342">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firstLine="0"/>
        <w:jc w:val="both"/>
        <w:rPr>
          <w:color w:val="000000"/>
          <w:sz w:val="20"/>
          <w:szCs w:val="20"/>
          <w:u w:color="000000"/>
          <w:lang w:val="en-GB"/>
        </w:rPr>
      </w:pPr>
      <w:r w:rsidRPr="00040FB6">
        <w:rPr>
          <w:color w:val="000000"/>
          <w:sz w:val="20"/>
          <w:szCs w:val="20"/>
          <w:u w:color="000000"/>
          <w:lang w:val="en-GB"/>
        </w:rPr>
        <w:t>Among the underlying causes of these manifestations are endemic corruptio</w:t>
      </w:r>
      <w:r w:rsidR="005504FB" w:rsidRPr="00040FB6">
        <w:rPr>
          <w:color w:val="000000"/>
          <w:sz w:val="20"/>
          <w:szCs w:val="20"/>
          <w:u w:color="000000"/>
          <w:lang w:val="en-GB"/>
        </w:rPr>
        <w:t>n,</w:t>
      </w:r>
      <w:r w:rsidR="00C76B0F" w:rsidRPr="00040FB6">
        <w:rPr>
          <w:rStyle w:val="FootnoteReference"/>
          <w:color w:val="000000"/>
          <w:sz w:val="20"/>
          <w:szCs w:val="20"/>
          <w:u w:color="000000"/>
          <w:lang w:val="en-GB"/>
        </w:rPr>
        <w:footnoteReference w:id="4"/>
      </w:r>
      <w:r w:rsidRPr="00040FB6">
        <w:rPr>
          <w:color w:val="000000"/>
          <w:sz w:val="20"/>
          <w:szCs w:val="20"/>
          <w:u w:color="000000"/>
          <w:lang w:val="en-GB"/>
        </w:rPr>
        <w:t xml:space="preserve"> </w:t>
      </w:r>
      <w:r w:rsidR="001A0C9B" w:rsidRPr="00040FB6">
        <w:rPr>
          <w:color w:val="000000"/>
          <w:sz w:val="20"/>
          <w:szCs w:val="20"/>
          <w:u w:color="000000"/>
          <w:lang w:val="en-GB"/>
        </w:rPr>
        <w:t xml:space="preserve">which </w:t>
      </w:r>
      <w:r w:rsidRPr="00040FB6">
        <w:rPr>
          <w:color w:val="000000"/>
          <w:sz w:val="20"/>
          <w:szCs w:val="20"/>
          <w:u w:color="000000"/>
          <w:lang w:val="en-GB"/>
        </w:rPr>
        <w:t>siphons funds away from development and security priorities</w:t>
      </w:r>
      <w:r w:rsidR="001A0C9B" w:rsidRPr="00040FB6">
        <w:rPr>
          <w:color w:val="000000"/>
          <w:sz w:val="20"/>
          <w:szCs w:val="20"/>
          <w:u w:color="000000"/>
          <w:lang w:val="en-GB"/>
        </w:rPr>
        <w:t>,</w:t>
      </w:r>
      <w:r w:rsidRPr="00040FB6">
        <w:rPr>
          <w:color w:val="000000"/>
          <w:sz w:val="20"/>
          <w:szCs w:val="20"/>
          <w:u w:color="000000"/>
          <w:lang w:val="en-GB"/>
        </w:rPr>
        <w:t xml:space="preserve"> </w:t>
      </w:r>
      <w:r w:rsidR="001A0C9B" w:rsidRPr="00040FB6">
        <w:rPr>
          <w:color w:val="000000"/>
          <w:sz w:val="20"/>
          <w:szCs w:val="20"/>
          <w:u w:color="000000"/>
          <w:lang w:val="en-GB"/>
        </w:rPr>
        <w:t xml:space="preserve">and </w:t>
      </w:r>
      <w:r w:rsidRPr="00040FB6">
        <w:rPr>
          <w:color w:val="000000"/>
          <w:sz w:val="20"/>
          <w:szCs w:val="20"/>
          <w:u w:color="000000"/>
          <w:lang w:val="en-GB"/>
        </w:rPr>
        <w:t>mismanagement of national assets and resources. Politically driven distribution of oil revenues and the national budget has created poorly prioritized</w:t>
      </w:r>
      <w:r w:rsidR="001A0C9B" w:rsidRPr="00040FB6">
        <w:rPr>
          <w:color w:val="000000"/>
          <w:sz w:val="20"/>
          <w:szCs w:val="20"/>
          <w:u w:color="000000"/>
          <w:lang w:val="en-GB"/>
        </w:rPr>
        <w:t>,</w:t>
      </w:r>
      <w:r w:rsidRPr="00040FB6">
        <w:rPr>
          <w:color w:val="000000"/>
          <w:sz w:val="20"/>
          <w:szCs w:val="20"/>
          <w:u w:color="000000"/>
          <w:lang w:val="en-GB"/>
        </w:rPr>
        <w:t xml:space="preserve"> inequitable delivery systems for goods and services, crippled by chronic inadequacy of capacity and resources. </w:t>
      </w:r>
      <w:r w:rsidR="001A0C9B" w:rsidRPr="00040FB6">
        <w:rPr>
          <w:color w:val="000000"/>
          <w:sz w:val="20"/>
          <w:szCs w:val="20"/>
          <w:u w:color="000000"/>
          <w:lang w:val="en-GB"/>
        </w:rPr>
        <w:t xml:space="preserve">The </w:t>
      </w:r>
      <w:r w:rsidRPr="00040FB6">
        <w:rPr>
          <w:color w:val="000000"/>
          <w:sz w:val="20"/>
          <w:szCs w:val="20"/>
          <w:u w:color="000000"/>
          <w:lang w:val="en-GB"/>
        </w:rPr>
        <w:t>inability of the state to resolve sources of conflict</w:t>
      </w:r>
      <w:r w:rsidR="001A0C9B" w:rsidRPr="00040FB6">
        <w:rPr>
          <w:color w:val="000000"/>
          <w:sz w:val="20"/>
          <w:szCs w:val="20"/>
          <w:u w:color="000000"/>
          <w:lang w:val="en-GB"/>
        </w:rPr>
        <w:t>,</w:t>
      </w:r>
      <w:r w:rsidRPr="00040FB6">
        <w:rPr>
          <w:color w:val="000000"/>
          <w:sz w:val="20"/>
          <w:szCs w:val="20"/>
          <w:u w:color="000000"/>
          <w:lang w:val="en-GB"/>
        </w:rPr>
        <w:t xml:space="preserve"> aggravated by exclusionary politics, a sectarian quota system, and ‘cleansing’ of religious and/or ethnic minorities in several provinces</w:t>
      </w:r>
      <w:r w:rsidR="001A0C9B" w:rsidRPr="00040FB6">
        <w:rPr>
          <w:color w:val="000000"/>
          <w:sz w:val="20"/>
          <w:szCs w:val="20"/>
          <w:u w:color="000000"/>
          <w:lang w:val="en-GB"/>
        </w:rPr>
        <w:t>,</w:t>
      </w:r>
      <w:r w:rsidR="002C7D0C">
        <w:rPr>
          <w:color w:val="000000"/>
          <w:sz w:val="20"/>
          <w:szCs w:val="20"/>
          <w:u w:color="000000"/>
          <w:lang w:val="en-GB"/>
        </w:rPr>
        <w:t xml:space="preserve"> have prolonged war</w:t>
      </w:r>
      <w:r w:rsidRPr="00040FB6">
        <w:rPr>
          <w:color w:val="000000"/>
          <w:sz w:val="20"/>
          <w:szCs w:val="20"/>
          <w:u w:color="000000"/>
          <w:lang w:val="en-GB"/>
        </w:rPr>
        <w:t xml:space="preserve"> </w:t>
      </w:r>
      <w:r w:rsidR="00F02E34">
        <w:rPr>
          <w:color w:val="000000"/>
          <w:sz w:val="20"/>
          <w:szCs w:val="20"/>
          <w:u w:color="000000"/>
          <w:lang w:val="en-GB"/>
        </w:rPr>
        <w:t xml:space="preserve">and </w:t>
      </w:r>
      <w:r w:rsidRPr="00040FB6">
        <w:rPr>
          <w:color w:val="000000"/>
          <w:sz w:val="20"/>
          <w:szCs w:val="20"/>
          <w:u w:color="000000"/>
          <w:lang w:val="en-GB"/>
        </w:rPr>
        <w:t>destruction.</w:t>
      </w:r>
    </w:p>
    <w:p w:rsidR="00652595" w:rsidRPr="009D5716" w:rsidRDefault="001A0C9B" w:rsidP="009D5716">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firstLine="0"/>
        <w:jc w:val="both"/>
        <w:rPr>
          <w:color w:val="000000"/>
          <w:sz w:val="20"/>
          <w:szCs w:val="20"/>
          <w:u w:color="000000"/>
          <w:lang w:val="en-GB"/>
        </w:rPr>
      </w:pPr>
      <w:r w:rsidRPr="00040FB6">
        <w:rPr>
          <w:color w:val="000000"/>
          <w:sz w:val="20"/>
          <w:szCs w:val="20"/>
          <w:u w:color="000000"/>
          <w:lang w:val="en-GB"/>
        </w:rPr>
        <w:t>4.</w:t>
      </w:r>
      <w:r w:rsidRPr="00040FB6">
        <w:rPr>
          <w:color w:val="000000"/>
          <w:sz w:val="20"/>
          <w:szCs w:val="20"/>
          <w:u w:color="000000"/>
          <w:lang w:val="en-GB"/>
        </w:rPr>
        <w:tab/>
      </w:r>
      <w:r w:rsidR="00652595" w:rsidRPr="00040FB6">
        <w:rPr>
          <w:color w:val="000000"/>
          <w:sz w:val="20"/>
          <w:szCs w:val="20"/>
          <w:u w:color="000000"/>
          <w:lang w:val="en-GB"/>
        </w:rPr>
        <w:t>Many interconnected structural problems underpin the</w:t>
      </w:r>
      <w:r w:rsidR="0041643B" w:rsidRPr="00040FB6">
        <w:rPr>
          <w:color w:val="000000"/>
          <w:sz w:val="20"/>
          <w:szCs w:val="20"/>
          <w:u w:color="000000"/>
          <w:lang w:val="en-GB"/>
        </w:rPr>
        <w:t>se</w:t>
      </w:r>
      <w:r w:rsidR="00652595" w:rsidRPr="00040FB6">
        <w:rPr>
          <w:color w:val="000000"/>
          <w:sz w:val="20"/>
          <w:szCs w:val="20"/>
          <w:u w:color="000000"/>
          <w:lang w:val="en-GB"/>
        </w:rPr>
        <w:t xml:space="preserve"> challenges at the community, governorate and national levels. </w:t>
      </w:r>
      <w:r w:rsidRPr="00040FB6">
        <w:rPr>
          <w:color w:val="000000"/>
          <w:sz w:val="20"/>
          <w:szCs w:val="20"/>
          <w:u w:color="000000"/>
          <w:lang w:val="en-GB"/>
        </w:rPr>
        <w:t>N</w:t>
      </w:r>
      <w:r w:rsidR="00652595" w:rsidRPr="00040FB6">
        <w:rPr>
          <w:color w:val="000000"/>
          <w:sz w:val="20"/>
          <w:szCs w:val="20"/>
          <w:u w:color="000000"/>
          <w:lang w:val="en-GB"/>
        </w:rPr>
        <w:t xml:space="preserve">otable among these are complex regional political dynamics; a majoritarian democracy; a highly centralized </w:t>
      </w:r>
      <w:r w:rsidRPr="00040FB6">
        <w:rPr>
          <w:color w:val="000000"/>
          <w:sz w:val="20"/>
          <w:szCs w:val="20"/>
          <w:u w:color="000000"/>
          <w:lang w:val="en-GB"/>
        </w:rPr>
        <w:t>g</w:t>
      </w:r>
      <w:r w:rsidR="00652595" w:rsidRPr="00040FB6">
        <w:rPr>
          <w:color w:val="000000"/>
          <w:sz w:val="20"/>
          <w:szCs w:val="20"/>
          <w:u w:color="000000"/>
          <w:lang w:val="en-GB"/>
        </w:rPr>
        <w:t xml:space="preserve">overnment, with limited room for participatory approaches in decision-making and weak engagement with civil society; a dysfunctional legal system; and sustained erosion of the social fabric and </w:t>
      </w:r>
      <w:r w:rsidR="005504FB" w:rsidRPr="00040FB6">
        <w:rPr>
          <w:color w:val="000000"/>
          <w:sz w:val="20"/>
          <w:szCs w:val="20"/>
          <w:u w:color="000000"/>
          <w:lang w:val="en-GB"/>
        </w:rPr>
        <w:t xml:space="preserve">consequent </w:t>
      </w:r>
      <w:r w:rsidR="00652595" w:rsidRPr="00040FB6">
        <w:rPr>
          <w:color w:val="000000"/>
          <w:sz w:val="20"/>
          <w:szCs w:val="20"/>
          <w:u w:color="000000"/>
          <w:lang w:val="en-GB"/>
        </w:rPr>
        <w:t>alienation of large segments of the population from state institutions and politics. Another key factor is the dependence on a single commodity</w:t>
      </w:r>
      <w:r w:rsidR="005504FB" w:rsidRPr="00040FB6">
        <w:rPr>
          <w:color w:val="000000"/>
          <w:sz w:val="20"/>
          <w:szCs w:val="20"/>
          <w:u w:color="000000"/>
          <w:lang w:val="en-GB"/>
        </w:rPr>
        <w:t>,</w:t>
      </w:r>
      <w:r w:rsidR="00652595" w:rsidRPr="00040FB6">
        <w:rPr>
          <w:color w:val="000000"/>
          <w:sz w:val="20"/>
          <w:szCs w:val="20"/>
          <w:u w:color="000000"/>
          <w:lang w:val="en-GB"/>
        </w:rPr>
        <w:t xml:space="preserve"> </w:t>
      </w:r>
      <w:r w:rsidR="005504FB" w:rsidRPr="00040FB6">
        <w:rPr>
          <w:color w:val="000000"/>
          <w:sz w:val="20"/>
          <w:szCs w:val="20"/>
          <w:u w:color="000000"/>
          <w:lang w:val="en-GB"/>
        </w:rPr>
        <w:t xml:space="preserve">which </w:t>
      </w:r>
      <w:r w:rsidR="00652595" w:rsidRPr="00040FB6">
        <w:rPr>
          <w:color w:val="000000"/>
          <w:sz w:val="20"/>
          <w:szCs w:val="20"/>
          <w:u w:color="000000"/>
          <w:lang w:val="en-GB"/>
        </w:rPr>
        <w:t>has crea</w:t>
      </w:r>
      <w:r w:rsidR="0041643B" w:rsidRPr="00040FB6">
        <w:rPr>
          <w:color w:val="000000"/>
          <w:sz w:val="20"/>
          <w:szCs w:val="20"/>
          <w:u w:color="000000"/>
          <w:lang w:val="en-GB"/>
        </w:rPr>
        <w:t>ted a rentier economy</w:t>
      </w:r>
      <w:r w:rsidR="005955C9" w:rsidRPr="00040FB6">
        <w:rPr>
          <w:color w:val="000000"/>
          <w:sz w:val="20"/>
          <w:szCs w:val="20"/>
          <w:u w:color="000000"/>
          <w:lang w:val="en-GB"/>
        </w:rPr>
        <w:t xml:space="preserve"> dominated by the oil sector</w:t>
      </w:r>
      <w:r w:rsidR="005504FB" w:rsidRPr="00040FB6">
        <w:rPr>
          <w:color w:val="000000"/>
          <w:sz w:val="20"/>
          <w:szCs w:val="20"/>
          <w:u w:color="000000"/>
          <w:lang w:val="en-GB"/>
        </w:rPr>
        <w:t>.</w:t>
      </w:r>
      <w:r w:rsidR="005955C9" w:rsidRPr="00040FB6">
        <w:rPr>
          <w:color w:val="000000"/>
          <w:sz w:val="20"/>
          <w:szCs w:val="20"/>
          <w:u w:color="000000"/>
          <w:lang w:val="en-GB"/>
        </w:rPr>
        <w:t xml:space="preserve"> </w:t>
      </w:r>
      <w:r w:rsidR="00440082" w:rsidRPr="00040FB6">
        <w:rPr>
          <w:color w:val="000000"/>
          <w:sz w:val="20"/>
          <w:szCs w:val="20"/>
          <w:u w:color="000000"/>
          <w:lang w:val="en-GB"/>
        </w:rPr>
        <w:t>That</w:t>
      </w:r>
      <w:r w:rsidR="005504FB" w:rsidRPr="00040FB6">
        <w:rPr>
          <w:color w:val="000000"/>
          <w:sz w:val="20"/>
          <w:szCs w:val="20"/>
          <w:u w:color="000000"/>
          <w:lang w:val="en-GB"/>
        </w:rPr>
        <w:t xml:space="preserve"> sector </w:t>
      </w:r>
      <w:r w:rsidR="005955C9" w:rsidRPr="00040FB6">
        <w:rPr>
          <w:color w:val="000000"/>
          <w:sz w:val="20"/>
          <w:szCs w:val="20"/>
          <w:u w:color="000000"/>
          <w:lang w:val="en-GB"/>
        </w:rPr>
        <w:t>provides more than 90</w:t>
      </w:r>
      <w:r w:rsidRPr="00040FB6">
        <w:rPr>
          <w:color w:val="000000"/>
          <w:sz w:val="20"/>
          <w:szCs w:val="20"/>
          <w:u w:color="000000"/>
          <w:lang w:val="en-GB"/>
        </w:rPr>
        <w:t xml:space="preserve"> per cent </w:t>
      </w:r>
      <w:r w:rsidR="005955C9" w:rsidRPr="00040FB6">
        <w:rPr>
          <w:color w:val="000000"/>
          <w:sz w:val="20"/>
          <w:szCs w:val="20"/>
          <w:u w:color="000000"/>
          <w:lang w:val="en-GB"/>
        </w:rPr>
        <w:t>of government revenue and 80</w:t>
      </w:r>
      <w:r w:rsidRPr="00040FB6">
        <w:rPr>
          <w:color w:val="000000"/>
          <w:sz w:val="20"/>
          <w:szCs w:val="20"/>
          <w:u w:color="000000"/>
          <w:lang w:val="en-GB"/>
        </w:rPr>
        <w:t xml:space="preserve"> per cent</w:t>
      </w:r>
      <w:r w:rsidR="005955C9" w:rsidRPr="00040FB6">
        <w:rPr>
          <w:color w:val="000000"/>
          <w:sz w:val="20"/>
          <w:szCs w:val="20"/>
          <w:u w:color="000000"/>
          <w:lang w:val="en-GB"/>
        </w:rPr>
        <w:t xml:space="preserve"> of foreign exchange earnings</w:t>
      </w:r>
      <w:r w:rsidR="005955C9" w:rsidRPr="00040FB6">
        <w:rPr>
          <w:rStyle w:val="FootnoteReference"/>
          <w:sz w:val="20"/>
          <w:szCs w:val="20"/>
          <w:lang w:val="en-GB"/>
        </w:rPr>
        <w:footnoteReference w:id="5"/>
      </w:r>
      <w:r w:rsidR="005955C9" w:rsidRPr="00040FB6">
        <w:rPr>
          <w:color w:val="000000"/>
          <w:sz w:val="20"/>
          <w:szCs w:val="20"/>
          <w:u w:color="000000"/>
          <w:lang w:val="en-GB"/>
        </w:rPr>
        <w:t xml:space="preserve">, </w:t>
      </w:r>
      <w:r w:rsidR="0041643B" w:rsidRPr="00040FB6">
        <w:rPr>
          <w:color w:val="000000"/>
          <w:sz w:val="20"/>
          <w:szCs w:val="20"/>
          <w:u w:color="000000"/>
          <w:lang w:val="en-GB"/>
        </w:rPr>
        <w:t>inhibiting</w:t>
      </w:r>
      <w:r w:rsidR="00652595" w:rsidRPr="00040FB6">
        <w:rPr>
          <w:color w:val="000000"/>
          <w:sz w:val="20"/>
          <w:szCs w:val="20"/>
          <w:u w:color="000000"/>
          <w:lang w:val="en-GB"/>
        </w:rPr>
        <w:t xml:space="preserve"> the emergence of a s</w:t>
      </w:r>
      <w:r w:rsidR="0041643B" w:rsidRPr="00040FB6">
        <w:rPr>
          <w:color w:val="000000"/>
          <w:sz w:val="20"/>
          <w:szCs w:val="20"/>
          <w:u w:color="000000"/>
          <w:lang w:val="en-GB"/>
        </w:rPr>
        <w:t>trong private sector and exposing</w:t>
      </w:r>
      <w:r w:rsidR="00652595" w:rsidRPr="00040FB6">
        <w:rPr>
          <w:color w:val="000000"/>
          <w:sz w:val="20"/>
          <w:szCs w:val="20"/>
          <w:u w:color="000000"/>
          <w:lang w:val="en-GB"/>
        </w:rPr>
        <w:t xml:space="preserve"> Iraq to oil price shocks. This has hampered job creation for a rapidly growing youth population. Additionally, major disaster risks </w:t>
      </w:r>
      <w:r w:rsidR="00652595" w:rsidRPr="009D5716">
        <w:rPr>
          <w:color w:val="000000"/>
          <w:sz w:val="20"/>
          <w:szCs w:val="20"/>
          <w:u w:color="000000"/>
          <w:lang w:val="en-GB"/>
        </w:rPr>
        <w:t>from water scarcity</w:t>
      </w:r>
      <w:r w:rsidR="009C25AA" w:rsidRPr="009D5716">
        <w:rPr>
          <w:rStyle w:val="FootnoteReference"/>
          <w:color w:val="000000"/>
          <w:sz w:val="20"/>
          <w:szCs w:val="20"/>
          <w:u w:color="000000"/>
          <w:lang w:val="en-GB"/>
        </w:rPr>
        <w:footnoteReference w:id="6"/>
      </w:r>
      <w:r w:rsidR="00652595" w:rsidRPr="009D5716">
        <w:rPr>
          <w:color w:val="000000"/>
          <w:sz w:val="20"/>
          <w:szCs w:val="20"/>
          <w:u w:color="000000"/>
          <w:lang w:val="en-GB"/>
        </w:rPr>
        <w:t xml:space="preserve"> and the state of the Mosul Dam</w:t>
      </w:r>
      <w:r w:rsidR="009C25AA" w:rsidRPr="009D5716">
        <w:rPr>
          <w:rStyle w:val="FootnoteReference"/>
          <w:color w:val="000000"/>
          <w:sz w:val="20"/>
          <w:szCs w:val="20"/>
          <w:u w:color="000000"/>
          <w:lang w:val="en-GB"/>
        </w:rPr>
        <w:footnoteReference w:id="7"/>
      </w:r>
      <w:r w:rsidR="00652595" w:rsidRPr="009D5716">
        <w:rPr>
          <w:color w:val="000000"/>
          <w:sz w:val="20"/>
          <w:szCs w:val="20"/>
          <w:u w:color="000000"/>
          <w:lang w:val="en-GB"/>
        </w:rPr>
        <w:t xml:space="preserve"> could have severe repercussions if left unattended.</w:t>
      </w:r>
    </w:p>
    <w:p w:rsidR="00652595" w:rsidRDefault="00652595" w:rsidP="009D5716">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firstLine="0"/>
        <w:jc w:val="both"/>
        <w:rPr>
          <w:sz w:val="20"/>
          <w:szCs w:val="20"/>
          <w:lang w:val="en-GB"/>
        </w:rPr>
      </w:pPr>
      <w:r w:rsidRPr="009D5716">
        <w:rPr>
          <w:color w:val="000000"/>
          <w:sz w:val="20"/>
          <w:szCs w:val="20"/>
          <w:u w:color="000000"/>
          <w:lang w:val="en-GB"/>
        </w:rPr>
        <w:t xml:space="preserve">To support </w:t>
      </w:r>
      <w:r w:rsidR="009D15B9" w:rsidRPr="009D5716">
        <w:rPr>
          <w:color w:val="000000"/>
          <w:sz w:val="20"/>
          <w:szCs w:val="20"/>
          <w:u w:color="000000"/>
          <w:lang w:val="en-GB"/>
        </w:rPr>
        <w:t xml:space="preserve">the </w:t>
      </w:r>
      <w:r w:rsidRPr="009D5716">
        <w:rPr>
          <w:color w:val="000000"/>
          <w:sz w:val="20"/>
          <w:szCs w:val="20"/>
          <w:u w:color="000000"/>
          <w:lang w:val="en-GB"/>
        </w:rPr>
        <w:t>transition</w:t>
      </w:r>
      <w:r w:rsidRPr="009D5716">
        <w:rPr>
          <w:sz w:val="20"/>
          <w:szCs w:val="20"/>
          <w:lang w:val="en-GB"/>
        </w:rPr>
        <w:t xml:space="preserve"> </w:t>
      </w:r>
      <w:r w:rsidR="009D15B9" w:rsidRPr="009D5716">
        <w:rPr>
          <w:sz w:val="20"/>
          <w:szCs w:val="20"/>
          <w:lang w:val="en-GB"/>
        </w:rPr>
        <w:t xml:space="preserve">of Iraq </w:t>
      </w:r>
      <w:r w:rsidRPr="009D5716">
        <w:rPr>
          <w:sz w:val="20"/>
          <w:szCs w:val="20"/>
          <w:lang w:val="en-GB"/>
        </w:rPr>
        <w:t>to a functioning democracy</w:t>
      </w:r>
      <w:r w:rsidR="009D15B9" w:rsidRPr="009D5716">
        <w:rPr>
          <w:sz w:val="20"/>
          <w:szCs w:val="20"/>
          <w:lang w:val="en-GB"/>
        </w:rPr>
        <w:t>,</w:t>
      </w:r>
      <w:r w:rsidRPr="009D5716">
        <w:rPr>
          <w:sz w:val="20"/>
          <w:szCs w:val="20"/>
          <w:lang w:val="en-GB"/>
        </w:rPr>
        <w:t xml:space="preserve"> UNDP targeted five key issues in the previous </w:t>
      </w:r>
      <w:r w:rsidR="009D15B9" w:rsidRPr="009D5716">
        <w:rPr>
          <w:sz w:val="20"/>
          <w:szCs w:val="20"/>
          <w:lang w:val="en-GB"/>
        </w:rPr>
        <w:t xml:space="preserve">country programme </w:t>
      </w:r>
      <w:r w:rsidRPr="009D5716">
        <w:rPr>
          <w:sz w:val="20"/>
          <w:szCs w:val="20"/>
          <w:lang w:val="en-GB"/>
        </w:rPr>
        <w:t>cycle: (</w:t>
      </w:r>
      <w:r w:rsidR="009D15B9" w:rsidRPr="009D5716">
        <w:rPr>
          <w:sz w:val="20"/>
          <w:szCs w:val="20"/>
          <w:lang w:val="en-GB"/>
        </w:rPr>
        <w:t>a</w:t>
      </w:r>
      <w:r w:rsidRPr="009D5716">
        <w:rPr>
          <w:sz w:val="20"/>
          <w:szCs w:val="20"/>
          <w:lang w:val="en-GB"/>
        </w:rPr>
        <w:t xml:space="preserve">) </w:t>
      </w:r>
      <w:r w:rsidR="009D15B9" w:rsidRPr="009D5716">
        <w:rPr>
          <w:sz w:val="20"/>
          <w:szCs w:val="20"/>
          <w:lang w:val="en-GB"/>
        </w:rPr>
        <w:t>p</w:t>
      </w:r>
      <w:r w:rsidRPr="009D5716">
        <w:rPr>
          <w:sz w:val="20"/>
          <w:szCs w:val="20"/>
          <w:lang w:val="en-GB"/>
        </w:rPr>
        <w:t xml:space="preserve">arliamentary and </w:t>
      </w:r>
      <w:r w:rsidR="009D15B9" w:rsidRPr="009D5716">
        <w:rPr>
          <w:sz w:val="20"/>
          <w:szCs w:val="20"/>
          <w:lang w:val="en-GB"/>
        </w:rPr>
        <w:t>c</w:t>
      </w:r>
      <w:r w:rsidRPr="009D5716">
        <w:rPr>
          <w:sz w:val="20"/>
          <w:szCs w:val="20"/>
          <w:lang w:val="en-GB"/>
        </w:rPr>
        <w:t xml:space="preserve">ivil </w:t>
      </w:r>
      <w:r w:rsidR="009D15B9" w:rsidRPr="009D5716">
        <w:rPr>
          <w:sz w:val="20"/>
          <w:szCs w:val="20"/>
          <w:lang w:val="en-GB"/>
        </w:rPr>
        <w:t>s</w:t>
      </w:r>
      <w:r w:rsidRPr="009D5716">
        <w:rPr>
          <w:sz w:val="20"/>
          <w:szCs w:val="20"/>
          <w:lang w:val="en-GB"/>
        </w:rPr>
        <w:t xml:space="preserve">ociety </w:t>
      </w:r>
      <w:r w:rsidR="009D15B9" w:rsidRPr="009D5716">
        <w:rPr>
          <w:sz w:val="20"/>
          <w:szCs w:val="20"/>
          <w:lang w:val="en-GB"/>
        </w:rPr>
        <w:t>s</w:t>
      </w:r>
      <w:r w:rsidRPr="009D5716">
        <w:rPr>
          <w:sz w:val="20"/>
          <w:szCs w:val="20"/>
          <w:lang w:val="en-GB"/>
        </w:rPr>
        <w:t>upport; (</w:t>
      </w:r>
      <w:r w:rsidR="009D15B9" w:rsidRPr="009D5716">
        <w:rPr>
          <w:sz w:val="20"/>
          <w:szCs w:val="20"/>
          <w:lang w:val="en-GB"/>
        </w:rPr>
        <w:t>b</w:t>
      </w:r>
      <w:r w:rsidRPr="009D5716">
        <w:rPr>
          <w:sz w:val="20"/>
          <w:szCs w:val="20"/>
          <w:lang w:val="en-GB"/>
        </w:rPr>
        <w:t xml:space="preserve">) </w:t>
      </w:r>
      <w:r w:rsidR="009D15B9" w:rsidRPr="009D5716">
        <w:rPr>
          <w:sz w:val="20"/>
          <w:szCs w:val="20"/>
          <w:lang w:val="en-GB"/>
        </w:rPr>
        <w:t>r</w:t>
      </w:r>
      <w:r w:rsidRPr="009D5716">
        <w:rPr>
          <w:sz w:val="20"/>
          <w:szCs w:val="20"/>
          <w:lang w:val="en-GB"/>
        </w:rPr>
        <w:t xml:space="preserve">ule of </w:t>
      </w:r>
      <w:r w:rsidR="009D15B9" w:rsidRPr="009D5716">
        <w:rPr>
          <w:sz w:val="20"/>
          <w:szCs w:val="20"/>
          <w:lang w:val="en-GB"/>
        </w:rPr>
        <w:t>l</w:t>
      </w:r>
      <w:r w:rsidRPr="009D5716">
        <w:rPr>
          <w:sz w:val="20"/>
          <w:szCs w:val="20"/>
          <w:lang w:val="en-GB"/>
        </w:rPr>
        <w:t>aw; (</w:t>
      </w:r>
      <w:r w:rsidR="009D15B9" w:rsidRPr="009D5716">
        <w:rPr>
          <w:sz w:val="20"/>
          <w:szCs w:val="20"/>
          <w:lang w:val="en-GB"/>
        </w:rPr>
        <w:t>c</w:t>
      </w:r>
      <w:r w:rsidRPr="009D5716">
        <w:rPr>
          <w:sz w:val="20"/>
          <w:szCs w:val="20"/>
          <w:lang w:val="en-GB"/>
        </w:rPr>
        <w:t xml:space="preserve">) </w:t>
      </w:r>
      <w:r w:rsidR="009D15B9" w:rsidRPr="009D5716">
        <w:rPr>
          <w:sz w:val="20"/>
          <w:szCs w:val="20"/>
          <w:lang w:val="en-GB"/>
        </w:rPr>
        <w:t>s</w:t>
      </w:r>
      <w:r w:rsidRPr="009D5716">
        <w:rPr>
          <w:sz w:val="20"/>
          <w:szCs w:val="20"/>
          <w:lang w:val="en-GB"/>
        </w:rPr>
        <w:t xml:space="preserve">upport for </w:t>
      </w:r>
      <w:r w:rsidR="009D15B9" w:rsidRPr="009D5716">
        <w:rPr>
          <w:sz w:val="20"/>
          <w:szCs w:val="20"/>
          <w:lang w:val="en-GB"/>
        </w:rPr>
        <w:t>t</w:t>
      </w:r>
      <w:r w:rsidRPr="009D5716">
        <w:rPr>
          <w:sz w:val="20"/>
          <w:szCs w:val="20"/>
          <w:lang w:val="en-GB"/>
        </w:rPr>
        <w:t xml:space="preserve">ransparent and </w:t>
      </w:r>
      <w:r w:rsidR="009D15B9" w:rsidRPr="009D5716">
        <w:rPr>
          <w:sz w:val="20"/>
          <w:szCs w:val="20"/>
          <w:lang w:val="en-GB"/>
        </w:rPr>
        <w:t>a</w:t>
      </w:r>
      <w:r w:rsidRPr="009D5716">
        <w:rPr>
          <w:sz w:val="20"/>
          <w:szCs w:val="20"/>
          <w:lang w:val="en-GB"/>
        </w:rPr>
        <w:t xml:space="preserve">ccountable </w:t>
      </w:r>
      <w:r w:rsidR="009D15B9" w:rsidRPr="009D5716">
        <w:rPr>
          <w:sz w:val="20"/>
          <w:szCs w:val="20"/>
          <w:lang w:val="en-GB"/>
        </w:rPr>
        <w:t>i</w:t>
      </w:r>
      <w:r w:rsidRPr="009D5716">
        <w:rPr>
          <w:sz w:val="20"/>
          <w:szCs w:val="20"/>
          <w:lang w:val="en-GB"/>
        </w:rPr>
        <w:t>nstitutions; (</w:t>
      </w:r>
      <w:r w:rsidR="009D15B9" w:rsidRPr="009D5716">
        <w:rPr>
          <w:sz w:val="20"/>
          <w:szCs w:val="20"/>
          <w:lang w:val="en-GB"/>
        </w:rPr>
        <w:t>d</w:t>
      </w:r>
      <w:r w:rsidRPr="009D5716">
        <w:rPr>
          <w:sz w:val="20"/>
          <w:szCs w:val="20"/>
          <w:lang w:val="en-GB"/>
        </w:rPr>
        <w:t xml:space="preserve">) </w:t>
      </w:r>
      <w:r w:rsidR="009D15B9" w:rsidRPr="009D5716">
        <w:rPr>
          <w:sz w:val="20"/>
          <w:szCs w:val="20"/>
          <w:lang w:val="en-GB"/>
        </w:rPr>
        <w:t>i</w:t>
      </w:r>
      <w:r w:rsidRPr="009D5716">
        <w:rPr>
          <w:sz w:val="20"/>
          <w:szCs w:val="20"/>
          <w:lang w:val="en-GB"/>
        </w:rPr>
        <w:t>nclusive</w:t>
      </w:r>
      <w:r w:rsidR="005504FB" w:rsidRPr="009D5716">
        <w:rPr>
          <w:sz w:val="20"/>
          <w:szCs w:val="20"/>
          <w:lang w:val="en-GB"/>
        </w:rPr>
        <w:t>,</w:t>
      </w:r>
      <w:r w:rsidRPr="009D5716">
        <w:rPr>
          <w:sz w:val="20"/>
          <w:szCs w:val="20"/>
          <w:lang w:val="en-GB"/>
        </w:rPr>
        <w:t xml:space="preserve"> </w:t>
      </w:r>
      <w:r w:rsidR="009D15B9" w:rsidRPr="009D5716">
        <w:rPr>
          <w:sz w:val="20"/>
          <w:szCs w:val="20"/>
          <w:lang w:val="en-GB"/>
        </w:rPr>
        <w:t>s</w:t>
      </w:r>
      <w:r w:rsidRPr="009D5716">
        <w:rPr>
          <w:sz w:val="20"/>
          <w:szCs w:val="20"/>
          <w:lang w:val="en-GB"/>
        </w:rPr>
        <w:t xml:space="preserve">ustainable </w:t>
      </w:r>
      <w:r w:rsidR="009D15B9" w:rsidRPr="009D5716">
        <w:rPr>
          <w:sz w:val="20"/>
          <w:szCs w:val="20"/>
          <w:lang w:val="en-GB"/>
        </w:rPr>
        <w:t>e</w:t>
      </w:r>
      <w:r w:rsidRPr="009D5716">
        <w:rPr>
          <w:sz w:val="20"/>
          <w:szCs w:val="20"/>
          <w:lang w:val="en-GB"/>
        </w:rPr>
        <w:t xml:space="preserve">conomic </w:t>
      </w:r>
      <w:r w:rsidRPr="009D5716">
        <w:rPr>
          <w:sz w:val="20"/>
          <w:szCs w:val="20"/>
          <w:lang w:val="en-GB"/>
        </w:rPr>
        <w:lastRenderedPageBreak/>
        <w:t xml:space="preserve">and </w:t>
      </w:r>
      <w:r w:rsidR="009D15B9" w:rsidRPr="009D5716">
        <w:rPr>
          <w:sz w:val="20"/>
          <w:szCs w:val="20"/>
          <w:lang w:val="en-GB"/>
        </w:rPr>
        <w:t>e</w:t>
      </w:r>
      <w:r w:rsidRPr="009D5716">
        <w:rPr>
          <w:sz w:val="20"/>
          <w:szCs w:val="20"/>
          <w:lang w:val="en-GB"/>
        </w:rPr>
        <w:t xml:space="preserve">nvironmental </w:t>
      </w:r>
      <w:r w:rsidR="009D15B9" w:rsidRPr="009D5716">
        <w:rPr>
          <w:sz w:val="20"/>
          <w:szCs w:val="20"/>
          <w:lang w:val="en-GB"/>
        </w:rPr>
        <w:t>d</w:t>
      </w:r>
      <w:r w:rsidRPr="009D5716">
        <w:rPr>
          <w:sz w:val="20"/>
          <w:szCs w:val="20"/>
          <w:lang w:val="en-GB"/>
        </w:rPr>
        <w:t>evelopment; and (</w:t>
      </w:r>
      <w:r w:rsidR="009D15B9" w:rsidRPr="009D5716">
        <w:rPr>
          <w:sz w:val="20"/>
          <w:szCs w:val="20"/>
          <w:lang w:val="en-GB"/>
        </w:rPr>
        <w:t>e</w:t>
      </w:r>
      <w:r w:rsidRPr="009D5716">
        <w:rPr>
          <w:sz w:val="20"/>
          <w:szCs w:val="20"/>
          <w:lang w:val="en-GB"/>
        </w:rPr>
        <w:t xml:space="preserve">) </w:t>
      </w:r>
      <w:r w:rsidR="009D15B9" w:rsidRPr="009D5716">
        <w:rPr>
          <w:sz w:val="20"/>
          <w:szCs w:val="20"/>
          <w:lang w:val="en-GB"/>
        </w:rPr>
        <w:t>s</w:t>
      </w:r>
      <w:r w:rsidRPr="009D5716">
        <w:rPr>
          <w:sz w:val="20"/>
          <w:szCs w:val="20"/>
          <w:lang w:val="en-GB"/>
        </w:rPr>
        <w:t xml:space="preserve">upport to the </w:t>
      </w:r>
      <w:r w:rsidR="009D15B9" w:rsidRPr="009D5716">
        <w:rPr>
          <w:sz w:val="20"/>
          <w:szCs w:val="20"/>
          <w:lang w:val="en-GB"/>
        </w:rPr>
        <w:t>p</w:t>
      </w:r>
      <w:r w:rsidRPr="009D5716">
        <w:rPr>
          <w:sz w:val="20"/>
          <w:szCs w:val="20"/>
          <w:lang w:val="en-GB"/>
        </w:rPr>
        <w:t xml:space="preserve">rivate </w:t>
      </w:r>
      <w:r w:rsidR="009D15B9" w:rsidRPr="009D5716">
        <w:rPr>
          <w:sz w:val="20"/>
          <w:szCs w:val="20"/>
          <w:lang w:val="en-GB"/>
        </w:rPr>
        <w:t>s</w:t>
      </w:r>
      <w:r w:rsidR="00EE28C9">
        <w:rPr>
          <w:sz w:val="20"/>
          <w:szCs w:val="20"/>
          <w:lang w:val="en-GB"/>
        </w:rPr>
        <w:t>ector.</w:t>
      </w:r>
    </w:p>
    <w:p w:rsidR="00652595" w:rsidRPr="00EE28C9" w:rsidRDefault="00652595" w:rsidP="00EE28C9">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firstLine="0"/>
        <w:jc w:val="both"/>
        <w:rPr>
          <w:sz w:val="20"/>
          <w:szCs w:val="20"/>
          <w:lang w:val="en-GB"/>
        </w:rPr>
      </w:pPr>
      <w:r w:rsidRPr="00EE28C9">
        <w:rPr>
          <w:color w:val="000000"/>
          <w:sz w:val="20"/>
          <w:szCs w:val="20"/>
          <w:u w:color="000000"/>
          <w:lang w:val="en-GB"/>
        </w:rPr>
        <w:t>Key governance-focused results</w:t>
      </w:r>
      <w:r w:rsidR="0041643B" w:rsidRPr="00EE28C9">
        <w:rPr>
          <w:color w:val="000000"/>
          <w:sz w:val="20"/>
          <w:szCs w:val="20"/>
          <w:u w:color="000000"/>
          <w:lang w:val="en-GB"/>
        </w:rPr>
        <w:t xml:space="preserve"> during the previous</w:t>
      </w:r>
      <w:r w:rsidRPr="00EE28C9">
        <w:rPr>
          <w:color w:val="000000"/>
          <w:sz w:val="20"/>
          <w:szCs w:val="20"/>
          <w:u w:color="000000"/>
          <w:lang w:val="en-GB"/>
        </w:rPr>
        <w:t xml:space="preserve"> cycle included enabling the Independent High Election Commission to conduct parliamentary and regional elections in 2014, commended by independent observers</w:t>
      </w:r>
      <w:r w:rsidRPr="00040FB6">
        <w:rPr>
          <w:color w:val="000000"/>
          <w:sz w:val="20"/>
          <w:szCs w:val="20"/>
          <w:u w:color="000000"/>
          <w:vertAlign w:val="superscript"/>
          <w:lang w:val="en-GB"/>
        </w:rPr>
        <w:footnoteReference w:id="8"/>
      </w:r>
      <w:r w:rsidRPr="00EE28C9">
        <w:rPr>
          <w:color w:val="000000"/>
          <w:sz w:val="20"/>
          <w:szCs w:val="20"/>
          <w:u w:color="000000"/>
          <w:lang w:val="en-GB"/>
        </w:rPr>
        <w:t xml:space="preserve"> for being relatively fair and transparent. Approximately 12.6 million Iraqis cast ballots in 2,667 polling centres </w:t>
      </w:r>
      <w:r w:rsidR="003A24D8" w:rsidRPr="00EE28C9">
        <w:rPr>
          <w:color w:val="000000"/>
          <w:sz w:val="20"/>
          <w:szCs w:val="20"/>
          <w:u w:color="000000"/>
          <w:lang w:val="en-GB"/>
        </w:rPr>
        <w:t>(</w:t>
      </w:r>
      <w:r w:rsidRPr="00EE28C9">
        <w:rPr>
          <w:color w:val="000000"/>
          <w:sz w:val="20"/>
          <w:szCs w:val="20"/>
          <w:u w:color="000000"/>
          <w:lang w:val="en-GB"/>
        </w:rPr>
        <w:t>62 per cent of eligible voter</w:t>
      </w:r>
      <w:r w:rsidR="0041643B" w:rsidRPr="00EE28C9">
        <w:rPr>
          <w:color w:val="000000"/>
          <w:sz w:val="20"/>
          <w:szCs w:val="20"/>
          <w:u w:color="000000"/>
          <w:lang w:val="en-GB"/>
        </w:rPr>
        <w:t>s</w:t>
      </w:r>
      <w:r w:rsidRPr="00EE28C9">
        <w:rPr>
          <w:color w:val="000000"/>
          <w:sz w:val="20"/>
          <w:szCs w:val="20"/>
          <w:u w:color="000000"/>
          <w:lang w:val="en-GB"/>
        </w:rPr>
        <w:t xml:space="preserve"> in the parliamentary elections and 76</w:t>
      </w:r>
      <w:r w:rsidR="009D15B9" w:rsidRPr="00EE28C9">
        <w:rPr>
          <w:color w:val="000000"/>
          <w:sz w:val="20"/>
          <w:szCs w:val="20"/>
          <w:u w:color="000000"/>
          <w:lang w:val="en-GB"/>
        </w:rPr>
        <w:t xml:space="preserve"> per cent in </w:t>
      </w:r>
      <w:r w:rsidR="0041643B" w:rsidRPr="00EE28C9">
        <w:rPr>
          <w:color w:val="000000"/>
          <w:sz w:val="20"/>
          <w:szCs w:val="20"/>
          <w:u w:color="000000"/>
          <w:lang w:val="en-GB"/>
        </w:rPr>
        <w:t>governorate c</w:t>
      </w:r>
      <w:r w:rsidRPr="00EE28C9">
        <w:rPr>
          <w:color w:val="000000"/>
          <w:sz w:val="20"/>
          <w:szCs w:val="20"/>
          <w:u w:color="000000"/>
          <w:lang w:val="en-GB"/>
        </w:rPr>
        <w:t xml:space="preserve">ouncil elections in the </w:t>
      </w:r>
      <w:r w:rsidR="00284547" w:rsidRPr="00EE28C9">
        <w:rPr>
          <w:color w:val="000000"/>
          <w:sz w:val="20"/>
          <w:szCs w:val="20"/>
          <w:u w:color="000000"/>
          <w:lang w:val="en-GB"/>
        </w:rPr>
        <w:t>Kurdistan r</w:t>
      </w:r>
      <w:r w:rsidR="009D15B9" w:rsidRPr="00EE28C9">
        <w:rPr>
          <w:color w:val="000000"/>
          <w:sz w:val="20"/>
          <w:szCs w:val="20"/>
          <w:u w:color="000000"/>
          <w:lang w:val="en-GB"/>
        </w:rPr>
        <w:t>egion</w:t>
      </w:r>
      <w:r w:rsidRPr="00040FB6">
        <w:rPr>
          <w:rStyle w:val="FootnoteReference"/>
          <w:color w:val="000000"/>
          <w:sz w:val="20"/>
          <w:szCs w:val="20"/>
          <w:u w:color="000000"/>
          <w:lang w:val="en-GB"/>
        </w:rPr>
        <w:footnoteReference w:id="9"/>
      </w:r>
      <w:r w:rsidR="003A24D8" w:rsidRPr="00EE28C9">
        <w:rPr>
          <w:color w:val="000000"/>
          <w:sz w:val="20"/>
          <w:szCs w:val="20"/>
          <w:u w:color="000000"/>
          <w:lang w:val="en-GB"/>
        </w:rPr>
        <w:t>).</w:t>
      </w:r>
      <w:r w:rsidRPr="00EE28C9">
        <w:rPr>
          <w:color w:val="000000"/>
          <w:sz w:val="20"/>
          <w:szCs w:val="20"/>
          <w:u w:color="000000"/>
          <w:lang w:val="en-GB"/>
        </w:rPr>
        <w:t xml:space="preserve"> With UNDP support, </w:t>
      </w:r>
      <w:r w:rsidR="009D15B9" w:rsidRPr="00EE28C9">
        <w:rPr>
          <w:color w:val="000000"/>
          <w:sz w:val="20"/>
          <w:szCs w:val="20"/>
          <w:u w:color="000000"/>
          <w:lang w:val="en-GB"/>
        </w:rPr>
        <w:t xml:space="preserve">the Commission </w:t>
      </w:r>
      <w:r w:rsidRPr="00EE28C9">
        <w:rPr>
          <w:color w:val="000000"/>
          <w:sz w:val="20"/>
          <w:szCs w:val="20"/>
          <w:u w:color="000000"/>
          <w:lang w:val="en-GB"/>
        </w:rPr>
        <w:t>created a gender unit</w:t>
      </w:r>
      <w:r w:rsidR="005504FB" w:rsidRPr="00EE28C9">
        <w:rPr>
          <w:color w:val="000000"/>
          <w:sz w:val="20"/>
          <w:szCs w:val="20"/>
          <w:u w:color="000000"/>
          <w:lang w:val="en-GB"/>
        </w:rPr>
        <w:t xml:space="preserve"> that</w:t>
      </w:r>
      <w:r w:rsidRPr="00EE28C9">
        <w:rPr>
          <w:color w:val="000000"/>
          <w:sz w:val="20"/>
          <w:szCs w:val="20"/>
          <w:u w:color="000000"/>
          <w:lang w:val="en-GB"/>
        </w:rPr>
        <w:t xml:space="preserve"> facilitated women-specific awareness campaigns and e</w:t>
      </w:r>
      <w:r w:rsidR="00BB228A" w:rsidRPr="00EE28C9">
        <w:rPr>
          <w:color w:val="000000"/>
          <w:sz w:val="20"/>
          <w:szCs w:val="20"/>
          <w:u w:color="000000"/>
          <w:lang w:val="en-GB"/>
        </w:rPr>
        <w:t xml:space="preserve">xpanded women’s participation. </w:t>
      </w:r>
      <w:r w:rsidRPr="00EE28C9">
        <w:rPr>
          <w:color w:val="000000"/>
          <w:sz w:val="20"/>
          <w:szCs w:val="20"/>
          <w:u w:color="000000"/>
          <w:lang w:val="en-GB"/>
        </w:rPr>
        <w:t>UNDP</w:t>
      </w:r>
      <w:r w:rsidR="003A24D8" w:rsidRPr="00EE28C9">
        <w:rPr>
          <w:color w:val="000000"/>
          <w:sz w:val="20"/>
          <w:szCs w:val="20"/>
          <w:u w:color="000000"/>
          <w:lang w:val="en-GB"/>
        </w:rPr>
        <w:t xml:space="preserve"> assisted the</w:t>
      </w:r>
      <w:r w:rsidRPr="00EE28C9">
        <w:rPr>
          <w:color w:val="000000"/>
          <w:sz w:val="20"/>
          <w:szCs w:val="20"/>
          <w:u w:color="000000"/>
          <w:lang w:val="en-GB"/>
        </w:rPr>
        <w:t xml:space="preserve"> </w:t>
      </w:r>
      <w:r w:rsidR="00056F74" w:rsidRPr="00EE28C9">
        <w:rPr>
          <w:color w:val="000000"/>
          <w:sz w:val="20"/>
          <w:szCs w:val="20"/>
          <w:u w:color="000000"/>
          <w:lang w:val="en-GB"/>
        </w:rPr>
        <w:t>Parliament in</w:t>
      </w:r>
      <w:r w:rsidR="003A24D8" w:rsidRPr="00EE28C9">
        <w:rPr>
          <w:color w:val="000000"/>
          <w:sz w:val="20"/>
          <w:szCs w:val="20"/>
          <w:u w:color="000000"/>
          <w:lang w:val="en-GB"/>
        </w:rPr>
        <w:t xml:space="preserve"> </w:t>
      </w:r>
      <w:r w:rsidRPr="00EE28C9">
        <w:rPr>
          <w:color w:val="000000"/>
          <w:sz w:val="20"/>
          <w:szCs w:val="20"/>
          <w:u w:color="000000"/>
          <w:lang w:val="en-GB"/>
        </w:rPr>
        <w:t>professionali</w:t>
      </w:r>
      <w:r w:rsidR="003A24D8" w:rsidRPr="00EE28C9">
        <w:rPr>
          <w:color w:val="000000"/>
          <w:sz w:val="20"/>
          <w:szCs w:val="20"/>
          <w:u w:color="000000"/>
          <w:lang w:val="en-GB"/>
        </w:rPr>
        <w:t>zing</w:t>
      </w:r>
      <w:r w:rsidRPr="00EE28C9">
        <w:rPr>
          <w:color w:val="000000"/>
          <w:sz w:val="20"/>
          <w:szCs w:val="20"/>
          <w:u w:color="000000"/>
          <w:lang w:val="en-GB"/>
        </w:rPr>
        <w:t xml:space="preserve"> both </w:t>
      </w:r>
      <w:r w:rsidR="005504FB" w:rsidRPr="00EE28C9">
        <w:rPr>
          <w:color w:val="000000"/>
          <w:sz w:val="20"/>
          <w:szCs w:val="20"/>
          <w:u w:color="000000"/>
          <w:lang w:val="en-GB"/>
        </w:rPr>
        <w:t xml:space="preserve">its secretariat and </w:t>
      </w:r>
      <w:r w:rsidR="009D15B9" w:rsidRPr="00EE28C9">
        <w:rPr>
          <w:color w:val="000000"/>
          <w:sz w:val="20"/>
          <w:szCs w:val="20"/>
          <w:u w:color="000000"/>
          <w:lang w:val="en-GB"/>
        </w:rPr>
        <w:t>p</w:t>
      </w:r>
      <w:r w:rsidRPr="00EE28C9">
        <w:rPr>
          <w:color w:val="000000"/>
          <w:sz w:val="20"/>
          <w:szCs w:val="20"/>
          <w:u w:color="000000"/>
          <w:lang w:val="en-GB"/>
        </w:rPr>
        <w:t xml:space="preserve">arliamentary </w:t>
      </w:r>
      <w:r w:rsidR="009D15B9" w:rsidRPr="00EE28C9">
        <w:rPr>
          <w:color w:val="000000"/>
          <w:sz w:val="20"/>
          <w:szCs w:val="20"/>
          <w:u w:color="000000"/>
          <w:lang w:val="en-GB"/>
        </w:rPr>
        <w:t>c</w:t>
      </w:r>
      <w:r w:rsidRPr="00EE28C9">
        <w:rPr>
          <w:color w:val="000000"/>
          <w:sz w:val="20"/>
          <w:szCs w:val="20"/>
          <w:u w:color="000000"/>
          <w:lang w:val="en-GB"/>
        </w:rPr>
        <w:t>ommittees</w:t>
      </w:r>
      <w:r w:rsidR="009C25AA" w:rsidRPr="00040FB6">
        <w:rPr>
          <w:rStyle w:val="FootnoteReference"/>
          <w:color w:val="000000"/>
          <w:sz w:val="20"/>
          <w:szCs w:val="20"/>
          <w:u w:color="000000"/>
          <w:lang w:val="en-GB"/>
        </w:rPr>
        <w:footnoteReference w:id="10"/>
      </w:r>
      <w:r w:rsidRPr="00EE28C9">
        <w:rPr>
          <w:color w:val="000000"/>
          <w:sz w:val="20"/>
          <w:szCs w:val="20"/>
          <w:u w:color="000000"/>
          <w:lang w:val="en-GB"/>
        </w:rPr>
        <w:t xml:space="preserve"> , </w:t>
      </w:r>
      <w:r w:rsidR="009D4ED4" w:rsidRPr="00EE28C9">
        <w:rPr>
          <w:color w:val="000000"/>
          <w:sz w:val="20"/>
          <w:szCs w:val="20"/>
          <w:u w:color="000000"/>
          <w:lang w:val="en-GB"/>
        </w:rPr>
        <w:t>emphasizing</w:t>
      </w:r>
      <w:r w:rsidRPr="00EE28C9">
        <w:rPr>
          <w:color w:val="000000"/>
          <w:sz w:val="20"/>
          <w:szCs w:val="20"/>
          <w:u w:color="000000"/>
          <w:lang w:val="en-GB"/>
        </w:rPr>
        <w:t xml:space="preserve"> capacity development of women parliamentarians</w:t>
      </w:r>
      <w:r w:rsidR="004E321E" w:rsidRPr="00040FB6">
        <w:rPr>
          <w:rStyle w:val="FootnoteReference"/>
          <w:color w:val="000000"/>
          <w:sz w:val="20"/>
          <w:szCs w:val="20"/>
          <w:u w:color="000000"/>
          <w:lang w:val="en-GB"/>
        </w:rPr>
        <w:footnoteReference w:id="11"/>
      </w:r>
      <w:r w:rsidRPr="00EE28C9">
        <w:rPr>
          <w:color w:val="000000"/>
          <w:sz w:val="20"/>
          <w:szCs w:val="20"/>
          <w:u w:color="000000"/>
          <w:lang w:val="en-GB"/>
        </w:rPr>
        <w:t xml:space="preserve">. </w:t>
      </w:r>
      <w:r w:rsidR="005504FB" w:rsidRPr="00EE28C9">
        <w:rPr>
          <w:color w:val="000000"/>
          <w:sz w:val="20"/>
          <w:szCs w:val="20"/>
          <w:u w:color="000000"/>
          <w:lang w:val="en-GB"/>
        </w:rPr>
        <w:t xml:space="preserve">The work of </w:t>
      </w:r>
      <w:r w:rsidRPr="00EE28C9">
        <w:rPr>
          <w:color w:val="000000"/>
          <w:sz w:val="20"/>
          <w:szCs w:val="20"/>
          <w:u w:color="000000"/>
          <w:lang w:val="en-GB"/>
        </w:rPr>
        <w:t xml:space="preserve">UNDP with the Parliament stressed increased citizen participation through civil society engagement in the legislative process. A complementary investment in stronger civil society organizations allowed them to plan and deliver national </w:t>
      </w:r>
      <w:r w:rsidR="009D4ED4" w:rsidRPr="00EE28C9">
        <w:rPr>
          <w:color w:val="000000"/>
          <w:sz w:val="20"/>
          <w:szCs w:val="20"/>
          <w:u w:color="000000"/>
          <w:lang w:val="en-GB"/>
        </w:rPr>
        <w:t>human rights, anti-corruption and gender programmes</w:t>
      </w:r>
      <w:r w:rsidRPr="00EE28C9">
        <w:rPr>
          <w:color w:val="000000"/>
          <w:sz w:val="20"/>
          <w:szCs w:val="20"/>
          <w:u w:color="000000"/>
          <w:lang w:val="en-GB"/>
        </w:rPr>
        <w:t>, contribut</w:t>
      </w:r>
      <w:r w:rsidR="005504FB" w:rsidRPr="00EE28C9">
        <w:rPr>
          <w:color w:val="000000"/>
          <w:sz w:val="20"/>
          <w:szCs w:val="20"/>
          <w:u w:color="000000"/>
          <w:lang w:val="en-GB"/>
        </w:rPr>
        <w:t>ing</w:t>
      </w:r>
      <w:r w:rsidRPr="00EE28C9">
        <w:rPr>
          <w:color w:val="000000"/>
          <w:sz w:val="20"/>
          <w:szCs w:val="20"/>
          <w:u w:color="000000"/>
          <w:lang w:val="en-GB"/>
        </w:rPr>
        <w:t xml:space="preserve"> to a more active role for civil society</w:t>
      </w:r>
      <w:r w:rsidR="004172A1" w:rsidRPr="00040FB6">
        <w:rPr>
          <w:rStyle w:val="FootnoteReference"/>
          <w:color w:val="000000"/>
          <w:sz w:val="20"/>
          <w:szCs w:val="20"/>
          <w:u w:color="000000"/>
          <w:lang w:val="en-GB"/>
        </w:rPr>
        <w:footnoteReference w:id="12"/>
      </w:r>
      <w:r w:rsidRPr="00EE28C9">
        <w:rPr>
          <w:color w:val="000000"/>
          <w:sz w:val="20"/>
          <w:szCs w:val="20"/>
          <w:u w:color="000000"/>
          <w:lang w:val="en-GB"/>
        </w:rPr>
        <w:t xml:space="preserve">. UNDP also assisted the Commission of Integrity in establishing the Academy of Anti-Corruption. </w:t>
      </w:r>
      <w:r w:rsidR="009D4ED4" w:rsidRPr="00EE28C9">
        <w:rPr>
          <w:color w:val="000000"/>
          <w:sz w:val="20"/>
          <w:szCs w:val="20"/>
          <w:u w:color="000000"/>
          <w:lang w:val="en-GB"/>
        </w:rPr>
        <w:t>O</w:t>
      </w:r>
      <w:r w:rsidRPr="00EE28C9">
        <w:rPr>
          <w:color w:val="000000"/>
          <w:sz w:val="20"/>
          <w:szCs w:val="20"/>
          <w:u w:color="000000"/>
          <w:lang w:val="en-GB"/>
        </w:rPr>
        <w:t>ver 34,000</w:t>
      </w:r>
      <w:r w:rsidR="005504FB" w:rsidRPr="00EE28C9">
        <w:rPr>
          <w:color w:val="000000"/>
          <w:sz w:val="20"/>
          <w:szCs w:val="20"/>
          <w:u w:color="000000"/>
          <w:lang w:val="en-GB"/>
        </w:rPr>
        <w:t> </w:t>
      </w:r>
      <w:r w:rsidRPr="00EE28C9">
        <w:rPr>
          <w:color w:val="000000"/>
          <w:sz w:val="20"/>
          <w:szCs w:val="20"/>
          <w:u w:color="000000"/>
          <w:lang w:val="en-GB"/>
        </w:rPr>
        <w:t xml:space="preserve">government officials were sensitized on how to carry out their responsibilities to monitor and report corruption in service delivery. To advance </w:t>
      </w:r>
      <w:r w:rsidR="00F82231" w:rsidRPr="00EE28C9">
        <w:rPr>
          <w:color w:val="000000"/>
          <w:sz w:val="20"/>
          <w:szCs w:val="20"/>
          <w:u w:color="000000"/>
          <w:lang w:val="en-GB"/>
        </w:rPr>
        <w:t xml:space="preserve">the </w:t>
      </w:r>
      <w:r w:rsidRPr="00EE28C9">
        <w:rPr>
          <w:sz w:val="20"/>
          <w:szCs w:val="20"/>
          <w:lang w:val="en-GB"/>
        </w:rPr>
        <w:t xml:space="preserve">implementation of decentralization </w:t>
      </w:r>
      <w:r w:rsidR="00F82231" w:rsidRPr="00EE28C9">
        <w:rPr>
          <w:sz w:val="20"/>
          <w:szCs w:val="20"/>
          <w:lang w:val="en-GB"/>
        </w:rPr>
        <w:t xml:space="preserve">in 2014, </w:t>
      </w:r>
      <w:r w:rsidRPr="00EE28C9">
        <w:rPr>
          <w:sz w:val="20"/>
          <w:szCs w:val="20"/>
          <w:lang w:val="en-GB"/>
        </w:rPr>
        <w:t xml:space="preserve">UNDP </w:t>
      </w:r>
      <w:r w:rsidR="009D4ED4" w:rsidRPr="00EE28C9">
        <w:rPr>
          <w:sz w:val="20"/>
          <w:szCs w:val="20"/>
          <w:lang w:val="en-GB"/>
        </w:rPr>
        <w:t>helped prepare</w:t>
      </w:r>
      <w:r w:rsidRPr="00EE28C9">
        <w:rPr>
          <w:sz w:val="20"/>
          <w:szCs w:val="20"/>
          <w:lang w:val="en-GB"/>
        </w:rPr>
        <w:t xml:space="preserve"> 11 provincial multi-year plans that introduced a new methodology for decentrali</w:t>
      </w:r>
      <w:r w:rsidR="009D15B9" w:rsidRPr="00EE28C9">
        <w:rPr>
          <w:sz w:val="20"/>
          <w:szCs w:val="20"/>
          <w:lang w:val="en-GB"/>
        </w:rPr>
        <w:t>z</w:t>
      </w:r>
      <w:r w:rsidRPr="00EE28C9">
        <w:rPr>
          <w:sz w:val="20"/>
          <w:szCs w:val="20"/>
          <w:lang w:val="en-GB"/>
        </w:rPr>
        <w:t xml:space="preserve">ed planning.  </w:t>
      </w:r>
    </w:p>
    <w:p w:rsidR="00652595" w:rsidRPr="00EE28C9" w:rsidRDefault="00652595" w:rsidP="00EE28C9">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firstLine="0"/>
        <w:jc w:val="both"/>
        <w:rPr>
          <w:sz w:val="20"/>
          <w:szCs w:val="20"/>
          <w:lang w:val="en-GB"/>
        </w:rPr>
      </w:pPr>
      <w:r w:rsidRPr="00EE28C9">
        <w:rPr>
          <w:sz w:val="20"/>
          <w:szCs w:val="20"/>
          <w:lang w:val="en-GB"/>
        </w:rPr>
        <w:t xml:space="preserve">With regard to </w:t>
      </w:r>
      <w:r w:rsidR="00F82231" w:rsidRPr="00EE28C9">
        <w:rPr>
          <w:sz w:val="20"/>
          <w:szCs w:val="20"/>
          <w:lang w:val="en-GB"/>
        </w:rPr>
        <w:t>sexual and gender-based violence</w:t>
      </w:r>
      <w:r w:rsidRPr="00EE28C9">
        <w:rPr>
          <w:sz w:val="20"/>
          <w:szCs w:val="20"/>
          <w:lang w:val="en-GB"/>
        </w:rPr>
        <w:t xml:space="preserve">, a key achievement supported by UNDP was the expansion of outreach </w:t>
      </w:r>
      <w:r w:rsidR="009D4ED4" w:rsidRPr="00EE28C9">
        <w:rPr>
          <w:sz w:val="20"/>
          <w:szCs w:val="20"/>
          <w:lang w:val="en-GB"/>
        </w:rPr>
        <w:t>by establishing</w:t>
      </w:r>
      <w:r w:rsidRPr="00EE28C9">
        <w:rPr>
          <w:sz w:val="20"/>
          <w:szCs w:val="20"/>
          <w:lang w:val="en-GB"/>
        </w:rPr>
        <w:t xml:space="preserve"> </w:t>
      </w:r>
      <w:r w:rsidR="00F82231" w:rsidRPr="00EE28C9">
        <w:rPr>
          <w:sz w:val="20"/>
          <w:szCs w:val="20"/>
          <w:lang w:val="en-GB"/>
        </w:rPr>
        <w:t>f</w:t>
      </w:r>
      <w:r w:rsidRPr="00EE28C9">
        <w:rPr>
          <w:sz w:val="20"/>
          <w:szCs w:val="20"/>
          <w:lang w:val="en-GB"/>
        </w:rPr>
        <w:t xml:space="preserve">amily </w:t>
      </w:r>
      <w:r w:rsidR="00F82231" w:rsidRPr="00EE28C9">
        <w:rPr>
          <w:sz w:val="20"/>
          <w:szCs w:val="20"/>
          <w:lang w:val="en-GB"/>
        </w:rPr>
        <w:t>p</w:t>
      </w:r>
      <w:r w:rsidRPr="00EE28C9">
        <w:rPr>
          <w:sz w:val="20"/>
          <w:szCs w:val="20"/>
          <w:lang w:val="en-GB"/>
        </w:rPr>
        <w:t xml:space="preserve">rotection and </w:t>
      </w:r>
      <w:r w:rsidR="00F82231" w:rsidRPr="00EE28C9">
        <w:rPr>
          <w:sz w:val="20"/>
          <w:szCs w:val="20"/>
          <w:lang w:val="en-GB"/>
        </w:rPr>
        <w:t>l</w:t>
      </w:r>
      <w:r w:rsidRPr="00EE28C9">
        <w:rPr>
          <w:sz w:val="20"/>
          <w:szCs w:val="20"/>
          <w:lang w:val="en-GB"/>
        </w:rPr>
        <w:t xml:space="preserve">egal </w:t>
      </w:r>
      <w:r w:rsidR="00F82231" w:rsidRPr="00EE28C9">
        <w:rPr>
          <w:sz w:val="20"/>
          <w:szCs w:val="20"/>
          <w:lang w:val="en-GB"/>
        </w:rPr>
        <w:t>a</w:t>
      </w:r>
      <w:r w:rsidRPr="00EE28C9">
        <w:rPr>
          <w:sz w:val="20"/>
          <w:szCs w:val="20"/>
          <w:lang w:val="en-GB"/>
        </w:rPr>
        <w:t xml:space="preserve">id </w:t>
      </w:r>
      <w:r w:rsidR="00F82231" w:rsidRPr="00EE28C9">
        <w:rPr>
          <w:sz w:val="20"/>
          <w:szCs w:val="20"/>
          <w:lang w:val="en-GB"/>
        </w:rPr>
        <w:t>u</w:t>
      </w:r>
      <w:r w:rsidRPr="00EE28C9">
        <w:rPr>
          <w:sz w:val="20"/>
          <w:szCs w:val="20"/>
          <w:lang w:val="en-GB"/>
        </w:rPr>
        <w:t>nits</w:t>
      </w:r>
      <w:r w:rsidR="004E321E" w:rsidRPr="00EE28C9">
        <w:footnoteReference w:id="13"/>
      </w:r>
      <w:r w:rsidRPr="00EE28C9">
        <w:rPr>
          <w:sz w:val="20"/>
          <w:szCs w:val="20"/>
          <w:lang w:val="en-GB"/>
        </w:rPr>
        <w:t xml:space="preserve"> at national and regional levels that benefited over 15,000 people.  </w:t>
      </w:r>
    </w:p>
    <w:p w:rsidR="00652595" w:rsidRPr="00EE28C9" w:rsidRDefault="0041643B" w:rsidP="00EE28C9">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firstLine="0"/>
        <w:jc w:val="both"/>
        <w:rPr>
          <w:sz w:val="20"/>
          <w:szCs w:val="20"/>
          <w:lang w:val="en-GB"/>
        </w:rPr>
      </w:pPr>
      <w:r w:rsidRPr="00EE28C9">
        <w:rPr>
          <w:sz w:val="20"/>
          <w:szCs w:val="20"/>
          <w:lang w:val="en-GB"/>
        </w:rPr>
        <w:t xml:space="preserve">Within </w:t>
      </w:r>
      <w:r w:rsidR="00652595" w:rsidRPr="00EE28C9">
        <w:rPr>
          <w:sz w:val="20"/>
          <w:szCs w:val="20"/>
          <w:lang w:val="en-GB"/>
        </w:rPr>
        <w:t>its crisis response, UNDP launched micro-business initiatives targeting approximately 40,000 refugees and members of host communities, including widows, disabled persons and female</w:t>
      </w:r>
      <w:r w:rsidR="00F82231" w:rsidRPr="00EE28C9">
        <w:rPr>
          <w:sz w:val="20"/>
          <w:szCs w:val="20"/>
          <w:lang w:val="en-GB"/>
        </w:rPr>
        <w:t xml:space="preserve"> </w:t>
      </w:r>
      <w:r w:rsidR="00652595" w:rsidRPr="00EE28C9">
        <w:rPr>
          <w:sz w:val="20"/>
          <w:szCs w:val="20"/>
          <w:lang w:val="en-GB"/>
        </w:rPr>
        <w:t>head</w:t>
      </w:r>
      <w:r w:rsidR="00F82231" w:rsidRPr="00EE28C9">
        <w:rPr>
          <w:sz w:val="20"/>
          <w:szCs w:val="20"/>
          <w:lang w:val="en-GB"/>
        </w:rPr>
        <w:t>s of</w:t>
      </w:r>
      <w:r w:rsidR="00652595" w:rsidRPr="00EE28C9">
        <w:rPr>
          <w:sz w:val="20"/>
          <w:szCs w:val="20"/>
          <w:lang w:val="en-GB"/>
        </w:rPr>
        <w:t xml:space="preserve"> households. With the escalation of conflict in Syria and Iraq, UNDP initiated a crisis response mechanism at the community level for sustainable livelihoods and recovery, which directly benefited approximately 15,000 individuals</w:t>
      </w:r>
      <w:r w:rsidR="00070F13" w:rsidRPr="00EE28C9">
        <w:footnoteReference w:id="14"/>
      </w:r>
      <w:r w:rsidR="00652595" w:rsidRPr="00EE28C9">
        <w:rPr>
          <w:sz w:val="20"/>
          <w:szCs w:val="20"/>
          <w:lang w:val="en-GB"/>
        </w:rPr>
        <w:t xml:space="preserve">. To coordinate and manage the larger response, UNDP worked with the Iraqi Council of Ministers </w:t>
      </w:r>
      <w:r w:rsidR="005504FB" w:rsidRPr="00EE28C9">
        <w:rPr>
          <w:sz w:val="20"/>
          <w:szCs w:val="20"/>
          <w:lang w:val="en-GB"/>
        </w:rPr>
        <w:t>s</w:t>
      </w:r>
      <w:r w:rsidR="00652595" w:rsidRPr="00EE28C9">
        <w:rPr>
          <w:sz w:val="20"/>
          <w:szCs w:val="20"/>
          <w:lang w:val="en-GB"/>
        </w:rPr>
        <w:t xml:space="preserve">ecretariat </w:t>
      </w:r>
      <w:r w:rsidR="009D4ED4" w:rsidRPr="00EE28C9">
        <w:rPr>
          <w:sz w:val="20"/>
          <w:szCs w:val="20"/>
          <w:lang w:val="en-GB"/>
        </w:rPr>
        <w:t>in</w:t>
      </w:r>
      <w:r w:rsidR="00652595" w:rsidRPr="00EE28C9">
        <w:rPr>
          <w:sz w:val="20"/>
          <w:szCs w:val="20"/>
          <w:lang w:val="en-GB"/>
        </w:rPr>
        <w:t xml:space="preserve"> establish</w:t>
      </w:r>
      <w:r w:rsidR="009D4ED4" w:rsidRPr="00EE28C9">
        <w:rPr>
          <w:sz w:val="20"/>
          <w:szCs w:val="20"/>
          <w:lang w:val="en-GB"/>
        </w:rPr>
        <w:t>ing</w:t>
      </w:r>
      <w:r w:rsidR="00652595" w:rsidRPr="00EE28C9">
        <w:rPr>
          <w:sz w:val="20"/>
          <w:szCs w:val="20"/>
          <w:lang w:val="en-GB"/>
        </w:rPr>
        <w:t xml:space="preserve"> the Joint Coordination and Monitoring Centre</w:t>
      </w:r>
      <w:r w:rsidR="005955C9" w:rsidRPr="00EE28C9">
        <w:footnoteReference w:id="15"/>
      </w:r>
      <w:r w:rsidR="00652595" w:rsidRPr="00EE28C9">
        <w:rPr>
          <w:sz w:val="20"/>
          <w:szCs w:val="20"/>
          <w:lang w:val="en-GB"/>
        </w:rPr>
        <w:t xml:space="preserve"> and </w:t>
      </w:r>
      <w:r w:rsidRPr="00EE28C9">
        <w:rPr>
          <w:sz w:val="20"/>
          <w:szCs w:val="20"/>
          <w:lang w:val="en-GB"/>
        </w:rPr>
        <w:t xml:space="preserve">with </w:t>
      </w:r>
      <w:r w:rsidR="00652595" w:rsidRPr="00EE28C9">
        <w:rPr>
          <w:sz w:val="20"/>
          <w:szCs w:val="20"/>
          <w:lang w:val="en-GB"/>
        </w:rPr>
        <w:t xml:space="preserve">the Kurdistan </w:t>
      </w:r>
      <w:r w:rsidR="00284547" w:rsidRPr="00EE28C9">
        <w:rPr>
          <w:sz w:val="20"/>
          <w:szCs w:val="20"/>
          <w:lang w:val="en-GB"/>
        </w:rPr>
        <w:t>r</w:t>
      </w:r>
      <w:r w:rsidR="00652595" w:rsidRPr="00EE28C9">
        <w:rPr>
          <w:sz w:val="20"/>
          <w:szCs w:val="20"/>
          <w:lang w:val="en-GB"/>
        </w:rPr>
        <w:t xml:space="preserve">egional </w:t>
      </w:r>
      <w:r w:rsidR="00284547" w:rsidRPr="00EE28C9">
        <w:rPr>
          <w:sz w:val="20"/>
          <w:szCs w:val="20"/>
          <w:lang w:val="en-GB"/>
        </w:rPr>
        <w:t>g</w:t>
      </w:r>
      <w:r w:rsidR="009D4ED4" w:rsidRPr="00EE28C9">
        <w:rPr>
          <w:sz w:val="20"/>
          <w:szCs w:val="20"/>
          <w:lang w:val="en-GB"/>
        </w:rPr>
        <w:t>overnment in</w:t>
      </w:r>
      <w:r w:rsidR="00652595" w:rsidRPr="00EE28C9">
        <w:rPr>
          <w:sz w:val="20"/>
          <w:szCs w:val="20"/>
          <w:lang w:val="en-GB"/>
        </w:rPr>
        <w:t xml:space="preserve"> establish</w:t>
      </w:r>
      <w:r w:rsidR="009D4ED4" w:rsidRPr="00EE28C9">
        <w:rPr>
          <w:sz w:val="20"/>
          <w:szCs w:val="20"/>
          <w:lang w:val="en-GB"/>
        </w:rPr>
        <w:t>ing</w:t>
      </w:r>
      <w:r w:rsidR="00652595" w:rsidRPr="00EE28C9">
        <w:rPr>
          <w:sz w:val="20"/>
          <w:szCs w:val="20"/>
          <w:lang w:val="en-GB"/>
        </w:rPr>
        <w:t xml:space="preserve"> the Joint Crisis Coordination Centre</w:t>
      </w:r>
      <w:r w:rsidR="005955C9" w:rsidRPr="00EE28C9">
        <w:footnoteReference w:id="16"/>
      </w:r>
      <w:r w:rsidR="00652595" w:rsidRPr="00EE28C9">
        <w:rPr>
          <w:sz w:val="20"/>
          <w:szCs w:val="20"/>
          <w:lang w:val="en-GB"/>
        </w:rPr>
        <w:t>. These crisis management and coordination bodies work with relevant counterparts, including the U</w:t>
      </w:r>
      <w:r w:rsidR="00F82231" w:rsidRPr="00EE28C9">
        <w:rPr>
          <w:sz w:val="20"/>
          <w:szCs w:val="20"/>
          <w:lang w:val="en-GB"/>
        </w:rPr>
        <w:t>nited Nations</w:t>
      </w:r>
      <w:r w:rsidR="00BB7B30" w:rsidRPr="00EE28C9">
        <w:rPr>
          <w:sz w:val="20"/>
          <w:szCs w:val="20"/>
          <w:lang w:val="en-GB"/>
        </w:rPr>
        <w:t>.</w:t>
      </w:r>
      <w:r w:rsidR="00652595" w:rsidRPr="00EE28C9">
        <w:rPr>
          <w:sz w:val="20"/>
          <w:szCs w:val="20"/>
          <w:lang w:val="en-GB"/>
        </w:rPr>
        <w:t xml:space="preserve"> </w:t>
      </w:r>
    </w:p>
    <w:p w:rsidR="00652595" w:rsidRPr="00EE28C9" w:rsidRDefault="00652595" w:rsidP="00EE28C9">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firstLine="0"/>
        <w:jc w:val="both"/>
        <w:rPr>
          <w:sz w:val="20"/>
          <w:szCs w:val="20"/>
          <w:lang w:val="en-GB"/>
        </w:rPr>
      </w:pPr>
      <w:r w:rsidRPr="00EE28C9">
        <w:rPr>
          <w:sz w:val="20"/>
          <w:szCs w:val="20"/>
          <w:lang w:val="en-GB"/>
        </w:rPr>
        <w:t xml:space="preserve">At the policy level, UNDP provided advisory services for </w:t>
      </w:r>
      <w:r w:rsidR="005504FB" w:rsidRPr="00EE28C9">
        <w:rPr>
          <w:sz w:val="20"/>
          <w:szCs w:val="20"/>
          <w:lang w:val="en-GB"/>
        </w:rPr>
        <w:t xml:space="preserve">the </w:t>
      </w:r>
      <w:r w:rsidRPr="00EE28C9">
        <w:rPr>
          <w:sz w:val="20"/>
          <w:szCs w:val="20"/>
          <w:lang w:val="en-GB"/>
        </w:rPr>
        <w:t xml:space="preserve">finalization of Law 21 on the devolution of power and local governance reforms, </w:t>
      </w:r>
      <w:r w:rsidR="00F82231" w:rsidRPr="00EE28C9">
        <w:rPr>
          <w:sz w:val="20"/>
          <w:szCs w:val="20"/>
          <w:lang w:val="en-GB"/>
        </w:rPr>
        <w:t>the legal aid and shelter laws, the national anti-corruption strategy, the national security strategy, the disaster risk reduction strategy, the national environmental strategy and action plan</w:t>
      </w:r>
      <w:r w:rsidR="005504FB" w:rsidRPr="00EE28C9">
        <w:rPr>
          <w:sz w:val="20"/>
          <w:szCs w:val="20"/>
          <w:lang w:val="en-GB"/>
        </w:rPr>
        <w:t>,</w:t>
      </w:r>
      <w:r w:rsidR="00F82231" w:rsidRPr="00EE28C9">
        <w:rPr>
          <w:sz w:val="20"/>
          <w:szCs w:val="20"/>
          <w:lang w:val="en-GB"/>
        </w:rPr>
        <w:t xml:space="preserve"> and the priva</w:t>
      </w:r>
      <w:r w:rsidR="009D4ED4" w:rsidRPr="00EE28C9">
        <w:rPr>
          <w:sz w:val="20"/>
          <w:szCs w:val="20"/>
          <w:lang w:val="en-GB"/>
        </w:rPr>
        <w:t xml:space="preserve">te sector development strategy – </w:t>
      </w:r>
      <w:r w:rsidR="00F82231" w:rsidRPr="00EE28C9">
        <w:rPr>
          <w:sz w:val="20"/>
          <w:szCs w:val="20"/>
          <w:lang w:val="en-GB"/>
        </w:rPr>
        <w:t xml:space="preserve">all considered critical elements of an enabling environment for development. </w:t>
      </w:r>
    </w:p>
    <w:p w:rsidR="00652595" w:rsidRPr="00EE28C9" w:rsidRDefault="00652595" w:rsidP="00EE28C9">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firstLine="0"/>
        <w:jc w:val="both"/>
        <w:rPr>
          <w:sz w:val="20"/>
          <w:szCs w:val="20"/>
          <w:lang w:val="en-GB"/>
        </w:rPr>
      </w:pPr>
      <w:r w:rsidRPr="00EE28C9">
        <w:rPr>
          <w:sz w:val="20"/>
          <w:szCs w:val="20"/>
          <w:lang w:val="en-GB"/>
        </w:rPr>
        <w:t xml:space="preserve">The findings of the 2013 </w:t>
      </w:r>
      <w:r w:rsidR="00F82231" w:rsidRPr="00EE28C9">
        <w:rPr>
          <w:sz w:val="20"/>
          <w:szCs w:val="20"/>
          <w:lang w:val="en-GB"/>
        </w:rPr>
        <w:t>a</w:t>
      </w:r>
      <w:r w:rsidRPr="00EE28C9">
        <w:rPr>
          <w:sz w:val="20"/>
          <w:szCs w:val="20"/>
          <w:lang w:val="en-GB"/>
        </w:rPr>
        <w:t xml:space="preserve">ssessment of </w:t>
      </w:r>
      <w:r w:rsidR="00F82231" w:rsidRPr="00EE28C9">
        <w:rPr>
          <w:sz w:val="20"/>
          <w:szCs w:val="20"/>
          <w:lang w:val="en-GB"/>
        </w:rPr>
        <w:t>d</w:t>
      </w:r>
      <w:r w:rsidRPr="00EE28C9">
        <w:rPr>
          <w:sz w:val="20"/>
          <w:szCs w:val="20"/>
          <w:lang w:val="en-GB"/>
        </w:rPr>
        <w:t xml:space="preserve">evelopment </w:t>
      </w:r>
      <w:r w:rsidR="00F82231" w:rsidRPr="00EE28C9">
        <w:rPr>
          <w:sz w:val="20"/>
          <w:szCs w:val="20"/>
          <w:lang w:val="en-GB"/>
        </w:rPr>
        <w:t>r</w:t>
      </w:r>
      <w:r w:rsidRPr="00EE28C9">
        <w:rPr>
          <w:sz w:val="20"/>
          <w:szCs w:val="20"/>
          <w:lang w:val="en-GB"/>
        </w:rPr>
        <w:t>esults</w:t>
      </w:r>
      <w:r w:rsidR="005955C9" w:rsidRPr="00EE28C9">
        <w:footnoteReference w:id="17"/>
      </w:r>
      <w:r w:rsidRPr="00EE28C9">
        <w:rPr>
          <w:sz w:val="20"/>
          <w:szCs w:val="20"/>
          <w:lang w:val="en-GB"/>
        </w:rPr>
        <w:t xml:space="preserve"> show that UNDP contributed to strengthened policies, legislation and institutional capacity, as well as restoring public services and infrastructure as Iraq emerged from the 2005</w:t>
      </w:r>
      <w:r w:rsidR="00F82231" w:rsidRPr="00EE28C9">
        <w:rPr>
          <w:sz w:val="20"/>
          <w:szCs w:val="20"/>
          <w:lang w:val="en-GB"/>
        </w:rPr>
        <w:t>-20</w:t>
      </w:r>
      <w:r w:rsidRPr="00EE28C9">
        <w:rPr>
          <w:sz w:val="20"/>
          <w:szCs w:val="20"/>
          <w:lang w:val="en-GB"/>
        </w:rPr>
        <w:t>07 crisis. It also noted that programme design could have been more focused and sensitive to the difficult delivery environment</w:t>
      </w:r>
      <w:r w:rsidR="005504FB" w:rsidRPr="00EE28C9">
        <w:rPr>
          <w:sz w:val="20"/>
          <w:szCs w:val="20"/>
          <w:lang w:val="en-GB"/>
        </w:rPr>
        <w:t>,</w:t>
      </w:r>
      <w:r w:rsidRPr="00EE28C9">
        <w:rPr>
          <w:sz w:val="20"/>
          <w:szCs w:val="20"/>
          <w:lang w:val="en-GB"/>
        </w:rPr>
        <w:t xml:space="preserve"> and that UNDP programme models and approaches were not sufficiently customized to the local context and culture. Moreover, remote implementation of programmes from outside the country limited access </w:t>
      </w:r>
      <w:r w:rsidRPr="00EE28C9">
        <w:rPr>
          <w:sz w:val="20"/>
          <w:szCs w:val="20"/>
          <w:lang w:val="en-GB"/>
        </w:rPr>
        <w:lastRenderedPageBreak/>
        <w:t>to national partners and project sites</w:t>
      </w:r>
      <w:r w:rsidR="00F82231" w:rsidRPr="00EE28C9">
        <w:rPr>
          <w:sz w:val="20"/>
          <w:szCs w:val="20"/>
          <w:lang w:val="en-GB"/>
        </w:rPr>
        <w:t>,</w:t>
      </w:r>
      <w:r w:rsidRPr="00EE28C9">
        <w:rPr>
          <w:sz w:val="20"/>
          <w:szCs w:val="20"/>
          <w:lang w:val="en-GB"/>
        </w:rPr>
        <w:t xml:space="preserve"> adversely affect</w:t>
      </w:r>
      <w:r w:rsidR="00F82231" w:rsidRPr="00EE28C9">
        <w:rPr>
          <w:sz w:val="20"/>
          <w:szCs w:val="20"/>
          <w:lang w:val="en-GB"/>
        </w:rPr>
        <w:t>ing</w:t>
      </w:r>
      <w:r w:rsidRPr="00EE28C9">
        <w:rPr>
          <w:sz w:val="20"/>
          <w:szCs w:val="20"/>
          <w:lang w:val="en-GB"/>
        </w:rPr>
        <w:t xml:space="preserve"> programme contributions. </w:t>
      </w:r>
    </w:p>
    <w:p w:rsidR="00652595" w:rsidRPr="00EE28C9" w:rsidRDefault="00652595" w:rsidP="00EE28C9">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firstLine="0"/>
        <w:jc w:val="both"/>
        <w:rPr>
          <w:sz w:val="20"/>
          <w:szCs w:val="20"/>
          <w:lang w:val="en-GB"/>
        </w:rPr>
      </w:pPr>
      <w:r w:rsidRPr="00EE28C9">
        <w:rPr>
          <w:sz w:val="20"/>
          <w:szCs w:val="20"/>
          <w:lang w:val="en-GB"/>
        </w:rPr>
        <w:t xml:space="preserve">In response, the UNDP </w:t>
      </w:r>
      <w:r w:rsidR="00F82231" w:rsidRPr="00EE28C9">
        <w:rPr>
          <w:sz w:val="20"/>
          <w:szCs w:val="20"/>
          <w:lang w:val="en-GB"/>
        </w:rPr>
        <w:t>c</w:t>
      </w:r>
      <w:r w:rsidRPr="00EE28C9">
        <w:rPr>
          <w:sz w:val="20"/>
          <w:szCs w:val="20"/>
          <w:lang w:val="en-GB"/>
        </w:rPr>
        <w:t xml:space="preserve">ountry </w:t>
      </w:r>
      <w:r w:rsidR="00F82231" w:rsidRPr="00EE28C9">
        <w:rPr>
          <w:sz w:val="20"/>
          <w:szCs w:val="20"/>
          <w:lang w:val="en-GB"/>
        </w:rPr>
        <w:t>o</w:t>
      </w:r>
      <w:r w:rsidRPr="00EE28C9">
        <w:rPr>
          <w:sz w:val="20"/>
          <w:szCs w:val="20"/>
          <w:lang w:val="en-GB"/>
        </w:rPr>
        <w:t xml:space="preserve">ffice moved from Jordan to </w:t>
      </w:r>
      <w:r w:rsidR="00056F74" w:rsidRPr="00EE28C9">
        <w:rPr>
          <w:sz w:val="20"/>
          <w:szCs w:val="20"/>
          <w:lang w:val="en-GB"/>
        </w:rPr>
        <w:t>Baghdad</w:t>
      </w:r>
      <w:r w:rsidRPr="00EE28C9">
        <w:rPr>
          <w:sz w:val="20"/>
          <w:szCs w:val="20"/>
          <w:lang w:val="en-GB"/>
        </w:rPr>
        <w:t xml:space="preserve"> </w:t>
      </w:r>
      <w:r w:rsidR="0041643B" w:rsidRPr="00EE28C9">
        <w:rPr>
          <w:sz w:val="20"/>
          <w:szCs w:val="20"/>
          <w:lang w:val="en-GB"/>
        </w:rPr>
        <w:t xml:space="preserve">in January </w:t>
      </w:r>
      <w:r w:rsidRPr="00EE28C9">
        <w:rPr>
          <w:sz w:val="20"/>
          <w:szCs w:val="20"/>
          <w:lang w:val="en-GB"/>
        </w:rPr>
        <w:t>2014 and expanded its presence inside the country, establishing an operational hub and programming office in Erbil, and programme offices in Basra and Karbala, with plans to establish a</w:t>
      </w:r>
      <w:r w:rsidR="00BB228A" w:rsidRPr="00EE28C9">
        <w:rPr>
          <w:sz w:val="20"/>
          <w:szCs w:val="20"/>
          <w:lang w:val="en-GB"/>
        </w:rPr>
        <w:t xml:space="preserve">n additional office in Kirkuk. </w:t>
      </w:r>
      <w:r w:rsidRPr="00EE28C9">
        <w:rPr>
          <w:sz w:val="20"/>
          <w:szCs w:val="20"/>
          <w:lang w:val="en-GB"/>
        </w:rPr>
        <w:t xml:space="preserve">The </w:t>
      </w:r>
      <w:r w:rsidR="00F82231" w:rsidRPr="00EE28C9">
        <w:rPr>
          <w:sz w:val="20"/>
          <w:szCs w:val="20"/>
          <w:lang w:val="en-GB"/>
        </w:rPr>
        <w:t>country office</w:t>
      </w:r>
      <w:r w:rsidRPr="00EE28C9">
        <w:rPr>
          <w:sz w:val="20"/>
          <w:szCs w:val="20"/>
          <w:lang w:val="en-GB"/>
        </w:rPr>
        <w:t xml:space="preserve"> designed interventions that ensure development results are sustained through policy and legal frameworks</w:t>
      </w:r>
      <w:r w:rsidR="00F82231" w:rsidRPr="00EE28C9">
        <w:rPr>
          <w:sz w:val="20"/>
          <w:szCs w:val="20"/>
          <w:lang w:val="en-GB"/>
        </w:rPr>
        <w:t>,</w:t>
      </w:r>
      <w:r w:rsidRPr="00EE28C9">
        <w:rPr>
          <w:sz w:val="20"/>
          <w:szCs w:val="20"/>
          <w:lang w:val="en-GB"/>
        </w:rPr>
        <w:t xml:space="preserve"> and closer collaboration with provincial stakeholders to ensure that capacity is in place for planning, budgeting and executi</w:t>
      </w:r>
      <w:r w:rsidR="00F82231" w:rsidRPr="00EE28C9">
        <w:rPr>
          <w:sz w:val="20"/>
          <w:szCs w:val="20"/>
          <w:lang w:val="en-GB"/>
        </w:rPr>
        <w:t>ng</w:t>
      </w:r>
      <w:r w:rsidRPr="00EE28C9">
        <w:rPr>
          <w:sz w:val="20"/>
          <w:szCs w:val="20"/>
          <w:lang w:val="en-GB"/>
        </w:rPr>
        <w:t xml:space="preserve"> development plans. UNDP has signed </w:t>
      </w:r>
      <w:r w:rsidR="00056F74" w:rsidRPr="00EE28C9">
        <w:rPr>
          <w:sz w:val="20"/>
          <w:szCs w:val="20"/>
          <w:lang w:val="en-GB"/>
        </w:rPr>
        <w:t>compacts</w:t>
      </w:r>
      <w:r w:rsidRPr="00EE28C9">
        <w:rPr>
          <w:sz w:val="20"/>
          <w:szCs w:val="20"/>
          <w:lang w:val="en-GB"/>
        </w:rPr>
        <w:t xml:space="preserve"> with </w:t>
      </w:r>
      <w:r w:rsidR="00F82231" w:rsidRPr="00EE28C9">
        <w:rPr>
          <w:sz w:val="20"/>
          <w:szCs w:val="20"/>
          <w:lang w:val="en-GB"/>
        </w:rPr>
        <w:t xml:space="preserve">the </w:t>
      </w:r>
      <w:r w:rsidR="007855AA" w:rsidRPr="00EE28C9">
        <w:rPr>
          <w:sz w:val="20"/>
          <w:szCs w:val="20"/>
          <w:lang w:val="en-GB"/>
        </w:rPr>
        <w:t xml:space="preserve">Basra </w:t>
      </w:r>
      <w:r w:rsidR="00056F74" w:rsidRPr="00EE28C9">
        <w:rPr>
          <w:sz w:val="20"/>
          <w:szCs w:val="20"/>
          <w:lang w:val="en-GB"/>
        </w:rPr>
        <w:t xml:space="preserve">and Karbala </w:t>
      </w:r>
      <w:r w:rsidR="007855AA" w:rsidRPr="00EE28C9">
        <w:rPr>
          <w:sz w:val="20"/>
          <w:szCs w:val="20"/>
          <w:lang w:val="en-GB"/>
        </w:rPr>
        <w:t>governorate</w:t>
      </w:r>
      <w:r w:rsidR="00056F74" w:rsidRPr="00EE28C9">
        <w:rPr>
          <w:sz w:val="20"/>
          <w:szCs w:val="20"/>
          <w:lang w:val="en-GB"/>
        </w:rPr>
        <w:t>s</w:t>
      </w:r>
      <w:r w:rsidRPr="00EE28C9">
        <w:rPr>
          <w:sz w:val="20"/>
          <w:szCs w:val="20"/>
          <w:lang w:val="en-GB"/>
        </w:rPr>
        <w:t xml:space="preserve"> to support budget execution and development plans. </w:t>
      </w:r>
    </w:p>
    <w:p w:rsidR="00652595" w:rsidRPr="00EE28C9" w:rsidRDefault="009D4ED4" w:rsidP="00EE28C9">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firstLine="0"/>
        <w:jc w:val="both"/>
        <w:rPr>
          <w:sz w:val="20"/>
          <w:szCs w:val="20"/>
          <w:lang w:val="en-GB"/>
        </w:rPr>
      </w:pPr>
      <w:r w:rsidRPr="00EE28C9">
        <w:rPr>
          <w:sz w:val="20"/>
          <w:szCs w:val="20"/>
          <w:lang w:val="en-GB"/>
        </w:rPr>
        <w:t>T</w:t>
      </w:r>
      <w:r w:rsidR="00652595" w:rsidRPr="00EE28C9">
        <w:rPr>
          <w:sz w:val="20"/>
          <w:szCs w:val="20"/>
          <w:lang w:val="en-GB"/>
        </w:rPr>
        <w:t xml:space="preserve">he Prime Minister has formally requested UNDP to support implementation of the </w:t>
      </w:r>
      <w:r w:rsidR="00EC21A4" w:rsidRPr="00EE28C9">
        <w:rPr>
          <w:sz w:val="20"/>
          <w:szCs w:val="20"/>
          <w:lang w:val="en-GB"/>
        </w:rPr>
        <w:t>g</w:t>
      </w:r>
      <w:r w:rsidR="00652595" w:rsidRPr="00EE28C9">
        <w:rPr>
          <w:sz w:val="20"/>
          <w:szCs w:val="20"/>
          <w:lang w:val="en-GB"/>
        </w:rPr>
        <w:t xml:space="preserve">overnment </w:t>
      </w:r>
      <w:r w:rsidR="00EC21A4" w:rsidRPr="00EE28C9">
        <w:rPr>
          <w:sz w:val="20"/>
          <w:szCs w:val="20"/>
          <w:lang w:val="en-GB"/>
        </w:rPr>
        <w:t>f</w:t>
      </w:r>
      <w:r w:rsidR="00652595" w:rsidRPr="00EE28C9">
        <w:rPr>
          <w:sz w:val="20"/>
          <w:szCs w:val="20"/>
          <w:lang w:val="en-GB"/>
        </w:rPr>
        <w:t>ramework</w:t>
      </w:r>
      <w:r w:rsidR="00EC21A4" w:rsidRPr="00EE28C9">
        <w:rPr>
          <w:sz w:val="20"/>
          <w:szCs w:val="20"/>
          <w:lang w:val="en-GB"/>
        </w:rPr>
        <w:t>,</w:t>
      </w:r>
      <w:r w:rsidR="00652595" w:rsidRPr="00EE28C9">
        <w:rPr>
          <w:sz w:val="20"/>
          <w:szCs w:val="20"/>
          <w:lang w:val="en-GB"/>
        </w:rPr>
        <w:t xml:space="preserve"> 2014</w:t>
      </w:r>
      <w:r w:rsidR="00EC21A4" w:rsidRPr="00EE28C9">
        <w:rPr>
          <w:sz w:val="20"/>
          <w:szCs w:val="20"/>
          <w:lang w:val="en-GB"/>
        </w:rPr>
        <w:t>-</w:t>
      </w:r>
      <w:r w:rsidR="00652595" w:rsidRPr="00EE28C9">
        <w:rPr>
          <w:sz w:val="20"/>
          <w:szCs w:val="20"/>
          <w:lang w:val="en-GB"/>
        </w:rPr>
        <w:t>2018</w:t>
      </w:r>
      <w:r w:rsidR="00EC21A4" w:rsidRPr="00EE28C9">
        <w:rPr>
          <w:sz w:val="20"/>
          <w:szCs w:val="20"/>
          <w:lang w:val="en-GB"/>
        </w:rPr>
        <w:t>,</w:t>
      </w:r>
      <w:r w:rsidR="00652595" w:rsidRPr="00EE28C9">
        <w:rPr>
          <w:sz w:val="20"/>
          <w:szCs w:val="20"/>
          <w:lang w:val="en-GB"/>
        </w:rPr>
        <w:t xml:space="preserve"> as well as </w:t>
      </w:r>
      <w:r w:rsidR="0041643B" w:rsidRPr="00EE28C9">
        <w:rPr>
          <w:sz w:val="20"/>
          <w:szCs w:val="20"/>
          <w:lang w:val="en-GB"/>
        </w:rPr>
        <w:t xml:space="preserve">the </w:t>
      </w:r>
      <w:r w:rsidR="00652595" w:rsidRPr="00EE28C9">
        <w:rPr>
          <w:sz w:val="20"/>
          <w:szCs w:val="20"/>
          <w:lang w:val="en-GB"/>
        </w:rPr>
        <w:t>recent</w:t>
      </w:r>
      <w:r w:rsidRPr="00EE28C9">
        <w:rPr>
          <w:sz w:val="20"/>
          <w:szCs w:val="20"/>
          <w:lang w:val="en-GB"/>
        </w:rPr>
        <w:t xml:space="preserve"> </w:t>
      </w:r>
      <w:r w:rsidR="00652595" w:rsidRPr="00EE28C9">
        <w:rPr>
          <w:sz w:val="20"/>
          <w:szCs w:val="20"/>
          <w:lang w:val="en-GB"/>
        </w:rPr>
        <w:t xml:space="preserve">anti-corruption reforms. </w:t>
      </w:r>
      <w:r w:rsidRPr="00EE28C9">
        <w:rPr>
          <w:sz w:val="20"/>
          <w:szCs w:val="20"/>
          <w:lang w:val="en-GB"/>
        </w:rPr>
        <w:t>T</w:t>
      </w:r>
      <w:r w:rsidR="00652595" w:rsidRPr="00EE28C9">
        <w:rPr>
          <w:sz w:val="20"/>
          <w:szCs w:val="20"/>
          <w:lang w:val="en-GB"/>
        </w:rPr>
        <w:t>he U</w:t>
      </w:r>
      <w:r w:rsidRPr="00EE28C9">
        <w:rPr>
          <w:sz w:val="20"/>
          <w:szCs w:val="20"/>
          <w:lang w:val="en-GB"/>
        </w:rPr>
        <w:t>nited </w:t>
      </w:r>
      <w:r w:rsidR="00EC21A4" w:rsidRPr="00EE28C9">
        <w:rPr>
          <w:sz w:val="20"/>
          <w:szCs w:val="20"/>
          <w:lang w:val="en-GB"/>
        </w:rPr>
        <w:t>Nations</w:t>
      </w:r>
      <w:r w:rsidR="00652595" w:rsidRPr="00EE28C9">
        <w:rPr>
          <w:sz w:val="20"/>
          <w:szCs w:val="20"/>
          <w:lang w:val="en-GB"/>
        </w:rPr>
        <w:t xml:space="preserve"> system is recalibrating its response through a revised U</w:t>
      </w:r>
      <w:r w:rsidR="00EC21A4" w:rsidRPr="00EE28C9">
        <w:rPr>
          <w:sz w:val="20"/>
          <w:szCs w:val="20"/>
          <w:lang w:val="en-GB"/>
        </w:rPr>
        <w:t>nited Nations</w:t>
      </w:r>
      <w:r w:rsidR="00652595" w:rsidRPr="00EE28C9">
        <w:rPr>
          <w:sz w:val="20"/>
          <w:szCs w:val="20"/>
          <w:lang w:val="en-GB"/>
        </w:rPr>
        <w:t xml:space="preserve"> Development Assistance Framework</w:t>
      </w:r>
      <w:r w:rsidR="00EC21A4" w:rsidRPr="00EE28C9">
        <w:rPr>
          <w:sz w:val="20"/>
          <w:szCs w:val="20"/>
          <w:lang w:val="en-GB"/>
        </w:rPr>
        <w:t xml:space="preserve">, </w:t>
      </w:r>
      <w:r w:rsidR="00652595" w:rsidRPr="00EE28C9">
        <w:rPr>
          <w:sz w:val="20"/>
          <w:szCs w:val="20"/>
          <w:lang w:val="en-GB"/>
        </w:rPr>
        <w:t>2015</w:t>
      </w:r>
      <w:r w:rsidR="00EC21A4" w:rsidRPr="00EE28C9">
        <w:rPr>
          <w:sz w:val="20"/>
          <w:szCs w:val="20"/>
          <w:lang w:val="en-GB"/>
        </w:rPr>
        <w:t>-</w:t>
      </w:r>
      <w:r w:rsidR="00652595" w:rsidRPr="00EE28C9">
        <w:rPr>
          <w:sz w:val="20"/>
          <w:szCs w:val="20"/>
          <w:lang w:val="en-GB"/>
        </w:rPr>
        <w:t xml:space="preserve">2019. Most recently, a </w:t>
      </w:r>
      <w:r w:rsidR="00EC21A4" w:rsidRPr="00EE28C9">
        <w:rPr>
          <w:sz w:val="20"/>
          <w:szCs w:val="20"/>
          <w:lang w:val="en-GB"/>
        </w:rPr>
        <w:t>s</w:t>
      </w:r>
      <w:r w:rsidR="00652595" w:rsidRPr="00EE28C9">
        <w:rPr>
          <w:sz w:val="20"/>
          <w:szCs w:val="20"/>
          <w:lang w:val="en-GB"/>
        </w:rPr>
        <w:t xml:space="preserve">trategic </w:t>
      </w:r>
      <w:r w:rsidR="00EC21A4" w:rsidRPr="00EE28C9">
        <w:rPr>
          <w:sz w:val="20"/>
          <w:szCs w:val="20"/>
          <w:lang w:val="en-GB"/>
        </w:rPr>
        <w:t>a</w:t>
      </w:r>
      <w:r w:rsidR="00652595" w:rsidRPr="00EE28C9">
        <w:rPr>
          <w:sz w:val="20"/>
          <w:szCs w:val="20"/>
          <w:lang w:val="en-GB"/>
        </w:rPr>
        <w:t xml:space="preserve">ssessment </w:t>
      </w:r>
      <w:r w:rsidR="00EC21A4" w:rsidRPr="00EE28C9">
        <w:rPr>
          <w:sz w:val="20"/>
          <w:szCs w:val="20"/>
          <w:lang w:val="en-GB"/>
        </w:rPr>
        <w:t>m</w:t>
      </w:r>
      <w:r w:rsidR="00652595" w:rsidRPr="00EE28C9">
        <w:rPr>
          <w:sz w:val="20"/>
          <w:szCs w:val="20"/>
          <w:lang w:val="en-GB"/>
        </w:rPr>
        <w:t>ission, deployed in April 2015, recommended a focus on, inter alia, reconciliatio</w:t>
      </w:r>
      <w:r w:rsidR="0041643B" w:rsidRPr="00EE28C9">
        <w:rPr>
          <w:sz w:val="20"/>
          <w:szCs w:val="20"/>
          <w:lang w:val="en-GB"/>
        </w:rPr>
        <w:t xml:space="preserve">n (coordinated by </w:t>
      </w:r>
      <w:r w:rsidR="007B06F1" w:rsidRPr="00EE28C9">
        <w:rPr>
          <w:sz w:val="20"/>
          <w:szCs w:val="20"/>
          <w:lang w:val="en-GB"/>
        </w:rPr>
        <w:t xml:space="preserve">the United Nations Assistance Mission for Iraq – </w:t>
      </w:r>
      <w:r w:rsidR="0041643B" w:rsidRPr="00EE28C9">
        <w:rPr>
          <w:sz w:val="20"/>
          <w:szCs w:val="20"/>
          <w:lang w:val="en-GB"/>
        </w:rPr>
        <w:t>UNAMI</w:t>
      </w:r>
      <w:r w:rsidR="00652595" w:rsidRPr="00EE28C9">
        <w:rPr>
          <w:sz w:val="20"/>
          <w:szCs w:val="20"/>
          <w:lang w:val="en-GB"/>
        </w:rPr>
        <w:t>), rule of law,</w:t>
      </w:r>
      <w:r w:rsidR="00BB228A" w:rsidRPr="00EE28C9">
        <w:rPr>
          <w:sz w:val="20"/>
          <w:szCs w:val="20"/>
          <w:lang w:val="en-GB"/>
        </w:rPr>
        <w:t xml:space="preserve"> </w:t>
      </w:r>
      <w:r w:rsidR="0041643B" w:rsidRPr="00EE28C9">
        <w:rPr>
          <w:sz w:val="20"/>
          <w:szCs w:val="20"/>
          <w:lang w:val="en-GB"/>
        </w:rPr>
        <w:t xml:space="preserve">human rights, </w:t>
      </w:r>
      <w:r w:rsidR="00652595" w:rsidRPr="00EE28C9">
        <w:rPr>
          <w:sz w:val="20"/>
          <w:szCs w:val="20"/>
          <w:lang w:val="en-GB"/>
        </w:rPr>
        <w:t>security sector reform</w:t>
      </w:r>
      <w:r w:rsidR="005504FB" w:rsidRPr="00EE28C9">
        <w:rPr>
          <w:sz w:val="20"/>
          <w:szCs w:val="20"/>
          <w:lang w:val="en-GB"/>
        </w:rPr>
        <w:t>,</w:t>
      </w:r>
      <w:r w:rsidR="00652595" w:rsidRPr="00EE28C9">
        <w:rPr>
          <w:sz w:val="20"/>
          <w:szCs w:val="20"/>
          <w:lang w:val="en-GB"/>
        </w:rPr>
        <w:t xml:space="preserve"> and stabilization and recovery in areas liberated from ISIL.</w:t>
      </w:r>
    </w:p>
    <w:p w:rsidR="00652595" w:rsidRPr="00040FB6" w:rsidRDefault="00652595" w:rsidP="00EE28C9">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ind w:left="900" w:right="720" w:firstLine="0"/>
        <w:jc w:val="both"/>
        <w:rPr>
          <w:color w:val="000000"/>
          <w:sz w:val="20"/>
          <w:szCs w:val="20"/>
          <w:u w:color="000000"/>
          <w:lang w:val="en-GB"/>
        </w:rPr>
      </w:pPr>
      <w:r w:rsidRPr="00EE28C9">
        <w:rPr>
          <w:sz w:val="20"/>
          <w:szCs w:val="20"/>
          <w:lang w:val="en-GB"/>
        </w:rPr>
        <w:t>From these recommendations</w:t>
      </w:r>
      <w:r w:rsidR="005504FB" w:rsidRPr="00EE28C9">
        <w:rPr>
          <w:sz w:val="20"/>
          <w:szCs w:val="20"/>
          <w:lang w:val="en-GB"/>
        </w:rPr>
        <w:t>,</w:t>
      </w:r>
      <w:r w:rsidRPr="00EE28C9">
        <w:rPr>
          <w:sz w:val="20"/>
          <w:szCs w:val="20"/>
          <w:lang w:val="en-GB"/>
        </w:rPr>
        <w:t xml:space="preserve"> analysis of work done in the previous </w:t>
      </w:r>
      <w:r w:rsidR="00EC21A4" w:rsidRPr="00EE28C9">
        <w:rPr>
          <w:sz w:val="20"/>
          <w:szCs w:val="20"/>
          <w:lang w:val="en-GB"/>
        </w:rPr>
        <w:t xml:space="preserve">country programme </w:t>
      </w:r>
      <w:r w:rsidRPr="00EE28C9">
        <w:rPr>
          <w:sz w:val="20"/>
          <w:szCs w:val="20"/>
          <w:lang w:val="en-GB"/>
        </w:rPr>
        <w:t>cycle, a</w:t>
      </w:r>
      <w:r w:rsidR="0041643B" w:rsidRPr="00EE28C9">
        <w:rPr>
          <w:sz w:val="20"/>
          <w:szCs w:val="20"/>
          <w:lang w:val="en-GB"/>
        </w:rPr>
        <w:t>nd</w:t>
      </w:r>
      <w:r w:rsidR="00E7000F" w:rsidRPr="00EE28C9">
        <w:rPr>
          <w:sz w:val="20"/>
          <w:szCs w:val="20"/>
          <w:lang w:val="en-GB"/>
        </w:rPr>
        <w:t xml:space="preserve"> </w:t>
      </w:r>
      <w:r w:rsidRPr="00EE28C9">
        <w:rPr>
          <w:sz w:val="20"/>
          <w:szCs w:val="20"/>
          <w:lang w:val="en-GB"/>
        </w:rPr>
        <w:t xml:space="preserve">the evolving situation in Iraq, UNDP has crafted a programme strategy </w:t>
      </w:r>
      <w:r w:rsidR="00EC21A4" w:rsidRPr="00EE28C9">
        <w:rPr>
          <w:sz w:val="20"/>
          <w:szCs w:val="20"/>
          <w:lang w:val="en-GB"/>
        </w:rPr>
        <w:t xml:space="preserve">to </w:t>
      </w:r>
      <w:r w:rsidRPr="00EE28C9">
        <w:rPr>
          <w:sz w:val="20"/>
          <w:szCs w:val="20"/>
          <w:lang w:val="en-GB"/>
        </w:rPr>
        <w:t>consolidat</w:t>
      </w:r>
      <w:r w:rsidR="00EC21A4" w:rsidRPr="00EE28C9">
        <w:rPr>
          <w:sz w:val="20"/>
          <w:szCs w:val="20"/>
          <w:lang w:val="en-GB"/>
        </w:rPr>
        <w:t>e</w:t>
      </w:r>
      <w:r w:rsidRPr="00EE28C9">
        <w:rPr>
          <w:sz w:val="20"/>
          <w:szCs w:val="20"/>
          <w:lang w:val="en-GB"/>
        </w:rPr>
        <w:t xml:space="preserve"> </w:t>
      </w:r>
      <w:r w:rsidR="00EC21A4" w:rsidRPr="00EE28C9">
        <w:rPr>
          <w:sz w:val="20"/>
          <w:szCs w:val="20"/>
          <w:lang w:val="en-GB"/>
        </w:rPr>
        <w:t xml:space="preserve">the </w:t>
      </w:r>
      <w:r w:rsidR="00E7000F" w:rsidRPr="00EE28C9">
        <w:rPr>
          <w:sz w:val="20"/>
          <w:szCs w:val="20"/>
          <w:lang w:val="en-GB"/>
        </w:rPr>
        <w:t>transition</w:t>
      </w:r>
      <w:r w:rsidR="00EC21A4" w:rsidRPr="00EE28C9">
        <w:rPr>
          <w:sz w:val="20"/>
          <w:szCs w:val="20"/>
          <w:lang w:val="en-GB"/>
        </w:rPr>
        <w:t xml:space="preserve"> of Iraq</w:t>
      </w:r>
      <w:r w:rsidRPr="00EE28C9">
        <w:rPr>
          <w:sz w:val="20"/>
          <w:szCs w:val="20"/>
          <w:lang w:val="en-GB"/>
        </w:rPr>
        <w:t>. The suggested pathways for UNDP programming are: (</w:t>
      </w:r>
      <w:r w:rsidR="00EC21A4" w:rsidRPr="00EE28C9">
        <w:rPr>
          <w:sz w:val="20"/>
          <w:szCs w:val="20"/>
          <w:lang w:val="en-GB"/>
        </w:rPr>
        <w:t>a</w:t>
      </w:r>
      <w:r w:rsidRPr="00EE28C9">
        <w:rPr>
          <w:sz w:val="20"/>
          <w:szCs w:val="20"/>
          <w:lang w:val="en-GB"/>
        </w:rPr>
        <w:t>) developing a framework for rights, peace and stability throu</w:t>
      </w:r>
      <w:r w:rsidR="00BB228A" w:rsidRPr="00EE28C9">
        <w:rPr>
          <w:sz w:val="20"/>
          <w:szCs w:val="20"/>
          <w:lang w:val="en-GB"/>
        </w:rPr>
        <w:t>gh public institutional reform</w:t>
      </w:r>
      <w:r w:rsidR="00EC21A4" w:rsidRPr="00EE28C9">
        <w:rPr>
          <w:sz w:val="20"/>
          <w:szCs w:val="20"/>
          <w:lang w:val="en-GB"/>
        </w:rPr>
        <w:t>;</w:t>
      </w:r>
      <w:r w:rsidR="00BB228A" w:rsidRPr="00EE28C9">
        <w:rPr>
          <w:sz w:val="20"/>
          <w:szCs w:val="20"/>
          <w:lang w:val="en-GB"/>
        </w:rPr>
        <w:t xml:space="preserve"> </w:t>
      </w:r>
      <w:r w:rsidRPr="00EE28C9">
        <w:rPr>
          <w:sz w:val="20"/>
          <w:szCs w:val="20"/>
          <w:lang w:val="en-GB"/>
        </w:rPr>
        <w:t>(</w:t>
      </w:r>
      <w:r w:rsidR="00EC21A4" w:rsidRPr="00EE28C9">
        <w:rPr>
          <w:sz w:val="20"/>
          <w:szCs w:val="20"/>
          <w:lang w:val="en-GB"/>
        </w:rPr>
        <w:t>b</w:t>
      </w:r>
      <w:r w:rsidRPr="00EE28C9">
        <w:rPr>
          <w:sz w:val="20"/>
          <w:szCs w:val="20"/>
          <w:lang w:val="en-GB"/>
        </w:rPr>
        <w:t>)</w:t>
      </w:r>
      <w:r w:rsidR="00EC21A4" w:rsidRPr="00EE28C9">
        <w:rPr>
          <w:sz w:val="20"/>
          <w:szCs w:val="20"/>
          <w:lang w:val="en-GB"/>
        </w:rPr>
        <w:t> </w:t>
      </w:r>
      <w:r w:rsidRPr="00EE28C9">
        <w:rPr>
          <w:sz w:val="20"/>
          <w:szCs w:val="20"/>
          <w:lang w:val="en-GB"/>
        </w:rPr>
        <w:t>improving delivery of public goods and services through administrative and fiscal reform and devolution</w:t>
      </w:r>
      <w:r w:rsidRPr="00040FB6">
        <w:rPr>
          <w:color w:val="000000"/>
          <w:sz w:val="20"/>
          <w:szCs w:val="20"/>
          <w:lang w:val="en-GB"/>
        </w:rPr>
        <w:t xml:space="preserve"> from the national Government to the governorates; and (</w:t>
      </w:r>
      <w:r w:rsidR="00EC21A4" w:rsidRPr="00040FB6">
        <w:rPr>
          <w:color w:val="000000"/>
          <w:sz w:val="20"/>
          <w:szCs w:val="20"/>
          <w:lang w:val="en-GB"/>
        </w:rPr>
        <w:t>c</w:t>
      </w:r>
      <w:r w:rsidRPr="00040FB6">
        <w:rPr>
          <w:color w:val="000000"/>
          <w:sz w:val="20"/>
          <w:szCs w:val="20"/>
          <w:lang w:val="en-GB"/>
        </w:rPr>
        <w:t>) r</w:t>
      </w:r>
      <w:r w:rsidR="00040FB6">
        <w:rPr>
          <w:color w:val="000000"/>
          <w:sz w:val="20"/>
          <w:szCs w:val="20"/>
          <w:lang w:val="en-GB"/>
        </w:rPr>
        <w:t>evi</w:t>
      </w:r>
      <w:r w:rsidRPr="00040FB6">
        <w:rPr>
          <w:color w:val="000000"/>
          <w:sz w:val="20"/>
          <w:szCs w:val="20"/>
          <w:lang w:val="en-GB"/>
        </w:rPr>
        <w:t xml:space="preserve">ving communities through direct intervention to stabilize newly liberated areas in preparation </w:t>
      </w:r>
      <w:r w:rsidR="00BB228A" w:rsidRPr="00040FB6">
        <w:rPr>
          <w:color w:val="000000"/>
          <w:sz w:val="20"/>
          <w:szCs w:val="20"/>
          <w:lang w:val="en-GB"/>
        </w:rPr>
        <w:t xml:space="preserve">for early returns and recovery. </w:t>
      </w:r>
      <w:r w:rsidRPr="00040FB6">
        <w:rPr>
          <w:color w:val="000000"/>
          <w:sz w:val="20"/>
          <w:szCs w:val="20"/>
          <w:lang w:val="en-GB"/>
        </w:rPr>
        <w:t xml:space="preserve">These choices take into account national priorities, </w:t>
      </w:r>
      <w:r w:rsidR="00EC21A4" w:rsidRPr="00040FB6">
        <w:rPr>
          <w:color w:val="000000"/>
          <w:sz w:val="20"/>
          <w:szCs w:val="20"/>
          <w:lang w:val="en-GB"/>
        </w:rPr>
        <w:t xml:space="preserve">the </w:t>
      </w:r>
      <w:r w:rsidRPr="00040FB6">
        <w:rPr>
          <w:color w:val="000000"/>
          <w:sz w:val="20"/>
          <w:szCs w:val="20"/>
          <w:lang w:val="en-GB"/>
        </w:rPr>
        <w:t>comparative advanta</w:t>
      </w:r>
      <w:r w:rsidR="00BB228A" w:rsidRPr="00040FB6">
        <w:rPr>
          <w:color w:val="000000"/>
          <w:sz w:val="20"/>
          <w:szCs w:val="20"/>
          <w:lang w:val="en-GB"/>
        </w:rPr>
        <w:t>ge</w:t>
      </w:r>
      <w:r w:rsidR="00EC21A4" w:rsidRPr="00040FB6">
        <w:rPr>
          <w:color w:val="000000"/>
          <w:sz w:val="20"/>
          <w:szCs w:val="20"/>
          <w:lang w:val="en-GB"/>
        </w:rPr>
        <w:t>,</w:t>
      </w:r>
      <w:r w:rsidR="00BB228A" w:rsidRPr="00040FB6">
        <w:rPr>
          <w:color w:val="000000"/>
          <w:sz w:val="20"/>
          <w:szCs w:val="20"/>
          <w:lang w:val="en-GB"/>
        </w:rPr>
        <w:t xml:space="preserve"> and strategic partnerships. </w:t>
      </w:r>
      <w:r w:rsidR="00E7000F" w:rsidRPr="00040FB6">
        <w:rPr>
          <w:color w:val="000000"/>
          <w:sz w:val="20"/>
          <w:szCs w:val="20"/>
          <w:lang w:val="en-GB"/>
        </w:rPr>
        <w:t xml:space="preserve">Successful implementation of these </w:t>
      </w:r>
      <w:r w:rsidRPr="00040FB6">
        <w:rPr>
          <w:color w:val="000000"/>
          <w:sz w:val="20"/>
          <w:szCs w:val="20"/>
          <w:lang w:val="en-GB"/>
        </w:rPr>
        <w:t>approach</w:t>
      </w:r>
      <w:r w:rsidR="00E7000F" w:rsidRPr="00040FB6">
        <w:rPr>
          <w:color w:val="000000"/>
          <w:sz w:val="20"/>
          <w:szCs w:val="20"/>
          <w:lang w:val="en-GB"/>
        </w:rPr>
        <w:t>es</w:t>
      </w:r>
      <w:r w:rsidRPr="00040FB6">
        <w:rPr>
          <w:color w:val="000000"/>
          <w:sz w:val="20"/>
          <w:szCs w:val="20"/>
          <w:lang w:val="en-GB"/>
        </w:rPr>
        <w:t xml:space="preserve"> is expected to contribute to greater social peace, more responsive and accountable public institutions, and the strengthening of democracy</w:t>
      </w:r>
      <w:r w:rsidR="005504FB" w:rsidRPr="00040FB6">
        <w:rPr>
          <w:color w:val="000000"/>
          <w:sz w:val="20"/>
          <w:szCs w:val="20"/>
          <w:lang w:val="en-GB"/>
        </w:rPr>
        <w:t xml:space="preserve"> overall</w:t>
      </w:r>
      <w:r w:rsidRPr="00040FB6">
        <w:rPr>
          <w:color w:val="000000"/>
          <w:sz w:val="20"/>
          <w:szCs w:val="20"/>
          <w:lang w:val="en-GB"/>
        </w:rPr>
        <w:t>.</w:t>
      </w:r>
    </w:p>
    <w:p w:rsidR="00652595" w:rsidRPr="00040FB6" w:rsidRDefault="00652595" w:rsidP="009D5342">
      <w:pPr>
        <w:tabs>
          <w:tab w:val="left" w:pos="1260"/>
        </w:tabs>
        <w:ind w:left="900" w:right="720"/>
        <w:jc w:val="both"/>
        <w:rPr>
          <w:color w:val="000000"/>
          <w:sz w:val="20"/>
          <w:szCs w:val="20"/>
          <w:lang w:val="en-GB"/>
        </w:rPr>
      </w:pPr>
    </w:p>
    <w:p w:rsidR="00652595" w:rsidRPr="00040FB6" w:rsidRDefault="004B4718" w:rsidP="00040FB6">
      <w:pPr>
        <w:pStyle w:val="ListParagraph"/>
        <w:widowControl w:val="0"/>
        <w:numPr>
          <w:ilvl w:val="0"/>
          <w:numId w:val="43"/>
        </w:numPr>
        <w:tabs>
          <w:tab w:val="left" w:pos="900"/>
          <w:tab w:val="left" w:pos="1260"/>
        </w:tabs>
        <w:autoSpaceDE w:val="0"/>
        <w:autoSpaceDN w:val="0"/>
        <w:adjustRightInd w:val="0"/>
        <w:ind w:left="993" w:right="720" w:hanging="547"/>
        <w:jc w:val="both"/>
        <w:rPr>
          <w:rFonts w:eastAsia="Times New Roman"/>
          <w:sz w:val="28"/>
          <w:szCs w:val="28"/>
          <w:lang w:val="en-GB"/>
        </w:rPr>
      </w:pPr>
      <w:r w:rsidRPr="00040FB6">
        <w:rPr>
          <w:b/>
          <w:bCs/>
          <w:sz w:val="28"/>
          <w:szCs w:val="28"/>
          <w:lang w:val="en-GB"/>
        </w:rPr>
        <w:t>Programme p</w:t>
      </w:r>
      <w:r w:rsidR="00652595" w:rsidRPr="00040FB6">
        <w:rPr>
          <w:b/>
          <w:bCs/>
          <w:sz w:val="28"/>
          <w:szCs w:val="28"/>
          <w:lang w:val="en-GB"/>
        </w:rPr>
        <w:t xml:space="preserve">riorities and </w:t>
      </w:r>
      <w:r w:rsidRPr="00040FB6">
        <w:rPr>
          <w:b/>
          <w:bCs/>
          <w:sz w:val="28"/>
          <w:szCs w:val="28"/>
          <w:lang w:val="en-GB"/>
        </w:rPr>
        <w:t>p</w:t>
      </w:r>
      <w:r w:rsidR="00652595" w:rsidRPr="00040FB6">
        <w:rPr>
          <w:b/>
          <w:bCs/>
          <w:sz w:val="28"/>
          <w:szCs w:val="28"/>
          <w:lang w:val="en-GB"/>
        </w:rPr>
        <w:t xml:space="preserve">artnerships </w:t>
      </w:r>
    </w:p>
    <w:p w:rsidR="00EC21A4" w:rsidRPr="001E4796" w:rsidRDefault="00EC21A4" w:rsidP="00040FB6">
      <w:pPr>
        <w:pStyle w:val="ListParagraph"/>
        <w:widowControl w:val="0"/>
        <w:tabs>
          <w:tab w:val="left" w:pos="900"/>
          <w:tab w:val="left" w:pos="1260"/>
        </w:tabs>
        <w:autoSpaceDE w:val="0"/>
        <w:autoSpaceDN w:val="0"/>
        <w:adjustRightInd w:val="0"/>
        <w:ind w:left="900" w:right="720"/>
        <w:jc w:val="both"/>
        <w:rPr>
          <w:rFonts w:eastAsia="Times New Roman"/>
          <w:lang w:val="en-GB"/>
        </w:rPr>
      </w:pPr>
    </w:p>
    <w:p w:rsidR="00652595" w:rsidRPr="00040FB6" w:rsidRDefault="001E4796" w:rsidP="001E47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jc w:val="both"/>
        <w:rPr>
          <w:b/>
          <w:color w:val="000000"/>
          <w:sz w:val="20"/>
          <w:szCs w:val="20"/>
          <w:u w:color="000000"/>
          <w:lang w:val="en-GB"/>
        </w:rPr>
      </w:pPr>
      <w:r>
        <w:rPr>
          <w:color w:val="000000"/>
          <w:sz w:val="20"/>
          <w:szCs w:val="20"/>
          <w:u w:color="000000"/>
          <w:lang w:val="en-GB"/>
        </w:rPr>
        <w:t>1</w:t>
      </w:r>
      <w:r w:rsidR="00EE28C9">
        <w:rPr>
          <w:color w:val="000000"/>
          <w:sz w:val="20"/>
          <w:szCs w:val="20"/>
          <w:u w:color="000000"/>
          <w:lang w:val="en-GB"/>
        </w:rPr>
        <w:t>4</w:t>
      </w:r>
      <w:r>
        <w:rPr>
          <w:color w:val="000000"/>
          <w:sz w:val="20"/>
          <w:szCs w:val="20"/>
          <w:u w:color="000000"/>
          <w:lang w:val="en-GB"/>
        </w:rPr>
        <w:t>.</w:t>
      </w:r>
      <w:r>
        <w:rPr>
          <w:color w:val="000000"/>
          <w:sz w:val="20"/>
          <w:szCs w:val="20"/>
          <w:u w:color="000000"/>
          <w:lang w:val="en-GB"/>
        </w:rPr>
        <w:tab/>
      </w:r>
      <w:r w:rsidR="00652595" w:rsidRPr="001E4796">
        <w:rPr>
          <w:color w:val="000000"/>
          <w:sz w:val="20"/>
          <w:szCs w:val="20"/>
          <w:u w:color="000000"/>
          <w:lang w:val="en-GB"/>
        </w:rPr>
        <w:t>The</w:t>
      </w:r>
      <w:r w:rsidR="00652595" w:rsidRPr="00040FB6">
        <w:rPr>
          <w:color w:val="000000"/>
          <w:sz w:val="20"/>
          <w:szCs w:val="20"/>
          <w:u w:color="000000"/>
          <w:lang w:val="en-GB"/>
        </w:rPr>
        <w:t xml:space="preserve"> three</w:t>
      </w:r>
      <w:r w:rsidR="00E7000F" w:rsidRPr="00040FB6">
        <w:rPr>
          <w:color w:val="000000"/>
          <w:sz w:val="20"/>
          <w:szCs w:val="20"/>
          <w:u w:color="000000"/>
          <w:lang w:val="en-GB"/>
        </w:rPr>
        <w:t xml:space="preserve"> programme elements </w:t>
      </w:r>
      <w:r w:rsidR="00652595" w:rsidRPr="00040FB6">
        <w:rPr>
          <w:color w:val="000000"/>
          <w:sz w:val="20"/>
          <w:szCs w:val="20"/>
          <w:u w:color="000000"/>
          <w:lang w:val="en-GB"/>
        </w:rPr>
        <w:t xml:space="preserve">will be </w:t>
      </w:r>
      <w:r w:rsidR="00E7000F" w:rsidRPr="00040FB6">
        <w:rPr>
          <w:color w:val="000000"/>
          <w:sz w:val="20"/>
          <w:szCs w:val="20"/>
          <w:u w:color="000000"/>
          <w:lang w:val="en-GB"/>
        </w:rPr>
        <w:t xml:space="preserve">addressed </w:t>
      </w:r>
      <w:r w:rsidR="00652595" w:rsidRPr="00040FB6">
        <w:rPr>
          <w:color w:val="000000"/>
          <w:sz w:val="20"/>
          <w:szCs w:val="20"/>
          <w:u w:color="000000"/>
          <w:lang w:val="en-GB"/>
        </w:rPr>
        <w:t>in the following ways: (</w:t>
      </w:r>
      <w:r w:rsidR="00EC21A4" w:rsidRPr="00040FB6">
        <w:rPr>
          <w:color w:val="000000"/>
          <w:sz w:val="20"/>
          <w:szCs w:val="20"/>
          <w:u w:color="000000"/>
          <w:lang w:val="en-GB"/>
        </w:rPr>
        <w:t>a</w:t>
      </w:r>
      <w:r w:rsidR="00652595" w:rsidRPr="00040FB6">
        <w:rPr>
          <w:color w:val="000000"/>
          <w:sz w:val="20"/>
          <w:szCs w:val="20"/>
          <w:u w:color="000000"/>
          <w:lang w:val="en-GB"/>
        </w:rPr>
        <w:t>) institutional reform</w:t>
      </w:r>
      <w:r w:rsidR="00901109" w:rsidRPr="00040FB6">
        <w:rPr>
          <w:color w:val="000000"/>
          <w:sz w:val="20"/>
          <w:szCs w:val="20"/>
          <w:u w:color="000000"/>
          <w:lang w:val="en-GB"/>
        </w:rPr>
        <w:t>,</w:t>
      </w:r>
      <w:r w:rsidR="00652595" w:rsidRPr="00040FB6">
        <w:rPr>
          <w:color w:val="000000"/>
          <w:sz w:val="20"/>
          <w:szCs w:val="20"/>
          <w:u w:color="000000"/>
          <w:lang w:val="en-GB"/>
        </w:rPr>
        <w:t xml:space="preserve"> focused on key national institutions and the general population</w:t>
      </w:r>
      <w:r w:rsidR="00EC21A4" w:rsidRPr="00040FB6">
        <w:rPr>
          <w:color w:val="000000"/>
          <w:sz w:val="20"/>
          <w:szCs w:val="20"/>
          <w:u w:color="000000"/>
          <w:lang w:val="en-GB"/>
        </w:rPr>
        <w:t>,</w:t>
      </w:r>
      <w:r w:rsidR="00652595" w:rsidRPr="00040FB6">
        <w:rPr>
          <w:color w:val="000000"/>
          <w:sz w:val="20"/>
          <w:szCs w:val="20"/>
          <w:u w:color="000000"/>
          <w:lang w:val="en-GB"/>
        </w:rPr>
        <w:t xml:space="preserve"> </w:t>
      </w:r>
      <w:r w:rsidR="00C93019" w:rsidRPr="00040FB6">
        <w:rPr>
          <w:color w:val="000000"/>
          <w:sz w:val="20"/>
          <w:szCs w:val="20"/>
          <w:u w:color="000000"/>
          <w:lang w:val="en-GB"/>
        </w:rPr>
        <w:t>with</w:t>
      </w:r>
      <w:r w:rsidR="00652595" w:rsidRPr="00040FB6">
        <w:rPr>
          <w:color w:val="000000"/>
          <w:sz w:val="20"/>
          <w:szCs w:val="20"/>
          <w:u w:color="000000"/>
          <w:lang w:val="en-GB"/>
        </w:rPr>
        <w:t xml:space="preserve"> significant benefits for women and girls affected by </w:t>
      </w:r>
      <w:r w:rsidR="00EC21A4" w:rsidRPr="00040FB6">
        <w:rPr>
          <w:color w:val="000000"/>
          <w:sz w:val="20"/>
          <w:szCs w:val="20"/>
          <w:u w:color="000000"/>
          <w:lang w:val="en-GB"/>
        </w:rPr>
        <w:t>sexual and gender-based violence</w:t>
      </w:r>
      <w:r w:rsidR="00E7000F" w:rsidRPr="00040FB6">
        <w:rPr>
          <w:color w:val="000000"/>
          <w:sz w:val="20"/>
          <w:szCs w:val="20"/>
          <w:u w:color="000000"/>
          <w:lang w:val="en-GB"/>
        </w:rPr>
        <w:t>; (</w:t>
      </w:r>
      <w:r w:rsidR="00EC21A4" w:rsidRPr="00040FB6">
        <w:rPr>
          <w:color w:val="000000"/>
          <w:sz w:val="20"/>
          <w:szCs w:val="20"/>
          <w:u w:color="000000"/>
          <w:lang w:val="en-GB"/>
        </w:rPr>
        <w:t>b</w:t>
      </w:r>
      <w:r w:rsidR="00E7000F" w:rsidRPr="00040FB6">
        <w:rPr>
          <w:color w:val="000000"/>
          <w:sz w:val="20"/>
          <w:szCs w:val="20"/>
          <w:u w:color="000000"/>
          <w:lang w:val="en-GB"/>
        </w:rPr>
        <w:t>)</w:t>
      </w:r>
      <w:r w:rsidR="00EC21A4" w:rsidRPr="00040FB6">
        <w:rPr>
          <w:color w:val="000000"/>
          <w:sz w:val="20"/>
          <w:szCs w:val="20"/>
          <w:u w:color="000000"/>
          <w:lang w:val="en-GB"/>
        </w:rPr>
        <w:t> </w:t>
      </w:r>
      <w:r w:rsidR="00E7000F" w:rsidRPr="00040FB6">
        <w:rPr>
          <w:color w:val="000000"/>
          <w:sz w:val="20"/>
          <w:szCs w:val="20"/>
          <w:u w:color="000000"/>
          <w:lang w:val="en-GB"/>
        </w:rPr>
        <w:t xml:space="preserve">devolution of administrative and fiscal powers to governorates, </w:t>
      </w:r>
      <w:r>
        <w:rPr>
          <w:color w:val="000000"/>
          <w:sz w:val="20"/>
          <w:szCs w:val="20"/>
          <w:u w:color="000000"/>
          <w:lang w:val="en-GB"/>
        </w:rPr>
        <w:t>emphasizing</w:t>
      </w:r>
      <w:r w:rsidR="00E7000F" w:rsidRPr="00040FB6">
        <w:rPr>
          <w:color w:val="000000"/>
          <w:sz w:val="20"/>
          <w:szCs w:val="20"/>
          <w:u w:color="000000"/>
          <w:lang w:val="en-GB"/>
        </w:rPr>
        <w:t xml:space="preserve"> o</w:t>
      </w:r>
      <w:r w:rsidR="00BB228A" w:rsidRPr="00040FB6">
        <w:rPr>
          <w:color w:val="000000"/>
          <w:sz w:val="20"/>
          <w:szCs w:val="20"/>
          <w:u w:color="000000"/>
          <w:lang w:val="en-GB"/>
        </w:rPr>
        <w:t>n</w:t>
      </w:r>
      <w:r w:rsidR="00652595" w:rsidRPr="00040FB6">
        <w:rPr>
          <w:color w:val="000000"/>
          <w:sz w:val="20"/>
          <w:szCs w:val="20"/>
          <w:u w:color="000000"/>
          <w:lang w:val="en-GB"/>
        </w:rPr>
        <w:t xml:space="preserve"> </w:t>
      </w:r>
      <w:r w:rsidR="00EC21A4" w:rsidRPr="00040FB6">
        <w:rPr>
          <w:color w:val="000000"/>
          <w:sz w:val="20"/>
          <w:szCs w:val="20"/>
          <w:u w:color="000000"/>
          <w:lang w:val="en-GB"/>
        </w:rPr>
        <w:t xml:space="preserve">eight </w:t>
      </w:r>
      <w:r w:rsidR="00652595" w:rsidRPr="00040FB6">
        <w:rPr>
          <w:color w:val="000000"/>
          <w:sz w:val="20"/>
          <w:szCs w:val="20"/>
          <w:u w:color="000000"/>
          <w:lang w:val="en-GB"/>
        </w:rPr>
        <w:t>governorates across Iraq; (</w:t>
      </w:r>
      <w:r w:rsidR="00EC21A4" w:rsidRPr="00040FB6">
        <w:rPr>
          <w:color w:val="000000"/>
          <w:sz w:val="20"/>
          <w:szCs w:val="20"/>
          <w:u w:color="000000"/>
          <w:lang w:val="en-GB"/>
        </w:rPr>
        <w:t>c</w:t>
      </w:r>
      <w:r w:rsidR="00652595" w:rsidRPr="00040FB6">
        <w:rPr>
          <w:color w:val="000000"/>
          <w:sz w:val="20"/>
          <w:szCs w:val="20"/>
          <w:u w:color="000000"/>
          <w:lang w:val="en-GB"/>
        </w:rPr>
        <w:t xml:space="preserve">) </w:t>
      </w:r>
      <w:r w:rsidR="00E7000F" w:rsidRPr="00040FB6">
        <w:rPr>
          <w:color w:val="000000"/>
          <w:sz w:val="20"/>
          <w:szCs w:val="20"/>
          <w:u w:color="000000"/>
          <w:lang w:val="en-GB"/>
        </w:rPr>
        <w:t xml:space="preserve">contribution to the </w:t>
      </w:r>
      <w:r w:rsidR="00652595" w:rsidRPr="00040FB6">
        <w:rPr>
          <w:color w:val="000000"/>
          <w:sz w:val="20"/>
          <w:szCs w:val="20"/>
          <w:u w:color="000000"/>
          <w:lang w:val="en-GB"/>
        </w:rPr>
        <w:t>safe</w:t>
      </w:r>
      <w:r>
        <w:rPr>
          <w:color w:val="000000"/>
          <w:sz w:val="20"/>
          <w:szCs w:val="20"/>
          <w:u w:color="000000"/>
          <w:lang w:val="en-GB"/>
        </w:rPr>
        <w:t>,</w:t>
      </w:r>
      <w:r w:rsidR="00E7000F" w:rsidRPr="00040FB6">
        <w:rPr>
          <w:color w:val="000000"/>
          <w:sz w:val="20"/>
          <w:szCs w:val="20"/>
          <w:u w:color="000000"/>
          <w:lang w:val="en-GB"/>
        </w:rPr>
        <w:t xml:space="preserve"> voluntary return </w:t>
      </w:r>
      <w:r w:rsidR="00EC21A4" w:rsidRPr="00040FB6">
        <w:rPr>
          <w:color w:val="000000"/>
          <w:sz w:val="20"/>
          <w:szCs w:val="20"/>
          <w:u w:color="000000"/>
          <w:lang w:val="en-GB"/>
        </w:rPr>
        <w:t xml:space="preserve">of internally displaced persons </w:t>
      </w:r>
      <w:r w:rsidR="00E7000F" w:rsidRPr="00040FB6">
        <w:rPr>
          <w:color w:val="000000"/>
          <w:sz w:val="20"/>
          <w:szCs w:val="20"/>
          <w:u w:color="000000"/>
          <w:lang w:val="en-GB"/>
        </w:rPr>
        <w:t xml:space="preserve">through stabilization, peace-building and early recovery, </w:t>
      </w:r>
      <w:r>
        <w:rPr>
          <w:color w:val="000000"/>
          <w:sz w:val="20"/>
          <w:szCs w:val="20"/>
          <w:u w:color="000000"/>
          <w:lang w:val="en-GB"/>
        </w:rPr>
        <w:t>prioritizing</w:t>
      </w:r>
      <w:r w:rsidR="00E7000F" w:rsidRPr="00040FB6">
        <w:rPr>
          <w:color w:val="000000"/>
          <w:sz w:val="20"/>
          <w:szCs w:val="20"/>
          <w:u w:color="000000"/>
          <w:lang w:val="en-GB"/>
        </w:rPr>
        <w:t xml:space="preserve"> the most vulnerable and female-headed households. </w:t>
      </w:r>
    </w:p>
    <w:p w:rsidR="00652595" w:rsidRPr="00040FB6" w:rsidRDefault="001E4796" w:rsidP="001E47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jc w:val="both"/>
        <w:rPr>
          <w:b/>
          <w:color w:val="000000"/>
          <w:sz w:val="20"/>
          <w:szCs w:val="20"/>
          <w:u w:color="000000"/>
          <w:lang w:val="en-GB"/>
        </w:rPr>
      </w:pPr>
      <w:r>
        <w:rPr>
          <w:color w:val="000000"/>
          <w:sz w:val="20"/>
          <w:szCs w:val="20"/>
          <w:u w:color="000000"/>
          <w:lang w:val="en-GB"/>
        </w:rPr>
        <w:t>1</w:t>
      </w:r>
      <w:r w:rsidR="00EE28C9">
        <w:rPr>
          <w:color w:val="000000"/>
          <w:sz w:val="20"/>
          <w:szCs w:val="20"/>
          <w:u w:color="000000"/>
          <w:lang w:val="en-GB"/>
        </w:rPr>
        <w:t>5</w:t>
      </w:r>
      <w:r>
        <w:rPr>
          <w:color w:val="000000"/>
          <w:sz w:val="20"/>
          <w:szCs w:val="20"/>
          <w:u w:color="000000"/>
          <w:lang w:val="en-GB"/>
        </w:rPr>
        <w:t>.</w:t>
      </w:r>
      <w:r>
        <w:rPr>
          <w:color w:val="000000"/>
          <w:sz w:val="20"/>
          <w:szCs w:val="20"/>
          <w:u w:color="000000"/>
          <w:lang w:val="en-GB"/>
        </w:rPr>
        <w:tab/>
      </w:r>
      <w:r w:rsidR="00652595" w:rsidRPr="00040FB6">
        <w:rPr>
          <w:color w:val="000000"/>
          <w:sz w:val="20"/>
          <w:szCs w:val="20"/>
          <w:u w:color="000000"/>
          <w:lang w:val="en-GB"/>
        </w:rPr>
        <w:t xml:space="preserve">Given the special status of the </w:t>
      </w:r>
      <w:r w:rsidR="00290095" w:rsidRPr="00040FB6">
        <w:rPr>
          <w:color w:val="000000"/>
          <w:sz w:val="20"/>
          <w:szCs w:val="20"/>
          <w:u w:color="000000"/>
          <w:lang w:val="en-GB"/>
        </w:rPr>
        <w:t>Kurdistan</w:t>
      </w:r>
      <w:r w:rsidR="00284547" w:rsidRPr="00040FB6">
        <w:rPr>
          <w:color w:val="000000"/>
          <w:sz w:val="20"/>
          <w:szCs w:val="20"/>
          <w:u w:color="000000"/>
          <w:lang w:val="en-GB"/>
        </w:rPr>
        <w:t xml:space="preserve"> r</w:t>
      </w:r>
      <w:r w:rsidR="00290095" w:rsidRPr="00040FB6">
        <w:rPr>
          <w:color w:val="000000"/>
          <w:sz w:val="20"/>
          <w:szCs w:val="20"/>
          <w:u w:color="000000"/>
          <w:lang w:val="en-GB"/>
        </w:rPr>
        <w:t>egion</w:t>
      </w:r>
      <w:r w:rsidR="00652595" w:rsidRPr="00040FB6">
        <w:rPr>
          <w:color w:val="000000"/>
          <w:sz w:val="20"/>
          <w:szCs w:val="20"/>
          <w:u w:color="000000"/>
          <w:lang w:val="en-GB"/>
        </w:rPr>
        <w:t xml:space="preserve">, UNDP will work with the </w:t>
      </w:r>
      <w:r w:rsidR="00284547" w:rsidRPr="00040FB6">
        <w:rPr>
          <w:color w:val="000000"/>
          <w:sz w:val="20"/>
          <w:szCs w:val="20"/>
          <w:u w:color="000000"/>
          <w:lang w:val="en-GB"/>
        </w:rPr>
        <w:t>regional g</w:t>
      </w:r>
      <w:r w:rsidR="00290095" w:rsidRPr="00040FB6">
        <w:rPr>
          <w:color w:val="000000"/>
          <w:sz w:val="20"/>
          <w:szCs w:val="20"/>
          <w:u w:color="000000"/>
          <w:lang w:val="en-GB"/>
        </w:rPr>
        <w:t>overnment</w:t>
      </w:r>
      <w:r w:rsidR="00652595" w:rsidRPr="00040FB6">
        <w:rPr>
          <w:color w:val="000000"/>
          <w:sz w:val="20"/>
          <w:szCs w:val="20"/>
          <w:u w:color="000000"/>
          <w:lang w:val="en-GB"/>
        </w:rPr>
        <w:t xml:space="preserve"> to (</w:t>
      </w:r>
      <w:r w:rsidR="00901109" w:rsidRPr="00040FB6">
        <w:rPr>
          <w:color w:val="000000"/>
          <w:sz w:val="20"/>
          <w:szCs w:val="20"/>
          <w:u w:color="000000"/>
          <w:lang w:val="en-GB"/>
        </w:rPr>
        <w:t>a</w:t>
      </w:r>
      <w:r w:rsidR="00652595" w:rsidRPr="00040FB6">
        <w:rPr>
          <w:color w:val="000000"/>
          <w:sz w:val="20"/>
          <w:szCs w:val="20"/>
          <w:u w:color="000000"/>
          <w:lang w:val="en-GB"/>
        </w:rPr>
        <w:t xml:space="preserve">) implement </w:t>
      </w:r>
      <w:r w:rsidR="00901109" w:rsidRPr="00040FB6">
        <w:rPr>
          <w:color w:val="000000"/>
          <w:sz w:val="20"/>
          <w:szCs w:val="20"/>
          <w:u w:color="000000"/>
          <w:lang w:val="en-GB"/>
        </w:rPr>
        <w:t>‘</w:t>
      </w:r>
      <w:r w:rsidR="00E7000F" w:rsidRPr="00040FB6">
        <w:rPr>
          <w:color w:val="000000"/>
          <w:sz w:val="20"/>
          <w:szCs w:val="20"/>
          <w:u w:color="000000"/>
          <w:lang w:val="en-GB"/>
        </w:rPr>
        <w:t>Vision 2020</w:t>
      </w:r>
      <w:r w:rsidR="00901109" w:rsidRPr="00040FB6">
        <w:rPr>
          <w:color w:val="000000"/>
          <w:sz w:val="20"/>
          <w:szCs w:val="20"/>
          <w:u w:color="000000"/>
          <w:lang w:val="en-GB"/>
        </w:rPr>
        <w:t>’</w:t>
      </w:r>
      <w:r w:rsidR="00E7000F" w:rsidRPr="00040FB6">
        <w:rPr>
          <w:color w:val="000000"/>
          <w:sz w:val="20"/>
          <w:szCs w:val="20"/>
          <w:u w:color="000000"/>
          <w:lang w:val="en-GB"/>
        </w:rPr>
        <w:t xml:space="preserve"> </w:t>
      </w:r>
      <w:r w:rsidR="00901109" w:rsidRPr="00040FB6">
        <w:rPr>
          <w:color w:val="000000"/>
          <w:sz w:val="20"/>
          <w:szCs w:val="20"/>
          <w:u w:color="000000"/>
          <w:lang w:val="en-GB"/>
        </w:rPr>
        <w:t>as a</w:t>
      </w:r>
      <w:r w:rsidR="00715463" w:rsidRPr="00040FB6">
        <w:rPr>
          <w:color w:val="000000"/>
          <w:sz w:val="20"/>
          <w:szCs w:val="20"/>
          <w:u w:color="000000"/>
          <w:lang w:val="en-GB"/>
        </w:rPr>
        <w:t xml:space="preserve"> key pillar</w:t>
      </w:r>
      <w:r w:rsidR="00E17383" w:rsidRPr="00040FB6">
        <w:rPr>
          <w:color w:val="000000"/>
          <w:sz w:val="20"/>
          <w:szCs w:val="20"/>
          <w:u w:color="000000"/>
          <w:lang w:val="en-GB"/>
        </w:rPr>
        <w:t xml:space="preserve"> of the </w:t>
      </w:r>
      <w:r w:rsidR="00901109" w:rsidRPr="00040FB6">
        <w:rPr>
          <w:color w:val="000000"/>
          <w:sz w:val="20"/>
          <w:szCs w:val="20"/>
          <w:u w:color="000000"/>
          <w:lang w:val="en-GB"/>
        </w:rPr>
        <w:t xml:space="preserve">country programme, </w:t>
      </w:r>
      <w:r w:rsidR="00652595" w:rsidRPr="00040FB6">
        <w:rPr>
          <w:color w:val="000000"/>
          <w:sz w:val="20"/>
          <w:szCs w:val="20"/>
          <w:u w:color="000000"/>
          <w:lang w:val="en-GB"/>
        </w:rPr>
        <w:t>and (</w:t>
      </w:r>
      <w:r w:rsidR="00901109" w:rsidRPr="00040FB6">
        <w:rPr>
          <w:color w:val="000000"/>
          <w:sz w:val="20"/>
          <w:szCs w:val="20"/>
          <w:u w:color="000000"/>
          <w:lang w:val="en-GB"/>
        </w:rPr>
        <w:t>b</w:t>
      </w:r>
      <w:r w:rsidR="00652595" w:rsidRPr="00040FB6">
        <w:rPr>
          <w:color w:val="000000"/>
          <w:sz w:val="20"/>
          <w:szCs w:val="20"/>
          <w:u w:color="000000"/>
          <w:lang w:val="en-GB"/>
        </w:rPr>
        <w:t>)</w:t>
      </w:r>
      <w:r w:rsidR="00901109" w:rsidRPr="00040FB6">
        <w:rPr>
          <w:color w:val="000000"/>
          <w:sz w:val="20"/>
          <w:szCs w:val="20"/>
          <w:u w:color="000000"/>
          <w:lang w:val="en-GB"/>
        </w:rPr>
        <w:t> </w:t>
      </w:r>
      <w:r w:rsidR="00652595" w:rsidRPr="00040FB6">
        <w:rPr>
          <w:color w:val="000000"/>
          <w:sz w:val="20"/>
          <w:szCs w:val="20"/>
          <w:u w:color="000000"/>
          <w:lang w:val="en-GB"/>
        </w:rPr>
        <w:t xml:space="preserve">prevent the progress </w:t>
      </w:r>
      <w:r w:rsidR="00901109" w:rsidRPr="00040FB6">
        <w:rPr>
          <w:color w:val="000000"/>
          <w:sz w:val="20"/>
          <w:szCs w:val="20"/>
          <w:u w:color="000000"/>
          <w:lang w:val="en-GB"/>
        </w:rPr>
        <w:t xml:space="preserve">of the region </w:t>
      </w:r>
      <w:r w:rsidR="00652595" w:rsidRPr="00040FB6">
        <w:rPr>
          <w:color w:val="000000"/>
          <w:sz w:val="20"/>
          <w:szCs w:val="20"/>
          <w:u w:color="000000"/>
          <w:lang w:val="en-GB"/>
        </w:rPr>
        <w:t xml:space="preserve">from sliding back due to the influx of </w:t>
      </w:r>
      <w:r w:rsidR="00EC21A4" w:rsidRPr="00040FB6">
        <w:rPr>
          <w:color w:val="000000"/>
          <w:sz w:val="20"/>
          <w:szCs w:val="20"/>
          <w:u w:color="000000"/>
          <w:lang w:val="en-GB"/>
        </w:rPr>
        <w:t>internally displaced persons</w:t>
      </w:r>
      <w:r w:rsidR="00652595" w:rsidRPr="00040FB6">
        <w:rPr>
          <w:color w:val="000000"/>
          <w:sz w:val="20"/>
          <w:szCs w:val="20"/>
          <w:u w:color="000000"/>
          <w:lang w:val="en-GB"/>
        </w:rPr>
        <w:t xml:space="preserve"> and refugees</w:t>
      </w:r>
      <w:r w:rsidR="00901109" w:rsidRPr="00040FB6">
        <w:rPr>
          <w:color w:val="000000"/>
          <w:sz w:val="20"/>
          <w:szCs w:val="20"/>
          <w:u w:color="000000"/>
          <w:lang w:val="en-GB"/>
        </w:rPr>
        <w:t>,</w:t>
      </w:r>
      <w:r w:rsidR="00652595" w:rsidRPr="00040FB6">
        <w:rPr>
          <w:color w:val="000000"/>
          <w:sz w:val="20"/>
          <w:szCs w:val="20"/>
          <w:u w:color="000000"/>
          <w:lang w:val="en-GB"/>
        </w:rPr>
        <w:t xml:space="preserve"> and budgetary constraints. UNDP will provide support to host communities and </w:t>
      </w:r>
      <w:r w:rsidR="00EC21A4" w:rsidRPr="00040FB6">
        <w:rPr>
          <w:color w:val="000000"/>
          <w:sz w:val="20"/>
          <w:szCs w:val="20"/>
          <w:u w:color="000000"/>
          <w:lang w:val="en-GB"/>
        </w:rPr>
        <w:t>internally displaced persons</w:t>
      </w:r>
      <w:r w:rsidR="00652595" w:rsidRPr="00040FB6">
        <w:rPr>
          <w:color w:val="000000"/>
          <w:sz w:val="20"/>
          <w:szCs w:val="20"/>
          <w:u w:color="000000"/>
          <w:lang w:val="en-GB"/>
        </w:rPr>
        <w:t xml:space="preserve"> to alleviate their suffering and mitigate the burden placed on the </w:t>
      </w:r>
      <w:r w:rsidR="00284547" w:rsidRPr="00040FB6">
        <w:rPr>
          <w:color w:val="000000"/>
          <w:sz w:val="20"/>
          <w:szCs w:val="20"/>
          <w:u w:color="000000"/>
          <w:lang w:val="en-GB"/>
        </w:rPr>
        <w:t>Kurdistan regional g</w:t>
      </w:r>
      <w:r w:rsidR="00290095" w:rsidRPr="00040FB6">
        <w:rPr>
          <w:color w:val="000000"/>
          <w:sz w:val="20"/>
          <w:szCs w:val="20"/>
          <w:u w:color="000000"/>
          <w:lang w:val="en-GB"/>
        </w:rPr>
        <w:t>overnment</w:t>
      </w:r>
      <w:r w:rsidR="00652595" w:rsidRPr="00040FB6">
        <w:rPr>
          <w:color w:val="000000"/>
          <w:sz w:val="20"/>
          <w:szCs w:val="20"/>
          <w:u w:color="000000"/>
          <w:lang w:val="en-GB"/>
        </w:rPr>
        <w:t xml:space="preserve"> </w:t>
      </w:r>
      <w:r>
        <w:rPr>
          <w:color w:val="000000"/>
          <w:sz w:val="20"/>
          <w:szCs w:val="20"/>
          <w:u w:color="000000"/>
          <w:lang w:val="en-GB"/>
        </w:rPr>
        <w:t>and</w:t>
      </w:r>
      <w:r w:rsidR="00652595" w:rsidRPr="00040FB6">
        <w:rPr>
          <w:color w:val="000000"/>
          <w:sz w:val="20"/>
          <w:szCs w:val="20"/>
          <w:u w:color="000000"/>
          <w:lang w:val="en-GB"/>
        </w:rPr>
        <w:t xml:space="preserve"> will </w:t>
      </w:r>
      <w:r>
        <w:rPr>
          <w:color w:val="000000"/>
          <w:sz w:val="20"/>
          <w:szCs w:val="20"/>
          <w:u w:color="000000"/>
          <w:lang w:val="en-GB"/>
        </w:rPr>
        <w:t>support</w:t>
      </w:r>
      <w:r w:rsidR="00901109" w:rsidRPr="00040FB6">
        <w:rPr>
          <w:color w:val="000000"/>
          <w:sz w:val="20"/>
          <w:szCs w:val="20"/>
          <w:u w:color="000000"/>
          <w:lang w:val="en-GB"/>
        </w:rPr>
        <w:t xml:space="preserve"> </w:t>
      </w:r>
      <w:r w:rsidRPr="00040FB6">
        <w:rPr>
          <w:color w:val="000000"/>
          <w:sz w:val="20"/>
          <w:szCs w:val="20"/>
          <w:u w:color="000000"/>
          <w:lang w:val="en-GB"/>
        </w:rPr>
        <w:t>the Kurdistan region</w:t>
      </w:r>
      <w:r w:rsidR="00652595" w:rsidRPr="00040FB6">
        <w:rPr>
          <w:color w:val="000000"/>
          <w:sz w:val="20"/>
          <w:szCs w:val="20"/>
          <w:u w:color="000000"/>
          <w:lang w:val="en-GB"/>
        </w:rPr>
        <w:t xml:space="preserve"> governorates </w:t>
      </w:r>
      <w:r>
        <w:rPr>
          <w:color w:val="000000"/>
          <w:sz w:val="20"/>
          <w:szCs w:val="20"/>
          <w:u w:color="000000"/>
          <w:lang w:val="en-GB"/>
        </w:rPr>
        <w:t>in improving</w:t>
      </w:r>
      <w:r w:rsidR="00652595" w:rsidRPr="00040FB6">
        <w:rPr>
          <w:color w:val="000000"/>
          <w:sz w:val="20"/>
          <w:szCs w:val="20"/>
          <w:u w:color="000000"/>
          <w:lang w:val="en-GB"/>
        </w:rPr>
        <w:t xml:space="preserve"> their se</w:t>
      </w:r>
      <w:r w:rsidR="00E7000F" w:rsidRPr="00040FB6">
        <w:rPr>
          <w:color w:val="000000"/>
          <w:sz w:val="20"/>
          <w:szCs w:val="20"/>
          <w:u w:color="000000"/>
          <w:lang w:val="en-GB"/>
        </w:rPr>
        <w:t xml:space="preserve">rvice delivery systems and </w:t>
      </w:r>
      <w:r w:rsidR="00652595" w:rsidRPr="00040FB6">
        <w:rPr>
          <w:color w:val="000000"/>
          <w:sz w:val="20"/>
          <w:szCs w:val="20"/>
          <w:u w:color="000000"/>
          <w:lang w:val="en-GB"/>
        </w:rPr>
        <w:t>development planning capacities.</w:t>
      </w:r>
    </w:p>
    <w:p w:rsidR="00652595" w:rsidRPr="00040FB6" w:rsidRDefault="00652595" w:rsidP="009D5342">
      <w:pPr>
        <w:widowControl w:val="0"/>
        <w:tabs>
          <w:tab w:val="left" w:pos="567"/>
          <w:tab w:val="left" w:pos="1260"/>
        </w:tabs>
        <w:autoSpaceDE w:val="0"/>
        <w:autoSpaceDN w:val="0"/>
        <w:adjustRightInd w:val="0"/>
        <w:spacing w:after="120"/>
        <w:ind w:left="900" w:right="720"/>
        <w:jc w:val="both"/>
        <w:rPr>
          <w:b/>
          <w:i/>
          <w:color w:val="000000"/>
          <w:sz w:val="20"/>
          <w:szCs w:val="20"/>
          <w:u w:color="000000"/>
          <w:lang w:val="en-GB"/>
        </w:rPr>
      </w:pPr>
      <w:r w:rsidRPr="00040FB6">
        <w:rPr>
          <w:b/>
          <w:i/>
          <w:color w:val="000000"/>
          <w:sz w:val="20"/>
          <w:szCs w:val="20"/>
          <w:u w:color="000000"/>
          <w:lang w:val="en-GB"/>
        </w:rPr>
        <w:t xml:space="preserve">Public </w:t>
      </w:r>
      <w:r w:rsidR="00290095" w:rsidRPr="00040FB6">
        <w:rPr>
          <w:b/>
          <w:i/>
          <w:color w:val="000000"/>
          <w:sz w:val="20"/>
          <w:szCs w:val="20"/>
          <w:u w:color="000000"/>
          <w:lang w:val="en-GB"/>
        </w:rPr>
        <w:t>i</w:t>
      </w:r>
      <w:r w:rsidRPr="00040FB6">
        <w:rPr>
          <w:b/>
          <w:i/>
          <w:color w:val="000000"/>
          <w:sz w:val="20"/>
          <w:szCs w:val="20"/>
          <w:u w:color="000000"/>
          <w:lang w:val="en-GB"/>
        </w:rPr>
        <w:t xml:space="preserve">nstitutional </w:t>
      </w:r>
      <w:r w:rsidR="00290095" w:rsidRPr="00040FB6">
        <w:rPr>
          <w:b/>
          <w:i/>
          <w:color w:val="000000"/>
          <w:sz w:val="20"/>
          <w:szCs w:val="20"/>
          <w:u w:color="000000"/>
          <w:lang w:val="en-GB"/>
        </w:rPr>
        <w:t>r</w:t>
      </w:r>
      <w:r w:rsidRPr="00040FB6">
        <w:rPr>
          <w:b/>
          <w:i/>
          <w:color w:val="000000"/>
          <w:sz w:val="20"/>
          <w:szCs w:val="20"/>
          <w:u w:color="000000"/>
          <w:lang w:val="en-GB"/>
        </w:rPr>
        <w:t>eform</w:t>
      </w:r>
    </w:p>
    <w:p w:rsidR="00652595" w:rsidRPr="00040FB6" w:rsidRDefault="001E4796" w:rsidP="001E47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jc w:val="both"/>
        <w:rPr>
          <w:color w:val="000000"/>
          <w:sz w:val="20"/>
          <w:szCs w:val="20"/>
          <w:u w:color="000000"/>
          <w:lang w:val="en-GB"/>
        </w:rPr>
      </w:pPr>
      <w:r>
        <w:rPr>
          <w:color w:val="000000"/>
          <w:sz w:val="20"/>
          <w:szCs w:val="20"/>
          <w:u w:color="000000"/>
          <w:lang w:val="en-GB"/>
        </w:rPr>
        <w:t>1</w:t>
      </w:r>
      <w:r w:rsidR="00EE28C9">
        <w:rPr>
          <w:color w:val="000000"/>
          <w:sz w:val="20"/>
          <w:szCs w:val="20"/>
          <w:u w:color="000000"/>
          <w:lang w:val="en-GB"/>
        </w:rPr>
        <w:t>6</w:t>
      </w:r>
      <w:r>
        <w:rPr>
          <w:color w:val="000000"/>
          <w:sz w:val="20"/>
          <w:szCs w:val="20"/>
          <w:u w:color="000000"/>
          <w:lang w:val="en-GB"/>
        </w:rPr>
        <w:t>.</w:t>
      </w:r>
      <w:r>
        <w:rPr>
          <w:color w:val="000000"/>
          <w:sz w:val="20"/>
          <w:szCs w:val="20"/>
          <w:u w:color="000000"/>
          <w:lang w:val="en-GB"/>
        </w:rPr>
        <w:tab/>
      </w:r>
      <w:r w:rsidR="00652595" w:rsidRPr="00040FB6">
        <w:rPr>
          <w:color w:val="000000"/>
          <w:sz w:val="20"/>
          <w:szCs w:val="20"/>
          <w:u w:color="000000"/>
          <w:lang w:val="en-GB"/>
        </w:rPr>
        <w:t xml:space="preserve">UNDP will </w:t>
      </w:r>
      <w:r w:rsidR="00901109" w:rsidRPr="00040FB6">
        <w:rPr>
          <w:color w:val="000000"/>
          <w:sz w:val="20"/>
          <w:szCs w:val="20"/>
          <w:u w:color="000000"/>
          <w:lang w:val="en-GB"/>
        </w:rPr>
        <w:t xml:space="preserve">support </w:t>
      </w:r>
      <w:r w:rsidR="00652595" w:rsidRPr="00040FB6">
        <w:rPr>
          <w:color w:val="000000"/>
          <w:sz w:val="20"/>
          <w:szCs w:val="20"/>
          <w:u w:color="000000"/>
          <w:lang w:val="en-GB"/>
        </w:rPr>
        <w:t xml:space="preserve">legal and law enforcement institutions at the national level </w:t>
      </w:r>
      <w:r w:rsidR="00901109" w:rsidRPr="00040FB6">
        <w:rPr>
          <w:color w:val="000000"/>
          <w:sz w:val="20"/>
          <w:szCs w:val="20"/>
          <w:u w:color="000000"/>
          <w:lang w:val="en-GB"/>
        </w:rPr>
        <w:t xml:space="preserve">in </w:t>
      </w:r>
      <w:r w:rsidR="00652595" w:rsidRPr="00040FB6">
        <w:rPr>
          <w:color w:val="000000"/>
          <w:sz w:val="20"/>
          <w:szCs w:val="20"/>
          <w:u w:color="000000"/>
          <w:lang w:val="en-GB"/>
        </w:rPr>
        <w:t>becom</w:t>
      </w:r>
      <w:r w:rsidR="00901109" w:rsidRPr="00040FB6">
        <w:rPr>
          <w:color w:val="000000"/>
          <w:sz w:val="20"/>
          <w:szCs w:val="20"/>
          <w:u w:color="000000"/>
          <w:lang w:val="en-GB"/>
        </w:rPr>
        <w:t>ing</w:t>
      </w:r>
      <w:r w:rsidR="00652595" w:rsidRPr="00040FB6">
        <w:rPr>
          <w:color w:val="000000"/>
          <w:sz w:val="20"/>
          <w:szCs w:val="20"/>
          <w:u w:color="000000"/>
          <w:lang w:val="en-GB"/>
        </w:rPr>
        <w:t xml:space="preserve"> more transparent and accountable</w:t>
      </w:r>
      <w:r w:rsidR="00E718B8">
        <w:rPr>
          <w:color w:val="000000"/>
          <w:sz w:val="20"/>
          <w:szCs w:val="20"/>
          <w:u w:color="000000"/>
          <w:lang w:val="en-GB"/>
        </w:rPr>
        <w:t xml:space="preserve">, including </w:t>
      </w:r>
      <w:r w:rsidR="00652595" w:rsidRPr="00040FB6">
        <w:rPr>
          <w:color w:val="000000"/>
          <w:sz w:val="20"/>
          <w:szCs w:val="20"/>
          <w:u w:color="000000"/>
          <w:lang w:val="en-GB"/>
        </w:rPr>
        <w:t>implement</w:t>
      </w:r>
      <w:r w:rsidR="00290095" w:rsidRPr="00040FB6">
        <w:rPr>
          <w:color w:val="000000"/>
          <w:sz w:val="20"/>
          <w:szCs w:val="20"/>
          <w:u w:color="000000"/>
          <w:lang w:val="en-GB"/>
        </w:rPr>
        <w:t>ing</w:t>
      </w:r>
      <w:r w:rsidR="00652595" w:rsidRPr="00040FB6">
        <w:rPr>
          <w:color w:val="000000"/>
          <w:sz w:val="20"/>
          <w:szCs w:val="20"/>
          <w:u w:color="000000"/>
          <w:lang w:val="en-GB"/>
        </w:rPr>
        <w:t xml:space="preserve"> the </w:t>
      </w:r>
      <w:r w:rsidR="00290095" w:rsidRPr="00040FB6">
        <w:rPr>
          <w:color w:val="000000"/>
          <w:sz w:val="20"/>
          <w:szCs w:val="20"/>
          <w:u w:color="000000"/>
          <w:lang w:val="en-GB"/>
        </w:rPr>
        <w:t>n</w:t>
      </w:r>
      <w:r w:rsidR="00652595" w:rsidRPr="00040FB6">
        <w:rPr>
          <w:color w:val="000000"/>
          <w:sz w:val="20"/>
          <w:szCs w:val="20"/>
          <w:u w:color="000000"/>
          <w:lang w:val="en-GB"/>
        </w:rPr>
        <w:t xml:space="preserve">ational </w:t>
      </w:r>
      <w:r w:rsidR="00290095" w:rsidRPr="00040FB6">
        <w:rPr>
          <w:color w:val="000000"/>
          <w:sz w:val="20"/>
          <w:szCs w:val="20"/>
          <w:u w:color="000000"/>
          <w:lang w:val="en-GB"/>
        </w:rPr>
        <w:t>s</w:t>
      </w:r>
      <w:r w:rsidR="00652595" w:rsidRPr="00040FB6">
        <w:rPr>
          <w:color w:val="000000"/>
          <w:sz w:val="20"/>
          <w:szCs w:val="20"/>
          <w:u w:color="000000"/>
          <w:lang w:val="en-GB"/>
        </w:rPr>
        <w:t xml:space="preserve">ecurity </w:t>
      </w:r>
      <w:r w:rsidR="00290095" w:rsidRPr="00040FB6">
        <w:rPr>
          <w:color w:val="000000"/>
          <w:sz w:val="20"/>
          <w:szCs w:val="20"/>
          <w:u w:color="000000"/>
          <w:lang w:val="en-GB"/>
        </w:rPr>
        <w:t>s</w:t>
      </w:r>
      <w:r w:rsidR="00652595" w:rsidRPr="00040FB6">
        <w:rPr>
          <w:color w:val="000000"/>
          <w:sz w:val="20"/>
          <w:szCs w:val="20"/>
          <w:u w:color="000000"/>
          <w:lang w:val="en-GB"/>
        </w:rPr>
        <w:t xml:space="preserve">trategy developed in the previous </w:t>
      </w:r>
      <w:r w:rsidR="00290095" w:rsidRPr="00040FB6">
        <w:rPr>
          <w:color w:val="000000"/>
          <w:sz w:val="20"/>
          <w:szCs w:val="20"/>
          <w:u w:color="000000"/>
          <w:lang w:val="en-GB"/>
        </w:rPr>
        <w:t>country program</w:t>
      </w:r>
      <w:r w:rsidR="00901109" w:rsidRPr="00040FB6">
        <w:rPr>
          <w:color w:val="000000"/>
          <w:sz w:val="20"/>
          <w:szCs w:val="20"/>
          <w:u w:color="000000"/>
          <w:lang w:val="en-GB"/>
        </w:rPr>
        <w:t>m</w:t>
      </w:r>
      <w:r w:rsidR="00290095" w:rsidRPr="00040FB6">
        <w:rPr>
          <w:color w:val="000000"/>
          <w:sz w:val="20"/>
          <w:szCs w:val="20"/>
          <w:u w:color="000000"/>
          <w:lang w:val="en-GB"/>
        </w:rPr>
        <w:t xml:space="preserve">e </w:t>
      </w:r>
      <w:r w:rsidR="00652595" w:rsidRPr="00040FB6">
        <w:rPr>
          <w:color w:val="000000"/>
          <w:sz w:val="20"/>
          <w:szCs w:val="20"/>
          <w:u w:color="000000"/>
          <w:lang w:val="en-GB"/>
        </w:rPr>
        <w:t xml:space="preserve">cycle. </w:t>
      </w:r>
      <w:r w:rsidR="00730EEF">
        <w:rPr>
          <w:color w:val="000000"/>
          <w:sz w:val="20"/>
          <w:szCs w:val="20"/>
          <w:u w:color="000000"/>
          <w:lang w:val="en-GB"/>
        </w:rPr>
        <w:t>S</w:t>
      </w:r>
      <w:r w:rsidR="00652595" w:rsidRPr="00040FB6">
        <w:rPr>
          <w:color w:val="000000"/>
          <w:sz w:val="20"/>
          <w:szCs w:val="20"/>
          <w:u w:color="000000"/>
          <w:lang w:val="en-GB"/>
        </w:rPr>
        <w:t xml:space="preserve">upport </w:t>
      </w:r>
      <w:r w:rsidR="00901109" w:rsidRPr="00040FB6">
        <w:rPr>
          <w:color w:val="000000"/>
          <w:sz w:val="20"/>
          <w:szCs w:val="20"/>
          <w:u w:color="000000"/>
          <w:lang w:val="en-GB"/>
        </w:rPr>
        <w:t>will include</w:t>
      </w:r>
      <w:r w:rsidR="00652595" w:rsidRPr="00040FB6">
        <w:rPr>
          <w:color w:val="000000"/>
          <w:sz w:val="20"/>
          <w:szCs w:val="20"/>
          <w:u w:color="000000"/>
          <w:lang w:val="en-GB"/>
        </w:rPr>
        <w:t xml:space="preserve"> developing an action plan for reform of the security sector</w:t>
      </w:r>
      <w:r w:rsidR="00901109" w:rsidRPr="00040FB6">
        <w:rPr>
          <w:color w:val="000000"/>
          <w:sz w:val="20"/>
          <w:szCs w:val="20"/>
          <w:u w:color="000000"/>
          <w:lang w:val="en-GB"/>
        </w:rPr>
        <w:t>,</w:t>
      </w:r>
      <w:r w:rsidR="00652595" w:rsidRPr="00040FB6">
        <w:rPr>
          <w:color w:val="000000"/>
          <w:sz w:val="20"/>
          <w:szCs w:val="20"/>
          <w:u w:color="000000"/>
          <w:lang w:val="en-GB"/>
        </w:rPr>
        <w:t xml:space="preserve"> and strengthening democratic oversight by raising the capacity of the Security and </w:t>
      </w:r>
      <w:r w:rsidR="00440082" w:rsidRPr="00040FB6">
        <w:rPr>
          <w:color w:val="000000"/>
          <w:sz w:val="20"/>
          <w:szCs w:val="20"/>
          <w:u w:color="000000"/>
          <w:lang w:val="en-GB"/>
        </w:rPr>
        <w:t>Defence</w:t>
      </w:r>
      <w:r w:rsidR="00652595" w:rsidRPr="00040FB6">
        <w:rPr>
          <w:color w:val="000000"/>
          <w:sz w:val="20"/>
          <w:szCs w:val="20"/>
          <w:u w:color="000000"/>
          <w:lang w:val="en-GB"/>
        </w:rPr>
        <w:t xml:space="preserve"> Committee of the Council of Representatives. </w:t>
      </w:r>
      <w:r w:rsidR="00730EEF">
        <w:rPr>
          <w:sz w:val="20"/>
          <w:szCs w:val="20"/>
          <w:u w:color="000000"/>
          <w:lang w:val="en-GB"/>
        </w:rPr>
        <w:t>A</w:t>
      </w:r>
      <w:r w:rsidR="00DE175A" w:rsidRPr="00040FB6">
        <w:rPr>
          <w:sz w:val="20"/>
          <w:szCs w:val="20"/>
          <w:u w:color="000000"/>
          <w:lang w:val="en-GB"/>
        </w:rPr>
        <w:t xml:space="preserve">ctivities will continue </w:t>
      </w:r>
      <w:r w:rsidR="007B06F1" w:rsidRPr="00040FB6">
        <w:rPr>
          <w:sz w:val="20"/>
          <w:szCs w:val="20"/>
          <w:u w:color="000000"/>
          <w:lang w:val="en-GB"/>
        </w:rPr>
        <w:t xml:space="preserve">to </w:t>
      </w:r>
      <w:r w:rsidR="00652595" w:rsidRPr="00040FB6">
        <w:rPr>
          <w:sz w:val="20"/>
          <w:szCs w:val="20"/>
          <w:u w:color="000000"/>
          <w:lang w:val="en-GB"/>
        </w:rPr>
        <w:t xml:space="preserve">support the Parliament, with the assistance of local </w:t>
      </w:r>
      <w:r w:rsidR="00290095" w:rsidRPr="00040FB6">
        <w:rPr>
          <w:sz w:val="20"/>
          <w:szCs w:val="20"/>
          <w:u w:color="000000"/>
          <w:lang w:val="en-GB"/>
        </w:rPr>
        <w:t>civil society organizations</w:t>
      </w:r>
      <w:r w:rsidR="00652595" w:rsidRPr="00040FB6">
        <w:rPr>
          <w:sz w:val="20"/>
          <w:szCs w:val="20"/>
          <w:u w:color="000000"/>
          <w:lang w:val="en-GB"/>
        </w:rPr>
        <w:t xml:space="preserve">, </w:t>
      </w:r>
      <w:r w:rsidR="007B06F1" w:rsidRPr="00040FB6">
        <w:rPr>
          <w:sz w:val="20"/>
          <w:szCs w:val="20"/>
          <w:u w:color="000000"/>
          <w:lang w:val="en-GB"/>
        </w:rPr>
        <w:t>in</w:t>
      </w:r>
      <w:r w:rsidR="00652595" w:rsidRPr="00040FB6">
        <w:rPr>
          <w:sz w:val="20"/>
          <w:szCs w:val="20"/>
          <w:u w:color="000000"/>
          <w:lang w:val="en-GB"/>
        </w:rPr>
        <w:t xml:space="preserve"> promot</w:t>
      </w:r>
      <w:r w:rsidR="007B06F1" w:rsidRPr="00040FB6">
        <w:rPr>
          <w:sz w:val="20"/>
          <w:szCs w:val="20"/>
          <w:u w:color="000000"/>
          <w:lang w:val="en-GB"/>
        </w:rPr>
        <w:t>ing</w:t>
      </w:r>
      <w:r w:rsidR="00652595" w:rsidRPr="00040FB6">
        <w:rPr>
          <w:sz w:val="20"/>
          <w:szCs w:val="20"/>
          <w:u w:color="000000"/>
          <w:lang w:val="en-GB"/>
        </w:rPr>
        <w:t xml:space="preserve"> inclusive legislative processes</w:t>
      </w:r>
      <w:r w:rsidR="00901109" w:rsidRPr="00040FB6">
        <w:rPr>
          <w:sz w:val="20"/>
          <w:szCs w:val="20"/>
          <w:u w:color="000000"/>
          <w:lang w:val="en-GB"/>
        </w:rPr>
        <w:t>,</w:t>
      </w:r>
      <w:r w:rsidR="00652595" w:rsidRPr="00040FB6">
        <w:rPr>
          <w:sz w:val="20"/>
          <w:szCs w:val="20"/>
          <w:u w:color="000000"/>
          <w:lang w:val="en-GB"/>
        </w:rPr>
        <w:t xml:space="preserve"> encouraging political reconciliation</w:t>
      </w:r>
      <w:r w:rsidR="007B06F1" w:rsidRPr="00040FB6">
        <w:rPr>
          <w:sz w:val="20"/>
          <w:szCs w:val="20"/>
          <w:u w:color="000000"/>
          <w:lang w:val="en-GB"/>
        </w:rPr>
        <w:t xml:space="preserve"> and </w:t>
      </w:r>
      <w:r w:rsidR="00652595" w:rsidRPr="00040FB6">
        <w:rPr>
          <w:sz w:val="20"/>
          <w:szCs w:val="20"/>
          <w:u w:color="000000"/>
          <w:lang w:val="en-GB"/>
        </w:rPr>
        <w:t xml:space="preserve">transitional </w:t>
      </w:r>
      <w:r w:rsidR="00652595" w:rsidRPr="00040FB6">
        <w:rPr>
          <w:sz w:val="20"/>
          <w:szCs w:val="20"/>
          <w:u w:color="000000"/>
          <w:lang w:val="en-GB"/>
        </w:rPr>
        <w:lastRenderedPageBreak/>
        <w:t xml:space="preserve">justice. In partnership with the </w:t>
      </w:r>
      <w:r w:rsidR="007B06F1" w:rsidRPr="00040FB6">
        <w:rPr>
          <w:sz w:val="20"/>
          <w:szCs w:val="20"/>
          <w:u w:color="000000"/>
          <w:lang w:val="en-GB"/>
        </w:rPr>
        <w:t xml:space="preserve">Office of the United Nations High Commissioner for Human Rights </w:t>
      </w:r>
      <w:r w:rsidR="00DE175A" w:rsidRPr="00040FB6">
        <w:rPr>
          <w:sz w:val="20"/>
          <w:szCs w:val="20"/>
          <w:u w:color="000000"/>
          <w:lang w:val="en-GB"/>
        </w:rPr>
        <w:t>and UNAMI</w:t>
      </w:r>
      <w:r w:rsidR="00652595" w:rsidRPr="00040FB6">
        <w:rPr>
          <w:sz w:val="20"/>
          <w:szCs w:val="20"/>
          <w:u w:color="000000"/>
          <w:lang w:val="en-GB"/>
        </w:rPr>
        <w:t>, UNDP will work on initiatives for judicial and criminal justice reform, including by developing</w:t>
      </w:r>
      <w:r w:rsidR="00652595" w:rsidRPr="00040FB6">
        <w:rPr>
          <w:color w:val="000000"/>
          <w:sz w:val="20"/>
          <w:szCs w:val="20"/>
          <w:u w:color="000000"/>
          <w:lang w:val="en-GB"/>
        </w:rPr>
        <w:t xml:space="preserve"> curricula and criteria for the recruitment and training of judges, prosecutors and police. </w:t>
      </w:r>
    </w:p>
    <w:p w:rsidR="00652595" w:rsidRPr="00040FB6" w:rsidRDefault="001E4796" w:rsidP="001E47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jc w:val="both"/>
        <w:rPr>
          <w:color w:val="000000"/>
          <w:sz w:val="20"/>
          <w:szCs w:val="20"/>
          <w:u w:color="000000"/>
          <w:lang w:val="en-GB"/>
        </w:rPr>
      </w:pPr>
      <w:r>
        <w:rPr>
          <w:color w:val="000000"/>
          <w:sz w:val="20"/>
          <w:szCs w:val="20"/>
          <w:u w:color="000000"/>
          <w:lang w:val="en-GB"/>
        </w:rPr>
        <w:t>1</w:t>
      </w:r>
      <w:r w:rsidR="00EE28C9">
        <w:rPr>
          <w:color w:val="000000"/>
          <w:sz w:val="20"/>
          <w:szCs w:val="20"/>
          <w:u w:color="000000"/>
          <w:lang w:val="en-GB"/>
        </w:rPr>
        <w:t>7</w:t>
      </w:r>
      <w:r>
        <w:rPr>
          <w:color w:val="000000"/>
          <w:sz w:val="20"/>
          <w:szCs w:val="20"/>
          <w:u w:color="000000"/>
          <w:lang w:val="en-GB"/>
        </w:rPr>
        <w:t>.</w:t>
      </w:r>
      <w:r>
        <w:rPr>
          <w:color w:val="000000"/>
          <w:sz w:val="20"/>
          <w:szCs w:val="20"/>
          <w:u w:color="000000"/>
          <w:lang w:val="en-GB"/>
        </w:rPr>
        <w:tab/>
      </w:r>
      <w:r w:rsidR="007B06F1" w:rsidRPr="00040FB6">
        <w:rPr>
          <w:color w:val="000000"/>
          <w:sz w:val="20"/>
          <w:szCs w:val="20"/>
          <w:u w:color="000000"/>
          <w:lang w:val="en-GB"/>
        </w:rPr>
        <w:t>T</w:t>
      </w:r>
      <w:r w:rsidR="00652595" w:rsidRPr="00040FB6">
        <w:rPr>
          <w:color w:val="000000"/>
          <w:sz w:val="20"/>
          <w:szCs w:val="20"/>
          <w:u w:color="000000"/>
          <w:lang w:val="en-GB"/>
        </w:rPr>
        <w:t xml:space="preserve">he Prime Minister has </w:t>
      </w:r>
      <w:r w:rsidR="00901109" w:rsidRPr="00040FB6">
        <w:rPr>
          <w:color w:val="000000"/>
          <w:sz w:val="20"/>
          <w:szCs w:val="20"/>
          <w:u w:color="000000"/>
          <w:lang w:val="en-GB"/>
        </w:rPr>
        <w:t xml:space="preserve">requested that </w:t>
      </w:r>
      <w:r w:rsidR="00652595" w:rsidRPr="00040FB6">
        <w:rPr>
          <w:color w:val="000000"/>
          <w:sz w:val="20"/>
          <w:szCs w:val="20"/>
          <w:u w:color="000000"/>
          <w:lang w:val="en-GB"/>
        </w:rPr>
        <w:t>UNDP provide technical assistance in implement</w:t>
      </w:r>
      <w:r w:rsidR="007B06F1" w:rsidRPr="00040FB6">
        <w:rPr>
          <w:color w:val="000000"/>
          <w:sz w:val="20"/>
          <w:szCs w:val="20"/>
          <w:u w:color="000000"/>
          <w:lang w:val="en-GB"/>
        </w:rPr>
        <w:t>ing</w:t>
      </w:r>
      <w:r w:rsidR="00652595" w:rsidRPr="00040FB6">
        <w:rPr>
          <w:color w:val="000000"/>
          <w:sz w:val="20"/>
          <w:szCs w:val="20"/>
          <w:u w:color="000000"/>
          <w:lang w:val="en-GB"/>
        </w:rPr>
        <w:t xml:space="preserve"> the national anti-corruption agenda. </w:t>
      </w:r>
      <w:r w:rsidR="00DE175A" w:rsidRPr="00040FB6">
        <w:rPr>
          <w:color w:val="000000"/>
          <w:sz w:val="20"/>
          <w:szCs w:val="20"/>
          <w:u w:color="000000"/>
          <w:lang w:val="en-GB"/>
        </w:rPr>
        <w:t xml:space="preserve">Accordingly, </w:t>
      </w:r>
      <w:r w:rsidR="00652595" w:rsidRPr="00040FB6">
        <w:rPr>
          <w:color w:val="000000"/>
          <w:sz w:val="20"/>
          <w:szCs w:val="20"/>
          <w:u w:color="000000"/>
          <w:lang w:val="en-GB"/>
        </w:rPr>
        <w:t>UNDP will</w:t>
      </w:r>
      <w:r w:rsidR="00DE175A" w:rsidRPr="00040FB6">
        <w:rPr>
          <w:color w:val="000000"/>
          <w:sz w:val="20"/>
          <w:szCs w:val="20"/>
          <w:u w:color="000000"/>
          <w:lang w:val="en-GB"/>
        </w:rPr>
        <w:t xml:space="preserve"> scale up</w:t>
      </w:r>
      <w:r w:rsidR="00652595" w:rsidRPr="00040FB6">
        <w:rPr>
          <w:color w:val="000000"/>
          <w:sz w:val="20"/>
          <w:szCs w:val="20"/>
          <w:u w:color="000000"/>
          <w:lang w:val="en-GB"/>
        </w:rPr>
        <w:t xml:space="preserve"> </w:t>
      </w:r>
      <w:r w:rsidR="00DE175A" w:rsidRPr="00040FB6">
        <w:rPr>
          <w:color w:val="000000"/>
          <w:sz w:val="20"/>
          <w:szCs w:val="20"/>
          <w:u w:color="000000"/>
          <w:lang w:val="en-GB"/>
        </w:rPr>
        <w:t xml:space="preserve">its </w:t>
      </w:r>
      <w:r w:rsidR="00652595" w:rsidRPr="00040FB6">
        <w:rPr>
          <w:color w:val="000000"/>
          <w:sz w:val="20"/>
          <w:szCs w:val="20"/>
          <w:u w:color="000000"/>
          <w:lang w:val="en-GB"/>
        </w:rPr>
        <w:t>interventions rel</w:t>
      </w:r>
      <w:r w:rsidR="00DE175A" w:rsidRPr="00040FB6">
        <w:rPr>
          <w:color w:val="000000"/>
          <w:sz w:val="20"/>
          <w:szCs w:val="20"/>
          <w:u w:color="000000"/>
          <w:lang w:val="en-GB"/>
        </w:rPr>
        <w:t>ated to anti-corruption.</w:t>
      </w:r>
      <w:r w:rsidR="00652595" w:rsidRPr="00040FB6">
        <w:rPr>
          <w:color w:val="000000"/>
          <w:sz w:val="20"/>
          <w:szCs w:val="20"/>
          <w:u w:color="000000"/>
          <w:lang w:val="en-GB"/>
        </w:rPr>
        <w:t xml:space="preserve"> UNDP will also continue to </w:t>
      </w:r>
      <w:r w:rsidR="00DE175A" w:rsidRPr="00040FB6">
        <w:rPr>
          <w:color w:val="000000"/>
          <w:sz w:val="20"/>
          <w:szCs w:val="20"/>
          <w:u w:color="000000"/>
          <w:lang w:val="en-GB"/>
        </w:rPr>
        <w:t>support</w:t>
      </w:r>
      <w:r w:rsidR="00652595" w:rsidRPr="00040FB6">
        <w:rPr>
          <w:color w:val="000000"/>
          <w:sz w:val="20"/>
          <w:szCs w:val="20"/>
          <w:u w:color="000000"/>
          <w:lang w:val="en-GB"/>
        </w:rPr>
        <w:t xml:space="preserve"> </w:t>
      </w:r>
      <w:r w:rsidR="007B06F1" w:rsidRPr="00040FB6">
        <w:rPr>
          <w:color w:val="000000"/>
          <w:sz w:val="20"/>
          <w:szCs w:val="20"/>
          <w:u w:color="000000"/>
          <w:lang w:val="en-GB"/>
        </w:rPr>
        <w:t>the offices of i</w:t>
      </w:r>
      <w:r w:rsidR="00652595" w:rsidRPr="00040FB6">
        <w:rPr>
          <w:color w:val="000000"/>
          <w:sz w:val="20"/>
          <w:szCs w:val="20"/>
          <w:u w:color="000000"/>
          <w:lang w:val="en-GB"/>
        </w:rPr>
        <w:t>nsp</w:t>
      </w:r>
      <w:r w:rsidR="00DE175A" w:rsidRPr="00040FB6">
        <w:rPr>
          <w:color w:val="000000"/>
          <w:sz w:val="20"/>
          <w:szCs w:val="20"/>
          <w:u w:color="000000"/>
          <w:lang w:val="en-GB"/>
        </w:rPr>
        <w:t>ector</w:t>
      </w:r>
      <w:r w:rsidR="00730EEF">
        <w:rPr>
          <w:color w:val="000000"/>
          <w:sz w:val="20"/>
          <w:szCs w:val="20"/>
          <w:u w:color="000000"/>
          <w:lang w:val="en-GB"/>
        </w:rPr>
        <w:t>s</w:t>
      </w:r>
      <w:r w:rsidR="00DE175A" w:rsidRPr="00040FB6">
        <w:rPr>
          <w:color w:val="000000"/>
          <w:sz w:val="20"/>
          <w:szCs w:val="20"/>
          <w:u w:color="000000"/>
          <w:lang w:val="en-GB"/>
        </w:rPr>
        <w:t xml:space="preserve"> </w:t>
      </w:r>
      <w:r w:rsidR="007B06F1" w:rsidRPr="00040FB6">
        <w:rPr>
          <w:color w:val="000000"/>
          <w:sz w:val="20"/>
          <w:szCs w:val="20"/>
          <w:u w:color="000000"/>
          <w:lang w:val="en-GB"/>
        </w:rPr>
        <w:t>g</w:t>
      </w:r>
      <w:r w:rsidR="00DE175A" w:rsidRPr="00040FB6">
        <w:rPr>
          <w:color w:val="000000"/>
          <w:sz w:val="20"/>
          <w:szCs w:val="20"/>
          <w:u w:color="000000"/>
          <w:lang w:val="en-GB"/>
        </w:rPr>
        <w:t>eneral across Iraq</w:t>
      </w:r>
      <w:r w:rsidR="00652595" w:rsidRPr="00040FB6">
        <w:rPr>
          <w:color w:val="000000"/>
          <w:sz w:val="20"/>
          <w:szCs w:val="20"/>
          <w:u w:color="000000"/>
          <w:lang w:val="en-GB"/>
        </w:rPr>
        <w:t xml:space="preserve"> </w:t>
      </w:r>
      <w:r w:rsidR="00730EEF">
        <w:rPr>
          <w:color w:val="000000"/>
          <w:sz w:val="20"/>
          <w:szCs w:val="20"/>
          <w:u w:color="000000"/>
          <w:lang w:val="en-GB"/>
        </w:rPr>
        <w:t>in</w:t>
      </w:r>
      <w:r w:rsidR="00652595" w:rsidRPr="00040FB6">
        <w:rPr>
          <w:color w:val="000000"/>
          <w:sz w:val="20"/>
          <w:szCs w:val="20"/>
          <w:u w:color="000000"/>
          <w:lang w:val="en-GB"/>
        </w:rPr>
        <w:t xml:space="preserve"> perform</w:t>
      </w:r>
      <w:r w:rsidR="00730EEF">
        <w:rPr>
          <w:color w:val="000000"/>
          <w:sz w:val="20"/>
          <w:szCs w:val="20"/>
          <w:u w:color="000000"/>
          <w:lang w:val="en-GB"/>
        </w:rPr>
        <w:t>ing their</w:t>
      </w:r>
      <w:r w:rsidR="00652595" w:rsidRPr="00040FB6">
        <w:rPr>
          <w:color w:val="000000"/>
          <w:sz w:val="20"/>
          <w:szCs w:val="20"/>
          <w:u w:color="000000"/>
          <w:lang w:val="en-GB"/>
        </w:rPr>
        <w:t xml:space="preserve"> oversight </w:t>
      </w:r>
      <w:r w:rsidR="00DE175A" w:rsidRPr="00040FB6">
        <w:rPr>
          <w:color w:val="000000"/>
          <w:sz w:val="20"/>
          <w:szCs w:val="20"/>
          <w:u w:color="000000"/>
          <w:lang w:val="en-GB"/>
        </w:rPr>
        <w:t xml:space="preserve">and investigative </w:t>
      </w:r>
      <w:r w:rsidR="00652595" w:rsidRPr="00040FB6">
        <w:rPr>
          <w:color w:val="000000"/>
          <w:sz w:val="20"/>
          <w:szCs w:val="20"/>
          <w:u w:color="000000"/>
          <w:lang w:val="en-GB"/>
        </w:rPr>
        <w:t xml:space="preserve">functions. UNDP is developing procedures and training </w:t>
      </w:r>
      <w:r w:rsidR="00DE175A" w:rsidRPr="00040FB6">
        <w:rPr>
          <w:color w:val="000000"/>
          <w:sz w:val="20"/>
          <w:szCs w:val="20"/>
          <w:u w:color="000000"/>
          <w:lang w:val="en-GB"/>
        </w:rPr>
        <w:t xml:space="preserve">materials for </w:t>
      </w:r>
      <w:r w:rsidR="00652595" w:rsidRPr="00040FB6">
        <w:rPr>
          <w:color w:val="000000"/>
          <w:sz w:val="20"/>
          <w:szCs w:val="20"/>
          <w:u w:color="000000"/>
          <w:lang w:val="en-GB"/>
        </w:rPr>
        <w:t xml:space="preserve">selection panels for </w:t>
      </w:r>
      <w:r w:rsidR="007B06F1" w:rsidRPr="00040FB6">
        <w:rPr>
          <w:color w:val="000000"/>
          <w:sz w:val="20"/>
          <w:szCs w:val="20"/>
          <w:u w:color="000000"/>
          <w:lang w:val="en-GB"/>
        </w:rPr>
        <w:t xml:space="preserve">the </w:t>
      </w:r>
      <w:r w:rsidR="00652595" w:rsidRPr="00040FB6">
        <w:rPr>
          <w:color w:val="000000"/>
          <w:sz w:val="20"/>
          <w:szCs w:val="20"/>
          <w:u w:color="000000"/>
          <w:lang w:val="en-GB"/>
        </w:rPr>
        <w:t xml:space="preserve">merit-based recruitment of senior </w:t>
      </w:r>
      <w:r w:rsidR="007B06F1" w:rsidRPr="00040FB6">
        <w:rPr>
          <w:color w:val="000000"/>
          <w:sz w:val="20"/>
          <w:szCs w:val="20"/>
          <w:u w:color="000000"/>
          <w:lang w:val="en-GB"/>
        </w:rPr>
        <w:t>g</w:t>
      </w:r>
      <w:r w:rsidR="00652595" w:rsidRPr="00040FB6">
        <w:rPr>
          <w:color w:val="000000"/>
          <w:sz w:val="20"/>
          <w:szCs w:val="20"/>
          <w:u w:color="000000"/>
          <w:lang w:val="en-GB"/>
        </w:rPr>
        <w:t>overnment officials as a part of the Prime Minister’s reform package</w:t>
      </w:r>
      <w:r w:rsidR="00901109" w:rsidRPr="00040FB6">
        <w:rPr>
          <w:color w:val="000000"/>
          <w:sz w:val="20"/>
          <w:szCs w:val="20"/>
          <w:u w:color="000000"/>
          <w:lang w:val="en-GB"/>
        </w:rPr>
        <w:t>, 2015</w:t>
      </w:r>
      <w:r w:rsidR="00652595" w:rsidRPr="00040FB6">
        <w:rPr>
          <w:color w:val="000000"/>
          <w:sz w:val="20"/>
          <w:szCs w:val="20"/>
          <w:u w:color="000000"/>
          <w:lang w:val="en-GB"/>
        </w:rPr>
        <w:t xml:space="preserve">. </w:t>
      </w:r>
    </w:p>
    <w:p w:rsidR="00652595" w:rsidRPr="00040FB6" w:rsidRDefault="00652595" w:rsidP="009D5342">
      <w:pPr>
        <w:widowControl w:val="0"/>
        <w:tabs>
          <w:tab w:val="left" w:pos="567"/>
          <w:tab w:val="left" w:pos="1260"/>
        </w:tabs>
        <w:autoSpaceDE w:val="0"/>
        <w:autoSpaceDN w:val="0"/>
        <w:adjustRightInd w:val="0"/>
        <w:spacing w:after="120"/>
        <w:ind w:left="900" w:right="720"/>
        <w:jc w:val="both"/>
        <w:rPr>
          <w:b/>
          <w:i/>
          <w:sz w:val="20"/>
          <w:szCs w:val="20"/>
          <w:lang w:val="en-GB"/>
        </w:rPr>
      </w:pPr>
      <w:r w:rsidRPr="00040FB6">
        <w:rPr>
          <w:b/>
          <w:i/>
          <w:color w:val="000000"/>
          <w:sz w:val="20"/>
          <w:szCs w:val="20"/>
          <w:u w:color="000000"/>
          <w:lang w:val="en-GB"/>
        </w:rPr>
        <w:t xml:space="preserve">Effective </w:t>
      </w:r>
      <w:r w:rsidR="007B06F1" w:rsidRPr="00040FB6">
        <w:rPr>
          <w:b/>
          <w:i/>
          <w:color w:val="000000"/>
          <w:sz w:val="20"/>
          <w:szCs w:val="20"/>
          <w:u w:color="000000"/>
          <w:lang w:val="en-GB"/>
        </w:rPr>
        <w:t>d</w:t>
      </w:r>
      <w:r w:rsidRPr="00040FB6">
        <w:rPr>
          <w:b/>
          <w:i/>
          <w:color w:val="000000"/>
          <w:sz w:val="20"/>
          <w:szCs w:val="20"/>
          <w:u w:color="000000"/>
          <w:lang w:val="en-GB"/>
        </w:rPr>
        <w:t xml:space="preserve">evolution of </w:t>
      </w:r>
      <w:r w:rsidR="007B06F1" w:rsidRPr="00040FB6">
        <w:rPr>
          <w:b/>
          <w:i/>
          <w:color w:val="000000"/>
          <w:sz w:val="20"/>
          <w:szCs w:val="20"/>
          <w:u w:color="000000"/>
          <w:lang w:val="en-GB"/>
        </w:rPr>
        <w:t>a</w:t>
      </w:r>
      <w:r w:rsidRPr="00040FB6">
        <w:rPr>
          <w:b/>
          <w:i/>
          <w:color w:val="000000"/>
          <w:sz w:val="20"/>
          <w:szCs w:val="20"/>
          <w:u w:color="000000"/>
          <w:lang w:val="en-GB"/>
        </w:rPr>
        <w:t xml:space="preserve">dministrative and </w:t>
      </w:r>
      <w:r w:rsidR="007B06F1" w:rsidRPr="00040FB6">
        <w:rPr>
          <w:b/>
          <w:i/>
          <w:color w:val="000000"/>
          <w:sz w:val="20"/>
          <w:szCs w:val="20"/>
          <w:u w:color="000000"/>
          <w:lang w:val="en-GB"/>
        </w:rPr>
        <w:t>f</w:t>
      </w:r>
      <w:r w:rsidRPr="00040FB6">
        <w:rPr>
          <w:b/>
          <w:i/>
          <w:color w:val="000000"/>
          <w:sz w:val="20"/>
          <w:szCs w:val="20"/>
          <w:u w:color="000000"/>
          <w:lang w:val="en-GB"/>
        </w:rPr>
        <w:t xml:space="preserve">iscal </w:t>
      </w:r>
      <w:r w:rsidR="007B06F1" w:rsidRPr="00040FB6">
        <w:rPr>
          <w:b/>
          <w:i/>
          <w:color w:val="000000"/>
          <w:sz w:val="20"/>
          <w:szCs w:val="20"/>
          <w:u w:color="000000"/>
          <w:lang w:val="en-GB"/>
        </w:rPr>
        <w:t>p</w:t>
      </w:r>
      <w:r w:rsidRPr="00040FB6">
        <w:rPr>
          <w:b/>
          <w:i/>
          <w:color w:val="000000"/>
          <w:sz w:val="20"/>
          <w:szCs w:val="20"/>
          <w:u w:color="000000"/>
          <w:lang w:val="en-GB"/>
        </w:rPr>
        <w:t xml:space="preserve">owers </w:t>
      </w:r>
    </w:p>
    <w:p w:rsidR="00652595" w:rsidRPr="00040FB6" w:rsidRDefault="00730EEF" w:rsidP="00730E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jc w:val="both"/>
        <w:rPr>
          <w:color w:val="000000"/>
          <w:sz w:val="20"/>
          <w:szCs w:val="20"/>
          <w:u w:color="000000"/>
          <w:lang w:val="en-GB"/>
        </w:rPr>
      </w:pPr>
      <w:r>
        <w:rPr>
          <w:color w:val="000000"/>
          <w:sz w:val="20"/>
          <w:szCs w:val="20"/>
          <w:u w:color="000000"/>
          <w:lang w:val="en-GB"/>
        </w:rPr>
        <w:t>1</w:t>
      </w:r>
      <w:r w:rsidR="00EE28C9">
        <w:rPr>
          <w:color w:val="000000"/>
          <w:sz w:val="20"/>
          <w:szCs w:val="20"/>
          <w:u w:color="000000"/>
          <w:lang w:val="en-GB"/>
        </w:rPr>
        <w:t>8</w:t>
      </w:r>
      <w:r>
        <w:rPr>
          <w:color w:val="000000"/>
          <w:sz w:val="20"/>
          <w:szCs w:val="20"/>
          <w:u w:color="000000"/>
          <w:lang w:val="en-GB"/>
        </w:rPr>
        <w:t>.</w:t>
      </w:r>
      <w:r>
        <w:rPr>
          <w:color w:val="000000"/>
          <w:sz w:val="20"/>
          <w:szCs w:val="20"/>
          <w:u w:color="000000"/>
          <w:lang w:val="en-GB"/>
        </w:rPr>
        <w:tab/>
      </w:r>
      <w:r w:rsidR="00652595" w:rsidRPr="00040FB6">
        <w:rPr>
          <w:color w:val="000000"/>
          <w:sz w:val="20"/>
          <w:szCs w:val="20"/>
          <w:u w:color="000000"/>
          <w:lang w:val="en-GB"/>
        </w:rPr>
        <w:t xml:space="preserve">Underlying UNDP efforts to promote </w:t>
      </w:r>
      <w:r w:rsidR="007B06F1" w:rsidRPr="00040FB6">
        <w:rPr>
          <w:color w:val="000000"/>
          <w:sz w:val="20"/>
          <w:szCs w:val="20"/>
          <w:u w:color="000000"/>
          <w:lang w:val="en-GB"/>
        </w:rPr>
        <w:t xml:space="preserve">the </w:t>
      </w:r>
      <w:r w:rsidR="00652595" w:rsidRPr="00040FB6">
        <w:rPr>
          <w:color w:val="000000"/>
          <w:sz w:val="20"/>
          <w:szCs w:val="20"/>
          <w:u w:color="000000"/>
          <w:lang w:val="en-GB"/>
        </w:rPr>
        <w:t>effective devolution of administrative and fiscal powers are joint efforts</w:t>
      </w:r>
      <w:r w:rsidR="002D5F61">
        <w:rPr>
          <w:color w:val="000000"/>
          <w:sz w:val="20"/>
          <w:szCs w:val="20"/>
          <w:u w:color="000000"/>
          <w:lang w:val="en-GB"/>
        </w:rPr>
        <w:t>,</w:t>
      </w:r>
      <w:r w:rsidR="00652595" w:rsidRPr="00040FB6">
        <w:rPr>
          <w:color w:val="000000"/>
          <w:sz w:val="20"/>
          <w:szCs w:val="20"/>
          <w:u w:color="000000"/>
          <w:lang w:val="en-GB"/>
        </w:rPr>
        <w:t xml:space="preserve"> with UNAMI</w:t>
      </w:r>
      <w:r w:rsidR="002D5F61">
        <w:rPr>
          <w:color w:val="000000"/>
          <w:sz w:val="20"/>
          <w:szCs w:val="20"/>
          <w:u w:color="000000"/>
          <w:lang w:val="en-GB"/>
        </w:rPr>
        <w:t>,</w:t>
      </w:r>
      <w:r w:rsidR="00652595" w:rsidRPr="00040FB6">
        <w:rPr>
          <w:color w:val="000000"/>
          <w:sz w:val="20"/>
          <w:szCs w:val="20"/>
          <w:u w:color="000000"/>
          <w:lang w:val="en-GB"/>
        </w:rPr>
        <w:t xml:space="preserve"> to support implementation of the Provincial Powers Act (Law 21)</w:t>
      </w:r>
      <w:r w:rsidR="007B06F1" w:rsidRPr="00040FB6">
        <w:rPr>
          <w:color w:val="000000"/>
          <w:sz w:val="20"/>
          <w:szCs w:val="20"/>
          <w:u w:color="000000"/>
          <w:lang w:val="en-GB"/>
        </w:rPr>
        <w:t>,</w:t>
      </w:r>
      <w:r w:rsidR="00652595" w:rsidRPr="00040FB6">
        <w:rPr>
          <w:color w:val="000000"/>
          <w:sz w:val="20"/>
          <w:szCs w:val="20"/>
          <w:u w:color="000000"/>
          <w:lang w:val="en-GB"/>
        </w:rPr>
        <w:t xml:space="preserve"> which transfers </w:t>
      </w:r>
      <w:r w:rsidR="00901109" w:rsidRPr="00040FB6">
        <w:rPr>
          <w:color w:val="000000"/>
          <w:sz w:val="20"/>
          <w:szCs w:val="20"/>
          <w:u w:color="000000"/>
          <w:lang w:val="en-GB"/>
        </w:rPr>
        <w:t xml:space="preserve">the </w:t>
      </w:r>
      <w:r w:rsidR="00652595" w:rsidRPr="00040FB6">
        <w:rPr>
          <w:color w:val="000000"/>
          <w:sz w:val="20"/>
          <w:szCs w:val="20"/>
          <w:u w:color="000000"/>
          <w:lang w:val="en-GB"/>
        </w:rPr>
        <w:t>power</w:t>
      </w:r>
      <w:r w:rsidR="00BA12FA" w:rsidRPr="00040FB6">
        <w:rPr>
          <w:color w:val="000000"/>
          <w:sz w:val="20"/>
          <w:szCs w:val="20"/>
          <w:u w:color="000000"/>
          <w:lang w:val="en-GB"/>
        </w:rPr>
        <w:t xml:space="preserve">s of </w:t>
      </w:r>
      <w:r w:rsidR="007B06F1" w:rsidRPr="00040FB6">
        <w:rPr>
          <w:color w:val="000000"/>
          <w:sz w:val="20"/>
          <w:szCs w:val="20"/>
          <w:u w:color="000000"/>
          <w:lang w:val="en-GB"/>
        </w:rPr>
        <w:t>eight</w:t>
      </w:r>
      <w:r w:rsidR="00BA12FA" w:rsidRPr="00040FB6">
        <w:rPr>
          <w:color w:val="000000"/>
          <w:sz w:val="20"/>
          <w:szCs w:val="20"/>
          <w:u w:color="000000"/>
          <w:lang w:val="en-GB"/>
        </w:rPr>
        <w:t xml:space="preserve"> m</w:t>
      </w:r>
      <w:r w:rsidR="00652595" w:rsidRPr="00040FB6">
        <w:rPr>
          <w:color w:val="000000"/>
          <w:sz w:val="20"/>
          <w:szCs w:val="20"/>
          <w:u w:color="000000"/>
          <w:lang w:val="en-GB"/>
        </w:rPr>
        <w:t>inistries to the provincial level</w:t>
      </w:r>
      <w:r w:rsidR="007B06F1" w:rsidRPr="00040FB6">
        <w:rPr>
          <w:color w:val="000000"/>
          <w:sz w:val="20"/>
          <w:szCs w:val="20"/>
          <w:u w:color="000000"/>
          <w:lang w:val="en-GB"/>
        </w:rPr>
        <w:t xml:space="preserve"> and delegates</w:t>
      </w:r>
      <w:r w:rsidR="00652595" w:rsidRPr="00040FB6">
        <w:rPr>
          <w:color w:val="000000"/>
          <w:sz w:val="20"/>
          <w:szCs w:val="20"/>
          <w:u w:color="000000"/>
          <w:lang w:val="en-GB"/>
        </w:rPr>
        <w:t xml:space="preserve"> </w:t>
      </w:r>
      <w:r w:rsidR="002D5F61">
        <w:rPr>
          <w:color w:val="000000"/>
          <w:sz w:val="20"/>
          <w:szCs w:val="20"/>
          <w:u w:color="000000"/>
          <w:lang w:val="en-GB"/>
        </w:rPr>
        <w:t>certain</w:t>
      </w:r>
      <w:r w:rsidR="00652595" w:rsidRPr="00040FB6">
        <w:rPr>
          <w:color w:val="000000"/>
          <w:sz w:val="20"/>
          <w:szCs w:val="20"/>
          <w:u w:color="000000"/>
          <w:lang w:val="en-GB"/>
        </w:rPr>
        <w:t xml:space="preserve"> security powers to governors. </w:t>
      </w:r>
      <w:r w:rsidR="002D5F61">
        <w:rPr>
          <w:color w:val="000000"/>
          <w:sz w:val="20"/>
          <w:szCs w:val="20"/>
          <w:u w:color="000000"/>
          <w:lang w:val="en-GB"/>
        </w:rPr>
        <w:t>To eliminate</w:t>
      </w:r>
      <w:r w:rsidR="00652595" w:rsidRPr="00040FB6">
        <w:rPr>
          <w:color w:val="000000"/>
          <w:sz w:val="20"/>
          <w:szCs w:val="20"/>
          <w:u w:color="000000"/>
          <w:lang w:val="en-GB"/>
        </w:rPr>
        <w:t xml:space="preserve"> multiple </w:t>
      </w:r>
      <w:r w:rsidR="00BA12FA" w:rsidRPr="00040FB6">
        <w:rPr>
          <w:color w:val="000000"/>
          <w:sz w:val="20"/>
          <w:szCs w:val="20"/>
          <w:u w:color="000000"/>
          <w:lang w:val="en-GB"/>
        </w:rPr>
        <w:t xml:space="preserve">tiers of deprivation and </w:t>
      </w:r>
      <w:r w:rsidR="002D5F61">
        <w:rPr>
          <w:color w:val="000000"/>
          <w:sz w:val="20"/>
          <w:szCs w:val="20"/>
          <w:u w:color="000000"/>
          <w:lang w:val="en-GB"/>
        </w:rPr>
        <w:t>promote</w:t>
      </w:r>
      <w:r w:rsidR="00652595" w:rsidRPr="00040FB6">
        <w:rPr>
          <w:color w:val="000000"/>
          <w:sz w:val="20"/>
          <w:szCs w:val="20"/>
          <w:u w:color="000000"/>
          <w:lang w:val="en-GB"/>
        </w:rPr>
        <w:t xml:space="preserve"> equitable</w:t>
      </w:r>
      <w:r w:rsidR="00BA12FA" w:rsidRPr="00040FB6">
        <w:rPr>
          <w:color w:val="000000"/>
          <w:sz w:val="20"/>
          <w:szCs w:val="20"/>
          <w:u w:color="000000"/>
          <w:lang w:val="en-GB"/>
        </w:rPr>
        <w:t>, balanced service delivery</w:t>
      </w:r>
      <w:r w:rsidR="00652595" w:rsidRPr="00040FB6">
        <w:rPr>
          <w:color w:val="000000"/>
          <w:sz w:val="20"/>
          <w:szCs w:val="20"/>
          <w:u w:color="000000"/>
          <w:lang w:val="en-GB"/>
        </w:rPr>
        <w:t xml:space="preserve">, UNDP will </w:t>
      </w:r>
      <w:r w:rsidR="00BA12FA" w:rsidRPr="00040FB6">
        <w:rPr>
          <w:color w:val="000000"/>
          <w:sz w:val="20"/>
          <w:szCs w:val="20"/>
          <w:u w:color="000000"/>
          <w:lang w:val="en-GB"/>
        </w:rPr>
        <w:t xml:space="preserve">support </w:t>
      </w:r>
      <w:r w:rsidR="00652595" w:rsidRPr="00040FB6">
        <w:rPr>
          <w:color w:val="000000"/>
          <w:sz w:val="20"/>
          <w:szCs w:val="20"/>
          <w:u w:color="000000"/>
          <w:lang w:val="en-GB"/>
        </w:rPr>
        <w:t>the federal and pr</w:t>
      </w:r>
      <w:r w:rsidR="00BA12FA" w:rsidRPr="00040FB6">
        <w:rPr>
          <w:color w:val="000000"/>
          <w:sz w:val="20"/>
          <w:szCs w:val="20"/>
          <w:u w:color="000000"/>
          <w:lang w:val="en-GB"/>
        </w:rPr>
        <w:t xml:space="preserve">ovincial governments </w:t>
      </w:r>
      <w:r w:rsidR="00901109" w:rsidRPr="00040FB6">
        <w:rPr>
          <w:color w:val="000000"/>
          <w:sz w:val="20"/>
          <w:szCs w:val="20"/>
          <w:u w:color="000000"/>
          <w:lang w:val="en-GB"/>
        </w:rPr>
        <w:t>in</w:t>
      </w:r>
      <w:r w:rsidR="00BA12FA" w:rsidRPr="00040FB6">
        <w:rPr>
          <w:color w:val="000000"/>
          <w:sz w:val="20"/>
          <w:szCs w:val="20"/>
          <w:u w:color="000000"/>
          <w:lang w:val="en-GB"/>
        </w:rPr>
        <w:t xml:space="preserve"> reform</w:t>
      </w:r>
      <w:r w:rsidR="00901109" w:rsidRPr="00040FB6">
        <w:rPr>
          <w:color w:val="000000"/>
          <w:sz w:val="20"/>
          <w:szCs w:val="20"/>
          <w:u w:color="000000"/>
          <w:lang w:val="en-GB"/>
        </w:rPr>
        <w:t>ing</w:t>
      </w:r>
      <w:r w:rsidR="00BA12FA" w:rsidRPr="00040FB6">
        <w:rPr>
          <w:color w:val="000000"/>
          <w:sz w:val="20"/>
          <w:szCs w:val="20"/>
          <w:u w:color="000000"/>
          <w:lang w:val="en-GB"/>
        </w:rPr>
        <w:t xml:space="preserve"> </w:t>
      </w:r>
      <w:r w:rsidR="00652595" w:rsidRPr="00040FB6">
        <w:rPr>
          <w:color w:val="000000"/>
          <w:sz w:val="20"/>
          <w:szCs w:val="20"/>
          <w:u w:color="000000"/>
          <w:lang w:val="en-GB"/>
        </w:rPr>
        <w:t xml:space="preserve">financial management and budget execution. Effective budget execution at </w:t>
      </w:r>
      <w:r w:rsidR="00901109" w:rsidRPr="00040FB6">
        <w:rPr>
          <w:color w:val="000000"/>
          <w:sz w:val="20"/>
          <w:szCs w:val="20"/>
          <w:u w:color="000000"/>
          <w:lang w:val="en-GB"/>
        </w:rPr>
        <w:t xml:space="preserve">the </w:t>
      </w:r>
      <w:r w:rsidR="00652595" w:rsidRPr="00040FB6">
        <w:rPr>
          <w:color w:val="000000"/>
          <w:sz w:val="20"/>
          <w:szCs w:val="20"/>
          <w:u w:color="000000"/>
          <w:lang w:val="en-GB"/>
        </w:rPr>
        <w:t>provincial level is seen as a</w:t>
      </w:r>
      <w:r w:rsidR="00BB7B30">
        <w:rPr>
          <w:color w:val="000000"/>
          <w:sz w:val="20"/>
          <w:szCs w:val="20"/>
          <w:u w:color="000000"/>
          <w:lang w:val="en-GB"/>
        </w:rPr>
        <w:t>n</w:t>
      </w:r>
      <w:r w:rsidR="00652595" w:rsidRPr="00040FB6">
        <w:rPr>
          <w:color w:val="000000"/>
          <w:sz w:val="20"/>
          <w:szCs w:val="20"/>
          <w:u w:color="000000"/>
          <w:lang w:val="en-GB"/>
        </w:rPr>
        <w:t xml:space="preserve"> important measure </w:t>
      </w:r>
      <w:r w:rsidR="00901109" w:rsidRPr="00040FB6">
        <w:rPr>
          <w:color w:val="000000"/>
          <w:sz w:val="20"/>
          <w:szCs w:val="20"/>
          <w:u w:color="000000"/>
          <w:lang w:val="en-GB"/>
        </w:rPr>
        <w:t>in</w:t>
      </w:r>
      <w:r w:rsidR="00652595" w:rsidRPr="00040FB6">
        <w:rPr>
          <w:color w:val="000000"/>
          <w:sz w:val="20"/>
          <w:szCs w:val="20"/>
          <w:u w:color="000000"/>
          <w:lang w:val="en-GB"/>
        </w:rPr>
        <w:t xml:space="preserve"> </w:t>
      </w:r>
      <w:r w:rsidR="007B06F1" w:rsidRPr="00040FB6">
        <w:rPr>
          <w:color w:val="000000"/>
          <w:sz w:val="20"/>
          <w:szCs w:val="20"/>
          <w:u w:color="000000"/>
          <w:lang w:val="en-GB"/>
        </w:rPr>
        <w:t>ensur</w:t>
      </w:r>
      <w:r w:rsidR="00901109" w:rsidRPr="00040FB6">
        <w:rPr>
          <w:color w:val="000000"/>
          <w:sz w:val="20"/>
          <w:szCs w:val="20"/>
          <w:u w:color="000000"/>
          <w:lang w:val="en-GB"/>
        </w:rPr>
        <w:t>ing</w:t>
      </w:r>
      <w:r w:rsidR="007B06F1" w:rsidRPr="00040FB6">
        <w:rPr>
          <w:color w:val="000000"/>
          <w:sz w:val="20"/>
          <w:szCs w:val="20"/>
          <w:u w:color="000000"/>
          <w:lang w:val="en-GB"/>
        </w:rPr>
        <w:t xml:space="preserve"> </w:t>
      </w:r>
      <w:r w:rsidR="00652595" w:rsidRPr="00040FB6">
        <w:rPr>
          <w:color w:val="000000"/>
          <w:sz w:val="20"/>
          <w:szCs w:val="20"/>
          <w:u w:color="000000"/>
          <w:lang w:val="en-GB"/>
        </w:rPr>
        <w:t>e</w:t>
      </w:r>
      <w:r w:rsidR="00BA12FA" w:rsidRPr="00040FB6">
        <w:rPr>
          <w:color w:val="000000"/>
          <w:sz w:val="20"/>
          <w:szCs w:val="20"/>
          <w:u w:color="000000"/>
          <w:lang w:val="en-GB"/>
        </w:rPr>
        <w:t>conomic and social inclusion</w:t>
      </w:r>
      <w:r w:rsidR="00652595" w:rsidRPr="00040FB6">
        <w:rPr>
          <w:color w:val="000000"/>
          <w:sz w:val="20"/>
          <w:szCs w:val="20"/>
          <w:u w:color="000000"/>
          <w:lang w:val="en-GB"/>
        </w:rPr>
        <w:t xml:space="preserve">. UNDP has a strong track record </w:t>
      </w:r>
      <w:r w:rsidR="00901109" w:rsidRPr="00040FB6">
        <w:rPr>
          <w:color w:val="000000"/>
          <w:sz w:val="20"/>
          <w:szCs w:val="20"/>
          <w:u w:color="000000"/>
          <w:lang w:val="en-GB"/>
        </w:rPr>
        <w:t xml:space="preserve">of </w:t>
      </w:r>
      <w:r w:rsidR="00652595" w:rsidRPr="00040FB6">
        <w:rPr>
          <w:color w:val="000000"/>
          <w:sz w:val="20"/>
          <w:szCs w:val="20"/>
          <w:u w:color="000000"/>
          <w:lang w:val="en-GB"/>
        </w:rPr>
        <w:t xml:space="preserve">supporting </w:t>
      </w:r>
      <w:r w:rsidR="00901109" w:rsidRPr="00040FB6">
        <w:rPr>
          <w:color w:val="000000"/>
          <w:sz w:val="20"/>
          <w:szCs w:val="20"/>
          <w:u w:color="000000"/>
          <w:lang w:val="en-GB"/>
        </w:rPr>
        <w:t xml:space="preserve">such </w:t>
      </w:r>
      <w:r w:rsidR="00652595" w:rsidRPr="00040FB6">
        <w:rPr>
          <w:color w:val="000000"/>
          <w:sz w:val="20"/>
          <w:szCs w:val="20"/>
          <w:u w:color="000000"/>
          <w:lang w:val="en-GB"/>
        </w:rPr>
        <w:t>activities through the I</w:t>
      </w:r>
      <w:r w:rsidR="00BA12FA" w:rsidRPr="00040FB6">
        <w:rPr>
          <w:color w:val="000000"/>
          <w:sz w:val="20"/>
          <w:szCs w:val="20"/>
          <w:u w:color="000000"/>
          <w:lang w:val="en-GB"/>
        </w:rPr>
        <w:t xml:space="preserve">ntegrated </w:t>
      </w:r>
      <w:r w:rsidR="00652595" w:rsidRPr="00040FB6">
        <w:rPr>
          <w:color w:val="000000"/>
          <w:sz w:val="20"/>
          <w:szCs w:val="20"/>
          <w:u w:color="000000"/>
          <w:lang w:val="en-GB"/>
        </w:rPr>
        <w:t>P</w:t>
      </w:r>
      <w:r w:rsidR="00BA12FA" w:rsidRPr="00040FB6">
        <w:rPr>
          <w:color w:val="000000"/>
          <w:sz w:val="20"/>
          <w:szCs w:val="20"/>
          <w:u w:color="000000"/>
          <w:lang w:val="en-GB"/>
        </w:rPr>
        <w:t xml:space="preserve">ublic </w:t>
      </w:r>
      <w:r w:rsidR="00652595" w:rsidRPr="00040FB6">
        <w:rPr>
          <w:color w:val="000000"/>
          <w:sz w:val="20"/>
          <w:szCs w:val="20"/>
          <w:u w:color="000000"/>
          <w:lang w:val="en-GB"/>
        </w:rPr>
        <w:t>Sector Modernization Programme</w:t>
      </w:r>
      <w:r w:rsidR="004A5AF1" w:rsidRPr="00040FB6">
        <w:rPr>
          <w:rStyle w:val="FootnoteReference"/>
          <w:color w:val="000000"/>
          <w:sz w:val="20"/>
          <w:szCs w:val="20"/>
          <w:u w:color="000000"/>
          <w:lang w:val="en-GB"/>
        </w:rPr>
        <w:footnoteReference w:id="18"/>
      </w:r>
      <w:r w:rsidR="00BA12FA" w:rsidRPr="00040FB6">
        <w:rPr>
          <w:color w:val="000000"/>
          <w:sz w:val="20"/>
          <w:szCs w:val="20"/>
          <w:u w:color="000000"/>
          <w:lang w:val="en-GB"/>
        </w:rPr>
        <w:t xml:space="preserve"> </w:t>
      </w:r>
      <w:r w:rsidR="00BB7B30">
        <w:rPr>
          <w:color w:val="000000"/>
          <w:sz w:val="20"/>
          <w:szCs w:val="20"/>
          <w:u w:color="000000"/>
          <w:lang w:val="en-GB"/>
        </w:rPr>
        <w:t>and</w:t>
      </w:r>
      <w:r w:rsidR="00290095" w:rsidRPr="00040FB6">
        <w:rPr>
          <w:color w:val="000000"/>
          <w:sz w:val="20"/>
          <w:szCs w:val="20"/>
          <w:u w:color="000000"/>
          <w:lang w:val="en-GB"/>
        </w:rPr>
        <w:t xml:space="preserve"> the Kurdistan Public Sector Modernization Programme</w:t>
      </w:r>
      <w:r w:rsidR="00BA12FA" w:rsidRPr="00040FB6">
        <w:rPr>
          <w:color w:val="000000"/>
          <w:sz w:val="20"/>
          <w:szCs w:val="20"/>
          <w:u w:color="000000"/>
          <w:lang w:val="en-GB"/>
        </w:rPr>
        <w:t xml:space="preserve">.  </w:t>
      </w:r>
    </w:p>
    <w:p w:rsidR="00652595" w:rsidRPr="00040FB6" w:rsidRDefault="00730EEF" w:rsidP="00730E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jc w:val="both"/>
        <w:rPr>
          <w:color w:val="000000"/>
          <w:sz w:val="20"/>
          <w:szCs w:val="20"/>
          <w:u w:color="000000"/>
          <w:lang w:val="en-GB"/>
        </w:rPr>
      </w:pPr>
      <w:r>
        <w:rPr>
          <w:color w:val="000000"/>
          <w:sz w:val="20"/>
          <w:szCs w:val="20"/>
          <w:u w:color="000000"/>
          <w:lang w:val="en-GB"/>
        </w:rPr>
        <w:t>1</w:t>
      </w:r>
      <w:r w:rsidR="00EE28C9">
        <w:rPr>
          <w:color w:val="000000"/>
          <w:sz w:val="20"/>
          <w:szCs w:val="20"/>
          <w:u w:color="000000"/>
          <w:lang w:val="en-GB"/>
        </w:rPr>
        <w:t>9</w:t>
      </w:r>
      <w:r>
        <w:rPr>
          <w:color w:val="000000"/>
          <w:sz w:val="20"/>
          <w:szCs w:val="20"/>
          <w:u w:color="000000"/>
          <w:lang w:val="en-GB"/>
        </w:rPr>
        <w:t>.</w:t>
      </w:r>
      <w:r>
        <w:rPr>
          <w:color w:val="000000"/>
          <w:sz w:val="20"/>
          <w:szCs w:val="20"/>
          <w:u w:color="000000"/>
          <w:lang w:val="en-GB"/>
        </w:rPr>
        <w:tab/>
      </w:r>
      <w:r w:rsidR="00652595" w:rsidRPr="00040FB6">
        <w:rPr>
          <w:color w:val="000000"/>
          <w:sz w:val="20"/>
          <w:szCs w:val="20"/>
          <w:u w:color="000000"/>
          <w:lang w:val="en-GB"/>
        </w:rPr>
        <w:t xml:space="preserve">UNDP has scaled up its presence in Basra province, which – despite being the main </w:t>
      </w:r>
      <w:r w:rsidR="00BA12FA" w:rsidRPr="00040FB6">
        <w:rPr>
          <w:color w:val="000000"/>
          <w:sz w:val="20"/>
          <w:szCs w:val="20"/>
          <w:u w:color="000000"/>
          <w:lang w:val="en-GB"/>
        </w:rPr>
        <w:t xml:space="preserve">oil-producing governorate </w:t>
      </w:r>
      <w:r w:rsidR="00652595" w:rsidRPr="00040FB6">
        <w:rPr>
          <w:color w:val="000000"/>
          <w:sz w:val="20"/>
          <w:szCs w:val="20"/>
          <w:u w:color="000000"/>
          <w:lang w:val="en-GB"/>
        </w:rPr>
        <w:t xml:space="preserve">with a $10 billion annual budget </w:t>
      </w:r>
      <w:r w:rsidR="00411E2E" w:rsidRPr="00040FB6">
        <w:rPr>
          <w:color w:val="000000"/>
          <w:sz w:val="20"/>
          <w:szCs w:val="20"/>
          <w:u w:color="000000"/>
          <w:lang w:val="en-GB"/>
        </w:rPr>
        <w:t xml:space="preserve">– </w:t>
      </w:r>
      <w:r w:rsidR="00652595" w:rsidRPr="00040FB6">
        <w:rPr>
          <w:color w:val="000000"/>
          <w:sz w:val="20"/>
          <w:szCs w:val="20"/>
          <w:u w:color="000000"/>
          <w:lang w:val="en-GB"/>
        </w:rPr>
        <w:t xml:space="preserve">exhibits signs of </w:t>
      </w:r>
      <w:r w:rsidR="00BA12FA" w:rsidRPr="00040FB6">
        <w:rPr>
          <w:color w:val="000000"/>
          <w:sz w:val="20"/>
          <w:szCs w:val="20"/>
          <w:u w:color="000000"/>
          <w:lang w:val="en-GB"/>
        </w:rPr>
        <w:t xml:space="preserve">deep impoverishment and a very low </w:t>
      </w:r>
      <w:r w:rsidR="00652595" w:rsidRPr="00040FB6">
        <w:rPr>
          <w:color w:val="000000"/>
          <w:sz w:val="20"/>
          <w:szCs w:val="20"/>
          <w:u w:color="000000"/>
          <w:lang w:val="en-GB"/>
        </w:rPr>
        <w:t xml:space="preserve">budget execution rate </w:t>
      </w:r>
      <w:r w:rsidR="00E17383" w:rsidRPr="00040FB6">
        <w:rPr>
          <w:color w:val="000000"/>
          <w:sz w:val="20"/>
          <w:szCs w:val="20"/>
          <w:u w:color="000000"/>
          <w:lang w:val="en-GB"/>
        </w:rPr>
        <w:t>(</w:t>
      </w:r>
      <w:r w:rsidR="00652595" w:rsidRPr="00040FB6">
        <w:rPr>
          <w:color w:val="000000"/>
          <w:sz w:val="20"/>
          <w:szCs w:val="20"/>
          <w:u w:color="000000"/>
          <w:lang w:val="en-GB"/>
        </w:rPr>
        <w:t>only 22</w:t>
      </w:r>
      <w:r w:rsidR="00411E2E" w:rsidRPr="00040FB6">
        <w:rPr>
          <w:color w:val="000000"/>
          <w:sz w:val="20"/>
          <w:szCs w:val="20"/>
          <w:u w:color="000000"/>
          <w:lang w:val="en-GB"/>
        </w:rPr>
        <w:t xml:space="preserve"> per cent</w:t>
      </w:r>
      <w:r w:rsidR="00E17383" w:rsidRPr="00040FB6">
        <w:rPr>
          <w:color w:val="000000"/>
          <w:sz w:val="20"/>
          <w:szCs w:val="20"/>
          <w:u w:color="000000"/>
          <w:lang w:val="en-GB"/>
        </w:rPr>
        <w:t>)</w:t>
      </w:r>
      <w:r w:rsidR="00652595" w:rsidRPr="00040FB6">
        <w:rPr>
          <w:color w:val="000000"/>
          <w:sz w:val="20"/>
          <w:szCs w:val="20"/>
          <w:u w:color="000000"/>
          <w:lang w:val="en-GB"/>
        </w:rPr>
        <w:t>. In an effort to tackle the problem of centralized</w:t>
      </w:r>
      <w:r w:rsidR="002D5F61">
        <w:rPr>
          <w:color w:val="000000"/>
          <w:sz w:val="20"/>
          <w:szCs w:val="20"/>
          <w:u w:color="000000"/>
          <w:lang w:val="en-GB"/>
        </w:rPr>
        <w:t>,</w:t>
      </w:r>
      <w:r w:rsidR="00652595" w:rsidRPr="00040FB6">
        <w:rPr>
          <w:color w:val="000000"/>
          <w:sz w:val="20"/>
          <w:szCs w:val="20"/>
          <w:u w:color="000000"/>
          <w:lang w:val="en-GB"/>
        </w:rPr>
        <w:t xml:space="preserve"> archaic state structures, the </w:t>
      </w:r>
      <w:r w:rsidR="00411E2E" w:rsidRPr="00040FB6">
        <w:rPr>
          <w:color w:val="000000"/>
          <w:sz w:val="20"/>
          <w:szCs w:val="20"/>
          <w:u w:color="000000"/>
          <w:lang w:val="en-GB"/>
        </w:rPr>
        <w:t xml:space="preserve">country office </w:t>
      </w:r>
      <w:r w:rsidR="00652595" w:rsidRPr="00040FB6">
        <w:rPr>
          <w:color w:val="000000"/>
          <w:sz w:val="20"/>
          <w:szCs w:val="20"/>
          <w:u w:color="000000"/>
          <w:lang w:val="en-GB"/>
        </w:rPr>
        <w:t>signed the Basra Compact with the provincial authorities in May 2015</w:t>
      </w:r>
      <w:r w:rsidR="004A5AF1" w:rsidRPr="00040FB6">
        <w:rPr>
          <w:rStyle w:val="FootnoteReference"/>
          <w:color w:val="000000"/>
          <w:sz w:val="20"/>
          <w:szCs w:val="20"/>
          <w:u w:color="000000"/>
          <w:lang w:val="en-GB"/>
        </w:rPr>
        <w:footnoteReference w:id="19"/>
      </w:r>
      <w:r w:rsidR="00652595" w:rsidRPr="00040FB6">
        <w:rPr>
          <w:color w:val="000000"/>
          <w:sz w:val="20"/>
          <w:szCs w:val="20"/>
          <w:u w:color="000000"/>
          <w:lang w:val="en-GB"/>
        </w:rPr>
        <w:t>. This concrete partnership platform provides on-site support to the Governor and the Provincial Council in the areas of decentralization, public financial management and strategic planning, environment</w:t>
      </w:r>
      <w:r w:rsidR="005A0F0D" w:rsidRPr="00040FB6">
        <w:rPr>
          <w:color w:val="000000"/>
          <w:sz w:val="20"/>
          <w:szCs w:val="20"/>
          <w:u w:color="000000"/>
          <w:lang w:val="en-GB"/>
        </w:rPr>
        <w:t xml:space="preserve">, </w:t>
      </w:r>
      <w:r w:rsidR="00652595" w:rsidRPr="00040FB6">
        <w:rPr>
          <w:color w:val="000000"/>
          <w:sz w:val="20"/>
          <w:szCs w:val="20"/>
          <w:u w:color="000000"/>
          <w:lang w:val="en-GB"/>
        </w:rPr>
        <w:t>gender</w:t>
      </w:r>
      <w:r w:rsidR="00901109" w:rsidRPr="00040FB6">
        <w:rPr>
          <w:color w:val="000000"/>
          <w:sz w:val="20"/>
          <w:szCs w:val="20"/>
          <w:u w:color="000000"/>
          <w:lang w:val="en-GB"/>
        </w:rPr>
        <w:t>,</w:t>
      </w:r>
      <w:r w:rsidR="00652595" w:rsidRPr="00040FB6">
        <w:rPr>
          <w:color w:val="000000"/>
          <w:sz w:val="20"/>
          <w:szCs w:val="20"/>
          <w:u w:color="000000"/>
          <w:lang w:val="en-GB"/>
        </w:rPr>
        <w:t xml:space="preserve"> and private sector development.  </w:t>
      </w:r>
    </w:p>
    <w:p w:rsidR="00E2098F" w:rsidRPr="00040FB6" w:rsidRDefault="00EE28C9" w:rsidP="002D5F6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jc w:val="both"/>
        <w:rPr>
          <w:color w:val="000000"/>
          <w:sz w:val="20"/>
          <w:szCs w:val="20"/>
          <w:u w:color="000000"/>
          <w:lang w:val="en-GB"/>
        </w:rPr>
      </w:pPr>
      <w:r>
        <w:rPr>
          <w:color w:val="000000"/>
          <w:sz w:val="20"/>
          <w:szCs w:val="20"/>
          <w:u w:color="000000"/>
          <w:lang w:val="en-GB"/>
        </w:rPr>
        <w:t>20</w:t>
      </w:r>
      <w:r w:rsidR="002D5F61">
        <w:rPr>
          <w:color w:val="000000"/>
          <w:sz w:val="20"/>
          <w:szCs w:val="20"/>
          <w:u w:color="000000"/>
          <w:lang w:val="en-GB"/>
        </w:rPr>
        <w:t>.</w:t>
      </w:r>
      <w:r w:rsidR="002D5F61">
        <w:rPr>
          <w:color w:val="000000"/>
          <w:sz w:val="20"/>
          <w:szCs w:val="20"/>
          <w:u w:color="000000"/>
          <w:lang w:val="en-GB"/>
        </w:rPr>
        <w:tab/>
      </w:r>
      <w:r w:rsidR="00652595" w:rsidRPr="00040FB6">
        <w:rPr>
          <w:color w:val="000000"/>
          <w:sz w:val="20"/>
          <w:szCs w:val="20"/>
          <w:u w:color="000000"/>
          <w:lang w:val="en-GB"/>
        </w:rPr>
        <w:t xml:space="preserve">UNDP will help improve the preparedness of other local authorities for the upcoming devolution of power by building their capacity to prepare annual investment plans </w:t>
      </w:r>
      <w:r w:rsidR="005A0F0D" w:rsidRPr="00040FB6">
        <w:rPr>
          <w:color w:val="000000"/>
          <w:sz w:val="20"/>
          <w:szCs w:val="20"/>
          <w:u w:color="000000"/>
          <w:lang w:val="en-GB"/>
        </w:rPr>
        <w:t>and</w:t>
      </w:r>
      <w:r w:rsidR="00652595" w:rsidRPr="00040FB6">
        <w:rPr>
          <w:color w:val="000000"/>
          <w:sz w:val="20"/>
          <w:szCs w:val="20"/>
          <w:u w:color="000000"/>
          <w:lang w:val="en-GB"/>
        </w:rPr>
        <w:t xml:space="preserve"> develop financial management procedures and policies to accelerate budget execution, especially in priority sectors</w:t>
      </w:r>
      <w:r w:rsidR="00B5203E" w:rsidRPr="00040FB6">
        <w:rPr>
          <w:color w:val="000000"/>
          <w:sz w:val="20"/>
          <w:szCs w:val="20"/>
          <w:u w:color="000000"/>
          <w:lang w:val="en-GB"/>
        </w:rPr>
        <w:t xml:space="preserve">. </w:t>
      </w:r>
      <w:r w:rsidR="00652595" w:rsidRPr="00040FB6">
        <w:rPr>
          <w:color w:val="000000"/>
          <w:sz w:val="20"/>
          <w:szCs w:val="20"/>
          <w:u w:color="000000"/>
          <w:lang w:val="en-GB"/>
        </w:rPr>
        <w:t xml:space="preserve">Additionally, UNDP is working with provincial and local authorities to put in place monitoring and evaluation systems for budget execution to assess performance against spending. </w:t>
      </w:r>
      <w:r w:rsidR="00E2098F" w:rsidRPr="00040FB6">
        <w:rPr>
          <w:color w:val="000000"/>
          <w:sz w:val="20"/>
          <w:szCs w:val="20"/>
          <w:u w:color="000000"/>
          <w:lang w:val="en-GB"/>
        </w:rPr>
        <w:t xml:space="preserve">UNDP will explore options for the above programme elements to contribute to economic reform and public sector development.  </w:t>
      </w:r>
    </w:p>
    <w:p w:rsidR="00652595" w:rsidRPr="00040FB6" w:rsidRDefault="00652595" w:rsidP="009D5342">
      <w:pPr>
        <w:widowControl w:val="0"/>
        <w:tabs>
          <w:tab w:val="left" w:pos="567"/>
          <w:tab w:val="left" w:pos="1260"/>
        </w:tabs>
        <w:autoSpaceDE w:val="0"/>
        <w:autoSpaceDN w:val="0"/>
        <w:adjustRightInd w:val="0"/>
        <w:spacing w:after="120"/>
        <w:ind w:left="900" w:right="720"/>
        <w:jc w:val="both"/>
        <w:rPr>
          <w:b/>
          <w:i/>
          <w:color w:val="000000"/>
          <w:sz w:val="20"/>
          <w:szCs w:val="20"/>
          <w:u w:color="000000"/>
          <w:lang w:val="en-GB"/>
        </w:rPr>
      </w:pPr>
      <w:r w:rsidRPr="00040FB6">
        <w:rPr>
          <w:b/>
          <w:i/>
          <w:color w:val="000000"/>
          <w:sz w:val="20"/>
          <w:szCs w:val="20"/>
          <w:u w:color="000000"/>
          <w:lang w:val="en-GB"/>
        </w:rPr>
        <w:t>Stabilization</w:t>
      </w:r>
    </w:p>
    <w:p w:rsidR="00652595" w:rsidRPr="00040FB6" w:rsidRDefault="002D5F61" w:rsidP="002D5F6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jc w:val="both"/>
        <w:rPr>
          <w:color w:val="000000"/>
          <w:sz w:val="20"/>
          <w:szCs w:val="20"/>
          <w:u w:color="000000"/>
          <w:lang w:val="en-GB"/>
        </w:rPr>
      </w:pPr>
      <w:r>
        <w:rPr>
          <w:color w:val="000000"/>
          <w:sz w:val="20"/>
          <w:szCs w:val="20"/>
          <w:u w:color="000000"/>
          <w:lang w:val="en-GB"/>
        </w:rPr>
        <w:t>2</w:t>
      </w:r>
      <w:r w:rsidR="00EE28C9">
        <w:rPr>
          <w:color w:val="000000"/>
          <w:sz w:val="20"/>
          <w:szCs w:val="20"/>
          <w:u w:color="000000"/>
          <w:lang w:val="en-GB"/>
        </w:rPr>
        <w:t>1</w:t>
      </w:r>
      <w:r>
        <w:rPr>
          <w:color w:val="000000"/>
          <w:sz w:val="20"/>
          <w:szCs w:val="20"/>
          <w:u w:color="000000"/>
          <w:lang w:val="en-GB"/>
        </w:rPr>
        <w:t>.</w:t>
      </w:r>
      <w:r>
        <w:rPr>
          <w:color w:val="000000"/>
          <w:sz w:val="20"/>
          <w:szCs w:val="20"/>
          <w:u w:color="000000"/>
          <w:lang w:val="en-GB"/>
        </w:rPr>
        <w:tab/>
      </w:r>
      <w:r w:rsidR="00E749A4" w:rsidRPr="00040FB6">
        <w:rPr>
          <w:color w:val="000000"/>
          <w:sz w:val="20"/>
          <w:szCs w:val="20"/>
          <w:u w:color="000000"/>
          <w:lang w:val="en-GB"/>
        </w:rPr>
        <w:t xml:space="preserve">An important component of </w:t>
      </w:r>
      <w:r w:rsidR="00411E2E" w:rsidRPr="00040FB6">
        <w:rPr>
          <w:color w:val="000000"/>
          <w:sz w:val="20"/>
          <w:szCs w:val="20"/>
          <w:u w:color="000000"/>
          <w:lang w:val="en-GB"/>
        </w:rPr>
        <w:t xml:space="preserve">the </w:t>
      </w:r>
      <w:r w:rsidR="00652595" w:rsidRPr="00040FB6">
        <w:rPr>
          <w:color w:val="000000"/>
          <w:sz w:val="20"/>
          <w:szCs w:val="20"/>
          <w:u w:color="000000"/>
          <w:lang w:val="en-GB"/>
        </w:rPr>
        <w:t>UNDP</w:t>
      </w:r>
      <w:r w:rsidR="00E749A4" w:rsidRPr="00040FB6">
        <w:rPr>
          <w:color w:val="000000"/>
          <w:sz w:val="20"/>
          <w:szCs w:val="20"/>
          <w:u w:color="000000"/>
          <w:lang w:val="en-GB"/>
        </w:rPr>
        <w:t xml:space="preserve"> programme will focus on st</w:t>
      </w:r>
      <w:r w:rsidR="004E1A1F" w:rsidRPr="00040FB6">
        <w:rPr>
          <w:color w:val="000000"/>
          <w:sz w:val="20"/>
          <w:szCs w:val="20"/>
          <w:u w:color="000000"/>
          <w:lang w:val="en-GB"/>
        </w:rPr>
        <w:t>abiliz</w:t>
      </w:r>
      <w:r w:rsidR="00411E2E" w:rsidRPr="00040FB6">
        <w:rPr>
          <w:color w:val="000000"/>
          <w:sz w:val="20"/>
          <w:szCs w:val="20"/>
          <w:u w:color="000000"/>
          <w:lang w:val="en-GB"/>
        </w:rPr>
        <w:t>ing</w:t>
      </w:r>
      <w:r w:rsidR="004E1A1F" w:rsidRPr="00040FB6">
        <w:rPr>
          <w:color w:val="000000"/>
          <w:sz w:val="20"/>
          <w:szCs w:val="20"/>
          <w:u w:color="000000"/>
          <w:lang w:val="en-GB"/>
        </w:rPr>
        <w:t xml:space="preserve"> areas wrested from</w:t>
      </w:r>
      <w:r w:rsidR="00E749A4" w:rsidRPr="00040FB6">
        <w:rPr>
          <w:color w:val="000000"/>
          <w:sz w:val="20"/>
          <w:szCs w:val="20"/>
          <w:u w:color="000000"/>
          <w:lang w:val="en-GB"/>
        </w:rPr>
        <w:t xml:space="preserve"> ISIL control</w:t>
      </w:r>
      <w:r w:rsidR="00F13032" w:rsidRPr="00040FB6">
        <w:rPr>
          <w:color w:val="000000"/>
          <w:sz w:val="20"/>
          <w:szCs w:val="20"/>
          <w:u w:color="000000"/>
          <w:lang w:val="en-GB"/>
        </w:rPr>
        <w:t xml:space="preserve"> (</w:t>
      </w:r>
      <w:r w:rsidR="00411E2E" w:rsidRPr="00040FB6">
        <w:rPr>
          <w:color w:val="000000"/>
          <w:sz w:val="20"/>
          <w:szCs w:val="20"/>
          <w:u w:color="000000"/>
          <w:lang w:val="en-GB"/>
        </w:rPr>
        <w:t>three</w:t>
      </w:r>
      <w:r w:rsidR="00F13032" w:rsidRPr="00040FB6">
        <w:rPr>
          <w:color w:val="000000"/>
          <w:sz w:val="20"/>
          <w:szCs w:val="20"/>
          <w:u w:color="000000"/>
          <w:lang w:val="en-GB"/>
        </w:rPr>
        <w:t xml:space="preserve"> are now almost fully liberated: </w:t>
      </w:r>
      <w:r w:rsidR="00CA25A0" w:rsidRPr="00040FB6">
        <w:rPr>
          <w:color w:val="000000"/>
          <w:sz w:val="20"/>
          <w:szCs w:val="20"/>
          <w:u w:color="000000"/>
          <w:lang w:val="en-GB"/>
        </w:rPr>
        <w:t>Salahud</w:t>
      </w:r>
      <w:r w:rsidR="00F13032" w:rsidRPr="00040FB6">
        <w:rPr>
          <w:color w:val="000000"/>
          <w:sz w:val="20"/>
          <w:szCs w:val="20"/>
          <w:u w:color="000000"/>
          <w:lang w:val="en-GB"/>
        </w:rPr>
        <w:t>din, Kirkuk and Diyala)</w:t>
      </w:r>
      <w:r w:rsidR="00E749A4" w:rsidRPr="00040FB6">
        <w:rPr>
          <w:color w:val="000000"/>
          <w:sz w:val="20"/>
          <w:szCs w:val="20"/>
          <w:u w:color="000000"/>
          <w:lang w:val="en-GB"/>
        </w:rPr>
        <w:t>.</w:t>
      </w:r>
      <w:r w:rsidR="00652595" w:rsidRPr="00040FB6">
        <w:rPr>
          <w:color w:val="000000"/>
          <w:sz w:val="20"/>
          <w:szCs w:val="20"/>
          <w:u w:color="000000"/>
          <w:lang w:val="en-GB"/>
        </w:rPr>
        <w:t xml:space="preserve"> UNDP will assist the Government with (</w:t>
      </w:r>
      <w:r w:rsidR="00411E2E" w:rsidRPr="00040FB6">
        <w:rPr>
          <w:color w:val="000000"/>
          <w:sz w:val="20"/>
          <w:szCs w:val="20"/>
          <w:u w:color="000000"/>
          <w:lang w:val="en-GB"/>
        </w:rPr>
        <w:t>a</w:t>
      </w:r>
      <w:r w:rsidR="00652595" w:rsidRPr="00040FB6">
        <w:rPr>
          <w:color w:val="000000"/>
          <w:sz w:val="20"/>
          <w:szCs w:val="20"/>
          <w:u w:color="000000"/>
          <w:lang w:val="en-GB"/>
        </w:rPr>
        <w:t>) rehabilitation of community infrastructure to restore basic services; (</w:t>
      </w:r>
      <w:r w:rsidR="00411E2E" w:rsidRPr="00040FB6">
        <w:rPr>
          <w:color w:val="000000"/>
          <w:sz w:val="20"/>
          <w:szCs w:val="20"/>
          <w:u w:color="000000"/>
          <w:lang w:val="en-GB"/>
        </w:rPr>
        <w:t>b</w:t>
      </w:r>
      <w:r w:rsidR="00652595" w:rsidRPr="00040FB6">
        <w:rPr>
          <w:color w:val="000000"/>
          <w:sz w:val="20"/>
          <w:szCs w:val="20"/>
          <w:u w:color="000000"/>
          <w:lang w:val="en-GB"/>
        </w:rPr>
        <w:t>)</w:t>
      </w:r>
      <w:r w:rsidR="00411E2E" w:rsidRPr="00040FB6">
        <w:rPr>
          <w:color w:val="000000"/>
          <w:sz w:val="20"/>
          <w:szCs w:val="20"/>
          <w:u w:color="000000"/>
          <w:lang w:val="en-GB"/>
        </w:rPr>
        <w:t> </w:t>
      </w:r>
      <w:r w:rsidR="00652595" w:rsidRPr="00040FB6">
        <w:rPr>
          <w:color w:val="000000"/>
          <w:sz w:val="20"/>
          <w:szCs w:val="20"/>
          <w:u w:color="000000"/>
          <w:lang w:val="en-GB"/>
        </w:rPr>
        <w:t>enhancing the capacity of local authorities; (</w:t>
      </w:r>
      <w:r w:rsidR="00411E2E" w:rsidRPr="00040FB6">
        <w:rPr>
          <w:color w:val="000000"/>
          <w:sz w:val="20"/>
          <w:szCs w:val="20"/>
          <w:u w:color="000000"/>
          <w:lang w:val="en-GB"/>
        </w:rPr>
        <w:t>c</w:t>
      </w:r>
      <w:r w:rsidR="00652595" w:rsidRPr="00040FB6">
        <w:rPr>
          <w:color w:val="000000"/>
          <w:sz w:val="20"/>
          <w:szCs w:val="20"/>
          <w:u w:color="000000"/>
          <w:lang w:val="en-GB"/>
        </w:rPr>
        <w:t>) support to livelihoods</w:t>
      </w:r>
      <w:r w:rsidR="00E749A4" w:rsidRPr="00040FB6">
        <w:rPr>
          <w:color w:val="000000"/>
          <w:sz w:val="20"/>
          <w:szCs w:val="20"/>
          <w:u w:color="000000"/>
          <w:lang w:val="en-GB"/>
        </w:rPr>
        <w:t xml:space="preserve"> and employment and income generation</w:t>
      </w:r>
      <w:r w:rsidR="004E1A1F" w:rsidRPr="00040FB6">
        <w:rPr>
          <w:color w:val="000000"/>
          <w:sz w:val="20"/>
          <w:szCs w:val="20"/>
          <w:u w:color="000000"/>
          <w:lang w:val="en-GB"/>
        </w:rPr>
        <w:t>; and (</w:t>
      </w:r>
      <w:r w:rsidR="00411E2E" w:rsidRPr="00040FB6">
        <w:rPr>
          <w:color w:val="000000"/>
          <w:sz w:val="20"/>
          <w:szCs w:val="20"/>
          <w:u w:color="000000"/>
          <w:lang w:val="en-GB"/>
        </w:rPr>
        <w:t>d</w:t>
      </w:r>
      <w:r w:rsidR="004E1A1F" w:rsidRPr="00040FB6">
        <w:rPr>
          <w:color w:val="000000"/>
          <w:sz w:val="20"/>
          <w:szCs w:val="20"/>
          <w:u w:color="000000"/>
          <w:lang w:val="en-GB"/>
        </w:rPr>
        <w:t>) community reconciliation</w:t>
      </w:r>
      <w:r w:rsidR="00652595" w:rsidRPr="00040FB6">
        <w:rPr>
          <w:color w:val="000000"/>
          <w:sz w:val="20"/>
          <w:szCs w:val="20"/>
          <w:u w:color="000000"/>
          <w:lang w:val="en-GB"/>
        </w:rPr>
        <w:t xml:space="preserve">. </w:t>
      </w:r>
    </w:p>
    <w:p w:rsidR="00652595" w:rsidRPr="00040FB6" w:rsidRDefault="002D5F61" w:rsidP="002D5F6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jc w:val="both"/>
        <w:rPr>
          <w:color w:val="000000"/>
          <w:sz w:val="20"/>
          <w:szCs w:val="20"/>
          <w:u w:color="000000"/>
          <w:lang w:val="en-GB"/>
        </w:rPr>
      </w:pPr>
      <w:r>
        <w:rPr>
          <w:color w:val="000000"/>
          <w:sz w:val="20"/>
          <w:szCs w:val="20"/>
          <w:u w:color="000000"/>
          <w:lang w:val="en-GB"/>
        </w:rPr>
        <w:t>2</w:t>
      </w:r>
      <w:r w:rsidR="003B041D">
        <w:rPr>
          <w:color w:val="000000"/>
          <w:sz w:val="20"/>
          <w:szCs w:val="20"/>
          <w:u w:color="000000"/>
          <w:lang w:val="en-GB"/>
        </w:rPr>
        <w:t>2</w:t>
      </w:r>
      <w:r>
        <w:rPr>
          <w:color w:val="000000"/>
          <w:sz w:val="20"/>
          <w:szCs w:val="20"/>
          <w:u w:color="000000"/>
          <w:lang w:val="en-GB"/>
        </w:rPr>
        <w:t>.</w:t>
      </w:r>
      <w:r>
        <w:rPr>
          <w:color w:val="000000"/>
          <w:sz w:val="20"/>
          <w:szCs w:val="20"/>
          <w:u w:color="000000"/>
          <w:lang w:val="en-GB"/>
        </w:rPr>
        <w:tab/>
      </w:r>
      <w:r w:rsidR="00652595" w:rsidRPr="00040FB6">
        <w:rPr>
          <w:color w:val="000000"/>
          <w:sz w:val="20"/>
          <w:szCs w:val="20"/>
          <w:u w:color="000000"/>
          <w:lang w:val="en-GB"/>
        </w:rPr>
        <w:t xml:space="preserve">Through the newly established Funding Facility for Immediate Stabilization, UNDP will support </w:t>
      </w:r>
      <w:r w:rsidR="00901109" w:rsidRPr="00040FB6">
        <w:rPr>
          <w:color w:val="000000"/>
          <w:sz w:val="20"/>
          <w:szCs w:val="20"/>
          <w:u w:color="000000"/>
          <w:lang w:val="en-GB"/>
        </w:rPr>
        <w:t>g</w:t>
      </w:r>
      <w:r w:rsidR="00652595" w:rsidRPr="00040FB6">
        <w:rPr>
          <w:color w:val="000000"/>
          <w:sz w:val="20"/>
          <w:szCs w:val="20"/>
          <w:u w:color="000000"/>
          <w:lang w:val="en-GB"/>
        </w:rPr>
        <w:t xml:space="preserve">overnment efforts to create </w:t>
      </w:r>
      <w:r w:rsidR="00411E2E" w:rsidRPr="00040FB6">
        <w:rPr>
          <w:color w:val="000000"/>
          <w:sz w:val="20"/>
          <w:szCs w:val="20"/>
          <w:u w:color="000000"/>
          <w:lang w:val="en-GB"/>
        </w:rPr>
        <w:t xml:space="preserve">safe </w:t>
      </w:r>
      <w:r w:rsidR="00652595" w:rsidRPr="00040FB6">
        <w:rPr>
          <w:color w:val="000000"/>
          <w:sz w:val="20"/>
          <w:szCs w:val="20"/>
          <w:u w:color="000000"/>
          <w:lang w:val="en-GB"/>
        </w:rPr>
        <w:t xml:space="preserve">conditions for the return of </w:t>
      </w:r>
      <w:r w:rsidR="00EC21A4" w:rsidRPr="00040FB6">
        <w:rPr>
          <w:color w:val="000000"/>
          <w:sz w:val="20"/>
          <w:szCs w:val="20"/>
          <w:u w:color="000000"/>
          <w:lang w:val="en-GB"/>
        </w:rPr>
        <w:t>internally displaced persons</w:t>
      </w:r>
      <w:r w:rsidR="00652595" w:rsidRPr="00040FB6">
        <w:rPr>
          <w:color w:val="000000"/>
          <w:sz w:val="20"/>
          <w:szCs w:val="20"/>
          <w:u w:color="000000"/>
          <w:lang w:val="en-GB"/>
        </w:rPr>
        <w:t xml:space="preserve"> to liberated areas</w:t>
      </w:r>
      <w:r w:rsidR="00E749A4" w:rsidRPr="00040FB6">
        <w:rPr>
          <w:color w:val="000000"/>
          <w:sz w:val="20"/>
          <w:szCs w:val="20"/>
          <w:u w:color="000000"/>
          <w:lang w:val="en-GB"/>
        </w:rPr>
        <w:t xml:space="preserve">. </w:t>
      </w:r>
      <w:r w:rsidR="00652595" w:rsidRPr="00040FB6">
        <w:rPr>
          <w:color w:val="000000"/>
          <w:sz w:val="20"/>
          <w:szCs w:val="20"/>
          <w:u w:color="000000"/>
          <w:lang w:val="en-GB"/>
        </w:rPr>
        <w:t xml:space="preserve">All activities will be decided in agreement with the </w:t>
      </w:r>
      <w:r w:rsidR="00E749A4" w:rsidRPr="00040FB6">
        <w:rPr>
          <w:color w:val="000000"/>
          <w:sz w:val="20"/>
          <w:szCs w:val="20"/>
          <w:u w:color="000000"/>
          <w:lang w:val="en-GB"/>
        </w:rPr>
        <w:t xml:space="preserve">national Government and </w:t>
      </w:r>
      <w:r w:rsidR="00652595" w:rsidRPr="00040FB6">
        <w:rPr>
          <w:color w:val="000000"/>
          <w:sz w:val="20"/>
          <w:szCs w:val="20"/>
          <w:u w:color="000000"/>
          <w:lang w:val="en-GB"/>
        </w:rPr>
        <w:t xml:space="preserve">respective provincial governors, based on the priorities identified at the local level through consultations with stakeholders.  </w:t>
      </w:r>
      <w:r w:rsidR="004E1A1F" w:rsidRPr="00040FB6">
        <w:rPr>
          <w:color w:val="000000"/>
          <w:sz w:val="20"/>
          <w:szCs w:val="20"/>
          <w:u w:color="000000"/>
          <w:lang w:val="en-GB"/>
        </w:rPr>
        <w:t>A k</w:t>
      </w:r>
      <w:r w:rsidR="00E749A4" w:rsidRPr="00040FB6">
        <w:rPr>
          <w:color w:val="000000"/>
          <w:sz w:val="20"/>
          <w:szCs w:val="20"/>
          <w:u w:color="000000"/>
          <w:lang w:val="en-GB"/>
        </w:rPr>
        <w:t>ey partner</w:t>
      </w:r>
      <w:r w:rsidR="00652595" w:rsidRPr="00040FB6">
        <w:rPr>
          <w:color w:val="000000"/>
          <w:sz w:val="20"/>
          <w:szCs w:val="20"/>
          <w:u w:color="000000"/>
          <w:lang w:val="en-GB"/>
        </w:rPr>
        <w:t xml:space="preserve"> in stabilization efforts, at both the policy and technical levels, </w:t>
      </w:r>
      <w:r w:rsidR="00E749A4" w:rsidRPr="00040FB6">
        <w:rPr>
          <w:color w:val="000000"/>
          <w:sz w:val="20"/>
          <w:szCs w:val="20"/>
          <w:u w:color="000000"/>
          <w:lang w:val="en-GB"/>
        </w:rPr>
        <w:t xml:space="preserve">is </w:t>
      </w:r>
      <w:r w:rsidR="00652595" w:rsidRPr="00040FB6">
        <w:rPr>
          <w:color w:val="000000"/>
          <w:sz w:val="20"/>
          <w:szCs w:val="20"/>
          <w:u w:color="000000"/>
          <w:lang w:val="en-GB"/>
        </w:rPr>
        <w:t xml:space="preserve">the </w:t>
      </w:r>
      <w:r w:rsidR="00411E2E" w:rsidRPr="00040FB6">
        <w:rPr>
          <w:color w:val="000000"/>
          <w:sz w:val="20"/>
          <w:szCs w:val="20"/>
          <w:u w:color="000000"/>
          <w:lang w:val="en-GB"/>
        </w:rPr>
        <w:t xml:space="preserve">working group on stabilization of the </w:t>
      </w:r>
      <w:r w:rsidR="00652595" w:rsidRPr="00040FB6">
        <w:rPr>
          <w:color w:val="000000"/>
          <w:sz w:val="20"/>
          <w:szCs w:val="20"/>
          <w:u w:color="000000"/>
          <w:lang w:val="en-GB"/>
        </w:rPr>
        <w:t>Global Coalition to Counter ISIL</w:t>
      </w:r>
      <w:r w:rsidR="00BB228A" w:rsidRPr="00040FB6">
        <w:rPr>
          <w:color w:val="000000"/>
          <w:sz w:val="20"/>
          <w:szCs w:val="20"/>
          <w:u w:color="000000"/>
          <w:lang w:val="en-GB"/>
        </w:rPr>
        <w:t xml:space="preserve">. </w:t>
      </w:r>
      <w:r w:rsidR="00652595" w:rsidRPr="00040FB6">
        <w:rPr>
          <w:color w:val="000000"/>
          <w:sz w:val="20"/>
          <w:szCs w:val="20"/>
          <w:u w:color="000000"/>
          <w:lang w:val="en-GB"/>
        </w:rPr>
        <w:t>There will be close coordination with other U</w:t>
      </w:r>
      <w:r w:rsidR="00411E2E" w:rsidRPr="00040FB6">
        <w:rPr>
          <w:color w:val="000000"/>
          <w:sz w:val="20"/>
          <w:szCs w:val="20"/>
          <w:u w:color="000000"/>
          <w:lang w:val="en-GB"/>
        </w:rPr>
        <w:t>nited Nations</w:t>
      </w:r>
      <w:r w:rsidR="00652595" w:rsidRPr="00040FB6">
        <w:rPr>
          <w:color w:val="000000"/>
          <w:sz w:val="20"/>
          <w:szCs w:val="20"/>
          <w:u w:color="000000"/>
          <w:lang w:val="en-GB"/>
        </w:rPr>
        <w:t xml:space="preserve"> partners. Given the sensitive nature of stabilization and the fragile conditions prevailing in many newly liberated areas, concerns relating </w:t>
      </w:r>
      <w:r w:rsidR="00652595" w:rsidRPr="00040FB6">
        <w:rPr>
          <w:color w:val="000000"/>
          <w:sz w:val="20"/>
          <w:szCs w:val="20"/>
          <w:u w:color="000000"/>
          <w:lang w:val="en-GB"/>
        </w:rPr>
        <w:lastRenderedPageBreak/>
        <w:t xml:space="preserve">to human rights, protection, gender and inclusion will be taken into account during the prioritization and sequencing of activities.  </w:t>
      </w:r>
    </w:p>
    <w:p w:rsidR="00652595" w:rsidRPr="00040FB6" w:rsidRDefault="002D5F61" w:rsidP="0088663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ind w:left="900" w:right="720"/>
        <w:jc w:val="both"/>
        <w:rPr>
          <w:color w:val="000000"/>
          <w:sz w:val="20"/>
          <w:szCs w:val="20"/>
          <w:u w:color="000000"/>
          <w:lang w:val="en-GB"/>
        </w:rPr>
      </w:pPr>
      <w:r>
        <w:rPr>
          <w:color w:val="000000"/>
          <w:sz w:val="20"/>
          <w:szCs w:val="20"/>
          <w:u w:color="000000"/>
          <w:lang w:val="en-GB"/>
        </w:rPr>
        <w:t>2</w:t>
      </w:r>
      <w:r w:rsidR="003B041D">
        <w:rPr>
          <w:color w:val="000000"/>
          <w:sz w:val="20"/>
          <w:szCs w:val="20"/>
          <w:u w:color="000000"/>
          <w:lang w:val="en-GB"/>
        </w:rPr>
        <w:t>3</w:t>
      </w:r>
      <w:r>
        <w:rPr>
          <w:color w:val="000000"/>
          <w:sz w:val="20"/>
          <w:szCs w:val="20"/>
          <w:u w:color="000000"/>
          <w:lang w:val="en-GB"/>
        </w:rPr>
        <w:t>.</w:t>
      </w:r>
      <w:r>
        <w:rPr>
          <w:color w:val="000000"/>
          <w:sz w:val="20"/>
          <w:szCs w:val="20"/>
          <w:u w:color="000000"/>
          <w:lang w:val="en-GB"/>
        </w:rPr>
        <w:tab/>
      </w:r>
      <w:r w:rsidR="00652595" w:rsidRPr="00040FB6">
        <w:rPr>
          <w:color w:val="000000"/>
          <w:sz w:val="20"/>
          <w:szCs w:val="20"/>
          <w:u w:color="000000"/>
          <w:lang w:val="en-GB"/>
        </w:rPr>
        <w:t xml:space="preserve">UNDP will assist communities by financing light repairs </w:t>
      </w:r>
      <w:r>
        <w:rPr>
          <w:color w:val="000000"/>
          <w:sz w:val="20"/>
          <w:szCs w:val="20"/>
          <w:u w:color="000000"/>
          <w:lang w:val="en-GB"/>
        </w:rPr>
        <w:t>to</w:t>
      </w:r>
      <w:r w:rsidR="00652595" w:rsidRPr="00040FB6">
        <w:rPr>
          <w:color w:val="000000"/>
          <w:sz w:val="20"/>
          <w:szCs w:val="20"/>
          <w:u w:color="000000"/>
          <w:lang w:val="en-GB"/>
        </w:rPr>
        <w:t xml:space="preserve"> </w:t>
      </w:r>
      <w:r w:rsidR="00E749A4" w:rsidRPr="00040FB6">
        <w:rPr>
          <w:color w:val="000000"/>
          <w:sz w:val="20"/>
          <w:szCs w:val="20"/>
          <w:u w:color="000000"/>
          <w:lang w:val="en-GB"/>
        </w:rPr>
        <w:t>basic</w:t>
      </w:r>
      <w:r w:rsidR="00652595" w:rsidRPr="00040FB6">
        <w:rPr>
          <w:color w:val="000000"/>
          <w:sz w:val="20"/>
          <w:szCs w:val="20"/>
          <w:u w:color="000000"/>
          <w:lang w:val="en-GB"/>
        </w:rPr>
        <w:t xml:space="preserve"> public infrastructure</w:t>
      </w:r>
      <w:r w:rsidR="00411E2E" w:rsidRPr="00040FB6">
        <w:rPr>
          <w:color w:val="000000"/>
          <w:sz w:val="20"/>
          <w:szCs w:val="20"/>
          <w:u w:color="000000"/>
          <w:lang w:val="en-GB"/>
        </w:rPr>
        <w:t>,</w:t>
      </w:r>
      <w:r w:rsidR="00652595" w:rsidRPr="00040FB6">
        <w:rPr>
          <w:color w:val="000000"/>
          <w:sz w:val="20"/>
          <w:szCs w:val="20"/>
          <w:u w:color="000000"/>
          <w:lang w:val="en-GB"/>
        </w:rPr>
        <w:t xml:space="preserve"> including clinics, police stations, water facilities, power grids, </w:t>
      </w:r>
      <w:r w:rsidR="00E749A4" w:rsidRPr="00040FB6">
        <w:rPr>
          <w:color w:val="000000"/>
          <w:sz w:val="20"/>
          <w:szCs w:val="20"/>
          <w:u w:color="000000"/>
          <w:lang w:val="en-GB"/>
        </w:rPr>
        <w:t xml:space="preserve">and local </w:t>
      </w:r>
      <w:r w:rsidR="00652595" w:rsidRPr="00040FB6">
        <w:rPr>
          <w:color w:val="000000"/>
          <w:sz w:val="20"/>
          <w:szCs w:val="20"/>
          <w:u w:color="000000"/>
          <w:lang w:val="en-GB"/>
        </w:rPr>
        <w:t xml:space="preserve">government </w:t>
      </w:r>
      <w:r w:rsidR="00E749A4" w:rsidRPr="00040FB6">
        <w:rPr>
          <w:color w:val="000000"/>
          <w:sz w:val="20"/>
          <w:szCs w:val="20"/>
          <w:u w:color="000000"/>
          <w:lang w:val="en-GB"/>
        </w:rPr>
        <w:t>offices</w:t>
      </w:r>
      <w:r w:rsidR="00652595" w:rsidRPr="00040FB6">
        <w:rPr>
          <w:color w:val="000000"/>
          <w:sz w:val="20"/>
          <w:szCs w:val="20"/>
          <w:u w:color="000000"/>
          <w:lang w:val="en-GB"/>
        </w:rPr>
        <w:t xml:space="preserve">. UNDP will provide technical support to local governments, boosting their capacity to cope with the challenges. The expectation is that these deployments will provide local authorities with the administrative and operational </w:t>
      </w:r>
      <w:r w:rsidR="00E749A4" w:rsidRPr="00040FB6">
        <w:rPr>
          <w:color w:val="000000"/>
          <w:sz w:val="20"/>
          <w:szCs w:val="20"/>
          <w:u w:color="000000"/>
          <w:lang w:val="en-GB"/>
        </w:rPr>
        <w:t xml:space="preserve">tools </w:t>
      </w:r>
      <w:r w:rsidR="00652595" w:rsidRPr="00040FB6">
        <w:rPr>
          <w:color w:val="000000"/>
          <w:sz w:val="20"/>
          <w:szCs w:val="20"/>
          <w:u w:color="000000"/>
          <w:lang w:val="en-GB"/>
        </w:rPr>
        <w:t xml:space="preserve">needed to deliver basic services and provide for returning populations. </w:t>
      </w:r>
      <w:r w:rsidR="00E749A4" w:rsidRPr="00040FB6">
        <w:rPr>
          <w:color w:val="000000"/>
          <w:sz w:val="20"/>
          <w:szCs w:val="20"/>
          <w:u w:color="000000"/>
          <w:lang w:val="en-GB"/>
        </w:rPr>
        <w:t xml:space="preserve">Micro-credit grants </w:t>
      </w:r>
      <w:r w:rsidR="00652595" w:rsidRPr="00040FB6">
        <w:rPr>
          <w:color w:val="000000"/>
          <w:sz w:val="20"/>
          <w:szCs w:val="20"/>
          <w:u w:color="000000"/>
          <w:lang w:val="en-GB"/>
        </w:rPr>
        <w:t>will</w:t>
      </w:r>
      <w:r w:rsidR="00411E2E" w:rsidRPr="00040FB6">
        <w:rPr>
          <w:color w:val="000000"/>
          <w:sz w:val="20"/>
          <w:szCs w:val="20"/>
          <w:u w:color="000000"/>
          <w:lang w:val="en-GB"/>
        </w:rPr>
        <w:t xml:space="preserve"> </w:t>
      </w:r>
      <w:r w:rsidR="00652595" w:rsidRPr="00040FB6">
        <w:rPr>
          <w:color w:val="000000"/>
          <w:sz w:val="20"/>
          <w:szCs w:val="20"/>
          <w:u w:color="000000"/>
          <w:lang w:val="en-GB"/>
        </w:rPr>
        <w:t>jump-start the local economy and generate income for local households returning to their homes. Whenever possible</w:t>
      </w:r>
      <w:r w:rsidR="00BB228A" w:rsidRPr="00040FB6">
        <w:rPr>
          <w:color w:val="000000"/>
          <w:sz w:val="20"/>
          <w:szCs w:val="20"/>
          <w:u w:color="000000"/>
          <w:lang w:val="en-GB"/>
        </w:rPr>
        <w:t>, cash support will</w:t>
      </w:r>
      <w:r w:rsidR="00652595" w:rsidRPr="00040FB6">
        <w:rPr>
          <w:color w:val="000000"/>
          <w:sz w:val="20"/>
          <w:szCs w:val="20"/>
          <w:u w:color="000000"/>
          <w:lang w:val="en-GB"/>
        </w:rPr>
        <w:t xml:space="preserve"> be focused on female-headed households and youth. </w:t>
      </w:r>
      <w:r w:rsidR="007D130B" w:rsidRPr="00040FB6">
        <w:rPr>
          <w:color w:val="000000"/>
          <w:sz w:val="20"/>
          <w:szCs w:val="20"/>
          <w:u w:color="000000"/>
          <w:lang w:val="en-GB"/>
        </w:rPr>
        <w:t xml:space="preserve">Solid waste removal will provide cash-for-work opportunities, especially for the youth. </w:t>
      </w:r>
      <w:r w:rsidR="00652595" w:rsidRPr="00040FB6">
        <w:rPr>
          <w:color w:val="000000"/>
          <w:sz w:val="20"/>
          <w:szCs w:val="20"/>
          <w:u w:color="000000"/>
          <w:lang w:val="en-GB"/>
        </w:rPr>
        <w:t xml:space="preserve">UNDP </w:t>
      </w:r>
      <w:r w:rsidR="00BB228A" w:rsidRPr="00040FB6">
        <w:rPr>
          <w:color w:val="000000"/>
          <w:sz w:val="20"/>
          <w:szCs w:val="20"/>
          <w:u w:color="000000"/>
          <w:lang w:val="en-GB"/>
        </w:rPr>
        <w:t>will pursue</w:t>
      </w:r>
      <w:r w:rsidR="00652595" w:rsidRPr="00040FB6">
        <w:rPr>
          <w:color w:val="000000"/>
          <w:sz w:val="20"/>
          <w:szCs w:val="20"/>
          <w:u w:color="000000"/>
          <w:lang w:val="en-GB"/>
        </w:rPr>
        <w:t xml:space="preserve"> a strategy for reconciliation that focuses on building capacity </w:t>
      </w:r>
      <w:r w:rsidR="007D130B" w:rsidRPr="00040FB6">
        <w:rPr>
          <w:color w:val="000000"/>
          <w:sz w:val="20"/>
          <w:szCs w:val="20"/>
          <w:u w:color="000000"/>
          <w:lang w:val="en-GB"/>
        </w:rPr>
        <w:t>and mobilizing influential</w:t>
      </w:r>
      <w:r w:rsidR="00652595" w:rsidRPr="00040FB6">
        <w:rPr>
          <w:color w:val="000000"/>
          <w:sz w:val="20"/>
          <w:szCs w:val="20"/>
          <w:u w:color="000000"/>
          <w:lang w:val="en-GB"/>
        </w:rPr>
        <w:t xml:space="preserve"> local actors, including religious and tribal leaders</w:t>
      </w:r>
      <w:r w:rsidR="007D130B" w:rsidRPr="00040FB6">
        <w:rPr>
          <w:color w:val="000000"/>
          <w:sz w:val="20"/>
          <w:szCs w:val="20"/>
          <w:u w:color="000000"/>
          <w:lang w:val="en-GB"/>
        </w:rPr>
        <w:t xml:space="preserve"> and youth and women’s groups</w:t>
      </w:r>
      <w:r w:rsidR="00C1589E" w:rsidRPr="00040FB6">
        <w:rPr>
          <w:color w:val="000000"/>
          <w:sz w:val="20"/>
          <w:szCs w:val="20"/>
          <w:u w:color="000000"/>
          <w:lang w:val="en-GB"/>
        </w:rPr>
        <w:t>,</w:t>
      </w:r>
      <w:r w:rsidR="00652595" w:rsidRPr="00040FB6">
        <w:rPr>
          <w:color w:val="000000"/>
          <w:sz w:val="20"/>
          <w:szCs w:val="20"/>
          <w:u w:color="000000"/>
          <w:lang w:val="en-GB"/>
        </w:rPr>
        <w:t xml:space="preserve"> to promote social peace </w:t>
      </w:r>
      <w:r w:rsidR="007D130B" w:rsidRPr="00040FB6">
        <w:rPr>
          <w:color w:val="000000"/>
          <w:sz w:val="20"/>
          <w:szCs w:val="20"/>
          <w:u w:color="000000"/>
          <w:lang w:val="en-GB"/>
        </w:rPr>
        <w:t xml:space="preserve">through mediation training and </w:t>
      </w:r>
      <w:r w:rsidR="00652595" w:rsidRPr="00040FB6">
        <w:rPr>
          <w:color w:val="000000"/>
          <w:sz w:val="20"/>
          <w:szCs w:val="20"/>
          <w:u w:color="000000"/>
          <w:lang w:val="en-GB"/>
        </w:rPr>
        <w:t>inter-community dialogue</w:t>
      </w:r>
      <w:r w:rsidR="007D130B" w:rsidRPr="00040FB6">
        <w:rPr>
          <w:color w:val="000000"/>
          <w:sz w:val="20"/>
          <w:szCs w:val="20"/>
          <w:u w:color="000000"/>
          <w:lang w:val="en-GB"/>
        </w:rPr>
        <w:t xml:space="preserve">. Similar activities will be undertaken to promote peace between </w:t>
      </w:r>
      <w:r w:rsidR="00EC21A4" w:rsidRPr="00040FB6">
        <w:rPr>
          <w:color w:val="000000"/>
          <w:sz w:val="20"/>
          <w:szCs w:val="20"/>
          <w:u w:color="000000"/>
          <w:lang w:val="en-GB"/>
        </w:rPr>
        <w:t>internally displaced persons</w:t>
      </w:r>
      <w:r w:rsidR="00652595" w:rsidRPr="00040FB6">
        <w:rPr>
          <w:color w:val="000000"/>
          <w:sz w:val="20"/>
          <w:szCs w:val="20"/>
          <w:u w:color="000000"/>
          <w:lang w:val="en-GB"/>
        </w:rPr>
        <w:t xml:space="preserve"> and host communities.</w:t>
      </w:r>
    </w:p>
    <w:p w:rsidR="00652595" w:rsidRPr="00040FB6" w:rsidRDefault="00652595" w:rsidP="009D5342">
      <w:pPr>
        <w:widowControl w:val="0"/>
        <w:tabs>
          <w:tab w:val="left" w:pos="567"/>
          <w:tab w:val="left" w:pos="1260"/>
        </w:tabs>
        <w:autoSpaceDE w:val="0"/>
        <w:autoSpaceDN w:val="0"/>
        <w:adjustRightInd w:val="0"/>
        <w:ind w:left="900" w:right="720"/>
        <w:jc w:val="both"/>
        <w:rPr>
          <w:color w:val="000000"/>
          <w:sz w:val="20"/>
          <w:szCs w:val="20"/>
          <w:u w:color="000000"/>
          <w:lang w:val="en-GB"/>
        </w:rPr>
      </w:pPr>
    </w:p>
    <w:p w:rsidR="00652595" w:rsidRPr="00040FB6" w:rsidRDefault="004B4718" w:rsidP="009D5342">
      <w:pPr>
        <w:pStyle w:val="ListParagraph"/>
        <w:keepNext/>
        <w:widowControl w:val="0"/>
        <w:numPr>
          <w:ilvl w:val="0"/>
          <w:numId w:val="43"/>
        </w:numPr>
        <w:tabs>
          <w:tab w:val="left" w:pos="1260"/>
          <w:tab w:val="left" w:pos="1800"/>
        </w:tabs>
        <w:suppressAutoHyphens/>
        <w:ind w:left="900" w:right="720" w:hanging="630"/>
        <w:jc w:val="both"/>
        <w:outlineLvl w:val="0"/>
        <w:rPr>
          <w:b/>
          <w:bCs/>
          <w:spacing w:val="-3"/>
          <w:sz w:val="28"/>
          <w:szCs w:val="28"/>
          <w:lang w:val="en-GB"/>
        </w:rPr>
      </w:pPr>
      <w:r w:rsidRPr="00040FB6">
        <w:rPr>
          <w:b/>
          <w:bCs/>
          <w:spacing w:val="-3"/>
          <w:sz w:val="28"/>
          <w:szCs w:val="28"/>
          <w:lang w:val="en-GB"/>
        </w:rPr>
        <w:t>Programme and risk m</w:t>
      </w:r>
      <w:r w:rsidR="00652595" w:rsidRPr="00040FB6">
        <w:rPr>
          <w:b/>
          <w:bCs/>
          <w:spacing w:val="-3"/>
          <w:sz w:val="28"/>
          <w:szCs w:val="28"/>
          <w:lang w:val="en-GB"/>
        </w:rPr>
        <w:t xml:space="preserve">anagement </w:t>
      </w:r>
    </w:p>
    <w:p w:rsidR="00652595" w:rsidRPr="00040FB6" w:rsidRDefault="00652595" w:rsidP="009D5342">
      <w:pPr>
        <w:tabs>
          <w:tab w:val="left" w:pos="1260"/>
        </w:tabs>
        <w:ind w:left="900" w:right="720"/>
        <w:rPr>
          <w:color w:val="000000"/>
          <w:sz w:val="20"/>
          <w:szCs w:val="20"/>
          <w:u w:color="000000"/>
          <w:lang w:val="en-GB"/>
        </w:rPr>
      </w:pPr>
    </w:p>
    <w:p w:rsidR="00652595" w:rsidRPr="00040FB6" w:rsidRDefault="002D5F61" w:rsidP="002D5F6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jc w:val="both"/>
        <w:rPr>
          <w:color w:val="000000"/>
          <w:sz w:val="20"/>
          <w:szCs w:val="20"/>
          <w:u w:color="000000"/>
          <w:lang w:val="en-GB"/>
        </w:rPr>
      </w:pPr>
      <w:r>
        <w:rPr>
          <w:color w:val="000000"/>
          <w:sz w:val="20"/>
          <w:szCs w:val="20"/>
          <w:u w:color="000000"/>
          <w:lang w:val="en-GB"/>
        </w:rPr>
        <w:t>2</w:t>
      </w:r>
      <w:r w:rsidR="003B041D">
        <w:rPr>
          <w:color w:val="000000"/>
          <w:sz w:val="20"/>
          <w:szCs w:val="20"/>
          <w:u w:color="000000"/>
          <w:lang w:val="en-GB"/>
        </w:rPr>
        <w:t>4</w:t>
      </w:r>
      <w:r>
        <w:rPr>
          <w:color w:val="000000"/>
          <w:sz w:val="20"/>
          <w:szCs w:val="20"/>
          <w:u w:color="000000"/>
          <w:lang w:val="en-GB"/>
        </w:rPr>
        <w:t>.</w:t>
      </w:r>
      <w:r>
        <w:rPr>
          <w:color w:val="000000"/>
          <w:sz w:val="20"/>
          <w:szCs w:val="20"/>
          <w:u w:color="000000"/>
          <w:lang w:val="en-GB"/>
        </w:rPr>
        <w:tab/>
      </w:r>
      <w:r w:rsidR="00652595" w:rsidRPr="00040FB6">
        <w:rPr>
          <w:color w:val="000000"/>
          <w:sz w:val="20"/>
          <w:szCs w:val="20"/>
          <w:u w:color="000000"/>
          <w:lang w:val="en-GB"/>
        </w:rPr>
        <w:t xml:space="preserve">This </w:t>
      </w:r>
      <w:r w:rsidR="00C1589E" w:rsidRPr="00040FB6">
        <w:rPr>
          <w:color w:val="000000"/>
          <w:sz w:val="20"/>
          <w:szCs w:val="20"/>
          <w:u w:color="000000"/>
          <w:lang w:val="en-GB"/>
        </w:rPr>
        <w:t xml:space="preserve">country programme document </w:t>
      </w:r>
      <w:r w:rsidR="00652595" w:rsidRPr="00040FB6">
        <w:rPr>
          <w:color w:val="000000"/>
          <w:sz w:val="20"/>
          <w:szCs w:val="20"/>
          <w:u w:color="000000"/>
          <w:lang w:val="en-GB"/>
        </w:rPr>
        <w:t>outlines UNDP contributions to national results and serves as the primary</w:t>
      </w:r>
      <w:r w:rsidR="005352F7" w:rsidRPr="00040FB6">
        <w:rPr>
          <w:color w:val="000000"/>
          <w:sz w:val="20"/>
          <w:szCs w:val="20"/>
          <w:u w:color="000000"/>
          <w:lang w:val="en-GB"/>
        </w:rPr>
        <w:t xml:space="preserve"> basis</w:t>
      </w:r>
      <w:r w:rsidR="00652595" w:rsidRPr="00040FB6">
        <w:rPr>
          <w:color w:val="000000"/>
          <w:sz w:val="20"/>
          <w:szCs w:val="20"/>
          <w:u w:color="000000"/>
          <w:lang w:val="en-GB"/>
        </w:rPr>
        <w:t xml:space="preserve"> of accountability to the Executive Board for results alignment and resources assigned to the programme at</w:t>
      </w:r>
      <w:r w:rsidR="005352F7" w:rsidRPr="00040FB6">
        <w:rPr>
          <w:color w:val="000000"/>
          <w:sz w:val="20"/>
          <w:szCs w:val="20"/>
          <w:u w:color="000000"/>
          <w:lang w:val="en-GB"/>
        </w:rPr>
        <w:t xml:space="preserve"> </w:t>
      </w:r>
      <w:r w:rsidR="00C1589E" w:rsidRPr="00040FB6">
        <w:rPr>
          <w:color w:val="000000"/>
          <w:sz w:val="20"/>
          <w:szCs w:val="20"/>
          <w:u w:color="000000"/>
          <w:lang w:val="en-GB"/>
        </w:rPr>
        <w:t xml:space="preserve">the </w:t>
      </w:r>
      <w:r w:rsidR="005352F7" w:rsidRPr="00040FB6">
        <w:rPr>
          <w:color w:val="000000"/>
          <w:sz w:val="20"/>
          <w:szCs w:val="20"/>
          <w:u w:color="000000"/>
          <w:lang w:val="en-GB"/>
        </w:rPr>
        <w:t>country level. Accountabilit</w:t>
      </w:r>
      <w:r w:rsidR="00C1589E" w:rsidRPr="00040FB6">
        <w:rPr>
          <w:color w:val="000000"/>
          <w:sz w:val="20"/>
          <w:szCs w:val="20"/>
          <w:u w:color="000000"/>
          <w:lang w:val="en-GB"/>
        </w:rPr>
        <w:t>ies</w:t>
      </w:r>
      <w:r w:rsidR="00652595" w:rsidRPr="00040FB6">
        <w:rPr>
          <w:color w:val="000000"/>
          <w:sz w:val="20"/>
          <w:szCs w:val="20"/>
          <w:u w:color="000000"/>
          <w:lang w:val="en-GB"/>
        </w:rPr>
        <w:t xml:space="preserve"> of managers at the country, regional and headquarter</w:t>
      </w:r>
      <w:r w:rsidR="00C1589E" w:rsidRPr="00040FB6">
        <w:rPr>
          <w:color w:val="000000"/>
          <w:sz w:val="20"/>
          <w:szCs w:val="20"/>
          <w:u w:color="000000"/>
          <w:lang w:val="en-GB"/>
        </w:rPr>
        <w:t>s</w:t>
      </w:r>
      <w:r w:rsidR="00652595" w:rsidRPr="00040FB6">
        <w:rPr>
          <w:color w:val="000000"/>
          <w:sz w:val="20"/>
          <w:szCs w:val="20"/>
          <w:u w:color="000000"/>
          <w:lang w:val="en-GB"/>
        </w:rPr>
        <w:t xml:space="preserve"> levels with respect to country program</w:t>
      </w:r>
      <w:r w:rsidR="005352F7" w:rsidRPr="00040FB6">
        <w:rPr>
          <w:color w:val="000000"/>
          <w:sz w:val="20"/>
          <w:szCs w:val="20"/>
          <w:u w:color="000000"/>
          <w:lang w:val="en-GB"/>
        </w:rPr>
        <w:t xml:space="preserve">mes </w:t>
      </w:r>
      <w:r w:rsidR="00C1589E" w:rsidRPr="00040FB6">
        <w:rPr>
          <w:color w:val="000000"/>
          <w:sz w:val="20"/>
          <w:szCs w:val="20"/>
          <w:u w:color="000000"/>
          <w:lang w:val="en-GB"/>
        </w:rPr>
        <w:t>are</w:t>
      </w:r>
      <w:r w:rsidR="00652595" w:rsidRPr="00040FB6">
        <w:rPr>
          <w:color w:val="000000"/>
          <w:sz w:val="20"/>
          <w:szCs w:val="20"/>
          <w:u w:color="000000"/>
          <w:lang w:val="en-GB"/>
        </w:rPr>
        <w:t xml:space="preserve"> prescribed in the </w:t>
      </w:r>
      <w:r>
        <w:rPr>
          <w:color w:val="000000"/>
          <w:sz w:val="20"/>
          <w:szCs w:val="20"/>
          <w:u w:color="000000"/>
          <w:lang w:val="en-GB"/>
        </w:rPr>
        <w:t xml:space="preserve">UNDP </w:t>
      </w:r>
      <w:hyperlink r:id="rId13" w:history="1">
        <w:r w:rsidR="00652595" w:rsidRPr="00040FB6">
          <w:rPr>
            <w:color w:val="000000"/>
            <w:sz w:val="20"/>
            <w:szCs w:val="20"/>
            <w:u w:color="000000"/>
            <w:lang w:val="en-GB"/>
          </w:rPr>
          <w:t>programme and operations policies and procedures</w:t>
        </w:r>
      </w:hyperlink>
      <w:r w:rsidR="00652595" w:rsidRPr="00040FB6">
        <w:rPr>
          <w:color w:val="000000"/>
          <w:sz w:val="20"/>
          <w:szCs w:val="20"/>
          <w:u w:color="000000"/>
          <w:lang w:val="en-GB"/>
        </w:rPr>
        <w:t xml:space="preserve"> and the </w:t>
      </w:r>
      <w:hyperlink r:id="rId14" w:history="1">
        <w:r w:rsidR="00652595" w:rsidRPr="00040FB6">
          <w:rPr>
            <w:color w:val="000000"/>
            <w:sz w:val="20"/>
            <w:szCs w:val="20"/>
            <w:u w:color="000000"/>
            <w:lang w:val="en-GB"/>
          </w:rPr>
          <w:t>internal controls framework</w:t>
        </w:r>
      </w:hyperlink>
      <w:r w:rsidR="00652595" w:rsidRPr="00040FB6">
        <w:rPr>
          <w:color w:val="000000"/>
          <w:sz w:val="20"/>
          <w:szCs w:val="20"/>
          <w:u w:color="000000"/>
          <w:lang w:val="en-GB"/>
        </w:rPr>
        <w:t>.</w:t>
      </w:r>
    </w:p>
    <w:p w:rsidR="00652595" w:rsidRPr="00040FB6" w:rsidRDefault="002D5F61" w:rsidP="002D5F6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jc w:val="both"/>
        <w:rPr>
          <w:color w:val="000000"/>
          <w:sz w:val="20"/>
          <w:szCs w:val="20"/>
          <w:u w:color="000000"/>
          <w:lang w:val="en-GB"/>
        </w:rPr>
      </w:pPr>
      <w:r>
        <w:rPr>
          <w:color w:val="000000"/>
          <w:sz w:val="20"/>
          <w:szCs w:val="20"/>
          <w:u w:color="000000"/>
          <w:lang w:val="en-GB"/>
        </w:rPr>
        <w:t>2</w:t>
      </w:r>
      <w:r w:rsidR="003B041D">
        <w:rPr>
          <w:color w:val="000000"/>
          <w:sz w:val="20"/>
          <w:szCs w:val="20"/>
          <w:u w:color="000000"/>
          <w:lang w:val="en-GB"/>
        </w:rPr>
        <w:t>5</w:t>
      </w:r>
      <w:r>
        <w:rPr>
          <w:color w:val="000000"/>
          <w:sz w:val="20"/>
          <w:szCs w:val="20"/>
          <w:u w:color="000000"/>
          <w:lang w:val="en-GB"/>
        </w:rPr>
        <w:t>.</w:t>
      </w:r>
      <w:r>
        <w:rPr>
          <w:color w:val="000000"/>
          <w:sz w:val="20"/>
          <w:szCs w:val="20"/>
          <w:u w:color="000000"/>
          <w:lang w:val="en-GB"/>
        </w:rPr>
        <w:tab/>
      </w:r>
      <w:r w:rsidR="00652595" w:rsidRPr="00040FB6">
        <w:rPr>
          <w:color w:val="000000"/>
          <w:sz w:val="20"/>
          <w:szCs w:val="20"/>
          <w:u w:color="000000"/>
          <w:lang w:val="en-GB"/>
        </w:rPr>
        <w:t>UNDP faces a number of major external and internal risks to successful programme imple</w:t>
      </w:r>
      <w:r w:rsidR="005352F7" w:rsidRPr="00040FB6">
        <w:rPr>
          <w:color w:val="000000"/>
          <w:sz w:val="20"/>
          <w:szCs w:val="20"/>
          <w:u w:color="000000"/>
          <w:lang w:val="en-GB"/>
        </w:rPr>
        <w:t>mentation. T</w:t>
      </w:r>
      <w:r w:rsidR="00652595" w:rsidRPr="00040FB6">
        <w:rPr>
          <w:color w:val="000000"/>
          <w:sz w:val="20"/>
          <w:szCs w:val="20"/>
          <w:u w:color="000000"/>
          <w:lang w:val="en-GB"/>
        </w:rPr>
        <w:t xml:space="preserve">here is </w:t>
      </w:r>
      <w:r w:rsidR="005352F7" w:rsidRPr="00040FB6">
        <w:rPr>
          <w:color w:val="000000"/>
          <w:sz w:val="20"/>
          <w:szCs w:val="20"/>
          <w:u w:color="000000"/>
          <w:lang w:val="en-GB"/>
        </w:rPr>
        <w:t xml:space="preserve">a </w:t>
      </w:r>
      <w:r w:rsidR="00652595" w:rsidRPr="00040FB6">
        <w:rPr>
          <w:color w:val="000000"/>
          <w:sz w:val="20"/>
          <w:szCs w:val="20"/>
          <w:u w:color="000000"/>
          <w:lang w:val="en-GB"/>
        </w:rPr>
        <w:t>possibility of a major escalation of conflict, increased militarization, de-prioritization of key reforms or their co-option by vested interests, partisan gridlock</w:t>
      </w:r>
      <w:r w:rsidR="00440082" w:rsidRPr="00040FB6">
        <w:rPr>
          <w:color w:val="000000"/>
          <w:sz w:val="20"/>
          <w:szCs w:val="20"/>
          <w:u w:color="000000"/>
          <w:lang w:val="en-GB"/>
        </w:rPr>
        <w:t>,</w:t>
      </w:r>
      <w:r w:rsidR="00652595" w:rsidRPr="00040FB6">
        <w:rPr>
          <w:color w:val="000000"/>
          <w:sz w:val="20"/>
          <w:szCs w:val="20"/>
          <w:u w:color="000000"/>
          <w:lang w:val="en-GB"/>
        </w:rPr>
        <w:t xml:space="preserve"> and continuing shortfalls in partner capacity. In the latter case, the main risks are a slow speed of response, high staff turnover</w:t>
      </w:r>
      <w:r>
        <w:rPr>
          <w:color w:val="000000"/>
          <w:sz w:val="20"/>
          <w:szCs w:val="20"/>
          <w:u w:color="000000"/>
          <w:lang w:val="en-GB"/>
        </w:rPr>
        <w:t>,</w:t>
      </w:r>
      <w:r w:rsidR="00652595" w:rsidRPr="00040FB6">
        <w:rPr>
          <w:color w:val="000000"/>
          <w:sz w:val="20"/>
          <w:szCs w:val="20"/>
          <w:u w:color="000000"/>
          <w:lang w:val="en-GB"/>
        </w:rPr>
        <w:t xml:space="preserve"> and restrictions imposed by the security environment. </w:t>
      </w:r>
    </w:p>
    <w:p w:rsidR="00652595" w:rsidRPr="00040FB6" w:rsidRDefault="002D5F61" w:rsidP="002D5F6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jc w:val="both"/>
        <w:rPr>
          <w:color w:val="000000"/>
          <w:sz w:val="20"/>
          <w:szCs w:val="20"/>
          <w:u w:color="000000"/>
          <w:lang w:val="en-GB"/>
        </w:rPr>
      </w:pPr>
      <w:r>
        <w:rPr>
          <w:color w:val="000000"/>
          <w:sz w:val="20"/>
          <w:szCs w:val="20"/>
          <w:u w:color="000000"/>
          <w:lang w:val="en-GB"/>
        </w:rPr>
        <w:t>2</w:t>
      </w:r>
      <w:r w:rsidR="003B041D">
        <w:rPr>
          <w:color w:val="000000"/>
          <w:sz w:val="20"/>
          <w:szCs w:val="20"/>
          <w:u w:color="000000"/>
          <w:lang w:val="en-GB"/>
        </w:rPr>
        <w:t>6</w:t>
      </w:r>
      <w:r>
        <w:rPr>
          <w:color w:val="000000"/>
          <w:sz w:val="20"/>
          <w:szCs w:val="20"/>
          <w:u w:color="000000"/>
          <w:lang w:val="en-GB"/>
        </w:rPr>
        <w:t>.</w:t>
      </w:r>
      <w:r>
        <w:rPr>
          <w:color w:val="000000"/>
          <w:sz w:val="20"/>
          <w:szCs w:val="20"/>
          <w:u w:color="000000"/>
          <w:lang w:val="en-GB"/>
        </w:rPr>
        <w:tab/>
      </w:r>
      <w:r w:rsidR="00652595" w:rsidRPr="00040FB6">
        <w:rPr>
          <w:color w:val="000000"/>
          <w:sz w:val="20"/>
          <w:szCs w:val="20"/>
          <w:u w:color="000000"/>
          <w:lang w:val="en-GB"/>
        </w:rPr>
        <w:t>To help mitigate these risks (to the extent feasible in a complex and volatile situation)</w:t>
      </w:r>
      <w:r w:rsidR="00BB228A" w:rsidRPr="00040FB6">
        <w:rPr>
          <w:color w:val="000000"/>
          <w:sz w:val="20"/>
          <w:szCs w:val="20"/>
          <w:u w:color="000000"/>
          <w:lang w:val="en-GB"/>
        </w:rPr>
        <w:t xml:space="preserve"> UNDP will engage </w:t>
      </w:r>
      <w:r w:rsidR="00652595" w:rsidRPr="00040FB6">
        <w:rPr>
          <w:color w:val="000000"/>
          <w:sz w:val="20"/>
          <w:szCs w:val="20"/>
          <w:u w:color="000000"/>
          <w:lang w:val="en-GB"/>
        </w:rPr>
        <w:t xml:space="preserve">with government and national partners to maximize national ownership, broaden the base of national implementation and apply a rigorous vetting processes to verify the capacity of partners, taking remedial action where needed. </w:t>
      </w:r>
      <w:r w:rsidR="005352F7" w:rsidRPr="00040FB6">
        <w:rPr>
          <w:color w:val="000000"/>
          <w:sz w:val="20"/>
          <w:szCs w:val="20"/>
          <w:u w:color="000000"/>
          <w:lang w:val="en-GB"/>
        </w:rPr>
        <w:t xml:space="preserve">National staff will be trained to assume greater responsibilities in anticipation of any sudden evacuation of internationals. </w:t>
      </w:r>
      <w:r w:rsidR="00652595" w:rsidRPr="00040FB6">
        <w:rPr>
          <w:color w:val="000000"/>
          <w:sz w:val="20"/>
          <w:szCs w:val="20"/>
          <w:u w:color="000000"/>
          <w:lang w:val="en-GB"/>
        </w:rPr>
        <w:t>UNDP will introduce greater flexibility and responsiveness in its programming through area-based assessments and monitoring exercises aim</w:t>
      </w:r>
      <w:r w:rsidR="00E706DA">
        <w:rPr>
          <w:color w:val="000000"/>
          <w:sz w:val="20"/>
          <w:szCs w:val="20"/>
          <w:u w:color="000000"/>
          <w:lang w:val="en-GB"/>
        </w:rPr>
        <w:t>ed</w:t>
      </w:r>
      <w:r w:rsidR="00652595" w:rsidRPr="00040FB6">
        <w:rPr>
          <w:color w:val="000000"/>
          <w:sz w:val="20"/>
          <w:szCs w:val="20"/>
          <w:u w:color="000000"/>
          <w:lang w:val="en-GB"/>
        </w:rPr>
        <w:t xml:space="preserve"> at early detection of challenges</w:t>
      </w:r>
      <w:r w:rsidR="00E706DA">
        <w:rPr>
          <w:color w:val="000000"/>
          <w:sz w:val="20"/>
          <w:szCs w:val="20"/>
          <w:u w:color="000000"/>
          <w:lang w:val="en-GB"/>
        </w:rPr>
        <w:t>,</w:t>
      </w:r>
      <w:r w:rsidR="00652595" w:rsidRPr="00040FB6">
        <w:rPr>
          <w:color w:val="000000"/>
          <w:sz w:val="20"/>
          <w:szCs w:val="20"/>
          <w:u w:color="000000"/>
          <w:lang w:val="en-GB"/>
        </w:rPr>
        <w:t xml:space="preserve"> and </w:t>
      </w:r>
      <w:r w:rsidR="00E706DA">
        <w:rPr>
          <w:color w:val="000000"/>
          <w:sz w:val="20"/>
          <w:szCs w:val="20"/>
          <w:u w:color="000000"/>
          <w:lang w:val="en-GB"/>
        </w:rPr>
        <w:t xml:space="preserve">will </w:t>
      </w:r>
      <w:r w:rsidR="00652595" w:rsidRPr="00040FB6">
        <w:rPr>
          <w:color w:val="000000"/>
          <w:sz w:val="20"/>
          <w:szCs w:val="20"/>
          <w:u w:color="000000"/>
          <w:lang w:val="en-GB"/>
        </w:rPr>
        <w:t xml:space="preserve">apply fast-track procedures whenever necessary. These measures will be complemented by </w:t>
      </w:r>
      <w:r w:rsidR="00D63284" w:rsidRPr="00040FB6">
        <w:rPr>
          <w:color w:val="000000"/>
          <w:sz w:val="20"/>
          <w:szCs w:val="20"/>
          <w:u w:color="000000"/>
          <w:lang w:val="en-GB"/>
        </w:rPr>
        <w:t>a </w:t>
      </w:r>
      <w:r w:rsidR="00652595" w:rsidRPr="00040FB6">
        <w:rPr>
          <w:color w:val="000000"/>
          <w:sz w:val="20"/>
          <w:szCs w:val="20"/>
          <w:u w:color="000000"/>
          <w:lang w:val="en-GB"/>
        </w:rPr>
        <w:t>further expansion of UNDP presence in the country</w:t>
      </w:r>
      <w:r w:rsidR="00BB228A" w:rsidRPr="00040FB6">
        <w:rPr>
          <w:color w:val="000000"/>
          <w:sz w:val="20"/>
          <w:szCs w:val="20"/>
          <w:u w:color="000000"/>
          <w:lang w:val="en-GB"/>
        </w:rPr>
        <w:t xml:space="preserve">. </w:t>
      </w:r>
      <w:r w:rsidR="00652595" w:rsidRPr="00040FB6">
        <w:rPr>
          <w:color w:val="000000"/>
          <w:sz w:val="20"/>
          <w:szCs w:val="20"/>
          <w:u w:color="000000"/>
          <w:lang w:val="en-GB"/>
        </w:rPr>
        <w:t xml:space="preserve">Erbil is now a thriving programmatic </w:t>
      </w:r>
      <w:r w:rsidR="005352F7" w:rsidRPr="00040FB6">
        <w:rPr>
          <w:color w:val="000000"/>
          <w:sz w:val="20"/>
          <w:szCs w:val="20"/>
          <w:u w:color="000000"/>
          <w:lang w:val="en-GB"/>
        </w:rPr>
        <w:t xml:space="preserve">and operational </w:t>
      </w:r>
      <w:r w:rsidR="00652595" w:rsidRPr="00040FB6">
        <w:rPr>
          <w:color w:val="000000"/>
          <w:sz w:val="20"/>
          <w:szCs w:val="20"/>
          <w:u w:color="000000"/>
          <w:lang w:val="en-GB"/>
        </w:rPr>
        <w:t xml:space="preserve">hub, and operations </w:t>
      </w:r>
      <w:r w:rsidR="00E706DA">
        <w:rPr>
          <w:color w:val="000000"/>
          <w:sz w:val="20"/>
          <w:szCs w:val="20"/>
          <w:u w:color="000000"/>
          <w:lang w:val="en-GB"/>
        </w:rPr>
        <w:t>have been</w:t>
      </w:r>
      <w:r w:rsidR="00652595" w:rsidRPr="00040FB6">
        <w:rPr>
          <w:color w:val="000000"/>
          <w:sz w:val="20"/>
          <w:szCs w:val="20"/>
          <w:u w:color="000000"/>
          <w:lang w:val="en-GB"/>
        </w:rPr>
        <w:t xml:space="preserve"> extended to Basra, which will serve southern governorates</w:t>
      </w:r>
      <w:r w:rsidR="00D63284" w:rsidRPr="00040FB6">
        <w:rPr>
          <w:color w:val="000000"/>
          <w:sz w:val="20"/>
          <w:szCs w:val="20"/>
          <w:u w:color="000000"/>
          <w:lang w:val="en-GB"/>
        </w:rPr>
        <w:t>,</w:t>
      </w:r>
      <w:r w:rsidR="00652595" w:rsidRPr="00040FB6">
        <w:rPr>
          <w:color w:val="000000"/>
          <w:sz w:val="20"/>
          <w:szCs w:val="20"/>
          <w:u w:color="000000"/>
          <w:lang w:val="en-GB"/>
        </w:rPr>
        <w:t xml:space="preserve"> and Karbala</w:t>
      </w:r>
      <w:r w:rsidR="00D63284" w:rsidRPr="00040FB6">
        <w:rPr>
          <w:color w:val="000000"/>
          <w:sz w:val="20"/>
          <w:szCs w:val="20"/>
          <w:u w:color="000000"/>
          <w:lang w:val="en-GB"/>
        </w:rPr>
        <w:t>,</w:t>
      </w:r>
      <w:r w:rsidR="00652595" w:rsidRPr="00040FB6">
        <w:rPr>
          <w:color w:val="000000"/>
          <w:sz w:val="20"/>
          <w:szCs w:val="20"/>
          <w:u w:color="000000"/>
          <w:lang w:val="en-GB"/>
        </w:rPr>
        <w:t xml:space="preserve"> for the mid-Euphrates governorates. </w:t>
      </w:r>
      <w:r w:rsidR="005352F7" w:rsidRPr="00040FB6">
        <w:rPr>
          <w:color w:val="000000"/>
          <w:sz w:val="20"/>
          <w:szCs w:val="20"/>
          <w:u w:color="000000"/>
          <w:lang w:val="en-GB"/>
        </w:rPr>
        <w:t xml:space="preserve">During </w:t>
      </w:r>
      <w:r w:rsidR="00652595" w:rsidRPr="00040FB6">
        <w:rPr>
          <w:color w:val="000000"/>
          <w:sz w:val="20"/>
          <w:szCs w:val="20"/>
          <w:u w:color="000000"/>
          <w:lang w:val="en-GB"/>
        </w:rPr>
        <w:t xml:space="preserve">this </w:t>
      </w:r>
      <w:r w:rsidR="00D63284" w:rsidRPr="00040FB6">
        <w:rPr>
          <w:color w:val="000000"/>
          <w:sz w:val="20"/>
          <w:szCs w:val="20"/>
          <w:u w:color="000000"/>
          <w:lang w:val="en-GB"/>
        </w:rPr>
        <w:t xml:space="preserve">country programme </w:t>
      </w:r>
      <w:r w:rsidR="00652595" w:rsidRPr="00040FB6">
        <w:rPr>
          <w:color w:val="000000"/>
          <w:sz w:val="20"/>
          <w:szCs w:val="20"/>
          <w:u w:color="000000"/>
          <w:lang w:val="en-GB"/>
        </w:rPr>
        <w:t xml:space="preserve">period, further expansion is envisioned in Kirkuk, as security permits. </w:t>
      </w:r>
      <w:r w:rsidR="00E706DA">
        <w:rPr>
          <w:color w:val="000000"/>
          <w:sz w:val="20"/>
          <w:szCs w:val="20"/>
          <w:u w:color="000000"/>
          <w:lang w:val="en-GB"/>
        </w:rPr>
        <w:t>S</w:t>
      </w:r>
      <w:r w:rsidR="00652595" w:rsidRPr="00040FB6">
        <w:rPr>
          <w:color w:val="000000"/>
          <w:sz w:val="20"/>
          <w:szCs w:val="20"/>
          <w:u w:color="000000"/>
          <w:lang w:val="en-GB"/>
        </w:rPr>
        <w:t xml:space="preserve">ecurity risks will be managed through periodic programme criticality exercises </w:t>
      </w:r>
      <w:r w:rsidR="00440082" w:rsidRPr="00040FB6">
        <w:rPr>
          <w:color w:val="000000"/>
          <w:sz w:val="20"/>
          <w:szCs w:val="20"/>
          <w:u w:color="000000"/>
          <w:lang w:val="en-GB"/>
        </w:rPr>
        <w:t>so as</w:t>
      </w:r>
      <w:r w:rsidR="00652595" w:rsidRPr="00040FB6">
        <w:rPr>
          <w:color w:val="000000"/>
          <w:sz w:val="20"/>
          <w:szCs w:val="20"/>
          <w:u w:color="000000"/>
          <w:lang w:val="en-GB"/>
        </w:rPr>
        <w:t xml:space="preserve"> to establish appropriate institutional arrangements. Th</w:t>
      </w:r>
      <w:r w:rsidR="00D63284" w:rsidRPr="00040FB6">
        <w:rPr>
          <w:color w:val="000000"/>
          <w:sz w:val="20"/>
          <w:szCs w:val="20"/>
          <w:u w:color="000000"/>
          <w:lang w:val="en-GB"/>
        </w:rPr>
        <w:t>ese</w:t>
      </w:r>
      <w:r w:rsidR="00652595" w:rsidRPr="00040FB6">
        <w:rPr>
          <w:color w:val="000000"/>
          <w:sz w:val="20"/>
          <w:szCs w:val="20"/>
          <w:u w:color="000000"/>
          <w:lang w:val="en-GB"/>
        </w:rPr>
        <w:t xml:space="preserve"> will be reinforced by updated business continuity plans; more collective approaches (with UNAMI and the U</w:t>
      </w:r>
      <w:r w:rsidR="00D63284" w:rsidRPr="00040FB6">
        <w:rPr>
          <w:color w:val="000000"/>
          <w:sz w:val="20"/>
          <w:szCs w:val="20"/>
          <w:u w:color="000000"/>
          <w:lang w:val="en-GB"/>
        </w:rPr>
        <w:t>nited Nations country team</w:t>
      </w:r>
      <w:r w:rsidR="00652595" w:rsidRPr="00040FB6">
        <w:rPr>
          <w:color w:val="000000"/>
          <w:sz w:val="20"/>
          <w:szCs w:val="20"/>
          <w:u w:color="000000"/>
          <w:lang w:val="en-GB"/>
        </w:rPr>
        <w:t>) for managing risk; and more realistic mutual expectations between the Government, UNAMI, UNDP, other national partners</w:t>
      </w:r>
      <w:r w:rsidR="00D63284" w:rsidRPr="00040FB6">
        <w:rPr>
          <w:color w:val="000000"/>
          <w:sz w:val="20"/>
          <w:szCs w:val="20"/>
          <w:u w:color="000000"/>
          <w:lang w:val="en-GB"/>
        </w:rPr>
        <w:t>,</w:t>
      </w:r>
      <w:r w:rsidR="00652595" w:rsidRPr="00040FB6">
        <w:rPr>
          <w:color w:val="000000"/>
          <w:sz w:val="20"/>
          <w:szCs w:val="20"/>
          <w:u w:color="000000"/>
          <w:lang w:val="en-GB"/>
        </w:rPr>
        <w:t xml:space="preserve"> and donors. </w:t>
      </w:r>
      <w:r w:rsidR="005352F7" w:rsidRPr="00040FB6">
        <w:rPr>
          <w:color w:val="000000"/>
          <w:sz w:val="20"/>
          <w:szCs w:val="20"/>
          <w:u w:color="000000"/>
          <w:lang w:val="en-GB"/>
        </w:rPr>
        <w:t xml:space="preserve">Risk transfer through the utilization of recruitment companies will ensure </w:t>
      </w:r>
      <w:r w:rsidR="00440082" w:rsidRPr="00040FB6">
        <w:rPr>
          <w:color w:val="000000"/>
          <w:sz w:val="20"/>
          <w:szCs w:val="20"/>
          <w:u w:color="000000"/>
          <w:lang w:val="en-GB"/>
        </w:rPr>
        <w:t>that</w:t>
      </w:r>
      <w:r w:rsidR="005352F7" w:rsidRPr="00040FB6">
        <w:rPr>
          <w:color w:val="000000"/>
          <w:sz w:val="20"/>
          <w:szCs w:val="20"/>
          <w:u w:color="000000"/>
          <w:lang w:val="en-GB"/>
        </w:rPr>
        <w:t xml:space="preserve"> needed international experts </w:t>
      </w:r>
      <w:r w:rsidR="00440082" w:rsidRPr="00040FB6">
        <w:rPr>
          <w:color w:val="000000"/>
          <w:sz w:val="20"/>
          <w:szCs w:val="20"/>
          <w:u w:color="000000"/>
          <w:lang w:val="en-GB"/>
        </w:rPr>
        <w:t xml:space="preserve">are deployed </w:t>
      </w:r>
      <w:r w:rsidR="005352F7" w:rsidRPr="00040FB6">
        <w:rPr>
          <w:color w:val="000000"/>
          <w:sz w:val="20"/>
          <w:szCs w:val="20"/>
          <w:u w:color="000000"/>
          <w:lang w:val="en-GB"/>
        </w:rPr>
        <w:t>in high</w:t>
      </w:r>
      <w:r w:rsidR="00D63284" w:rsidRPr="00040FB6">
        <w:rPr>
          <w:color w:val="000000"/>
          <w:sz w:val="20"/>
          <w:szCs w:val="20"/>
          <w:u w:color="000000"/>
          <w:lang w:val="en-GB"/>
        </w:rPr>
        <w:t>-</w:t>
      </w:r>
      <w:r w:rsidR="005352F7" w:rsidRPr="00040FB6">
        <w:rPr>
          <w:color w:val="000000"/>
          <w:sz w:val="20"/>
          <w:szCs w:val="20"/>
          <w:u w:color="000000"/>
          <w:lang w:val="en-GB"/>
        </w:rPr>
        <w:t>risk areas.</w:t>
      </w:r>
    </w:p>
    <w:p w:rsidR="00652595" w:rsidRPr="00040FB6" w:rsidRDefault="00E706DA" w:rsidP="0088663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260"/>
        </w:tabs>
        <w:autoSpaceDE w:val="0"/>
        <w:autoSpaceDN w:val="0"/>
        <w:adjustRightInd w:val="0"/>
        <w:ind w:left="907" w:right="720"/>
        <w:jc w:val="both"/>
        <w:rPr>
          <w:color w:val="000000"/>
          <w:sz w:val="20"/>
          <w:szCs w:val="20"/>
          <w:u w:color="000000"/>
          <w:lang w:val="en-GB"/>
        </w:rPr>
      </w:pPr>
      <w:r>
        <w:rPr>
          <w:color w:val="000000"/>
          <w:sz w:val="20"/>
          <w:szCs w:val="20"/>
          <w:u w:color="000000"/>
          <w:lang w:val="en-GB"/>
        </w:rPr>
        <w:t>2</w:t>
      </w:r>
      <w:r w:rsidR="003B041D">
        <w:rPr>
          <w:color w:val="000000"/>
          <w:sz w:val="20"/>
          <w:szCs w:val="20"/>
          <w:u w:color="000000"/>
          <w:lang w:val="en-GB"/>
        </w:rPr>
        <w:t>7</w:t>
      </w:r>
      <w:r>
        <w:rPr>
          <w:color w:val="000000"/>
          <w:sz w:val="20"/>
          <w:szCs w:val="20"/>
          <w:u w:color="000000"/>
          <w:lang w:val="en-GB"/>
        </w:rPr>
        <w:t>.</w:t>
      </w:r>
      <w:r>
        <w:rPr>
          <w:color w:val="000000"/>
          <w:sz w:val="20"/>
          <w:szCs w:val="20"/>
          <w:u w:color="000000"/>
          <w:lang w:val="en-GB"/>
        </w:rPr>
        <w:tab/>
      </w:r>
      <w:r w:rsidR="00652595" w:rsidRPr="00040FB6">
        <w:rPr>
          <w:color w:val="000000"/>
          <w:sz w:val="20"/>
          <w:szCs w:val="20"/>
          <w:u w:color="000000"/>
          <w:lang w:val="en-GB"/>
        </w:rPr>
        <w:t>The estimated resource base of the programme is $</w:t>
      </w:r>
      <w:r w:rsidR="008E4F32" w:rsidRPr="00040FB6">
        <w:rPr>
          <w:color w:val="000000"/>
          <w:sz w:val="20"/>
          <w:szCs w:val="20"/>
          <w:u w:color="000000"/>
          <w:lang w:val="en-GB"/>
        </w:rPr>
        <w:t>235,662,000</w:t>
      </w:r>
      <w:r w:rsidR="00652595" w:rsidRPr="00040FB6">
        <w:rPr>
          <w:color w:val="000000"/>
          <w:sz w:val="20"/>
          <w:szCs w:val="20"/>
          <w:u w:color="000000"/>
          <w:lang w:val="en-GB"/>
        </w:rPr>
        <w:t>,</w:t>
      </w:r>
      <w:r w:rsidR="008E4F32" w:rsidRPr="00040FB6">
        <w:rPr>
          <w:color w:val="000000"/>
          <w:sz w:val="20"/>
          <w:szCs w:val="20"/>
          <w:u w:color="000000"/>
          <w:lang w:val="en-GB"/>
        </w:rPr>
        <w:t xml:space="preserve"> approximately $7.7</w:t>
      </w:r>
      <w:r w:rsidR="00D63284" w:rsidRPr="00040FB6">
        <w:rPr>
          <w:color w:val="000000"/>
          <w:sz w:val="20"/>
          <w:szCs w:val="20"/>
          <w:u w:color="000000"/>
          <w:lang w:val="en-GB"/>
        </w:rPr>
        <w:t> </w:t>
      </w:r>
      <w:r w:rsidR="00652595" w:rsidRPr="00040FB6">
        <w:rPr>
          <w:color w:val="000000"/>
          <w:sz w:val="20"/>
          <w:szCs w:val="20"/>
          <w:u w:color="000000"/>
          <w:lang w:val="en-GB"/>
        </w:rPr>
        <w:t xml:space="preserve">million </w:t>
      </w:r>
      <w:r w:rsidR="00D63284" w:rsidRPr="00040FB6">
        <w:rPr>
          <w:color w:val="000000"/>
          <w:sz w:val="20"/>
          <w:szCs w:val="20"/>
          <w:u w:color="000000"/>
          <w:lang w:val="en-GB"/>
        </w:rPr>
        <w:t xml:space="preserve">of which </w:t>
      </w:r>
      <w:r w:rsidR="00652595" w:rsidRPr="00040FB6">
        <w:rPr>
          <w:color w:val="000000"/>
          <w:sz w:val="20"/>
          <w:szCs w:val="20"/>
          <w:u w:color="000000"/>
          <w:lang w:val="en-GB"/>
        </w:rPr>
        <w:t>will come from UNDP regular resources. In addition,</w:t>
      </w:r>
      <w:r w:rsidR="00BB228A" w:rsidRPr="00040FB6">
        <w:rPr>
          <w:color w:val="000000"/>
          <w:sz w:val="20"/>
          <w:szCs w:val="20"/>
          <w:u w:color="000000"/>
          <w:lang w:val="en-GB"/>
        </w:rPr>
        <w:t xml:space="preserve"> </w:t>
      </w:r>
      <w:r w:rsidR="00652595" w:rsidRPr="00040FB6">
        <w:rPr>
          <w:color w:val="000000"/>
          <w:sz w:val="20"/>
          <w:szCs w:val="20"/>
          <w:u w:color="000000"/>
          <w:lang w:val="en-GB"/>
        </w:rPr>
        <w:t>$24 million of other resources is already budgeted and secured for 2016 to add</w:t>
      </w:r>
      <w:r w:rsidR="005352F7" w:rsidRPr="00040FB6">
        <w:rPr>
          <w:color w:val="000000"/>
          <w:sz w:val="20"/>
          <w:szCs w:val="20"/>
          <w:u w:color="000000"/>
          <w:lang w:val="en-GB"/>
        </w:rPr>
        <w:t xml:space="preserve"> to $60 million in </w:t>
      </w:r>
      <w:r w:rsidR="00652595" w:rsidRPr="00040FB6">
        <w:rPr>
          <w:color w:val="000000"/>
          <w:sz w:val="20"/>
          <w:szCs w:val="20"/>
          <w:u w:color="000000"/>
          <w:lang w:val="en-GB"/>
        </w:rPr>
        <w:t xml:space="preserve">hard pipeline. To close remaining funding gaps, UNDP Iraq has developed a strategic </w:t>
      </w:r>
      <w:r w:rsidR="00D63284" w:rsidRPr="00040FB6">
        <w:rPr>
          <w:color w:val="000000"/>
          <w:sz w:val="20"/>
          <w:szCs w:val="20"/>
          <w:u w:color="000000"/>
          <w:lang w:val="en-GB"/>
        </w:rPr>
        <w:t>p</w:t>
      </w:r>
      <w:r w:rsidR="00652595" w:rsidRPr="00040FB6">
        <w:rPr>
          <w:color w:val="000000"/>
          <w:sz w:val="20"/>
          <w:szCs w:val="20"/>
          <w:u w:color="000000"/>
          <w:lang w:val="en-GB"/>
        </w:rPr>
        <w:t xml:space="preserve">artnership and </w:t>
      </w:r>
      <w:r w:rsidR="00D63284" w:rsidRPr="00040FB6">
        <w:rPr>
          <w:color w:val="000000"/>
          <w:sz w:val="20"/>
          <w:szCs w:val="20"/>
          <w:u w:color="000000"/>
          <w:lang w:val="en-GB"/>
        </w:rPr>
        <w:t>r</w:t>
      </w:r>
      <w:r w:rsidR="00652595" w:rsidRPr="00040FB6">
        <w:rPr>
          <w:color w:val="000000"/>
          <w:sz w:val="20"/>
          <w:szCs w:val="20"/>
          <w:u w:color="000000"/>
          <w:lang w:val="en-GB"/>
        </w:rPr>
        <w:t xml:space="preserve">esource </w:t>
      </w:r>
      <w:r w:rsidR="00D63284" w:rsidRPr="00040FB6">
        <w:rPr>
          <w:color w:val="000000"/>
          <w:sz w:val="20"/>
          <w:szCs w:val="20"/>
          <w:u w:color="000000"/>
          <w:lang w:val="en-GB"/>
        </w:rPr>
        <w:t>m</w:t>
      </w:r>
      <w:r w:rsidR="00652595" w:rsidRPr="00040FB6">
        <w:rPr>
          <w:color w:val="000000"/>
          <w:sz w:val="20"/>
          <w:szCs w:val="20"/>
          <w:u w:color="000000"/>
          <w:lang w:val="en-GB"/>
        </w:rPr>
        <w:t>obili</w:t>
      </w:r>
      <w:r w:rsidR="00D63284" w:rsidRPr="00040FB6">
        <w:rPr>
          <w:color w:val="000000"/>
          <w:sz w:val="20"/>
          <w:szCs w:val="20"/>
          <w:u w:color="000000"/>
          <w:lang w:val="en-GB"/>
        </w:rPr>
        <w:t>z</w:t>
      </w:r>
      <w:r w:rsidR="00652595" w:rsidRPr="00040FB6">
        <w:rPr>
          <w:color w:val="000000"/>
          <w:sz w:val="20"/>
          <w:szCs w:val="20"/>
          <w:u w:color="000000"/>
          <w:lang w:val="en-GB"/>
        </w:rPr>
        <w:t xml:space="preserve">ation </w:t>
      </w:r>
      <w:r w:rsidR="00D63284" w:rsidRPr="00040FB6">
        <w:rPr>
          <w:color w:val="000000"/>
          <w:sz w:val="20"/>
          <w:szCs w:val="20"/>
          <w:u w:color="000000"/>
          <w:lang w:val="en-GB"/>
        </w:rPr>
        <w:t>s</w:t>
      </w:r>
      <w:r w:rsidR="00652595" w:rsidRPr="00040FB6">
        <w:rPr>
          <w:color w:val="000000"/>
          <w:sz w:val="20"/>
          <w:szCs w:val="20"/>
          <w:u w:color="000000"/>
          <w:lang w:val="en-GB"/>
        </w:rPr>
        <w:t xml:space="preserve">trategy focused on mobilizing </w:t>
      </w:r>
      <w:r w:rsidR="00D63284" w:rsidRPr="00040FB6">
        <w:rPr>
          <w:color w:val="000000"/>
          <w:sz w:val="20"/>
          <w:szCs w:val="20"/>
          <w:u w:color="000000"/>
          <w:lang w:val="en-GB"/>
        </w:rPr>
        <w:t>a larger</w:t>
      </w:r>
      <w:r w:rsidR="00440082" w:rsidRPr="00040FB6">
        <w:rPr>
          <w:color w:val="000000"/>
          <w:sz w:val="20"/>
          <w:szCs w:val="20"/>
          <w:u w:color="000000"/>
          <w:lang w:val="en-GB"/>
        </w:rPr>
        <w:t>,</w:t>
      </w:r>
      <w:r w:rsidR="00D63284" w:rsidRPr="00040FB6">
        <w:rPr>
          <w:color w:val="000000"/>
          <w:sz w:val="20"/>
          <w:szCs w:val="20"/>
          <w:u w:color="000000"/>
          <w:lang w:val="en-GB"/>
        </w:rPr>
        <w:t xml:space="preserve"> </w:t>
      </w:r>
      <w:r w:rsidR="00652595" w:rsidRPr="00040FB6">
        <w:rPr>
          <w:color w:val="000000"/>
          <w:sz w:val="20"/>
          <w:szCs w:val="20"/>
          <w:u w:color="000000"/>
          <w:lang w:val="en-GB"/>
        </w:rPr>
        <w:t>more predictable resource base and building a greater pool of strategic partnerships</w:t>
      </w:r>
      <w:r w:rsidR="00CA25A0" w:rsidRPr="00040FB6">
        <w:rPr>
          <w:color w:val="000000"/>
          <w:sz w:val="20"/>
          <w:szCs w:val="20"/>
          <w:u w:color="000000"/>
          <w:lang w:val="en-GB"/>
        </w:rPr>
        <w:t xml:space="preserve"> with traditional and emerging donors</w:t>
      </w:r>
      <w:r w:rsidR="00D63284" w:rsidRPr="00040FB6">
        <w:rPr>
          <w:color w:val="000000"/>
          <w:sz w:val="20"/>
          <w:szCs w:val="20"/>
          <w:u w:color="000000"/>
          <w:lang w:val="en-GB"/>
        </w:rPr>
        <w:t>,</w:t>
      </w:r>
      <w:r w:rsidR="00CA25A0" w:rsidRPr="00040FB6">
        <w:rPr>
          <w:color w:val="000000"/>
          <w:sz w:val="20"/>
          <w:szCs w:val="20"/>
          <w:u w:color="000000"/>
          <w:lang w:val="en-GB"/>
        </w:rPr>
        <w:t xml:space="preserve"> including the Go</w:t>
      </w:r>
      <w:r w:rsidR="00D63284" w:rsidRPr="00040FB6">
        <w:rPr>
          <w:color w:val="000000"/>
          <w:sz w:val="20"/>
          <w:szCs w:val="20"/>
          <w:u w:color="000000"/>
          <w:lang w:val="en-GB"/>
        </w:rPr>
        <w:t xml:space="preserve">vernment of </w:t>
      </w:r>
      <w:r w:rsidR="00CA25A0" w:rsidRPr="00040FB6">
        <w:rPr>
          <w:color w:val="000000"/>
          <w:sz w:val="20"/>
          <w:szCs w:val="20"/>
          <w:u w:color="000000"/>
          <w:lang w:val="en-GB"/>
        </w:rPr>
        <w:t>I</w:t>
      </w:r>
      <w:r w:rsidR="00D63284" w:rsidRPr="00040FB6">
        <w:rPr>
          <w:color w:val="000000"/>
          <w:sz w:val="20"/>
          <w:szCs w:val="20"/>
          <w:u w:color="000000"/>
          <w:lang w:val="en-GB"/>
        </w:rPr>
        <w:t xml:space="preserve">raq. </w:t>
      </w:r>
      <w:r w:rsidR="00652595" w:rsidRPr="00040FB6">
        <w:rPr>
          <w:color w:val="000000"/>
          <w:sz w:val="20"/>
          <w:szCs w:val="20"/>
          <w:u w:color="000000"/>
          <w:lang w:val="en-GB"/>
        </w:rPr>
        <w:t xml:space="preserve">It </w:t>
      </w:r>
      <w:r w:rsidR="00652595" w:rsidRPr="00040FB6">
        <w:rPr>
          <w:color w:val="000000"/>
          <w:sz w:val="20"/>
          <w:szCs w:val="20"/>
          <w:u w:color="000000"/>
          <w:lang w:val="en-GB"/>
        </w:rPr>
        <w:lastRenderedPageBreak/>
        <w:t xml:space="preserve">has also established a </w:t>
      </w:r>
      <w:r w:rsidR="00D63284" w:rsidRPr="00040FB6">
        <w:rPr>
          <w:color w:val="000000"/>
          <w:sz w:val="20"/>
          <w:szCs w:val="20"/>
          <w:u w:color="000000"/>
          <w:lang w:val="en-GB"/>
        </w:rPr>
        <w:t>m</w:t>
      </w:r>
      <w:r w:rsidR="00652595" w:rsidRPr="00040FB6">
        <w:rPr>
          <w:color w:val="000000"/>
          <w:sz w:val="20"/>
          <w:szCs w:val="20"/>
          <w:u w:color="000000"/>
          <w:lang w:val="en-GB"/>
        </w:rPr>
        <w:t xml:space="preserve">anagement </w:t>
      </w:r>
      <w:r w:rsidR="00D63284" w:rsidRPr="00040FB6">
        <w:rPr>
          <w:color w:val="000000"/>
          <w:sz w:val="20"/>
          <w:szCs w:val="20"/>
          <w:u w:color="000000"/>
          <w:lang w:val="en-GB"/>
        </w:rPr>
        <w:t>s</w:t>
      </w:r>
      <w:r w:rsidR="00652595" w:rsidRPr="00040FB6">
        <w:rPr>
          <w:color w:val="000000"/>
          <w:sz w:val="20"/>
          <w:szCs w:val="20"/>
          <w:u w:color="000000"/>
          <w:lang w:val="en-GB"/>
        </w:rPr>
        <w:t xml:space="preserve">upport </w:t>
      </w:r>
      <w:r w:rsidR="00D63284" w:rsidRPr="00040FB6">
        <w:rPr>
          <w:color w:val="000000"/>
          <w:sz w:val="20"/>
          <w:szCs w:val="20"/>
          <w:u w:color="000000"/>
          <w:lang w:val="en-GB"/>
        </w:rPr>
        <w:t>u</w:t>
      </w:r>
      <w:r w:rsidR="00652595" w:rsidRPr="00040FB6">
        <w:rPr>
          <w:color w:val="000000"/>
          <w:sz w:val="20"/>
          <w:szCs w:val="20"/>
          <w:u w:color="000000"/>
          <w:lang w:val="en-GB"/>
        </w:rPr>
        <w:t xml:space="preserve">nit dedicated to donor management </w:t>
      </w:r>
      <w:r w:rsidR="00D63284" w:rsidRPr="00040FB6">
        <w:rPr>
          <w:color w:val="000000"/>
          <w:sz w:val="20"/>
          <w:szCs w:val="20"/>
          <w:u w:color="000000"/>
          <w:lang w:val="en-GB"/>
        </w:rPr>
        <w:t>and</w:t>
      </w:r>
      <w:r w:rsidR="00652595" w:rsidRPr="00040FB6">
        <w:rPr>
          <w:color w:val="000000"/>
          <w:sz w:val="20"/>
          <w:szCs w:val="20"/>
          <w:u w:color="000000"/>
          <w:lang w:val="en-GB"/>
        </w:rPr>
        <w:t xml:space="preserve"> outreach to internat</w:t>
      </w:r>
      <w:r w:rsidR="00C31B84" w:rsidRPr="00040FB6">
        <w:rPr>
          <w:color w:val="000000"/>
          <w:sz w:val="20"/>
          <w:szCs w:val="20"/>
          <w:u w:color="000000"/>
          <w:lang w:val="en-GB"/>
        </w:rPr>
        <w:t>ional partners</w:t>
      </w:r>
      <w:r w:rsidR="00652595" w:rsidRPr="00040FB6">
        <w:rPr>
          <w:color w:val="000000"/>
          <w:sz w:val="20"/>
          <w:szCs w:val="20"/>
          <w:u w:color="000000"/>
          <w:lang w:val="en-GB"/>
        </w:rPr>
        <w:t xml:space="preserve">. Resource </w:t>
      </w:r>
      <w:r w:rsidR="00056F74" w:rsidRPr="00040FB6">
        <w:rPr>
          <w:color w:val="000000"/>
          <w:sz w:val="20"/>
          <w:szCs w:val="20"/>
          <w:u w:color="000000"/>
          <w:lang w:val="en-GB"/>
        </w:rPr>
        <w:t>mobilization</w:t>
      </w:r>
      <w:r w:rsidR="00652595" w:rsidRPr="00040FB6">
        <w:rPr>
          <w:color w:val="000000"/>
          <w:sz w:val="20"/>
          <w:szCs w:val="20"/>
          <w:u w:color="000000"/>
          <w:lang w:val="en-GB"/>
        </w:rPr>
        <w:t xml:space="preserve"> is especially challenging, due to limited international donor interest in the sustainable development process in Iraq </w:t>
      </w:r>
      <w:r>
        <w:rPr>
          <w:color w:val="000000"/>
          <w:sz w:val="20"/>
          <w:szCs w:val="20"/>
          <w:u w:color="000000"/>
          <w:lang w:val="en-GB"/>
        </w:rPr>
        <w:t xml:space="preserve">– </w:t>
      </w:r>
      <w:r w:rsidR="00652595" w:rsidRPr="00040FB6">
        <w:rPr>
          <w:color w:val="000000"/>
          <w:sz w:val="20"/>
          <w:szCs w:val="20"/>
          <w:u w:color="000000"/>
          <w:lang w:val="en-GB"/>
        </w:rPr>
        <w:t xml:space="preserve">even as partners such as </w:t>
      </w:r>
      <w:r w:rsidR="00234F88" w:rsidRPr="00040FB6">
        <w:rPr>
          <w:color w:val="000000"/>
          <w:sz w:val="20"/>
          <w:szCs w:val="20"/>
          <w:u w:color="000000"/>
          <w:lang w:val="en-GB"/>
        </w:rPr>
        <w:t xml:space="preserve">the European Union, Germany, Italy, the United Kingdom, and </w:t>
      </w:r>
      <w:r w:rsidR="00652595" w:rsidRPr="00040FB6">
        <w:rPr>
          <w:color w:val="000000"/>
          <w:sz w:val="20"/>
          <w:szCs w:val="20"/>
          <w:u w:color="000000"/>
          <w:lang w:val="en-GB"/>
        </w:rPr>
        <w:t xml:space="preserve">the </w:t>
      </w:r>
      <w:r w:rsidR="00C31B84" w:rsidRPr="00040FB6">
        <w:rPr>
          <w:color w:val="000000"/>
          <w:sz w:val="20"/>
          <w:szCs w:val="20"/>
          <w:u w:color="000000"/>
          <w:lang w:val="en-GB"/>
        </w:rPr>
        <w:t>U</w:t>
      </w:r>
      <w:r w:rsidR="00D63284" w:rsidRPr="00040FB6">
        <w:rPr>
          <w:color w:val="000000"/>
          <w:sz w:val="20"/>
          <w:szCs w:val="20"/>
          <w:u w:color="000000"/>
          <w:lang w:val="en-GB"/>
        </w:rPr>
        <w:t>nited States of America</w:t>
      </w:r>
      <w:r w:rsidR="00C31B84" w:rsidRPr="00040FB6">
        <w:rPr>
          <w:color w:val="000000"/>
          <w:sz w:val="20"/>
          <w:szCs w:val="20"/>
          <w:u w:color="000000"/>
          <w:lang w:val="en-GB"/>
        </w:rPr>
        <w:t xml:space="preserve">, </w:t>
      </w:r>
      <w:r w:rsidR="00652595" w:rsidRPr="00040FB6">
        <w:rPr>
          <w:color w:val="000000"/>
          <w:sz w:val="20"/>
          <w:szCs w:val="20"/>
          <w:u w:color="000000"/>
          <w:lang w:val="en-GB"/>
        </w:rPr>
        <w:t>in coordination with the U</w:t>
      </w:r>
      <w:r w:rsidR="00D63284" w:rsidRPr="00040FB6">
        <w:rPr>
          <w:color w:val="000000"/>
          <w:sz w:val="20"/>
          <w:szCs w:val="20"/>
          <w:u w:color="000000"/>
          <w:lang w:val="en-GB"/>
        </w:rPr>
        <w:t>nited Nations</w:t>
      </w:r>
      <w:r w:rsidR="00652595" w:rsidRPr="00040FB6">
        <w:rPr>
          <w:color w:val="000000"/>
          <w:sz w:val="20"/>
          <w:szCs w:val="20"/>
          <w:u w:color="000000"/>
          <w:lang w:val="en-GB"/>
        </w:rPr>
        <w:t xml:space="preserve">, have been proactive in calling for the establishment of the Iraq Stabilization and Reconstruction Trust Fund. </w:t>
      </w:r>
      <w:r w:rsidR="00C31B84" w:rsidRPr="00040FB6">
        <w:rPr>
          <w:color w:val="000000"/>
          <w:sz w:val="20"/>
          <w:szCs w:val="20"/>
          <w:u w:color="000000"/>
          <w:lang w:val="en-GB"/>
        </w:rPr>
        <w:t xml:space="preserve">UNDP has received </w:t>
      </w:r>
      <w:r w:rsidR="00440082" w:rsidRPr="00040FB6">
        <w:rPr>
          <w:color w:val="000000"/>
          <w:sz w:val="20"/>
          <w:szCs w:val="20"/>
          <w:u w:color="000000"/>
          <w:lang w:val="en-GB"/>
        </w:rPr>
        <w:t xml:space="preserve">a </w:t>
      </w:r>
      <w:r w:rsidR="00CA25A0" w:rsidRPr="00040FB6">
        <w:rPr>
          <w:color w:val="000000"/>
          <w:sz w:val="20"/>
          <w:szCs w:val="20"/>
          <w:u w:color="000000"/>
          <w:lang w:val="en-GB"/>
        </w:rPr>
        <w:t xml:space="preserve">request </w:t>
      </w:r>
      <w:r w:rsidR="00C31B84" w:rsidRPr="00040FB6">
        <w:rPr>
          <w:color w:val="000000"/>
          <w:sz w:val="20"/>
          <w:szCs w:val="20"/>
          <w:u w:color="000000"/>
          <w:lang w:val="en-GB"/>
        </w:rPr>
        <w:t xml:space="preserve">from </w:t>
      </w:r>
      <w:r w:rsidR="00234F88" w:rsidRPr="00040FB6">
        <w:rPr>
          <w:color w:val="000000"/>
          <w:sz w:val="20"/>
          <w:szCs w:val="20"/>
          <w:u w:color="000000"/>
          <w:lang w:val="en-GB"/>
        </w:rPr>
        <w:t xml:space="preserve">the </w:t>
      </w:r>
      <w:r w:rsidR="00C31B84" w:rsidRPr="00040FB6">
        <w:rPr>
          <w:color w:val="000000"/>
          <w:sz w:val="20"/>
          <w:szCs w:val="20"/>
          <w:u w:color="000000"/>
          <w:lang w:val="en-GB"/>
        </w:rPr>
        <w:t xml:space="preserve">Presidency and </w:t>
      </w:r>
      <w:r w:rsidR="00234F88" w:rsidRPr="00040FB6">
        <w:rPr>
          <w:color w:val="000000"/>
          <w:sz w:val="20"/>
          <w:szCs w:val="20"/>
          <w:u w:color="000000"/>
          <w:lang w:val="en-GB"/>
        </w:rPr>
        <w:t xml:space="preserve">the </w:t>
      </w:r>
      <w:r w:rsidR="00C31B84" w:rsidRPr="00040FB6">
        <w:rPr>
          <w:color w:val="000000"/>
          <w:sz w:val="20"/>
          <w:szCs w:val="20"/>
          <w:u w:color="000000"/>
          <w:lang w:val="en-GB"/>
        </w:rPr>
        <w:t>Ministry of Planning</w:t>
      </w:r>
      <w:r w:rsidR="00234F88" w:rsidRPr="00040FB6">
        <w:rPr>
          <w:color w:val="000000"/>
          <w:sz w:val="20"/>
          <w:szCs w:val="20"/>
          <w:u w:color="000000"/>
          <w:lang w:val="en-GB"/>
        </w:rPr>
        <w:t xml:space="preserve"> of Iraq</w:t>
      </w:r>
      <w:r w:rsidR="00C31B84" w:rsidRPr="00040FB6">
        <w:rPr>
          <w:color w:val="000000"/>
          <w:sz w:val="20"/>
          <w:szCs w:val="20"/>
          <w:u w:color="000000"/>
          <w:lang w:val="en-GB"/>
        </w:rPr>
        <w:t xml:space="preserve"> to assist in organiz</w:t>
      </w:r>
      <w:r w:rsidR="00234F88" w:rsidRPr="00040FB6">
        <w:rPr>
          <w:color w:val="000000"/>
          <w:sz w:val="20"/>
          <w:szCs w:val="20"/>
          <w:u w:color="000000"/>
          <w:lang w:val="en-GB"/>
        </w:rPr>
        <w:t>ing</w:t>
      </w:r>
      <w:r w:rsidR="00C31B84" w:rsidRPr="00040FB6">
        <w:rPr>
          <w:color w:val="000000"/>
          <w:sz w:val="20"/>
          <w:szCs w:val="20"/>
          <w:u w:color="000000"/>
          <w:lang w:val="en-GB"/>
        </w:rPr>
        <w:t xml:space="preserve"> an international donor conference leading to the creation of a </w:t>
      </w:r>
      <w:r w:rsidR="00234F88" w:rsidRPr="00040FB6">
        <w:rPr>
          <w:color w:val="000000"/>
          <w:sz w:val="20"/>
          <w:szCs w:val="20"/>
          <w:u w:color="000000"/>
          <w:lang w:val="en-GB"/>
        </w:rPr>
        <w:t>t</w:t>
      </w:r>
      <w:r w:rsidR="00C31B84" w:rsidRPr="00040FB6">
        <w:rPr>
          <w:color w:val="000000"/>
          <w:sz w:val="20"/>
          <w:szCs w:val="20"/>
          <w:u w:color="000000"/>
          <w:lang w:val="en-GB"/>
        </w:rPr>
        <w:t xml:space="preserve">rust </w:t>
      </w:r>
      <w:r w:rsidR="00234F88" w:rsidRPr="00040FB6">
        <w:rPr>
          <w:color w:val="000000"/>
          <w:sz w:val="20"/>
          <w:szCs w:val="20"/>
          <w:u w:color="000000"/>
          <w:lang w:val="en-GB"/>
        </w:rPr>
        <w:t>f</w:t>
      </w:r>
      <w:r w:rsidR="00A711CA" w:rsidRPr="00040FB6">
        <w:rPr>
          <w:color w:val="000000"/>
          <w:sz w:val="20"/>
          <w:szCs w:val="20"/>
          <w:u w:color="000000"/>
          <w:lang w:val="en-GB"/>
        </w:rPr>
        <w:t xml:space="preserve">und </w:t>
      </w:r>
      <w:r w:rsidR="00C31B84" w:rsidRPr="00040FB6">
        <w:rPr>
          <w:color w:val="000000"/>
          <w:sz w:val="20"/>
          <w:szCs w:val="20"/>
          <w:u w:color="000000"/>
          <w:lang w:val="en-GB"/>
        </w:rPr>
        <w:t>t</w:t>
      </w:r>
      <w:r w:rsidR="00440082" w:rsidRPr="00040FB6">
        <w:rPr>
          <w:color w:val="000000"/>
          <w:sz w:val="20"/>
          <w:szCs w:val="20"/>
          <w:u w:color="000000"/>
          <w:lang w:val="en-GB"/>
        </w:rPr>
        <w:t xml:space="preserve">o </w:t>
      </w:r>
      <w:r w:rsidR="00652595" w:rsidRPr="00040FB6">
        <w:rPr>
          <w:color w:val="000000"/>
          <w:sz w:val="20"/>
          <w:szCs w:val="20"/>
          <w:u w:color="000000"/>
          <w:lang w:val="en-GB"/>
        </w:rPr>
        <w:t>finance</w:t>
      </w:r>
      <w:r w:rsidR="00C31B84" w:rsidRPr="00040FB6">
        <w:rPr>
          <w:color w:val="000000"/>
          <w:sz w:val="20"/>
          <w:szCs w:val="20"/>
          <w:u w:color="000000"/>
          <w:lang w:val="en-GB"/>
        </w:rPr>
        <w:t xml:space="preserve"> recovery</w:t>
      </w:r>
      <w:r w:rsidR="00652595" w:rsidRPr="00040FB6">
        <w:rPr>
          <w:color w:val="000000"/>
          <w:sz w:val="20"/>
          <w:szCs w:val="20"/>
          <w:u w:color="000000"/>
          <w:lang w:val="en-GB"/>
        </w:rPr>
        <w:t xml:space="preserve"> and reco</w:t>
      </w:r>
      <w:r w:rsidR="00C31B84" w:rsidRPr="00040FB6">
        <w:rPr>
          <w:color w:val="000000"/>
          <w:sz w:val="20"/>
          <w:szCs w:val="20"/>
          <w:u w:color="000000"/>
          <w:lang w:val="en-GB"/>
        </w:rPr>
        <w:t>nstruction</w:t>
      </w:r>
      <w:r w:rsidR="00652595" w:rsidRPr="00040FB6">
        <w:rPr>
          <w:color w:val="000000"/>
          <w:sz w:val="20"/>
          <w:szCs w:val="20"/>
          <w:u w:color="000000"/>
          <w:lang w:val="en-GB"/>
        </w:rPr>
        <w:t xml:space="preserve">. An encouraging recent development has been </w:t>
      </w:r>
      <w:r w:rsidR="00234F88" w:rsidRPr="00040FB6">
        <w:rPr>
          <w:color w:val="000000"/>
          <w:sz w:val="20"/>
          <w:szCs w:val="20"/>
          <w:u w:color="000000"/>
          <w:lang w:val="en-GB"/>
        </w:rPr>
        <w:t xml:space="preserve">a </w:t>
      </w:r>
      <w:r w:rsidR="00652595" w:rsidRPr="00040FB6">
        <w:rPr>
          <w:color w:val="000000"/>
          <w:sz w:val="20"/>
          <w:szCs w:val="20"/>
          <w:u w:color="000000"/>
          <w:lang w:val="en-GB"/>
        </w:rPr>
        <w:t>firm</w:t>
      </w:r>
      <w:r w:rsidR="00440082" w:rsidRPr="00040FB6">
        <w:rPr>
          <w:color w:val="000000"/>
          <w:sz w:val="20"/>
          <w:szCs w:val="20"/>
          <w:u w:color="000000"/>
          <w:lang w:val="en-GB"/>
        </w:rPr>
        <w:t>,</w:t>
      </w:r>
      <w:r w:rsidR="00652595" w:rsidRPr="00040FB6">
        <w:rPr>
          <w:color w:val="000000"/>
          <w:sz w:val="20"/>
          <w:szCs w:val="20"/>
          <w:u w:color="000000"/>
          <w:lang w:val="en-GB"/>
        </w:rPr>
        <w:t xml:space="preserve"> </w:t>
      </w:r>
      <w:r w:rsidR="00C31B84" w:rsidRPr="00040FB6">
        <w:rPr>
          <w:color w:val="000000"/>
          <w:sz w:val="20"/>
          <w:szCs w:val="20"/>
          <w:u w:color="000000"/>
          <w:lang w:val="en-GB"/>
        </w:rPr>
        <w:t xml:space="preserve">written commitment </w:t>
      </w:r>
      <w:r w:rsidR="00652595" w:rsidRPr="00040FB6">
        <w:rPr>
          <w:color w:val="000000"/>
          <w:sz w:val="20"/>
          <w:szCs w:val="20"/>
          <w:u w:color="000000"/>
          <w:lang w:val="en-GB"/>
        </w:rPr>
        <w:t xml:space="preserve">from </w:t>
      </w:r>
      <w:r w:rsidR="00234F88" w:rsidRPr="00040FB6">
        <w:rPr>
          <w:color w:val="000000"/>
          <w:sz w:val="20"/>
          <w:szCs w:val="20"/>
          <w:u w:color="000000"/>
          <w:lang w:val="en-GB"/>
        </w:rPr>
        <w:t xml:space="preserve">the </w:t>
      </w:r>
      <w:r w:rsidR="00652595" w:rsidRPr="00040FB6">
        <w:rPr>
          <w:color w:val="000000"/>
          <w:sz w:val="20"/>
          <w:szCs w:val="20"/>
          <w:u w:color="000000"/>
          <w:lang w:val="en-GB"/>
        </w:rPr>
        <w:t xml:space="preserve">Government that it is willing to </w:t>
      </w:r>
      <w:r w:rsidR="00C31B84" w:rsidRPr="00040FB6">
        <w:rPr>
          <w:color w:val="000000"/>
          <w:sz w:val="20"/>
          <w:szCs w:val="20"/>
          <w:u w:color="000000"/>
          <w:lang w:val="en-GB"/>
        </w:rPr>
        <w:t>cost-share and provide funding to UNDP-imp</w:t>
      </w:r>
      <w:r w:rsidR="00886636">
        <w:rPr>
          <w:color w:val="000000"/>
          <w:sz w:val="20"/>
          <w:szCs w:val="20"/>
          <w:u w:color="000000"/>
          <w:lang w:val="en-GB"/>
        </w:rPr>
        <w:t>lemented activities.</w:t>
      </w:r>
    </w:p>
    <w:p w:rsidR="00652595" w:rsidRPr="00040FB6" w:rsidRDefault="00652595" w:rsidP="009D5342">
      <w:pPr>
        <w:widowControl w:val="0"/>
        <w:tabs>
          <w:tab w:val="left" w:pos="567"/>
          <w:tab w:val="left" w:pos="1260"/>
        </w:tabs>
        <w:autoSpaceDE w:val="0"/>
        <w:autoSpaceDN w:val="0"/>
        <w:adjustRightInd w:val="0"/>
        <w:ind w:left="900" w:right="720"/>
        <w:jc w:val="both"/>
        <w:rPr>
          <w:color w:val="000000"/>
          <w:sz w:val="20"/>
          <w:szCs w:val="20"/>
          <w:u w:color="000000"/>
          <w:lang w:val="en-GB"/>
        </w:rPr>
      </w:pPr>
    </w:p>
    <w:p w:rsidR="00652595" w:rsidRPr="00040FB6" w:rsidRDefault="004B4718" w:rsidP="00040FB6">
      <w:pPr>
        <w:pStyle w:val="ListParagraph"/>
        <w:widowControl w:val="0"/>
        <w:numPr>
          <w:ilvl w:val="0"/>
          <w:numId w:val="43"/>
        </w:numPr>
        <w:tabs>
          <w:tab w:val="left" w:pos="900"/>
          <w:tab w:val="left" w:pos="1260"/>
        </w:tabs>
        <w:autoSpaceDE w:val="0"/>
        <w:autoSpaceDN w:val="0"/>
        <w:adjustRightInd w:val="0"/>
        <w:ind w:left="994" w:right="720"/>
        <w:jc w:val="both"/>
        <w:rPr>
          <w:b/>
          <w:sz w:val="28"/>
          <w:szCs w:val="28"/>
          <w:lang w:val="en-GB"/>
        </w:rPr>
      </w:pPr>
      <w:r w:rsidRPr="00040FB6">
        <w:rPr>
          <w:b/>
          <w:sz w:val="28"/>
          <w:szCs w:val="28"/>
          <w:lang w:val="en-GB"/>
        </w:rPr>
        <w:t>Monitoring and e</w:t>
      </w:r>
      <w:r w:rsidR="00652595" w:rsidRPr="00040FB6">
        <w:rPr>
          <w:b/>
          <w:sz w:val="28"/>
          <w:szCs w:val="28"/>
          <w:lang w:val="en-GB"/>
        </w:rPr>
        <w:t xml:space="preserve">valuation </w:t>
      </w:r>
    </w:p>
    <w:p w:rsidR="00234F88" w:rsidRPr="00040FB6" w:rsidRDefault="00234F88" w:rsidP="00040FB6">
      <w:pPr>
        <w:pStyle w:val="ListParagraph"/>
        <w:widowControl w:val="0"/>
        <w:tabs>
          <w:tab w:val="left" w:pos="900"/>
          <w:tab w:val="left" w:pos="1260"/>
        </w:tabs>
        <w:autoSpaceDE w:val="0"/>
        <w:autoSpaceDN w:val="0"/>
        <w:adjustRightInd w:val="0"/>
        <w:ind w:left="907" w:right="720"/>
        <w:jc w:val="both"/>
        <w:rPr>
          <w:b/>
          <w:lang w:val="en-GB"/>
        </w:rPr>
      </w:pPr>
    </w:p>
    <w:p w:rsidR="00652595" w:rsidRPr="00040FB6" w:rsidRDefault="00E706DA" w:rsidP="00E706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jc w:val="both"/>
        <w:rPr>
          <w:color w:val="000000"/>
          <w:sz w:val="20"/>
          <w:szCs w:val="20"/>
          <w:u w:color="000000"/>
          <w:lang w:val="en-GB"/>
        </w:rPr>
      </w:pPr>
      <w:r>
        <w:rPr>
          <w:color w:val="000000"/>
          <w:sz w:val="20"/>
          <w:szCs w:val="20"/>
          <w:u w:color="000000"/>
          <w:lang w:val="en-GB"/>
        </w:rPr>
        <w:t>2</w:t>
      </w:r>
      <w:r w:rsidR="003B041D">
        <w:rPr>
          <w:color w:val="000000"/>
          <w:sz w:val="20"/>
          <w:szCs w:val="20"/>
          <w:u w:color="000000"/>
          <w:lang w:val="en-GB"/>
        </w:rPr>
        <w:t>8</w:t>
      </w:r>
      <w:r>
        <w:rPr>
          <w:color w:val="000000"/>
          <w:sz w:val="20"/>
          <w:szCs w:val="20"/>
          <w:u w:color="000000"/>
          <w:lang w:val="en-GB"/>
        </w:rPr>
        <w:t>.</w:t>
      </w:r>
      <w:r>
        <w:rPr>
          <w:color w:val="000000"/>
          <w:sz w:val="20"/>
          <w:szCs w:val="20"/>
          <w:u w:color="000000"/>
          <w:lang w:val="en-GB"/>
        </w:rPr>
        <w:tab/>
      </w:r>
      <w:r w:rsidR="00652595" w:rsidRPr="00040FB6">
        <w:rPr>
          <w:color w:val="000000"/>
          <w:sz w:val="20"/>
          <w:szCs w:val="20"/>
          <w:u w:color="000000"/>
          <w:lang w:val="en-GB"/>
        </w:rPr>
        <w:t xml:space="preserve">In line with the revised evaluation policy, </w:t>
      </w:r>
      <w:r w:rsidR="00234F88" w:rsidRPr="00040FB6">
        <w:rPr>
          <w:color w:val="000000"/>
          <w:sz w:val="20"/>
          <w:szCs w:val="20"/>
          <w:u w:color="000000"/>
          <w:lang w:val="en-GB"/>
        </w:rPr>
        <w:t xml:space="preserve">2015, </w:t>
      </w:r>
      <w:r w:rsidR="00652595" w:rsidRPr="00040FB6">
        <w:rPr>
          <w:color w:val="000000"/>
          <w:sz w:val="20"/>
          <w:szCs w:val="20"/>
          <w:u w:color="000000"/>
          <w:lang w:val="en-GB"/>
        </w:rPr>
        <w:t>UNDP will monitor and evaluate the country programme and promote a results-based culture guided by its programme strategy. Th</w:t>
      </w:r>
      <w:r w:rsidR="00440082" w:rsidRPr="00040FB6">
        <w:rPr>
          <w:color w:val="000000"/>
          <w:sz w:val="20"/>
          <w:szCs w:val="20"/>
          <w:u w:color="000000"/>
          <w:lang w:val="en-GB"/>
        </w:rPr>
        <w:t>at</w:t>
      </w:r>
      <w:r w:rsidR="00652595" w:rsidRPr="00040FB6">
        <w:rPr>
          <w:color w:val="000000"/>
          <w:sz w:val="20"/>
          <w:szCs w:val="20"/>
          <w:u w:color="000000"/>
          <w:lang w:val="en-GB"/>
        </w:rPr>
        <w:t xml:space="preserve"> </w:t>
      </w:r>
      <w:r w:rsidR="00234F88" w:rsidRPr="00040FB6">
        <w:rPr>
          <w:color w:val="000000"/>
          <w:sz w:val="20"/>
          <w:szCs w:val="20"/>
          <w:u w:color="000000"/>
          <w:lang w:val="en-GB"/>
        </w:rPr>
        <w:t xml:space="preserve">will be </w:t>
      </w:r>
      <w:r w:rsidR="00652595" w:rsidRPr="00040FB6">
        <w:rPr>
          <w:color w:val="000000"/>
          <w:sz w:val="20"/>
          <w:szCs w:val="20"/>
          <w:u w:color="000000"/>
          <w:lang w:val="en-GB"/>
        </w:rPr>
        <w:t>the basis on which UNDP will develop, organize, communicate, oversee and implement the portfolio</w:t>
      </w:r>
      <w:r w:rsidR="00234F88" w:rsidRPr="00040FB6">
        <w:rPr>
          <w:color w:val="000000"/>
          <w:sz w:val="20"/>
          <w:szCs w:val="20"/>
          <w:u w:color="000000"/>
          <w:lang w:val="en-GB"/>
        </w:rPr>
        <w:t>.</w:t>
      </w:r>
      <w:r w:rsidR="00652595" w:rsidRPr="00040FB6">
        <w:rPr>
          <w:color w:val="000000"/>
          <w:sz w:val="20"/>
          <w:szCs w:val="20"/>
          <w:u w:color="000000"/>
          <w:lang w:val="en-GB"/>
        </w:rPr>
        <w:t xml:space="preserve"> </w:t>
      </w:r>
      <w:r w:rsidR="00234F88" w:rsidRPr="00040FB6">
        <w:rPr>
          <w:color w:val="000000"/>
          <w:sz w:val="20"/>
          <w:szCs w:val="20"/>
          <w:u w:color="000000"/>
          <w:lang w:val="en-GB"/>
        </w:rPr>
        <w:t xml:space="preserve">It </w:t>
      </w:r>
      <w:r w:rsidR="00652595" w:rsidRPr="00040FB6">
        <w:rPr>
          <w:color w:val="000000"/>
          <w:sz w:val="20"/>
          <w:szCs w:val="20"/>
          <w:u w:color="000000"/>
          <w:lang w:val="en-GB"/>
        </w:rPr>
        <w:t>will require investment in a multi-year applied research agenda to test programme relevance and assumptions against performance</w:t>
      </w:r>
      <w:r>
        <w:rPr>
          <w:color w:val="000000"/>
          <w:sz w:val="20"/>
          <w:szCs w:val="20"/>
          <w:u w:color="000000"/>
          <w:lang w:val="en-GB"/>
        </w:rPr>
        <w:t>,</w:t>
      </w:r>
      <w:r w:rsidR="00652595" w:rsidRPr="00040FB6">
        <w:rPr>
          <w:color w:val="000000"/>
          <w:sz w:val="20"/>
          <w:szCs w:val="20"/>
          <w:u w:color="000000"/>
          <w:lang w:val="en-GB"/>
        </w:rPr>
        <w:t xml:space="preserve"> </w:t>
      </w:r>
      <w:r>
        <w:rPr>
          <w:color w:val="000000"/>
          <w:sz w:val="20"/>
          <w:szCs w:val="20"/>
          <w:u w:color="000000"/>
          <w:lang w:val="en-GB"/>
        </w:rPr>
        <w:t>relying</w:t>
      </w:r>
      <w:r w:rsidR="00652595" w:rsidRPr="00040FB6">
        <w:rPr>
          <w:color w:val="000000"/>
          <w:sz w:val="20"/>
          <w:szCs w:val="20"/>
          <w:u w:color="000000"/>
          <w:lang w:val="en-GB"/>
        </w:rPr>
        <w:t xml:space="preserve"> on both conventional and innovative means of data collection adapted to conditions </w:t>
      </w:r>
      <w:r w:rsidR="00440082" w:rsidRPr="00040FB6">
        <w:rPr>
          <w:color w:val="000000"/>
          <w:sz w:val="20"/>
          <w:szCs w:val="20"/>
          <w:u w:color="000000"/>
          <w:lang w:val="en-GB"/>
        </w:rPr>
        <w:t xml:space="preserve">of </w:t>
      </w:r>
      <w:r w:rsidR="00652595" w:rsidRPr="00040FB6">
        <w:rPr>
          <w:color w:val="000000"/>
          <w:sz w:val="20"/>
          <w:szCs w:val="20"/>
          <w:u w:color="000000"/>
          <w:lang w:val="en-GB"/>
        </w:rPr>
        <w:t>restrict</w:t>
      </w:r>
      <w:r w:rsidR="00440082" w:rsidRPr="00040FB6">
        <w:rPr>
          <w:color w:val="000000"/>
          <w:sz w:val="20"/>
          <w:szCs w:val="20"/>
          <w:u w:color="000000"/>
          <w:lang w:val="en-GB"/>
        </w:rPr>
        <w:t>ed</w:t>
      </w:r>
      <w:r w:rsidR="00652595" w:rsidRPr="00040FB6">
        <w:rPr>
          <w:color w:val="000000"/>
          <w:sz w:val="20"/>
          <w:szCs w:val="20"/>
          <w:u w:color="000000"/>
          <w:lang w:val="en-GB"/>
        </w:rPr>
        <w:t xml:space="preserve"> physical access.</w:t>
      </w:r>
    </w:p>
    <w:p w:rsidR="00652595" w:rsidRPr="00040FB6" w:rsidRDefault="00E706DA" w:rsidP="00E706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jc w:val="both"/>
        <w:rPr>
          <w:color w:val="000000"/>
          <w:sz w:val="20"/>
          <w:szCs w:val="20"/>
          <w:u w:color="000000"/>
          <w:lang w:val="en-GB"/>
        </w:rPr>
      </w:pPr>
      <w:r>
        <w:rPr>
          <w:color w:val="000000"/>
          <w:sz w:val="20"/>
          <w:szCs w:val="20"/>
          <w:u w:color="000000"/>
          <w:lang w:val="en-GB"/>
        </w:rPr>
        <w:t>2</w:t>
      </w:r>
      <w:r w:rsidR="003B041D">
        <w:rPr>
          <w:color w:val="000000"/>
          <w:sz w:val="20"/>
          <w:szCs w:val="20"/>
          <w:u w:color="000000"/>
          <w:lang w:val="en-GB"/>
        </w:rPr>
        <w:t>9</w:t>
      </w:r>
      <w:r>
        <w:rPr>
          <w:color w:val="000000"/>
          <w:sz w:val="20"/>
          <w:szCs w:val="20"/>
          <w:u w:color="000000"/>
          <w:lang w:val="en-GB"/>
        </w:rPr>
        <w:t>.</w:t>
      </w:r>
      <w:r>
        <w:rPr>
          <w:color w:val="000000"/>
          <w:sz w:val="20"/>
          <w:szCs w:val="20"/>
          <w:u w:color="000000"/>
          <w:lang w:val="en-GB"/>
        </w:rPr>
        <w:tab/>
      </w:r>
      <w:r w:rsidR="00234F88" w:rsidRPr="00040FB6">
        <w:rPr>
          <w:color w:val="000000"/>
          <w:sz w:val="20"/>
          <w:szCs w:val="20"/>
          <w:u w:color="000000"/>
          <w:lang w:val="en-GB"/>
        </w:rPr>
        <w:t>To respond to the needs</w:t>
      </w:r>
      <w:r w:rsidR="00440082" w:rsidRPr="00040FB6">
        <w:rPr>
          <w:color w:val="000000"/>
          <w:sz w:val="20"/>
          <w:szCs w:val="20"/>
          <w:u w:color="000000"/>
          <w:lang w:val="en-GB"/>
        </w:rPr>
        <w:t xml:space="preserve"> of the country</w:t>
      </w:r>
      <w:r w:rsidR="00234F88" w:rsidRPr="00040FB6">
        <w:rPr>
          <w:color w:val="000000"/>
          <w:sz w:val="20"/>
          <w:szCs w:val="20"/>
          <w:u w:color="000000"/>
          <w:lang w:val="en-GB"/>
        </w:rPr>
        <w:t xml:space="preserve">, </w:t>
      </w:r>
      <w:r w:rsidR="00652595" w:rsidRPr="00040FB6">
        <w:rPr>
          <w:color w:val="000000"/>
          <w:sz w:val="20"/>
          <w:szCs w:val="20"/>
          <w:u w:color="000000"/>
          <w:lang w:val="en-GB"/>
        </w:rPr>
        <w:t>UNDP will help develop a comprehensive monitoring and analytical tool target</w:t>
      </w:r>
      <w:r>
        <w:rPr>
          <w:color w:val="000000"/>
          <w:sz w:val="20"/>
          <w:szCs w:val="20"/>
          <w:u w:color="000000"/>
          <w:lang w:val="en-GB"/>
        </w:rPr>
        <w:t>ing</w:t>
      </w:r>
      <w:r w:rsidR="00652595" w:rsidRPr="00040FB6">
        <w:rPr>
          <w:color w:val="000000"/>
          <w:sz w:val="20"/>
          <w:szCs w:val="20"/>
          <w:u w:color="000000"/>
          <w:lang w:val="en-GB"/>
        </w:rPr>
        <w:t xml:space="preserve"> the development of national capacity to link national development programmes with the </w:t>
      </w:r>
      <w:r w:rsidR="00234F88" w:rsidRPr="00040FB6">
        <w:rPr>
          <w:color w:val="000000"/>
          <w:sz w:val="20"/>
          <w:szCs w:val="20"/>
          <w:u w:color="000000"/>
          <w:lang w:val="en-GB"/>
        </w:rPr>
        <w:t>s</w:t>
      </w:r>
      <w:r w:rsidR="00652595" w:rsidRPr="00040FB6">
        <w:rPr>
          <w:color w:val="000000"/>
          <w:sz w:val="20"/>
          <w:szCs w:val="20"/>
          <w:u w:color="000000"/>
          <w:lang w:val="en-GB"/>
        </w:rPr>
        <w:t xml:space="preserve">ustainable </w:t>
      </w:r>
      <w:r w:rsidR="00234F88" w:rsidRPr="00040FB6">
        <w:rPr>
          <w:color w:val="000000"/>
          <w:sz w:val="20"/>
          <w:szCs w:val="20"/>
          <w:u w:color="000000"/>
          <w:lang w:val="en-GB"/>
        </w:rPr>
        <w:t>d</w:t>
      </w:r>
      <w:r w:rsidR="00652595" w:rsidRPr="00040FB6">
        <w:rPr>
          <w:color w:val="000000"/>
          <w:sz w:val="20"/>
          <w:szCs w:val="20"/>
          <w:u w:color="000000"/>
          <w:lang w:val="en-GB"/>
        </w:rPr>
        <w:t xml:space="preserve">evelopment </w:t>
      </w:r>
      <w:r w:rsidR="00234F88" w:rsidRPr="00040FB6">
        <w:rPr>
          <w:color w:val="000000"/>
          <w:sz w:val="20"/>
          <w:szCs w:val="20"/>
          <w:u w:color="000000"/>
          <w:lang w:val="en-GB"/>
        </w:rPr>
        <w:t>g</w:t>
      </w:r>
      <w:r w:rsidR="00652595" w:rsidRPr="00040FB6">
        <w:rPr>
          <w:color w:val="000000"/>
          <w:sz w:val="20"/>
          <w:szCs w:val="20"/>
          <w:u w:color="000000"/>
          <w:lang w:val="en-GB"/>
        </w:rPr>
        <w:t xml:space="preserve">oals and related indicators through </w:t>
      </w:r>
      <w:r w:rsidR="00234F88" w:rsidRPr="00040FB6">
        <w:rPr>
          <w:color w:val="000000"/>
          <w:sz w:val="20"/>
          <w:szCs w:val="20"/>
          <w:u w:color="000000"/>
          <w:lang w:val="en-GB"/>
        </w:rPr>
        <w:t>s</w:t>
      </w:r>
      <w:r w:rsidR="00652595" w:rsidRPr="00040FB6">
        <w:rPr>
          <w:color w:val="000000"/>
          <w:sz w:val="20"/>
          <w:szCs w:val="20"/>
          <w:u w:color="000000"/>
          <w:lang w:val="en-GB"/>
        </w:rPr>
        <w:t>ystem</w:t>
      </w:r>
      <w:r w:rsidR="00234F88" w:rsidRPr="00040FB6">
        <w:rPr>
          <w:color w:val="000000"/>
          <w:sz w:val="20"/>
          <w:szCs w:val="20"/>
          <w:u w:color="000000"/>
          <w:lang w:val="en-GB"/>
        </w:rPr>
        <w:t xml:space="preserve">s </w:t>
      </w:r>
      <w:r w:rsidR="00652595" w:rsidRPr="00040FB6">
        <w:rPr>
          <w:color w:val="000000"/>
          <w:sz w:val="20"/>
          <w:szCs w:val="20"/>
          <w:u w:color="000000"/>
          <w:lang w:val="en-GB"/>
        </w:rPr>
        <w:t xml:space="preserve">already established with UNDP support. UNDP will support the federal government </w:t>
      </w:r>
      <w:r w:rsidR="00234F88" w:rsidRPr="00040FB6">
        <w:rPr>
          <w:color w:val="000000"/>
          <w:sz w:val="20"/>
          <w:szCs w:val="20"/>
          <w:u w:color="000000"/>
          <w:lang w:val="en-GB"/>
        </w:rPr>
        <w:t>in</w:t>
      </w:r>
      <w:r w:rsidR="00652595" w:rsidRPr="00040FB6">
        <w:rPr>
          <w:color w:val="000000"/>
          <w:sz w:val="20"/>
          <w:szCs w:val="20"/>
          <w:u w:color="000000"/>
          <w:lang w:val="en-GB"/>
        </w:rPr>
        <w:t xml:space="preserve"> establish</w:t>
      </w:r>
      <w:r w:rsidR="00234F88" w:rsidRPr="00040FB6">
        <w:rPr>
          <w:color w:val="000000"/>
          <w:sz w:val="20"/>
          <w:szCs w:val="20"/>
          <w:u w:color="000000"/>
          <w:lang w:val="en-GB"/>
        </w:rPr>
        <w:t>ing</w:t>
      </w:r>
      <w:r w:rsidR="00652595" w:rsidRPr="00040FB6">
        <w:rPr>
          <w:color w:val="000000"/>
          <w:sz w:val="20"/>
          <w:szCs w:val="20"/>
          <w:u w:color="000000"/>
          <w:lang w:val="en-GB"/>
        </w:rPr>
        <w:t xml:space="preserve"> a performance management system to measure the progress of line ministries towards national development goals. With regard to stabilization, UNDP is working with local and national </w:t>
      </w:r>
      <w:r w:rsidR="00234F88" w:rsidRPr="00040FB6">
        <w:rPr>
          <w:color w:val="000000"/>
          <w:sz w:val="20"/>
          <w:szCs w:val="20"/>
          <w:u w:color="000000"/>
          <w:lang w:val="en-GB"/>
        </w:rPr>
        <w:t xml:space="preserve">non-governmental organizations </w:t>
      </w:r>
      <w:r w:rsidR="00652595" w:rsidRPr="00040FB6">
        <w:rPr>
          <w:color w:val="000000"/>
          <w:sz w:val="20"/>
          <w:szCs w:val="20"/>
          <w:u w:color="000000"/>
          <w:lang w:val="en-GB"/>
        </w:rPr>
        <w:t>and development agencies under the leadership of the Prime Minister’s Office to utilize strategic assessments and analysis, including conflict analysis, to effectively drive priorities in newly liberated areas.</w:t>
      </w:r>
    </w:p>
    <w:p w:rsidR="00652595" w:rsidRPr="00040FB6" w:rsidRDefault="003B041D" w:rsidP="00E706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60"/>
        </w:tabs>
        <w:autoSpaceDE w:val="0"/>
        <w:autoSpaceDN w:val="0"/>
        <w:adjustRightInd w:val="0"/>
        <w:spacing w:after="120"/>
        <w:ind w:left="900" w:right="720"/>
        <w:jc w:val="both"/>
        <w:rPr>
          <w:color w:val="000000"/>
          <w:sz w:val="20"/>
          <w:szCs w:val="20"/>
          <w:u w:color="000000"/>
          <w:lang w:val="en-GB"/>
        </w:rPr>
      </w:pPr>
      <w:r>
        <w:rPr>
          <w:color w:val="000000"/>
          <w:sz w:val="20"/>
          <w:szCs w:val="20"/>
          <w:u w:color="000000"/>
          <w:lang w:val="en-GB"/>
        </w:rPr>
        <w:t>30</w:t>
      </w:r>
      <w:r w:rsidR="00E706DA">
        <w:rPr>
          <w:color w:val="000000"/>
          <w:sz w:val="20"/>
          <w:szCs w:val="20"/>
          <w:u w:color="000000"/>
          <w:lang w:val="en-GB"/>
        </w:rPr>
        <w:t>.</w:t>
      </w:r>
      <w:r w:rsidR="00E706DA">
        <w:rPr>
          <w:color w:val="000000"/>
          <w:sz w:val="20"/>
          <w:szCs w:val="20"/>
          <w:u w:color="000000"/>
          <w:lang w:val="en-GB"/>
        </w:rPr>
        <w:tab/>
      </w:r>
      <w:r w:rsidR="00652595" w:rsidRPr="00040FB6">
        <w:rPr>
          <w:color w:val="000000"/>
          <w:sz w:val="20"/>
          <w:szCs w:val="20"/>
          <w:u w:color="000000"/>
          <w:lang w:val="en-GB"/>
        </w:rPr>
        <w:t xml:space="preserve">UNDP has a </w:t>
      </w:r>
      <w:r w:rsidR="00234F88" w:rsidRPr="00040FB6">
        <w:rPr>
          <w:color w:val="000000"/>
          <w:sz w:val="20"/>
          <w:szCs w:val="20"/>
          <w:u w:color="000000"/>
          <w:lang w:val="en-GB"/>
        </w:rPr>
        <w:t>p</w:t>
      </w:r>
      <w:r w:rsidR="00652595" w:rsidRPr="00040FB6">
        <w:rPr>
          <w:color w:val="000000"/>
          <w:sz w:val="20"/>
          <w:szCs w:val="20"/>
          <w:u w:color="000000"/>
          <w:lang w:val="en-GB"/>
        </w:rPr>
        <w:t xml:space="preserve">rogramme </w:t>
      </w:r>
      <w:r w:rsidR="00234F88" w:rsidRPr="00040FB6">
        <w:rPr>
          <w:color w:val="000000"/>
          <w:sz w:val="20"/>
          <w:szCs w:val="20"/>
          <w:u w:color="000000"/>
          <w:lang w:val="en-GB"/>
        </w:rPr>
        <w:t>u</w:t>
      </w:r>
      <w:r w:rsidR="00652595" w:rsidRPr="00040FB6">
        <w:rPr>
          <w:color w:val="000000"/>
          <w:sz w:val="20"/>
          <w:szCs w:val="20"/>
          <w:u w:color="000000"/>
          <w:lang w:val="en-GB"/>
        </w:rPr>
        <w:t xml:space="preserve">nit with </w:t>
      </w:r>
      <w:r w:rsidR="00234F88" w:rsidRPr="00040FB6">
        <w:rPr>
          <w:color w:val="000000"/>
          <w:sz w:val="20"/>
          <w:szCs w:val="20"/>
          <w:u w:color="000000"/>
          <w:lang w:val="en-GB"/>
        </w:rPr>
        <w:t>six</w:t>
      </w:r>
      <w:r w:rsidR="00652595" w:rsidRPr="00040FB6">
        <w:rPr>
          <w:color w:val="000000"/>
          <w:sz w:val="20"/>
          <w:szCs w:val="20"/>
          <w:u w:color="000000"/>
          <w:lang w:val="en-GB"/>
        </w:rPr>
        <w:t xml:space="preserve"> national staff to monitor, oversee and assure </w:t>
      </w:r>
      <w:r w:rsidR="00234F88" w:rsidRPr="00040FB6">
        <w:rPr>
          <w:color w:val="000000"/>
          <w:sz w:val="20"/>
          <w:szCs w:val="20"/>
          <w:u w:color="000000"/>
          <w:lang w:val="en-GB"/>
        </w:rPr>
        <w:t xml:space="preserve">quality </w:t>
      </w:r>
      <w:r w:rsidR="00652595" w:rsidRPr="00040FB6">
        <w:rPr>
          <w:color w:val="000000"/>
          <w:sz w:val="20"/>
          <w:szCs w:val="20"/>
          <w:u w:color="000000"/>
          <w:lang w:val="en-GB"/>
        </w:rPr>
        <w:t>at the programme</w:t>
      </w:r>
      <w:r w:rsidR="00895317" w:rsidRPr="00040FB6">
        <w:rPr>
          <w:color w:val="000000"/>
          <w:sz w:val="20"/>
          <w:szCs w:val="20"/>
          <w:u w:color="000000"/>
          <w:lang w:val="en-GB"/>
        </w:rPr>
        <w:t xml:space="preserve"> and </w:t>
      </w:r>
      <w:r w:rsidR="00652595" w:rsidRPr="00040FB6">
        <w:rPr>
          <w:color w:val="000000"/>
          <w:sz w:val="20"/>
          <w:szCs w:val="20"/>
          <w:u w:color="000000"/>
          <w:lang w:val="en-GB"/>
        </w:rPr>
        <w:t>project level</w:t>
      </w:r>
      <w:r w:rsidR="00895317" w:rsidRPr="00040FB6">
        <w:rPr>
          <w:color w:val="000000"/>
          <w:sz w:val="20"/>
          <w:szCs w:val="20"/>
          <w:u w:color="000000"/>
          <w:lang w:val="en-GB"/>
        </w:rPr>
        <w:t>s,</w:t>
      </w:r>
      <w:r w:rsidR="00652595" w:rsidRPr="00040FB6">
        <w:rPr>
          <w:color w:val="000000"/>
          <w:sz w:val="20"/>
          <w:szCs w:val="20"/>
          <w:u w:color="000000"/>
          <w:lang w:val="en-GB"/>
        </w:rPr>
        <w:t xml:space="preserve"> and intends to allocate at least 2</w:t>
      </w:r>
      <w:r w:rsidR="00895317" w:rsidRPr="00040FB6">
        <w:rPr>
          <w:color w:val="000000"/>
          <w:sz w:val="20"/>
          <w:szCs w:val="20"/>
          <w:u w:color="000000"/>
          <w:lang w:val="en-GB"/>
        </w:rPr>
        <w:t xml:space="preserve"> per cent </w:t>
      </w:r>
      <w:r w:rsidR="00652595" w:rsidRPr="00040FB6">
        <w:rPr>
          <w:color w:val="000000"/>
          <w:sz w:val="20"/>
          <w:szCs w:val="20"/>
          <w:u w:color="000000"/>
          <w:lang w:val="en-GB"/>
        </w:rPr>
        <w:t>of programme</w:t>
      </w:r>
      <w:r w:rsidR="00895317" w:rsidRPr="00040FB6">
        <w:rPr>
          <w:color w:val="000000"/>
          <w:sz w:val="20"/>
          <w:szCs w:val="20"/>
          <w:u w:color="000000"/>
          <w:lang w:val="en-GB"/>
        </w:rPr>
        <w:t xml:space="preserve"> and </w:t>
      </w:r>
      <w:r w:rsidR="00652595" w:rsidRPr="00040FB6">
        <w:rPr>
          <w:color w:val="000000"/>
          <w:sz w:val="20"/>
          <w:szCs w:val="20"/>
          <w:u w:color="000000"/>
          <w:lang w:val="en-GB"/>
        </w:rPr>
        <w:t xml:space="preserve">project budgets </w:t>
      </w:r>
      <w:r w:rsidR="00895317" w:rsidRPr="00040FB6">
        <w:rPr>
          <w:color w:val="000000"/>
          <w:sz w:val="20"/>
          <w:szCs w:val="20"/>
          <w:u w:color="000000"/>
          <w:lang w:val="en-GB"/>
        </w:rPr>
        <w:t xml:space="preserve">to </w:t>
      </w:r>
      <w:r w:rsidR="00652595" w:rsidRPr="00040FB6">
        <w:rPr>
          <w:color w:val="000000"/>
          <w:sz w:val="20"/>
          <w:szCs w:val="20"/>
          <w:u w:color="000000"/>
          <w:lang w:val="en-GB"/>
        </w:rPr>
        <w:t xml:space="preserve">monitoring and evaluation. Working through the </w:t>
      </w:r>
      <w:r w:rsidR="00895317" w:rsidRPr="00040FB6">
        <w:rPr>
          <w:color w:val="000000"/>
          <w:sz w:val="20"/>
          <w:szCs w:val="20"/>
          <w:u w:color="000000"/>
          <w:lang w:val="en-GB"/>
        </w:rPr>
        <w:t>r</w:t>
      </w:r>
      <w:r w:rsidR="00652595" w:rsidRPr="00040FB6">
        <w:rPr>
          <w:color w:val="000000"/>
          <w:sz w:val="20"/>
          <w:szCs w:val="20"/>
          <w:u w:color="000000"/>
          <w:lang w:val="en-GB"/>
        </w:rPr>
        <w:t xml:space="preserve">esident </w:t>
      </w:r>
      <w:r w:rsidR="00895317" w:rsidRPr="00040FB6">
        <w:rPr>
          <w:color w:val="000000"/>
          <w:sz w:val="20"/>
          <w:szCs w:val="20"/>
          <w:u w:color="000000"/>
          <w:lang w:val="en-GB"/>
        </w:rPr>
        <w:t>c</w:t>
      </w:r>
      <w:r w:rsidR="00652595" w:rsidRPr="00040FB6">
        <w:rPr>
          <w:color w:val="000000"/>
          <w:sz w:val="20"/>
          <w:szCs w:val="20"/>
          <w:u w:color="000000"/>
          <w:lang w:val="en-GB"/>
        </w:rPr>
        <w:t xml:space="preserve">oordinator system, UNDP will work with the </w:t>
      </w:r>
      <w:r w:rsidR="00895317" w:rsidRPr="00040FB6">
        <w:rPr>
          <w:color w:val="000000"/>
          <w:sz w:val="20"/>
          <w:szCs w:val="20"/>
          <w:u w:color="000000"/>
          <w:lang w:val="en-GB"/>
        </w:rPr>
        <w:t>Un</w:t>
      </w:r>
      <w:r w:rsidR="00440082" w:rsidRPr="00040FB6">
        <w:rPr>
          <w:color w:val="000000"/>
          <w:sz w:val="20"/>
          <w:szCs w:val="20"/>
          <w:u w:color="000000"/>
          <w:lang w:val="en-GB"/>
        </w:rPr>
        <w:t>ited Nations country t</w:t>
      </w:r>
      <w:r w:rsidR="00895317" w:rsidRPr="00040FB6">
        <w:rPr>
          <w:color w:val="000000"/>
          <w:sz w:val="20"/>
          <w:szCs w:val="20"/>
          <w:u w:color="000000"/>
          <w:lang w:val="en-GB"/>
        </w:rPr>
        <w:t xml:space="preserve">eam </w:t>
      </w:r>
      <w:r w:rsidR="00652595" w:rsidRPr="00040FB6">
        <w:rPr>
          <w:color w:val="000000"/>
          <w:sz w:val="20"/>
          <w:szCs w:val="20"/>
          <w:u w:color="000000"/>
          <w:lang w:val="en-GB"/>
        </w:rPr>
        <w:t xml:space="preserve">and UNAMI to support </w:t>
      </w:r>
      <w:r w:rsidR="00895317" w:rsidRPr="00040FB6">
        <w:rPr>
          <w:color w:val="000000"/>
          <w:sz w:val="20"/>
          <w:szCs w:val="20"/>
          <w:u w:color="000000"/>
          <w:lang w:val="en-GB"/>
        </w:rPr>
        <w:t xml:space="preserve">the </w:t>
      </w:r>
      <w:r w:rsidR="00652595" w:rsidRPr="00040FB6">
        <w:rPr>
          <w:color w:val="000000"/>
          <w:sz w:val="20"/>
          <w:szCs w:val="20"/>
          <w:u w:color="000000"/>
          <w:lang w:val="en-GB"/>
        </w:rPr>
        <w:t>monitoring of U</w:t>
      </w:r>
      <w:r w:rsidR="00895317" w:rsidRPr="00040FB6">
        <w:rPr>
          <w:color w:val="000000"/>
          <w:sz w:val="20"/>
          <w:szCs w:val="20"/>
          <w:u w:color="000000"/>
          <w:lang w:val="en-GB"/>
        </w:rPr>
        <w:t>nited Nations</w:t>
      </w:r>
      <w:r w:rsidR="00652595" w:rsidRPr="00040FB6">
        <w:rPr>
          <w:color w:val="000000"/>
          <w:sz w:val="20"/>
          <w:szCs w:val="20"/>
          <w:u w:color="000000"/>
          <w:lang w:val="en-GB"/>
        </w:rPr>
        <w:t xml:space="preserve"> system contributions provided through joint progr</w:t>
      </w:r>
      <w:r w:rsidR="00E706DA">
        <w:rPr>
          <w:color w:val="000000"/>
          <w:sz w:val="20"/>
          <w:szCs w:val="20"/>
          <w:u w:color="000000"/>
          <w:lang w:val="en-GB"/>
        </w:rPr>
        <w:t>amming. UNDP will conduct a mid</w:t>
      </w:r>
      <w:r w:rsidR="00652595" w:rsidRPr="00040FB6">
        <w:rPr>
          <w:color w:val="000000"/>
          <w:sz w:val="20"/>
          <w:szCs w:val="20"/>
          <w:u w:color="000000"/>
          <w:lang w:val="en-GB"/>
        </w:rPr>
        <w:t>term review of the country programme to assess progress towards results and to reflect national development plan priorities beyond 2017.</w:t>
      </w:r>
    </w:p>
    <w:p w:rsidR="004B4718" w:rsidRPr="00040FB6" w:rsidRDefault="004B4718" w:rsidP="004B471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ind w:left="900" w:right="720"/>
        <w:jc w:val="both"/>
        <w:rPr>
          <w:color w:val="000000"/>
          <w:sz w:val="20"/>
          <w:szCs w:val="20"/>
          <w:u w:color="000000"/>
          <w:lang w:val="en-GB"/>
        </w:rPr>
      </w:pPr>
    </w:p>
    <w:p w:rsidR="00A432B4" w:rsidRPr="00040FB6" w:rsidRDefault="00A432B4" w:rsidP="001007CA">
      <w:pPr>
        <w:pStyle w:val="Body"/>
        <w:jc w:val="both"/>
        <w:rPr>
          <w:rFonts w:hAnsi="Times New Roman" w:cs="Times New Roman"/>
          <w:lang w:val="en-GB"/>
        </w:rPr>
        <w:sectPr w:rsidR="00A432B4" w:rsidRPr="00040FB6" w:rsidSect="005C7BDF">
          <w:headerReference w:type="default" r:id="rId15"/>
          <w:footerReference w:type="even" r:id="rId16"/>
          <w:footerReference w:type="default" r:id="rId17"/>
          <w:headerReference w:type="first" r:id="rId18"/>
          <w:footerReference w:type="first" r:id="rId19"/>
          <w:pgSz w:w="12240" w:h="15840"/>
          <w:pgMar w:top="1152" w:right="1440" w:bottom="1152" w:left="1440" w:header="576" w:footer="720" w:gutter="0"/>
          <w:cols w:space="720"/>
          <w:titlePg/>
          <w:docGrid w:linePitch="326"/>
        </w:sectPr>
      </w:pPr>
    </w:p>
    <w:p w:rsidR="007F42C3" w:rsidRPr="00040FB6" w:rsidRDefault="007F42C3" w:rsidP="007F42C3">
      <w:pPr>
        <w:keepNext/>
        <w:pBdr>
          <w:top w:val="none" w:sz="0" w:space="0" w:color="auto"/>
          <w:left w:val="none" w:sz="0" w:space="0" w:color="auto"/>
          <w:bottom w:val="none" w:sz="0" w:space="0" w:color="auto"/>
          <w:right w:val="none" w:sz="0" w:space="0" w:color="auto"/>
          <w:between w:val="none" w:sz="0" w:space="0" w:color="auto"/>
          <w:bar w:val="none" w:sz="0" w:color="auto"/>
        </w:pBdr>
        <w:spacing w:after="120"/>
        <w:outlineLvl w:val="3"/>
        <w:rPr>
          <w:rFonts w:eastAsia="Times New Roman"/>
          <w:b/>
          <w:bCs/>
          <w:color w:val="000000"/>
          <w:sz w:val="20"/>
          <w:szCs w:val="20"/>
          <w:bdr w:val="none" w:sz="0" w:space="0" w:color="auto"/>
          <w:lang w:val="en-GB"/>
        </w:rPr>
      </w:pPr>
      <w:r w:rsidRPr="00040FB6">
        <w:rPr>
          <w:rFonts w:eastAsia="Times New Roman"/>
          <w:b/>
          <w:bCs/>
          <w:bdr w:val="none" w:sz="0" w:space="0" w:color="auto"/>
          <w:lang w:val="en-GB"/>
        </w:rPr>
        <w:lastRenderedPageBreak/>
        <w:t xml:space="preserve">Annex. </w:t>
      </w:r>
      <w:r w:rsidRPr="00040FB6">
        <w:rPr>
          <w:rFonts w:eastAsia="Times New Roman"/>
          <w:b/>
          <w:spacing w:val="4"/>
          <w:w w:val="103"/>
          <w:kern w:val="14"/>
          <w:bdr w:val="none" w:sz="0" w:space="0" w:color="auto"/>
          <w:lang w:val="en-GB"/>
        </w:rPr>
        <w:t>Results and resources framework for Iraq (2016-2020)</w:t>
      </w:r>
    </w:p>
    <w:tbl>
      <w:tblPr>
        <w:tblW w:w="4826" w:type="pct"/>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739"/>
        <w:gridCol w:w="2340"/>
        <w:gridCol w:w="3420"/>
        <w:gridCol w:w="2430"/>
        <w:gridCol w:w="1570"/>
      </w:tblGrid>
      <w:tr w:rsidR="00B03D3A" w:rsidRPr="00040FB6" w:rsidTr="0094782E">
        <w:tc>
          <w:tcPr>
            <w:tcW w:w="5000" w:type="pct"/>
            <w:gridSpan w:val="5"/>
            <w:shd w:val="clear" w:color="auto" w:fill="auto"/>
            <w:tcMar>
              <w:top w:w="72" w:type="dxa"/>
              <w:left w:w="144" w:type="dxa"/>
              <w:bottom w:w="72" w:type="dxa"/>
              <w:right w:w="144" w:type="dxa"/>
            </w:tcMar>
          </w:tcPr>
          <w:p w:rsidR="00B03D3A" w:rsidRPr="00040FB6" w:rsidRDefault="009131BC" w:rsidP="006C6A87">
            <w:pPr>
              <w:rPr>
                <w:rFonts w:eastAsia="Times New Roman"/>
                <w:bCs/>
                <w:iCs/>
                <w:sz w:val="18"/>
                <w:szCs w:val="18"/>
                <w:lang w:val="en-GB"/>
              </w:rPr>
            </w:pPr>
            <w:r w:rsidRPr="00040FB6">
              <w:rPr>
                <w:rFonts w:eastAsia="Times New Roman"/>
                <w:b/>
                <w:bCs/>
                <w:sz w:val="18"/>
                <w:szCs w:val="18"/>
                <w:lang w:val="en-GB"/>
              </w:rPr>
              <w:t xml:space="preserve">National priority or goal: </w:t>
            </w:r>
            <w:r w:rsidR="00B03D3A" w:rsidRPr="00040FB6">
              <w:rPr>
                <w:rFonts w:eastAsia="Times New Roman"/>
                <w:bCs/>
                <w:iCs/>
                <w:sz w:val="18"/>
                <w:szCs w:val="18"/>
                <w:lang w:val="en-GB"/>
              </w:rPr>
              <w:t>General Framework of Government Programmes 2014-2018 –</w:t>
            </w:r>
            <w:r w:rsidR="006C6A87" w:rsidRPr="00040FB6">
              <w:rPr>
                <w:rFonts w:eastAsia="Times New Roman"/>
                <w:bCs/>
                <w:iCs/>
                <w:sz w:val="18"/>
                <w:szCs w:val="18"/>
                <w:lang w:val="en-GB"/>
              </w:rPr>
              <w:t>Priority 5: Administrative and Financial Reform of the Governmental Institutions;</w:t>
            </w:r>
          </w:p>
        </w:tc>
      </w:tr>
      <w:tr w:rsidR="00B03D3A" w:rsidRPr="00040FB6" w:rsidTr="0094782E">
        <w:tc>
          <w:tcPr>
            <w:tcW w:w="5000" w:type="pct"/>
            <w:gridSpan w:val="5"/>
            <w:shd w:val="clear" w:color="auto" w:fill="auto"/>
            <w:tcMar>
              <w:top w:w="72" w:type="dxa"/>
              <w:left w:w="144" w:type="dxa"/>
              <w:bottom w:w="72" w:type="dxa"/>
              <w:right w:w="144" w:type="dxa"/>
            </w:tcMar>
          </w:tcPr>
          <w:p w:rsidR="00B03D3A" w:rsidRPr="00040FB6" w:rsidRDefault="00002650" w:rsidP="006C6A87">
            <w:pPr>
              <w:contextualSpacing/>
              <w:rPr>
                <w:rFonts w:eastAsia="Times New Roman"/>
                <w:b/>
                <w:sz w:val="18"/>
                <w:szCs w:val="18"/>
                <w:lang w:val="en-GB"/>
              </w:rPr>
            </w:pPr>
            <w:r w:rsidRPr="00040FB6">
              <w:rPr>
                <w:rFonts w:eastAsia="Times New Roman"/>
                <w:b/>
                <w:bCs/>
                <w:sz w:val="18"/>
                <w:szCs w:val="18"/>
                <w:lang w:val="en-GB"/>
              </w:rPr>
              <w:t>United Nations Development Assistance Framework (</w:t>
            </w:r>
            <w:r w:rsidR="00B03D3A" w:rsidRPr="00040FB6">
              <w:rPr>
                <w:rFonts w:eastAsia="Times New Roman"/>
                <w:b/>
                <w:bCs/>
                <w:sz w:val="18"/>
                <w:szCs w:val="18"/>
                <w:lang w:val="en-GB"/>
              </w:rPr>
              <w:t>UNDAF</w:t>
            </w:r>
            <w:r w:rsidRPr="00040FB6">
              <w:rPr>
                <w:rFonts w:eastAsia="Times New Roman"/>
                <w:b/>
                <w:bCs/>
                <w:sz w:val="18"/>
                <w:szCs w:val="18"/>
                <w:lang w:val="en-GB"/>
              </w:rPr>
              <w:t>)</w:t>
            </w:r>
            <w:r w:rsidR="00B03D3A" w:rsidRPr="00040FB6">
              <w:rPr>
                <w:rFonts w:eastAsia="Times New Roman"/>
                <w:b/>
                <w:bCs/>
                <w:sz w:val="18"/>
                <w:szCs w:val="18"/>
                <w:lang w:val="en-GB"/>
              </w:rPr>
              <w:t xml:space="preserve"> </w:t>
            </w:r>
            <w:r w:rsidR="009131BC" w:rsidRPr="00040FB6">
              <w:rPr>
                <w:rFonts w:eastAsia="Times New Roman"/>
                <w:b/>
                <w:bCs/>
                <w:sz w:val="18"/>
                <w:szCs w:val="18"/>
                <w:lang w:val="en-GB"/>
              </w:rPr>
              <w:t xml:space="preserve">(or equivalent) outcome involving </w:t>
            </w:r>
            <w:r w:rsidR="00B03D3A" w:rsidRPr="00040FB6">
              <w:rPr>
                <w:rFonts w:eastAsia="Times New Roman"/>
                <w:b/>
                <w:bCs/>
                <w:sz w:val="18"/>
                <w:szCs w:val="18"/>
                <w:lang w:val="en-GB"/>
              </w:rPr>
              <w:t>UNDP: 1. Reformed</w:t>
            </w:r>
            <w:r w:rsidR="00B03D3A" w:rsidRPr="00040FB6">
              <w:rPr>
                <w:rFonts w:eastAsia="Times New Roman"/>
                <w:b/>
                <w:sz w:val="18"/>
                <w:szCs w:val="18"/>
                <w:lang w:val="en-GB"/>
              </w:rPr>
              <w:t xml:space="preserve"> legal and law enforcement institutions that are more transparent and accountable</w:t>
            </w:r>
            <w:r w:rsidR="00B03D3A" w:rsidRPr="00040FB6">
              <w:rPr>
                <w:rStyle w:val="FootnoteReference"/>
                <w:rFonts w:eastAsia="Times New Roman"/>
                <w:sz w:val="18"/>
                <w:szCs w:val="18"/>
                <w:lang w:val="en-GB"/>
              </w:rPr>
              <w:footnoteReference w:id="20"/>
            </w:r>
          </w:p>
        </w:tc>
      </w:tr>
      <w:tr w:rsidR="00B03D3A" w:rsidRPr="00040FB6" w:rsidTr="0094782E">
        <w:tc>
          <w:tcPr>
            <w:tcW w:w="5000" w:type="pct"/>
            <w:gridSpan w:val="5"/>
            <w:shd w:val="clear" w:color="auto" w:fill="auto"/>
            <w:tcMar>
              <w:top w:w="72" w:type="dxa"/>
              <w:left w:w="144" w:type="dxa"/>
              <w:bottom w:w="72" w:type="dxa"/>
              <w:right w:w="144" w:type="dxa"/>
            </w:tcMar>
          </w:tcPr>
          <w:p w:rsidR="00B03D3A" w:rsidRPr="00040FB6" w:rsidRDefault="009131BC" w:rsidP="006C6A87">
            <w:pPr>
              <w:ind w:right="216"/>
              <w:rPr>
                <w:rFonts w:eastAsia="Times New Roman"/>
                <w:b/>
                <w:bCs/>
                <w:iCs/>
                <w:sz w:val="18"/>
                <w:szCs w:val="18"/>
                <w:lang w:val="en-GB"/>
              </w:rPr>
            </w:pPr>
            <w:r w:rsidRPr="00040FB6">
              <w:rPr>
                <w:rFonts w:eastAsia="Times New Roman"/>
                <w:b/>
                <w:bCs/>
                <w:sz w:val="18"/>
                <w:szCs w:val="18"/>
                <w:lang w:val="en-GB"/>
              </w:rPr>
              <w:t>Related strategic plan outcome</w:t>
            </w:r>
            <w:r w:rsidR="00B03D3A" w:rsidRPr="00040FB6">
              <w:rPr>
                <w:rFonts w:eastAsia="Times New Roman"/>
                <w:b/>
                <w:bCs/>
                <w:sz w:val="18"/>
                <w:szCs w:val="18"/>
                <w:lang w:val="en-GB"/>
              </w:rPr>
              <w:t xml:space="preserve"> (from UNDP strategic plan, 2014-2017)</w:t>
            </w:r>
            <w:r w:rsidRPr="00040FB6">
              <w:rPr>
                <w:rFonts w:eastAsia="Times New Roman"/>
                <w:b/>
                <w:bCs/>
                <w:sz w:val="18"/>
                <w:szCs w:val="18"/>
                <w:lang w:val="en-GB"/>
              </w:rPr>
              <w:t>:</w:t>
            </w:r>
            <w:r w:rsidR="00B03D3A" w:rsidRPr="00040FB6">
              <w:rPr>
                <w:rFonts w:eastAsia="Times New Roman"/>
                <w:b/>
                <w:bCs/>
                <w:sz w:val="18"/>
                <w:szCs w:val="18"/>
                <w:lang w:val="en-GB"/>
              </w:rPr>
              <w:t xml:space="preserve"> </w:t>
            </w:r>
            <w:r w:rsidR="00B03D3A" w:rsidRPr="00040FB6">
              <w:rPr>
                <w:rFonts w:eastAsia="Times New Roman"/>
                <w:sz w:val="18"/>
                <w:szCs w:val="18"/>
                <w:lang w:val="en-GB"/>
              </w:rPr>
              <w:t>Outcome 2</w:t>
            </w:r>
            <w:r w:rsidRPr="00040FB6">
              <w:rPr>
                <w:rFonts w:eastAsia="Times New Roman"/>
                <w:sz w:val="18"/>
                <w:szCs w:val="18"/>
                <w:lang w:val="en-GB"/>
              </w:rPr>
              <w:t>.</w:t>
            </w:r>
            <w:r w:rsidR="00B03D3A" w:rsidRPr="00040FB6">
              <w:rPr>
                <w:rFonts w:eastAsia="Times New Roman"/>
                <w:sz w:val="18"/>
                <w:szCs w:val="18"/>
                <w:lang w:val="en-GB"/>
              </w:rPr>
              <w:t xml:space="preserve"> Citizen expectations for voice, development, the rule of law and accountability are met by stronger systems of democratic governance</w:t>
            </w:r>
          </w:p>
        </w:tc>
      </w:tr>
      <w:tr w:rsidR="00B03D3A" w:rsidRPr="00040FB6" w:rsidTr="00295F7F">
        <w:tc>
          <w:tcPr>
            <w:tcW w:w="1096" w:type="pct"/>
            <w:tcBorders>
              <w:bottom w:val="single" w:sz="4" w:space="0" w:color="auto"/>
            </w:tcBorders>
            <w:shd w:val="clear" w:color="auto" w:fill="auto"/>
            <w:tcMar>
              <w:top w:w="72" w:type="dxa"/>
              <w:left w:w="144" w:type="dxa"/>
              <w:bottom w:w="72" w:type="dxa"/>
              <w:right w:w="144" w:type="dxa"/>
            </w:tcMar>
            <w:vAlign w:val="center"/>
          </w:tcPr>
          <w:p w:rsidR="00B03D3A" w:rsidRPr="00040FB6" w:rsidRDefault="00B03D3A" w:rsidP="006C6A87">
            <w:pPr>
              <w:jc w:val="center"/>
              <w:rPr>
                <w:rFonts w:eastAsia="Times New Roman"/>
                <w:sz w:val="18"/>
                <w:szCs w:val="18"/>
                <w:lang w:val="en-GB"/>
              </w:rPr>
            </w:pPr>
            <w:r w:rsidRPr="00040FB6">
              <w:rPr>
                <w:rFonts w:eastAsia="Times New Roman"/>
                <w:b/>
                <w:bCs/>
                <w:sz w:val="18"/>
                <w:szCs w:val="18"/>
                <w:lang w:val="en-GB"/>
              </w:rPr>
              <w:t xml:space="preserve">UNDAF </w:t>
            </w:r>
            <w:r w:rsidR="009131BC" w:rsidRPr="00040FB6">
              <w:rPr>
                <w:rFonts w:eastAsia="Times New Roman"/>
                <w:b/>
                <w:bCs/>
                <w:sz w:val="18"/>
                <w:szCs w:val="18"/>
                <w:lang w:val="en-GB"/>
              </w:rPr>
              <w:t>outcome indicators, baselines, and targets</w:t>
            </w:r>
          </w:p>
        </w:tc>
        <w:tc>
          <w:tcPr>
            <w:tcW w:w="936" w:type="pct"/>
            <w:tcBorders>
              <w:bottom w:val="single" w:sz="4" w:space="0" w:color="auto"/>
            </w:tcBorders>
            <w:shd w:val="clear" w:color="auto" w:fill="auto"/>
            <w:vAlign w:val="center"/>
          </w:tcPr>
          <w:p w:rsidR="00B03D3A" w:rsidRPr="00040FB6" w:rsidRDefault="009131BC" w:rsidP="006C6A87">
            <w:pPr>
              <w:jc w:val="center"/>
              <w:rPr>
                <w:rFonts w:eastAsia="Times New Roman"/>
                <w:b/>
                <w:sz w:val="18"/>
                <w:szCs w:val="18"/>
                <w:lang w:val="en-GB"/>
              </w:rPr>
            </w:pPr>
            <w:r w:rsidRPr="00040FB6">
              <w:rPr>
                <w:rFonts w:eastAsia="Times New Roman"/>
                <w:b/>
                <w:sz w:val="18"/>
                <w:szCs w:val="18"/>
                <w:lang w:val="en-GB"/>
              </w:rPr>
              <w:t>Data source and frequency of data collection, and responsibilities</w:t>
            </w:r>
          </w:p>
        </w:tc>
        <w:tc>
          <w:tcPr>
            <w:tcW w:w="1368" w:type="pct"/>
            <w:tcBorders>
              <w:bottom w:val="single" w:sz="4" w:space="0" w:color="auto"/>
            </w:tcBorders>
            <w:shd w:val="clear" w:color="auto" w:fill="auto"/>
            <w:tcMar>
              <w:top w:w="72" w:type="dxa"/>
              <w:left w:w="144" w:type="dxa"/>
              <w:bottom w:w="72" w:type="dxa"/>
              <w:right w:w="144" w:type="dxa"/>
            </w:tcMar>
            <w:vAlign w:val="center"/>
          </w:tcPr>
          <w:p w:rsidR="00B03D3A" w:rsidRPr="00040FB6" w:rsidRDefault="009131BC" w:rsidP="006C6A87">
            <w:pPr>
              <w:jc w:val="center"/>
              <w:rPr>
                <w:rFonts w:eastAsia="Times New Roman"/>
                <w:sz w:val="18"/>
                <w:szCs w:val="18"/>
                <w:lang w:val="en-GB"/>
              </w:rPr>
            </w:pPr>
            <w:r w:rsidRPr="00040FB6">
              <w:rPr>
                <w:rFonts w:eastAsia="Times New Roman"/>
                <w:b/>
                <w:bCs/>
                <w:sz w:val="18"/>
                <w:szCs w:val="18"/>
                <w:lang w:val="en-GB"/>
              </w:rPr>
              <w:t>Indicative country programme outputs (including indicators, baselines targets)</w:t>
            </w:r>
          </w:p>
        </w:tc>
        <w:tc>
          <w:tcPr>
            <w:tcW w:w="972" w:type="pct"/>
            <w:tcBorders>
              <w:bottom w:val="single" w:sz="4" w:space="0" w:color="auto"/>
            </w:tcBorders>
            <w:shd w:val="clear" w:color="auto" w:fill="auto"/>
            <w:vAlign w:val="center"/>
          </w:tcPr>
          <w:p w:rsidR="00B03D3A" w:rsidRPr="00040FB6" w:rsidRDefault="009131BC" w:rsidP="006C6A87">
            <w:pPr>
              <w:jc w:val="center"/>
              <w:rPr>
                <w:rFonts w:eastAsia="Times New Roman"/>
                <w:b/>
                <w:bCs/>
                <w:sz w:val="18"/>
                <w:szCs w:val="18"/>
                <w:lang w:val="en-GB"/>
              </w:rPr>
            </w:pPr>
            <w:r w:rsidRPr="00040FB6">
              <w:rPr>
                <w:rFonts w:eastAsia="Times New Roman"/>
                <w:b/>
                <w:bCs/>
                <w:sz w:val="18"/>
                <w:szCs w:val="18"/>
                <w:lang w:val="en-GB"/>
              </w:rPr>
              <w:t>Major partners/ partnerships,</w:t>
            </w:r>
          </w:p>
          <w:p w:rsidR="00B03D3A" w:rsidRPr="00040FB6" w:rsidRDefault="009131BC" w:rsidP="006C6A87">
            <w:pPr>
              <w:jc w:val="center"/>
              <w:rPr>
                <w:rFonts w:eastAsia="Times New Roman"/>
                <w:b/>
                <w:bCs/>
                <w:sz w:val="18"/>
                <w:szCs w:val="18"/>
                <w:lang w:val="en-GB"/>
              </w:rPr>
            </w:pPr>
            <w:r w:rsidRPr="00040FB6">
              <w:rPr>
                <w:rFonts w:eastAsia="Times New Roman"/>
                <w:b/>
                <w:bCs/>
                <w:sz w:val="18"/>
                <w:szCs w:val="18"/>
                <w:lang w:val="en-GB"/>
              </w:rPr>
              <w:t>frameworks</w:t>
            </w:r>
          </w:p>
        </w:tc>
        <w:tc>
          <w:tcPr>
            <w:tcW w:w="628" w:type="pct"/>
            <w:tcBorders>
              <w:bottom w:val="single" w:sz="4" w:space="0" w:color="auto"/>
            </w:tcBorders>
            <w:shd w:val="clear" w:color="auto" w:fill="auto"/>
            <w:tcMar>
              <w:top w:w="15" w:type="dxa"/>
              <w:left w:w="108" w:type="dxa"/>
              <w:bottom w:w="0" w:type="dxa"/>
              <w:right w:w="108" w:type="dxa"/>
            </w:tcMar>
            <w:vAlign w:val="center"/>
          </w:tcPr>
          <w:p w:rsidR="00B03D3A" w:rsidRPr="00040FB6" w:rsidRDefault="009131BC" w:rsidP="009131BC">
            <w:pPr>
              <w:jc w:val="center"/>
              <w:rPr>
                <w:rFonts w:eastAsia="Times New Roman"/>
                <w:sz w:val="18"/>
                <w:szCs w:val="18"/>
                <w:lang w:val="en-GB"/>
              </w:rPr>
            </w:pPr>
            <w:r w:rsidRPr="00040FB6">
              <w:rPr>
                <w:rFonts w:eastAsia="Times New Roman"/>
                <w:b/>
                <w:bCs/>
                <w:sz w:val="18"/>
                <w:szCs w:val="18"/>
                <w:lang w:val="en-GB"/>
              </w:rPr>
              <w:t>Indicative resources by outcome (in $ </w:t>
            </w:r>
            <w:r w:rsidR="00C87619" w:rsidRPr="00040FB6">
              <w:rPr>
                <w:rFonts w:eastAsia="Times New Roman"/>
                <w:b/>
                <w:bCs/>
                <w:sz w:val="18"/>
                <w:szCs w:val="18"/>
                <w:lang w:val="en-GB"/>
              </w:rPr>
              <w:t>thousands</w:t>
            </w:r>
            <w:r w:rsidRPr="00040FB6">
              <w:rPr>
                <w:rFonts w:eastAsia="Times New Roman"/>
                <w:b/>
                <w:bCs/>
                <w:sz w:val="18"/>
                <w:szCs w:val="18"/>
                <w:lang w:val="en-GB"/>
              </w:rPr>
              <w:t xml:space="preserve"> </w:t>
            </w:r>
            <w:r w:rsidR="00B03D3A" w:rsidRPr="00040FB6">
              <w:rPr>
                <w:rFonts w:eastAsia="Times New Roman"/>
                <w:b/>
                <w:bCs/>
                <w:sz w:val="18"/>
                <w:szCs w:val="18"/>
                <w:lang w:val="en-GB"/>
              </w:rPr>
              <w:t>)</w:t>
            </w:r>
          </w:p>
        </w:tc>
      </w:tr>
      <w:tr w:rsidR="00B03D3A" w:rsidRPr="00040FB6" w:rsidTr="00295F7F">
        <w:tc>
          <w:tcPr>
            <w:tcW w:w="1096" w:type="pct"/>
            <w:tcBorders>
              <w:bottom w:val="single" w:sz="4" w:space="0" w:color="auto"/>
            </w:tcBorders>
            <w:shd w:val="clear" w:color="auto" w:fill="auto"/>
            <w:tcMar>
              <w:top w:w="72" w:type="dxa"/>
              <w:left w:w="144" w:type="dxa"/>
              <w:bottom w:w="72" w:type="dxa"/>
              <w:right w:w="144" w:type="dxa"/>
            </w:tcMar>
            <w:vAlign w:val="center"/>
          </w:tcPr>
          <w:p w:rsidR="00B03D3A" w:rsidRPr="00040FB6" w:rsidRDefault="00B03D3A" w:rsidP="006C6A87">
            <w:pPr>
              <w:contextualSpacing/>
              <w:rPr>
                <w:rFonts w:eastAsia="Times New Roman"/>
                <w:i/>
                <w:sz w:val="18"/>
                <w:szCs w:val="18"/>
                <w:lang w:val="en-GB"/>
              </w:rPr>
            </w:pPr>
            <w:r w:rsidRPr="00040FB6">
              <w:rPr>
                <w:rFonts w:eastAsia="Times New Roman"/>
                <w:i/>
                <w:sz w:val="18"/>
                <w:szCs w:val="18"/>
                <w:lang w:val="en-GB"/>
              </w:rPr>
              <w:t>Indicator</w:t>
            </w:r>
            <w:r w:rsidR="003F4D38" w:rsidRPr="00040FB6">
              <w:rPr>
                <w:rFonts w:eastAsia="Times New Roman"/>
                <w:i/>
                <w:sz w:val="18"/>
                <w:szCs w:val="18"/>
                <w:lang w:val="en-GB"/>
              </w:rPr>
              <w:t>s</w:t>
            </w:r>
            <w:r w:rsidRPr="00040FB6">
              <w:rPr>
                <w:rFonts w:eastAsia="Times New Roman"/>
                <w:i/>
                <w:sz w:val="18"/>
                <w:szCs w:val="18"/>
                <w:lang w:val="en-GB"/>
              </w:rPr>
              <w:t xml:space="preserve"> </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1.1</w:t>
            </w:r>
            <w:r w:rsidR="00CA4C3C" w:rsidRPr="00040FB6">
              <w:rPr>
                <w:rFonts w:eastAsia="Times New Roman"/>
                <w:sz w:val="18"/>
                <w:szCs w:val="18"/>
                <w:lang w:val="en-GB"/>
              </w:rPr>
              <w:t>.</w:t>
            </w:r>
            <w:r w:rsidRPr="00040FB6">
              <w:rPr>
                <w:rFonts w:eastAsia="Times New Roman"/>
                <w:sz w:val="18"/>
                <w:szCs w:val="18"/>
                <w:lang w:val="en-GB"/>
              </w:rPr>
              <w:t xml:space="preserve"> National </w:t>
            </w:r>
            <w:r w:rsidR="00290095" w:rsidRPr="00040FB6">
              <w:rPr>
                <w:rFonts w:eastAsia="Times New Roman"/>
                <w:sz w:val="18"/>
                <w:szCs w:val="18"/>
                <w:lang w:val="en-GB"/>
              </w:rPr>
              <w:t>s</w:t>
            </w:r>
            <w:r w:rsidRPr="00040FB6">
              <w:rPr>
                <w:rFonts w:eastAsia="Times New Roman"/>
                <w:sz w:val="18"/>
                <w:szCs w:val="18"/>
                <w:lang w:val="en-GB"/>
              </w:rPr>
              <w:t xml:space="preserve">ecurity </w:t>
            </w:r>
            <w:r w:rsidR="00290095" w:rsidRPr="00040FB6">
              <w:rPr>
                <w:rFonts w:eastAsia="Times New Roman"/>
                <w:sz w:val="18"/>
                <w:szCs w:val="18"/>
                <w:lang w:val="en-GB"/>
              </w:rPr>
              <w:t>s</w:t>
            </w:r>
            <w:r w:rsidRPr="00040FB6">
              <w:rPr>
                <w:rFonts w:eastAsia="Times New Roman"/>
                <w:sz w:val="18"/>
                <w:szCs w:val="18"/>
                <w:lang w:val="en-GB"/>
              </w:rPr>
              <w:t xml:space="preserve">trategy successfully implemented </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Baseline: No</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Target: Yes</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Source:</w:t>
            </w:r>
            <w:r w:rsidR="00351D34" w:rsidRPr="00040FB6">
              <w:rPr>
                <w:rFonts w:eastAsia="Times New Roman"/>
                <w:sz w:val="18"/>
                <w:szCs w:val="18"/>
                <w:lang w:val="en-GB"/>
              </w:rPr>
              <w:t xml:space="preserve"> </w:t>
            </w:r>
            <w:r w:rsidR="00CA4C3C" w:rsidRPr="00040FB6">
              <w:rPr>
                <w:rFonts w:eastAsia="Times New Roman"/>
                <w:sz w:val="18"/>
                <w:szCs w:val="18"/>
                <w:lang w:val="en-GB"/>
              </w:rPr>
              <w:t>Security sector reform phase II </w:t>
            </w:r>
            <w:r w:rsidR="00351D34" w:rsidRPr="00040FB6">
              <w:rPr>
                <w:rFonts w:eastAsia="Times New Roman"/>
                <w:sz w:val="18"/>
                <w:szCs w:val="18"/>
                <w:lang w:val="en-GB"/>
              </w:rPr>
              <w:t xml:space="preserve"> </w:t>
            </w:r>
            <w:r w:rsidR="00CA4C3C" w:rsidRPr="00040FB6">
              <w:rPr>
                <w:rFonts w:eastAsia="Times New Roman"/>
                <w:sz w:val="18"/>
                <w:szCs w:val="18"/>
                <w:lang w:val="en-GB"/>
              </w:rPr>
              <w:t>p</w:t>
            </w:r>
            <w:r w:rsidR="00351D34" w:rsidRPr="00040FB6">
              <w:rPr>
                <w:rFonts w:eastAsia="Times New Roman"/>
                <w:sz w:val="18"/>
                <w:szCs w:val="18"/>
                <w:lang w:val="en-GB"/>
              </w:rPr>
              <w:t xml:space="preserve">roject </w:t>
            </w:r>
            <w:r w:rsidR="00CA4C3C" w:rsidRPr="00040FB6">
              <w:rPr>
                <w:rFonts w:eastAsia="Times New Roman"/>
                <w:sz w:val="18"/>
                <w:szCs w:val="18"/>
                <w:lang w:val="en-GB"/>
              </w:rPr>
              <w:t>r</w:t>
            </w:r>
            <w:r w:rsidR="00351D34" w:rsidRPr="00040FB6">
              <w:rPr>
                <w:rFonts w:eastAsia="Times New Roman"/>
                <w:sz w:val="18"/>
                <w:szCs w:val="18"/>
                <w:lang w:val="en-GB"/>
              </w:rPr>
              <w:t>eports</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Frequency:</w:t>
            </w:r>
            <w:r w:rsidR="00351D34" w:rsidRPr="00040FB6">
              <w:rPr>
                <w:rFonts w:eastAsia="Times New Roman"/>
                <w:sz w:val="18"/>
                <w:szCs w:val="18"/>
                <w:lang w:val="en-GB"/>
              </w:rPr>
              <w:t xml:space="preserve"> Annual</w:t>
            </w:r>
          </w:p>
          <w:p w:rsidR="00B03D3A" w:rsidRPr="00040FB6" w:rsidRDefault="00B03D3A" w:rsidP="006C6A87">
            <w:pPr>
              <w:contextualSpacing/>
              <w:rPr>
                <w:rFonts w:eastAsia="Times New Roman"/>
                <w:sz w:val="18"/>
                <w:szCs w:val="18"/>
                <w:lang w:val="en-GB"/>
              </w:rPr>
            </w:pP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1.2</w:t>
            </w:r>
            <w:r w:rsidR="00CA4C3C" w:rsidRPr="00040FB6">
              <w:rPr>
                <w:rFonts w:eastAsia="Times New Roman"/>
                <w:sz w:val="18"/>
                <w:szCs w:val="18"/>
                <w:lang w:val="en-GB"/>
              </w:rPr>
              <w:t>.</w:t>
            </w:r>
            <w:r w:rsidRPr="00040FB6">
              <w:rPr>
                <w:rFonts w:eastAsia="Times New Roman"/>
                <w:sz w:val="18"/>
                <w:szCs w:val="18"/>
                <w:lang w:val="en-GB"/>
              </w:rPr>
              <w:t xml:space="preserve"> Legislative consultation mechanism for </w:t>
            </w:r>
            <w:r w:rsidR="00CA4C3C" w:rsidRPr="00040FB6">
              <w:rPr>
                <w:rFonts w:eastAsia="Times New Roman"/>
                <w:sz w:val="18"/>
                <w:szCs w:val="18"/>
                <w:lang w:val="en-GB"/>
              </w:rPr>
              <w:t>c</w:t>
            </w:r>
            <w:r w:rsidRPr="00040FB6">
              <w:rPr>
                <w:rFonts w:eastAsia="Times New Roman"/>
                <w:sz w:val="18"/>
                <w:szCs w:val="18"/>
                <w:lang w:val="en-GB"/>
              </w:rPr>
              <w:t xml:space="preserve">ivil </w:t>
            </w:r>
            <w:r w:rsidR="00CA4C3C" w:rsidRPr="00040FB6">
              <w:rPr>
                <w:rFonts w:eastAsia="Times New Roman"/>
                <w:sz w:val="18"/>
                <w:szCs w:val="18"/>
                <w:lang w:val="en-GB"/>
              </w:rPr>
              <w:t>s</w:t>
            </w:r>
            <w:r w:rsidRPr="00040FB6">
              <w:rPr>
                <w:rFonts w:eastAsia="Times New Roman"/>
                <w:sz w:val="18"/>
                <w:szCs w:val="18"/>
                <w:lang w:val="en-GB"/>
              </w:rPr>
              <w:t>ociety e</w:t>
            </w:r>
            <w:r w:rsidR="00AD2C90" w:rsidRPr="00040FB6">
              <w:rPr>
                <w:rFonts w:eastAsia="Times New Roman"/>
                <w:sz w:val="18"/>
                <w:szCs w:val="18"/>
                <w:lang w:val="en-GB"/>
              </w:rPr>
              <w:t>stablished and functioning</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Baseline:</w:t>
            </w:r>
            <w:r w:rsidR="00AD2C90" w:rsidRPr="00040FB6">
              <w:rPr>
                <w:rFonts w:eastAsia="Times New Roman"/>
                <w:sz w:val="18"/>
                <w:szCs w:val="18"/>
                <w:lang w:val="en-GB"/>
              </w:rPr>
              <w:t xml:space="preserve"> 1</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Target:</w:t>
            </w:r>
            <w:r w:rsidR="00AD2C90" w:rsidRPr="00040FB6">
              <w:rPr>
                <w:rFonts w:eastAsia="Times New Roman"/>
                <w:sz w:val="18"/>
                <w:szCs w:val="18"/>
                <w:lang w:val="en-GB"/>
              </w:rPr>
              <w:t xml:space="preserve"> 3</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Source:</w:t>
            </w:r>
            <w:r w:rsidR="00AD2C90" w:rsidRPr="00040FB6">
              <w:rPr>
                <w:rFonts w:eastAsia="Times New Roman"/>
                <w:sz w:val="18"/>
                <w:szCs w:val="18"/>
                <w:lang w:val="en-GB"/>
              </w:rPr>
              <w:t xml:space="preserve"> </w:t>
            </w:r>
            <w:r w:rsidR="00CF2918" w:rsidRPr="00040FB6">
              <w:rPr>
                <w:rFonts w:eastAsia="Times New Roman"/>
                <w:sz w:val="18"/>
                <w:szCs w:val="18"/>
                <w:lang w:val="en-GB"/>
              </w:rPr>
              <w:t xml:space="preserve">Persian Gulf </w:t>
            </w:r>
            <w:r w:rsidR="00561AEC" w:rsidRPr="00040FB6">
              <w:rPr>
                <w:rFonts w:eastAsia="Times New Roman"/>
                <w:sz w:val="18"/>
                <w:szCs w:val="18"/>
                <w:lang w:val="en-GB"/>
              </w:rPr>
              <w:t>and ‘Strengthening Participatory and Accountable Governance’ (</w:t>
            </w:r>
            <w:r w:rsidR="00AD2C90" w:rsidRPr="00040FB6">
              <w:rPr>
                <w:rFonts w:eastAsia="Times New Roman"/>
                <w:sz w:val="18"/>
                <w:szCs w:val="18"/>
                <w:lang w:val="en-GB"/>
              </w:rPr>
              <w:t>SPAG</w:t>
            </w:r>
            <w:r w:rsidR="00561AEC" w:rsidRPr="00040FB6">
              <w:rPr>
                <w:rFonts w:eastAsia="Times New Roman"/>
                <w:sz w:val="18"/>
                <w:szCs w:val="18"/>
                <w:lang w:val="en-GB"/>
              </w:rPr>
              <w:t>)</w:t>
            </w:r>
            <w:r w:rsidR="00AD2C90" w:rsidRPr="00040FB6">
              <w:rPr>
                <w:rFonts w:eastAsia="Times New Roman"/>
                <w:sz w:val="18"/>
                <w:szCs w:val="18"/>
                <w:lang w:val="en-GB"/>
              </w:rPr>
              <w:t xml:space="preserve"> project reports</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Frequency:</w:t>
            </w:r>
            <w:r w:rsidR="00AD2C90" w:rsidRPr="00040FB6">
              <w:rPr>
                <w:rFonts w:eastAsia="Times New Roman"/>
                <w:sz w:val="18"/>
                <w:szCs w:val="18"/>
                <w:lang w:val="en-GB"/>
              </w:rPr>
              <w:t xml:space="preserve"> Annual</w:t>
            </w:r>
          </w:p>
          <w:p w:rsidR="00B03D3A" w:rsidRPr="00040FB6" w:rsidRDefault="00B03D3A" w:rsidP="006C6A87">
            <w:pPr>
              <w:contextualSpacing/>
              <w:rPr>
                <w:rFonts w:eastAsia="Times New Roman"/>
                <w:sz w:val="18"/>
                <w:szCs w:val="18"/>
                <w:lang w:val="en-GB"/>
              </w:rPr>
            </w:pP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1.3</w:t>
            </w:r>
            <w:r w:rsidR="00CA4C3C" w:rsidRPr="00040FB6">
              <w:rPr>
                <w:rFonts w:eastAsia="Times New Roman"/>
                <w:sz w:val="18"/>
                <w:szCs w:val="18"/>
                <w:lang w:val="en-GB"/>
              </w:rPr>
              <w:t>.</w:t>
            </w:r>
            <w:r w:rsidRPr="00040FB6">
              <w:rPr>
                <w:rFonts w:eastAsia="Times New Roman"/>
                <w:sz w:val="18"/>
                <w:szCs w:val="18"/>
                <w:lang w:val="en-GB"/>
              </w:rPr>
              <w:t xml:space="preserve"> National </w:t>
            </w:r>
            <w:r w:rsidR="00CA4C3C" w:rsidRPr="00040FB6">
              <w:rPr>
                <w:rFonts w:eastAsia="Times New Roman"/>
                <w:sz w:val="18"/>
                <w:szCs w:val="18"/>
                <w:lang w:val="en-GB"/>
              </w:rPr>
              <w:t>a</w:t>
            </w:r>
            <w:r w:rsidRPr="00040FB6">
              <w:rPr>
                <w:rFonts w:eastAsia="Times New Roman"/>
                <w:sz w:val="18"/>
                <w:szCs w:val="18"/>
                <w:lang w:val="en-GB"/>
              </w:rPr>
              <w:t xml:space="preserve">nti-corruption </w:t>
            </w:r>
            <w:r w:rsidR="00CA4C3C" w:rsidRPr="00040FB6">
              <w:rPr>
                <w:rFonts w:eastAsia="Times New Roman"/>
                <w:sz w:val="18"/>
                <w:szCs w:val="18"/>
                <w:lang w:val="en-GB"/>
              </w:rPr>
              <w:t>s</w:t>
            </w:r>
            <w:r w:rsidRPr="00040FB6">
              <w:rPr>
                <w:rFonts w:eastAsia="Times New Roman"/>
                <w:sz w:val="18"/>
                <w:szCs w:val="18"/>
                <w:lang w:val="en-GB"/>
              </w:rPr>
              <w:t xml:space="preserve">trategy successfully implemented </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Baseline: No</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Target: Yes</w:t>
            </w:r>
          </w:p>
          <w:p w:rsidR="00B03D3A" w:rsidRPr="00040FB6" w:rsidRDefault="008115A2" w:rsidP="006C6A87">
            <w:pPr>
              <w:contextualSpacing/>
              <w:rPr>
                <w:rFonts w:eastAsia="Times New Roman"/>
                <w:sz w:val="18"/>
                <w:szCs w:val="18"/>
                <w:lang w:val="en-GB"/>
              </w:rPr>
            </w:pPr>
            <w:r w:rsidRPr="00040FB6">
              <w:rPr>
                <w:rFonts w:eastAsia="Times New Roman"/>
                <w:sz w:val="18"/>
                <w:szCs w:val="18"/>
                <w:lang w:val="en-GB"/>
              </w:rPr>
              <w:t>Source: Federal Commission of Integrity</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lastRenderedPageBreak/>
              <w:t>Frequency:</w:t>
            </w:r>
            <w:r w:rsidR="008115A2" w:rsidRPr="00040FB6">
              <w:rPr>
                <w:rFonts w:eastAsia="Times New Roman"/>
                <w:sz w:val="18"/>
                <w:szCs w:val="18"/>
                <w:lang w:val="en-GB"/>
              </w:rPr>
              <w:t xml:space="preserve"> Annual</w:t>
            </w:r>
          </w:p>
          <w:p w:rsidR="00B03D3A" w:rsidRPr="00040FB6" w:rsidRDefault="00B03D3A" w:rsidP="006C6A87">
            <w:pPr>
              <w:contextualSpacing/>
              <w:rPr>
                <w:rFonts w:eastAsia="Times New Roman"/>
                <w:sz w:val="18"/>
                <w:szCs w:val="18"/>
                <w:lang w:val="en-GB"/>
              </w:rPr>
            </w:pP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 xml:space="preserve">1.4: </w:t>
            </w:r>
            <w:r w:rsidR="00FE687A" w:rsidRPr="00040FB6">
              <w:rPr>
                <w:rFonts w:eastAsia="Times New Roman"/>
                <w:sz w:val="18"/>
                <w:szCs w:val="18"/>
                <w:lang w:val="en-GB"/>
              </w:rPr>
              <w:t xml:space="preserve">Percentage </w:t>
            </w:r>
            <w:r w:rsidRPr="00040FB6">
              <w:rPr>
                <w:rFonts w:eastAsia="Times New Roman"/>
                <w:sz w:val="18"/>
                <w:szCs w:val="18"/>
                <w:lang w:val="en-GB"/>
              </w:rPr>
              <w:t>of people surveyed who perceive legal and law enforcement institutions as more transparent</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 xml:space="preserve">Baseline: Perception </w:t>
            </w:r>
            <w:r w:rsidR="00FE687A" w:rsidRPr="00040FB6">
              <w:rPr>
                <w:rFonts w:eastAsia="Times New Roman"/>
                <w:sz w:val="18"/>
                <w:szCs w:val="18"/>
                <w:lang w:val="en-GB"/>
              </w:rPr>
              <w:t>s</w:t>
            </w:r>
            <w:r w:rsidRPr="00040FB6">
              <w:rPr>
                <w:rFonts w:eastAsia="Times New Roman"/>
                <w:sz w:val="18"/>
                <w:szCs w:val="18"/>
                <w:lang w:val="en-GB"/>
              </w:rPr>
              <w:t>urvey to be undertaken in 1</w:t>
            </w:r>
            <w:r w:rsidRPr="00040FB6">
              <w:rPr>
                <w:rFonts w:eastAsia="Times New Roman"/>
                <w:sz w:val="18"/>
                <w:szCs w:val="18"/>
                <w:vertAlign w:val="superscript"/>
                <w:lang w:val="en-GB"/>
              </w:rPr>
              <w:t>st</w:t>
            </w:r>
            <w:r w:rsidRPr="00040FB6">
              <w:rPr>
                <w:rFonts w:eastAsia="Times New Roman"/>
                <w:sz w:val="18"/>
                <w:szCs w:val="18"/>
                <w:lang w:val="en-GB"/>
              </w:rPr>
              <w:t xml:space="preserve"> year of </w:t>
            </w:r>
            <w:r w:rsidR="00FE687A" w:rsidRPr="00040FB6">
              <w:rPr>
                <w:rFonts w:eastAsia="Times New Roman"/>
                <w:sz w:val="18"/>
                <w:szCs w:val="18"/>
                <w:lang w:val="en-GB"/>
              </w:rPr>
              <w:t>second country programme</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 xml:space="preserve">Target: </w:t>
            </w:r>
            <w:r w:rsidR="00FE687A" w:rsidRPr="00040FB6">
              <w:rPr>
                <w:rFonts w:eastAsia="Times New Roman"/>
                <w:sz w:val="18"/>
                <w:szCs w:val="18"/>
                <w:lang w:val="en-GB"/>
              </w:rPr>
              <w:t>I</w:t>
            </w:r>
            <w:r w:rsidRPr="00040FB6">
              <w:rPr>
                <w:rFonts w:eastAsia="Times New Roman"/>
                <w:sz w:val="18"/>
                <w:szCs w:val="18"/>
                <w:lang w:val="en-GB"/>
              </w:rPr>
              <w:t xml:space="preserve">ncrease </w:t>
            </w:r>
            <w:r w:rsidR="00FE687A" w:rsidRPr="00040FB6">
              <w:rPr>
                <w:rFonts w:eastAsia="Times New Roman"/>
                <w:sz w:val="18"/>
                <w:szCs w:val="18"/>
                <w:lang w:val="en-GB"/>
              </w:rPr>
              <w:t xml:space="preserve">in </w:t>
            </w:r>
            <w:r w:rsidRPr="00040FB6">
              <w:rPr>
                <w:rFonts w:eastAsia="Times New Roman"/>
                <w:sz w:val="18"/>
                <w:szCs w:val="18"/>
                <w:lang w:val="en-GB"/>
              </w:rPr>
              <w:t>people surveyed who perceive legal and law enforcement</w:t>
            </w:r>
            <w:r w:rsidR="00FE687A" w:rsidRPr="00040FB6">
              <w:rPr>
                <w:rFonts w:eastAsia="Times New Roman"/>
                <w:sz w:val="18"/>
                <w:szCs w:val="18"/>
                <w:lang w:val="en-GB"/>
              </w:rPr>
              <w:t xml:space="preserve"> institutions as more transparent</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 xml:space="preserve">Source: Perception </w:t>
            </w:r>
            <w:r w:rsidR="00FE687A" w:rsidRPr="00040FB6">
              <w:rPr>
                <w:rFonts w:eastAsia="Times New Roman"/>
                <w:sz w:val="18"/>
                <w:szCs w:val="18"/>
                <w:lang w:val="en-GB"/>
              </w:rPr>
              <w:t>s</w:t>
            </w:r>
            <w:r w:rsidRPr="00040FB6">
              <w:rPr>
                <w:rFonts w:eastAsia="Times New Roman"/>
                <w:sz w:val="18"/>
                <w:szCs w:val="18"/>
                <w:lang w:val="en-GB"/>
              </w:rPr>
              <w:t>urvey</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 xml:space="preserve">Frequency: </w:t>
            </w:r>
            <w:r w:rsidR="008115A2" w:rsidRPr="00040FB6">
              <w:rPr>
                <w:rFonts w:eastAsia="Times New Roman"/>
                <w:sz w:val="18"/>
                <w:szCs w:val="18"/>
                <w:lang w:val="en-GB"/>
              </w:rPr>
              <w:t xml:space="preserve">Twice during </w:t>
            </w:r>
            <w:r w:rsidR="00FE687A" w:rsidRPr="00040FB6">
              <w:rPr>
                <w:rFonts w:eastAsia="Times New Roman"/>
                <w:sz w:val="18"/>
                <w:szCs w:val="18"/>
                <w:lang w:val="en-GB"/>
              </w:rPr>
              <w:t xml:space="preserve">country programme </w:t>
            </w:r>
            <w:r w:rsidR="008115A2" w:rsidRPr="00040FB6">
              <w:rPr>
                <w:rFonts w:eastAsia="Times New Roman"/>
                <w:sz w:val="18"/>
                <w:szCs w:val="18"/>
                <w:lang w:val="en-GB"/>
              </w:rPr>
              <w:t>period</w:t>
            </w:r>
          </w:p>
          <w:p w:rsidR="00B03D3A" w:rsidRPr="00040FB6" w:rsidRDefault="00B03D3A" w:rsidP="006C6A87">
            <w:pPr>
              <w:contextualSpacing/>
              <w:rPr>
                <w:rFonts w:eastAsia="Times New Roman"/>
                <w:sz w:val="18"/>
                <w:szCs w:val="18"/>
                <w:lang w:val="en-GB"/>
              </w:rPr>
            </w:pP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 xml:space="preserve">1.5: </w:t>
            </w:r>
            <w:r w:rsidR="00FE687A" w:rsidRPr="00040FB6">
              <w:rPr>
                <w:rFonts w:eastAsia="Times New Roman"/>
                <w:sz w:val="18"/>
                <w:szCs w:val="18"/>
                <w:lang w:val="en-GB"/>
              </w:rPr>
              <w:t>R</w:t>
            </w:r>
            <w:r w:rsidRPr="00040FB6">
              <w:rPr>
                <w:rFonts w:eastAsia="Times New Roman"/>
                <w:sz w:val="18"/>
                <w:szCs w:val="18"/>
                <w:lang w:val="en-GB"/>
              </w:rPr>
              <w:t>ank</w:t>
            </w:r>
            <w:r w:rsidR="00FE687A" w:rsidRPr="00040FB6">
              <w:rPr>
                <w:rFonts w:eastAsia="Times New Roman"/>
                <w:sz w:val="18"/>
                <w:szCs w:val="18"/>
                <w:lang w:val="en-GB"/>
              </w:rPr>
              <w:t>ing of Iraq</w:t>
            </w:r>
            <w:r w:rsidRPr="00040FB6">
              <w:rPr>
                <w:rFonts w:eastAsia="Times New Roman"/>
                <w:sz w:val="18"/>
                <w:szCs w:val="18"/>
                <w:lang w:val="en-GB"/>
              </w:rPr>
              <w:t xml:space="preserve"> on </w:t>
            </w:r>
            <w:r w:rsidR="00FE687A" w:rsidRPr="00040FB6">
              <w:rPr>
                <w:rFonts w:eastAsia="Times New Roman"/>
                <w:sz w:val="18"/>
                <w:szCs w:val="18"/>
                <w:lang w:val="en-GB"/>
              </w:rPr>
              <w:t xml:space="preserve">the </w:t>
            </w:r>
            <w:r w:rsidRPr="00040FB6">
              <w:rPr>
                <w:rFonts w:eastAsia="Times New Roman"/>
                <w:sz w:val="18"/>
                <w:szCs w:val="18"/>
                <w:lang w:val="en-GB"/>
              </w:rPr>
              <w:t xml:space="preserve">Transparency International Corruption Index </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Baseline: 171 out of 177 countries (2013)</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Target: &gt;171</w:t>
            </w:r>
          </w:p>
          <w:p w:rsidR="00B03D3A" w:rsidRPr="00040FB6" w:rsidRDefault="00B03D3A" w:rsidP="006C6A87">
            <w:pPr>
              <w:contextualSpacing/>
              <w:rPr>
                <w:rFonts w:eastAsia="Times New Roman"/>
                <w:sz w:val="18"/>
                <w:szCs w:val="18"/>
                <w:lang w:val="en-GB"/>
              </w:rPr>
            </w:pPr>
            <w:r w:rsidRPr="00040FB6">
              <w:rPr>
                <w:rFonts w:eastAsia="Times New Roman"/>
                <w:sz w:val="18"/>
                <w:szCs w:val="18"/>
                <w:lang w:val="en-GB"/>
              </w:rPr>
              <w:t>Source</w:t>
            </w:r>
            <w:r w:rsidR="00FE687A" w:rsidRPr="00040FB6">
              <w:rPr>
                <w:rFonts w:eastAsia="Times New Roman"/>
                <w:sz w:val="18"/>
                <w:szCs w:val="18"/>
                <w:lang w:val="en-GB"/>
              </w:rPr>
              <w:t>:</w:t>
            </w:r>
            <w:r w:rsidRPr="00040FB6">
              <w:rPr>
                <w:rFonts w:eastAsia="Times New Roman"/>
                <w:sz w:val="18"/>
                <w:szCs w:val="18"/>
                <w:lang w:val="en-GB"/>
              </w:rPr>
              <w:t xml:space="preserve"> Corruption Index</w:t>
            </w:r>
          </w:p>
          <w:p w:rsidR="00FD5345" w:rsidRPr="00040FB6" w:rsidRDefault="00B03D3A" w:rsidP="006C6A87">
            <w:pPr>
              <w:contextualSpacing/>
              <w:rPr>
                <w:rFonts w:eastAsia="Times New Roman"/>
                <w:b/>
                <w:bCs/>
                <w:sz w:val="18"/>
                <w:szCs w:val="18"/>
                <w:lang w:val="en-GB"/>
              </w:rPr>
            </w:pPr>
            <w:r w:rsidRPr="00040FB6">
              <w:rPr>
                <w:rFonts w:eastAsia="Times New Roman"/>
                <w:sz w:val="18"/>
                <w:szCs w:val="18"/>
                <w:lang w:val="en-GB"/>
              </w:rPr>
              <w:t>Frequency: Annual</w:t>
            </w:r>
          </w:p>
          <w:p w:rsidR="00FD5345" w:rsidRPr="00040FB6" w:rsidRDefault="00FD5345" w:rsidP="006C6A87">
            <w:pPr>
              <w:contextualSpacing/>
              <w:rPr>
                <w:rFonts w:eastAsia="Times New Roman"/>
                <w:b/>
                <w:bCs/>
                <w:sz w:val="18"/>
                <w:szCs w:val="18"/>
                <w:lang w:val="en-GB"/>
              </w:rPr>
            </w:pPr>
          </w:p>
          <w:p w:rsidR="00FD5345" w:rsidRPr="00040FB6" w:rsidRDefault="00FD5345" w:rsidP="006C6A87">
            <w:pPr>
              <w:contextualSpacing/>
              <w:rPr>
                <w:rFonts w:eastAsia="Times New Roman"/>
                <w:bCs/>
                <w:sz w:val="18"/>
                <w:szCs w:val="18"/>
                <w:lang w:val="en-GB"/>
              </w:rPr>
            </w:pPr>
            <w:r w:rsidRPr="00040FB6">
              <w:rPr>
                <w:rFonts w:eastAsia="Times New Roman"/>
                <w:bCs/>
                <w:sz w:val="18"/>
                <w:szCs w:val="18"/>
                <w:lang w:val="en-GB"/>
              </w:rPr>
              <w:t xml:space="preserve">1.6: Increased access to </w:t>
            </w:r>
            <w:r w:rsidR="00FE687A" w:rsidRPr="00040FB6">
              <w:rPr>
                <w:rFonts w:eastAsia="Times New Roman"/>
                <w:bCs/>
                <w:sz w:val="18"/>
                <w:szCs w:val="18"/>
                <w:lang w:val="en-GB"/>
              </w:rPr>
              <w:t>l</w:t>
            </w:r>
            <w:r w:rsidRPr="00040FB6">
              <w:rPr>
                <w:rFonts w:eastAsia="Times New Roman"/>
                <w:bCs/>
                <w:sz w:val="18"/>
                <w:szCs w:val="18"/>
                <w:lang w:val="en-GB"/>
              </w:rPr>
              <w:t xml:space="preserve">egal </w:t>
            </w:r>
            <w:r w:rsidR="00FE687A" w:rsidRPr="00040FB6">
              <w:rPr>
                <w:rFonts w:eastAsia="Times New Roman"/>
                <w:bCs/>
                <w:sz w:val="18"/>
                <w:szCs w:val="18"/>
                <w:lang w:val="en-GB"/>
              </w:rPr>
              <w:t>a</w:t>
            </w:r>
            <w:r w:rsidRPr="00040FB6">
              <w:rPr>
                <w:rFonts w:eastAsia="Times New Roman"/>
                <w:bCs/>
                <w:sz w:val="18"/>
                <w:szCs w:val="18"/>
                <w:lang w:val="en-GB"/>
              </w:rPr>
              <w:t>id services at national and regional level</w:t>
            </w:r>
            <w:r w:rsidR="00FE687A" w:rsidRPr="00040FB6">
              <w:rPr>
                <w:rFonts w:eastAsia="Times New Roman"/>
                <w:bCs/>
                <w:sz w:val="18"/>
                <w:szCs w:val="18"/>
                <w:lang w:val="en-GB"/>
              </w:rPr>
              <w:t>s</w:t>
            </w:r>
            <w:r w:rsidRPr="00040FB6">
              <w:rPr>
                <w:rFonts w:eastAsia="Times New Roman"/>
                <w:bCs/>
                <w:sz w:val="18"/>
                <w:szCs w:val="18"/>
                <w:lang w:val="en-GB"/>
              </w:rPr>
              <w:t>.</w:t>
            </w:r>
          </w:p>
          <w:p w:rsidR="00FD5345" w:rsidRPr="00040FB6" w:rsidRDefault="00FD5345" w:rsidP="006C6A87">
            <w:pPr>
              <w:contextualSpacing/>
              <w:rPr>
                <w:rFonts w:eastAsia="Times New Roman"/>
                <w:bCs/>
                <w:sz w:val="18"/>
                <w:szCs w:val="18"/>
                <w:lang w:val="en-GB"/>
              </w:rPr>
            </w:pPr>
            <w:r w:rsidRPr="00040FB6">
              <w:rPr>
                <w:rFonts w:eastAsia="Times New Roman"/>
                <w:bCs/>
                <w:sz w:val="18"/>
                <w:szCs w:val="18"/>
                <w:lang w:val="en-GB"/>
              </w:rPr>
              <w:t>Baseline: 10 centres providing legal aid services at national and regional level</w:t>
            </w:r>
            <w:r w:rsidR="00FE687A" w:rsidRPr="00040FB6">
              <w:rPr>
                <w:rFonts w:eastAsia="Times New Roman"/>
                <w:bCs/>
                <w:sz w:val="18"/>
                <w:szCs w:val="18"/>
                <w:lang w:val="en-GB"/>
              </w:rPr>
              <w:t>s</w:t>
            </w:r>
          </w:p>
          <w:p w:rsidR="00FD5345" w:rsidRPr="00040FB6" w:rsidRDefault="00FD5345" w:rsidP="006C6A87">
            <w:pPr>
              <w:contextualSpacing/>
              <w:rPr>
                <w:rFonts w:eastAsia="Times New Roman"/>
                <w:bCs/>
                <w:sz w:val="18"/>
                <w:szCs w:val="18"/>
                <w:lang w:val="en-GB"/>
              </w:rPr>
            </w:pPr>
            <w:r w:rsidRPr="00040FB6">
              <w:rPr>
                <w:rFonts w:eastAsia="Times New Roman"/>
                <w:bCs/>
                <w:sz w:val="18"/>
                <w:szCs w:val="18"/>
                <w:lang w:val="en-GB"/>
              </w:rPr>
              <w:t>Target: 15 centres providing legal aid services at national and regional level</w:t>
            </w:r>
            <w:r w:rsidR="00FE687A" w:rsidRPr="00040FB6">
              <w:rPr>
                <w:rFonts w:eastAsia="Times New Roman"/>
                <w:bCs/>
                <w:sz w:val="18"/>
                <w:szCs w:val="18"/>
                <w:lang w:val="en-GB"/>
              </w:rPr>
              <w:t>s</w:t>
            </w:r>
          </w:p>
          <w:p w:rsidR="00FD5345" w:rsidRPr="00040FB6" w:rsidRDefault="00FD5345" w:rsidP="006C6A87">
            <w:pPr>
              <w:contextualSpacing/>
              <w:rPr>
                <w:rFonts w:eastAsia="Times New Roman"/>
                <w:bCs/>
                <w:sz w:val="18"/>
                <w:szCs w:val="18"/>
                <w:lang w:val="en-GB"/>
              </w:rPr>
            </w:pPr>
            <w:r w:rsidRPr="00040FB6">
              <w:rPr>
                <w:rFonts w:eastAsia="Times New Roman"/>
                <w:bCs/>
                <w:sz w:val="18"/>
                <w:szCs w:val="18"/>
                <w:lang w:val="en-GB"/>
              </w:rPr>
              <w:t>Source: Project and M</w:t>
            </w:r>
            <w:r w:rsidR="00FE687A" w:rsidRPr="00040FB6">
              <w:rPr>
                <w:rFonts w:eastAsia="Times New Roman"/>
                <w:bCs/>
                <w:sz w:val="18"/>
                <w:szCs w:val="18"/>
                <w:lang w:val="en-GB"/>
              </w:rPr>
              <w:t>inistry of Information</w:t>
            </w:r>
            <w:r w:rsidRPr="00040FB6">
              <w:rPr>
                <w:rFonts w:eastAsia="Times New Roman"/>
                <w:bCs/>
                <w:sz w:val="18"/>
                <w:szCs w:val="18"/>
                <w:lang w:val="en-GB"/>
              </w:rPr>
              <w:t xml:space="preserve"> </w:t>
            </w:r>
            <w:r w:rsidR="00FE687A" w:rsidRPr="00040FB6">
              <w:rPr>
                <w:rFonts w:eastAsia="Times New Roman"/>
                <w:bCs/>
                <w:sz w:val="18"/>
                <w:szCs w:val="18"/>
                <w:lang w:val="en-GB"/>
              </w:rPr>
              <w:t>r</w:t>
            </w:r>
            <w:r w:rsidRPr="00040FB6">
              <w:rPr>
                <w:rFonts w:eastAsia="Times New Roman"/>
                <w:bCs/>
                <w:sz w:val="18"/>
                <w:szCs w:val="18"/>
                <w:lang w:val="en-GB"/>
              </w:rPr>
              <w:t>eports</w:t>
            </w:r>
          </w:p>
          <w:p w:rsidR="00FD5345" w:rsidRPr="00040FB6" w:rsidRDefault="00FD5345" w:rsidP="006C6A87">
            <w:pPr>
              <w:contextualSpacing/>
              <w:rPr>
                <w:rFonts w:eastAsia="Times New Roman"/>
                <w:sz w:val="18"/>
                <w:szCs w:val="18"/>
                <w:lang w:val="en-GB"/>
              </w:rPr>
            </w:pPr>
            <w:r w:rsidRPr="00040FB6">
              <w:rPr>
                <w:rFonts w:eastAsia="Times New Roman"/>
                <w:bCs/>
                <w:sz w:val="18"/>
                <w:szCs w:val="18"/>
                <w:lang w:val="en-GB"/>
              </w:rPr>
              <w:t>Frequency: Annual</w:t>
            </w:r>
          </w:p>
          <w:p w:rsidR="00B03D3A" w:rsidRPr="00040FB6" w:rsidRDefault="00B03D3A" w:rsidP="007855AA">
            <w:pPr>
              <w:contextualSpacing/>
              <w:rPr>
                <w:rFonts w:eastAsia="Times New Roman"/>
                <w:b/>
                <w:bCs/>
                <w:sz w:val="18"/>
                <w:szCs w:val="18"/>
                <w:lang w:val="en-GB"/>
              </w:rPr>
            </w:pPr>
          </w:p>
        </w:tc>
        <w:tc>
          <w:tcPr>
            <w:tcW w:w="936" w:type="pct"/>
            <w:tcBorders>
              <w:bottom w:val="single" w:sz="4" w:space="0" w:color="auto"/>
            </w:tcBorders>
            <w:shd w:val="clear" w:color="auto" w:fill="auto"/>
          </w:tcPr>
          <w:p w:rsidR="00B03D3A" w:rsidRPr="00040FB6" w:rsidRDefault="00B03D3A" w:rsidP="006C6A87">
            <w:pPr>
              <w:rPr>
                <w:rFonts w:eastAsia="Times New Roman"/>
                <w:iCs/>
                <w:sz w:val="18"/>
                <w:szCs w:val="18"/>
                <w:lang w:val="en-GB"/>
              </w:rPr>
            </w:pPr>
            <w:r w:rsidRPr="00040FB6">
              <w:rPr>
                <w:rFonts w:eastAsia="Times New Roman"/>
                <w:iCs/>
                <w:sz w:val="18"/>
                <w:szCs w:val="18"/>
                <w:lang w:val="en-GB"/>
              </w:rPr>
              <w:lastRenderedPageBreak/>
              <w:t xml:space="preserve">National Statistical System; Kurdistan </w:t>
            </w:r>
            <w:r w:rsidR="00284547" w:rsidRPr="00040FB6">
              <w:rPr>
                <w:rFonts w:eastAsia="Times New Roman"/>
                <w:iCs/>
                <w:sz w:val="18"/>
                <w:szCs w:val="18"/>
                <w:lang w:val="en-GB"/>
              </w:rPr>
              <w:t>r</w:t>
            </w:r>
            <w:r w:rsidRPr="00040FB6">
              <w:rPr>
                <w:rFonts w:eastAsia="Times New Roman"/>
                <w:iCs/>
                <w:sz w:val="18"/>
                <w:szCs w:val="18"/>
                <w:lang w:val="en-GB"/>
              </w:rPr>
              <w:t xml:space="preserve">egion Statistics Office; United Nations Joint Analysis Unit Iraq; Iraq </w:t>
            </w:r>
            <w:r w:rsidR="00CA4C3C" w:rsidRPr="00040FB6">
              <w:rPr>
                <w:rFonts w:eastAsia="Times New Roman"/>
                <w:iCs/>
                <w:sz w:val="18"/>
                <w:szCs w:val="18"/>
                <w:lang w:val="en-GB"/>
              </w:rPr>
              <w:t>d</w:t>
            </w:r>
            <w:r w:rsidRPr="00040FB6">
              <w:rPr>
                <w:rFonts w:eastAsia="Times New Roman"/>
                <w:iCs/>
                <w:sz w:val="18"/>
                <w:szCs w:val="18"/>
                <w:lang w:val="en-GB"/>
              </w:rPr>
              <w:t>ata</w:t>
            </w:r>
            <w:r w:rsidR="00CA4C3C" w:rsidRPr="00040FB6">
              <w:rPr>
                <w:rFonts w:eastAsia="Times New Roman"/>
                <w:iCs/>
                <w:sz w:val="18"/>
                <w:szCs w:val="18"/>
                <w:lang w:val="en-GB"/>
              </w:rPr>
              <w:t>,</w:t>
            </w:r>
            <w:r w:rsidRPr="00040FB6">
              <w:rPr>
                <w:rFonts w:eastAsia="Times New Roman"/>
                <w:iCs/>
                <w:sz w:val="18"/>
                <w:szCs w:val="18"/>
                <w:lang w:val="en-GB"/>
              </w:rPr>
              <w:t xml:space="preserve"> World Bank; Iraq Household Socio-Economic Survey</w:t>
            </w:r>
            <w:r w:rsidR="00CA4C3C" w:rsidRPr="00040FB6">
              <w:rPr>
                <w:rFonts w:eastAsia="Times New Roman"/>
                <w:iCs/>
                <w:sz w:val="18"/>
                <w:szCs w:val="18"/>
                <w:lang w:val="en-GB"/>
              </w:rPr>
              <w:t xml:space="preserve">, </w:t>
            </w:r>
            <w:r w:rsidRPr="00040FB6">
              <w:rPr>
                <w:rFonts w:eastAsia="Times New Roman"/>
                <w:iCs/>
                <w:sz w:val="18"/>
                <w:szCs w:val="18"/>
                <w:lang w:val="en-GB"/>
              </w:rPr>
              <w:t>2012; Iraq Knowledge Network; primary-level feedback from project surveys; outcome evaluation</w:t>
            </w:r>
          </w:p>
          <w:p w:rsidR="00B03D3A" w:rsidRPr="00040FB6" w:rsidRDefault="00B03D3A" w:rsidP="006C6A87">
            <w:pPr>
              <w:rPr>
                <w:rFonts w:eastAsia="Times New Roman"/>
                <w:iCs/>
                <w:sz w:val="18"/>
                <w:szCs w:val="18"/>
                <w:lang w:val="en-GB"/>
              </w:rPr>
            </w:pPr>
          </w:p>
          <w:p w:rsidR="00B03D3A" w:rsidRPr="00040FB6" w:rsidRDefault="00B03D3A" w:rsidP="00E718B8">
            <w:pPr>
              <w:rPr>
                <w:rFonts w:eastAsia="Times New Roman"/>
                <w:b/>
                <w:sz w:val="18"/>
                <w:szCs w:val="18"/>
                <w:lang w:val="en-GB"/>
              </w:rPr>
            </w:pPr>
            <w:r w:rsidRPr="00040FB6">
              <w:rPr>
                <w:rFonts w:eastAsia="Times New Roman"/>
                <w:iCs/>
                <w:sz w:val="18"/>
                <w:szCs w:val="18"/>
                <w:lang w:val="en-GB"/>
              </w:rPr>
              <w:t xml:space="preserve">Additional data sources will be explored with the Ministry of Planning and other government entities </w:t>
            </w:r>
          </w:p>
        </w:tc>
        <w:tc>
          <w:tcPr>
            <w:tcW w:w="1368" w:type="pct"/>
            <w:tcBorders>
              <w:bottom w:val="single" w:sz="4" w:space="0" w:color="auto"/>
            </w:tcBorders>
            <w:shd w:val="clear" w:color="auto" w:fill="auto"/>
            <w:tcMar>
              <w:top w:w="72" w:type="dxa"/>
              <w:left w:w="144" w:type="dxa"/>
              <w:bottom w:w="72" w:type="dxa"/>
              <w:right w:w="144" w:type="dxa"/>
            </w:tcMar>
          </w:tcPr>
          <w:p w:rsidR="00B03D3A" w:rsidRPr="00040FB6" w:rsidRDefault="00B03D3A" w:rsidP="00040FB6">
            <w:pPr>
              <w:spacing w:after="120"/>
              <w:rPr>
                <w:sz w:val="18"/>
                <w:szCs w:val="18"/>
                <w:lang w:val="en-GB"/>
              </w:rPr>
            </w:pPr>
            <w:r w:rsidRPr="00040FB6">
              <w:rPr>
                <w:sz w:val="18"/>
                <w:szCs w:val="18"/>
                <w:lang w:val="en-GB"/>
              </w:rPr>
              <w:t>1.1.1</w:t>
            </w:r>
            <w:r w:rsidR="00CA4C3C" w:rsidRPr="00040FB6">
              <w:rPr>
                <w:sz w:val="18"/>
                <w:szCs w:val="18"/>
                <w:lang w:val="en-GB"/>
              </w:rPr>
              <w:t>.</w:t>
            </w:r>
            <w:r w:rsidRPr="00040FB6">
              <w:rPr>
                <w:sz w:val="18"/>
                <w:szCs w:val="18"/>
                <w:lang w:val="en-GB"/>
              </w:rPr>
              <w:t xml:space="preserve"> Technical support in place for the preparation of a detailed </w:t>
            </w:r>
            <w:r w:rsidR="00290095" w:rsidRPr="00040FB6">
              <w:rPr>
                <w:color w:val="000000"/>
                <w:sz w:val="18"/>
                <w:szCs w:val="18"/>
                <w:u w:color="000000"/>
                <w:lang w:val="en-GB"/>
              </w:rPr>
              <w:t>national security strategy</w:t>
            </w:r>
            <w:r w:rsidRPr="00040FB6">
              <w:rPr>
                <w:sz w:val="18"/>
                <w:szCs w:val="18"/>
                <w:lang w:val="en-GB"/>
              </w:rPr>
              <w:t xml:space="preserve"> implementation plan</w:t>
            </w:r>
          </w:p>
          <w:p w:rsidR="00B03D3A" w:rsidRPr="00040FB6" w:rsidRDefault="00B03D3A" w:rsidP="006C6A87">
            <w:pPr>
              <w:contextualSpacing/>
              <w:rPr>
                <w:i/>
                <w:sz w:val="18"/>
                <w:szCs w:val="18"/>
                <w:lang w:val="en-GB"/>
              </w:rPr>
            </w:pPr>
            <w:r w:rsidRPr="00040FB6">
              <w:rPr>
                <w:i/>
                <w:sz w:val="18"/>
                <w:szCs w:val="18"/>
                <w:lang w:val="en-GB"/>
              </w:rPr>
              <w:t>Indicators</w:t>
            </w:r>
          </w:p>
          <w:p w:rsidR="00B03D3A" w:rsidRPr="00040FB6" w:rsidRDefault="00B03D3A" w:rsidP="006C6A87">
            <w:pPr>
              <w:contextualSpacing/>
              <w:rPr>
                <w:sz w:val="18"/>
                <w:szCs w:val="18"/>
                <w:lang w:val="en-GB"/>
              </w:rPr>
            </w:pPr>
            <w:r w:rsidRPr="00040FB6">
              <w:rPr>
                <w:sz w:val="18"/>
                <w:szCs w:val="18"/>
                <w:lang w:val="en-GB"/>
              </w:rPr>
              <w:t>1.1.1.A</w:t>
            </w:r>
            <w:r w:rsidR="00CA4C3C" w:rsidRPr="00040FB6">
              <w:rPr>
                <w:sz w:val="18"/>
                <w:szCs w:val="18"/>
                <w:lang w:val="en-GB"/>
              </w:rPr>
              <w:t>.</w:t>
            </w:r>
            <w:r w:rsidRPr="00040FB6">
              <w:rPr>
                <w:sz w:val="18"/>
                <w:szCs w:val="18"/>
                <w:lang w:val="en-GB"/>
              </w:rPr>
              <w:t xml:space="preserve"> Technical team in place and operational </w:t>
            </w:r>
          </w:p>
          <w:p w:rsidR="00B03D3A" w:rsidRPr="00040FB6" w:rsidRDefault="00B03D3A" w:rsidP="006C6A87">
            <w:pPr>
              <w:rPr>
                <w:sz w:val="18"/>
                <w:szCs w:val="18"/>
                <w:lang w:val="en-GB"/>
              </w:rPr>
            </w:pPr>
            <w:r w:rsidRPr="00040FB6">
              <w:rPr>
                <w:sz w:val="18"/>
                <w:szCs w:val="18"/>
                <w:lang w:val="en-GB"/>
              </w:rPr>
              <w:t>Baseline: No</w:t>
            </w:r>
          </w:p>
          <w:p w:rsidR="00B03D3A" w:rsidRPr="00040FB6" w:rsidRDefault="00B03D3A" w:rsidP="006C6A87">
            <w:pPr>
              <w:rPr>
                <w:sz w:val="18"/>
                <w:szCs w:val="18"/>
                <w:lang w:val="en-GB"/>
              </w:rPr>
            </w:pPr>
            <w:r w:rsidRPr="00040FB6">
              <w:rPr>
                <w:sz w:val="18"/>
                <w:szCs w:val="18"/>
                <w:lang w:val="en-GB"/>
              </w:rPr>
              <w:t>Target: Yes</w:t>
            </w:r>
          </w:p>
          <w:p w:rsidR="00B03D3A" w:rsidRPr="00040FB6" w:rsidRDefault="00B03D3A" w:rsidP="006C6A87">
            <w:pPr>
              <w:rPr>
                <w:sz w:val="18"/>
                <w:szCs w:val="18"/>
                <w:lang w:val="en-GB"/>
              </w:rPr>
            </w:pPr>
            <w:r w:rsidRPr="00040FB6">
              <w:rPr>
                <w:sz w:val="18"/>
                <w:szCs w:val="18"/>
                <w:lang w:val="en-GB"/>
              </w:rPr>
              <w:t>Source: Project reports</w:t>
            </w:r>
          </w:p>
          <w:p w:rsidR="00DF63D7" w:rsidRPr="00040FB6" w:rsidRDefault="00B03D3A" w:rsidP="00DF63D7">
            <w:pPr>
              <w:spacing w:after="120"/>
              <w:rPr>
                <w:sz w:val="18"/>
                <w:szCs w:val="18"/>
                <w:lang w:val="en-GB"/>
              </w:rPr>
            </w:pPr>
            <w:r w:rsidRPr="00040FB6">
              <w:rPr>
                <w:sz w:val="18"/>
                <w:szCs w:val="18"/>
                <w:lang w:val="en-GB"/>
              </w:rPr>
              <w:t>Frequency: Annual</w:t>
            </w:r>
          </w:p>
          <w:p w:rsidR="00DF63D7" w:rsidRPr="00040FB6" w:rsidRDefault="00B03D3A" w:rsidP="00DF63D7">
            <w:pPr>
              <w:spacing w:after="120"/>
              <w:rPr>
                <w:sz w:val="18"/>
                <w:szCs w:val="18"/>
                <w:lang w:val="en-GB"/>
              </w:rPr>
            </w:pPr>
            <w:r w:rsidRPr="00040FB6">
              <w:rPr>
                <w:sz w:val="18"/>
                <w:szCs w:val="18"/>
                <w:lang w:val="en-GB"/>
              </w:rPr>
              <w:t>1.1.2</w:t>
            </w:r>
            <w:r w:rsidR="00CA4C3C" w:rsidRPr="00040FB6">
              <w:rPr>
                <w:sz w:val="18"/>
                <w:szCs w:val="18"/>
                <w:lang w:val="en-GB"/>
              </w:rPr>
              <w:t>.</w:t>
            </w:r>
            <w:r w:rsidRPr="00040FB6">
              <w:rPr>
                <w:sz w:val="18"/>
                <w:szCs w:val="18"/>
                <w:lang w:val="en-GB"/>
              </w:rPr>
              <w:t xml:space="preserve"> Proposals finalized on standards and mechanisms for recruitment and training of judges, prosecutors and police officers</w:t>
            </w:r>
          </w:p>
          <w:p w:rsidR="00B03D3A" w:rsidRPr="00040FB6" w:rsidRDefault="00B03D3A" w:rsidP="006C6A87">
            <w:pPr>
              <w:contextualSpacing/>
              <w:rPr>
                <w:sz w:val="18"/>
                <w:szCs w:val="18"/>
                <w:lang w:val="en-GB"/>
              </w:rPr>
            </w:pPr>
            <w:r w:rsidRPr="00040FB6">
              <w:rPr>
                <w:sz w:val="18"/>
                <w:szCs w:val="18"/>
                <w:lang w:val="en-GB"/>
              </w:rPr>
              <w:t>1.1.2.A</w:t>
            </w:r>
            <w:r w:rsidR="00CA4C3C" w:rsidRPr="00040FB6">
              <w:rPr>
                <w:sz w:val="18"/>
                <w:szCs w:val="18"/>
                <w:lang w:val="en-GB"/>
              </w:rPr>
              <w:t>.</w:t>
            </w:r>
            <w:r w:rsidRPr="00040FB6">
              <w:rPr>
                <w:sz w:val="18"/>
                <w:szCs w:val="18"/>
                <w:lang w:val="en-GB"/>
              </w:rPr>
              <w:t xml:space="preserve"> Status of sector</w:t>
            </w:r>
            <w:r w:rsidR="00CA4C3C" w:rsidRPr="00040FB6">
              <w:rPr>
                <w:sz w:val="18"/>
                <w:szCs w:val="18"/>
                <w:lang w:val="en-GB"/>
              </w:rPr>
              <w:t>-</w:t>
            </w:r>
            <w:r w:rsidRPr="00040FB6">
              <w:rPr>
                <w:sz w:val="18"/>
                <w:szCs w:val="18"/>
                <w:lang w:val="en-GB"/>
              </w:rPr>
              <w:t>specific technical analysis (planned, initiated, partially completed, completed)</w:t>
            </w:r>
          </w:p>
          <w:p w:rsidR="00B03D3A" w:rsidRPr="00040FB6" w:rsidRDefault="00B03D3A" w:rsidP="006C6A87">
            <w:pPr>
              <w:rPr>
                <w:sz w:val="18"/>
                <w:szCs w:val="18"/>
                <w:lang w:val="en-GB"/>
              </w:rPr>
            </w:pPr>
            <w:r w:rsidRPr="00040FB6">
              <w:rPr>
                <w:sz w:val="18"/>
                <w:szCs w:val="18"/>
                <w:lang w:val="en-GB"/>
              </w:rPr>
              <w:t xml:space="preserve">Baseline: </w:t>
            </w:r>
            <w:r w:rsidR="00CA4C3C" w:rsidRPr="00040FB6">
              <w:rPr>
                <w:sz w:val="18"/>
                <w:szCs w:val="18"/>
                <w:lang w:val="en-GB"/>
              </w:rPr>
              <w:t>P</w:t>
            </w:r>
            <w:r w:rsidRPr="00040FB6">
              <w:rPr>
                <w:sz w:val="18"/>
                <w:szCs w:val="18"/>
                <w:lang w:val="en-GB"/>
              </w:rPr>
              <w:t>lanned</w:t>
            </w:r>
          </w:p>
          <w:p w:rsidR="00B03D3A" w:rsidRPr="00040FB6" w:rsidRDefault="00C74B0E" w:rsidP="006C6A87">
            <w:pPr>
              <w:rPr>
                <w:sz w:val="18"/>
                <w:szCs w:val="18"/>
                <w:lang w:val="en-GB"/>
              </w:rPr>
            </w:pPr>
            <w:r w:rsidRPr="00040FB6">
              <w:rPr>
                <w:sz w:val="18"/>
                <w:szCs w:val="18"/>
                <w:lang w:val="en-GB"/>
              </w:rPr>
              <w:t xml:space="preserve">Target: </w:t>
            </w:r>
            <w:r w:rsidR="00CA4C3C" w:rsidRPr="00040FB6">
              <w:rPr>
                <w:sz w:val="18"/>
                <w:szCs w:val="18"/>
                <w:lang w:val="en-GB"/>
              </w:rPr>
              <w:t>C</w:t>
            </w:r>
            <w:r w:rsidRPr="00040FB6">
              <w:rPr>
                <w:sz w:val="18"/>
                <w:szCs w:val="18"/>
                <w:lang w:val="en-GB"/>
              </w:rPr>
              <w:t>ompleted</w:t>
            </w:r>
          </w:p>
          <w:p w:rsidR="00B03D3A" w:rsidRPr="00040FB6" w:rsidRDefault="00B03D3A" w:rsidP="006C6A87">
            <w:pPr>
              <w:rPr>
                <w:sz w:val="18"/>
                <w:szCs w:val="18"/>
                <w:lang w:val="en-GB"/>
              </w:rPr>
            </w:pPr>
            <w:r w:rsidRPr="00040FB6">
              <w:rPr>
                <w:sz w:val="18"/>
                <w:szCs w:val="18"/>
                <w:lang w:val="en-GB"/>
              </w:rPr>
              <w:t>Source: Project reports</w:t>
            </w:r>
          </w:p>
          <w:p w:rsidR="00CA4C3C" w:rsidRPr="00040FB6" w:rsidRDefault="00B03D3A" w:rsidP="00CA4C3C">
            <w:pPr>
              <w:spacing w:after="120"/>
              <w:rPr>
                <w:sz w:val="18"/>
                <w:szCs w:val="18"/>
                <w:lang w:val="en-GB"/>
              </w:rPr>
            </w:pPr>
            <w:r w:rsidRPr="00040FB6">
              <w:rPr>
                <w:sz w:val="18"/>
                <w:szCs w:val="18"/>
                <w:lang w:val="en-GB"/>
              </w:rPr>
              <w:t>Frequency: Annual</w:t>
            </w:r>
          </w:p>
          <w:p w:rsidR="00B03D3A" w:rsidRPr="00040FB6" w:rsidRDefault="00B03D3A" w:rsidP="006C6A87">
            <w:pPr>
              <w:contextualSpacing/>
              <w:rPr>
                <w:sz w:val="18"/>
                <w:szCs w:val="18"/>
                <w:lang w:val="en-GB"/>
              </w:rPr>
            </w:pPr>
            <w:r w:rsidRPr="00040FB6">
              <w:rPr>
                <w:sz w:val="18"/>
                <w:szCs w:val="18"/>
                <w:lang w:val="en-GB"/>
              </w:rPr>
              <w:t>1.1.2.B</w:t>
            </w:r>
            <w:r w:rsidR="00CA4C3C" w:rsidRPr="00040FB6">
              <w:rPr>
                <w:sz w:val="18"/>
                <w:szCs w:val="18"/>
                <w:lang w:val="en-GB"/>
              </w:rPr>
              <w:t>.</w:t>
            </w:r>
            <w:r w:rsidRPr="00040FB6">
              <w:rPr>
                <w:sz w:val="18"/>
                <w:szCs w:val="18"/>
                <w:lang w:val="en-GB"/>
              </w:rPr>
              <w:t xml:space="preserve"> Outcome of sector</w:t>
            </w:r>
            <w:r w:rsidR="00CA4C3C" w:rsidRPr="00040FB6">
              <w:rPr>
                <w:sz w:val="18"/>
                <w:szCs w:val="18"/>
                <w:lang w:val="en-GB"/>
              </w:rPr>
              <w:t>-</w:t>
            </w:r>
            <w:r w:rsidRPr="00040FB6">
              <w:rPr>
                <w:sz w:val="18"/>
                <w:szCs w:val="18"/>
                <w:lang w:val="en-GB"/>
              </w:rPr>
              <w:t>specific consultation (not initiated, disagreement, partial agreement, full agreement)</w:t>
            </w:r>
          </w:p>
          <w:p w:rsidR="00B03D3A" w:rsidRPr="00040FB6" w:rsidRDefault="00B03D3A" w:rsidP="006C6A87">
            <w:pPr>
              <w:contextualSpacing/>
              <w:rPr>
                <w:sz w:val="18"/>
                <w:szCs w:val="18"/>
                <w:lang w:val="en-GB"/>
              </w:rPr>
            </w:pPr>
            <w:r w:rsidRPr="00040FB6">
              <w:rPr>
                <w:sz w:val="18"/>
                <w:szCs w:val="18"/>
                <w:lang w:val="en-GB"/>
              </w:rPr>
              <w:t xml:space="preserve">Baseline: </w:t>
            </w:r>
            <w:r w:rsidR="00CA4C3C" w:rsidRPr="00040FB6">
              <w:rPr>
                <w:sz w:val="18"/>
                <w:szCs w:val="18"/>
                <w:lang w:val="en-GB"/>
              </w:rPr>
              <w:t>N</w:t>
            </w:r>
            <w:r w:rsidRPr="00040FB6">
              <w:rPr>
                <w:sz w:val="18"/>
                <w:szCs w:val="18"/>
                <w:lang w:val="en-GB"/>
              </w:rPr>
              <w:t>ot initiated</w:t>
            </w:r>
          </w:p>
          <w:p w:rsidR="00B03D3A" w:rsidRPr="00040FB6" w:rsidRDefault="00B03D3A" w:rsidP="006C6A87">
            <w:pPr>
              <w:contextualSpacing/>
              <w:rPr>
                <w:sz w:val="18"/>
                <w:szCs w:val="18"/>
                <w:lang w:val="en-GB"/>
              </w:rPr>
            </w:pPr>
            <w:r w:rsidRPr="00040FB6">
              <w:rPr>
                <w:sz w:val="18"/>
                <w:szCs w:val="18"/>
                <w:lang w:val="en-GB"/>
              </w:rPr>
              <w:t xml:space="preserve">Target: </w:t>
            </w:r>
            <w:r w:rsidR="00CA4C3C" w:rsidRPr="00040FB6">
              <w:rPr>
                <w:sz w:val="18"/>
                <w:szCs w:val="18"/>
                <w:lang w:val="en-GB"/>
              </w:rPr>
              <w:t>F</w:t>
            </w:r>
            <w:r w:rsidRPr="00040FB6">
              <w:rPr>
                <w:sz w:val="18"/>
                <w:szCs w:val="18"/>
                <w:lang w:val="en-GB"/>
              </w:rPr>
              <w:t>ull agreement</w:t>
            </w:r>
          </w:p>
          <w:p w:rsidR="00B03D3A" w:rsidRPr="00040FB6" w:rsidRDefault="00B03D3A" w:rsidP="006C6A87">
            <w:pPr>
              <w:contextualSpacing/>
              <w:rPr>
                <w:sz w:val="18"/>
                <w:szCs w:val="18"/>
                <w:lang w:val="en-GB"/>
              </w:rPr>
            </w:pPr>
            <w:r w:rsidRPr="00040FB6">
              <w:rPr>
                <w:sz w:val="18"/>
                <w:szCs w:val="18"/>
                <w:lang w:val="en-GB"/>
              </w:rPr>
              <w:lastRenderedPageBreak/>
              <w:t>Source: Project reports</w:t>
            </w:r>
          </w:p>
          <w:p w:rsidR="00DF63D7" w:rsidRPr="00040FB6" w:rsidRDefault="00B03D3A" w:rsidP="00DF63D7">
            <w:pPr>
              <w:spacing w:after="120"/>
              <w:rPr>
                <w:sz w:val="18"/>
                <w:szCs w:val="18"/>
                <w:lang w:val="en-GB"/>
              </w:rPr>
            </w:pPr>
            <w:r w:rsidRPr="00040FB6">
              <w:rPr>
                <w:sz w:val="18"/>
                <w:szCs w:val="18"/>
                <w:lang w:val="en-GB"/>
              </w:rPr>
              <w:t>Frequency: Annual</w:t>
            </w:r>
          </w:p>
          <w:p w:rsidR="00DF63D7" w:rsidRPr="00040FB6" w:rsidRDefault="00B03D3A" w:rsidP="00DF63D7">
            <w:pPr>
              <w:spacing w:after="120"/>
              <w:rPr>
                <w:sz w:val="18"/>
                <w:szCs w:val="18"/>
                <w:lang w:val="en-GB"/>
              </w:rPr>
            </w:pPr>
            <w:r w:rsidRPr="00040FB6">
              <w:rPr>
                <w:sz w:val="18"/>
                <w:szCs w:val="18"/>
                <w:lang w:val="en-GB"/>
              </w:rPr>
              <w:t>1.1.3</w:t>
            </w:r>
            <w:r w:rsidR="00FE687A" w:rsidRPr="00040FB6">
              <w:rPr>
                <w:sz w:val="18"/>
                <w:szCs w:val="18"/>
                <w:lang w:val="en-GB"/>
              </w:rPr>
              <w:t>.</w:t>
            </w:r>
            <w:r w:rsidRPr="00040FB6">
              <w:rPr>
                <w:sz w:val="18"/>
                <w:szCs w:val="18"/>
                <w:lang w:val="en-GB"/>
              </w:rPr>
              <w:t xml:space="preserve"> Detailed proposals developed on implementation of key aspects of the </w:t>
            </w:r>
            <w:r w:rsidR="00FE687A" w:rsidRPr="00040FB6">
              <w:rPr>
                <w:sz w:val="18"/>
                <w:szCs w:val="18"/>
                <w:lang w:val="en-GB"/>
              </w:rPr>
              <w:t>n</w:t>
            </w:r>
            <w:r w:rsidRPr="00040FB6">
              <w:rPr>
                <w:sz w:val="18"/>
                <w:szCs w:val="18"/>
                <w:lang w:val="en-GB"/>
              </w:rPr>
              <w:t xml:space="preserve">ational </w:t>
            </w:r>
            <w:r w:rsidR="00FE687A" w:rsidRPr="00040FB6">
              <w:rPr>
                <w:sz w:val="18"/>
                <w:szCs w:val="18"/>
                <w:lang w:val="en-GB"/>
              </w:rPr>
              <w:t>a</w:t>
            </w:r>
            <w:r w:rsidRPr="00040FB6">
              <w:rPr>
                <w:sz w:val="18"/>
                <w:szCs w:val="18"/>
                <w:lang w:val="en-GB"/>
              </w:rPr>
              <w:t xml:space="preserve">nti-corruption </w:t>
            </w:r>
            <w:r w:rsidR="00FE687A" w:rsidRPr="00040FB6">
              <w:rPr>
                <w:sz w:val="18"/>
                <w:szCs w:val="18"/>
                <w:lang w:val="en-GB"/>
              </w:rPr>
              <w:t>s</w:t>
            </w:r>
            <w:r w:rsidRPr="00040FB6">
              <w:rPr>
                <w:sz w:val="18"/>
                <w:szCs w:val="18"/>
                <w:lang w:val="en-GB"/>
              </w:rPr>
              <w:t>trategy</w:t>
            </w:r>
          </w:p>
          <w:p w:rsidR="00B03D3A" w:rsidRPr="00040FB6" w:rsidRDefault="00B03D3A" w:rsidP="006C6A87">
            <w:pPr>
              <w:contextualSpacing/>
              <w:rPr>
                <w:sz w:val="18"/>
                <w:szCs w:val="18"/>
                <w:lang w:val="en-GB"/>
              </w:rPr>
            </w:pPr>
            <w:r w:rsidRPr="00040FB6">
              <w:rPr>
                <w:sz w:val="18"/>
                <w:szCs w:val="18"/>
                <w:lang w:val="en-GB"/>
              </w:rPr>
              <w:t>1.1.3.A</w:t>
            </w:r>
            <w:r w:rsidR="00FE687A" w:rsidRPr="00040FB6">
              <w:rPr>
                <w:sz w:val="18"/>
                <w:szCs w:val="18"/>
                <w:lang w:val="en-GB"/>
              </w:rPr>
              <w:t>.</w:t>
            </w:r>
            <w:r w:rsidRPr="00040FB6">
              <w:rPr>
                <w:sz w:val="18"/>
                <w:szCs w:val="18"/>
                <w:lang w:val="en-GB"/>
              </w:rPr>
              <w:t xml:space="preserve"> Number of proposals developed by G</w:t>
            </w:r>
            <w:r w:rsidR="00FE687A" w:rsidRPr="00040FB6">
              <w:rPr>
                <w:sz w:val="18"/>
                <w:szCs w:val="18"/>
                <w:lang w:val="en-GB"/>
              </w:rPr>
              <w:t>overnment</w:t>
            </w:r>
            <w:r w:rsidRPr="00040FB6">
              <w:rPr>
                <w:sz w:val="18"/>
                <w:szCs w:val="18"/>
                <w:lang w:val="en-GB"/>
              </w:rPr>
              <w:t xml:space="preserve"> to mitigate sector</w:t>
            </w:r>
            <w:r w:rsidR="00FE687A" w:rsidRPr="00040FB6">
              <w:rPr>
                <w:sz w:val="18"/>
                <w:szCs w:val="18"/>
                <w:lang w:val="en-GB"/>
              </w:rPr>
              <w:t>-</w:t>
            </w:r>
            <w:r w:rsidRPr="00040FB6">
              <w:rPr>
                <w:sz w:val="18"/>
                <w:szCs w:val="18"/>
                <w:lang w:val="en-GB"/>
              </w:rPr>
              <w:t xml:space="preserve">specific corruption risks </w:t>
            </w:r>
          </w:p>
          <w:p w:rsidR="00B03D3A" w:rsidRPr="00040FB6" w:rsidRDefault="00B03D3A" w:rsidP="006C6A87">
            <w:pPr>
              <w:rPr>
                <w:sz w:val="18"/>
                <w:szCs w:val="18"/>
                <w:lang w:val="en-GB"/>
              </w:rPr>
            </w:pPr>
            <w:r w:rsidRPr="00040FB6">
              <w:rPr>
                <w:sz w:val="18"/>
                <w:szCs w:val="18"/>
                <w:lang w:val="en-GB"/>
              </w:rPr>
              <w:t>Baseline:</w:t>
            </w:r>
            <w:r w:rsidR="00FE687A" w:rsidRPr="00040FB6">
              <w:rPr>
                <w:sz w:val="18"/>
                <w:szCs w:val="18"/>
                <w:lang w:val="en-GB"/>
              </w:rPr>
              <w:t xml:space="preserve"> </w:t>
            </w:r>
            <w:r w:rsidRPr="00040FB6">
              <w:rPr>
                <w:sz w:val="18"/>
                <w:szCs w:val="18"/>
                <w:lang w:val="en-GB"/>
              </w:rPr>
              <w:t>0</w:t>
            </w:r>
          </w:p>
          <w:p w:rsidR="00B03D3A" w:rsidRPr="00040FB6" w:rsidRDefault="00B03D3A" w:rsidP="006C6A87">
            <w:pPr>
              <w:rPr>
                <w:sz w:val="18"/>
                <w:szCs w:val="18"/>
                <w:lang w:val="en-GB"/>
              </w:rPr>
            </w:pPr>
            <w:r w:rsidRPr="00040FB6">
              <w:rPr>
                <w:sz w:val="18"/>
                <w:szCs w:val="18"/>
                <w:lang w:val="en-GB"/>
              </w:rPr>
              <w:t>Target: 4</w:t>
            </w:r>
          </w:p>
          <w:p w:rsidR="00B03D3A" w:rsidRPr="00040FB6" w:rsidRDefault="00B03D3A" w:rsidP="006C6A87">
            <w:pPr>
              <w:rPr>
                <w:sz w:val="18"/>
                <w:szCs w:val="18"/>
                <w:lang w:val="en-GB"/>
              </w:rPr>
            </w:pPr>
            <w:r w:rsidRPr="00040FB6">
              <w:rPr>
                <w:sz w:val="18"/>
                <w:szCs w:val="18"/>
                <w:lang w:val="en-GB"/>
              </w:rPr>
              <w:t>Data source: Iraqi Council of Ministers</w:t>
            </w:r>
          </w:p>
          <w:p w:rsidR="00DF63D7" w:rsidRPr="00040FB6" w:rsidRDefault="00B03D3A" w:rsidP="00DF63D7">
            <w:pPr>
              <w:spacing w:after="120"/>
              <w:rPr>
                <w:sz w:val="18"/>
                <w:szCs w:val="18"/>
                <w:lang w:val="en-GB"/>
              </w:rPr>
            </w:pPr>
            <w:r w:rsidRPr="00040FB6">
              <w:rPr>
                <w:sz w:val="18"/>
                <w:szCs w:val="18"/>
                <w:lang w:val="en-GB"/>
              </w:rPr>
              <w:t>Frequency: Annual</w:t>
            </w:r>
          </w:p>
          <w:p w:rsidR="00DF63D7" w:rsidRPr="00040FB6" w:rsidRDefault="00B03D3A" w:rsidP="00DF63D7">
            <w:pPr>
              <w:spacing w:after="120"/>
              <w:rPr>
                <w:sz w:val="18"/>
                <w:szCs w:val="18"/>
                <w:lang w:val="en-GB"/>
              </w:rPr>
            </w:pPr>
            <w:r w:rsidRPr="00040FB6">
              <w:rPr>
                <w:sz w:val="18"/>
                <w:szCs w:val="18"/>
                <w:lang w:val="en-GB"/>
              </w:rPr>
              <w:t>1.1.4</w:t>
            </w:r>
            <w:r w:rsidR="00FE687A" w:rsidRPr="00040FB6">
              <w:rPr>
                <w:sz w:val="18"/>
                <w:szCs w:val="18"/>
                <w:lang w:val="en-GB"/>
              </w:rPr>
              <w:t>.</w:t>
            </w:r>
            <w:r w:rsidRPr="00040FB6">
              <w:rPr>
                <w:sz w:val="18"/>
                <w:szCs w:val="18"/>
                <w:lang w:val="en-GB"/>
              </w:rPr>
              <w:t xml:space="preserve"> Legal </w:t>
            </w:r>
            <w:r w:rsidR="00FE687A" w:rsidRPr="00040FB6">
              <w:rPr>
                <w:sz w:val="18"/>
                <w:szCs w:val="18"/>
                <w:lang w:val="en-GB"/>
              </w:rPr>
              <w:t>a</w:t>
            </w:r>
            <w:r w:rsidRPr="00040FB6">
              <w:rPr>
                <w:sz w:val="18"/>
                <w:szCs w:val="18"/>
                <w:lang w:val="en-GB"/>
              </w:rPr>
              <w:t xml:space="preserve">udit of Iraqi legal framework conducted </w:t>
            </w:r>
          </w:p>
          <w:p w:rsidR="00B03D3A" w:rsidRPr="00040FB6" w:rsidRDefault="00B03D3A" w:rsidP="006C6A87">
            <w:pPr>
              <w:contextualSpacing/>
              <w:rPr>
                <w:sz w:val="18"/>
                <w:szCs w:val="18"/>
                <w:lang w:val="en-GB"/>
              </w:rPr>
            </w:pPr>
            <w:r w:rsidRPr="00040FB6">
              <w:rPr>
                <w:sz w:val="18"/>
                <w:szCs w:val="18"/>
                <w:lang w:val="en-GB"/>
              </w:rPr>
              <w:t>1.1.4.A</w:t>
            </w:r>
            <w:r w:rsidR="00FE687A" w:rsidRPr="00040FB6">
              <w:rPr>
                <w:sz w:val="18"/>
                <w:szCs w:val="18"/>
                <w:lang w:val="en-GB"/>
              </w:rPr>
              <w:t>.</w:t>
            </w:r>
            <w:r w:rsidRPr="00040FB6">
              <w:rPr>
                <w:sz w:val="18"/>
                <w:szCs w:val="18"/>
                <w:lang w:val="en-GB"/>
              </w:rPr>
              <w:t xml:space="preserve"> Review of Iraqi </w:t>
            </w:r>
            <w:r w:rsidR="00FE687A" w:rsidRPr="00040FB6">
              <w:rPr>
                <w:sz w:val="18"/>
                <w:szCs w:val="18"/>
                <w:lang w:val="en-GB"/>
              </w:rPr>
              <w:t>l</w:t>
            </w:r>
            <w:r w:rsidRPr="00040FB6">
              <w:rPr>
                <w:sz w:val="18"/>
                <w:szCs w:val="18"/>
                <w:lang w:val="en-GB"/>
              </w:rPr>
              <w:t xml:space="preserve">egal Framework completed </w:t>
            </w:r>
          </w:p>
          <w:p w:rsidR="00B03D3A" w:rsidRPr="00040FB6" w:rsidRDefault="00B03D3A" w:rsidP="006C6A87">
            <w:pPr>
              <w:rPr>
                <w:sz w:val="18"/>
                <w:szCs w:val="18"/>
                <w:lang w:val="en-GB"/>
              </w:rPr>
            </w:pPr>
            <w:r w:rsidRPr="00040FB6">
              <w:rPr>
                <w:sz w:val="18"/>
                <w:szCs w:val="18"/>
                <w:lang w:val="en-GB"/>
              </w:rPr>
              <w:t>Baseline: No</w:t>
            </w:r>
          </w:p>
          <w:p w:rsidR="00B03D3A" w:rsidRPr="00040FB6" w:rsidRDefault="00B03D3A" w:rsidP="006C6A87">
            <w:pPr>
              <w:rPr>
                <w:sz w:val="18"/>
                <w:szCs w:val="18"/>
                <w:lang w:val="en-GB"/>
              </w:rPr>
            </w:pPr>
            <w:r w:rsidRPr="00040FB6">
              <w:rPr>
                <w:sz w:val="18"/>
                <w:szCs w:val="18"/>
                <w:lang w:val="en-GB"/>
              </w:rPr>
              <w:t>Target: Yes</w:t>
            </w:r>
          </w:p>
          <w:p w:rsidR="00B03D3A" w:rsidRPr="00040FB6" w:rsidRDefault="00B03D3A" w:rsidP="006C6A87">
            <w:pPr>
              <w:rPr>
                <w:sz w:val="18"/>
                <w:szCs w:val="18"/>
                <w:lang w:val="en-GB"/>
              </w:rPr>
            </w:pPr>
            <w:r w:rsidRPr="00040FB6">
              <w:rPr>
                <w:sz w:val="18"/>
                <w:szCs w:val="18"/>
                <w:lang w:val="en-GB"/>
              </w:rPr>
              <w:t xml:space="preserve">Source: Project </w:t>
            </w:r>
            <w:r w:rsidR="00FE687A" w:rsidRPr="00040FB6">
              <w:rPr>
                <w:sz w:val="18"/>
                <w:szCs w:val="18"/>
                <w:lang w:val="en-GB"/>
              </w:rPr>
              <w:t>r</w:t>
            </w:r>
            <w:r w:rsidRPr="00040FB6">
              <w:rPr>
                <w:sz w:val="18"/>
                <w:szCs w:val="18"/>
                <w:lang w:val="en-GB"/>
              </w:rPr>
              <w:t>eports</w:t>
            </w:r>
          </w:p>
          <w:p w:rsidR="00DF63D7" w:rsidRPr="00040FB6" w:rsidRDefault="00B03D3A" w:rsidP="00DF63D7">
            <w:pPr>
              <w:spacing w:after="120"/>
              <w:rPr>
                <w:sz w:val="18"/>
                <w:szCs w:val="18"/>
                <w:lang w:val="en-GB"/>
              </w:rPr>
            </w:pPr>
            <w:r w:rsidRPr="00040FB6">
              <w:rPr>
                <w:sz w:val="18"/>
                <w:szCs w:val="18"/>
                <w:lang w:val="en-GB"/>
              </w:rPr>
              <w:t>Frequency: Annual</w:t>
            </w:r>
          </w:p>
          <w:p w:rsidR="00B03D3A" w:rsidRPr="00040FB6" w:rsidRDefault="00B03D3A" w:rsidP="006C6A87">
            <w:pPr>
              <w:rPr>
                <w:sz w:val="18"/>
                <w:szCs w:val="18"/>
                <w:lang w:val="en-GB"/>
              </w:rPr>
            </w:pPr>
            <w:r w:rsidRPr="00040FB6">
              <w:rPr>
                <w:sz w:val="18"/>
                <w:szCs w:val="18"/>
                <w:lang w:val="en-GB"/>
              </w:rPr>
              <w:t>1.1.4.</w:t>
            </w:r>
            <w:r w:rsidR="00FE687A" w:rsidRPr="00040FB6">
              <w:rPr>
                <w:sz w:val="18"/>
                <w:szCs w:val="18"/>
                <w:lang w:val="en-GB"/>
              </w:rPr>
              <w:t>.</w:t>
            </w:r>
            <w:r w:rsidRPr="00040FB6">
              <w:rPr>
                <w:sz w:val="18"/>
                <w:szCs w:val="18"/>
                <w:lang w:val="en-GB"/>
              </w:rPr>
              <w:t xml:space="preserve"> Analysis </w:t>
            </w:r>
            <w:r w:rsidR="00C74B0E" w:rsidRPr="00040FB6">
              <w:rPr>
                <w:sz w:val="18"/>
                <w:szCs w:val="18"/>
                <w:lang w:val="en-GB"/>
              </w:rPr>
              <w:t>and recommendations provided</w:t>
            </w:r>
          </w:p>
          <w:p w:rsidR="00B03D3A" w:rsidRPr="00040FB6" w:rsidRDefault="00B03D3A" w:rsidP="006C6A87">
            <w:pPr>
              <w:rPr>
                <w:sz w:val="18"/>
                <w:szCs w:val="18"/>
                <w:lang w:val="en-GB"/>
              </w:rPr>
            </w:pPr>
            <w:r w:rsidRPr="00040FB6">
              <w:rPr>
                <w:sz w:val="18"/>
                <w:szCs w:val="18"/>
                <w:lang w:val="en-GB"/>
              </w:rPr>
              <w:t xml:space="preserve">Baseline: </w:t>
            </w:r>
            <w:r w:rsidR="00FE687A" w:rsidRPr="00040FB6">
              <w:rPr>
                <w:sz w:val="18"/>
                <w:szCs w:val="18"/>
                <w:lang w:val="en-GB"/>
              </w:rPr>
              <w:t>N</w:t>
            </w:r>
            <w:r w:rsidRPr="00040FB6">
              <w:rPr>
                <w:sz w:val="18"/>
                <w:szCs w:val="18"/>
                <w:lang w:val="en-GB"/>
              </w:rPr>
              <w:t>ot provided</w:t>
            </w:r>
          </w:p>
          <w:p w:rsidR="00B03D3A" w:rsidRPr="00040FB6" w:rsidRDefault="00B03D3A" w:rsidP="006C6A87">
            <w:pPr>
              <w:rPr>
                <w:sz w:val="18"/>
                <w:szCs w:val="18"/>
                <w:lang w:val="en-GB"/>
              </w:rPr>
            </w:pPr>
            <w:r w:rsidRPr="00040FB6">
              <w:rPr>
                <w:sz w:val="18"/>
                <w:szCs w:val="18"/>
                <w:lang w:val="en-GB"/>
              </w:rPr>
              <w:t xml:space="preserve">Target: </w:t>
            </w:r>
            <w:r w:rsidR="00FE687A" w:rsidRPr="00040FB6">
              <w:rPr>
                <w:sz w:val="18"/>
                <w:szCs w:val="18"/>
                <w:lang w:val="en-GB"/>
              </w:rPr>
              <w:t>P</w:t>
            </w:r>
            <w:r w:rsidRPr="00040FB6">
              <w:rPr>
                <w:sz w:val="18"/>
                <w:szCs w:val="18"/>
                <w:lang w:val="en-GB"/>
              </w:rPr>
              <w:t>rovided</w:t>
            </w:r>
          </w:p>
          <w:p w:rsidR="00B03D3A" w:rsidRPr="00040FB6" w:rsidRDefault="00B03D3A" w:rsidP="006C6A87">
            <w:pPr>
              <w:rPr>
                <w:sz w:val="18"/>
                <w:szCs w:val="18"/>
                <w:lang w:val="en-GB"/>
              </w:rPr>
            </w:pPr>
            <w:r w:rsidRPr="00040FB6">
              <w:rPr>
                <w:sz w:val="18"/>
                <w:szCs w:val="18"/>
                <w:lang w:val="en-GB"/>
              </w:rPr>
              <w:t>Source: Project reports</w:t>
            </w:r>
          </w:p>
          <w:p w:rsidR="00DF63D7" w:rsidRPr="00040FB6" w:rsidRDefault="00B03D3A" w:rsidP="00DF63D7">
            <w:pPr>
              <w:spacing w:after="120"/>
              <w:rPr>
                <w:sz w:val="18"/>
                <w:szCs w:val="18"/>
                <w:lang w:val="en-GB"/>
              </w:rPr>
            </w:pPr>
            <w:r w:rsidRPr="00040FB6">
              <w:rPr>
                <w:sz w:val="18"/>
                <w:szCs w:val="18"/>
                <w:lang w:val="en-GB"/>
              </w:rPr>
              <w:t>Frequency: Annually</w:t>
            </w:r>
          </w:p>
          <w:p w:rsidR="00DF63D7" w:rsidRPr="00040FB6" w:rsidRDefault="00B03D3A" w:rsidP="00DF63D7">
            <w:pPr>
              <w:spacing w:after="120"/>
              <w:rPr>
                <w:sz w:val="18"/>
                <w:szCs w:val="18"/>
                <w:lang w:val="en-GB"/>
              </w:rPr>
            </w:pPr>
            <w:r w:rsidRPr="00040FB6">
              <w:rPr>
                <w:color w:val="000000"/>
                <w:sz w:val="18"/>
                <w:szCs w:val="18"/>
                <w:u w:color="000000"/>
                <w:lang w:val="en-GB"/>
              </w:rPr>
              <w:t>1.1.5</w:t>
            </w:r>
            <w:r w:rsidR="00FE687A" w:rsidRPr="00040FB6">
              <w:rPr>
                <w:color w:val="000000"/>
                <w:sz w:val="18"/>
                <w:szCs w:val="18"/>
                <w:u w:color="000000"/>
                <w:lang w:val="en-GB"/>
              </w:rPr>
              <w:t>.</w:t>
            </w:r>
            <w:r w:rsidRPr="00040FB6">
              <w:rPr>
                <w:color w:val="000000"/>
                <w:sz w:val="18"/>
                <w:szCs w:val="18"/>
                <w:u w:color="000000"/>
                <w:lang w:val="en-GB"/>
              </w:rPr>
              <w:t xml:space="preserve"> </w:t>
            </w:r>
            <w:r w:rsidRPr="00040FB6">
              <w:rPr>
                <w:sz w:val="18"/>
                <w:szCs w:val="18"/>
                <w:lang w:val="en-GB"/>
              </w:rPr>
              <w:t>Skills developed and procedures introduced in Parliament on drafting, oversight, management and consultation</w:t>
            </w:r>
          </w:p>
          <w:p w:rsidR="00B03D3A" w:rsidRPr="00A47BE0" w:rsidRDefault="00B03D3A" w:rsidP="006C6A87">
            <w:pPr>
              <w:contextualSpacing/>
              <w:rPr>
                <w:sz w:val="18"/>
                <w:szCs w:val="18"/>
                <w:lang w:val="en-GB"/>
              </w:rPr>
            </w:pPr>
            <w:r w:rsidRPr="00040FB6">
              <w:rPr>
                <w:sz w:val="18"/>
                <w:szCs w:val="18"/>
                <w:lang w:val="en-GB"/>
              </w:rPr>
              <w:t>1.1.5.</w:t>
            </w:r>
            <w:r w:rsidR="00A47BE0">
              <w:rPr>
                <w:sz w:val="18"/>
                <w:szCs w:val="18"/>
                <w:lang w:val="en-GB"/>
              </w:rPr>
              <w:t xml:space="preserve"> </w:t>
            </w:r>
            <w:r w:rsidRPr="00040FB6">
              <w:rPr>
                <w:sz w:val="18"/>
                <w:szCs w:val="18"/>
                <w:lang w:val="en-GB"/>
              </w:rPr>
              <w:t>A</w:t>
            </w:r>
            <w:r w:rsidR="00FE687A" w:rsidRPr="00040FB6">
              <w:rPr>
                <w:sz w:val="18"/>
                <w:szCs w:val="18"/>
                <w:lang w:val="en-GB"/>
              </w:rPr>
              <w:t>.</w:t>
            </w:r>
            <w:r w:rsidRPr="00040FB6">
              <w:rPr>
                <w:sz w:val="18"/>
                <w:szCs w:val="18"/>
                <w:lang w:val="en-GB"/>
              </w:rPr>
              <w:t xml:space="preserve"> Number of laws drafted on the basis of an established public consultation procedure. (frequency and key stakeholders consulted</w:t>
            </w:r>
            <w:r w:rsidRPr="00A47BE0">
              <w:rPr>
                <w:sz w:val="18"/>
                <w:szCs w:val="18"/>
                <w:lang w:val="en-GB"/>
              </w:rPr>
              <w:t xml:space="preserve">) </w:t>
            </w:r>
          </w:p>
          <w:p w:rsidR="00B03D3A" w:rsidRPr="00040FB6" w:rsidRDefault="00B03D3A" w:rsidP="006C6A87">
            <w:pPr>
              <w:contextualSpacing/>
              <w:rPr>
                <w:sz w:val="18"/>
                <w:szCs w:val="18"/>
                <w:lang w:val="en-GB"/>
              </w:rPr>
            </w:pPr>
            <w:r w:rsidRPr="00040FB6">
              <w:rPr>
                <w:sz w:val="18"/>
                <w:szCs w:val="18"/>
                <w:lang w:val="en-GB"/>
              </w:rPr>
              <w:t>Baseline: 0</w:t>
            </w:r>
          </w:p>
          <w:p w:rsidR="00B03D3A" w:rsidRPr="00040FB6" w:rsidRDefault="00B03D3A" w:rsidP="006C6A87">
            <w:pPr>
              <w:contextualSpacing/>
              <w:rPr>
                <w:sz w:val="18"/>
                <w:szCs w:val="18"/>
                <w:lang w:val="en-GB"/>
              </w:rPr>
            </w:pPr>
            <w:r w:rsidRPr="00040FB6">
              <w:rPr>
                <w:sz w:val="18"/>
                <w:szCs w:val="18"/>
                <w:lang w:val="en-GB"/>
              </w:rPr>
              <w:t xml:space="preserve">Target: </w:t>
            </w:r>
            <w:r w:rsidR="00AD2C90" w:rsidRPr="00040FB6">
              <w:rPr>
                <w:sz w:val="18"/>
                <w:szCs w:val="18"/>
                <w:lang w:val="en-GB"/>
              </w:rPr>
              <w:t>3</w:t>
            </w:r>
          </w:p>
          <w:p w:rsidR="00B03D3A" w:rsidRPr="00040FB6" w:rsidRDefault="00B03D3A" w:rsidP="006C6A87">
            <w:pPr>
              <w:rPr>
                <w:rFonts w:eastAsia="Times New Roman"/>
                <w:iCs/>
                <w:sz w:val="18"/>
                <w:szCs w:val="18"/>
                <w:lang w:val="en-GB"/>
              </w:rPr>
            </w:pPr>
            <w:r w:rsidRPr="00040FB6">
              <w:rPr>
                <w:rFonts w:eastAsia="Times New Roman"/>
                <w:iCs/>
                <w:sz w:val="18"/>
                <w:szCs w:val="18"/>
                <w:lang w:val="en-GB"/>
              </w:rPr>
              <w:t xml:space="preserve">Data </w:t>
            </w:r>
            <w:r w:rsidR="00FE687A" w:rsidRPr="00040FB6">
              <w:rPr>
                <w:rFonts w:eastAsia="Times New Roman"/>
                <w:iCs/>
                <w:sz w:val="18"/>
                <w:szCs w:val="18"/>
                <w:lang w:val="en-GB"/>
              </w:rPr>
              <w:t>s</w:t>
            </w:r>
            <w:r w:rsidRPr="00040FB6">
              <w:rPr>
                <w:rFonts w:eastAsia="Times New Roman"/>
                <w:iCs/>
                <w:sz w:val="18"/>
                <w:szCs w:val="18"/>
                <w:lang w:val="en-GB"/>
              </w:rPr>
              <w:t xml:space="preserve">ource: SPAG </w:t>
            </w:r>
            <w:r w:rsidR="00FE687A" w:rsidRPr="00040FB6">
              <w:rPr>
                <w:rFonts w:eastAsia="Times New Roman"/>
                <w:iCs/>
                <w:sz w:val="18"/>
                <w:szCs w:val="18"/>
                <w:lang w:val="en-GB"/>
              </w:rPr>
              <w:t>p</w:t>
            </w:r>
            <w:r w:rsidRPr="00040FB6">
              <w:rPr>
                <w:rFonts w:eastAsia="Times New Roman"/>
                <w:iCs/>
                <w:sz w:val="18"/>
                <w:szCs w:val="18"/>
                <w:lang w:val="en-GB"/>
              </w:rPr>
              <w:t xml:space="preserve">roject </w:t>
            </w:r>
            <w:r w:rsidR="00FE687A" w:rsidRPr="00040FB6">
              <w:rPr>
                <w:rFonts w:eastAsia="Times New Roman"/>
                <w:iCs/>
                <w:sz w:val="18"/>
                <w:szCs w:val="18"/>
                <w:lang w:val="en-GB"/>
              </w:rPr>
              <w:t>r</w:t>
            </w:r>
            <w:r w:rsidRPr="00040FB6">
              <w:rPr>
                <w:rFonts w:eastAsia="Times New Roman"/>
                <w:iCs/>
                <w:sz w:val="18"/>
                <w:szCs w:val="18"/>
                <w:lang w:val="en-GB"/>
              </w:rPr>
              <w:t>eport</w:t>
            </w:r>
          </w:p>
          <w:p w:rsidR="00DF63D7" w:rsidRPr="00040FB6" w:rsidRDefault="00B03D3A" w:rsidP="00DF63D7">
            <w:pPr>
              <w:spacing w:after="120"/>
              <w:rPr>
                <w:sz w:val="18"/>
                <w:szCs w:val="18"/>
                <w:lang w:val="en-GB"/>
              </w:rPr>
            </w:pPr>
            <w:r w:rsidRPr="00040FB6">
              <w:rPr>
                <w:rFonts w:eastAsia="Times New Roman"/>
                <w:iCs/>
                <w:sz w:val="18"/>
                <w:szCs w:val="18"/>
                <w:lang w:val="en-GB"/>
              </w:rPr>
              <w:t>Frequency: Annual</w:t>
            </w:r>
          </w:p>
          <w:p w:rsidR="00B03D3A" w:rsidRPr="00040FB6" w:rsidRDefault="00B03D3A" w:rsidP="006C6A87">
            <w:pPr>
              <w:contextualSpacing/>
              <w:rPr>
                <w:sz w:val="18"/>
                <w:szCs w:val="18"/>
                <w:lang w:val="en-GB"/>
              </w:rPr>
            </w:pPr>
            <w:r w:rsidRPr="00040FB6">
              <w:rPr>
                <w:color w:val="000000"/>
                <w:sz w:val="18"/>
                <w:szCs w:val="18"/>
                <w:u w:color="000000"/>
                <w:lang w:val="en-GB"/>
              </w:rPr>
              <w:t>1.1.5.B</w:t>
            </w:r>
            <w:r w:rsidR="00FE687A" w:rsidRPr="00040FB6">
              <w:rPr>
                <w:color w:val="000000"/>
                <w:sz w:val="18"/>
                <w:szCs w:val="18"/>
                <w:u w:color="000000"/>
                <w:lang w:val="en-GB"/>
              </w:rPr>
              <w:t>.</w:t>
            </w:r>
            <w:r w:rsidRPr="00040FB6">
              <w:rPr>
                <w:color w:val="000000"/>
                <w:sz w:val="18"/>
                <w:szCs w:val="18"/>
                <w:u w:color="000000"/>
                <w:lang w:val="en-GB"/>
              </w:rPr>
              <w:t xml:space="preserve"> </w:t>
            </w:r>
            <w:r w:rsidRPr="00040FB6">
              <w:rPr>
                <w:sz w:val="18"/>
                <w:szCs w:val="18"/>
                <w:lang w:val="en-GB"/>
              </w:rPr>
              <w:t>Status of parliamentary oversight and management system (</w:t>
            </w:r>
            <w:r w:rsidR="000C017E" w:rsidRPr="00040FB6">
              <w:rPr>
                <w:sz w:val="18"/>
                <w:szCs w:val="18"/>
                <w:lang w:val="en-GB"/>
              </w:rPr>
              <w:t xml:space="preserve">planned </w:t>
            </w:r>
            <w:r w:rsidRPr="00040FB6">
              <w:rPr>
                <w:sz w:val="18"/>
                <w:szCs w:val="18"/>
                <w:lang w:val="en-GB"/>
              </w:rPr>
              <w:t>draft proposal, accepted, piloted, implemented)</w:t>
            </w:r>
          </w:p>
          <w:p w:rsidR="00B03D3A" w:rsidRPr="00040FB6" w:rsidRDefault="00B03D3A" w:rsidP="006C6A87">
            <w:pPr>
              <w:contextualSpacing/>
              <w:rPr>
                <w:sz w:val="18"/>
                <w:szCs w:val="18"/>
                <w:lang w:val="en-GB"/>
              </w:rPr>
            </w:pPr>
            <w:r w:rsidRPr="00040FB6">
              <w:rPr>
                <w:sz w:val="18"/>
                <w:szCs w:val="18"/>
                <w:lang w:val="en-GB"/>
              </w:rPr>
              <w:lastRenderedPageBreak/>
              <w:t xml:space="preserve">Baseline: </w:t>
            </w:r>
            <w:r w:rsidR="000C017E" w:rsidRPr="00040FB6">
              <w:rPr>
                <w:sz w:val="18"/>
                <w:szCs w:val="18"/>
                <w:lang w:val="en-GB"/>
              </w:rPr>
              <w:t>D</w:t>
            </w:r>
            <w:r w:rsidR="00AD2C90" w:rsidRPr="00040FB6">
              <w:rPr>
                <w:sz w:val="18"/>
                <w:szCs w:val="18"/>
                <w:lang w:val="en-GB"/>
              </w:rPr>
              <w:t>raft parliament development action plan</w:t>
            </w:r>
          </w:p>
          <w:p w:rsidR="00B03D3A" w:rsidRPr="00040FB6" w:rsidRDefault="00AD2C90" w:rsidP="006C6A87">
            <w:pPr>
              <w:contextualSpacing/>
              <w:rPr>
                <w:sz w:val="18"/>
                <w:szCs w:val="18"/>
                <w:lang w:val="en-GB"/>
              </w:rPr>
            </w:pPr>
            <w:r w:rsidRPr="00040FB6">
              <w:rPr>
                <w:sz w:val="18"/>
                <w:szCs w:val="18"/>
                <w:lang w:val="en-GB"/>
              </w:rPr>
              <w:t xml:space="preserve">Target: </w:t>
            </w:r>
            <w:r w:rsidR="000C017E" w:rsidRPr="00040FB6">
              <w:rPr>
                <w:sz w:val="18"/>
                <w:szCs w:val="18"/>
                <w:lang w:val="en-GB"/>
              </w:rPr>
              <w:t>I</w:t>
            </w:r>
            <w:r w:rsidRPr="00040FB6">
              <w:rPr>
                <w:sz w:val="18"/>
                <w:szCs w:val="18"/>
                <w:lang w:val="en-GB"/>
              </w:rPr>
              <w:t>mplemented</w:t>
            </w:r>
          </w:p>
          <w:p w:rsidR="00B03D3A" w:rsidRPr="00040FB6" w:rsidRDefault="00B03D3A" w:rsidP="006C6A87">
            <w:pPr>
              <w:rPr>
                <w:rFonts w:eastAsia="Times New Roman"/>
                <w:iCs/>
                <w:sz w:val="18"/>
                <w:szCs w:val="18"/>
                <w:lang w:val="en-GB"/>
              </w:rPr>
            </w:pPr>
            <w:r w:rsidRPr="00040FB6">
              <w:rPr>
                <w:rFonts w:eastAsia="Times New Roman"/>
                <w:iCs/>
                <w:sz w:val="18"/>
                <w:szCs w:val="18"/>
                <w:lang w:val="en-GB"/>
              </w:rPr>
              <w:t xml:space="preserve">Data Source: SPAG </w:t>
            </w:r>
            <w:r w:rsidR="000C017E" w:rsidRPr="00040FB6">
              <w:rPr>
                <w:rFonts w:eastAsia="Times New Roman"/>
                <w:iCs/>
                <w:sz w:val="18"/>
                <w:szCs w:val="18"/>
                <w:lang w:val="en-GB"/>
              </w:rPr>
              <w:t>p</w:t>
            </w:r>
            <w:r w:rsidRPr="00040FB6">
              <w:rPr>
                <w:rFonts w:eastAsia="Times New Roman"/>
                <w:iCs/>
                <w:sz w:val="18"/>
                <w:szCs w:val="18"/>
                <w:lang w:val="en-GB"/>
              </w:rPr>
              <w:t xml:space="preserve">roject </w:t>
            </w:r>
            <w:r w:rsidR="000C017E" w:rsidRPr="00040FB6">
              <w:rPr>
                <w:rFonts w:eastAsia="Times New Roman"/>
                <w:iCs/>
                <w:sz w:val="18"/>
                <w:szCs w:val="18"/>
                <w:lang w:val="en-GB"/>
              </w:rPr>
              <w:t>r</w:t>
            </w:r>
            <w:r w:rsidRPr="00040FB6">
              <w:rPr>
                <w:rFonts w:eastAsia="Times New Roman"/>
                <w:iCs/>
                <w:sz w:val="18"/>
                <w:szCs w:val="18"/>
                <w:lang w:val="en-GB"/>
              </w:rPr>
              <w:t>eport</w:t>
            </w:r>
          </w:p>
          <w:p w:rsidR="00DF63D7" w:rsidRPr="00040FB6" w:rsidRDefault="00B03D3A" w:rsidP="00DF63D7">
            <w:pPr>
              <w:spacing w:after="120"/>
              <w:rPr>
                <w:sz w:val="18"/>
                <w:szCs w:val="18"/>
                <w:lang w:val="en-GB"/>
              </w:rPr>
            </w:pPr>
            <w:r w:rsidRPr="00040FB6">
              <w:rPr>
                <w:rFonts w:eastAsia="Times New Roman"/>
                <w:iCs/>
                <w:sz w:val="18"/>
                <w:szCs w:val="18"/>
                <w:lang w:val="en-GB"/>
              </w:rPr>
              <w:t>Frequency: Annual</w:t>
            </w:r>
          </w:p>
          <w:p w:rsidR="00B03D3A" w:rsidRPr="00040FB6" w:rsidRDefault="00B03D3A" w:rsidP="006C6A87">
            <w:pPr>
              <w:rPr>
                <w:sz w:val="18"/>
                <w:szCs w:val="18"/>
                <w:lang w:val="en-GB"/>
              </w:rPr>
            </w:pPr>
            <w:r w:rsidRPr="00040FB6">
              <w:rPr>
                <w:sz w:val="18"/>
                <w:szCs w:val="18"/>
                <w:lang w:val="en-GB"/>
              </w:rPr>
              <w:t>1.1.5.C</w:t>
            </w:r>
            <w:r w:rsidR="000C017E" w:rsidRPr="00040FB6">
              <w:rPr>
                <w:sz w:val="18"/>
                <w:szCs w:val="18"/>
                <w:lang w:val="en-GB"/>
              </w:rPr>
              <w:t>.</w:t>
            </w:r>
            <w:r w:rsidRPr="00040FB6">
              <w:rPr>
                <w:sz w:val="18"/>
                <w:szCs w:val="18"/>
                <w:lang w:val="en-GB"/>
              </w:rPr>
              <w:t xml:space="preserve"> </w:t>
            </w:r>
            <w:r w:rsidR="00AD2C90" w:rsidRPr="00040FB6">
              <w:rPr>
                <w:sz w:val="18"/>
                <w:szCs w:val="18"/>
                <w:lang w:val="en-GB"/>
              </w:rPr>
              <w:t>Number</w:t>
            </w:r>
            <w:r w:rsidRPr="00040FB6">
              <w:rPr>
                <w:sz w:val="18"/>
                <w:szCs w:val="18"/>
                <w:lang w:val="en-GB"/>
              </w:rPr>
              <w:t xml:space="preserve"> of parliamentary committees able to systematically review draft legislation</w:t>
            </w:r>
          </w:p>
          <w:p w:rsidR="00B03D3A" w:rsidRPr="00040FB6" w:rsidRDefault="00AD2C90" w:rsidP="006C6A87">
            <w:pPr>
              <w:rPr>
                <w:sz w:val="18"/>
                <w:szCs w:val="18"/>
                <w:lang w:val="en-GB"/>
              </w:rPr>
            </w:pPr>
            <w:r w:rsidRPr="00040FB6">
              <w:rPr>
                <w:sz w:val="18"/>
                <w:szCs w:val="18"/>
                <w:lang w:val="en-GB"/>
              </w:rPr>
              <w:t>Baseline:</w:t>
            </w:r>
            <w:r w:rsidR="000C017E" w:rsidRPr="00040FB6">
              <w:rPr>
                <w:sz w:val="18"/>
                <w:szCs w:val="18"/>
                <w:lang w:val="en-GB"/>
              </w:rPr>
              <w:t xml:space="preserve"> </w:t>
            </w:r>
            <w:r w:rsidRPr="00040FB6">
              <w:rPr>
                <w:sz w:val="18"/>
                <w:szCs w:val="18"/>
                <w:lang w:val="en-GB"/>
              </w:rPr>
              <w:t>1</w:t>
            </w:r>
          </w:p>
          <w:p w:rsidR="00B03D3A" w:rsidRPr="00040FB6" w:rsidRDefault="00B03D3A" w:rsidP="006C6A87">
            <w:pPr>
              <w:rPr>
                <w:sz w:val="18"/>
                <w:szCs w:val="18"/>
                <w:lang w:val="en-GB"/>
              </w:rPr>
            </w:pPr>
            <w:r w:rsidRPr="00040FB6">
              <w:rPr>
                <w:sz w:val="18"/>
                <w:szCs w:val="18"/>
                <w:lang w:val="en-GB"/>
              </w:rPr>
              <w:t>Target:</w:t>
            </w:r>
            <w:r w:rsidR="000C017E" w:rsidRPr="00040FB6">
              <w:rPr>
                <w:sz w:val="18"/>
                <w:szCs w:val="18"/>
                <w:lang w:val="en-GB"/>
              </w:rPr>
              <w:t xml:space="preserve"> </w:t>
            </w:r>
            <w:r w:rsidR="00AD2C90" w:rsidRPr="00040FB6">
              <w:rPr>
                <w:sz w:val="18"/>
                <w:szCs w:val="18"/>
                <w:lang w:val="en-GB"/>
              </w:rPr>
              <w:t>3</w:t>
            </w:r>
          </w:p>
          <w:p w:rsidR="00B03D3A" w:rsidRPr="00040FB6" w:rsidRDefault="00B03D3A" w:rsidP="006C6A87">
            <w:pPr>
              <w:rPr>
                <w:sz w:val="18"/>
                <w:szCs w:val="18"/>
                <w:lang w:val="en-GB"/>
              </w:rPr>
            </w:pPr>
            <w:r w:rsidRPr="00040FB6">
              <w:rPr>
                <w:sz w:val="18"/>
                <w:szCs w:val="18"/>
                <w:lang w:val="en-GB"/>
              </w:rPr>
              <w:t xml:space="preserve">Source: </w:t>
            </w:r>
            <w:r w:rsidR="00AD2C90" w:rsidRPr="00040FB6">
              <w:rPr>
                <w:sz w:val="18"/>
                <w:szCs w:val="18"/>
                <w:lang w:val="en-GB"/>
              </w:rPr>
              <w:t xml:space="preserve">SPAG </w:t>
            </w:r>
            <w:r w:rsidR="000C017E" w:rsidRPr="00040FB6">
              <w:rPr>
                <w:sz w:val="18"/>
                <w:szCs w:val="18"/>
                <w:lang w:val="en-GB"/>
              </w:rPr>
              <w:t>p</w:t>
            </w:r>
            <w:r w:rsidR="00AD2C90" w:rsidRPr="00040FB6">
              <w:rPr>
                <w:sz w:val="18"/>
                <w:szCs w:val="18"/>
                <w:lang w:val="en-GB"/>
              </w:rPr>
              <w:t xml:space="preserve">roject </w:t>
            </w:r>
            <w:r w:rsidR="000C017E" w:rsidRPr="00040FB6">
              <w:rPr>
                <w:sz w:val="18"/>
                <w:szCs w:val="18"/>
                <w:lang w:val="en-GB"/>
              </w:rPr>
              <w:t>r</w:t>
            </w:r>
            <w:r w:rsidR="00AD2C90" w:rsidRPr="00040FB6">
              <w:rPr>
                <w:sz w:val="18"/>
                <w:szCs w:val="18"/>
                <w:lang w:val="en-GB"/>
              </w:rPr>
              <w:t>eports</w:t>
            </w:r>
          </w:p>
          <w:p w:rsidR="00DF63D7" w:rsidRPr="00040FB6" w:rsidRDefault="00AD2C90" w:rsidP="00DF63D7">
            <w:pPr>
              <w:spacing w:after="120"/>
              <w:rPr>
                <w:sz w:val="18"/>
                <w:szCs w:val="18"/>
                <w:lang w:val="en-GB"/>
              </w:rPr>
            </w:pPr>
            <w:r w:rsidRPr="00040FB6">
              <w:rPr>
                <w:sz w:val="18"/>
                <w:szCs w:val="18"/>
                <w:lang w:val="en-GB"/>
              </w:rPr>
              <w:t>Frequency:</w:t>
            </w:r>
            <w:r w:rsidR="00FD5345" w:rsidRPr="00040FB6">
              <w:rPr>
                <w:sz w:val="18"/>
                <w:szCs w:val="18"/>
                <w:lang w:val="en-GB"/>
              </w:rPr>
              <w:t xml:space="preserve"> </w:t>
            </w:r>
            <w:r w:rsidRPr="00040FB6">
              <w:rPr>
                <w:sz w:val="18"/>
                <w:szCs w:val="18"/>
                <w:lang w:val="en-GB"/>
              </w:rPr>
              <w:t>Annual</w:t>
            </w:r>
          </w:p>
          <w:p w:rsidR="00DF63D7" w:rsidRPr="00040FB6" w:rsidRDefault="00FD5345" w:rsidP="00DF63D7">
            <w:pPr>
              <w:spacing w:after="120"/>
              <w:rPr>
                <w:sz w:val="18"/>
                <w:szCs w:val="18"/>
                <w:lang w:val="en-GB"/>
              </w:rPr>
            </w:pPr>
            <w:r w:rsidRPr="00040FB6">
              <w:rPr>
                <w:sz w:val="18"/>
                <w:szCs w:val="18"/>
                <w:lang w:val="en-GB"/>
              </w:rPr>
              <w:t xml:space="preserve">1.1.6. Increased </w:t>
            </w:r>
            <w:r w:rsidR="00E55C80" w:rsidRPr="00040FB6">
              <w:rPr>
                <w:sz w:val="18"/>
                <w:szCs w:val="18"/>
                <w:lang w:val="en-GB"/>
              </w:rPr>
              <w:t xml:space="preserve">provision of </w:t>
            </w:r>
            <w:r w:rsidRPr="00040FB6">
              <w:rPr>
                <w:sz w:val="18"/>
                <w:szCs w:val="18"/>
                <w:lang w:val="en-GB"/>
              </w:rPr>
              <w:t xml:space="preserve">legal services to </w:t>
            </w:r>
            <w:r w:rsidR="000C017E" w:rsidRPr="00040FB6">
              <w:rPr>
                <w:sz w:val="18"/>
                <w:szCs w:val="18"/>
                <w:lang w:val="en-GB"/>
              </w:rPr>
              <w:t>internally displaced persons</w:t>
            </w:r>
            <w:r w:rsidRPr="00040FB6">
              <w:rPr>
                <w:sz w:val="18"/>
                <w:szCs w:val="18"/>
                <w:lang w:val="en-GB"/>
              </w:rPr>
              <w:t xml:space="preserve">, </w:t>
            </w:r>
            <w:r w:rsidR="000C017E" w:rsidRPr="00040FB6">
              <w:rPr>
                <w:sz w:val="18"/>
                <w:szCs w:val="18"/>
                <w:lang w:val="en-GB"/>
              </w:rPr>
              <w:t>r</w:t>
            </w:r>
            <w:r w:rsidRPr="00040FB6">
              <w:rPr>
                <w:sz w:val="18"/>
                <w:szCs w:val="18"/>
                <w:lang w:val="en-GB"/>
              </w:rPr>
              <w:t>efugee</w:t>
            </w:r>
            <w:r w:rsidR="000C017E" w:rsidRPr="00040FB6">
              <w:rPr>
                <w:sz w:val="18"/>
                <w:szCs w:val="18"/>
                <w:lang w:val="en-GB"/>
              </w:rPr>
              <w:t>s</w:t>
            </w:r>
            <w:r w:rsidRPr="00040FB6">
              <w:rPr>
                <w:sz w:val="18"/>
                <w:szCs w:val="18"/>
                <w:lang w:val="en-GB"/>
              </w:rPr>
              <w:t xml:space="preserve"> and </w:t>
            </w:r>
            <w:r w:rsidR="000C017E" w:rsidRPr="00040FB6">
              <w:rPr>
                <w:sz w:val="18"/>
                <w:szCs w:val="18"/>
                <w:lang w:val="en-GB"/>
              </w:rPr>
              <w:t>h</w:t>
            </w:r>
            <w:r w:rsidRPr="00040FB6">
              <w:rPr>
                <w:sz w:val="18"/>
                <w:szCs w:val="18"/>
                <w:lang w:val="en-GB"/>
              </w:rPr>
              <w:t>ost communities</w:t>
            </w:r>
          </w:p>
          <w:p w:rsidR="00FD5345" w:rsidRPr="00040FB6" w:rsidRDefault="00FD5345" w:rsidP="006C6A87">
            <w:pPr>
              <w:rPr>
                <w:sz w:val="18"/>
                <w:szCs w:val="18"/>
                <w:lang w:val="en-GB"/>
              </w:rPr>
            </w:pPr>
            <w:r w:rsidRPr="00040FB6">
              <w:rPr>
                <w:sz w:val="18"/>
                <w:szCs w:val="18"/>
                <w:lang w:val="en-GB"/>
              </w:rPr>
              <w:t>1.1.6.A: Increased number of legal aid centres within the</w:t>
            </w:r>
            <w:r w:rsidR="000C017E" w:rsidRPr="00040FB6">
              <w:rPr>
                <w:sz w:val="18"/>
                <w:szCs w:val="18"/>
                <w:lang w:val="en-GB"/>
              </w:rPr>
              <w:t xml:space="preserve"> K</w:t>
            </w:r>
            <w:r w:rsidR="00284547" w:rsidRPr="00040FB6">
              <w:rPr>
                <w:sz w:val="18"/>
                <w:szCs w:val="18"/>
                <w:lang w:val="en-GB"/>
              </w:rPr>
              <w:t>urdistan r</w:t>
            </w:r>
            <w:r w:rsidR="000C017E" w:rsidRPr="00040FB6">
              <w:rPr>
                <w:sz w:val="18"/>
                <w:szCs w:val="18"/>
                <w:lang w:val="en-GB"/>
              </w:rPr>
              <w:t>egion</w:t>
            </w:r>
          </w:p>
          <w:p w:rsidR="00FD5345" w:rsidRPr="00040FB6" w:rsidRDefault="00FD5345" w:rsidP="006C6A87">
            <w:pPr>
              <w:rPr>
                <w:sz w:val="18"/>
                <w:szCs w:val="18"/>
                <w:lang w:val="en-GB"/>
              </w:rPr>
            </w:pPr>
            <w:r w:rsidRPr="00040FB6">
              <w:rPr>
                <w:sz w:val="18"/>
                <w:szCs w:val="18"/>
                <w:lang w:val="en-GB"/>
              </w:rPr>
              <w:t>Baseline: 7 centres</w:t>
            </w:r>
          </w:p>
          <w:p w:rsidR="00FD5345" w:rsidRPr="00040FB6" w:rsidRDefault="00FD5345" w:rsidP="006C6A87">
            <w:pPr>
              <w:rPr>
                <w:sz w:val="18"/>
                <w:szCs w:val="18"/>
                <w:lang w:val="en-GB"/>
              </w:rPr>
            </w:pPr>
            <w:r w:rsidRPr="00040FB6">
              <w:rPr>
                <w:sz w:val="18"/>
                <w:szCs w:val="18"/>
                <w:lang w:val="en-GB"/>
              </w:rPr>
              <w:t>Target: 10 centres</w:t>
            </w:r>
          </w:p>
          <w:p w:rsidR="00FD5345" w:rsidRPr="00040FB6" w:rsidRDefault="00FD5345" w:rsidP="006C6A87">
            <w:pPr>
              <w:rPr>
                <w:sz w:val="18"/>
                <w:szCs w:val="18"/>
                <w:lang w:val="en-GB"/>
              </w:rPr>
            </w:pPr>
            <w:r w:rsidRPr="00040FB6">
              <w:rPr>
                <w:sz w:val="18"/>
                <w:szCs w:val="18"/>
                <w:lang w:val="en-GB"/>
              </w:rPr>
              <w:t>Source: Project reports</w:t>
            </w:r>
          </w:p>
          <w:p w:rsidR="00DF63D7" w:rsidRPr="00040FB6" w:rsidRDefault="00FD5345" w:rsidP="00DF63D7">
            <w:pPr>
              <w:spacing w:after="120"/>
              <w:rPr>
                <w:sz w:val="18"/>
                <w:szCs w:val="18"/>
                <w:lang w:val="en-GB"/>
              </w:rPr>
            </w:pPr>
            <w:r w:rsidRPr="00040FB6">
              <w:rPr>
                <w:sz w:val="18"/>
                <w:szCs w:val="18"/>
                <w:lang w:val="en-GB"/>
              </w:rPr>
              <w:t>Frequency: Annual</w:t>
            </w:r>
          </w:p>
          <w:p w:rsidR="00FD5345" w:rsidRPr="00040FB6" w:rsidRDefault="00FD5345" w:rsidP="006C6A87">
            <w:pPr>
              <w:rPr>
                <w:sz w:val="18"/>
                <w:szCs w:val="18"/>
                <w:lang w:val="en-GB"/>
              </w:rPr>
            </w:pPr>
            <w:r w:rsidRPr="00040FB6">
              <w:rPr>
                <w:sz w:val="18"/>
                <w:szCs w:val="18"/>
                <w:lang w:val="en-GB"/>
              </w:rPr>
              <w:t xml:space="preserve">1.1.6.B: Provision of mobile legal aid services in </w:t>
            </w:r>
            <w:r w:rsidR="000C017E" w:rsidRPr="00040FB6">
              <w:rPr>
                <w:sz w:val="18"/>
                <w:szCs w:val="18"/>
                <w:lang w:val="en-GB"/>
              </w:rPr>
              <w:t>the K</w:t>
            </w:r>
            <w:r w:rsidR="00284547" w:rsidRPr="00040FB6">
              <w:rPr>
                <w:sz w:val="18"/>
                <w:szCs w:val="18"/>
                <w:lang w:val="en-GB"/>
              </w:rPr>
              <w:t>urdistan r</w:t>
            </w:r>
            <w:r w:rsidR="000C017E" w:rsidRPr="00040FB6">
              <w:rPr>
                <w:sz w:val="18"/>
                <w:szCs w:val="18"/>
                <w:lang w:val="en-GB"/>
              </w:rPr>
              <w:t>egion</w:t>
            </w:r>
            <w:r w:rsidRPr="00040FB6">
              <w:rPr>
                <w:sz w:val="18"/>
                <w:szCs w:val="18"/>
                <w:lang w:val="en-GB"/>
              </w:rPr>
              <w:t>, with a</w:t>
            </w:r>
            <w:r w:rsidR="004C18D0" w:rsidRPr="00040FB6">
              <w:rPr>
                <w:sz w:val="18"/>
                <w:szCs w:val="18"/>
                <w:lang w:val="en-GB"/>
              </w:rPr>
              <w:t>n</w:t>
            </w:r>
            <w:r w:rsidRPr="00040FB6">
              <w:rPr>
                <w:sz w:val="18"/>
                <w:szCs w:val="18"/>
                <w:lang w:val="en-GB"/>
              </w:rPr>
              <w:t xml:space="preserve"> emphasis on protection from </w:t>
            </w:r>
            <w:r w:rsidR="00EC21A4" w:rsidRPr="00040FB6">
              <w:rPr>
                <w:color w:val="000000"/>
                <w:sz w:val="18"/>
                <w:szCs w:val="18"/>
                <w:u w:color="000000"/>
                <w:lang w:val="en-GB"/>
              </w:rPr>
              <w:t>sexual and gender-based violence</w:t>
            </w:r>
          </w:p>
          <w:p w:rsidR="00FD5345" w:rsidRPr="00040FB6" w:rsidRDefault="00FD5345" w:rsidP="006C6A87">
            <w:pPr>
              <w:rPr>
                <w:sz w:val="18"/>
                <w:szCs w:val="18"/>
                <w:lang w:val="en-GB"/>
              </w:rPr>
            </w:pPr>
            <w:r w:rsidRPr="00040FB6">
              <w:rPr>
                <w:sz w:val="18"/>
                <w:szCs w:val="18"/>
                <w:lang w:val="en-GB"/>
              </w:rPr>
              <w:t>Baseline: 0</w:t>
            </w:r>
          </w:p>
          <w:p w:rsidR="00FD5345" w:rsidRPr="00040FB6" w:rsidRDefault="00FD5345" w:rsidP="006C6A87">
            <w:pPr>
              <w:rPr>
                <w:sz w:val="18"/>
                <w:szCs w:val="18"/>
                <w:lang w:val="en-GB"/>
              </w:rPr>
            </w:pPr>
            <w:r w:rsidRPr="00040FB6">
              <w:rPr>
                <w:sz w:val="18"/>
                <w:szCs w:val="18"/>
                <w:lang w:val="en-GB"/>
              </w:rPr>
              <w:t xml:space="preserve">Target: 3 mobile </w:t>
            </w:r>
            <w:r w:rsidR="004C18D0" w:rsidRPr="00040FB6">
              <w:rPr>
                <w:sz w:val="18"/>
                <w:szCs w:val="18"/>
                <w:lang w:val="en-GB"/>
              </w:rPr>
              <w:t>clinics</w:t>
            </w:r>
          </w:p>
          <w:p w:rsidR="004C18D0" w:rsidRPr="00040FB6" w:rsidRDefault="004C18D0" w:rsidP="006C6A87">
            <w:pPr>
              <w:rPr>
                <w:sz w:val="18"/>
                <w:szCs w:val="18"/>
                <w:lang w:val="en-GB"/>
              </w:rPr>
            </w:pPr>
            <w:r w:rsidRPr="00040FB6">
              <w:rPr>
                <w:sz w:val="18"/>
                <w:szCs w:val="18"/>
                <w:lang w:val="en-GB"/>
              </w:rPr>
              <w:t xml:space="preserve">Source Project </w:t>
            </w:r>
            <w:r w:rsidR="000C017E" w:rsidRPr="00040FB6">
              <w:rPr>
                <w:sz w:val="18"/>
                <w:szCs w:val="18"/>
                <w:lang w:val="en-GB"/>
              </w:rPr>
              <w:t>r</w:t>
            </w:r>
            <w:r w:rsidRPr="00040FB6">
              <w:rPr>
                <w:sz w:val="18"/>
                <w:szCs w:val="18"/>
                <w:lang w:val="en-GB"/>
              </w:rPr>
              <w:t>eports</w:t>
            </w:r>
          </w:p>
          <w:p w:rsidR="00B03D3A" w:rsidRPr="00040FB6" w:rsidRDefault="004C18D0" w:rsidP="00DF63D7">
            <w:pPr>
              <w:rPr>
                <w:rFonts w:eastAsia="Times New Roman"/>
                <w:b/>
                <w:bCs/>
                <w:sz w:val="18"/>
                <w:szCs w:val="18"/>
                <w:lang w:val="en-GB"/>
              </w:rPr>
            </w:pPr>
            <w:r w:rsidRPr="00040FB6">
              <w:rPr>
                <w:sz w:val="18"/>
                <w:szCs w:val="18"/>
                <w:lang w:val="en-GB"/>
              </w:rPr>
              <w:t>Frequency: Annual</w:t>
            </w:r>
          </w:p>
        </w:tc>
        <w:tc>
          <w:tcPr>
            <w:tcW w:w="972" w:type="pct"/>
            <w:tcBorders>
              <w:bottom w:val="single" w:sz="4" w:space="0" w:color="auto"/>
            </w:tcBorders>
            <w:shd w:val="clear" w:color="auto" w:fill="auto"/>
          </w:tcPr>
          <w:p w:rsidR="00B03D3A" w:rsidRPr="00040FB6" w:rsidRDefault="00B03D3A" w:rsidP="006C6A87">
            <w:pPr>
              <w:rPr>
                <w:rFonts w:eastAsia="Times New Roman"/>
                <w:iCs/>
                <w:sz w:val="18"/>
                <w:szCs w:val="18"/>
                <w:lang w:val="en-GB"/>
              </w:rPr>
            </w:pPr>
            <w:r w:rsidRPr="00040FB6">
              <w:rPr>
                <w:rFonts w:eastAsia="Times New Roman"/>
                <w:iCs/>
                <w:sz w:val="18"/>
                <w:szCs w:val="18"/>
                <w:lang w:val="en-GB"/>
              </w:rPr>
              <w:lastRenderedPageBreak/>
              <w:t xml:space="preserve">Parliament, Council of Ministers </w:t>
            </w:r>
            <w:r w:rsidR="00CA4C3C" w:rsidRPr="00040FB6">
              <w:rPr>
                <w:rFonts w:eastAsia="Times New Roman"/>
                <w:iCs/>
                <w:sz w:val="18"/>
                <w:szCs w:val="18"/>
                <w:lang w:val="en-GB"/>
              </w:rPr>
              <w:t>s</w:t>
            </w:r>
            <w:r w:rsidRPr="00040FB6">
              <w:rPr>
                <w:rFonts w:eastAsia="Times New Roman"/>
                <w:iCs/>
                <w:sz w:val="18"/>
                <w:szCs w:val="18"/>
                <w:lang w:val="en-GB"/>
              </w:rPr>
              <w:t xml:space="preserve">ecretariat, Ministry of Planning, Ministry of Finance and key government line ministries, governorate councils, </w:t>
            </w:r>
            <w:r w:rsidR="004102E3" w:rsidRPr="00040FB6">
              <w:rPr>
                <w:rFonts w:eastAsia="Times New Roman"/>
                <w:iCs/>
                <w:sz w:val="18"/>
                <w:szCs w:val="18"/>
                <w:lang w:val="en-GB"/>
              </w:rPr>
              <w:t xml:space="preserve">Office of the National Security Adviser, National Security Council, </w:t>
            </w:r>
            <w:r w:rsidRPr="00040FB6">
              <w:rPr>
                <w:rFonts w:eastAsia="Times New Roman"/>
                <w:iCs/>
                <w:sz w:val="18"/>
                <w:szCs w:val="18"/>
                <w:lang w:val="en-GB"/>
              </w:rPr>
              <w:t xml:space="preserve">Ministry of Science and Technology, European Union, United States Department of State, Ministry of Planning </w:t>
            </w:r>
            <w:r w:rsidR="00CA4C3C" w:rsidRPr="00040FB6">
              <w:rPr>
                <w:rFonts w:eastAsia="Times New Roman"/>
                <w:iCs/>
                <w:sz w:val="18"/>
                <w:szCs w:val="18"/>
                <w:lang w:val="en-GB"/>
              </w:rPr>
              <w:t xml:space="preserve">– </w:t>
            </w:r>
            <w:r w:rsidRPr="00040FB6">
              <w:rPr>
                <w:rFonts w:eastAsia="Times New Roman"/>
                <w:iCs/>
                <w:sz w:val="18"/>
                <w:szCs w:val="18"/>
                <w:lang w:val="en-GB"/>
              </w:rPr>
              <w:t>Kurdistan region, provincial councils, Public Service Commission, Ministry of Environment, non-governmental organizations (NGOs), civil society organizations (CSOs) and community-based organizations (CBOs), UNAMI, United Nations organizations</w:t>
            </w:r>
          </w:p>
          <w:p w:rsidR="00B03D3A" w:rsidRPr="00040FB6" w:rsidRDefault="00B03D3A" w:rsidP="006C6A87">
            <w:pPr>
              <w:rPr>
                <w:rFonts w:eastAsia="Times New Roman"/>
                <w:iCs/>
                <w:sz w:val="18"/>
                <w:szCs w:val="18"/>
                <w:lang w:val="en-GB"/>
              </w:rPr>
            </w:pPr>
          </w:p>
          <w:p w:rsidR="00B03D3A" w:rsidRPr="00040FB6" w:rsidRDefault="007B3BC6" w:rsidP="00CA4C3C">
            <w:pPr>
              <w:rPr>
                <w:rFonts w:eastAsia="Times New Roman"/>
                <w:b/>
                <w:bCs/>
                <w:sz w:val="18"/>
                <w:szCs w:val="18"/>
                <w:lang w:val="en-GB"/>
              </w:rPr>
            </w:pPr>
            <w:r w:rsidRPr="00040FB6">
              <w:rPr>
                <w:rFonts w:eastAsia="Times New Roman"/>
                <w:iCs/>
                <w:sz w:val="18"/>
                <w:szCs w:val="18"/>
                <w:lang w:val="en-GB"/>
              </w:rPr>
              <w:t xml:space="preserve">UNDP will operate within national and regional frameworks and institutional arrangements to provide equitable, transparent and </w:t>
            </w:r>
            <w:r w:rsidRPr="00040FB6">
              <w:rPr>
                <w:rFonts w:eastAsia="Times New Roman"/>
                <w:iCs/>
                <w:sz w:val="18"/>
                <w:szCs w:val="18"/>
                <w:lang w:val="en-GB"/>
              </w:rPr>
              <w:lastRenderedPageBreak/>
              <w:t>sustainable justice and accountability, ensuring human rights protection, social cohesion, reconciliation and national and regional development</w:t>
            </w:r>
          </w:p>
        </w:tc>
        <w:tc>
          <w:tcPr>
            <w:tcW w:w="628" w:type="pct"/>
            <w:tcBorders>
              <w:bottom w:val="single" w:sz="4" w:space="0" w:color="auto"/>
            </w:tcBorders>
            <w:shd w:val="clear" w:color="auto" w:fill="auto"/>
            <w:tcMar>
              <w:top w:w="15" w:type="dxa"/>
              <w:left w:w="108" w:type="dxa"/>
              <w:bottom w:w="0" w:type="dxa"/>
              <w:right w:w="108" w:type="dxa"/>
            </w:tcMar>
          </w:tcPr>
          <w:p w:rsidR="00B03D3A" w:rsidRPr="00040FB6" w:rsidRDefault="00B03D3A" w:rsidP="006C6A87">
            <w:pPr>
              <w:rPr>
                <w:rFonts w:eastAsia="Times New Roman"/>
                <w:b/>
                <w:sz w:val="18"/>
                <w:szCs w:val="18"/>
                <w:lang w:val="en-GB"/>
              </w:rPr>
            </w:pPr>
            <w:r w:rsidRPr="00040FB6">
              <w:rPr>
                <w:rFonts w:eastAsia="Times New Roman"/>
                <w:b/>
                <w:sz w:val="18"/>
                <w:szCs w:val="18"/>
                <w:lang w:val="en-GB"/>
              </w:rPr>
              <w:lastRenderedPageBreak/>
              <w:t>Regular: $</w:t>
            </w:r>
            <w:r w:rsidR="008E4F32" w:rsidRPr="00040FB6">
              <w:rPr>
                <w:rFonts w:eastAsia="Times New Roman"/>
                <w:b/>
                <w:sz w:val="18"/>
                <w:szCs w:val="18"/>
                <w:lang w:val="en-GB"/>
              </w:rPr>
              <w:t>3,456</w:t>
            </w:r>
          </w:p>
          <w:p w:rsidR="00B03D3A" w:rsidRPr="00040FB6" w:rsidRDefault="00B03D3A" w:rsidP="006C6A87">
            <w:pPr>
              <w:rPr>
                <w:rFonts w:eastAsia="Times New Roman"/>
                <w:b/>
                <w:sz w:val="18"/>
                <w:szCs w:val="18"/>
                <w:lang w:val="en-GB"/>
              </w:rPr>
            </w:pPr>
          </w:p>
          <w:p w:rsidR="00B03D3A" w:rsidRPr="00040FB6" w:rsidRDefault="00B03D3A" w:rsidP="00333113">
            <w:pPr>
              <w:rPr>
                <w:rFonts w:eastAsia="Times New Roman"/>
                <w:b/>
                <w:bCs/>
                <w:sz w:val="18"/>
                <w:szCs w:val="18"/>
                <w:lang w:val="en-GB"/>
              </w:rPr>
            </w:pPr>
            <w:r w:rsidRPr="00040FB6">
              <w:rPr>
                <w:rFonts w:eastAsia="Times New Roman"/>
                <w:b/>
                <w:sz w:val="18"/>
                <w:szCs w:val="18"/>
                <w:lang w:val="en-GB"/>
              </w:rPr>
              <w:t>Oth</w:t>
            </w:r>
            <w:r w:rsidR="00B04CB1">
              <w:rPr>
                <w:rFonts w:eastAsia="Times New Roman"/>
                <w:b/>
                <w:sz w:val="18"/>
                <w:szCs w:val="18"/>
                <w:lang w:val="en-GB"/>
              </w:rPr>
              <w:t>e</w:t>
            </w:r>
            <w:r w:rsidRPr="00040FB6">
              <w:rPr>
                <w:rFonts w:eastAsia="Times New Roman"/>
                <w:b/>
                <w:sz w:val="18"/>
                <w:szCs w:val="18"/>
                <w:lang w:val="en-GB"/>
              </w:rPr>
              <w:t>r:</w:t>
            </w:r>
            <w:bookmarkStart w:id="0" w:name="_GoBack"/>
            <w:bookmarkEnd w:id="0"/>
            <w:r w:rsidRPr="00040FB6">
              <w:rPr>
                <w:rFonts w:eastAsia="Times New Roman"/>
                <w:b/>
                <w:sz w:val="18"/>
                <w:szCs w:val="18"/>
                <w:lang w:val="en-GB"/>
              </w:rPr>
              <w:t xml:space="preserve"> $</w:t>
            </w:r>
            <w:r w:rsidR="00647A3D" w:rsidRPr="00040FB6">
              <w:rPr>
                <w:rFonts w:eastAsia="Times New Roman"/>
                <w:b/>
                <w:sz w:val="18"/>
                <w:szCs w:val="18"/>
                <w:lang w:val="en-GB"/>
              </w:rPr>
              <w:t>64,375</w:t>
            </w:r>
          </w:p>
        </w:tc>
      </w:tr>
    </w:tbl>
    <w:p w:rsidR="002D5552" w:rsidRDefault="002D5552">
      <w:r>
        <w:lastRenderedPageBreak/>
        <w:br w:type="page"/>
      </w:r>
    </w:p>
    <w:tbl>
      <w:tblPr>
        <w:tblpPr w:leftFromText="180" w:rightFromText="180" w:vertAnchor="text" w:tblpX="-134" w:tblpY="1"/>
        <w:tblOverlap w:val="neve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739"/>
        <w:gridCol w:w="2340"/>
        <w:gridCol w:w="3420"/>
        <w:gridCol w:w="2430"/>
        <w:gridCol w:w="1570"/>
      </w:tblGrid>
      <w:tr w:rsidR="00B03D3A" w:rsidRPr="00040FB6" w:rsidTr="00EF6658">
        <w:tc>
          <w:tcPr>
            <w:tcW w:w="5000" w:type="pct"/>
            <w:gridSpan w:val="5"/>
            <w:shd w:val="clear" w:color="auto" w:fill="auto"/>
            <w:tcMar>
              <w:top w:w="72" w:type="dxa"/>
              <w:left w:w="144" w:type="dxa"/>
              <w:bottom w:w="72" w:type="dxa"/>
              <w:right w:w="144" w:type="dxa"/>
            </w:tcMar>
          </w:tcPr>
          <w:p w:rsidR="00B03D3A" w:rsidRPr="00040FB6" w:rsidRDefault="00B03D3A" w:rsidP="00EF6658">
            <w:pPr>
              <w:rPr>
                <w:rFonts w:eastAsia="Times New Roman"/>
                <w:bCs/>
                <w:iCs/>
                <w:sz w:val="18"/>
                <w:szCs w:val="18"/>
                <w:lang w:val="en-GB"/>
              </w:rPr>
            </w:pPr>
            <w:r w:rsidRPr="00040FB6">
              <w:rPr>
                <w:rFonts w:eastAsia="Times New Roman"/>
                <w:sz w:val="18"/>
                <w:szCs w:val="18"/>
                <w:lang w:val="en-GB"/>
              </w:rPr>
              <w:lastRenderedPageBreak/>
              <w:br w:type="page"/>
            </w:r>
            <w:r w:rsidR="000C017E" w:rsidRPr="00040FB6">
              <w:rPr>
                <w:rFonts w:eastAsia="Times New Roman"/>
                <w:b/>
                <w:bCs/>
                <w:sz w:val="18"/>
                <w:szCs w:val="18"/>
                <w:lang w:val="en-GB"/>
              </w:rPr>
              <w:t>National priority or goal</w:t>
            </w:r>
            <w:r w:rsidRPr="00040FB6">
              <w:rPr>
                <w:rFonts w:eastAsia="Times New Roman"/>
                <w:b/>
                <w:bCs/>
                <w:sz w:val="18"/>
                <w:szCs w:val="18"/>
                <w:lang w:val="en-GB"/>
              </w:rPr>
              <w:t xml:space="preserve">: </w:t>
            </w:r>
            <w:r w:rsidRPr="00040FB6">
              <w:rPr>
                <w:rFonts w:eastAsia="Times New Roman"/>
                <w:bCs/>
                <w:iCs/>
                <w:sz w:val="18"/>
                <w:szCs w:val="18"/>
                <w:lang w:val="en-GB"/>
              </w:rPr>
              <w:t xml:space="preserve">Framework of </w:t>
            </w:r>
            <w:r w:rsidR="000C017E" w:rsidRPr="00040FB6">
              <w:rPr>
                <w:rFonts w:eastAsia="Times New Roman"/>
                <w:bCs/>
                <w:iCs/>
                <w:sz w:val="18"/>
                <w:szCs w:val="18"/>
                <w:lang w:val="en-GB"/>
              </w:rPr>
              <w:t>g</w:t>
            </w:r>
            <w:r w:rsidRPr="00040FB6">
              <w:rPr>
                <w:rFonts w:eastAsia="Times New Roman"/>
                <w:bCs/>
                <w:iCs/>
                <w:sz w:val="18"/>
                <w:szCs w:val="18"/>
                <w:lang w:val="en-GB"/>
              </w:rPr>
              <w:t xml:space="preserve">overnment </w:t>
            </w:r>
            <w:r w:rsidR="000C017E" w:rsidRPr="00040FB6">
              <w:rPr>
                <w:rFonts w:eastAsia="Times New Roman"/>
                <w:bCs/>
                <w:iCs/>
                <w:sz w:val="18"/>
                <w:szCs w:val="18"/>
                <w:lang w:val="en-GB"/>
              </w:rPr>
              <w:t>p</w:t>
            </w:r>
            <w:r w:rsidRPr="00040FB6">
              <w:rPr>
                <w:rFonts w:eastAsia="Times New Roman"/>
                <w:bCs/>
                <w:iCs/>
                <w:sz w:val="18"/>
                <w:szCs w:val="18"/>
                <w:lang w:val="en-GB"/>
              </w:rPr>
              <w:t>rogrammes</w:t>
            </w:r>
            <w:r w:rsidR="008E2A12" w:rsidRPr="00040FB6">
              <w:rPr>
                <w:rFonts w:eastAsia="Times New Roman"/>
                <w:bCs/>
                <w:iCs/>
                <w:sz w:val="18"/>
                <w:szCs w:val="18"/>
                <w:lang w:val="en-GB"/>
              </w:rPr>
              <w:t>,</w:t>
            </w:r>
            <w:r w:rsidRPr="00040FB6">
              <w:rPr>
                <w:rFonts w:eastAsia="Times New Roman"/>
                <w:bCs/>
                <w:iCs/>
                <w:sz w:val="18"/>
                <w:szCs w:val="18"/>
                <w:lang w:val="en-GB"/>
              </w:rPr>
              <w:t xml:space="preserve"> 2014-2018</w:t>
            </w:r>
            <w:r w:rsidR="008E2A12" w:rsidRPr="00040FB6">
              <w:rPr>
                <w:rFonts w:eastAsia="Times New Roman"/>
                <w:bCs/>
                <w:iCs/>
                <w:sz w:val="18"/>
                <w:szCs w:val="18"/>
                <w:lang w:val="en-GB"/>
              </w:rPr>
              <w:t>,</w:t>
            </w:r>
            <w:r w:rsidRPr="00040FB6">
              <w:rPr>
                <w:rFonts w:eastAsia="Times New Roman"/>
                <w:bCs/>
                <w:iCs/>
                <w:sz w:val="18"/>
                <w:szCs w:val="18"/>
                <w:lang w:val="en-GB"/>
              </w:rPr>
              <w:t xml:space="preserve"> </w:t>
            </w:r>
            <w:r w:rsidR="008E2A12" w:rsidRPr="00040FB6">
              <w:rPr>
                <w:rFonts w:eastAsia="Times New Roman"/>
                <w:bCs/>
                <w:iCs/>
                <w:sz w:val="18"/>
                <w:szCs w:val="18"/>
                <w:lang w:val="en-GB"/>
              </w:rPr>
              <w:t>priority 2. Upgrade living standards and services provision for citizens;</w:t>
            </w:r>
            <w:r w:rsidR="008E2A12" w:rsidRPr="00040FB6" w:rsidDel="008E2A12">
              <w:rPr>
                <w:rFonts w:eastAsia="Times New Roman"/>
                <w:bCs/>
                <w:iCs/>
                <w:sz w:val="18"/>
                <w:szCs w:val="18"/>
                <w:lang w:val="en-GB"/>
              </w:rPr>
              <w:t xml:space="preserve"> </w:t>
            </w:r>
            <w:r w:rsidR="008E2A12" w:rsidRPr="00040FB6">
              <w:rPr>
                <w:rFonts w:eastAsia="Times New Roman"/>
                <w:bCs/>
                <w:iCs/>
                <w:sz w:val="18"/>
                <w:szCs w:val="18"/>
                <w:lang w:val="en-GB"/>
              </w:rPr>
              <w:t>p</w:t>
            </w:r>
            <w:r w:rsidRPr="00040FB6">
              <w:rPr>
                <w:rFonts w:eastAsia="Times New Roman"/>
                <w:bCs/>
                <w:iCs/>
                <w:sz w:val="18"/>
                <w:szCs w:val="18"/>
                <w:lang w:val="en-GB"/>
              </w:rPr>
              <w:t>riority 6</w:t>
            </w:r>
            <w:r w:rsidR="008E2A12" w:rsidRPr="00040FB6">
              <w:rPr>
                <w:rFonts w:eastAsia="Times New Roman"/>
                <w:bCs/>
                <w:iCs/>
                <w:sz w:val="18"/>
                <w:szCs w:val="18"/>
                <w:lang w:val="en-GB"/>
              </w:rPr>
              <w:t>.</w:t>
            </w:r>
            <w:r w:rsidRPr="00040FB6">
              <w:rPr>
                <w:rFonts w:eastAsia="Times New Roman"/>
                <w:bCs/>
                <w:iCs/>
                <w:sz w:val="18"/>
                <w:szCs w:val="18"/>
                <w:lang w:val="en-GB"/>
              </w:rPr>
              <w:t xml:space="preserve"> Regulate federal</w:t>
            </w:r>
            <w:r w:rsidRPr="00040FB6">
              <w:rPr>
                <w:rFonts w:ascii="Cambria Math" w:eastAsia="Times New Roman" w:hAnsi="Cambria Math" w:cs="Cambria Math"/>
                <w:bCs/>
                <w:iCs/>
                <w:sz w:val="18"/>
                <w:szCs w:val="18"/>
                <w:lang w:val="en-GB"/>
              </w:rPr>
              <w:t>‐</w:t>
            </w:r>
            <w:r w:rsidRPr="00040FB6">
              <w:rPr>
                <w:rFonts w:eastAsia="Times New Roman"/>
                <w:bCs/>
                <w:iCs/>
                <w:sz w:val="18"/>
                <w:szCs w:val="18"/>
                <w:lang w:val="en-GB"/>
              </w:rPr>
              <w:t xml:space="preserve">local relations </w:t>
            </w:r>
          </w:p>
        </w:tc>
      </w:tr>
      <w:tr w:rsidR="00B03D3A" w:rsidRPr="00040FB6" w:rsidTr="00EF6658">
        <w:tc>
          <w:tcPr>
            <w:tcW w:w="5000" w:type="pct"/>
            <w:gridSpan w:val="5"/>
            <w:shd w:val="clear" w:color="auto" w:fill="auto"/>
            <w:tcMar>
              <w:top w:w="72" w:type="dxa"/>
              <w:left w:w="144" w:type="dxa"/>
              <w:bottom w:w="72" w:type="dxa"/>
              <w:right w:w="144" w:type="dxa"/>
            </w:tcMar>
          </w:tcPr>
          <w:p w:rsidR="00A56908" w:rsidRPr="00040FB6" w:rsidRDefault="00B03D3A" w:rsidP="00EF6658">
            <w:pPr>
              <w:rPr>
                <w:rFonts w:eastAsia="Times New Roman"/>
                <w:b/>
                <w:bCs/>
                <w:sz w:val="18"/>
                <w:szCs w:val="18"/>
                <w:lang w:val="en-GB"/>
              </w:rPr>
            </w:pPr>
            <w:r w:rsidRPr="00040FB6">
              <w:rPr>
                <w:rFonts w:eastAsia="Times New Roman"/>
                <w:b/>
                <w:bCs/>
                <w:sz w:val="18"/>
                <w:szCs w:val="18"/>
                <w:lang w:val="en-GB"/>
              </w:rPr>
              <w:t xml:space="preserve">UNDAF </w:t>
            </w:r>
            <w:r w:rsidR="008E2A12" w:rsidRPr="00040FB6">
              <w:rPr>
                <w:rFonts w:eastAsia="Times New Roman"/>
                <w:b/>
                <w:bCs/>
                <w:sz w:val="18"/>
                <w:szCs w:val="18"/>
                <w:lang w:val="en-GB"/>
              </w:rPr>
              <w:t>(or equivalent) outcome involving</w:t>
            </w:r>
            <w:r w:rsidRPr="00040FB6">
              <w:rPr>
                <w:rFonts w:eastAsia="Times New Roman"/>
                <w:b/>
                <w:bCs/>
                <w:sz w:val="18"/>
                <w:szCs w:val="18"/>
                <w:lang w:val="en-GB"/>
              </w:rPr>
              <w:t xml:space="preserve"> UNDP:</w:t>
            </w:r>
            <w:r w:rsidRPr="00040FB6">
              <w:rPr>
                <w:rFonts w:eastAsia="Times New Roman"/>
                <w:sz w:val="18"/>
                <w:szCs w:val="18"/>
                <w:lang w:val="en-GB"/>
              </w:rPr>
              <w:t xml:space="preserve"> </w:t>
            </w:r>
            <w:r w:rsidRPr="00040FB6">
              <w:rPr>
                <w:rFonts w:eastAsia="Times New Roman"/>
                <w:b/>
                <w:bCs/>
                <w:sz w:val="18"/>
                <w:szCs w:val="18"/>
                <w:lang w:val="en-GB"/>
              </w:rPr>
              <w:t xml:space="preserve">2. </w:t>
            </w:r>
            <w:r w:rsidR="00C0627A" w:rsidRPr="00040FB6">
              <w:rPr>
                <w:rFonts w:eastAsia="Times New Roman"/>
                <w:b/>
                <w:bCs/>
                <w:sz w:val="18"/>
                <w:szCs w:val="18"/>
                <w:lang w:val="en-GB"/>
              </w:rPr>
              <w:t>Administrative</w:t>
            </w:r>
            <w:r w:rsidR="00A56908" w:rsidRPr="00040FB6">
              <w:rPr>
                <w:rFonts w:eastAsia="Times New Roman"/>
                <w:b/>
                <w:bCs/>
                <w:sz w:val="18"/>
                <w:szCs w:val="18"/>
                <w:lang w:val="en-GB"/>
              </w:rPr>
              <w:t xml:space="preserve"> and financial reform and</w:t>
            </w:r>
            <w:r w:rsidR="00C0627A" w:rsidRPr="00040FB6">
              <w:rPr>
                <w:rFonts w:eastAsia="Times New Roman"/>
                <w:b/>
                <w:bCs/>
                <w:sz w:val="18"/>
                <w:szCs w:val="18"/>
                <w:lang w:val="en-GB"/>
              </w:rPr>
              <w:t xml:space="preserve"> de</w:t>
            </w:r>
            <w:r w:rsidR="00A56908" w:rsidRPr="00040FB6">
              <w:rPr>
                <w:rFonts w:eastAsia="Times New Roman"/>
                <w:b/>
                <w:bCs/>
                <w:sz w:val="18"/>
                <w:szCs w:val="18"/>
                <w:lang w:val="en-GB"/>
              </w:rPr>
              <w:t>volution</w:t>
            </w:r>
            <w:r w:rsidR="00C0627A" w:rsidRPr="00040FB6">
              <w:rPr>
                <w:rFonts w:eastAsia="Times New Roman"/>
                <w:b/>
                <w:bCs/>
                <w:sz w:val="18"/>
                <w:szCs w:val="18"/>
                <w:lang w:val="en-GB"/>
              </w:rPr>
              <w:t xml:space="preserve"> policies adopted and implemented at federal and governorate levels</w:t>
            </w:r>
            <w:r w:rsidR="00C0627A" w:rsidRPr="00040FB6">
              <w:rPr>
                <w:rStyle w:val="FootnoteReference"/>
                <w:rFonts w:eastAsia="Times New Roman"/>
                <w:b/>
                <w:sz w:val="18"/>
                <w:szCs w:val="18"/>
                <w:lang w:val="en-GB"/>
              </w:rPr>
              <w:footnoteReference w:id="21"/>
            </w:r>
          </w:p>
        </w:tc>
      </w:tr>
      <w:tr w:rsidR="00B03D3A" w:rsidRPr="00040FB6" w:rsidTr="00EF6658">
        <w:tc>
          <w:tcPr>
            <w:tcW w:w="5000" w:type="pct"/>
            <w:gridSpan w:val="5"/>
            <w:shd w:val="clear" w:color="auto" w:fill="auto"/>
            <w:tcMar>
              <w:top w:w="72" w:type="dxa"/>
              <w:left w:w="144" w:type="dxa"/>
              <w:bottom w:w="72" w:type="dxa"/>
              <w:right w:w="144" w:type="dxa"/>
            </w:tcMar>
          </w:tcPr>
          <w:p w:rsidR="00B03D3A" w:rsidRPr="00040FB6" w:rsidRDefault="008E2A12" w:rsidP="00EF6658">
            <w:pPr>
              <w:rPr>
                <w:rFonts w:eastAsia="Times New Roman"/>
                <w:b/>
                <w:bCs/>
                <w:iCs/>
                <w:sz w:val="18"/>
                <w:szCs w:val="18"/>
                <w:lang w:val="en-GB"/>
              </w:rPr>
            </w:pPr>
            <w:r w:rsidRPr="00040FB6">
              <w:rPr>
                <w:rFonts w:eastAsia="Times New Roman"/>
                <w:b/>
                <w:bCs/>
                <w:sz w:val="18"/>
                <w:szCs w:val="18"/>
                <w:lang w:val="en-GB"/>
              </w:rPr>
              <w:t xml:space="preserve">Related strategic plan outcome </w:t>
            </w:r>
            <w:r w:rsidR="00B03D3A" w:rsidRPr="00040FB6">
              <w:rPr>
                <w:rFonts w:eastAsia="Times New Roman"/>
                <w:b/>
                <w:bCs/>
                <w:sz w:val="18"/>
                <w:szCs w:val="18"/>
                <w:lang w:val="en-GB"/>
              </w:rPr>
              <w:t xml:space="preserve">(from UNDP strategic plan, 2014-2017): </w:t>
            </w:r>
            <w:r w:rsidR="00B03D3A" w:rsidRPr="00040FB6">
              <w:rPr>
                <w:rFonts w:eastAsia="Times New Roman"/>
                <w:sz w:val="18"/>
                <w:szCs w:val="18"/>
                <w:lang w:val="en-GB"/>
              </w:rPr>
              <w:t>Outcome 3</w:t>
            </w:r>
            <w:r w:rsidRPr="00040FB6">
              <w:rPr>
                <w:rFonts w:eastAsia="Times New Roman"/>
                <w:sz w:val="18"/>
                <w:szCs w:val="18"/>
                <w:lang w:val="en-GB"/>
              </w:rPr>
              <w:t>.</w:t>
            </w:r>
            <w:r w:rsidR="00B03D3A" w:rsidRPr="00040FB6">
              <w:rPr>
                <w:rFonts w:eastAsia="Times New Roman"/>
                <w:sz w:val="18"/>
                <w:szCs w:val="18"/>
                <w:lang w:val="en-GB"/>
              </w:rPr>
              <w:t xml:space="preserve"> Countries have strengthened institutions to progressively deliver universal access to basic services</w:t>
            </w:r>
          </w:p>
        </w:tc>
      </w:tr>
      <w:tr w:rsidR="00B03D3A" w:rsidRPr="00040FB6" w:rsidTr="00EF6658">
        <w:tc>
          <w:tcPr>
            <w:tcW w:w="1096" w:type="pct"/>
            <w:tcBorders>
              <w:bottom w:val="single" w:sz="4" w:space="0" w:color="auto"/>
            </w:tcBorders>
            <w:shd w:val="clear" w:color="auto" w:fill="auto"/>
            <w:tcMar>
              <w:top w:w="72" w:type="dxa"/>
              <w:left w:w="144" w:type="dxa"/>
              <w:bottom w:w="72" w:type="dxa"/>
              <w:right w:w="144" w:type="dxa"/>
            </w:tcMar>
          </w:tcPr>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2.1</w:t>
            </w:r>
            <w:r w:rsidR="00AC4D33" w:rsidRPr="00040FB6">
              <w:rPr>
                <w:rFonts w:eastAsia="Times New Roman"/>
                <w:sz w:val="18"/>
                <w:szCs w:val="18"/>
                <w:lang w:val="en-GB"/>
              </w:rPr>
              <w:t>.</w:t>
            </w:r>
            <w:r w:rsidRPr="00040FB6">
              <w:rPr>
                <w:rFonts w:eastAsia="Times New Roman"/>
                <w:sz w:val="18"/>
                <w:szCs w:val="18"/>
                <w:lang w:val="en-GB"/>
              </w:rPr>
              <w:t xml:space="preserve"> Increase in % of federal investment budget allocation to governorate authorities</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 xml:space="preserve">Baseline: </w:t>
            </w:r>
            <w:r w:rsidR="00351D34" w:rsidRPr="00040FB6">
              <w:rPr>
                <w:rFonts w:eastAsia="Times New Roman"/>
                <w:sz w:val="18"/>
                <w:szCs w:val="18"/>
                <w:lang w:val="en-GB"/>
              </w:rPr>
              <w:t>18%</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 xml:space="preserve">Target: </w:t>
            </w:r>
            <w:r w:rsidR="00351D34" w:rsidRPr="00040FB6">
              <w:rPr>
                <w:rFonts w:eastAsia="Times New Roman"/>
                <w:sz w:val="18"/>
                <w:szCs w:val="18"/>
                <w:lang w:val="en-GB"/>
              </w:rPr>
              <w:t>40%</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Source:</w:t>
            </w:r>
            <w:r w:rsidR="00351D34" w:rsidRPr="00040FB6">
              <w:rPr>
                <w:rFonts w:eastAsia="Times New Roman"/>
                <w:sz w:val="18"/>
                <w:szCs w:val="18"/>
                <w:lang w:val="en-GB"/>
              </w:rPr>
              <w:t xml:space="preserve"> Federal Ministry of Planning</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Frequency:</w:t>
            </w:r>
            <w:r w:rsidR="00351D34" w:rsidRPr="00040FB6">
              <w:rPr>
                <w:rFonts w:eastAsia="Times New Roman"/>
                <w:sz w:val="18"/>
                <w:szCs w:val="18"/>
                <w:lang w:val="en-GB"/>
              </w:rPr>
              <w:t xml:space="preserve"> Annual</w:t>
            </w:r>
          </w:p>
          <w:p w:rsidR="00B03D3A" w:rsidRPr="00040FB6" w:rsidRDefault="00B03D3A" w:rsidP="00EF6658">
            <w:pPr>
              <w:contextualSpacing/>
              <w:rPr>
                <w:rFonts w:eastAsia="Times New Roman"/>
                <w:sz w:val="18"/>
                <w:szCs w:val="18"/>
                <w:lang w:val="en-GB"/>
              </w:rPr>
            </w:pP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2.2</w:t>
            </w:r>
            <w:r w:rsidR="00AC4D33" w:rsidRPr="00040FB6">
              <w:rPr>
                <w:rFonts w:eastAsia="Times New Roman"/>
                <w:sz w:val="18"/>
                <w:szCs w:val="18"/>
                <w:lang w:val="en-GB"/>
              </w:rPr>
              <w:t>.</w:t>
            </w:r>
            <w:r w:rsidRPr="00040FB6">
              <w:rPr>
                <w:rFonts w:eastAsia="Times New Roman"/>
                <w:sz w:val="18"/>
                <w:szCs w:val="18"/>
                <w:lang w:val="en-GB"/>
              </w:rPr>
              <w:t xml:space="preserve"> Increase in </w:t>
            </w:r>
            <w:r w:rsidR="00C852FB" w:rsidRPr="00040FB6">
              <w:rPr>
                <w:rFonts w:eastAsia="Times New Roman"/>
                <w:sz w:val="18"/>
                <w:szCs w:val="18"/>
                <w:lang w:val="en-GB"/>
              </w:rPr>
              <w:t xml:space="preserve">average </w:t>
            </w:r>
            <w:r w:rsidRPr="00040FB6">
              <w:rPr>
                <w:rFonts w:eastAsia="Times New Roman"/>
                <w:sz w:val="18"/>
                <w:szCs w:val="18"/>
                <w:lang w:val="en-GB"/>
              </w:rPr>
              <w:t>% of budget execution at governorate level</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Baseline:</w:t>
            </w:r>
            <w:r w:rsidR="00C852FB" w:rsidRPr="00040FB6">
              <w:rPr>
                <w:sz w:val="18"/>
                <w:szCs w:val="18"/>
                <w:lang w:val="en-GB"/>
              </w:rPr>
              <w:t xml:space="preserve"> </w:t>
            </w:r>
            <w:r w:rsidR="00C852FB" w:rsidRPr="00040FB6">
              <w:rPr>
                <w:rFonts w:eastAsia="Times New Roman"/>
                <w:sz w:val="18"/>
                <w:szCs w:val="18"/>
                <w:lang w:val="en-GB"/>
              </w:rPr>
              <w:t>2011  average: 54%</w:t>
            </w:r>
            <w:r w:rsidR="00C852FB" w:rsidRPr="00040FB6">
              <w:rPr>
                <w:rStyle w:val="FootnoteReference"/>
                <w:rFonts w:eastAsia="Times New Roman"/>
                <w:sz w:val="18"/>
                <w:szCs w:val="18"/>
                <w:lang w:val="en-GB"/>
              </w:rPr>
              <w:footnoteReference w:id="22"/>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 xml:space="preserve">Target: </w:t>
            </w:r>
            <w:r w:rsidR="00E10787" w:rsidRPr="00040FB6">
              <w:rPr>
                <w:rFonts w:eastAsia="Times New Roman"/>
                <w:sz w:val="18"/>
                <w:szCs w:val="18"/>
                <w:lang w:val="en-GB"/>
              </w:rPr>
              <w:t>65% by 2020</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Source:</w:t>
            </w:r>
            <w:r w:rsidR="00E10787" w:rsidRPr="00040FB6">
              <w:rPr>
                <w:rFonts w:eastAsia="Times New Roman"/>
                <w:sz w:val="18"/>
                <w:szCs w:val="18"/>
                <w:lang w:val="en-GB"/>
              </w:rPr>
              <w:t xml:space="preserve"> Go</w:t>
            </w:r>
            <w:r w:rsidR="008E2A12" w:rsidRPr="00040FB6">
              <w:rPr>
                <w:rFonts w:eastAsia="Times New Roman"/>
                <w:sz w:val="18"/>
                <w:szCs w:val="18"/>
                <w:lang w:val="en-GB"/>
              </w:rPr>
              <w:t>vernment b</w:t>
            </w:r>
            <w:r w:rsidR="00E10787" w:rsidRPr="00040FB6">
              <w:rPr>
                <w:rFonts w:eastAsia="Times New Roman"/>
                <w:sz w:val="18"/>
                <w:szCs w:val="18"/>
                <w:lang w:val="en-GB"/>
              </w:rPr>
              <w:t>udget</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Frequency:</w:t>
            </w:r>
            <w:r w:rsidR="00E10787" w:rsidRPr="00040FB6">
              <w:rPr>
                <w:rFonts w:eastAsia="Times New Roman"/>
                <w:sz w:val="18"/>
                <w:szCs w:val="18"/>
                <w:lang w:val="en-GB"/>
              </w:rPr>
              <w:t xml:space="preserve"> Annual</w:t>
            </w:r>
          </w:p>
          <w:p w:rsidR="00B03D3A" w:rsidRPr="00040FB6" w:rsidRDefault="00B03D3A" w:rsidP="00EF6658">
            <w:pPr>
              <w:contextualSpacing/>
              <w:rPr>
                <w:rFonts w:eastAsia="Times New Roman"/>
                <w:sz w:val="18"/>
                <w:szCs w:val="18"/>
                <w:lang w:val="en-GB"/>
              </w:rPr>
            </w:pPr>
          </w:p>
          <w:p w:rsidR="00B03D3A" w:rsidRPr="00040FB6" w:rsidRDefault="00351D34" w:rsidP="00EF6658">
            <w:pPr>
              <w:contextualSpacing/>
              <w:rPr>
                <w:rFonts w:eastAsia="Times New Roman"/>
                <w:sz w:val="18"/>
                <w:szCs w:val="18"/>
                <w:lang w:val="en-GB"/>
              </w:rPr>
            </w:pPr>
            <w:r w:rsidRPr="00040FB6">
              <w:rPr>
                <w:rFonts w:eastAsia="Times New Roman"/>
                <w:sz w:val="18"/>
                <w:szCs w:val="18"/>
                <w:lang w:val="en-GB"/>
              </w:rPr>
              <w:t>2.3</w:t>
            </w:r>
            <w:r w:rsidR="00AC4D33" w:rsidRPr="00040FB6">
              <w:rPr>
                <w:rFonts w:eastAsia="Times New Roman"/>
                <w:sz w:val="18"/>
                <w:szCs w:val="18"/>
                <w:lang w:val="en-GB"/>
              </w:rPr>
              <w:t>.</w:t>
            </w:r>
            <w:r w:rsidR="00B03D3A" w:rsidRPr="00040FB6">
              <w:rPr>
                <w:rFonts w:eastAsia="Times New Roman"/>
                <w:sz w:val="18"/>
                <w:szCs w:val="18"/>
                <w:lang w:val="en-GB"/>
              </w:rPr>
              <w:t xml:space="preserve"> Merit based appointment system in place </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Baseline: No</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Target: Yes</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Source:</w:t>
            </w:r>
            <w:r w:rsidR="00DC39E2" w:rsidRPr="00040FB6">
              <w:rPr>
                <w:rFonts w:eastAsia="Times New Roman"/>
                <w:sz w:val="18"/>
                <w:szCs w:val="18"/>
                <w:lang w:val="en-GB"/>
              </w:rPr>
              <w:t xml:space="preserve"> </w:t>
            </w:r>
            <w:r w:rsidR="008E2A12" w:rsidRPr="00040FB6">
              <w:rPr>
                <w:rFonts w:eastAsia="Times New Roman"/>
                <w:sz w:val="18"/>
                <w:szCs w:val="18"/>
                <w:lang w:val="en-GB"/>
              </w:rPr>
              <w:t>Iraq Public Sector Modernization Programme</w:t>
            </w:r>
            <w:r w:rsidR="00DC39E2" w:rsidRPr="00040FB6">
              <w:rPr>
                <w:rFonts w:eastAsia="Times New Roman"/>
                <w:sz w:val="18"/>
                <w:szCs w:val="18"/>
                <w:lang w:val="en-GB"/>
              </w:rPr>
              <w:t xml:space="preserve"> </w:t>
            </w:r>
            <w:r w:rsidR="008E2A12" w:rsidRPr="00040FB6">
              <w:rPr>
                <w:rFonts w:eastAsia="Times New Roman"/>
                <w:sz w:val="18"/>
                <w:szCs w:val="18"/>
                <w:lang w:val="en-GB"/>
              </w:rPr>
              <w:t>(IPSM) p</w:t>
            </w:r>
            <w:r w:rsidR="00DC39E2" w:rsidRPr="00040FB6">
              <w:rPr>
                <w:rFonts w:eastAsia="Times New Roman"/>
                <w:sz w:val="18"/>
                <w:szCs w:val="18"/>
                <w:lang w:val="en-GB"/>
              </w:rPr>
              <w:t xml:space="preserve">roject </w:t>
            </w:r>
            <w:r w:rsidR="008E2A12" w:rsidRPr="00040FB6">
              <w:rPr>
                <w:rFonts w:eastAsia="Times New Roman"/>
                <w:sz w:val="18"/>
                <w:szCs w:val="18"/>
                <w:lang w:val="en-GB"/>
              </w:rPr>
              <w:t>r</w:t>
            </w:r>
            <w:r w:rsidR="00DC39E2" w:rsidRPr="00040FB6">
              <w:rPr>
                <w:rFonts w:eastAsia="Times New Roman"/>
                <w:sz w:val="18"/>
                <w:szCs w:val="18"/>
                <w:lang w:val="en-GB"/>
              </w:rPr>
              <w:t>eports</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Frequency:</w:t>
            </w:r>
            <w:r w:rsidR="00DC39E2" w:rsidRPr="00040FB6">
              <w:rPr>
                <w:rFonts w:eastAsia="Times New Roman"/>
                <w:sz w:val="18"/>
                <w:szCs w:val="18"/>
                <w:lang w:val="en-GB"/>
              </w:rPr>
              <w:t xml:space="preserve"> Annual</w:t>
            </w:r>
          </w:p>
          <w:p w:rsidR="00B03D3A" w:rsidRPr="00040FB6" w:rsidRDefault="00B03D3A" w:rsidP="00EF6658">
            <w:pPr>
              <w:contextualSpacing/>
              <w:rPr>
                <w:rFonts w:eastAsia="Times New Roman"/>
                <w:sz w:val="18"/>
                <w:szCs w:val="18"/>
                <w:lang w:val="en-GB"/>
              </w:rPr>
            </w:pPr>
          </w:p>
          <w:p w:rsidR="00B03D3A" w:rsidRPr="00040FB6" w:rsidRDefault="00351D34" w:rsidP="00EF6658">
            <w:pPr>
              <w:contextualSpacing/>
              <w:rPr>
                <w:rFonts w:eastAsia="Times New Roman"/>
                <w:sz w:val="18"/>
                <w:szCs w:val="18"/>
                <w:lang w:val="en-GB"/>
              </w:rPr>
            </w:pPr>
            <w:r w:rsidRPr="00040FB6">
              <w:rPr>
                <w:rFonts w:eastAsia="Times New Roman"/>
                <w:sz w:val="18"/>
                <w:szCs w:val="18"/>
                <w:lang w:val="en-GB"/>
              </w:rPr>
              <w:t>2.4</w:t>
            </w:r>
            <w:r w:rsidR="00AC4D33" w:rsidRPr="00040FB6">
              <w:rPr>
                <w:rFonts w:eastAsia="Times New Roman"/>
                <w:sz w:val="18"/>
                <w:szCs w:val="18"/>
                <w:lang w:val="en-GB"/>
              </w:rPr>
              <w:t>.</w:t>
            </w:r>
            <w:r w:rsidR="00B03D3A" w:rsidRPr="00040FB6">
              <w:rPr>
                <w:rFonts w:eastAsia="Times New Roman"/>
                <w:sz w:val="18"/>
                <w:szCs w:val="18"/>
                <w:lang w:val="en-GB"/>
              </w:rPr>
              <w:t xml:space="preserve"> Federal </w:t>
            </w:r>
            <w:r w:rsidR="008E2A12" w:rsidRPr="00040FB6">
              <w:rPr>
                <w:rFonts w:eastAsia="Times New Roman"/>
                <w:sz w:val="18"/>
                <w:szCs w:val="18"/>
                <w:lang w:val="en-GB"/>
              </w:rPr>
              <w:t>p</w:t>
            </w:r>
            <w:r w:rsidR="00B03D3A" w:rsidRPr="00040FB6">
              <w:rPr>
                <w:rFonts w:eastAsia="Times New Roman"/>
                <w:sz w:val="18"/>
                <w:szCs w:val="18"/>
                <w:lang w:val="en-GB"/>
              </w:rPr>
              <w:t xml:space="preserve">erformance </w:t>
            </w:r>
            <w:r w:rsidR="001C5BE5" w:rsidRPr="00040FB6">
              <w:rPr>
                <w:rFonts w:eastAsia="Times New Roman"/>
                <w:sz w:val="18"/>
                <w:szCs w:val="18"/>
                <w:lang w:val="en-GB"/>
              </w:rPr>
              <w:t xml:space="preserve">management </w:t>
            </w:r>
            <w:r w:rsidR="00B03D3A" w:rsidRPr="00040FB6">
              <w:rPr>
                <w:rFonts w:eastAsia="Times New Roman"/>
                <w:sz w:val="18"/>
                <w:szCs w:val="18"/>
                <w:lang w:val="en-GB"/>
              </w:rPr>
              <w:t xml:space="preserve">system implemented </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Baseline: No</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Target: Yes</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Source:</w:t>
            </w:r>
            <w:r w:rsidR="001C5BE5" w:rsidRPr="00040FB6">
              <w:rPr>
                <w:rFonts w:eastAsia="Times New Roman"/>
                <w:sz w:val="18"/>
                <w:szCs w:val="18"/>
                <w:lang w:val="en-GB"/>
              </w:rPr>
              <w:t xml:space="preserve"> IPSM project reports</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Frequency:</w:t>
            </w:r>
            <w:r w:rsidR="001C5BE5" w:rsidRPr="00040FB6">
              <w:rPr>
                <w:rFonts w:eastAsia="Times New Roman"/>
                <w:sz w:val="18"/>
                <w:szCs w:val="18"/>
                <w:lang w:val="en-GB"/>
              </w:rPr>
              <w:t xml:space="preserve"> Annual</w:t>
            </w:r>
          </w:p>
          <w:p w:rsidR="00B03D3A" w:rsidRPr="00040FB6" w:rsidRDefault="00B03D3A" w:rsidP="00EF6658">
            <w:pPr>
              <w:rPr>
                <w:rFonts w:eastAsia="Times New Roman"/>
                <w:b/>
                <w:bCs/>
                <w:sz w:val="18"/>
                <w:szCs w:val="18"/>
                <w:lang w:val="en-GB"/>
              </w:rPr>
            </w:pPr>
          </w:p>
        </w:tc>
        <w:tc>
          <w:tcPr>
            <w:tcW w:w="936" w:type="pct"/>
            <w:tcBorders>
              <w:bottom w:val="single" w:sz="4" w:space="0" w:color="auto"/>
            </w:tcBorders>
            <w:shd w:val="clear" w:color="auto" w:fill="auto"/>
          </w:tcPr>
          <w:p w:rsidR="00B03D3A" w:rsidRPr="00040FB6" w:rsidRDefault="00B03D3A" w:rsidP="00EF6658">
            <w:pPr>
              <w:rPr>
                <w:rFonts w:eastAsia="Times New Roman"/>
                <w:iCs/>
                <w:sz w:val="18"/>
                <w:szCs w:val="18"/>
                <w:lang w:val="en-GB"/>
              </w:rPr>
            </w:pPr>
            <w:r w:rsidRPr="00040FB6">
              <w:rPr>
                <w:rFonts w:eastAsia="Times New Roman"/>
                <w:iCs/>
                <w:sz w:val="18"/>
                <w:szCs w:val="18"/>
                <w:lang w:val="en-GB"/>
              </w:rPr>
              <w:t xml:space="preserve">National Statistical System; Kurdistan </w:t>
            </w:r>
            <w:r w:rsidR="00284547" w:rsidRPr="00040FB6">
              <w:rPr>
                <w:rFonts w:eastAsia="Times New Roman"/>
                <w:iCs/>
                <w:sz w:val="18"/>
                <w:szCs w:val="18"/>
                <w:lang w:val="en-GB"/>
              </w:rPr>
              <w:t>r</w:t>
            </w:r>
            <w:r w:rsidRPr="00040FB6">
              <w:rPr>
                <w:rFonts w:eastAsia="Times New Roman"/>
                <w:iCs/>
                <w:sz w:val="18"/>
                <w:szCs w:val="18"/>
                <w:lang w:val="en-GB"/>
              </w:rPr>
              <w:t>egion Statistics Office; United Nations Joint Analysis Unit Iraq; Iraq Data World Bank; Iraq Household Socio-Economic Survey2012; Iraq Knowledge Network; primary-level feedback from project surveys; outcome evaluation</w:t>
            </w:r>
          </w:p>
          <w:p w:rsidR="00B03D3A" w:rsidRPr="00040FB6" w:rsidRDefault="00B03D3A" w:rsidP="00EF6658">
            <w:pPr>
              <w:rPr>
                <w:rFonts w:eastAsia="Times New Roman"/>
                <w:iCs/>
                <w:sz w:val="18"/>
                <w:szCs w:val="18"/>
                <w:lang w:val="en-GB"/>
              </w:rPr>
            </w:pPr>
          </w:p>
          <w:p w:rsidR="00B03D3A" w:rsidRPr="00040FB6" w:rsidRDefault="00B03D3A" w:rsidP="00EF6658">
            <w:pPr>
              <w:rPr>
                <w:rFonts w:eastAsia="Times New Roman"/>
                <w:b/>
                <w:sz w:val="18"/>
                <w:szCs w:val="18"/>
                <w:lang w:val="en-GB"/>
              </w:rPr>
            </w:pPr>
            <w:r w:rsidRPr="00040FB6">
              <w:rPr>
                <w:rFonts w:eastAsia="Times New Roman"/>
                <w:iCs/>
                <w:sz w:val="18"/>
                <w:szCs w:val="18"/>
                <w:lang w:val="en-GB"/>
              </w:rPr>
              <w:t xml:space="preserve">Additional data sources will be explored and identified with the Ministry of Planning and other government entities </w:t>
            </w:r>
          </w:p>
        </w:tc>
        <w:tc>
          <w:tcPr>
            <w:tcW w:w="1368" w:type="pct"/>
            <w:tcBorders>
              <w:bottom w:val="single" w:sz="4" w:space="0" w:color="auto"/>
            </w:tcBorders>
            <w:shd w:val="clear" w:color="auto" w:fill="auto"/>
            <w:tcMar>
              <w:top w:w="72" w:type="dxa"/>
              <w:left w:w="144" w:type="dxa"/>
              <w:bottom w:w="72" w:type="dxa"/>
              <w:right w:w="144" w:type="dxa"/>
            </w:tcMar>
            <w:vAlign w:val="center"/>
          </w:tcPr>
          <w:p w:rsidR="00DF63D7" w:rsidRPr="00040FB6" w:rsidRDefault="00B03D3A" w:rsidP="00EF6658">
            <w:pPr>
              <w:spacing w:after="120"/>
              <w:rPr>
                <w:sz w:val="20"/>
                <w:szCs w:val="20"/>
                <w:lang w:val="en-GB"/>
              </w:rPr>
            </w:pPr>
            <w:r w:rsidRPr="00040FB6">
              <w:rPr>
                <w:sz w:val="18"/>
                <w:szCs w:val="18"/>
                <w:lang w:val="en-GB"/>
              </w:rPr>
              <w:t>2.1.1</w:t>
            </w:r>
            <w:r w:rsidR="00AC4D33" w:rsidRPr="00040FB6">
              <w:rPr>
                <w:sz w:val="18"/>
                <w:szCs w:val="18"/>
                <w:lang w:val="en-GB"/>
              </w:rPr>
              <w:t>.</w:t>
            </w:r>
            <w:r w:rsidRPr="00040FB6">
              <w:rPr>
                <w:sz w:val="18"/>
                <w:szCs w:val="18"/>
                <w:lang w:val="en-GB"/>
              </w:rPr>
              <w:t xml:space="preserve"> Critical capacities developed for </w:t>
            </w:r>
            <w:r w:rsidR="00AC4D33" w:rsidRPr="00040FB6">
              <w:rPr>
                <w:sz w:val="18"/>
                <w:szCs w:val="18"/>
                <w:lang w:val="en-GB"/>
              </w:rPr>
              <w:t>public financial management</w:t>
            </w:r>
            <w:r w:rsidRPr="00040FB6">
              <w:rPr>
                <w:sz w:val="18"/>
                <w:szCs w:val="18"/>
                <w:lang w:val="en-GB"/>
              </w:rPr>
              <w:t xml:space="preserve"> and development planning at governorate level</w:t>
            </w:r>
          </w:p>
          <w:p w:rsidR="00B03D3A" w:rsidRPr="00040FB6" w:rsidRDefault="00B03D3A" w:rsidP="00EF6658">
            <w:pPr>
              <w:contextualSpacing/>
              <w:rPr>
                <w:sz w:val="18"/>
                <w:szCs w:val="18"/>
                <w:lang w:val="en-GB"/>
              </w:rPr>
            </w:pPr>
            <w:r w:rsidRPr="00040FB6">
              <w:rPr>
                <w:sz w:val="18"/>
                <w:szCs w:val="18"/>
                <w:lang w:val="en-GB"/>
              </w:rPr>
              <w:t>Indicators</w:t>
            </w:r>
          </w:p>
          <w:p w:rsidR="00B03D3A" w:rsidRPr="00040FB6" w:rsidRDefault="00B03D3A" w:rsidP="00EF6658">
            <w:pPr>
              <w:contextualSpacing/>
              <w:rPr>
                <w:sz w:val="18"/>
                <w:szCs w:val="18"/>
                <w:lang w:val="en-GB"/>
              </w:rPr>
            </w:pPr>
            <w:r w:rsidRPr="00040FB6">
              <w:rPr>
                <w:sz w:val="18"/>
                <w:szCs w:val="18"/>
                <w:lang w:val="en-GB"/>
              </w:rPr>
              <w:t xml:space="preserve">2.1.1.A. Draft procedures for planning, </w:t>
            </w:r>
            <w:r w:rsidR="00AC4D33" w:rsidRPr="00040FB6">
              <w:rPr>
                <w:sz w:val="18"/>
                <w:szCs w:val="18"/>
                <w:lang w:val="en-GB"/>
              </w:rPr>
              <w:t>public financial management</w:t>
            </w:r>
            <w:r w:rsidRPr="00040FB6">
              <w:rPr>
                <w:sz w:val="18"/>
                <w:szCs w:val="18"/>
                <w:lang w:val="en-GB"/>
              </w:rPr>
              <w:t xml:space="preserve"> and budget execution exist</w:t>
            </w:r>
            <w:r w:rsidR="00DC39E2" w:rsidRPr="00040FB6">
              <w:rPr>
                <w:sz w:val="18"/>
                <w:szCs w:val="18"/>
                <w:lang w:val="en-GB"/>
              </w:rPr>
              <w:t xml:space="preserve"> </w:t>
            </w:r>
          </w:p>
          <w:p w:rsidR="00B03D3A" w:rsidRPr="00040FB6" w:rsidRDefault="00B03D3A" w:rsidP="00EF6658">
            <w:pPr>
              <w:contextualSpacing/>
              <w:rPr>
                <w:sz w:val="18"/>
                <w:szCs w:val="18"/>
                <w:lang w:val="en-GB"/>
              </w:rPr>
            </w:pPr>
            <w:r w:rsidRPr="00040FB6">
              <w:rPr>
                <w:sz w:val="18"/>
                <w:szCs w:val="18"/>
                <w:lang w:val="en-GB"/>
              </w:rPr>
              <w:t>Baseline: No</w:t>
            </w:r>
          </w:p>
          <w:p w:rsidR="00B03D3A" w:rsidRPr="00040FB6" w:rsidRDefault="00B03D3A" w:rsidP="00EF6658">
            <w:pPr>
              <w:contextualSpacing/>
              <w:rPr>
                <w:sz w:val="18"/>
                <w:szCs w:val="18"/>
                <w:lang w:val="en-GB"/>
              </w:rPr>
            </w:pPr>
            <w:r w:rsidRPr="00040FB6">
              <w:rPr>
                <w:sz w:val="18"/>
                <w:szCs w:val="18"/>
                <w:lang w:val="en-GB"/>
              </w:rPr>
              <w:t>Target: Yes</w:t>
            </w:r>
          </w:p>
          <w:p w:rsidR="00B03D3A" w:rsidRPr="00040FB6" w:rsidRDefault="00B03D3A" w:rsidP="00EF6658">
            <w:pPr>
              <w:contextualSpacing/>
              <w:rPr>
                <w:sz w:val="18"/>
                <w:szCs w:val="18"/>
                <w:lang w:val="en-GB"/>
              </w:rPr>
            </w:pPr>
            <w:r w:rsidRPr="00040FB6">
              <w:rPr>
                <w:sz w:val="18"/>
                <w:szCs w:val="18"/>
                <w:lang w:val="en-GB"/>
              </w:rPr>
              <w:t xml:space="preserve">Source: Project </w:t>
            </w:r>
            <w:r w:rsidR="00AC4D33" w:rsidRPr="00040FB6">
              <w:rPr>
                <w:sz w:val="18"/>
                <w:szCs w:val="18"/>
                <w:lang w:val="en-GB"/>
              </w:rPr>
              <w:t>r</w:t>
            </w:r>
            <w:r w:rsidRPr="00040FB6">
              <w:rPr>
                <w:sz w:val="18"/>
                <w:szCs w:val="18"/>
                <w:lang w:val="en-GB"/>
              </w:rPr>
              <w:t>eports</w:t>
            </w:r>
          </w:p>
          <w:p w:rsidR="00DF63D7" w:rsidRPr="00040FB6" w:rsidRDefault="00B03D3A" w:rsidP="00EF6658">
            <w:pPr>
              <w:spacing w:after="120"/>
              <w:rPr>
                <w:sz w:val="20"/>
                <w:szCs w:val="20"/>
                <w:lang w:val="en-GB"/>
              </w:rPr>
            </w:pPr>
            <w:r w:rsidRPr="00040FB6">
              <w:rPr>
                <w:sz w:val="18"/>
                <w:szCs w:val="18"/>
                <w:lang w:val="en-GB"/>
              </w:rPr>
              <w:t>Frequency: Annual</w:t>
            </w:r>
          </w:p>
          <w:p w:rsidR="00B03D3A" w:rsidRPr="00040FB6" w:rsidRDefault="00B03D3A" w:rsidP="00EF6658">
            <w:pPr>
              <w:contextualSpacing/>
              <w:rPr>
                <w:sz w:val="18"/>
                <w:szCs w:val="18"/>
                <w:lang w:val="en-GB"/>
              </w:rPr>
            </w:pPr>
            <w:r w:rsidRPr="00040FB6">
              <w:rPr>
                <w:sz w:val="18"/>
                <w:szCs w:val="18"/>
                <w:lang w:val="en-GB"/>
              </w:rPr>
              <w:t>2.1.1.B</w:t>
            </w:r>
            <w:r w:rsidR="00AC4D33" w:rsidRPr="00040FB6">
              <w:rPr>
                <w:sz w:val="18"/>
                <w:szCs w:val="18"/>
                <w:lang w:val="en-GB"/>
              </w:rPr>
              <w:t>.</w:t>
            </w:r>
            <w:r w:rsidRPr="00040FB6">
              <w:rPr>
                <w:sz w:val="18"/>
                <w:szCs w:val="18"/>
                <w:lang w:val="en-GB"/>
              </w:rPr>
              <w:t xml:space="preserve"> Proportion of relevant staff trained on reformed/ad</w:t>
            </w:r>
            <w:r w:rsidR="00AC4D33" w:rsidRPr="00040FB6">
              <w:rPr>
                <w:sz w:val="18"/>
                <w:szCs w:val="18"/>
                <w:lang w:val="en-GB"/>
              </w:rPr>
              <w:t>a</w:t>
            </w:r>
            <w:r w:rsidRPr="00040FB6">
              <w:rPr>
                <w:sz w:val="18"/>
                <w:szCs w:val="18"/>
                <w:lang w:val="en-GB"/>
              </w:rPr>
              <w:t>pted procedures (</w:t>
            </w:r>
            <w:r w:rsidR="00AC4D33" w:rsidRPr="00040FB6">
              <w:rPr>
                <w:sz w:val="18"/>
                <w:szCs w:val="18"/>
                <w:lang w:val="en-GB"/>
              </w:rPr>
              <w:t>strategic plan</w:t>
            </w:r>
            <w:r w:rsidRPr="00040FB6">
              <w:rPr>
                <w:sz w:val="18"/>
                <w:szCs w:val="18"/>
                <w:lang w:val="en-GB"/>
              </w:rPr>
              <w:t xml:space="preserve"> </w:t>
            </w:r>
            <w:r w:rsidR="00AC4D33" w:rsidRPr="00040FB6">
              <w:rPr>
                <w:sz w:val="18"/>
                <w:szCs w:val="18"/>
                <w:lang w:val="en-GB"/>
              </w:rPr>
              <w:t>i</w:t>
            </w:r>
            <w:r w:rsidRPr="00040FB6">
              <w:rPr>
                <w:sz w:val="18"/>
                <w:szCs w:val="18"/>
                <w:lang w:val="en-GB"/>
              </w:rPr>
              <w:t>ndicator 3.2.2)</w:t>
            </w:r>
          </w:p>
          <w:p w:rsidR="00B03D3A" w:rsidRPr="00040FB6" w:rsidRDefault="00B03D3A" w:rsidP="00EF6658">
            <w:pPr>
              <w:contextualSpacing/>
              <w:rPr>
                <w:sz w:val="18"/>
                <w:szCs w:val="18"/>
                <w:lang w:val="en-GB"/>
              </w:rPr>
            </w:pPr>
            <w:r w:rsidRPr="00040FB6">
              <w:rPr>
                <w:sz w:val="18"/>
                <w:szCs w:val="18"/>
                <w:lang w:val="en-GB"/>
              </w:rPr>
              <w:t xml:space="preserve">Baseline: 0 </w:t>
            </w:r>
          </w:p>
          <w:p w:rsidR="00B03D3A" w:rsidRPr="00040FB6" w:rsidRDefault="00B03D3A" w:rsidP="00EF6658">
            <w:pPr>
              <w:rPr>
                <w:sz w:val="18"/>
                <w:szCs w:val="18"/>
                <w:lang w:val="en-GB"/>
              </w:rPr>
            </w:pPr>
            <w:r w:rsidRPr="00040FB6">
              <w:rPr>
                <w:sz w:val="18"/>
                <w:szCs w:val="18"/>
                <w:lang w:val="en-GB"/>
              </w:rPr>
              <w:t>Target: 80%</w:t>
            </w:r>
          </w:p>
          <w:p w:rsidR="00B03D3A" w:rsidRPr="00040FB6" w:rsidRDefault="00B03D3A" w:rsidP="00EF6658">
            <w:pPr>
              <w:rPr>
                <w:sz w:val="18"/>
                <w:szCs w:val="18"/>
                <w:lang w:val="en-GB"/>
              </w:rPr>
            </w:pPr>
            <w:r w:rsidRPr="00040FB6">
              <w:rPr>
                <w:sz w:val="18"/>
                <w:szCs w:val="18"/>
                <w:lang w:val="en-GB"/>
              </w:rPr>
              <w:t>Source: Project reports</w:t>
            </w:r>
          </w:p>
          <w:p w:rsidR="00DF63D7" w:rsidRPr="00040FB6" w:rsidRDefault="00B03D3A" w:rsidP="00EF6658">
            <w:pPr>
              <w:spacing w:after="120"/>
              <w:rPr>
                <w:sz w:val="20"/>
                <w:szCs w:val="20"/>
                <w:lang w:val="en-GB"/>
              </w:rPr>
            </w:pPr>
            <w:r w:rsidRPr="00040FB6">
              <w:rPr>
                <w:sz w:val="18"/>
                <w:szCs w:val="18"/>
                <w:lang w:val="en-GB"/>
              </w:rPr>
              <w:t>Frequency: Annual</w:t>
            </w:r>
          </w:p>
          <w:p w:rsidR="00DF63D7" w:rsidRPr="00040FB6" w:rsidRDefault="00C0627A" w:rsidP="00EF6658">
            <w:pPr>
              <w:spacing w:after="120"/>
              <w:rPr>
                <w:sz w:val="20"/>
                <w:szCs w:val="20"/>
                <w:lang w:val="en-GB"/>
              </w:rPr>
            </w:pPr>
            <w:r w:rsidRPr="00040FB6">
              <w:rPr>
                <w:sz w:val="18"/>
                <w:szCs w:val="18"/>
                <w:lang w:val="en-GB"/>
              </w:rPr>
              <w:t>2.1.2</w:t>
            </w:r>
            <w:r w:rsidR="00AC4D33" w:rsidRPr="00040FB6">
              <w:rPr>
                <w:sz w:val="18"/>
                <w:szCs w:val="18"/>
                <w:lang w:val="en-GB"/>
              </w:rPr>
              <w:t>.</w:t>
            </w:r>
            <w:r w:rsidR="00B03D3A" w:rsidRPr="00040FB6">
              <w:rPr>
                <w:sz w:val="18"/>
                <w:szCs w:val="18"/>
                <w:lang w:val="en-GB"/>
              </w:rPr>
              <w:t xml:space="preserve"> Draft laws prepared on national revenue and resource sharing</w:t>
            </w:r>
          </w:p>
          <w:p w:rsidR="00B03D3A" w:rsidRPr="00040FB6" w:rsidRDefault="00B03D3A" w:rsidP="00EF6658">
            <w:pPr>
              <w:contextualSpacing/>
              <w:rPr>
                <w:sz w:val="18"/>
                <w:szCs w:val="18"/>
                <w:lang w:val="en-GB"/>
              </w:rPr>
            </w:pPr>
            <w:r w:rsidRPr="00040FB6">
              <w:rPr>
                <w:sz w:val="18"/>
                <w:szCs w:val="18"/>
                <w:lang w:val="en-GB"/>
              </w:rPr>
              <w:t>2.1.2.A</w:t>
            </w:r>
            <w:r w:rsidR="00AC4D33" w:rsidRPr="00040FB6">
              <w:rPr>
                <w:sz w:val="18"/>
                <w:szCs w:val="18"/>
                <w:lang w:val="en-GB"/>
              </w:rPr>
              <w:t>.</w:t>
            </w:r>
            <w:r w:rsidRPr="00040FB6">
              <w:rPr>
                <w:sz w:val="18"/>
                <w:szCs w:val="18"/>
                <w:lang w:val="en-GB"/>
              </w:rPr>
              <w:t xml:space="preserve"> Timely submission of budget distribution criteria to Budget and Financial Committee</w:t>
            </w:r>
            <w:r w:rsidR="00DC39E2" w:rsidRPr="00040FB6">
              <w:rPr>
                <w:sz w:val="18"/>
                <w:szCs w:val="18"/>
                <w:lang w:val="en-GB"/>
              </w:rPr>
              <w:t xml:space="preserve"> </w:t>
            </w:r>
          </w:p>
          <w:p w:rsidR="00B03D3A" w:rsidRPr="00040FB6" w:rsidRDefault="00B03D3A" w:rsidP="00EF6658">
            <w:pPr>
              <w:contextualSpacing/>
              <w:rPr>
                <w:sz w:val="18"/>
                <w:szCs w:val="18"/>
                <w:lang w:val="en-GB"/>
              </w:rPr>
            </w:pPr>
            <w:r w:rsidRPr="00040FB6">
              <w:rPr>
                <w:sz w:val="18"/>
                <w:szCs w:val="18"/>
                <w:lang w:val="en-GB"/>
              </w:rPr>
              <w:t>Baseline: No</w:t>
            </w:r>
          </w:p>
          <w:p w:rsidR="00B03D3A" w:rsidRPr="00040FB6" w:rsidRDefault="00B03D3A" w:rsidP="00EF6658">
            <w:pPr>
              <w:contextualSpacing/>
              <w:rPr>
                <w:sz w:val="18"/>
                <w:szCs w:val="18"/>
                <w:lang w:val="en-GB"/>
              </w:rPr>
            </w:pPr>
            <w:r w:rsidRPr="00040FB6">
              <w:rPr>
                <w:sz w:val="18"/>
                <w:szCs w:val="18"/>
                <w:lang w:val="en-GB"/>
              </w:rPr>
              <w:t>Target: Yes</w:t>
            </w:r>
          </w:p>
          <w:p w:rsidR="00B03D3A" w:rsidRPr="00040FB6" w:rsidRDefault="00B03D3A" w:rsidP="00EF6658">
            <w:pPr>
              <w:contextualSpacing/>
              <w:rPr>
                <w:sz w:val="18"/>
                <w:szCs w:val="18"/>
                <w:lang w:val="en-GB"/>
              </w:rPr>
            </w:pPr>
            <w:r w:rsidRPr="00040FB6">
              <w:rPr>
                <w:sz w:val="18"/>
                <w:szCs w:val="18"/>
                <w:lang w:val="en-GB"/>
              </w:rPr>
              <w:t>Source: Project reports</w:t>
            </w:r>
          </w:p>
          <w:p w:rsidR="00DF63D7" w:rsidRPr="00040FB6" w:rsidRDefault="00B03D3A" w:rsidP="00EF6658">
            <w:pPr>
              <w:spacing w:after="120"/>
              <w:rPr>
                <w:sz w:val="20"/>
                <w:szCs w:val="20"/>
                <w:lang w:val="en-GB"/>
              </w:rPr>
            </w:pPr>
            <w:r w:rsidRPr="00040FB6">
              <w:rPr>
                <w:sz w:val="18"/>
                <w:szCs w:val="18"/>
                <w:lang w:val="en-GB"/>
              </w:rPr>
              <w:t>Frequency: Annual</w:t>
            </w:r>
          </w:p>
          <w:p w:rsidR="00B03D3A" w:rsidRPr="00040FB6" w:rsidRDefault="00B03D3A" w:rsidP="00EF6658">
            <w:pPr>
              <w:contextualSpacing/>
              <w:rPr>
                <w:sz w:val="18"/>
                <w:szCs w:val="18"/>
                <w:lang w:val="en-GB"/>
              </w:rPr>
            </w:pPr>
            <w:r w:rsidRPr="00040FB6">
              <w:rPr>
                <w:sz w:val="18"/>
                <w:szCs w:val="18"/>
                <w:lang w:val="en-GB"/>
              </w:rPr>
              <w:t>2.1.2.B</w:t>
            </w:r>
            <w:r w:rsidR="00AC4D33" w:rsidRPr="00040FB6">
              <w:rPr>
                <w:sz w:val="18"/>
                <w:szCs w:val="18"/>
                <w:lang w:val="en-GB"/>
              </w:rPr>
              <w:t>.</w:t>
            </w:r>
            <w:r w:rsidRPr="00040FB6">
              <w:rPr>
                <w:sz w:val="18"/>
                <w:szCs w:val="18"/>
                <w:lang w:val="en-GB"/>
              </w:rPr>
              <w:t xml:space="preserve"> Budget distribution criteria accepted for review by Budget and Finance Committee </w:t>
            </w:r>
          </w:p>
          <w:p w:rsidR="00B03D3A" w:rsidRPr="00040FB6" w:rsidRDefault="00B03D3A" w:rsidP="00EF6658">
            <w:pPr>
              <w:contextualSpacing/>
              <w:rPr>
                <w:sz w:val="18"/>
                <w:szCs w:val="18"/>
                <w:lang w:val="en-GB"/>
              </w:rPr>
            </w:pPr>
            <w:r w:rsidRPr="00040FB6">
              <w:rPr>
                <w:sz w:val="18"/>
                <w:szCs w:val="18"/>
                <w:lang w:val="en-GB"/>
              </w:rPr>
              <w:lastRenderedPageBreak/>
              <w:t>Baseline: No</w:t>
            </w:r>
          </w:p>
          <w:p w:rsidR="00B03D3A" w:rsidRPr="00040FB6" w:rsidRDefault="00B03D3A" w:rsidP="00EF6658">
            <w:pPr>
              <w:contextualSpacing/>
              <w:rPr>
                <w:sz w:val="18"/>
                <w:szCs w:val="18"/>
                <w:lang w:val="en-GB"/>
              </w:rPr>
            </w:pPr>
            <w:r w:rsidRPr="00040FB6">
              <w:rPr>
                <w:sz w:val="18"/>
                <w:szCs w:val="18"/>
                <w:lang w:val="en-GB"/>
              </w:rPr>
              <w:t>Target: Yes</w:t>
            </w:r>
          </w:p>
          <w:p w:rsidR="00B03D3A" w:rsidRPr="00040FB6" w:rsidRDefault="00B03D3A" w:rsidP="00EF6658">
            <w:pPr>
              <w:contextualSpacing/>
              <w:rPr>
                <w:sz w:val="18"/>
                <w:szCs w:val="18"/>
                <w:lang w:val="en-GB"/>
              </w:rPr>
            </w:pPr>
            <w:r w:rsidRPr="00040FB6">
              <w:rPr>
                <w:sz w:val="18"/>
                <w:szCs w:val="18"/>
                <w:lang w:val="en-GB"/>
              </w:rPr>
              <w:t>Source: Project reports</w:t>
            </w:r>
          </w:p>
          <w:p w:rsidR="00DF63D7" w:rsidRPr="00040FB6" w:rsidRDefault="00B03D3A" w:rsidP="00EF6658">
            <w:pPr>
              <w:spacing w:after="120"/>
              <w:rPr>
                <w:sz w:val="20"/>
                <w:szCs w:val="20"/>
                <w:lang w:val="en-GB"/>
              </w:rPr>
            </w:pPr>
            <w:r w:rsidRPr="00040FB6">
              <w:rPr>
                <w:sz w:val="18"/>
                <w:szCs w:val="18"/>
                <w:lang w:val="en-GB"/>
              </w:rPr>
              <w:t>Frequency: Annual</w:t>
            </w:r>
          </w:p>
          <w:p w:rsidR="00B03D3A" w:rsidRPr="00040FB6" w:rsidRDefault="00B03D3A" w:rsidP="00EF6658">
            <w:pPr>
              <w:contextualSpacing/>
              <w:rPr>
                <w:sz w:val="18"/>
                <w:szCs w:val="18"/>
                <w:lang w:val="en-GB"/>
              </w:rPr>
            </w:pPr>
            <w:r w:rsidRPr="00040FB6">
              <w:rPr>
                <w:sz w:val="18"/>
                <w:szCs w:val="18"/>
                <w:lang w:val="en-GB"/>
              </w:rPr>
              <w:t>2.1.3</w:t>
            </w:r>
            <w:r w:rsidR="00AC4D33" w:rsidRPr="00040FB6">
              <w:rPr>
                <w:sz w:val="18"/>
                <w:szCs w:val="18"/>
                <w:lang w:val="en-GB"/>
              </w:rPr>
              <w:t>.</w:t>
            </w:r>
            <w:r w:rsidRPr="00040FB6">
              <w:rPr>
                <w:sz w:val="18"/>
                <w:szCs w:val="18"/>
                <w:lang w:val="en-GB"/>
              </w:rPr>
              <w:t xml:space="preserve"> Performance management system for Federal Government finalized</w:t>
            </w:r>
          </w:p>
          <w:p w:rsidR="00B03D3A" w:rsidRPr="00040FB6" w:rsidRDefault="00B03D3A" w:rsidP="00EF6658">
            <w:pPr>
              <w:contextualSpacing/>
              <w:rPr>
                <w:sz w:val="18"/>
                <w:szCs w:val="18"/>
                <w:lang w:val="en-GB"/>
              </w:rPr>
            </w:pPr>
            <w:r w:rsidRPr="00040FB6">
              <w:rPr>
                <w:sz w:val="18"/>
                <w:szCs w:val="18"/>
                <w:lang w:val="en-GB"/>
              </w:rPr>
              <w:t xml:space="preserve">2.1.3.A: Draft performance indicators framework developed </w:t>
            </w:r>
          </w:p>
          <w:p w:rsidR="00B03D3A" w:rsidRPr="00040FB6" w:rsidRDefault="00B03D3A" w:rsidP="00EF6658">
            <w:pPr>
              <w:contextualSpacing/>
              <w:rPr>
                <w:sz w:val="18"/>
                <w:szCs w:val="18"/>
                <w:lang w:val="en-GB"/>
              </w:rPr>
            </w:pPr>
            <w:r w:rsidRPr="00040FB6">
              <w:rPr>
                <w:sz w:val="18"/>
                <w:szCs w:val="18"/>
                <w:lang w:val="en-GB"/>
              </w:rPr>
              <w:t>Baseline: No</w:t>
            </w:r>
          </w:p>
          <w:p w:rsidR="00B03D3A" w:rsidRPr="00040FB6" w:rsidRDefault="00B03D3A" w:rsidP="00EF6658">
            <w:pPr>
              <w:contextualSpacing/>
              <w:rPr>
                <w:sz w:val="18"/>
                <w:szCs w:val="18"/>
                <w:lang w:val="en-GB"/>
              </w:rPr>
            </w:pPr>
            <w:r w:rsidRPr="00040FB6">
              <w:rPr>
                <w:sz w:val="18"/>
                <w:szCs w:val="18"/>
                <w:lang w:val="en-GB"/>
              </w:rPr>
              <w:t>Target: Yes</w:t>
            </w:r>
          </w:p>
          <w:p w:rsidR="00B03D3A" w:rsidRPr="00040FB6" w:rsidRDefault="00B03D3A" w:rsidP="00EF6658">
            <w:pPr>
              <w:contextualSpacing/>
              <w:rPr>
                <w:sz w:val="18"/>
                <w:szCs w:val="18"/>
                <w:lang w:val="en-GB"/>
              </w:rPr>
            </w:pPr>
            <w:r w:rsidRPr="00040FB6">
              <w:rPr>
                <w:sz w:val="18"/>
                <w:szCs w:val="18"/>
                <w:lang w:val="en-GB"/>
              </w:rPr>
              <w:t>Source: Project reports</w:t>
            </w:r>
          </w:p>
          <w:p w:rsidR="00DF63D7" w:rsidRPr="00040FB6" w:rsidRDefault="00B03D3A" w:rsidP="00EF6658">
            <w:pPr>
              <w:spacing w:after="120"/>
              <w:rPr>
                <w:sz w:val="20"/>
                <w:szCs w:val="20"/>
                <w:lang w:val="en-GB"/>
              </w:rPr>
            </w:pPr>
            <w:r w:rsidRPr="00040FB6">
              <w:rPr>
                <w:sz w:val="18"/>
                <w:szCs w:val="18"/>
                <w:lang w:val="en-GB"/>
              </w:rPr>
              <w:t>Frequency: Annual</w:t>
            </w:r>
          </w:p>
          <w:p w:rsidR="00B03D3A" w:rsidRPr="00040FB6" w:rsidRDefault="00B03D3A" w:rsidP="00EF6658">
            <w:pPr>
              <w:contextualSpacing/>
              <w:rPr>
                <w:sz w:val="18"/>
                <w:szCs w:val="18"/>
                <w:lang w:val="en-GB"/>
              </w:rPr>
            </w:pPr>
            <w:r w:rsidRPr="00040FB6">
              <w:rPr>
                <w:sz w:val="18"/>
                <w:szCs w:val="18"/>
                <w:lang w:val="en-GB"/>
              </w:rPr>
              <w:t>2.1.3.B</w:t>
            </w:r>
            <w:r w:rsidR="00AC4D33" w:rsidRPr="00040FB6">
              <w:rPr>
                <w:sz w:val="18"/>
                <w:szCs w:val="18"/>
                <w:lang w:val="en-GB"/>
              </w:rPr>
              <w:t>.</w:t>
            </w:r>
            <w:r w:rsidRPr="00040FB6">
              <w:rPr>
                <w:sz w:val="18"/>
                <w:szCs w:val="18"/>
                <w:lang w:val="en-GB"/>
              </w:rPr>
              <w:t xml:space="preserve"> Number of governmental entities testing the proposed criteria</w:t>
            </w:r>
          </w:p>
          <w:p w:rsidR="00B03D3A" w:rsidRPr="00040FB6" w:rsidRDefault="00B03D3A" w:rsidP="00EF6658">
            <w:pPr>
              <w:contextualSpacing/>
              <w:rPr>
                <w:sz w:val="18"/>
                <w:szCs w:val="18"/>
                <w:lang w:val="en-GB"/>
              </w:rPr>
            </w:pPr>
            <w:r w:rsidRPr="00040FB6">
              <w:rPr>
                <w:sz w:val="18"/>
                <w:szCs w:val="18"/>
                <w:lang w:val="en-GB"/>
              </w:rPr>
              <w:t>Baseline: 0</w:t>
            </w:r>
          </w:p>
          <w:p w:rsidR="00B03D3A" w:rsidRPr="00040FB6" w:rsidRDefault="00B03D3A" w:rsidP="00EF6658">
            <w:pPr>
              <w:contextualSpacing/>
              <w:rPr>
                <w:sz w:val="18"/>
                <w:szCs w:val="18"/>
                <w:lang w:val="en-GB"/>
              </w:rPr>
            </w:pPr>
            <w:r w:rsidRPr="00040FB6">
              <w:rPr>
                <w:sz w:val="18"/>
                <w:szCs w:val="18"/>
                <w:lang w:val="en-GB"/>
              </w:rPr>
              <w:t>Target:</w:t>
            </w:r>
            <w:r w:rsidR="00AC4D33" w:rsidRPr="00040FB6">
              <w:rPr>
                <w:sz w:val="18"/>
                <w:szCs w:val="18"/>
                <w:lang w:val="en-GB"/>
              </w:rPr>
              <w:t xml:space="preserve"> </w:t>
            </w:r>
            <w:r w:rsidR="00351D34" w:rsidRPr="00040FB6">
              <w:rPr>
                <w:sz w:val="18"/>
                <w:szCs w:val="18"/>
                <w:lang w:val="en-GB"/>
              </w:rPr>
              <w:t>5</w:t>
            </w:r>
          </w:p>
          <w:p w:rsidR="00B03D3A" w:rsidRPr="00040FB6" w:rsidRDefault="00B03D3A" w:rsidP="00EF6658">
            <w:pPr>
              <w:contextualSpacing/>
              <w:rPr>
                <w:sz w:val="18"/>
                <w:szCs w:val="18"/>
                <w:lang w:val="en-GB"/>
              </w:rPr>
            </w:pPr>
            <w:r w:rsidRPr="00040FB6">
              <w:rPr>
                <w:sz w:val="18"/>
                <w:szCs w:val="18"/>
                <w:lang w:val="en-GB"/>
              </w:rPr>
              <w:t>Source: Project reports</w:t>
            </w:r>
          </w:p>
          <w:p w:rsidR="00DF63D7" w:rsidRPr="00040FB6" w:rsidRDefault="00B03D3A" w:rsidP="00EF6658">
            <w:pPr>
              <w:spacing w:after="120"/>
              <w:rPr>
                <w:sz w:val="20"/>
                <w:szCs w:val="20"/>
                <w:lang w:val="en-GB"/>
              </w:rPr>
            </w:pPr>
            <w:r w:rsidRPr="00040FB6">
              <w:rPr>
                <w:sz w:val="18"/>
                <w:szCs w:val="18"/>
                <w:lang w:val="en-GB"/>
              </w:rPr>
              <w:t>Frequency: Annual</w:t>
            </w:r>
          </w:p>
          <w:p w:rsidR="00DF63D7" w:rsidRPr="00040FB6" w:rsidRDefault="00B03D3A" w:rsidP="00EF6658">
            <w:pPr>
              <w:spacing w:after="120"/>
              <w:rPr>
                <w:sz w:val="20"/>
                <w:szCs w:val="20"/>
                <w:lang w:val="en-GB"/>
              </w:rPr>
            </w:pPr>
            <w:r w:rsidRPr="00040FB6">
              <w:rPr>
                <w:sz w:val="18"/>
                <w:szCs w:val="18"/>
                <w:lang w:val="en-GB"/>
              </w:rPr>
              <w:t>2.1.4</w:t>
            </w:r>
            <w:r w:rsidR="00AC4D33" w:rsidRPr="00040FB6">
              <w:rPr>
                <w:sz w:val="18"/>
                <w:szCs w:val="18"/>
                <w:lang w:val="en-GB"/>
              </w:rPr>
              <w:t>.</w:t>
            </w:r>
            <w:r w:rsidRPr="00040FB6">
              <w:rPr>
                <w:sz w:val="18"/>
                <w:szCs w:val="18"/>
                <w:lang w:val="en-GB"/>
              </w:rPr>
              <w:t xml:space="preserve"> </w:t>
            </w:r>
            <w:r w:rsidR="00AC4D33" w:rsidRPr="00040FB6">
              <w:rPr>
                <w:sz w:val="18"/>
                <w:szCs w:val="18"/>
                <w:lang w:val="en-GB"/>
              </w:rPr>
              <w:t>Monitoring and evaluation</w:t>
            </w:r>
            <w:r w:rsidRPr="00040FB6">
              <w:rPr>
                <w:sz w:val="18"/>
                <w:szCs w:val="18"/>
                <w:lang w:val="en-GB"/>
              </w:rPr>
              <w:t xml:space="preserve"> system for investment budget rolled out</w:t>
            </w:r>
          </w:p>
          <w:p w:rsidR="00B03D3A" w:rsidRPr="00040FB6" w:rsidRDefault="00B03D3A" w:rsidP="00EF6658">
            <w:pPr>
              <w:contextualSpacing/>
              <w:rPr>
                <w:sz w:val="18"/>
                <w:szCs w:val="18"/>
                <w:lang w:val="en-GB"/>
              </w:rPr>
            </w:pPr>
            <w:r w:rsidRPr="00040FB6">
              <w:rPr>
                <w:sz w:val="18"/>
                <w:szCs w:val="18"/>
                <w:lang w:val="en-GB"/>
              </w:rPr>
              <w:t>2.1.4.A</w:t>
            </w:r>
            <w:r w:rsidR="00AC4D33" w:rsidRPr="00040FB6">
              <w:rPr>
                <w:sz w:val="18"/>
                <w:szCs w:val="18"/>
                <w:lang w:val="en-GB"/>
              </w:rPr>
              <w:t>.</w:t>
            </w:r>
            <w:r w:rsidRPr="00040FB6">
              <w:rPr>
                <w:sz w:val="18"/>
                <w:szCs w:val="18"/>
                <w:lang w:val="en-GB"/>
              </w:rPr>
              <w:t xml:space="preserve"> Number of government ministries/provinces with system tested</w:t>
            </w:r>
          </w:p>
          <w:p w:rsidR="00B03D3A" w:rsidRPr="00040FB6" w:rsidRDefault="00B03D3A" w:rsidP="00EF6658">
            <w:pPr>
              <w:contextualSpacing/>
              <w:rPr>
                <w:sz w:val="18"/>
                <w:szCs w:val="18"/>
                <w:lang w:val="en-GB"/>
              </w:rPr>
            </w:pPr>
            <w:r w:rsidRPr="00040FB6">
              <w:rPr>
                <w:sz w:val="18"/>
                <w:szCs w:val="18"/>
                <w:lang w:val="en-GB"/>
              </w:rPr>
              <w:t>Baseline: 0</w:t>
            </w:r>
          </w:p>
          <w:p w:rsidR="00B03D3A" w:rsidRPr="00040FB6" w:rsidRDefault="00B03D3A" w:rsidP="00EF6658">
            <w:pPr>
              <w:contextualSpacing/>
              <w:rPr>
                <w:sz w:val="18"/>
                <w:szCs w:val="18"/>
                <w:lang w:val="en-GB"/>
              </w:rPr>
            </w:pPr>
            <w:r w:rsidRPr="00040FB6">
              <w:rPr>
                <w:sz w:val="18"/>
                <w:szCs w:val="18"/>
                <w:lang w:val="en-GB"/>
              </w:rPr>
              <w:t xml:space="preserve">Target: </w:t>
            </w:r>
            <w:r w:rsidR="00476770" w:rsidRPr="00040FB6">
              <w:rPr>
                <w:sz w:val="18"/>
                <w:szCs w:val="18"/>
                <w:lang w:val="en-GB"/>
              </w:rPr>
              <w:t>3</w:t>
            </w:r>
          </w:p>
          <w:p w:rsidR="00B03D3A" w:rsidRPr="00040FB6" w:rsidRDefault="00B03D3A" w:rsidP="00EF6658">
            <w:pPr>
              <w:contextualSpacing/>
              <w:rPr>
                <w:sz w:val="18"/>
                <w:szCs w:val="18"/>
                <w:lang w:val="en-GB"/>
              </w:rPr>
            </w:pPr>
            <w:r w:rsidRPr="00040FB6">
              <w:rPr>
                <w:sz w:val="18"/>
                <w:szCs w:val="18"/>
                <w:lang w:val="en-GB"/>
              </w:rPr>
              <w:t xml:space="preserve">Source: </w:t>
            </w:r>
            <w:r w:rsidR="00476770" w:rsidRPr="00040FB6">
              <w:rPr>
                <w:sz w:val="18"/>
                <w:szCs w:val="18"/>
                <w:lang w:val="en-GB"/>
              </w:rPr>
              <w:t>IPSM p</w:t>
            </w:r>
            <w:r w:rsidRPr="00040FB6">
              <w:rPr>
                <w:sz w:val="18"/>
                <w:szCs w:val="18"/>
                <w:lang w:val="en-GB"/>
              </w:rPr>
              <w:t>roject reports</w:t>
            </w:r>
          </w:p>
          <w:p w:rsidR="00DF63D7" w:rsidRPr="00040FB6" w:rsidRDefault="00B03D3A" w:rsidP="00EF6658">
            <w:pPr>
              <w:spacing w:after="120"/>
              <w:rPr>
                <w:sz w:val="20"/>
                <w:szCs w:val="20"/>
                <w:lang w:val="en-GB"/>
              </w:rPr>
            </w:pPr>
            <w:r w:rsidRPr="00040FB6">
              <w:rPr>
                <w:sz w:val="18"/>
                <w:szCs w:val="18"/>
                <w:lang w:val="en-GB"/>
              </w:rPr>
              <w:t>Frequency: Annual</w:t>
            </w:r>
          </w:p>
          <w:p w:rsidR="00DF63D7" w:rsidRPr="00040FB6" w:rsidRDefault="00B03D3A" w:rsidP="00EF6658">
            <w:pPr>
              <w:spacing w:after="120"/>
              <w:rPr>
                <w:sz w:val="20"/>
                <w:szCs w:val="20"/>
                <w:lang w:val="en-GB"/>
              </w:rPr>
            </w:pPr>
            <w:r w:rsidRPr="00040FB6">
              <w:rPr>
                <w:sz w:val="18"/>
                <w:szCs w:val="18"/>
                <w:lang w:val="en-GB"/>
              </w:rPr>
              <w:t>2.1.5</w:t>
            </w:r>
            <w:r w:rsidR="00AC4D33" w:rsidRPr="00040FB6">
              <w:rPr>
                <w:sz w:val="18"/>
                <w:szCs w:val="18"/>
                <w:lang w:val="en-GB"/>
              </w:rPr>
              <w:t>.</w:t>
            </w:r>
            <w:r w:rsidRPr="00040FB6">
              <w:rPr>
                <w:sz w:val="18"/>
                <w:szCs w:val="18"/>
                <w:lang w:val="en-GB"/>
              </w:rPr>
              <w:t xml:space="preserve"> Merit</w:t>
            </w:r>
            <w:r w:rsidR="00AC4D33" w:rsidRPr="00040FB6">
              <w:rPr>
                <w:sz w:val="18"/>
                <w:szCs w:val="18"/>
                <w:lang w:val="en-GB"/>
              </w:rPr>
              <w:t>-</w:t>
            </w:r>
            <w:r w:rsidRPr="00040FB6">
              <w:rPr>
                <w:sz w:val="18"/>
                <w:szCs w:val="18"/>
                <w:lang w:val="en-GB"/>
              </w:rPr>
              <w:t xml:space="preserve">based recruitment mechanism developed for senior </w:t>
            </w:r>
            <w:r w:rsidR="00AC4D33" w:rsidRPr="00040FB6">
              <w:rPr>
                <w:sz w:val="18"/>
                <w:szCs w:val="18"/>
                <w:lang w:val="en-GB"/>
              </w:rPr>
              <w:t>government</w:t>
            </w:r>
            <w:r w:rsidRPr="00040FB6">
              <w:rPr>
                <w:sz w:val="18"/>
                <w:szCs w:val="18"/>
                <w:lang w:val="en-GB"/>
              </w:rPr>
              <w:t xml:space="preserve"> officials</w:t>
            </w:r>
          </w:p>
          <w:p w:rsidR="00B03D3A" w:rsidRPr="00040FB6" w:rsidRDefault="00B03D3A" w:rsidP="00EF6658">
            <w:pPr>
              <w:contextualSpacing/>
              <w:rPr>
                <w:sz w:val="18"/>
                <w:szCs w:val="18"/>
                <w:lang w:val="en-GB"/>
              </w:rPr>
            </w:pPr>
            <w:r w:rsidRPr="00040FB6">
              <w:rPr>
                <w:sz w:val="18"/>
                <w:szCs w:val="18"/>
                <w:lang w:val="en-GB"/>
              </w:rPr>
              <w:t>2.1.5.A</w:t>
            </w:r>
            <w:r w:rsidR="00AC4D33" w:rsidRPr="00040FB6">
              <w:rPr>
                <w:sz w:val="18"/>
                <w:szCs w:val="18"/>
                <w:lang w:val="en-GB"/>
              </w:rPr>
              <w:t>.</w:t>
            </w:r>
            <w:r w:rsidRPr="00040FB6">
              <w:rPr>
                <w:sz w:val="18"/>
                <w:szCs w:val="18"/>
                <w:lang w:val="en-GB"/>
              </w:rPr>
              <w:t xml:space="preserve"> Selection criteria developed </w:t>
            </w:r>
          </w:p>
          <w:p w:rsidR="00B03D3A" w:rsidRPr="00040FB6" w:rsidRDefault="00B03D3A" w:rsidP="00EF6658">
            <w:pPr>
              <w:contextualSpacing/>
              <w:rPr>
                <w:sz w:val="18"/>
                <w:szCs w:val="18"/>
                <w:lang w:val="en-GB"/>
              </w:rPr>
            </w:pPr>
            <w:r w:rsidRPr="00040FB6">
              <w:rPr>
                <w:sz w:val="18"/>
                <w:szCs w:val="18"/>
                <w:lang w:val="en-GB"/>
              </w:rPr>
              <w:t>Baseline: No</w:t>
            </w:r>
          </w:p>
          <w:p w:rsidR="00B03D3A" w:rsidRPr="00040FB6" w:rsidRDefault="00B03D3A" w:rsidP="00EF6658">
            <w:pPr>
              <w:contextualSpacing/>
              <w:rPr>
                <w:sz w:val="18"/>
                <w:szCs w:val="18"/>
                <w:lang w:val="en-GB"/>
              </w:rPr>
            </w:pPr>
            <w:r w:rsidRPr="00040FB6">
              <w:rPr>
                <w:sz w:val="18"/>
                <w:szCs w:val="18"/>
                <w:lang w:val="en-GB"/>
              </w:rPr>
              <w:t>Target: Yes</w:t>
            </w:r>
          </w:p>
          <w:p w:rsidR="00B03D3A" w:rsidRPr="00040FB6" w:rsidRDefault="00B03D3A" w:rsidP="00EF6658">
            <w:pPr>
              <w:contextualSpacing/>
              <w:rPr>
                <w:sz w:val="18"/>
                <w:szCs w:val="18"/>
                <w:lang w:val="en-GB"/>
              </w:rPr>
            </w:pPr>
            <w:r w:rsidRPr="00040FB6">
              <w:rPr>
                <w:sz w:val="18"/>
                <w:szCs w:val="18"/>
                <w:lang w:val="en-GB"/>
              </w:rPr>
              <w:t xml:space="preserve">Source: </w:t>
            </w:r>
            <w:r w:rsidR="00476770" w:rsidRPr="00040FB6">
              <w:rPr>
                <w:sz w:val="18"/>
                <w:szCs w:val="18"/>
                <w:lang w:val="en-GB"/>
              </w:rPr>
              <w:t xml:space="preserve">IPSM </w:t>
            </w:r>
            <w:r w:rsidR="00AC4D33" w:rsidRPr="00040FB6">
              <w:rPr>
                <w:sz w:val="18"/>
                <w:szCs w:val="18"/>
                <w:lang w:val="en-GB"/>
              </w:rPr>
              <w:t>p</w:t>
            </w:r>
            <w:r w:rsidRPr="00040FB6">
              <w:rPr>
                <w:sz w:val="18"/>
                <w:szCs w:val="18"/>
                <w:lang w:val="en-GB"/>
              </w:rPr>
              <w:t>roject reports</w:t>
            </w:r>
          </w:p>
          <w:p w:rsidR="00DF63D7" w:rsidRPr="00040FB6" w:rsidRDefault="00B03D3A" w:rsidP="00EF6658">
            <w:pPr>
              <w:spacing w:after="120"/>
              <w:rPr>
                <w:sz w:val="20"/>
                <w:szCs w:val="20"/>
                <w:lang w:val="en-GB"/>
              </w:rPr>
            </w:pPr>
            <w:r w:rsidRPr="00040FB6">
              <w:rPr>
                <w:sz w:val="18"/>
                <w:szCs w:val="18"/>
                <w:lang w:val="en-GB"/>
              </w:rPr>
              <w:t>Frequency: Annual</w:t>
            </w:r>
          </w:p>
          <w:p w:rsidR="00B03D3A" w:rsidRPr="00040FB6" w:rsidRDefault="00B03D3A" w:rsidP="00EF6658">
            <w:pPr>
              <w:contextualSpacing/>
              <w:rPr>
                <w:sz w:val="18"/>
                <w:szCs w:val="18"/>
                <w:lang w:val="en-GB"/>
              </w:rPr>
            </w:pPr>
            <w:r w:rsidRPr="00040FB6">
              <w:rPr>
                <w:sz w:val="18"/>
                <w:szCs w:val="18"/>
                <w:lang w:val="en-GB"/>
              </w:rPr>
              <w:t xml:space="preserve">2.1.5.B: Selection panel trained </w:t>
            </w:r>
          </w:p>
          <w:p w:rsidR="00B03D3A" w:rsidRPr="00040FB6" w:rsidRDefault="00B03D3A" w:rsidP="00EF6658">
            <w:pPr>
              <w:contextualSpacing/>
              <w:rPr>
                <w:sz w:val="18"/>
                <w:szCs w:val="18"/>
                <w:lang w:val="en-GB"/>
              </w:rPr>
            </w:pPr>
            <w:r w:rsidRPr="00040FB6">
              <w:rPr>
                <w:sz w:val="18"/>
                <w:szCs w:val="18"/>
                <w:lang w:val="en-GB"/>
              </w:rPr>
              <w:t>Baseline: No</w:t>
            </w:r>
          </w:p>
          <w:p w:rsidR="00B03D3A" w:rsidRPr="00040FB6" w:rsidRDefault="00B03D3A" w:rsidP="00EF6658">
            <w:pPr>
              <w:contextualSpacing/>
              <w:rPr>
                <w:sz w:val="18"/>
                <w:szCs w:val="18"/>
                <w:lang w:val="en-GB"/>
              </w:rPr>
            </w:pPr>
            <w:r w:rsidRPr="00040FB6">
              <w:rPr>
                <w:sz w:val="18"/>
                <w:szCs w:val="18"/>
                <w:lang w:val="en-GB"/>
              </w:rPr>
              <w:t>Target: Yes</w:t>
            </w:r>
          </w:p>
          <w:p w:rsidR="00B03D3A" w:rsidRPr="00040FB6" w:rsidRDefault="00B03D3A" w:rsidP="00EF6658">
            <w:pPr>
              <w:contextualSpacing/>
              <w:rPr>
                <w:sz w:val="18"/>
                <w:szCs w:val="18"/>
                <w:lang w:val="en-GB"/>
              </w:rPr>
            </w:pPr>
            <w:r w:rsidRPr="00040FB6">
              <w:rPr>
                <w:sz w:val="18"/>
                <w:szCs w:val="18"/>
                <w:lang w:val="en-GB"/>
              </w:rPr>
              <w:t xml:space="preserve">Source: </w:t>
            </w:r>
            <w:r w:rsidR="00476770" w:rsidRPr="00040FB6">
              <w:rPr>
                <w:sz w:val="18"/>
                <w:szCs w:val="18"/>
                <w:lang w:val="en-GB"/>
              </w:rPr>
              <w:t xml:space="preserve">IPSM </w:t>
            </w:r>
            <w:r w:rsidR="00AC4D33" w:rsidRPr="00040FB6">
              <w:rPr>
                <w:sz w:val="18"/>
                <w:szCs w:val="18"/>
                <w:lang w:val="en-GB"/>
              </w:rPr>
              <w:t>p</w:t>
            </w:r>
            <w:r w:rsidRPr="00040FB6">
              <w:rPr>
                <w:sz w:val="18"/>
                <w:szCs w:val="18"/>
                <w:lang w:val="en-GB"/>
              </w:rPr>
              <w:t>roject reports</w:t>
            </w:r>
          </w:p>
          <w:p w:rsidR="00B03D3A" w:rsidRPr="00040FB6" w:rsidRDefault="0094782E" w:rsidP="00EF6658">
            <w:pPr>
              <w:contextualSpacing/>
              <w:rPr>
                <w:sz w:val="18"/>
                <w:szCs w:val="18"/>
                <w:lang w:val="en-GB"/>
              </w:rPr>
            </w:pPr>
            <w:r w:rsidRPr="00040FB6">
              <w:rPr>
                <w:sz w:val="18"/>
                <w:szCs w:val="18"/>
                <w:lang w:val="en-GB"/>
              </w:rPr>
              <w:t>Frequency: Annual</w:t>
            </w:r>
          </w:p>
        </w:tc>
        <w:tc>
          <w:tcPr>
            <w:tcW w:w="972" w:type="pct"/>
            <w:tcBorders>
              <w:bottom w:val="single" w:sz="4" w:space="0" w:color="auto"/>
            </w:tcBorders>
            <w:shd w:val="clear" w:color="auto" w:fill="auto"/>
            <w:vAlign w:val="center"/>
          </w:tcPr>
          <w:p w:rsidR="00B03D3A" w:rsidRPr="00040FB6" w:rsidRDefault="00B03D3A" w:rsidP="00EF6658">
            <w:pPr>
              <w:rPr>
                <w:rFonts w:eastAsia="Times New Roman"/>
                <w:iCs/>
                <w:sz w:val="18"/>
                <w:szCs w:val="18"/>
                <w:lang w:val="en-GB"/>
              </w:rPr>
            </w:pPr>
            <w:r w:rsidRPr="00040FB6">
              <w:rPr>
                <w:rFonts w:eastAsia="Times New Roman"/>
                <w:iCs/>
                <w:sz w:val="18"/>
                <w:szCs w:val="18"/>
                <w:lang w:val="en-GB"/>
              </w:rPr>
              <w:lastRenderedPageBreak/>
              <w:t xml:space="preserve">Parliament, Council of Ministers </w:t>
            </w:r>
            <w:r w:rsidR="00AC4D33" w:rsidRPr="00040FB6">
              <w:rPr>
                <w:rFonts w:eastAsia="Times New Roman"/>
                <w:iCs/>
                <w:sz w:val="18"/>
                <w:szCs w:val="18"/>
                <w:lang w:val="en-GB"/>
              </w:rPr>
              <w:t>s</w:t>
            </w:r>
            <w:r w:rsidRPr="00040FB6">
              <w:rPr>
                <w:rFonts w:eastAsia="Times New Roman"/>
                <w:iCs/>
                <w:sz w:val="18"/>
                <w:szCs w:val="18"/>
                <w:lang w:val="en-GB"/>
              </w:rPr>
              <w:t xml:space="preserve">ecretariat, Ministry of Planning, Ministry of Finance and key government line ministries, governorate councils, Ministry of Science and Technology, European Union, United States Department of State, </w:t>
            </w:r>
            <w:r w:rsidR="00AC4D33" w:rsidRPr="00040FB6">
              <w:rPr>
                <w:rFonts w:eastAsia="Times New Roman"/>
                <w:sz w:val="18"/>
                <w:szCs w:val="18"/>
                <w:lang w:val="en-GB"/>
              </w:rPr>
              <w:t>Japan International Cooperation Agency</w:t>
            </w:r>
            <w:r w:rsidR="00401F78" w:rsidRPr="00040FB6">
              <w:rPr>
                <w:rFonts w:eastAsia="Times New Roman"/>
                <w:sz w:val="18"/>
                <w:szCs w:val="18"/>
                <w:lang w:val="en-GB"/>
              </w:rPr>
              <w:t xml:space="preserve"> (JICA)</w:t>
            </w:r>
            <w:r w:rsidRPr="00040FB6">
              <w:rPr>
                <w:rFonts w:eastAsia="Times New Roman"/>
                <w:iCs/>
                <w:sz w:val="18"/>
                <w:szCs w:val="18"/>
                <w:lang w:val="en-GB"/>
              </w:rPr>
              <w:t>, Ministry of Planning Kurdistan region, provincial councils, Public Service Commission, Ministry of Environment, NGOs, CSOs and CBOs, UNAMI, United</w:t>
            </w:r>
            <w:r w:rsidR="00CA4C3C" w:rsidRPr="00040FB6">
              <w:rPr>
                <w:rFonts w:eastAsia="Times New Roman"/>
                <w:iCs/>
                <w:sz w:val="18"/>
                <w:szCs w:val="18"/>
                <w:lang w:val="en-GB"/>
              </w:rPr>
              <w:t> </w:t>
            </w:r>
            <w:r w:rsidRPr="00040FB6">
              <w:rPr>
                <w:rFonts w:eastAsia="Times New Roman"/>
                <w:iCs/>
                <w:sz w:val="18"/>
                <w:szCs w:val="18"/>
                <w:lang w:val="en-GB"/>
              </w:rPr>
              <w:t>Nations organizations</w:t>
            </w:r>
          </w:p>
          <w:p w:rsidR="00B03D3A" w:rsidRPr="00040FB6" w:rsidRDefault="00B03D3A" w:rsidP="00EF6658">
            <w:pPr>
              <w:rPr>
                <w:rFonts w:eastAsia="Times New Roman"/>
                <w:iCs/>
                <w:sz w:val="18"/>
                <w:szCs w:val="18"/>
                <w:lang w:val="en-GB"/>
              </w:rPr>
            </w:pPr>
          </w:p>
          <w:p w:rsidR="00B03D3A" w:rsidRPr="00040FB6" w:rsidRDefault="007B3BC6" w:rsidP="00EF6658">
            <w:pPr>
              <w:rPr>
                <w:rFonts w:eastAsia="Times New Roman"/>
                <w:b/>
                <w:bCs/>
                <w:sz w:val="18"/>
                <w:szCs w:val="18"/>
                <w:lang w:val="en-GB"/>
              </w:rPr>
            </w:pPr>
            <w:r w:rsidRPr="00040FB6">
              <w:rPr>
                <w:rFonts w:eastAsia="Times New Roman"/>
                <w:iCs/>
                <w:sz w:val="18"/>
                <w:szCs w:val="18"/>
                <w:lang w:val="en-GB"/>
              </w:rPr>
              <w:t xml:space="preserve">Engagement of </w:t>
            </w:r>
            <w:r w:rsidR="00AC4D33" w:rsidRPr="00040FB6">
              <w:rPr>
                <w:rFonts w:eastAsia="Times New Roman"/>
                <w:iCs/>
                <w:sz w:val="18"/>
                <w:szCs w:val="18"/>
                <w:lang w:val="en-GB"/>
              </w:rPr>
              <w:t>CSO</w:t>
            </w:r>
            <w:r w:rsidRPr="00040FB6">
              <w:rPr>
                <w:rFonts w:eastAsia="Times New Roman"/>
                <w:iCs/>
                <w:sz w:val="18"/>
                <w:szCs w:val="18"/>
                <w:lang w:val="en-GB"/>
              </w:rPr>
              <w:t xml:space="preserve">s in support </w:t>
            </w:r>
            <w:r w:rsidR="00AC4D33" w:rsidRPr="00040FB6">
              <w:rPr>
                <w:rFonts w:eastAsia="Times New Roman"/>
                <w:iCs/>
                <w:sz w:val="18"/>
                <w:szCs w:val="18"/>
                <w:lang w:val="en-GB"/>
              </w:rPr>
              <w:t xml:space="preserve">of </w:t>
            </w:r>
            <w:r w:rsidRPr="00040FB6">
              <w:rPr>
                <w:rFonts w:eastAsia="Times New Roman"/>
                <w:iCs/>
                <w:sz w:val="18"/>
                <w:szCs w:val="18"/>
                <w:lang w:val="en-GB"/>
              </w:rPr>
              <w:t>government policy development, programmes and capacities in relation to environmental threats and climate and disaster risks with a focus on water scarcity issues at national, subnational and community levels</w:t>
            </w:r>
            <w:r w:rsidR="00B03D3A" w:rsidRPr="00040FB6">
              <w:rPr>
                <w:rFonts w:eastAsia="Times New Roman"/>
                <w:iCs/>
                <w:sz w:val="18"/>
                <w:szCs w:val="18"/>
                <w:lang w:val="en-GB"/>
              </w:rPr>
              <w:t>; focus on sector-based programme approaches in selected areas, working through decentralized institutions</w:t>
            </w:r>
          </w:p>
        </w:tc>
        <w:tc>
          <w:tcPr>
            <w:tcW w:w="628" w:type="pct"/>
            <w:tcBorders>
              <w:bottom w:val="single" w:sz="4" w:space="0" w:color="auto"/>
            </w:tcBorders>
            <w:shd w:val="clear" w:color="auto" w:fill="auto"/>
            <w:tcMar>
              <w:top w:w="15" w:type="dxa"/>
              <w:left w:w="108" w:type="dxa"/>
              <w:bottom w:w="0" w:type="dxa"/>
              <w:right w:w="108" w:type="dxa"/>
            </w:tcMar>
          </w:tcPr>
          <w:p w:rsidR="00647A3D" w:rsidRPr="00040FB6" w:rsidRDefault="008E4F32" w:rsidP="00EF6658">
            <w:pPr>
              <w:rPr>
                <w:rFonts w:eastAsia="Times New Roman"/>
                <w:b/>
                <w:sz w:val="18"/>
                <w:szCs w:val="18"/>
                <w:lang w:val="en-GB"/>
              </w:rPr>
            </w:pPr>
            <w:r w:rsidRPr="00040FB6">
              <w:rPr>
                <w:rFonts w:eastAsia="Times New Roman"/>
                <w:b/>
                <w:sz w:val="18"/>
                <w:szCs w:val="18"/>
                <w:lang w:val="en-GB"/>
              </w:rPr>
              <w:t>Regular: $3,456</w:t>
            </w:r>
          </w:p>
          <w:p w:rsidR="00647A3D" w:rsidRPr="00040FB6" w:rsidRDefault="00647A3D" w:rsidP="00EF6658">
            <w:pPr>
              <w:rPr>
                <w:rFonts w:eastAsia="Times New Roman"/>
                <w:b/>
                <w:sz w:val="18"/>
                <w:szCs w:val="18"/>
                <w:lang w:val="en-GB"/>
              </w:rPr>
            </w:pPr>
          </w:p>
          <w:p w:rsidR="00B03D3A" w:rsidRPr="00040FB6" w:rsidRDefault="00647A3D" w:rsidP="00EF6658">
            <w:pPr>
              <w:rPr>
                <w:rFonts w:eastAsia="Times New Roman"/>
                <w:b/>
                <w:bCs/>
                <w:sz w:val="18"/>
                <w:szCs w:val="18"/>
                <w:lang w:val="en-GB"/>
              </w:rPr>
            </w:pPr>
            <w:r w:rsidRPr="00040FB6">
              <w:rPr>
                <w:rFonts w:eastAsia="Times New Roman"/>
                <w:b/>
                <w:sz w:val="18"/>
                <w:szCs w:val="18"/>
                <w:lang w:val="en-GB"/>
              </w:rPr>
              <w:t>Other: $64,375</w:t>
            </w:r>
          </w:p>
        </w:tc>
      </w:tr>
      <w:tr w:rsidR="00B03D3A" w:rsidRPr="00040FB6" w:rsidTr="00EF6658">
        <w:tc>
          <w:tcPr>
            <w:tcW w:w="5000" w:type="pct"/>
            <w:gridSpan w:val="5"/>
            <w:shd w:val="clear" w:color="auto" w:fill="auto"/>
            <w:tcMar>
              <w:top w:w="72" w:type="dxa"/>
              <w:left w:w="144" w:type="dxa"/>
              <w:bottom w:w="72" w:type="dxa"/>
              <w:right w:w="144" w:type="dxa"/>
            </w:tcMar>
          </w:tcPr>
          <w:p w:rsidR="00B03D3A" w:rsidRPr="00040FB6" w:rsidRDefault="00B03D3A" w:rsidP="00EF6658">
            <w:pPr>
              <w:rPr>
                <w:rFonts w:eastAsia="Times New Roman"/>
                <w:bCs/>
                <w:iCs/>
                <w:sz w:val="18"/>
                <w:szCs w:val="18"/>
                <w:lang w:val="en-GB"/>
              </w:rPr>
            </w:pPr>
            <w:r w:rsidRPr="00040FB6">
              <w:rPr>
                <w:rFonts w:eastAsia="Times New Roman"/>
                <w:sz w:val="18"/>
                <w:szCs w:val="18"/>
                <w:lang w:val="en-GB"/>
              </w:rPr>
              <w:lastRenderedPageBreak/>
              <w:br w:type="page"/>
            </w:r>
            <w:r w:rsidR="00231FA5" w:rsidRPr="00040FB6">
              <w:rPr>
                <w:rFonts w:eastAsia="Times New Roman"/>
                <w:b/>
                <w:bCs/>
                <w:sz w:val="18"/>
                <w:szCs w:val="18"/>
                <w:lang w:val="en-GB"/>
              </w:rPr>
              <w:t>National priority or goal:</w:t>
            </w:r>
            <w:r w:rsidRPr="00040FB6">
              <w:rPr>
                <w:rFonts w:eastAsia="Times New Roman"/>
                <w:b/>
                <w:bCs/>
                <w:sz w:val="18"/>
                <w:szCs w:val="18"/>
                <w:lang w:val="en-GB"/>
              </w:rPr>
              <w:t xml:space="preserve"> </w:t>
            </w:r>
            <w:r w:rsidRPr="00040FB6">
              <w:rPr>
                <w:rFonts w:eastAsia="Times New Roman"/>
                <w:bCs/>
                <w:iCs/>
                <w:sz w:val="18"/>
                <w:szCs w:val="18"/>
                <w:lang w:val="en-GB"/>
              </w:rPr>
              <w:t>Framework of Government Programmes</w:t>
            </w:r>
            <w:r w:rsidR="00231FA5" w:rsidRPr="00040FB6">
              <w:rPr>
                <w:rFonts w:eastAsia="Times New Roman"/>
                <w:bCs/>
                <w:iCs/>
                <w:sz w:val="18"/>
                <w:szCs w:val="18"/>
                <w:lang w:val="en-GB"/>
              </w:rPr>
              <w:t>,</w:t>
            </w:r>
            <w:r w:rsidRPr="00040FB6">
              <w:rPr>
                <w:rFonts w:eastAsia="Times New Roman"/>
                <w:bCs/>
                <w:iCs/>
                <w:sz w:val="18"/>
                <w:szCs w:val="18"/>
                <w:lang w:val="en-GB"/>
              </w:rPr>
              <w:t xml:space="preserve"> 2014-2018</w:t>
            </w:r>
            <w:r w:rsidR="00231FA5" w:rsidRPr="00040FB6">
              <w:rPr>
                <w:rFonts w:eastAsia="Times New Roman"/>
                <w:bCs/>
                <w:iCs/>
                <w:sz w:val="18"/>
                <w:szCs w:val="18"/>
                <w:lang w:val="en-GB"/>
              </w:rPr>
              <w:t>, p</w:t>
            </w:r>
            <w:r w:rsidRPr="00040FB6">
              <w:rPr>
                <w:rFonts w:eastAsia="Times New Roman"/>
                <w:bCs/>
                <w:iCs/>
                <w:sz w:val="18"/>
                <w:szCs w:val="18"/>
                <w:lang w:val="en-GB"/>
              </w:rPr>
              <w:t>riority 1: Working to achieve Iraq</w:t>
            </w:r>
            <w:r w:rsidR="00231FA5" w:rsidRPr="00040FB6">
              <w:rPr>
                <w:rFonts w:eastAsia="Times New Roman"/>
                <w:bCs/>
                <w:iCs/>
                <w:sz w:val="18"/>
                <w:szCs w:val="18"/>
                <w:lang w:val="en-GB"/>
              </w:rPr>
              <w:t>’</w:t>
            </w:r>
            <w:r w:rsidRPr="00040FB6">
              <w:rPr>
                <w:rFonts w:eastAsia="Times New Roman"/>
                <w:bCs/>
                <w:iCs/>
                <w:sz w:val="18"/>
                <w:szCs w:val="18"/>
                <w:lang w:val="en-GB"/>
              </w:rPr>
              <w:t xml:space="preserve">s security, stability and protection of its facilities; </w:t>
            </w:r>
            <w:r w:rsidR="00231FA5" w:rsidRPr="00040FB6">
              <w:rPr>
                <w:rFonts w:eastAsia="Times New Roman"/>
                <w:bCs/>
                <w:iCs/>
                <w:sz w:val="18"/>
                <w:szCs w:val="18"/>
                <w:lang w:val="en-GB"/>
              </w:rPr>
              <w:t>p</w:t>
            </w:r>
            <w:r w:rsidRPr="00040FB6">
              <w:rPr>
                <w:rFonts w:eastAsia="Times New Roman"/>
                <w:bCs/>
                <w:iCs/>
                <w:sz w:val="18"/>
                <w:szCs w:val="18"/>
                <w:lang w:val="en-GB"/>
              </w:rPr>
              <w:t>riority 2</w:t>
            </w:r>
            <w:r w:rsidR="00231FA5" w:rsidRPr="00040FB6">
              <w:rPr>
                <w:rFonts w:eastAsia="Times New Roman"/>
                <w:bCs/>
                <w:iCs/>
                <w:sz w:val="18"/>
                <w:szCs w:val="18"/>
                <w:lang w:val="en-GB"/>
              </w:rPr>
              <w:t>.</w:t>
            </w:r>
            <w:r w:rsidRPr="00040FB6">
              <w:rPr>
                <w:rFonts w:eastAsia="Times New Roman"/>
                <w:bCs/>
                <w:iCs/>
                <w:sz w:val="18"/>
                <w:szCs w:val="18"/>
                <w:lang w:val="en-GB"/>
              </w:rPr>
              <w:t xml:space="preserve"> Upgrade living standard and services provision for citizens</w:t>
            </w:r>
          </w:p>
        </w:tc>
      </w:tr>
      <w:tr w:rsidR="00B03D3A" w:rsidRPr="00040FB6" w:rsidTr="00EF6658">
        <w:tc>
          <w:tcPr>
            <w:tcW w:w="5000" w:type="pct"/>
            <w:gridSpan w:val="5"/>
            <w:shd w:val="clear" w:color="auto" w:fill="auto"/>
            <w:tcMar>
              <w:top w:w="72" w:type="dxa"/>
              <w:left w:w="144" w:type="dxa"/>
              <w:bottom w:w="72" w:type="dxa"/>
              <w:right w:w="144" w:type="dxa"/>
            </w:tcMar>
          </w:tcPr>
          <w:p w:rsidR="00B03D3A" w:rsidRPr="00040FB6" w:rsidRDefault="00B03D3A" w:rsidP="00EF6658">
            <w:pPr>
              <w:rPr>
                <w:rFonts w:eastAsia="Times New Roman"/>
                <w:sz w:val="18"/>
                <w:szCs w:val="18"/>
                <w:lang w:val="en-GB"/>
              </w:rPr>
            </w:pPr>
            <w:r w:rsidRPr="00040FB6">
              <w:rPr>
                <w:rFonts w:eastAsia="Times New Roman"/>
                <w:b/>
                <w:bCs/>
                <w:sz w:val="18"/>
                <w:szCs w:val="18"/>
                <w:lang w:val="en-GB"/>
              </w:rPr>
              <w:t xml:space="preserve">UNDAF </w:t>
            </w:r>
            <w:r w:rsidR="00002650" w:rsidRPr="00040FB6">
              <w:rPr>
                <w:rFonts w:eastAsia="Times New Roman"/>
                <w:b/>
                <w:bCs/>
                <w:sz w:val="18"/>
                <w:szCs w:val="18"/>
                <w:lang w:val="en-GB"/>
              </w:rPr>
              <w:t xml:space="preserve">(or equivalent) outcome involving </w:t>
            </w:r>
            <w:r w:rsidRPr="00040FB6">
              <w:rPr>
                <w:rFonts w:eastAsia="Times New Roman"/>
                <w:b/>
                <w:bCs/>
                <w:sz w:val="18"/>
                <w:szCs w:val="18"/>
                <w:lang w:val="en-GB"/>
              </w:rPr>
              <w:t>UNDP:</w:t>
            </w:r>
            <w:r w:rsidRPr="00040FB6">
              <w:rPr>
                <w:rFonts w:eastAsia="Times New Roman"/>
                <w:sz w:val="18"/>
                <w:szCs w:val="18"/>
                <w:lang w:val="en-GB"/>
              </w:rPr>
              <w:t xml:space="preserve"> </w:t>
            </w:r>
            <w:r w:rsidRPr="00040FB6">
              <w:rPr>
                <w:rFonts w:eastAsia="Times New Roman"/>
                <w:b/>
                <w:sz w:val="18"/>
                <w:szCs w:val="18"/>
                <w:lang w:val="en-GB"/>
              </w:rPr>
              <w:t>3.</w:t>
            </w:r>
            <w:r w:rsidRPr="00040FB6">
              <w:rPr>
                <w:rFonts w:eastAsia="Times New Roman"/>
                <w:sz w:val="18"/>
                <w:szCs w:val="18"/>
                <w:lang w:val="en-GB"/>
              </w:rPr>
              <w:t xml:space="preserve"> </w:t>
            </w:r>
            <w:r w:rsidRPr="00040FB6">
              <w:rPr>
                <w:rFonts w:eastAsia="Times New Roman"/>
                <w:b/>
                <w:sz w:val="18"/>
                <w:szCs w:val="18"/>
                <w:lang w:val="en-GB"/>
              </w:rPr>
              <w:t xml:space="preserve">Conditions improved for the safe return of </w:t>
            </w:r>
            <w:r w:rsidR="00EC21A4" w:rsidRPr="00040FB6">
              <w:rPr>
                <w:b/>
                <w:color w:val="000000"/>
                <w:sz w:val="18"/>
                <w:szCs w:val="18"/>
                <w:u w:color="000000"/>
                <w:lang w:val="en-GB"/>
              </w:rPr>
              <w:t>internally displaced persons</w:t>
            </w:r>
            <w:r w:rsidRPr="00040FB6">
              <w:rPr>
                <w:rFonts w:eastAsia="Times New Roman"/>
                <w:b/>
                <w:sz w:val="18"/>
                <w:szCs w:val="18"/>
                <w:lang w:val="en-GB"/>
              </w:rPr>
              <w:t xml:space="preserve"> in </w:t>
            </w:r>
            <w:r w:rsidR="009361E4" w:rsidRPr="00040FB6">
              <w:rPr>
                <w:rFonts w:eastAsia="Times New Roman"/>
                <w:b/>
                <w:sz w:val="18"/>
                <w:szCs w:val="18"/>
                <w:lang w:val="en-GB"/>
              </w:rPr>
              <w:t>n</w:t>
            </w:r>
            <w:r w:rsidRPr="00040FB6">
              <w:rPr>
                <w:rFonts w:eastAsia="Times New Roman"/>
                <w:b/>
                <w:sz w:val="18"/>
                <w:szCs w:val="18"/>
                <w:lang w:val="en-GB"/>
              </w:rPr>
              <w:t xml:space="preserve">ewly </w:t>
            </w:r>
            <w:r w:rsidR="009361E4" w:rsidRPr="00040FB6">
              <w:rPr>
                <w:rFonts w:eastAsia="Times New Roman"/>
                <w:b/>
                <w:sz w:val="18"/>
                <w:szCs w:val="18"/>
                <w:lang w:val="en-GB"/>
              </w:rPr>
              <w:t>l</w:t>
            </w:r>
            <w:r w:rsidRPr="00040FB6">
              <w:rPr>
                <w:rFonts w:eastAsia="Times New Roman"/>
                <w:b/>
                <w:sz w:val="18"/>
                <w:szCs w:val="18"/>
                <w:lang w:val="en-GB"/>
              </w:rPr>
              <w:t xml:space="preserve">iberated </w:t>
            </w:r>
            <w:r w:rsidR="009361E4" w:rsidRPr="00040FB6">
              <w:rPr>
                <w:rFonts w:eastAsia="Times New Roman"/>
                <w:b/>
                <w:sz w:val="18"/>
                <w:szCs w:val="18"/>
                <w:lang w:val="en-GB"/>
              </w:rPr>
              <w:t>a</w:t>
            </w:r>
            <w:r w:rsidRPr="00040FB6">
              <w:rPr>
                <w:rFonts w:eastAsia="Times New Roman"/>
                <w:b/>
                <w:sz w:val="18"/>
                <w:szCs w:val="18"/>
                <w:lang w:val="en-GB"/>
              </w:rPr>
              <w:t>reas</w:t>
            </w:r>
            <w:r w:rsidR="006C6A87" w:rsidRPr="00040FB6">
              <w:rPr>
                <w:rStyle w:val="FootnoteReference"/>
                <w:rFonts w:eastAsia="Times New Roman"/>
                <w:sz w:val="18"/>
                <w:szCs w:val="18"/>
                <w:lang w:val="en-GB"/>
              </w:rPr>
              <w:footnoteReference w:id="23"/>
            </w:r>
          </w:p>
        </w:tc>
      </w:tr>
      <w:tr w:rsidR="00B03D3A" w:rsidRPr="00040FB6" w:rsidTr="00EF6658">
        <w:tc>
          <w:tcPr>
            <w:tcW w:w="5000" w:type="pct"/>
            <w:gridSpan w:val="5"/>
            <w:shd w:val="clear" w:color="auto" w:fill="auto"/>
            <w:tcMar>
              <w:top w:w="72" w:type="dxa"/>
              <w:left w:w="144" w:type="dxa"/>
              <w:bottom w:w="72" w:type="dxa"/>
              <w:right w:w="144" w:type="dxa"/>
            </w:tcMar>
          </w:tcPr>
          <w:p w:rsidR="00B03D3A" w:rsidRPr="00040FB6" w:rsidRDefault="009361E4" w:rsidP="00EF6658">
            <w:pPr>
              <w:rPr>
                <w:rFonts w:eastAsia="Times New Roman"/>
                <w:b/>
                <w:bCs/>
                <w:iCs/>
                <w:sz w:val="18"/>
                <w:szCs w:val="18"/>
                <w:lang w:val="en-GB"/>
              </w:rPr>
            </w:pPr>
            <w:r w:rsidRPr="00040FB6">
              <w:rPr>
                <w:rFonts w:eastAsia="Times New Roman"/>
                <w:b/>
                <w:bCs/>
                <w:sz w:val="18"/>
                <w:szCs w:val="18"/>
                <w:lang w:val="en-GB"/>
              </w:rPr>
              <w:t>Related strategic plan outcome</w:t>
            </w:r>
            <w:r w:rsidR="00B03D3A" w:rsidRPr="00040FB6">
              <w:rPr>
                <w:rFonts w:eastAsia="Times New Roman"/>
                <w:b/>
                <w:bCs/>
                <w:sz w:val="18"/>
                <w:szCs w:val="18"/>
                <w:lang w:val="en-GB"/>
              </w:rPr>
              <w:t xml:space="preserve"> (from UNDP strategic plan, 2014-2017)</w:t>
            </w:r>
            <w:r w:rsidRPr="00040FB6">
              <w:rPr>
                <w:rFonts w:eastAsia="Times New Roman"/>
                <w:b/>
                <w:bCs/>
                <w:sz w:val="18"/>
                <w:szCs w:val="18"/>
                <w:lang w:val="en-GB"/>
              </w:rPr>
              <w:t>,</w:t>
            </w:r>
            <w:r w:rsidR="00B03D3A" w:rsidRPr="00040FB6">
              <w:rPr>
                <w:rFonts w:eastAsia="Times New Roman"/>
                <w:b/>
                <w:bCs/>
                <w:sz w:val="18"/>
                <w:szCs w:val="18"/>
                <w:lang w:val="en-GB"/>
              </w:rPr>
              <w:t xml:space="preserve"> </w:t>
            </w:r>
            <w:r w:rsidRPr="00040FB6">
              <w:rPr>
                <w:rFonts w:eastAsia="Times New Roman"/>
                <w:sz w:val="18"/>
                <w:szCs w:val="18"/>
                <w:lang w:val="en-GB"/>
              </w:rPr>
              <w:t>o</w:t>
            </w:r>
            <w:r w:rsidR="00B03D3A" w:rsidRPr="00040FB6">
              <w:rPr>
                <w:rFonts w:eastAsia="Times New Roman"/>
                <w:sz w:val="18"/>
                <w:szCs w:val="18"/>
                <w:lang w:val="en-GB"/>
              </w:rPr>
              <w:t>utcome 6</w:t>
            </w:r>
            <w:r w:rsidRPr="00040FB6">
              <w:rPr>
                <w:rFonts w:eastAsia="Times New Roman"/>
                <w:sz w:val="18"/>
                <w:szCs w:val="18"/>
                <w:lang w:val="en-GB"/>
              </w:rPr>
              <w:t>.</w:t>
            </w:r>
            <w:r w:rsidR="00B03D3A" w:rsidRPr="00040FB6">
              <w:rPr>
                <w:rFonts w:eastAsia="Times New Roman"/>
                <w:sz w:val="18"/>
                <w:szCs w:val="18"/>
                <w:lang w:val="en-GB"/>
              </w:rPr>
              <w:t xml:space="preserve"> Early recovery and rapid return to sustainable development pathways are achieved in post-conflict and post-disaster settings</w:t>
            </w:r>
          </w:p>
        </w:tc>
      </w:tr>
      <w:tr w:rsidR="00B03D3A" w:rsidRPr="00040FB6" w:rsidTr="00EF6658">
        <w:tc>
          <w:tcPr>
            <w:tcW w:w="1096" w:type="pct"/>
            <w:tcMar>
              <w:top w:w="72" w:type="dxa"/>
              <w:left w:w="144" w:type="dxa"/>
              <w:bottom w:w="72" w:type="dxa"/>
              <w:right w:w="144" w:type="dxa"/>
            </w:tcMar>
          </w:tcPr>
          <w:p w:rsidR="009361E4" w:rsidRPr="00040FB6" w:rsidRDefault="00B03D3A" w:rsidP="00EF6658">
            <w:pPr>
              <w:contextualSpacing/>
              <w:rPr>
                <w:rFonts w:eastAsia="Times New Roman"/>
                <w:i/>
                <w:sz w:val="18"/>
                <w:szCs w:val="18"/>
                <w:lang w:val="en-GB"/>
              </w:rPr>
            </w:pPr>
            <w:r w:rsidRPr="00040FB6">
              <w:rPr>
                <w:rFonts w:eastAsia="Times New Roman"/>
                <w:i/>
                <w:sz w:val="18"/>
                <w:szCs w:val="18"/>
                <w:lang w:val="en-GB"/>
              </w:rPr>
              <w:t>Indicators</w:t>
            </w:r>
          </w:p>
          <w:p w:rsidR="00B03D3A" w:rsidRPr="00040FB6" w:rsidRDefault="00B03D3A" w:rsidP="00EF6658">
            <w:pPr>
              <w:contextualSpacing/>
              <w:rPr>
                <w:rFonts w:eastAsia="Times New Roman"/>
                <w:i/>
                <w:sz w:val="18"/>
                <w:szCs w:val="18"/>
                <w:lang w:val="en-GB"/>
              </w:rPr>
            </w:pP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3.1</w:t>
            </w:r>
            <w:r w:rsidR="008E2C17" w:rsidRPr="00040FB6">
              <w:rPr>
                <w:rFonts w:eastAsia="Times New Roman"/>
                <w:sz w:val="18"/>
                <w:szCs w:val="18"/>
                <w:lang w:val="en-GB"/>
              </w:rPr>
              <w:t>.</w:t>
            </w:r>
            <w:r w:rsidRPr="00040FB6">
              <w:rPr>
                <w:rFonts w:eastAsia="Times New Roman"/>
                <w:sz w:val="18"/>
                <w:szCs w:val="18"/>
                <w:lang w:val="en-GB"/>
              </w:rPr>
              <w:t xml:space="preserve"> Public services available and functioning as measured by:</w:t>
            </w:r>
          </w:p>
          <w:p w:rsidR="00632037" w:rsidRPr="00040FB6" w:rsidRDefault="00632037" w:rsidP="00EF6658">
            <w:pPr>
              <w:contextualSpacing/>
              <w:rPr>
                <w:rFonts w:eastAsia="Times New Roman"/>
                <w:sz w:val="18"/>
                <w:szCs w:val="18"/>
                <w:lang w:val="en-GB"/>
              </w:rPr>
            </w:pP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3.1.A</w:t>
            </w:r>
            <w:r w:rsidR="008E2C17" w:rsidRPr="00040FB6">
              <w:rPr>
                <w:rFonts w:eastAsia="Times New Roman"/>
                <w:sz w:val="18"/>
                <w:szCs w:val="18"/>
                <w:lang w:val="en-GB"/>
              </w:rPr>
              <w:t>.</w:t>
            </w:r>
            <w:r w:rsidRPr="00040FB6">
              <w:rPr>
                <w:rFonts w:eastAsia="Times New Roman"/>
                <w:sz w:val="18"/>
                <w:szCs w:val="18"/>
                <w:lang w:val="en-GB"/>
              </w:rPr>
              <w:t xml:space="preserve"> Number of hours per day with electricity</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 xml:space="preserve">Baseline: </w:t>
            </w:r>
            <w:r w:rsidR="00632037" w:rsidRPr="00040FB6">
              <w:rPr>
                <w:rFonts w:eastAsia="Times New Roman"/>
                <w:sz w:val="18"/>
                <w:szCs w:val="18"/>
                <w:lang w:val="en-GB"/>
              </w:rPr>
              <w:t>Average of 2 hours per day</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 xml:space="preserve">Target: </w:t>
            </w:r>
            <w:r w:rsidR="00632037" w:rsidRPr="00040FB6">
              <w:rPr>
                <w:rFonts w:eastAsia="Times New Roman"/>
                <w:sz w:val="18"/>
                <w:szCs w:val="18"/>
                <w:lang w:val="en-GB"/>
              </w:rPr>
              <w:t>16 hours per day</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 xml:space="preserve">Source: </w:t>
            </w:r>
            <w:r w:rsidR="00632037" w:rsidRPr="00040FB6">
              <w:rPr>
                <w:rFonts w:eastAsia="Times New Roman"/>
                <w:sz w:val="18"/>
                <w:szCs w:val="18"/>
                <w:lang w:val="en-GB"/>
              </w:rPr>
              <w:t>Ministry of Electricity</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Frequency:</w:t>
            </w:r>
            <w:r w:rsidR="00632037" w:rsidRPr="00040FB6">
              <w:rPr>
                <w:rFonts w:eastAsia="Times New Roman"/>
                <w:sz w:val="18"/>
                <w:szCs w:val="18"/>
                <w:lang w:val="en-GB"/>
              </w:rPr>
              <w:t xml:space="preserve"> Annual</w:t>
            </w:r>
          </w:p>
          <w:p w:rsidR="00B03D3A" w:rsidRPr="00040FB6" w:rsidRDefault="00B03D3A" w:rsidP="00EF6658">
            <w:pPr>
              <w:contextualSpacing/>
              <w:rPr>
                <w:rFonts w:eastAsia="Times New Roman"/>
                <w:sz w:val="18"/>
                <w:szCs w:val="18"/>
                <w:lang w:val="en-GB"/>
              </w:rPr>
            </w:pP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3.1.B</w:t>
            </w:r>
            <w:r w:rsidR="008E2C17" w:rsidRPr="00040FB6">
              <w:rPr>
                <w:rFonts w:eastAsia="Times New Roman"/>
                <w:sz w:val="18"/>
                <w:szCs w:val="18"/>
                <w:lang w:val="en-GB"/>
              </w:rPr>
              <w:t>.</w:t>
            </w:r>
            <w:r w:rsidRPr="00040FB6">
              <w:rPr>
                <w:rFonts w:eastAsia="Times New Roman"/>
                <w:sz w:val="18"/>
                <w:szCs w:val="18"/>
                <w:lang w:val="en-GB"/>
              </w:rPr>
              <w:t xml:space="preserve"> Number of schools and health centres operational</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Baseline:</w:t>
            </w:r>
            <w:r w:rsidR="00632037" w:rsidRPr="00040FB6">
              <w:rPr>
                <w:rFonts w:eastAsia="Times New Roman"/>
                <w:sz w:val="18"/>
                <w:szCs w:val="18"/>
                <w:lang w:val="en-GB"/>
              </w:rPr>
              <w:t xml:space="preserve"> 0</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Target:</w:t>
            </w:r>
            <w:r w:rsidR="00632037" w:rsidRPr="00040FB6">
              <w:rPr>
                <w:rFonts w:eastAsia="Times New Roman"/>
                <w:sz w:val="18"/>
                <w:szCs w:val="18"/>
                <w:lang w:val="en-GB"/>
              </w:rPr>
              <w:t xml:space="preserve"> 48 (32 schools, 16 heath centres)</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 xml:space="preserve">Source: </w:t>
            </w:r>
            <w:r w:rsidR="00411E2E" w:rsidRPr="00040FB6">
              <w:rPr>
                <w:color w:val="000000"/>
                <w:sz w:val="18"/>
                <w:szCs w:val="18"/>
                <w:u w:color="000000"/>
                <w:lang w:val="en-GB"/>
              </w:rPr>
              <w:t xml:space="preserve">Funding Facility for Immediate Stabilization </w:t>
            </w:r>
            <w:r w:rsidR="00632037" w:rsidRPr="00040FB6">
              <w:rPr>
                <w:rFonts w:eastAsia="Times New Roman"/>
                <w:sz w:val="18"/>
                <w:szCs w:val="18"/>
                <w:lang w:val="en-GB"/>
              </w:rPr>
              <w:t>project report</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Frequency:</w:t>
            </w:r>
            <w:r w:rsidR="009361E4" w:rsidRPr="00040FB6">
              <w:rPr>
                <w:rFonts w:eastAsia="Times New Roman"/>
                <w:sz w:val="18"/>
                <w:szCs w:val="18"/>
                <w:lang w:val="en-GB"/>
              </w:rPr>
              <w:t>________</w:t>
            </w:r>
            <w:r w:rsidRPr="00040FB6">
              <w:rPr>
                <w:rFonts w:eastAsia="Times New Roman"/>
                <w:sz w:val="18"/>
                <w:szCs w:val="18"/>
                <w:lang w:val="en-GB"/>
              </w:rPr>
              <w:t xml:space="preserve"> </w:t>
            </w:r>
          </w:p>
          <w:p w:rsidR="00B03D3A" w:rsidRPr="00040FB6" w:rsidRDefault="00B03D3A" w:rsidP="00EF6658">
            <w:pPr>
              <w:contextualSpacing/>
              <w:rPr>
                <w:rFonts w:eastAsia="Times New Roman"/>
                <w:b/>
                <w:sz w:val="18"/>
                <w:szCs w:val="18"/>
                <w:lang w:val="en-GB"/>
              </w:rPr>
            </w:pPr>
          </w:p>
          <w:p w:rsidR="00B03D3A" w:rsidRPr="00040FB6" w:rsidRDefault="00632037" w:rsidP="00EF6658">
            <w:pPr>
              <w:contextualSpacing/>
              <w:rPr>
                <w:rFonts w:eastAsia="Times New Roman"/>
                <w:sz w:val="18"/>
                <w:szCs w:val="18"/>
                <w:lang w:val="en-GB"/>
              </w:rPr>
            </w:pPr>
            <w:r w:rsidRPr="00040FB6">
              <w:rPr>
                <w:rFonts w:eastAsia="Times New Roman"/>
                <w:sz w:val="18"/>
                <w:szCs w:val="18"/>
                <w:lang w:val="en-GB"/>
              </w:rPr>
              <w:t>3.2</w:t>
            </w:r>
            <w:r w:rsidR="008E2C17" w:rsidRPr="00040FB6">
              <w:rPr>
                <w:rFonts w:eastAsia="Times New Roman"/>
                <w:sz w:val="18"/>
                <w:szCs w:val="18"/>
                <w:lang w:val="en-GB"/>
              </w:rPr>
              <w:t>.</w:t>
            </w:r>
            <w:r w:rsidR="00B03D3A" w:rsidRPr="00040FB6">
              <w:rPr>
                <w:rFonts w:eastAsia="Times New Roman"/>
                <w:sz w:val="18"/>
                <w:szCs w:val="18"/>
                <w:lang w:val="en-GB"/>
              </w:rPr>
              <w:t xml:space="preserve"> Number of small businesses restored</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Baseline: 0</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Target:</w:t>
            </w:r>
            <w:r w:rsidR="00632037" w:rsidRPr="00040FB6">
              <w:rPr>
                <w:rFonts w:eastAsia="Times New Roman"/>
                <w:sz w:val="18"/>
                <w:szCs w:val="18"/>
                <w:lang w:val="en-GB"/>
              </w:rPr>
              <w:t xml:space="preserve"> 1</w:t>
            </w:r>
            <w:r w:rsidR="009361E4" w:rsidRPr="00040FB6">
              <w:rPr>
                <w:rFonts w:eastAsia="Times New Roman"/>
                <w:sz w:val="18"/>
                <w:szCs w:val="18"/>
                <w:lang w:val="en-GB"/>
              </w:rPr>
              <w:t>,</w:t>
            </w:r>
            <w:r w:rsidR="00632037" w:rsidRPr="00040FB6">
              <w:rPr>
                <w:rFonts w:eastAsia="Times New Roman"/>
                <w:sz w:val="18"/>
                <w:szCs w:val="18"/>
                <w:lang w:val="en-GB"/>
              </w:rPr>
              <w:t>000</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 xml:space="preserve">Source: </w:t>
            </w:r>
            <w:r w:rsidR="00411E2E" w:rsidRPr="00040FB6">
              <w:rPr>
                <w:color w:val="000000"/>
                <w:sz w:val="18"/>
                <w:szCs w:val="18"/>
                <w:u w:color="000000"/>
                <w:lang w:val="en-GB"/>
              </w:rPr>
              <w:t>Funding Facility for Immediate Stabilization</w:t>
            </w:r>
            <w:r w:rsidRPr="00040FB6">
              <w:rPr>
                <w:rFonts w:eastAsia="Times New Roman"/>
                <w:sz w:val="18"/>
                <w:szCs w:val="18"/>
                <w:lang w:val="en-GB"/>
              </w:rPr>
              <w:t xml:space="preserve"> </w:t>
            </w:r>
            <w:r w:rsidR="00411E2E" w:rsidRPr="00040FB6">
              <w:rPr>
                <w:rFonts w:eastAsia="Times New Roman"/>
                <w:sz w:val="18"/>
                <w:szCs w:val="18"/>
                <w:lang w:val="en-GB"/>
              </w:rPr>
              <w:t>p</w:t>
            </w:r>
            <w:r w:rsidRPr="00040FB6">
              <w:rPr>
                <w:rFonts w:eastAsia="Times New Roman"/>
                <w:sz w:val="18"/>
                <w:szCs w:val="18"/>
                <w:lang w:val="en-GB"/>
              </w:rPr>
              <w:t xml:space="preserve">rogramme </w:t>
            </w:r>
            <w:r w:rsidR="00411E2E" w:rsidRPr="00040FB6">
              <w:rPr>
                <w:rFonts w:eastAsia="Times New Roman"/>
                <w:sz w:val="18"/>
                <w:szCs w:val="18"/>
                <w:lang w:val="en-GB"/>
              </w:rPr>
              <w:t>r</w:t>
            </w:r>
            <w:r w:rsidRPr="00040FB6">
              <w:rPr>
                <w:rFonts w:eastAsia="Times New Roman"/>
                <w:sz w:val="18"/>
                <w:szCs w:val="18"/>
                <w:lang w:val="en-GB"/>
              </w:rPr>
              <w:t>eports</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Frequency: Quarterly</w:t>
            </w:r>
          </w:p>
          <w:p w:rsidR="00B03D3A" w:rsidRPr="00040FB6" w:rsidRDefault="00B03D3A" w:rsidP="00EF6658">
            <w:pPr>
              <w:contextualSpacing/>
              <w:rPr>
                <w:rFonts w:eastAsia="Times New Roman"/>
                <w:sz w:val="18"/>
                <w:szCs w:val="18"/>
                <w:lang w:val="en-GB"/>
              </w:rPr>
            </w:pPr>
          </w:p>
          <w:p w:rsidR="00B03D3A" w:rsidRPr="00040FB6" w:rsidRDefault="00632037" w:rsidP="00EF6658">
            <w:pPr>
              <w:contextualSpacing/>
              <w:rPr>
                <w:rFonts w:eastAsia="Times New Roman"/>
                <w:sz w:val="18"/>
                <w:szCs w:val="18"/>
                <w:lang w:val="en-GB"/>
              </w:rPr>
            </w:pPr>
            <w:r w:rsidRPr="00040FB6">
              <w:rPr>
                <w:rFonts w:eastAsia="Times New Roman"/>
                <w:sz w:val="18"/>
                <w:szCs w:val="18"/>
                <w:lang w:val="en-GB"/>
              </w:rPr>
              <w:t>3.3</w:t>
            </w:r>
            <w:r w:rsidR="008E2C17" w:rsidRPr="00040FB6">
              <w:rPr>
                <w:rFonts w:eastAsia="Times New Roman"/>
                <w:sz w:val="18"/>
                <w:szCs w:val="18"/>
                <w:lang w:val="en-GB"/>
              </w:rPr>
              <w:t>.</w:t>
            </w:r>
            <w:r w:rsidR="00B03D3A" w:rsidRPr="00040FB6">
              <w:rPr>
                <w:rFonts w:eastAsia="Times New Roman"/>
                <w:sz w:val="18"/>
                <w:szCs w:val="18"/>
                <w:lang w:val="en-GB"/>
              </w:rPr>
              <w:t xml:space="preserve"> Number of programmes successfully completed under the </w:t>
            </w:r>
            <w:r w:rsidR="009361E4" w:rsidRPr="00040FB6">
              <w:rPr>
                <w:rFonts w:eastAsia="Times New Roman"/>
                <w:sz w:val="18"/>
                <w:szCs w:val="18"/>
                <w:lang w:val="en-GB"/>
              </w:rPr>
              <w:lastRenderedPageBreak/>
              <w:t>‘Vision 2020’ strategy</w:t>
            </w:r>
            <w:r w:rsidR="009361E4" w:rsidRPr="00040FB6">
              <w:rPr>
                <w:color w:val="000000"/>
                <w:sz w:val="18"/>
                <w:szCs w:val="18"/>
                <w:u w:color="000000"/>
                <w:lang w:val="en-GB"/>
              </w:rPr>
              <w:t xml:space="preserve"> of the </w:t>
            </w:r>
            <w:r w:rsidR="00284547" w:rsidRPr="00040FB6">
              <w:rPr>
                <w:color w:val="000000"/>
                <w:sz w:val="18"/>
                <w:szCs w:val="18"/>
                <w:u w:color="000000"/>
                <w:lang w:val="en-GB"/>
              </w:rPr>
              <w:t>Kurdistan regional go</w:t>
            </w:r>
            <w:r w:rsidR="00290095" w:rsidRPr="00040FB6">
              <w:rPr>
                <w:color w:val="000000"/>
                <w:sz w:val="18"/>
                <w:szCs w:val="18"/>
                <w:u w:color="000000"/>
                <w:lang w:val="en-GB"/>
              </w:rPr>
              <w:t>vernment</w:t>
            </w:r>
            <w:r w:rsidR="00B03D3A" w:rsidRPr="00040FB6">
              <w:rPr>
                <w:rFonts w:eastAsia="Times New Roman"/>
                <w:sz w:val="18"/>
                <w:szCs w:val="18"/>
                <w:lang w:val="en-GB"/>
              </w:rPr>
              <w:t>.</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Baseline: 0</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Target:</w:t>
            </w:r>
            <w:r w:rsidR="00632037" w:rsidRPr="00040FB6">
              <w:rPr>
                <w:rFonts w:eastAsia="Times New Roman"/>
                <w:sz w:val="18"/>
                <w:szCs w:val="18"/>
                <w:lang w:val="en-GB"/>
              </w:rPr>
              <w:t xml:space="preserve"> 4</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 xml:space="preserve">Source: </w:t>
            </w:r>
            <w:r w:rsidR="00C05A30" w:rsidRPr="00040FB6">
              <w:rPr>
                <w:rFonts w:eastAsia="Times New Roman"/>
                <w:sz w:val="18"/>
                <w:szCs w:val="18"/>
                <w:lang w:val="en-GB"/>
              </w:rPr>
              <w:t xml:space="preserve">Multi-Partner Trust Fund </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Frequency</w:t>
            </w:r>
            <w:r w:rsidR="00632037" w:rsidRPr="00040FB6">
              <w:rPr>
                <w:rFonts w:eastAsia="Times New Roman"/>
                <w:sz w:val="18"/>
                <w:szCs w:val="18"/>
                <w:lang w:val="en-GB"/>
              </w:rPr>
              <w:t>: Annual</w:t>
            </w:r>
          </w:p>
          <w:p w:rsidR="00632037" w:rsidRPr="00040FB6" w:rsidRDefault="00632037" w:rsidP="00EF6658">
            <w:pPr>
              <w:contextualSpacing/>
              <w:rPr>
                <w:rFonts w:eastAsia="Times New Roman"/>
                <w:sz w:val="18"/>
                <w:szCs w:val="18"/>
                <w:lang w:val="en-GB"/>
              </w:rPr>
            </w:pPr>
          </w:p>
          <w:p w:rsidR="00B03D3A" w:rsidRPr="00040FB6" w:rsidRDefault="00632037" w:rsidP="00EF6658">
            <w:pPr>
              <w:tabs>
                <w:tab w:val="right" w:pos="9020"/>
              </w:tabs>
              <w:rPr>
                <w:rFonts w:eastAsia="Times New Roman"/>
                <w:sz w:val="18"/>
                <w:szCs w:val="18"/>
                <w:lang w:val="en-GB"/>
              </w:rPr>
            </w:pPr>
            <w:r w:rsidRPr="00040FB6">
              <w:rPr>
                <w:rFonts w:eastAsia="Times New Roman"/>
                <w:sz w:val="18"/>
                <w:szCs w:val="18"/>
                <w:lang w:val="en-GB"/>
              </w:rPr>
              <w:t xml:space="preserve">3.4: Increase in percentage of </w:t>
            </w:r>
            <w:r w:rsidR="00EC21A4" w:rsidRPr="00040FB6">
              <w:rPr>
                <w:color w:val="000000"/>
                <w:sz w:val="18"/>
                <w:szCs w:val="18"/>
                <w:u w:color="000000"/>
                <w:lang w:val="en-GB"/>
              </w:rPr>
              <w:t>internally displaced persons</w:t>
            </w:r>
            <w:r w:rsidRPr="00040FB6">
              <w:rPr>
                <w:rFonts w:eastAsia="Times New Roman"/>
                <w:sz w:val="18"/>
                <w:szCs w:val="18"/>
                <w:lang w:val="en-GB"/>
              </w:rPr>
              <w:t xml:space="preserve"> returning to</w:t>
            </w:r>
            <w:r w:rsidR="00B03D3A" w:rsidRPr="00040FB6">
              <w:rPr>
                <w:rFonts w:eastAsia="Times New Roman"/>
                <w:sz w:val="18"/>
                <w:szCs w:val="18"/>
                <w:lang w:val="en-GB"/>
              </w:rPr>
              <w:t xml:space="preserve"> </w:t>
            </w:r>
            <w:r w:rsidRPr="00040FB6">
              <w:rPr>
                <w:rFonts w:eastAsia="Times New Roman"/>
                <w:sz w:val="18"/>
                <w:szCs w:val="18"/>
                <w:lang w:val="en-GB"/>
              </w:rPr>
              <w:t>liberated areas</w:t>
            </w:r>
          </w:p>
          <w:p w:rsidR="00B03D3A" w:rsidRPr="00040FB6" w:rsidRDefault="00632037" w:rsidP="00EF6658">
            <w:pPr>
              <w:contextualSpacing/>
              <w:rPr>
                <w:rFonts w:eastAsia="Times New Roman"/>
                <w:sz w:val="18"/>
                <w:szCs w:val="18"/>
                <w:lang w:val="en-GB"/>
              </w:rPr>
            </w:pPr>
            <w:r w:rsidRPr="00040FB6">
              <w:rPr>
                <w:rFonts w:eastAsia="Times New Roman"/>
                <w:sz w:val="18"/>
                <w:szCs w:val="18"/>
                <w:lang w:val="en-GB"/>
              </w:rPr>
              <w:t>Baseline: 10%</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 xml:space="preserve">Target: </w:t>
            </w:r>
            <w:r w:rsidR="00632037" w:rsidRPr="00040FB6">
              <w:rPr>
                <w:rFonts w:eastAsia="Times New Roman"/>
                <w:sz w:val="18"/>
                <w:szCs w:val="18"/>
                <w:lang w:val="en-GB"/>
              </w:rPr>
              <w:t>80%</w:t>
            </w:r>
          </w:p>
          <w:p w:rsidR="00B03D3A" w:rsidRPr="00040FB6" w:rsidRDefault="00632037" w:rsidP="00EF6658">
            <w:pPr>
              <w:contextualSpacing/>
              <w:rPr>
                <w:rFonts w:eastAsia="Times New Roman"/>
                <w:sz w:val="18"/>
                <w:szCs w:val="18"/>
                <w:lang w:val="en-GB"/>
              </w:rPr>
            </w:pPr>
            <w:r w:rsidRPr="00040FB6">
              <w:rPr>
                <w:rFonts w:eastAsia="Times New Roman"/>
                <w:sz w:val="18"/>
                <w:szCs w:val="18"/>
                <w:lang w:val="en-GB"/>
              </w:rPr>
              <w:t xml:space="preserve">Source: </w:t>
            </w:r>
            <w:r w:rsidR="00C05A30" w:rsidRPr="00040FB6">
              <w:rPr>
                <w:rFonts w:eastAsia="Times New Roman"/>
                <w:iCs/>
                <w:sz w:val="18"/>
                <w:szCs w:val="18"/>
                <w:lang w:val="en-GB"/>
              </w:rPr>
              <w:t>Joint Coordination and Monitoring Centre</w:t>
            </w:r>
          </w:p>
          <w:p w:rsidR="00B03D3A" w:rsidRPr="00040FB6" w:rsidRDefault="00B03D3A" w:rsidP="00EF6658">
            <w:pPr>
              <w:contextualSpacing/>
              <w:rPr>
                <w:rFonts w:eastAsia="Times New Roman"/>
                <w:sz w:val="18"/>
                <w:szCs w:val="18"/>
                <w:lang w:val="en-GB"/>
              </w:rPr>
            </w:pPr>
            <w:r w:rsidRPr="00040FB6">
              <w:rPr>
                <w:rFonts w:eastAsia="Times New Roman"/>
                <w:sz w:val="18"/>
                <w:szCs w:val="18"/>
                <w:lang w:val="en-GB"/>
              </w:rPr>
              <w:t>Frequency</w:t>
            </w:r>
            <w:r w:rsidR="00A36EA2" w:rsidRPr="00040FB6">
              <w:rPr>
                <w:rFonts w:eastAsia="Times New Roman"/>
                <w:sz w:val="18"/>
                <w:szCs w:val="18"/>
                <w:lang w:val="en-GB"/>
              </w:rPr>
              <w:t>:</w:t>
            </w:r>
            <w:r w:rsidR="00632037" w:rsidRPr="00040FB6">
              <w:rPr>
                <w:rFonts w:eastAsia="Times New Roman"/>
                <w:sz w:val="18"/>
                <w:szCs w:val="18"/>
                <w:lang w:val="en-GB"/>
              </w:rPr>
              <w:t xml:space="preserve"> Annual</w:t>
            </w:r>
          </w:p>
          <w:p w:rsidR="00B03D3A" w:rsidRPr="00040FB6" w:rsidRDefault="00B03D3A" w:rsidP="00EF6658">
            <w:pPr>
              <w:tabs>
                <w:tab w:val="right" w:pos="9020"/>
              </w:tabs>
              <w:rPr>
                <w:rFonts w:eastAsia="Times New Roman"/>
                <w:sz w:val="18"/>
                <w:szCs w:val="18"/>
                <w:lang w:val="en-GB"/>
              </w:rPr>
            </w:pPr>
          </w:p>
          <w:p w:rsidR="007B3BC6" w:rsidRPr="00040FB6" w:rsidRDefault="007B3BC6" w:rsidP="00EF6658">
            <w:pPr>
              <w:tabs>
                <w:tab w:val="right" w:pos="9020"/>
              </w:tabs>
              <w:rPr>
                <w:rFonts w:eastAsia="Times New Roman"/>
                <w:sz w:val="18"/>
                <w:szCs w:val="18"/>
                <w:lang w:val="en-GB"/>
              </w:rPr>
            </w:pPr>
            <w:r w:rsidRPr="00040FB6">
              <w:rPr>
                <w:rFonts w:eastAsia="Times New Roman"/>
                <w:sz w:val="18"/>
                <w:szCs w:val="18"/>
                <w:lang w:val="en-GB"/>
              </w:rPr>
              <w:t xml:space="preserve">3.5: Percentage of host community individuals, refugees, and </w:t>
            </w:r>
            <w:r w:rsidR="00290095" w:rsidRPr="00040FB6">
              <w:rPr>
                <w:color w:val="000000"/>
                <w:sz w:val="18"/>
                <w:szCs w:val="18"/>
                <w:u w:color="000000"/>
                <w:lang w:val="en-GB"/>
              </w:rPr>
              <w:t>internally displaced persons</w:t>
            </w:r>
            <w:r w:rsidRPr="00040FB6">
              <w:rPr>
                <w:rFonts w:eastAsia="Times New Roman"/>
                <w:sz w:val="18"/>
                <w:szCs w:val="18"/>
                <w:lang w:val="en-GB"/>
              </w:rPr>
              <w:t xml:space="preserve"> able to consistently afford basic needs </w:t>
            </w:r>
          </w:p>
          <w:p w:rsidR="007B3BC6" w:rsidRPr="00040FB6" w:rsidRDefault="007B3BC6" w:rsidP="00EF6658">
            <w:pPr>
              <w:tabs>
                <w:tab w:val="right" w:pos="9020"/>
              </w:tabs>
              <w:rPr>
                <w:rFonts w:eastAsia="Times New Roman"/>
                <w:sz w:val="18"/>
                <w:szCs w:val="18"/>
                <w:lang w:val="en-GB"/>
              </w:rPr>
            </w:pPr>
          </w:p>
          <w:p w:rsidR="007B3BC6" w:rsidRPr="00040FB6" w:rsidRDefault="007B3BC6" w:rsidP="00EF6658">
            <w:pPr>
              <w:tabs>
                <w:tab w:val="right" w:pos="9020"/>
              </w:tabs>
              <w:rPr>
                <w:rFonts w:eastAsia="Times New Roman"/>
                <w:sz w:val="18"/>
                <w:szCs w:val="18"/>
                <w:lang w:val="en-GB"/>
              </w:rPr>
            </w:pPr>
            <w:r w:rsidRPr="00040FB6">
              <w:rPr>
                <w:rFonts w:eastAsia="Times New Roman"/>
                <w:sz w:val="18"/>
                <w:szCs w:val="18"/>
                <w:lang w:val="en-GB"/>
              </w:rPr>
              <w:t xml:space="preserve">Baseline: 60% (weighted average calculated from the World Bank </w:t>
            </w:r>
            <w:r w:rsidR="00C05A30" w:rsidRPr="00040FB6">
              <w:rPr>
                <w:rFonts w:eastAsia="Times New Roman"/>
                <w:sz w:val="18"/>
                <w:szCs w:val="18"/>
                <w:lang w:val="en-GB"/>
              </w:rPr>
              <w:t>Household Socio-Economic Survey</w:t>
            </w:r>
            <w:r w:rsidRPr="00040FB6">
              <w:rPr>
                <w:rFonts w:eastAsia="Times New Roman"/>
                <w:sz w:val="18"/>
                <w:szCs w:val="18"/>
                <w:lang w:val="en-GB"/>
              </w:rPr>
              <w:t xml:space="preserve">, REACH refugee assessments, and </w:t>
            </w:r>
            <w:r w:rsidR="00C05A30" w:rsidRPr="00040FB6">
              <w:rPr>
                <w:rFonts w:eastAsia="Times New Roman"/>
                <w:sz w:val="18"/>
                <w:szCs w:val="18"/>
                <w:lang w:val="en-GB"/>
              </w:rPr>
              <w:t>the Multi-Cluster Needs Assessment, phase</w:t>
            </w:r>
            <w:r w:rsidR="008E2C17" w:rsidRPr="00040FB6">
              <w:rPr>
                <w:rFonts w:eastAsia="Times New Roman"/>
                <w:sz w:val="18"/>
                <w:szCs w:val="18"/>
                <w:lang w:val="en-GB"/>
              </w:rPr>
              <w:t> </w:t>
            </w:r>
            <w:r w:rsidRPr="00040FB6">
              <w:rPr>
                <w:rFonts w:eastAsia="Times New Roman"/>
                <w:sz w:val="18"/>
                <w:szCs w:val="18"/>
                <w:lang w:val="en-GB"/>
              </w:rPr>
              <w:t>II)</w:t>
            </w:r>
          </w:p>
          <w:p w:rsidR="007B3BC6" w:rsidRPr="00040FB6" w:rsidRDefault="007B3BC6" w:rsidP="00EF6658">
            <w:pPr>
              <w:tabs>
                <w:tab w:val="right" w:pos="9020"/>
              </w:tabs>
              <w:rPr>
                <w:rFonts w:eastAsia="Times New Roman"/>
                <w:sz w:val="18"/>
                <w:szCs w:val="18"/>
                <w:lang w:val="en-GB"/>
              </w:rPr>
            </w:pPr>
          </w:p>
          <w:p w:rsidR="007B3BC6" w:rsidRPr="00040FB6" w:rsidRDefault="007B3BC6" w:rsidP="00EF6658">
            <w:pPr>
              <w:tabs>
                <w:tab w:val="right" w:pos="9020"/>
              </w:tabs>
              <w:rPr>
                <w:rFonts w:eastAsia="Times New Roman"/>
                <w:sz w:val="18"/>
                <w:szCs w:val="18"/>
                <w:lang w:val="en-GB"/>
              </w:rPr>
            </w:pPr>
            <w:r w:rsidRPr="00040FB6">
              <w:rPr>
                <w:rFonts w:eastAsia="Times New Roman"/>
                <w:sz w:val="18"/>
                <w:szCs w:val="18"/>
                <w:lang w:val="en-GB"/>
              </w:rPr>
              <w:t xml:space="preserve">Target: 95% </w:t>
            </w:r>
          </w:p>
          <w:p w:rsidR="007B3BC6" w:rsidRPr="00040FB6" w:rsidRDefault="007B3BC6" w:rsidP="00EF6658">
            <w:pPr>
              <w:tabs>
                <w:tab w:val="right" w:pos="9020"/>
              </w:tabs>
              <w:rPr>
                <w:rFonts w:eastAsia="Times New Roman"/>
                <w:sz w:val="18"/>
                <w:szCs w:val="18"/>
                <w:lang w:val="en-GB"/>
              </w:rPr>
            </w:pPr>
            <w:r w:rsidRPr="00040FB6">
              <w:rPr>
                <w:rFonts w:eastAsia="Times New Roman"/>
                <w:sz w:val="18"/>
                <w:szCs w:val="18"/>
                <w:lang w:val="en-GB"/>
              </w:rPr>
              <w:t xml:space="preserve">Source: World Bank </w:t>
            </w:r>
            <w:r w:rsidR="00C05A30" w:rsidRPr="00040FB6">
              <w:rPr>
                <w:rFonts w:eastAsia="Times New Roman"/>
                <w:sz w:val="18"/>
                <w:szCs w:val="18"/>
                <w:lang w:val="en-GB"/>
              </w:rPr>
              <w:t>Household Socio-Economic Survey</w:t>
            </w:r>
            <w:r w:rsidRPr="00040FB6">
              <w:rPr>
                <w:rFonts w:eastAsia="Times New Roman"/>
                <w:sz w:val="18"/>
                <w:szCs w:val="18"/>
                <w:lang w:val="en-GB"/>
              </w:rPr>
              <w:t xml:space="preserve">, REACH </w:t>
            </w:r>
            <w:r w:rsidR="008E2C17" w:rsidRPr="00040FB6">
              <w:rPr>
                <w:rFonts w:eastAsia="Times New Roman"/>
                <w:sz w:val="18"/>
                <w:szCs w:val="18"/>
                <w:lang w:val="en-GB"/>
              </w:rPr>
              <w:t>r</w:t>
            </w:r>
            <w:r w:rsidRPr="00040FB6">
              <w:rPr>
                <w:rFonts w:eastAsia="Times New Roman"/>
                <w:sz w:val="18"/>
                <w:szCs w:val="18"/>
                <w:lang w:val="en-GB"/>
              </w:rPr>
              <w:t>efugee/</w:t>
            </w:r>
            <w:r w:rsidR="008E2C17" w:rsidRPr="00040FB6">
              <w:rPr>
                <w:rFonts w:eastAsia="Times New Roman"/>
                <w:sz w:val="18"/>
                <w:szCs w:val="18"/>
                <w:lang w:val="en-GB"/>
              </w:rPr>
              <w:t>internally displaced persons</w:t>
            </w:r>
            <w:r w:rsidRPr="00040FB6">
              <w:rPr>
                <w:rFonts w:eastAsia="Times New Roman"/>
                <w:sz w:val="18"/>
                <w:szCs w:val="18"/>
                <w:lang w:val="en-GB"/>
              </w:rPr>
              <w:t>/</w:t>
            </w:r>
            <w:r w:rsidR="008E2C17" w:rsidRPr="00040FB6">
              <w:rPr>
                <w:rFonts w:eastAsia="Times New Roman"/>
                <w:sz w:val="18"/>
                <w:szCs w:val="18"/>
                <w:lang w:val="en-GB"/>
              </w:rPr>
              <w:t>h</w:t>
            </w:r>
            <w:r w:rsidRPr="00040FB6">
              <w:rPr>
                <w:rFonts w:eastAsia="Times New Roman"/>
                <w:sz w:val="18"/>
                <w:szCs w:val="18"/>
                <w:lang w:val="en-GB"/>
              </w:rPr>
              <w:t xml:space="preserve">ost </w:t>
            </w:r>
            <w:r w:rsidR="008E2C17" w:rsidRPr="00040FB6">
              <w:rPr>
                <w:rFonts w:eastAsia="Times New Roman"/>
                <w:sz w:val="18"/>
                <w:szCs w:val="18"/>
                <w:lang w:val="en-GB"/>
              </w:rPr>
              <w:t>c</w:t>
            </w:r>
            <w:r w:rsidRPr="00040FB6">
              <w:rPr>
                <w:rFonts w:eastAsia="Times New Roman"/>
                <w:sz w:val="18"/>
                <w:szCs w:val="18"/>
                <w:lang w:val="en-GB"/>
              </w:rPr>
              <w:t>ommunity assessments</w:t>
            </w:r>
          </w:p>
          <w:p w:rsidR="007B3BC6" w:rsidRPr="00040FB6" w:rsidRDefault="007B3BC6" w:rsidP="00EF6658">
            <w:pPr>
              <w:tabs>
                <w:tab w:val="right" w:pos="9020"/>
              </w:tabs>
              <w:rPr>
                <w:rFonts w:eastAsia="Times New Roman"/>
                <w:sz w:val="18"/>
                <w:szCs w:val="18"/>
                <w:lang w:val="en-GB"/>
              </w:rPr>
            </w:pPr>
            <w:r w:rsidRPr="00040FB6">
              <w:rPr>
                <w:rFonts w:eastAsia="Times New Roman"/>
                <w:sz w:val="18"/>
                <w:szCs w:val="18"/>
                <w:lang w:val="en-GB"/>
              </w:rPr>
              <w:t>Frequency: Annual</w:t>
            </w:r>
          </w:p>
          <w:p w:rsidR="00B03D3A" w:rsidRPr="00040FB6" w:rsidRDefault="00B03D3A" w:rsidP="00EF6658">
            <w:pPr>
              <w:tabs>
                <w:tab w:val="right" w:pos="9020"/>
              </w:tabs>
              <w:rPr>
                <w:rFonts w:eastAsia="Times New Roman"/>
                <w:sz w:val="18"/>
                <w:szCs w:val="18"/>
                <w:lang w:val="en-GB"/>
              </w:rPr>
            </w:pPr>
          </w:p>
          <w:p w:rsidR="00B03D3A" w:rsidRPr="00040FB6" w:rsidRDefault="00B03D3A" w:rsidP="00EF6658">
            <w:pPr>
              <w:contextualSpacing/>
              <w:rPr>
                <w:rFonts w:eastAsia="Times New Roman"/>
                <w:sz w:val="18"/>
                <w:szCs w:val="18"/>
                <w:lang w:val="en-GB"/>
              </w:rPr>
            </w:pPr>
          </w:p>
          <w:p w:rsidR="00B03D3A" w:rsidRPr="00040FB6" w:rsidRDefault="00B03D3A" w:rsidP="00EF6658">
            <w:pPr>
              <w:contextualSpacing/>
              <w:rPr>
                <w:rFonts w:eastAsia="Times New Roman"/>
                <w:sz w:val="18"/>
                <w:szCs w:val="18"/>
                <w:lang w:val="en-GB"/>
              </w:rPr>
            </w:pPr>
          </w:p>
          <w:p w:rsidR="00B03D3A" w:rsidRPr="00040FB6" w:rsidRDefault="00B03D3A" w:rsidP="00EF6658">
            <w:pPr>
              <w:rPr>
                <w:rFonts w:eastAsia="Times New Roman"/>
                <w:bCs/>
                <w:sz w:val="18"/>
                <w:szCs w:val="18"/>
                <w:lang w:val="en-GB"/>
              </w:rPr>
            </w:pPr>
          </w:p>
        </w:tc>
        <w:tc>
          <w:tcPr>
            <w:tcW w:w="936" w:type="pct"/>
          </w:tcPr>
          <w:p w:rsidR="009361E4" w:rsidRPr="00040FB6" w:rsidRDefault="009361E4" w:rsidP="00EF6658">
            <w:pPr>
              <w:rPr>
                <w:rFonts w:eastAsia="Times New Roman"/>
                <w:iCs/>
                <w:sz w:val="18"/>
                <w:szCs w:val="18"/>
                <w:lang w:val="en-GB"/>
              </w:rPr>
            </w:pPr>
          </w:p>
          <w:p w:rsidR="00B03D3A" w:rsidRPr="00040FB6" w:rsidRDefault="00B03D3A" w:rsidP="00EF6658">
            <w:pPr>
              <w:rPr>
                <w:rFonts w:eastAsia="Times New Roman"/>
                <w:iCs/>
                <w:sz w:val="18"/>
                <w:szCs w:val="18"/>
                <w:lang w:val="en-GB"/>
              </w:rPr>
            </w:pPr>
            <w:r w:rsidRPr="00040FB6">
              <w:rPr>
                <w:rFonts w:eastAsia="Times New Roman"/>
                <w:iCs/>
                <w:sz w:val="18"/>
                <w:szCs w:val="18"/>
                <w:lang w:val="en-GB"/>
              </w:rPr>
              <w:t>National Statistical System; Kurdistan Region Statistics Office; United Nations Joint Analysis Unit</w:t>
            </w:r>
            <w:r w:rsidR="009361E4" w:rsidRPr="00040FB6">
              <w:rPr>
                <w:rFonts w:eastAsia="Times New Roman"/>
                <w:iCs/>
                <w:sz w:val="18"/>
                <w:szCs w:val="18"/>
                <w:lang w:val="en-GB"/>
              </w:rPr>
              <w:t>,</w:t>
            </w:r>
            <w:r w:rsidRPr="00040FB6">
              <w:rPr>
                <w:rFonts w:eastAsia="Times New Roman"/>
                <w:iCs/>
                <w:sz w:val="18"/>
                <w:szCs w:val="18"/>
                <w:lang w:val="en-GB"/>
              </w:rPr>
              <w:t xml:space="preserve"> Iraq; Iraq Data</w:t>
            </w:r>
            <w:r w:rsidR="009361E4" w:rsidRPr="00040FB6">
              <w:rPr>
                <w:rFonts w:eastAsia="Times New Roman"/>
                <w:iCs/>
                <w:sz w:val="18"/>
                <w:szCs w:val="18"/>
                <w:lang w:val="en-GB"/>
              </w:rPr>
              <w:t>,</w:t>
            </w:r>
            <w:r w:rsidRPr="00040FB6">
              <w:rPr>
                <w:rFonts w:eastAsia="Times New Roman"/>
                <w:iCs/>
                <w:sz w:val="18"/>
                <w:szCs w:val="18"/>
                <w:lang w:val="en-GB"/>
              </w:rPr>
              <w:t xml:space="preserve"> World Bank; Iraq and Socio-Economic Survey</w:t>
            </w:r>
            <w:r w:rsidR="009361E4" w:rsidRPr="00040FB6">
              <w:rPr>
                <w:rFonts w:eastAsia="Times New Roman"/>
                <w:iCs/>
                <w:sz w:val="18"/>
                <w:szCs w:val="18"/>
                <w:lang w:val="en-GB"/>
              </w:rPr>
              <w:t>,</w:t>
            </w:r>
            <w:r w:rsidRPr="00040FB6">
              <w:rPr>
                <w:rFonts w:eastAsia="Times New Roman"/>
                <w:iCs/>
                <w:sz w:val="18"/>
                <w:szCs w:val="18"/>
                <w:lang w:val="en-GB"/>
              </w:rPr>
              <w:t xml:space="preserve"> 2012; Iraq Knowledge Network; primary-level feedback from project surveys; outcome evaluation; national human development report</w:t>
            </w:r>
          </w:p>
          <w:p w:rsidR="00B03D3A" w:rsidRPr="00040FB6" w:rsidRDefault="00B03D3A" w:rsidP="00EF6658">
            <w:pPr>
              <w:rPr>
                <w:rFonts w:eastAsia="Times New Roman"/>
                <w:iCs/>
                <w:sz w:val="18"/>
                <w:szCs w:val="18"/>
                <w:lang w:val="en-GB"/>
              </w:rPr>
            </w:pPr>
          </w:p>
          <w:p w:rsidR="00B03D3A" w:rsidRPr="00040FB6" w:rsidRDefault="00B03D3A" w:rsidP="00EF6658">
            <w:pPr>
              <w:rPr>
                <w:rFonts w:eastAsia="Times New Roman"/>
                <w:iCs/>
                <w:sz w:val="18"/>
                <w:szCs w:val="18"/>
                <w:lang w:val="en-GB"/>
              </w:rPr>
            </w:pPr>
            <w:r w:rsidRPr="00040FB6">
              <w:rPr>
                <w:rFonts w:eastAsia="Times New Roman"/>
                <w:iCs/>
                <w:sz w:val="18"/>
                <w:szCs w:val="18"/>
                <w:lang w:val="en-GB"/>
              </w:rPr>
              <w:t xml:space="preserve">Additional data sources will be explored and identified with the Ministry of Planning and other government entities </w:t>
            </w:r>
          </w:p>
        </w:tc>
        <w:tc>
          <w:tcPr>
            <w:tcW w:w="1368" w:type="pct"/>
          </w:tcPr>
          <w:p w:rsidR="00DF63D7" w:rsidRPr="00040FB6" w:rsidRDefault="00B03D3A" w:rsidP="00EF6658">
            <w:pPr>
              <w:spacing w:after="120"/>
              <w:rPr>
                <w:sz w:val="20"/>
                <w:szCs w:val="20"/>
                <w:lang w:val="en-GB"/>
              </w:rPr>
            </w:pPr>
            <w:r w:rsidRPr="00040FB6">
              <w:rPr>
                <w:sz w:val="18"/>
                <w:szCs w:val="18"/>
                <w:lang w:val="en-GB"/>
              </w:rPr>
              <w:t>3.1.1</w:t>
            </w:r>
            <w:r w:rsidR="009361E4" w:rsidRPr="00040FB6">
              <w:rPr>
                <w:sz w:val="18"/>
                <w:szCs w:val="18"/>
                <w:lang w:val="en-GB"/>
              </w:rPr>
              <w:t>.</w:t>
            </w:r>
            <w:r w:rsidRPr="00040FB6">
              <w:rPr>
                <w:sz w:val="18"/>
                <w:szCs w:val="18"/>
                <w:lang w:val="en-GB"/>
              </w:rPr>
              <w:t xml:space="preserve"> Capacity of local administrations in targeted areas for planning, administrative and financial management restored.</w:t>
            </w:r>
            <w:r w:rsidR="00DF63D7" w:rsidRPr="00040FB6">
              <w:rPr>
                <w:sz w:val="20"/>
                <w:szCs w:val="20"/>
                <w:lang w:val="en-GB"/>
              </w:rPr>
              <w:t xml:space="preserve"> </w:t>
            </w:r>
          </w:p>
          <w:p w:rsidR="00B03D3A" w:rsidRPr="00040FB6" w:rsidRDefault="00B03D3A" w:rsidP="00EF6658">
            <w:pPr>
              <w:contextualSpacing/>
              <w:rPr>
                <w:i/>
                <w:sz w:val="18"/>
                <w:szCs w:val="18"/>
                <w:lang w:val="en-GB"/>
              </w:rPr>
            </w:pPr>
            <w:r w:rsidRPr="00040FB6">
              <w:rPr>
                <w:i/>
                <w:sz w:val="18"/>
                <w:szCs w:val="18"/>
                <w:lang w:val="en-GB"/>
              </w:rPr>
              <w:t>Indicators</w:t>
            </w:r>
          </w:p>
          <w:p w:rsidR="00B03D3A" w:rsidRPr="00040FB6" w:rsidRDefault="00B03D3A" w:rsidP="00EF6658">
            <w:pPr>
              <w:contextualSpacing/>
              <w:rPr>
                <w:sz w:val="18"/>
                <w:szCs w:val="18"/>
                <w:lang w:val="en-GB"/>
              </w:rPr>
            </w:pPr>
            <w:r w:rsidRPr="00040FB6">
              <w:rPr>
                <w:sz w:val="18"/>
                <w:szCs w:val="18"/>
                <w:lang w:val="en-GB"/>
              </w:rPr>
              <w:t>3.1.1.A</w:t>
            </w:r>
            <w:r w:rsidR="00401F78" w:rsidRPr="00040FB6">
              <w:rPr>
                <w:sz w:val="18"/>
                <w:szCs w:val="18"/>
                <w:lang w:val="en-GB"/>
              </w:rPr>
              <w:t xml:space="preserve">. </w:t>
            </w:r>
            <w:r w:rsidRPr="00040FB6">
              <w:rPr>
                <w:sz w:val="18"/>
                <w:szCs w:val="18"/>
                <w:lang w:val="en-GB"/>
              </w:rPr>
              <w:t>Number of governorates with reconstruction and development plans</w:t>
            </w:r>
          </w:p>
          <w:p w:rsidR="00B03D3A" w:rsidRPr="00040FB6" w:rsidRDefault="00B03D3A" w:rsidP="00EF6658">
            <w:pPr>
              <w:contextualSpacing/>
              <w:rPr>
                <w:sz w:val="18"/>
                <w:szCs w:val="18"/>
                <w:lang w:val="en-GB"/>
              </w:rPr>
            </w:pPr>
            <w:r w:rsidRPr="00040FB6">
              <w:rPr>
                <w:sz w:val="18"/>
                <w:szCs w:val="18"/>
                <w:lang w:val="en-GB"/>
              </w:rPr>
              <w:t>Baseline: 0</w:t>
            </w:r>
            <w:r w:rsidR="00E1577D" w:rsidRPr="00040FB6">
              <w:rPr>
                <w:sz w:val="18"/>
                <w:szCs w:val="18"/>
                <w:lang w:val="en-GB"/>
              </w:rPr>
              <w:t xml:space="preserve">; </w:t>
            </w:r>
            <w:r w:rsidR="00A36EA2" w:rsidRPr="00040FB6">
              <w:rPr>
                <w:sz w:val="18"/>
                <w:szCs w:val="18"/>
                <w:lang w:val="en-GB"/>
              </w:rPr>
              <w:t>Target: 4</w:t>
            </w:r>
          </w:p>
          <w:p w:rsidR="00B03D3A" w:rsidRPr="00040FB6" w:rsidRDefault="00B03D3A" w:rsidP="00EF6658">
            <w:pPr>
              <w:rPr>
                <w:sz w:val="18"/>
                <w:szCs w:val="18"/>
                <w:lang w:val="en-GB"/>
              </w:rPr>
            </w:pPr>
            <w:r w:rsidRPr="00040FB6">
              <w:rPr>
                <w:sz w:val="18"/>
                <w:szCs w:val="18"/>
                <w:lang w:val="en-GB"/>
              </w:rPr>
              <w:t>Source: M</w:t>
            </w:r>
            <w:r w:rsidR="00401F78" w:rsidRPr="00040FB6">
              <w:rPr>
                <w:sz w:val="18"/>
                <w:szCs w:val="18"/>
                <w:lang w:val="en-GB"/>
              </w:rPr>
              <w:t>inistry of Planning</w:t>
            </w:r>
            <w:r w:rsidRPr="00040FB6">
              <w:rPr>
                <w:sz w:val="18"/>
                <w:szCs w:val="18"/>
                <w:lang w:val="en-GB"/>
              </w:rPr>
              <w:t>/Governorate</w:t>
            </w:r>
          </w:p>
          <w:p w:rsidR="00DF63D7" w:rsidRPr="00040FB6" w:rsidRDefault="00B03D3A" w:rsidP="00EF6658">
            <w:pPr>
              <w:spacing w:after="120"/>
              <w:rPr>
                <w:sz w:val="20"/>
                <w:szCs w:val="20"/>
                <w:lang w:val="en-GB"/>
              </w:rPr>
            </w:pPr>
            <w:r w:rsidRPr="00040FB6">
              <w:rPr>
                <w:sz w:val="18"/>
                <w:szCs w:val="18"/>
                <w:lang w:val="en-GB"/>
              </w:rPr>
              <w:t>Frequency: Quarterly</w:t>
            </w:r>
          </w:p>
          <w:p w:rsidR="00B03D3A" w:rsidRPr="00040FB6" w:rsidRDefault="00B03D3A" w:rsidP="00EF6658">
            <w:pPr>
              <w:contextualSpacing/>
              <w:rPr>
                <w:sz w:val="18"/>
                <w:szCs w:val="18"/>
                <w:lang w:val="en-GB"/>
              </w:rPr>
            </w:pPr>
            <w:r w:rsidRPr="00040FB6">
              <w:rPr>
                <w:sz w:val="18"/>
                <w:szCs w:val="18"/>
                <w:lang w:val="en-GB"/>
              </w:rPr>
              <w:t>3.1.1.B</w:t>
            </w:r>
            <w:r w:rsidR="00401F78" w:rsidRPr="00040FB6">
              <w:rPr>
                <w:sz w:val="18"/>
                <w:szCs w:val="18"/>
                <w:lang w:val="en-GB"/>
              </w:rPr>
              <w:t>.</w:t>
            </w:r>
            <w:r w:rsidRPr="00040FB6">
              <w:rPr>
                <w:sz w:val="18"/>
                <w:szCs w:val="18"/>
                <w:lang w:val="en-GB"/>
              </w:rPr>
              <w:t xml:space="preserve"> Public </w:t>
            </w:r>
            <w:r w:rsidR="00401F78" w:rsidRPr="00040FB6">
              <w:rPr>
                <w:sz w:val="18"/>
                <w:szCs w:val="18"/>
                <w:lang w:val="en-GB"/>
              </w:rPr>
              <w:t>f</w:t>
            </w:r>
            <w:r w:rsidRPr="00040FB6">
              <w:rPr>
                <w:sz w:val="18"/>
                <w:szCs w:val="18"/>
                <w:lang w:val="en-GB"/>
              </w:rPr>
              <w:t xml:space="preserve">inancial management systems established and functioning </w:t>
            </w:r>
          </w:p>
          <w:p w:rsidR="00B03D3A" w:rsidRPr="00040FB6" w:rsidRDefault="00B03D3A" w:rsidP="00EF6658">
            <w:pPr>
              <w:contextualSpacing/>
              <w:rPr>
                <w:sz w:val="18"/>
                <w:szCs w:val="18"/>
                <w:lang w:val="en-GB"/>
              </w:rPr>
            </w:pPr>
            <w:r w:rsidRPr="00040FB6">
              <w:rPr>
                <w:sz w:val="18"/>
                <w:szCs w:val="18"/>
                <w:lang w:val="en-GB"/>
              </w:rPr>
              <w:t>Baseline: 0</w:t>
            </w:r>
            <w:r w:rsidR="00E1577D" w:rsidRPr="00040FB6">
              <w:rPr>
                <w:sz w:val="18"/>
                <w:szCs w:val="18"/>
                <w:lang w:val="en-GB"/>
              </w:rPr>
              <w:t xml:space="preserve">; </w:t>
            </w:r>
            <w:r w:rsidRPr="00040FB6">
              <w:rPr>
                <w:sz w:val="18"/>
                <w:szCs w:val="18"/>
                <w:lang w:val="en-GB"/>
              </w:rPr>
              <w:t>Target: 4</w:t>
            </w:r>
          </w:p>
          <w:p w:rsidR="00B03D3A" w:rsidRPr="00040FB6" w:rsidRDefault="00B03D3A" w:rsidP="00EF6658">
            <w:pPr>
              <w:contextualSpacing/>
              <w:rPr>
                <w:sz w:val="18"/>
                <w:szCs w:val="18"/>
                <w:lang w:val="en-GB"/>
              </w:rPr>
            </w:pPr>
            <w:r w:rsidRPr="00040FB6">
              <w:rPr>
                <w:sz w:val="18"/>
                <w:szCs w:val="18"/>
                <w:lang w:val="en-GB"/>
              </w:rPr>
              <w:t xml:space="preserve">Source: </w:t>
            </w:r>
            <w:r w:rsidR="00401F78" w:rsidRPr="00040FB6">
              <w:rPr>
                <w:sz w:val="18"/>
                <w:szCs w:val="18"/>
                <w:lang w:val="en-GB"/>
              </w:rPr>
              <w:t>Ministry of Finance</w:t>
            </w:r>
            <w:r w:rsidRPr="00040FB6">
              <w:rPr>
                <w:sz w:val="18"/>
                <w:szCs w:val="18"/>
                <w:lang w:val="en-GB"/>
              </w:rPr>
              <w:t>/Governorate</w:t>
            </w:r>
          </w:p>
          <w:p w:rsidR="00DF63D7" w:rsidRPr="00040FB6" w:rsidRDefault="00B03D3A" w:rsidP="00EF6658">
            <w:pPr>
              <w:spacing w:after="120"/>
              <w:rPr>
                <w:sz w:val="20"/>
                <w:szCs w:val="20"/>
                <w:lang w:val="en-GB"/>
              </w:rPr>
            </w:pPr>
            <w:r w:rsidRPr="00040FB6">
              <w:rPr>
                <w:sz w:val="18"/>
                <w:szCs w:val="18"/>
                <w:lang w:val="en-GB"/>
              </w:rPr>
              <w:t>Frequency: Quarterly</w:t>
            </w:r>
          </w:p>
          <w:p w:rsidR="00DF63D7" w:rsidRPr="00040FB6" w:rsidRDefault="00B03D3A" w:rsidP="00EF6658">
            <w:pPr>
              <w:spacing w:after="120"/>
              <w:rPr>
                <w:sz w:val="20"/>
                <w:szCs w:val="20"/>
                <w:lang w:val="en-GB"/>
              </w:rPr>
            </w:pPr>
            <w:r w:rsidRPr="00040FB6">
              <w:rPr>
                <w:sz w:val="18"/>
                <w:szCs w:val="18"/>
                <w:lang w:val="en-GB"/>
              </w:rPr>
              <w:t>3.1.2</w:t>
            </w:r>
            <w:r w:rsidR="00401F78" w:rsidRPr="00040FB6">
              <w:rPr>
                <w:sz w:val="18"/>
                <w:szCs w:val="18"/>
                <w:lang w:val="en-GB"/>
              </w:rPr>
              <w:t>.</w:t>
            </w:r>
            <w:r w:rsidRPr="00040FB6">
              <w:rPr>
                <w:sz w:val="18"/>
                <w:szCs w:val="18"/>
                <w:lang w:val="en-GB"/>
              </w:rPr>
              <w:t xml:space="preserve"> Basic community infrastructure rehabilitated for water, electricity, health, education and administrative offices.</w:t>
            </w:r>
            <w:r w:rsidR="00DF63D7" w:rsidRPr="00040FB6">
              <w:rPr>
                <w:sz w:val="20"/>
                <w:szCs w:val="20"/>
                <w:lang w:val="en-GB"/>
              </w:rPr>
              <w:t xml:space="preserve"> </w:t>
            </w:r>
          </w:p>
          <w:p w:rsidR="00B03D3A" w:rsidRPr="00040FB6" w:rsidRDefault="00B03D3A" w:rsidP="00EF6658">
            <w:pPr>
              <w:contextualSpacing/>
              <w:rPr>
                <w:sz w:val="18"/>
                <w:szCs w:val="18"/>
                <w:lang w:val="en-GB"/>
              </w:rPr>
            </w:pPr>
            <w:r w:rsidRPr="00040FB6">
              <w:rPr>
                <w:sz w:val="18"/>
                <w:szCs w:val="18"/>
                <w:lang w:val="en-GB"/>
              </w:rPr>
              <w:t>3.1.2.A</w:t>
            </w:r>
            <w:r w:rsidR="00401F78" w:rsidRPr="00040FB6">
              <w:rPr>
                <w:sz w:val="18"/>
                <w:szCs w:val="18"/>
                <w:lang w:val="en-GB"/>
              </w:rPr>
              <w:t>.</w:t>
            </w:r>
            <w:r w:rsidRPr="00040FB6">
              <w:rPr>
                <w:sz w:val="18"/>
                <w:szCs w:val="18"/>
                <w:lang w:val="en-GB"/>
              </w:rPr>
              <w:t xml:space="preserve"> Number of schools rehabilitated</w:t>
            </w:r>
          </w:p>
          <w:p w:rsidR="00B03D3A" w:rsidRPr="00040FB6" w:rsidRDefault="00B03D3A" w:rsidP="00EF6658">
            <w:pPr>
              <w:contextualSpacing/>
              <w:rPr>
                <w:sz w:val="18"/>
                <w:szCs w:val="18"/>
                <w:lang w:val="en-GB"/>
              </w:rPr>
            </w:pPr>
            <w:r w:rsidRPr="00040FB6">
              <w:rPr>
                <w:sz w:val="18"/>
                <w:szCs w:val="18"/>
                <w:lang w:val="en-GB"/>
              </w:rPr>
              <w:t>Baseline: 0</w:t>
            </w:r>
            <w:r w:rsidR="00E1577D" w:rsidRPr="00040FB6">
              <w:rPr>
                <w:sz w:val="18"/>
                <w:szCs w:val="18"/>
                <w:lang w:val="en-GB"/>
              </w:rPr>
              <w:t xml:space="preserve">; </w:t>
            </w:r>
            <w:r w:rsidRPr="00040FB6">
              <w:rPr>
                <w:sz w:val="18"/>
                <w:szCs w:val="18"/>
                <w:lang w:val="en-GB"/>
              </w:rPr>
              <w:t xml:space="preserve">Target: </w:t>
            </w:r>
            <w:r w:rsidR="00351D34" w:rsidRPr="00040FB6">
              <w:rPr>
                <w:sz w:val="18"/>
                <w:szCs w:val="18"/>
                <w:lang w:val="en-GB"/>
              </w:rPr>
              <w:t>8 per province</w:t>
            </w:r>
          </w:p>
          <w:p w:rsidR="00B03D3A" w:rsidRPr="00040FB6" w:rsidRDefault="00B03D3A" w:rsidP="00EF6658">
            <w:pPr>
              <w:contextualSpacing/>
              <w:rPr>
                <w:sz w:val="18"/>
                <w:szCs w:val="18"/>
                <w:lang w:val="en-GB"/>
              </w:rPr>
            </w:pPr>
            <w:r w:rsidRPr="00040FB6">
              <w:rPr>
                <w:sz w:val="18"/>
                <w:szCs w:val="18"/>
                <w:lang w:val="en-GB"/>
              </w:rPr>
              <w:t>Source: Project reports</w:t>
            </w:r>
          </w:p>
          <w:p w:rsidR="00DF63D7" w:rsidRPr="00040FB6" w:rsidRDefault="00B03D3A" w:rsidP="00EF6658">
            <w:pPr>
              <w:spacing w:after="120"/>
              <w:rPr>
                <w:sz w:val="20"/>
                <w:szCs w:val="20"/>
                <w:lang w:val="en-GB"/>
              </w:rPr>
            </w:pPr>
            <w:r w:rsidRPr="00040FB6">
              <w:rPr>
                <w:sz w:val="18"/>
                <w:szCs w:val="18"/>
                <w:lang w:val="en-GB"/>
              </w:rPr>
              <w:t>Frequency: Quarterly</w:t>
            </w:r>
          </w:p>
          <w:p w:rsidR="00B03D3A" w:rsidRPr="00040FB6" w:rsidRDefault="00B03D3A" w:rsidP="00EF6658">
            <w:pPr>
              <w:contextualSpacing/>
              <w:rPr>
                <w:sz w:val="18"/>
                <w:szCs w:val="18"/>
                <w:lang w:val="en-GB"/>
              </w:rPr>
            </w:pPr>
            <w:r w:rsidRPr="00040FB6">
              <w:rPr>
                <w:sz w:val="18"/>
                <w:szCs w:val="18"/>
                <w:lang w:val="en-GB"/>
              </w:rPr>
              <w:t>3.1.2.B</w:t>
            </w:r>
            <w:r w:rsidR="00401F78" w:rsidRPr="00040FB6">
              <w:rPr>
                <w:sz w:val="18"/>
                <w:szCs w:val="18"/>
                <w:lang w:val="en-GB"/>
              </w:rPr>
              <w:t>.</w:t>
            </w:r>
            <w:r w:rsidRPr="00040FB6">
              <w:rPr>
                <w:sz w:val="18"/>
                <w:szCs w:val="18"/>
                <w:lang w:val="en-GB"/>
              </w:rPr>
              <w:t xml:space="preserve"> </w:t>
            </w:r>
            <w:r w:rsidR="00351D34" w:rsidRPr="00040FB6">
              <w:rPr>
                <w:sz w:val="18"/>
                <w:szCs w:val="18"/>
                <w:lang w:val="en-GB"/>
              </w:rPr>
              <w:t xml:space="preserve">Number of power </w:t>
            </w:r>
            <w:r w:rsidR="00856215" w:rsidRPr="00040FB6">
              <w:rPr>
                <w:sz w:val="18"/>
                <w:szCs w:val="18"/>
                <w:lang w:val="en-GB"/>
              </w:rPr>
              <w:t>grids</w:t>
            </w:r>
            <w:r w:rsidR="00351D34" w:rsidRPr="00040FB6">
              <w:rPr>
                <w:sz w:val="18"/>
                <w:szCs w:val="18"/>
                <w:lang w:val="en-GB"/>
              </w:rPr>
              <w:t xml:space="preserve"> rehabilitated</w:t>
            </w:r>
          </w:p>
          <w:p w:rsidR="00B03D3A" w:rsidRPr="00040FB6" w:rsidRDefault="00B03D3A" w:rsidP="00EF6658">
            <w:pPr>
              <w:contextualSpacing/>
              <w:rPr>
                <w:sz w:val="18"/>
                <w:szCs w:val="18"/>
                <w:lang w:val="en-GB"/>
              </w:rPr>
            </w:pPr>
            <w:r w:rsidRPr="00040FB6">
              <w:rPr>
                <w:sz w:val="18"/>
                <w:szCs w:val="18"/>
                <w:lang w:val="en-GB"/>
              </w:rPr>
              <w:t>Baseline: 0</w:t>
            </w:r>
          </w:p>
          <w:p w:rsidR="00B03D3A" w:rsidRPr="00040FB6" w:rsidRDefault="00B03D3A" w:rsidP="00EF6658">
            <w:pPr>
              <w:contextualSpacing/>
              <w:rPr>
                <w:sz w:val="18"/>
                <w:szCs w:val="18"/>
                <w:lang w:val="en-GB"/>
              </w:rPr>
            </w:pPr>
            <w:r w:rsidRPr="00040FB6">
              <w:rPr>
                <w:sz w:val="18"/>
                <w:szCs w:val="18"/>
                <w:lang w:val="en-GB"/>
              </w:rPr>
              <w:t>Target:</w:t>
            </w:r>
            <w:r w:rsidR="00351D34" w:rsidRPr="00040FB6">
              <w:rPr>
                <w:sz w:val="18"/>
                <w:szCs w:val="18"/>
                <w:lang w:val="en-GB"/>
              </w:rPr>
              <w:t xml:space="preserve"> 100 in each governorate</w:t>
            </w:r>
          </w:p>
          <w:p w:rsidR="00B03D3A" w:rsidRPr="00040FB6" w:rsidRDefault="00B03D3A" w:rsidP="00EF6658">
            <w:pPr>
              <w:contextualSpacing/>
              <w:rPr>
                <w:sz w:val="18"/>
                <w:szCs w:val="18"/>
                <w:lang w:val="en-GB"/>
              </w:rPr>
            </w:pPr>
            <w:r w:rsidRPr="00040FB6">
              <w:rPr>
                <w:sz w:val="18"/>
                <w:szCs w:val="18"/>
                <w:lang w:val="en-GB"/>
              </w:rPr>
              <w:t>Source: Project reports</w:t>
            </w:r>
          </w:p>
          <w:p w:rsidR="00DF63D7" w:rsidRPr="00040FB6" w:rsidRDefault="00B03D3A" w:rsidP="00EF6658">
            <w:pPr>
              <w:spacing w:after="120"/>
              <w:rPr>
                <w:sz w:val="20"/>
                <w:szCs w:val="20"/>
                <w:lang w:val="en-GB"/>
              </w:rPr>
            </w:pPr>
            <w:r w:rsidRPr="00040FB6">
              <w:rPr>
                <w:sz w:val="18"/>
                <w:szCs w:val="18"/>
                <w:lang w:val="en-GB"/>
              </w:rPr>
              <w:t>Frequency: Quarterly</w:t>
            </w:r>
          </w:p>
          <w:p w:rsidR="00B03D3A" w:rsidRPr="00040FB6" w:rsidRDefault="00351D34" w:rsidP="00EF6658">
            <w:pPr>
              <w:contextualSpacing/>
              <w:rPr>
                <w:sz w:val="18"/>
                <w:szCs w:val="18"/>
                <w:lang w:val="en-GB"/>
              </w:rPr>
            </w:pPr>
            <w:r w:rsidRPr="00040FB6">
              <w:rPr>
                <w:sz w:val="18"/>
                <w:szCs w:val="18"/>
                <w:lang w:val="en-GB"/>
              </w:rPr>
              <w:t>3.1.2.C</w:t>
            </w:r>
            <w:r w:rsidR="008E2C17" w:rsidRPr="00040FB6">
              <w:rPr>
                <w:sz w:val="18"/>
                <w:szCs w:val="18"/>
                <w:lang w:val="en-GB"/>
              </w:rPr>
              <w:t>.</w:t>
            </w:r>
            <w:r w:rsidR="00B03D3A" w:rsidRPr="00040FB6">
              <w:rPr>
                <w:sz w:val="18"/>
                <w:szCs w:val="18"/>
                <w:lang w:val="en-GB"/>
              </w:rPr>
              <w:t xml:space="preserve"> Number of health facilities restored</w:t>
            </w:r>
          </w:p>
          <w:p w:rsidR="00B03D3A" w:rsidRPr="00040FB6" w:rsidRDefault="00B03D3A" w:rsidP="00EF6658">
            <w:pPr>
              <w:contextualSpacing/>
              <w:rPr>
                <w:sz w:val="18"/>
                <w:szCs w:val="18"/>
                <w:lang w:val="en-GB"/>
              </w:rPr>
            </w:pPr>
            <w:r w:rsidRPr="00040FB6">
              <w:rPr>
                <w:sz w:val="18"/>
                <w:szCs w:val="18"/>
                <w:lang w:val="en-GB"/>
              </w:rPr>
              <w:t>Baseline: 0</w:t>
            </w:r>
          </w:p>
          <w:p w:rsidR="00B03D3A" w:rsidRPr="00040FB6" w:rsidRDefault="00B03D3A" w:rsidP="00EF6658">
            <w:pPr>
              <w:contextualSpacing/>
              <w:rPr>
                <w:sz w:val="18"/>
                <w:szCs w:val="18"/>
                <w:lang w:val="en-GB"/>
              </w:rPr>
            </w:pPr>
            <w:r w:rsidRPr="00040FB6">
              <w:rPr>
                <w:sz w:val="18"/>
                <w:szCs w:val="18"/>
                <w:lang w:val="en-GB"/>
              </w:rPr>
              <w:t xml:space="preserve">Target: </w:t>
            </w:r>
            <w:r w:rsidR="00351D34" w:rsidRPr="00040FB6">
              <w:rPr>
                <w:sz w:val="18"/>
                <w:szCs w:val="18"/>
                <w:lang w:val="en-GB"/>
              </w:rPr>
              <w:t>4 in each governorate</w:t>
            </w:r>
          </w:p>
          <w:p w:rsidR="00B03D3A" w:rsidRPr="00040FB6" w:rsidRDefault="00B03D3A" w:rsidP="00EF6658">
            <w:pPr>
              <w:contextualSpacing/>
              <w:rPr>
                <w:sz w:val="18"/>
                <w:szCs w:val="18"/>
                <w:lang w:val="en-GB"/>
              </w:rPr>
            </w:pPr>
            <w:r w:rsidRPr="00040FB6">
              <w:rPr>
                <w:sz w:val="18"/>
                <w:szCs w:val="18"/>
                <w:lang w:val="en-GB"/>
              </w:rPr>
              <w:t>Source: Project reports</w:t>
            </w:r>
          </w:p>
          <w:p w:rsidR="00DF63D7" w:rsidRPr="00040FB6" w:rsidRDefault="00B03D3A" w:rsidP="00EF6658">
            <w:pPr>
              <w:spacing w:after="120"/>
              <w:rPr>
                <w:sz w:val="20"/>
                <w:szCs w:val="20"/>
                <w:lang w:val="en-GB"/>
              </w:rPr>
            </w:pPr>
            <w:r w:rsidRPr="00040FB6">
              <w:rPr>
                <w:sz w:val="18"/>
                <w:szCs w:val="18"/>
                <w:lang w:val="en-GB"/>
              </w:rPr>
              <w:t>Frequency: Quarterly</w:t>
            </w:r>
          </w:p>
          <w:p w:rsidR="00B03D3A" w:rsidRPr="00040FB6" w:rsidRDefault="00351D34" w:rsidP="00EF6658">
            <w:pPr>
              <w:contextualSpacing/>
              <w:rPr>
                <w:sz w:val="18"/>
                <w:szCs w:val="18"/>
                <w:lang w:val="en-GB"/>
              </w:rPr>
            </w:pPr>
            <w:r w:rsidRPr="00040FB6">
              <w:rPr>
                <w:sz w:val="18"/>
                <w:szCs w:val="18"/>
                <w:lang w:val="en-GB"/>
              </w:rPr>
              <w:lastRenderedPageBreak/>
              <w:t>3.1.2.D</w:t>
            </w:r>
            <w:r w:rsidR="008E2C17" w:rsidRPr="00040FB6">
              <w:rPr>
                <w:sz w:val="18"/>
                <w:szCs w:val="18"/>
                <w:lang w:val="en-GB"/>
              </w:rPr>
              <w:t>.</w:t>
            </w:r>
            <w:r w:rsidR="00B03D3A" w:rsidRPr="00040FB6">
              <w:rPr>
                <w:sz w:val="18"/>
                <w:szCs w:val="18"/>
                <w:lang w:val="en-GB"/>
              </w:rPr>
              <w:t xml:space="preserve"> Number water facilities restored and functioning</w:t>
            </w:r>
          </w:p>
          <w:p w:rsidR="00B03D3A" w:rsidRPr="00040FB6" w:rsidRDefault="00B03D3A" w:rsidP="00EF6658">
            <w:pPr>
              <w:contextualSpacing/>
              <w:rPr>
                <w:sz w:val="18"/>
                <w:szCs w:val="18"/>
                <w:lang w:val="en-GB"/>
              </w:rPr>
            </w:pPr>
            <w:r w:rsidRPr="00040FB6">
              <w:rPr>
                <w:sz w:val="18"/>
                <w:szCs w:val="18"/>
                <w:lang w:val="en-GB"/>
              </w:rPr>
              <w:t>Baseline: 0</w:t>
            </w:r>
          </w:p>
          <w:p w:rsidR="00B03D3A" w:rsidRPr="00040FB6" w:rsidRDefault="00B03D3A" w:rsidP="00EF6658">
            <w:pPr>
              <w:contextualSpacing/>
              <w:rPr>
                <w:sz w:val="18"/>
                <w:szCs w:val="18"/>
                <w:lang w:val="en-GB"/>
              </w:rPr>
            </w:pPr>
            <w:r w:rsidRPr="00040FB6">
              <w:rPr>
                <w:sz w:val="18"/>
                <w:szCs w:val="18"/>
                <w:lang w:val="en-GB"/>
              </w:rPr>
              <w:t xml:space="preserve">Target: </w:t>
            </w:r>
            <w:r w:rsidR="00351D34" w:rsidRPr="00040FB6">
              <w:rPr>
                <w:sz w:val="18"/>
                <w:szCs w:val="18"/>
                <w:lang w:val="en-GB"/>
              </w:rPr>
              <w:t>4 in each governorate</w:t>
            </w:r>
          </w:p>
          <w:p w:rsidR="00B03D3A" w:rsidRPr="00040FB6" w:rsidRDefault="00B03D3A" w:rsidP="00EF6658">
            <w:pPr>
              <w:contextualSpacing/>
              <w:rPr>
                <w:sz w:val="18"/>
                <w:szCs w:val="18"/>
                <w:lang w:val="en-GB"/>
              </w:rPr>
            </w:pPr>
            <w:r w:rsidRPr="00040FB6">
              <w:rPr>
                <w:sz w:val="18"/>
                <w:szCs w:val="18"/>
                <w:lang w:val="en-GB"/>
              </w:rPr>
              <w:t>Source: Project reports</w:t>
            </w:r>
          </w:p>
          <w:p w:rsidR="00DF63D7" w:rsidRPr="00040FB6" w:rsidRDefault="00B03D3A" w:rsidP="00EF6658">
            <w:pPr>
              <w:spacing w:after="120"/>
              <w:rPr>
                <w:sz w:val="20"/>
                <w:szCs w:val="20"/>
                <w:lang w:val="en-GB"/>
              </w:rPr>
            </w:pPr>
            <w:r w:rsidRPr="00040FB6">
              <w:rPr>
                <w:sz w:val="18"/>
                <w:szCs w:val="18"/>
                <w:lang w:val="en-GB"/>
              </w:rPr>
              <w:t>Frequency: Quarterly</w:t>
            </w:r>
          </w:p>
          <w:p w:rsidR="00DF63D7" w:rsidRPr="00040FB6" w:rsidRDefault="00B03D3A" w:rsidP="00EF6658">
            <w:pPr>
              <w:spacing w:after="120"/>
              <w:rPr>
                <w:sz w:val="20"/>
                <w:szCs w:val="20"/>
                <w:lang w:val="en-GB"/>
              </w:rPr>
            </w:pPr>
            <w:r w:rsidRPr="00040FB6">
              <w:rPr>
                <w:color w:val="000000"/>
                <w:sz w:val="18"/>
                <w:szCs w:val="18"/>
                <w:u w:color="000000"/>
                <w:lang w:val="en-GB"/>
              </w:rPr>
              <w:t>3.1.3</w:t>
            </w:r>
            <w:r w:rsidR="008E2C17" w:rsidRPr="00040FB6">
              <w:rPr>
                <w:color w:val="000000"/>
                <w:sz w:val="18"/>
                <w:szCs w:val="18"/>
                <w:u w:color="000000"/>
                <w:lang w:val="en-GB"/>
              </w:rPr>
              <w:t>.</w:t>
            </w:r>
            <w:r w:rsidRPr="00040FB6">
              <w:rPr>
                <w:color w:val="000000"/>
                <w:sz w:val="18"/>
                <w:szCs w:val="18"/>
                <w:u w:color="000000"/>
                <w:lang w:val="en-GB"/>
              </w:rPr>
              <w:t xml:space="preserve"> </w:t>
            </w:r>
            <w:r w:rsidRPr="00040FB6">
              <w:rPr>
                <w:sz w:val="18"/>
                <w:szCs w:val="18"/>
                <w:lang w:val="en-GB"/>
              </w:rPr>
              <w:t>Livelihoods opportunities created</w:t>
            </w:r>
          </w:p>
          <w:p w:rsidR="00B03D3A" w:rsidRPr="00040FB6" w:rsidRDefault="00B03D3A" w:rsidP="00EF6658">
            <w:pPr>
              <w:contextualSpacing/>
              <w:rPr>
                <w:sz w:val="18"/>
                <w:szCs w:val="18"/>
                <w:lang w:val="en-GB"/>
              </w:rPr>
            </w:pPr>
            <w:r w:rsidRPr="00040FB6">
              <w:rPr>
                <w:sz w:val="18"/>
                <w:szCs w:val="18"/>
                <w:lang w:val="en-GB"/>
              </w:rPr>
              <w:t>3.1.3.A</w:t>
            </w:r>
            <w:r w:rsidR="008E2C17" w:rsidRPr="00040FB6">
              <w:rPr>
                <w:sz w:val="18"/>
                <w:szCs w:val="18"/>
                <w:lang w:val="en-GB"/>
              </w:rPr>
              <w:t>.</w:t>
            </w:r>
            <w:r w:rsidRPr="00040FB6">
              <w:rPr>
                <w:sz w:val="18"/>
                <w:szCs w:val="18"/>
                <w:lang w:val="en-GB"/>
              </w:rPr>
              <w:t xml:space="preserve"> Total number of people benefiting from diversified livelihoods opportunities through UNDP emergency projects (disaggregated by sex and age group) (</w:t>
            </w:r>
            <w:r w:rsidR="00440082" w:rsidRPr="00040FB6">
              <w:rPr>
                <w:sz w:val="18"/>
                <w:szCs w:val="18"/>
                <w:lang w:val="en-GB"/>
              </w:rPr>
              <w:t>strategic</w:t>
            </w:r>
            <w:r w:rsidR="008E2C17" w:rsidRPr="00040FB6">
              <w:rPr>
                <w:sz w:val="18"/>
                <w:szCs w:val="18"/>
                <w:lang w:val="en-GB"/>
              </w:rPr>
              <w:t xml:space="preserve"> plan i</w:t>
            </w:r>
            <w:r w:rsidRPr="00040FB6">
              <w:rPr>
                <w:sz w:val="18"/>
                <w:szCs w:val="18"/>
                <w:lang w:val="en-GB"/>
              </w:rPr>
              <w:t>ndicator 6.1.1.A.3.1)</w:t>
            </w:r>
          </w:p>
          <w:p w:rsidR="00B03D3A" w:rsidRPr="00040FB6" w:rsidRDefault="00B03D3A" w:rsidP="00EF6658">
            <w:pPr>
              <w:contextualSpacing/>
              <w:rPr>
                <w:sz w:val="18"/>
                <w:szCs w:val="18"/>
                <w:lang w:val="en-GB"/>
              </w:rPr>
            </w:pPr>
            <w:r w:rsidRPr="00040FB6">
              <w:rPr>
                <w:sz w:val="18"/>
                <w:szCs w:val="18"/>
                <w:lang w:val="en-GB"/>
              </w:rPr>
              <w:t>Baseline: 0</w:t>
            </w:r>
          </w:p>
          <w:p w:rsidR="00B03D3A" w:rsidRPr="00040FB6" w:rsidRDefault="00B03D3A" w:rsidP="00EF6658">
            <w:pPr>
              <w:contextualSpacing/>
              <w:rPr>
                <w:sz w:val="18"/>
                <w:szCs w:val="18"/>
                <w:lang w:val="en-GB"/>
              </w:rPr>
            </w:pPr>
            <w:r w:rsidRPr="00040FB6">
              <w:rPr>
                <w:sz w:val="18"/>
                <w:szCs w:val="18"/>
                <w:lang w:val="en-GB"/>
              </w:rPr>
              <w:t>Target: 40,000 (at least 30% women)</w:t>
            </w:r>
          </w:p>
          <w:p w:rsidR="00B03D3A" w:rsidRPr="00040FB6" w:rsidRDefault="00B03D3A" w:rsidP="00EF6658">
            <w:pPr>
              <w:contextualSpacing/>
              <w:rPr>
                <w:sz w:val="18"/>
                <w:szCs w:val="18"/>
                <w:lang w:val="en-GB"/>
              </w:rPr>
            </w:pPr>
            <w:r w:rsidRPr="00040FB6">
              <w:rPr>
                <w:sz w:val="18"/>
                <w:szCs w:val="18"/>
                <w:lang w:val="en-GB"/>
              </w:rPr>
              <w:t xml:space="preserve">Source: Project reports, Iraq </w:t>
            </w:r>
            <w:r w:rsidR="008E2C17" w:rsidRPr="00040FB6">
              <w:rPr>
                <w:sz w:val="18"/>
                <w:szCs w:val="18"/>
                <w:lang w:val="en-GB"/>
              </w:rPr>
              <w:t>a</w:t>
            </w:r>
            <w:r w:rsidRPr="00040FB6">
              <w:rPr>
                <w:sz w:val="18"/>
                <w:szCs w:val="18"/>
                <w:lang w:val="en-GB"/>
              </w:rPr>
              <w:t xml:space="preserve">ctivity </w:t>
            </w:r>
            <w:r w:rsidR="008E2C17" w:rsidRPr="00040FB6">
              <w:rPr>
                <w:sz w:val="18"/>
                <w:szCs w:val="18"/>
                <w:lang w:val="en-GB"/>
              </w:rPr>
              <w:t>i</w:t>
            </w:r>
            <w:r w:rsidRPr="00040FB6">
              <w:rPr>
                <w:sz w:val="18"/>
                <w:szCs w:val="18"/>
                <w:lang w:val="en-GB"/>
              </w:rPr>
              <w:t>nfo</w:t>
            </w:r>
            <w:r w:rsidR="008E2C17" w:rsidRPr="00040FB6">
              <w:rPr>
                <w:sz w:val="18"/>
                <w:szCs w:val="18"/>
                <w:lang w:val="en-GB"/>
              </w:rPr>
              <w:t>rmation</w:t>
            </w:r>
            <w:r w:rsidRPr="00040FB6">
              <w:rPr>
                <w:sz w:val="18"/>
                <w:szCs w:val="18"/>
                <w:lang w:val="en-GB"/>
              </w:rPr>
              <w:t xml:space="preserve"> </w:t>
            </w:r>
            <w:r w:rsidR="008E2C17" w:rsidRPr="00040FB6">
              <w:rPr>
                <w:sz w:val="18"/>
                <w:szCs w:val="18"/>
                <w:lang w:val="en-GB"/>
              </w:rPr>
              <w:t>d</w:t>
            </w:r>
            <w:r w:rsidRPr="00040FB6">
              <w:rPr>
                <w:sz w:val="18"/>
                <w:szCs w:val="18"/>
                <w:lang w:val="en-GB"/>
              </w:rPr>
              <w:t>atabase</w:t>
            </w:r>
          </w:p>
          <w:p w:rsidR="00DF63D7" w:rsidRPr="00040FB6" w:rsidRDefault="00B03D3A" w:rsidP="00EF6658">
            <w:pPr>
              <w:spacing w:after="120"/>
              <w:rPr>
                <w:sz w:val="20"/>
                <w:szCs w:val="20"/>
                <w:lang w:val="en-GB"/>
              </w:rPr>
            </w:pPr>
            <w:r w:rsidRPr="00040FB6">
              <w:rPr>
                <w:sz w:val="18"/>
                <w:szCs w:val="18"/>
                <w:lang w:val="en-GB"/>
              </w:rPr>
              <w:t>Frequency: Quarterly</w:t>
            </w:r>
          </w:p>
          <w:p w:rsidR="00B03D3A" w:rsidRPr="00040FB6" w:rsidRDefault="00B03D3A" w:rsidP="00EF6658">
            <w:pPr>
              <w:contextualSpacing/>
              <w:rPr>
                <w:sz w:val="18"/>
                <w:szCs w:val="18"/>
                <w:lang w:val="en-GB"/>
              </w:rPr>
            </w:pPr>
            <w:r w:rsidRPr="00040FB6">
              <w:rPr>
                <w:sz w:val="18"/>
                <w:szCs w:val="18"/>
                <w:lang w:val="en-GB"/>
              </w:rPr>
              <w:t>3.1.3.B</w:t>
            </w:r>
            <w:r w:rsidR="008E2C17" w:rsidRPr="00040FB6">
              <w:rPr>
                <w:sz w:val="18"/>
                <w:szCs w:val="18"/>
                <w:lang w:val="en-GB"/>
              </w:rPr>
              <w:t>.</w:t>
            </w:r>
            <w:r w:rsidRPr="00040FB6">
              <w:rPr>
                <w:sz w:val="18"/>
                <w:szCs w:val="18"/>
                <w:lang w:val="en-GB"/>
              </w:rPr>
              <w:t xml:space="preserve"> Number of businesses provided cash grants (disaggregated by sex)</w:t>
            </w:r>
          </w:p>
          <w:p w:rsidR="00B03D3A" w:rsidRPr="00040FB6" w:rsidRDefault="00B03D3A" w:rsidP="00EF6658">
            <w:pPr>
              <w:contextualSpacing/>
              <w:rPr>
                <w:sz w:val="18"/>
                <w:szCs w:val="18"/>
                <w:lang w:val="en-GB"/>
              </w:rPr>
            </w:pPr>
            <w:r w:rsidRPr="00040FB6">
              <w:rPr>
                <w:sz w:val="18"/>
                <w:szCs w:val="18"/>
                <w:lang w:val="en-GB"/>
              </w:rPr>
              <w:t>Baseline: 0</w:t>
            </w:r>
          </w:p>
          <w:p w:rsidR="00B03D3A" w:rsidRPr="00040FB6" w:rsidRDefault="00B03D3A" w:rsidP="00EF6658">
            <w:pPr>
              <w:contextualSpacing/>
              <w:rPr>
                <w:sz w:val="18"/>
                <w:szCs w:val="18"/>
                <w:lang w:val="en-GB"/>
              </w:rPr>
            </w:pPr>
            <w:r w:rsidRPr="00040FB6">
              <w:rPr>
                <w:sz w:val="18"/>
                <w:szCs w:val="18"/>
                <w:lang w:val="en-GB"/>
              </w:rPr>
              <w:t xml:space="preserve">Target: </w:t>
            </w:r>
            <w:r w:rsidR="00351D34" w:rsidRPr="00040FB6">
              <w:rPr>
                <w:sz w:val="18"/>
                <w:szCs w:val="18"/>
                <w:lang w:val="en-GB"/>
              </w:rPr>
              <w:t>200 (at least 30% received by women)</w:t>
            </w:r>
            <w:r w:rsidR="00632037" w:rsidRPr="00040FB6">
              <w:rPr>
                <w:sz w:val="18"/>
                <w:szCs w:val="18"/>
                <w:lang w:val="en-GB"/>
              </w:rPr>
              <w:t xml:space="preserve"> per province</w:t>
            </w:r>
          </w:p>
          <w:p w:rsidR="00B03D3A" w:rsidRPr="00040FB6" w:rsidRDefault="00B03D3A" w:rsidP="00EF6658">
            <w:pPr>
              <w:contextualSpacing/>
              <w:rPr>
                <w:sz w:val="18"/>
                <w:szCs w:val="18"/>
                <w:lang w:val="en-GB"/>
              </w:rPr>
            </w:pPr>
            <w:r w:rsidRPr="00040FB6">
              <w:rPr>
                <w:sz w:val="18"/>
                <w:szCs w:val="18"/>
                <w:lang w:val="en-GB"/>
              </w:rPr>
              <w:t>Source: Project reports</w:t>
            </w:r>
          </w:p>
          <w:p w:rsidR="00DF63D7" w:rsidRPr="00040FB6" w:rsidRDefault="00B03D3A" w:rsidP="00EF6658">
            <w:pPr>
              <w:spacing w:after="120"/>
              <w:rPr>
                <w:sz w:val="20"/>
                <w:szCs w:val="20"/>
                <w:lang w:val="en-GB"/>
              </w:rPr>
            </w:pPr>
            <w:r w:rsidRPr="00040FB6">
              <w:rPr>
                <w:sz w:val="18"/>
                <w:szCs w:val="18"/>
                <w:lang w:val="en-GB"/>
              </w:rPr>
              <w:t>Frequency: Quarterly</w:t>
            </w:r>
          </w:p>
          <w:p w:rsidR="00B03D3A" w:rsidRPr="00040FB6" w:rsidRDefault="00B03D3A" w:rsidP="00EF6658">
            <w:pPr>
              <w:contextualSpacing/>
              <w:rPr>
                <w:sz w:val="18"/>
                <w:szCs w:val="18"/>
                <w:lang w:val="en-GB"/>
              </w:rPr>
            </w:pPr>
            <w:r w:rsidRPr="00040FB6">
              <w:rPr>
                <w:sz w:val="18"/>
                <w:szCs w:val="18"/>
                <w:lang w:val="en-GB"/>
              </w:rPr>
              <w:t>3.1.3.C</w:t>
            </w:r>
            <w:r w:rsidR="008E2C17" w:rsidRPr="00040FB6">
              <w:rPr>
                <w:sz w:val="18"/>
                <w:szCs w:val="18"/>
                <w:lang w:val="en-GB"/>
              </w:rPr>
              <w:t>.</w:t>
            </w:r>
            <w:r w:rsidRPr="00040FB6">
              <w:rPr>
                <w:sz w:val="18"/>
                <w:szCs w:val="18"/>
                <w:lang w:val="en-GB"/>
              </w:rPr>
              <w:t xml:space="preserve"> Number of </w:t>
            </w:r>
            <w:r w:rsidR="008E2C17" w:rsidRPr="00040FB6">
              <w:rPr>
                <w:sz w:val="18"/>
                <w:szCs w:val="18"/>
                <w:lang w:val="en-GB"/>
              </w:rPr>
              <w:t xml:space="preserve">female-headed households </w:t>
            </w:r>
            <w:r w:rsidRPr="00040FB6">
              <w:rPr>
                <w:sz w:val="18"/>
                <w:szCs w:val="18"/>
                <w:lang w:val="en-GB"/>
              </w:rPr>
              <w:t xml:space="preserve">that accessed </w:t>
            </w:r>
            <w:r w:rsidR="00411E2E" w:rsidRPr="00040FB6">
              <w:rPr>
                <w:sz w:val="18"/>
                <w:szCs w:val="18"/>
                <w:lang w:val="en-GB"/>
              </w:rPr>
              <w:t>micro-credit grant</w:t>
            </w:r>
            <w:r w:rsidRPr="00040FB6">
              <w:rPr>
                <w:sz w:val="18"/>
                <w:szCs w:val="18"/>
                <w:lang w:val="en-GB"/>
              </w:rPr>
              <w:t xml:space="preserve">s for </w:t>
            </w:r>
            <w:r w:rsidR="00411E2E" w:rsidRPr="00040FB6">
              <w:rPr>
                <w:sz w:val="18"/>
                <w:szCs w:val="18"/>
                <w:lang w:val="en-GB"/>
              </w:rPr>
              <w:t>small and medium enterprise</w:t>
            </w:r>
            <w:r w:rsidRPr="00040FB6">
              <w:rPr>
                <w:sz w:val="18"/>
                <w:szCs w:val="18"/>
                <w:lang w:val="en-GB"/>
              </w:rPr>
              <w:t xml:space="preserve"> development.</w:t>
            </w:r>
          </w:p>
          <w:p w:rsidR="00B03D3A" w:rsidRPr="00040FB6" w:rsidRDefault="00B03D3A" w:rsidP="00EF6658">
            <w:pPr>
              <w:contextualSpacing/>
              <w:rPr>
                <w:sz w:val="18"/>
                <w:szCs w:val="18"/>
                <w:lang w:val="en-GB"/>
              </w:rPr>
            </w:pPr>
            <w:r w:rsidRPr="00040FB6">
              <w:rPr>
                <w:sz w:val="18"/>
                <w:szCs w:val="18"/>
                <w:lang w:val="en-GB"/>
              </w:rPr>
              <w:t>Baseline: 0</w:t>
            </w:r>
            <w:r w:rsidR="00E1577D" w:rsidRPr="00040FB6">
              <w:rPr>
                <w:sz w:val="18"/>
                <w:szCs w:val="18"/>
                <w:lang w:val="en-GB"/>
              </w:rPr>
              <w:t xml:space="preserve">; </w:t>
            </w:r>
            <w:r w:rsidRPr="00040FB6">
              <w:rPr>
                <w:sz w:val="18"/>
                <w:szCs w:val="18"/>
                <w:lang w:val="en-GB"/>
              </w:rPr>
              <w:t xml:space="preserve">Target: </w:t>
            </w:r>
            <w:r w:rsidR="00351D34" w:rsidRPr="00040FB6">
              <w:rPr>
                <w:sz w:val="18"/>
                <w:szCs w:val="18"/>
                <w:lang w:val="en-GB"/>
              </w:rPr>
              <w:t>600</w:t>
            </w:r>
          </w:p>
          <w:p w:rsidR="00B03D3A" w:rsidRPr="00040FB6" w:rsidRDefault="00B03D3A" w:rsidP="00EF6658">
            <w:pPr>
              <w:contextualSpacing/>
              <w:rPr>
                <w:sz w:val="18"/>
                <w:szCs w:val="18"/>
                <w:lang w:val="en-GB"/>
              </w:rPr>
            </w:pPr>
            <w:r w:rsidRPr="00040FB6">
              <w:rPr>
                <w:sz w:val="18"/>
                <w:szCs w:val="18"/>
                <w:lang w:val="en-GB"/>
              </w:rPr>
              <w:t>Source: Project reports</w:t>
            </w:r>
          </w:p>
          <w:p w:rsidR="00DF63D7" w:rsidRPr="00040FB6" w:rsidRDefault="00B03D3A" w:rsidP="00EF6658">
            <w:pPr>
              <w:spacing w:after="120"/>
              <w:rPr>
                <w:sz w:val="20"/>
                <w:szCs w:val="20"/>
                <w:lang w:val="en-GB"/>
              </w:rPr>
            </w:pPr>
            <w:r w:rsidRPr="00040FB6">
              <w:rPr>
                <w:sz w:val="18"/>
                <w:szCs w:val="18"/>
                <w:lang w:val="en-GB"/>
              </w:rPr>
              <w:t>Frequency: Quarterly</w:t>
            </w:r>
          </w:p>
          <w:p w:rsidR="00351D34" w:rsidRPr="00040FB6" w:rsidRDefault="00351D34" w:rsidP="00EF6658">
            <w:pPr>
              <w:contextualSpacing/>
              <w:rPr>
                <w:sz w:val="18"/>
                <w:szCs w:val="18"/>
                <w:lang w:val="en-GB"/>
              </w:rPr>
            </w:pPr>
            <w:r w:rsidRPr="00040FB6">
              <w:rPr>
                <w:sz w:val="18"/>
                <w:szCs w:val="18"/>
                <w:lang w:val="en-GB"/>
              </w:rPr>
              <w:t>3.1.3.D</w:t>
            </w:r>
            <w:r w:rsidR="008E2C17" w:rsidRPr="00040FB6">
              <w:rPr>
                <w:sz w:val="18"/>
                <w:szCs w:val="18"/>
                <w:lang w:val="en-GB"/>
              </w:rPr>
              <w:t>.</w:t>
            </w:r>
            <w:r w:rsidRPr="00040FB6">
              <w:rPr>
                <w:sz w:val="18"/>
                <w:szCs w:val="18"/>
                <w:lang w:val="en-GB"/>
              </w:rPr>
              <w:t xml:space="preserve"> Number of beneficiaries of livelihood opportunities created by UNDP</w:t>
            </w:r>
            <w:r w:rsidR="008E2C17" w:rsidRPr="00040FB6">
              <w:rPr>
                <w:sz w:val="18"/>
                <w:szCs w:val="18"/>
                <w:lang w:val="en-GB"/>
              </w:rPr>
              <w:t>-</w:t>
            </w:r>
            <w:r w:rsidRPr="00040FB6">
              <w:rPr>
                <w:sz w:val="18"/>
                <w:szCs w:val="18"/>
                <w:lang w:val="en-GB"/>
              </w:rPr>
              <w:t>supported NGO/CBOs (disaggregated by gender)</w:t>
            </w:r>
          </w:p>
          <w:p w:rsidR="00351D34" w:rsidRPr="00040FB6" w:rsidRDefault="00351D34" w:rsidP="00EF6658">
            <w:pPr>
              <w:contextualSpacing/>
              <w:rPr>
                <w:sz w:val="18"/>
                <w:szCs w:val="18"/>
                <w:lang w:val="en-GB"/>
              </w:rPr>
            </w:pPr>
            <w:r w:rsidRPr="00040FB6">
              <w:rPr>
                <w:sz w:val="18"/>
                <w:szCs w:val="18"/>
                <w:lang w:val="en-GB"/>
              </w:rPr>
              <w:t>Baseline: 0</w:t>
            </w:r>
          </w:p>
          <w:p w:rsidR="00351D34" w:rsidRPr="00040FB6" w:rsidRDefault="00351D34" w:rsidP="00EF6658">
            <w:pPr>
              <w:contextualSpacing/>
              <w:rPr>
                <w:sz w:val="18"/>
                <w:szCs w:val="18"/>
                <w:lang w:val="en-GB"/>
              </w:rPr>
            </w:pPr>
            <w:r w:rsidRPr="00040FB6">
              <w:rPr>
                <w:sz w:val="18"/>
                <w:szCs w:val="18"/>
                <w:lang w:val="en-GB"/>
              </w:rPr>
              <w:t xml:space="preserve">Target: 100 per </w:t>
            </w:r>
            <w:r w:rsidR="008E2C17" w:rsidRPr="00040FB6">
              <w:rPr>
                <w:sz w:val="18"/>
                <w:szCs w:val="18"/>
                <w:lang w:val="en-GB"/>
              </w:rPr>
              <w:t>g</w:t>
            </w:r>
            <w:r w:rsidRPr="00040FB6">
              <w:rPr>
                <w:sz w:val="18"/>
                <w:szCs w:val="18"/>
                <w:lang w:val="en-GB"/>
              </w:rPr>
              <w:t>overnorate</w:t>
            </w:r>
          </w:p>
          <w:p w:rsidR="00B03D3A" w:rsidRPr="00040FB6" w:rsidRDefault="00B03D3A" w:rsidP="00EF6658">
            <w:pPr>
              <w:contextualSpacing/>
              <w:rPr>
                <w:sz w:val="18"/>
                <w:szCs w:val="18"/>
                <w:lang w:val="en-GB"/>
              </w:rPr>
            </w:pPr>
            <w:r w:rsidRPr="00040FB6">
              <w:rPr>
                <w:sz w:val="18"/>
                <w:szCs w:val="18"/>
                <w:lang w:val="en-GB"/>
              </w:rPr>
              <w:t>Source: Project reports</w:t>
            </w:r>
          </w:p>
          <w:p w:rsidR="00DF63D7" w:rsidRPr="00040FB6" w:rsidRDefault="00B03D3A" w:rsidP="00EF6658">
            <w:pPr>
              <w:spacing w:after="120"/>
              <w:rPr>
                <w:sz w:val="20"/>
                <w:szCs w:val="20"/>
                <w:lang w:val="en-GB"/>
              </w:rPr>
            </w:pPr>
            <w:r w:rsidRPr="00040FB6">
              <w:rPr>
                <w:sz w:val="18"/>
                <w:szCs w:val="18"/>
                <w:lang w:val="en-GB"/>
              </w:rPr>
              <w:t>Frequency: Quarterly</w:t>
            </w:r>
          </w:p>
          <w:p w:rsidR="00B03D3A" w:rsidRPr="00040FB6" w:rsidRDefault="00B03D3A" w:rsidP="00EF6658">
            <w:pPr>
              <w:rPr>
                <w:rFonts w:eastAsia="Times New Roman"/>
                <w:sz w:val="18"/>
                <w:szCs w:val="18"/>
                <w:lang w:val="en-GB"/>
              </w:rPr>
            </w:pPr>
            <w:r w:rsidRPr="00040FB6">
              <w:rPr>
                <w:rFonts w:eastAsia="Times New Roman"/>
                <w:sz w:val="18"/>
                <w:szCs w:val="18"/>
                <w:lang w:val="en-GB"/>
              </w:rPr>
              <w:t>3.1.3.E</w:t>
            </w:r>
            <w:r w:rsidR="008E2C17" w:rsidRPr="00040FB6">
              <w:rPr>
                <w:rFonts w:eastAsia="Times New Roman"/>
                <w:sz w:val="18"/>
                <w:szCs w:val="18"/>
                <w:lang w:val="en-GB"/>
              </w:rPr>
              <w:t>.</w:t>
            </w:r>
            <w:r w:rsidRPr="00040FB6">
              <w:rPr>
                <w:rFonts w:eastAsia="Times New Roman"/>
                <w:sz w:val="18"/>
                <w:szCs w:val="18"/>
                <w:lang w:val="en-GB"/>
              </w:rPr>
              <w:t xml:space="preserve"> Total number of emergency jobs for youth (15 to 29 years old) created through UNDP projects (disaggregated by sex) </w:t>
            </w:r>
          </w:p>
          <w:p w:rsidR="00B03D3A" w:rsidRPr="00040FB6" w:rsidRDefault="00B03D3A" w:rsidP="00EF6658">
            <w:pPr>
              <w:rPr>
                <w:rFonts w:eastAsia="Times New Roman"/>
                <w:sz w:val="18"/>
                <w:szCs w:val="18"/>
                <w:lang w:val="en-GB"/>
              </w:rPr>
            </w:pPr>
            <w:r w:rsidRPr="00040FB6">
              <w:rPr>
                <w:rFonts w:eastAsia="Times New Roman"/>
                <w:sz w:val="18"/>
                <w:szCs w:val="18"/>
                <w:lang w:val="en-GB"/>
              </w:rPr>
              <w:t>Baseline: 600 (on average, 15% are women)</w:t>
            </w:r>
          </w:p>
          <w:p w:rsidR="00B03D3A" w:rsidRPr="00040FB6" w:rsidRDefault="00B03D3A" w:rsidP="00EF6658">
            <w:pPr>
              <w:rPr>
                <w:rFonts w:eastAsia="Times New Roman"/>
                <w:iCs/>
                <w:sz w:val="18"/>
                <w:szCs w:val="18"/>
                <w:lang w:val="en-GB"/>
              </w:rPr>
            </w:pPr>
            <w:r w:rsidRPr="00040FB6">
              <w:rPr>
                <w:rFonts w:eastAsia="Times New Roman"/>
                <w:sz w:val="18"/>
                <w:szCs w:val="18"/>
                <w:lang w:val="en-GB"/>
              </w:rPr>
              <w:lastRenderedPageBreak/>
              <w:t>Target: 2</w:t>
            </w:r>
            <w:r w:rsidR="008E2C17" w:rsidRPr="00040FB6">
              <w:rPr>
                <w:rFonts w:eastAsia="Times New Roman"/>
                <w:sz w:val="18"/>
                <w:szCs w:val="18"/>
                <w:lang w:val="en-GB"/>
              </w:rPr>
              <w:t>,</w:t>
            </w:r>
            <w:r w:rsidRPr="00040FB6">
              <w:rPr>
                <w:rFonts w:eastAsia="Times New Roman"/>
                <w:sz w:val="18"/>
                <w:szCs w:val="18"/>
                <w:lang w:val="en-GB"/>
              </w:rPr>
              <w:t xml:space="preserve">000 (at least 25% women) </w:t>
            </w:r>
          </w:p>
          <w:p w:rsidR="00B03D3A" w:rsidRPr="00040FB6" w:rsidRDefault="00B03D3A" w:rsidP="00EF6658">
            <w:pPr>
              <w:rPr>
                <w:rFonts w:eastAsia="Times New Roman"/>
                <w:iCs/>
                <w:sz w:val="18"/>
                <w:szCs w:val="18"/>
                <w:lang w:val="en-GB"/>
              </w:rPr>
            </w:pPr>
            <w:r w:rsidRPr="00040FB6">
              <w:rPr>
                <w:rFonts w:eastAsia="Times New Roman"/>
                <w:iCs/>
                <w:sz w:val="18"/>
                <w:szCs w:val="18"/>
                <w:lang w:val="en-GB"/>
              </w:rPr>
              <w:t xml:space="preserve">Source: Project reports, </w:t>
            </w:r>
            <w:r w:rsidR="008E2C17" w:rsidRPr="00040FB6">
              <w:rPr>
                <w:sz w:val="18"/>
                <w:szCs w:val="18"/>
                <w:lang w:val="en-GB"/>
              </w:rPr>
              <w:t>Iraq activity information database</w:t>
            </w:r>
          </w:p>
          <w:p w:rsidR="00DF63D7" w:rsidRPr="00040FB6" w:rsidRDefault="00B03D3A" w:rsidP="00EF6658">
            <w:pPr>
              <w:spacing w:after="120"/>
              <w:rPr>
                <w:sz w:val="20"/>
                <w:szCs w:val="20"/>
                <w:lang w:val="en-GB"/>
              </w:rPr>
            </w:pPr>
            <w:r w:rsidRPr="00040FB6">
              <w:rPr>
                <w:rFonts w:eastAsia="Times New Roman"/>
                <w:iCs/>
                <w:sz w:val="18"/>
                <w:szCs w:val="18"/>
                <w:lang w:val="en-GB"/>
              </w:rPr>
              <w:t>Frequency: Quarterly</w:t>
            </w:r>
          </w:p>
          <w:p w:rsidR="00DF63D7" w:rsidRPr="00040FB6" w:rsidRDefault="00B03D3A" w:rsidP="00EF6658">
            <w:pPr>
              <w:spacing w:after="120"/>
              <w:rPr>
                <w:sz w:val="20"/>
                <w:szCs w:val="20"/>
                <w:lang w:val="en-GB"/>
              </w:rPr>
            </w:pPr>
            <w:r w:rsidRPr="00040FB6">
              <w:rPr>
                <w:sz w:val="18"/>
                <w:szCs w:val="18"/>
                <w:lang w:val="en-GB"/>
              </w:rPr>
              <w:t>3.1.4</w:t>
            </w:r>
            <w:r w:rsidR="008E2C17" w:rsidRPr="00040FB6">
              <w:rPr>
                <w:sz w:val="18"/>
                <w:szCs w:val="18"/>
                <w:lang w:val="en-GB"/>
              </w:rPr>
              <w:t>.</w:t>
            </w:r>
            <w:r w:rsidRPr="00040FB6">
              <w:rPr>
                <w:sz w:val="18"/>
                <w:szCs w:val="18"/>
                <w:lang w:val="en-GB"/>
              </w:rPr>
              <w:t xml:space="preserve"> Local and provincial reconciliation processes established and functioning</w:t>
            </w:r>
          </w:p>
          <w:p w:rsidR="00B03D3A" w:rsidRPr="00040FB6" w:rsidRDefault="00B03D3A" w:rsidP="00EF6658">
            <w:pPr>
              <w:contextualSpacing/>
              <w:rPr>
                <w:sz w:val="18"/>
                <w:szCs w:val="18"/>
                <w:lang w:val="en-GB"/>
              </w:rPr>
            </w:pPr>
            <w:r w:rsidRPr="00040FB6">
              <w:rPr>
                <w:sz w:val="18"/>
                <w:szCs w:val="18"/>
                <w:lang w:val="en-GB"/>
              </w:rPr>
              <w:t>3.1.4.A</w:t>
            </w:r>
            <w:r w:rsidR="008E2C17" w:rsidRPr="00040FB6">
              <w:rPr>
                <w:sz w:val="18"/>
                <w:szCs w:val="18"/>
                <w:lang w:val="en-GB"/>
              </w:rPr>
              <w:t>.</w:t>
            </w:r>
            <w:r w:rsidRPr="00040FB6">
              <w:rPr>
                <w:sz w:val="18"/>
                <w:szCs w:val="18"/>
                <w:lang w:val="en-GB"/>
              </w:rPr>
              <w:t xml:space="preserve"> Number of </w:t>
            </w:r>
            <w:r w:rsidRPr="00040FB6">
              <w:rPr>
                <w:rFonts w:eastAsia="Times New Roman"/>
                <w:sz w:val="18"/>
                <w:szCs w:val="18"/>
                <w:lang w:val="en-GB"/>
              </w:rPr>
              <w:t xml:space="preserve">efforts to build consensus and foster </w:t>
            </w:r>
            <w:r w:rsidRPr="00040FB6">
              <w:rPr>
                <w:sz w:val="18"/>
                <w:szCs w:val="18"/>
                <w:lang w:val="en-GB"/>
              </w:rPr>
              <w:t xml:space="preserve">reconciliation that lead to specific agreements </w:t>
            </w:r>
          </w:p>
          <w:p w:rsidR="00B03D3A" w:rsidRPr="00040FB6" w:rsidRDefault="00B03D3A" w:rsidP="00EF6658">
            <w:pPr>
              <w:rPr>
                <w:sz w:val="18"/>
                <w:szCs w:val="18"/>
                <w:lang w:val="en-GB"/>
              </w:rPr>
            </w:pPr>
            <w:r w:rsidRPr="00040FB6">
              <w:rPr>
                <w:sz w:val="18"/>
                <w:szCs w:val="18"/>
                <w:lang w:val="en-GB"/>
              </w:rPr>
              <w:t xml:space="preserve">Baseline: 0 </w:t>
            </w:r>
          </w:p>
          <w:p w:rsidR="00B03D3A" w:rsidRPr="00040FB6" w:rsidRDefault="00B03D3A" w:rsidP="00EF6658">
            <w:pPr>
              <w:rPr>
                <w:sz w:val="18"/>
                <w:szCs w:val="18"/>
                <w:lang w:val="en-GB"/>
              </w:rPr>
            </w:pPr>
            <w:r w:rsidRPr="00040FB6">
              <w:rPr>
                <w:sz w:val="18"/>
                <w:szCs w:val="18"/>
                <w:lang w:val="en-GB"/>
              </w:rPr>
              <w:t xml:space="preserve">Target: </w:t>
            </w:r>
            <w:r w:rsidR="00351D34" w:rsidRPr="00040FB6">
              <w:rPr>
                <w:sz w:val="18"/>
                <w:szCs w:val="18"/>
                <w:lang w:val="en-GB"/>
              </w:rPr>
              <w:t xml:space="preserve">1 per tension hotspot (sub-district level), estimated 15 tension hotspots throughout </w:t>
            </w:r>
            <w:r w:rsidR="00284547" w:rsidRPr="00040FB6">
              <w:rPr>
                <w:sz w:val="18"/>
                <w:szCs w:val="18"/>
                <w:lang w:val="en-GB"/>
              </w:rPr>
              <w:t>the Kurdistan r</w:t>
            </w:r>
            <w:r w:rsidR="008E2C17" w:rsidRPr="00040FB6">
              <w:rPr>
                <w:sz w:val="18"/>
                <w:szCs w:val="18"/>
                <w:lang w:val="en-GB"/>
              </w:rPr>
              <w:t xml:space="preserve">egion </w:t>
            </w:r>
            <w:r w:rsidR="00351D34" w:rsidRPr="00040FB6">
              <w:rPr>
                <w:sz w:val="18"/>
                <w:szCs w:val="18"/>
                <w:lang w:val="en-GB"/>
              </w:rPr>
              <w:t>and Iraq</w:t>
            </w:r>
          </w:p>
          <w:p w:rsidR="00B03D3A" w:rsidRPr="00040FB6" w:rsidRDefault="00B03D3A" w:rsidP="00EF6658">
            <w:pPr>
              <w:rPr>
                <w:rFonts w:eastAsia="Times New Roman"/>
                <w:sz w:val="18"/>
                <w:szCs w:val="18"/>
                <w:lang w:val="en-GB"/>
              </w:rPr>
            </w:pPr>
            <w:r w:rsidRPr="00040FB6">
              <w:rPr>
                <w:sz w:val="18"/>
                <w:szCs w:val="18"/>
                <w:lang w:val="en-GB"/>
              </w:rPr>
              <w:t>Source:</w:t>
            </w:r>
            <w:r w:rsidRPr="00040FB6">
              <w:rPr>
                <w:rFonts w:eastAsia="Times New Roman"/>
                <w:sz w:val="18"/>
                <w:szCs w:val="18"/>
                <w:lang w:val="en-GB"/>
              </w:rPr>
              <w:t xml:space="preserve"> Perception </w:t>
            </w:r>
            <w:r w:rsidR="008E2C17" w:rsidRPr="00040FB6">
              <w:rPr>
                <w:rFonts w:eastAsia="Times New Roman"/>
                <w:sz w:val="18"/>
                <w:szCs w:val="18"/>
                <w:lang w:val="en-GB"/>
              </w:rPr>
              <w:t>s</w:t>
            </w:r>
            <w:r w:rsidRPr="00040FB6">
              <w:rPr>
                <w:rFonts w:eastAsia="Times New Roman"/>
                <w:sz w:val="18"/>
                <w:szCs w:val="18"/>
                <w:lang w:val="en-GB"/>
              </w:rPr>
              <w:t xml:space="preserve">urvey in </w:t>
            </w:r>
            <w:r w:rsidR="008E2C17" w:rsidRPr="00040FB6">
              <w:rPr>
                <w:rFonts w:eastAsia="Times New Roman"/>
                <w:sz w:val="18"/>
                <w:szCs w:val="18"/>
                <w:lang w:val="en-GB"/>
              </w:rPr>
              <w:t>a</w:t>
            </w:r>
            <w:r w:rsidRPr="00040FB6">
              <w:rPr>
                <w:rFonts w:eastAsia="Times New Roman"/>
                <w:sz w:val="18"/>
                <w:szCs w:val="18"/>
                <w:lang w:val="en-GB"/>
              </w:rPr>
              <w:t>reas of programming with individuals targeted</w:t>
            </w:r>
            <w:r w:rsidR="008E2C17" w:rsidRPr="00040FB6">
              <w:rPr>
                <w:rFonts w:eastAsia="Times New Roman"/>
                <w:sz w:val="18"/>
                <w:szCs w:val="18"/>
                <w:lang w:val="en-GB"/>
              </w:rPr>
              <w:t xml:space="preserve">, </w:t>
            </w:r>
            <w:r w:rsidRPr="00040FB6">
              <w:rPr>
                <w:rFonts w:eastAsia="Times New Roman"/>
                <w:sz w:val="18"/>
                <w:szCs w:val="18"/>
                <w:lang w:val="en-GB"/>
              </w:rPr>
              <w:t xml:space="preserve">Social Cohesion and Reconciliation Index; Annual </w:t>
            </w:r>
            <w:r w:rsidR="008E2C17" w:rsidRPr="00040FB6">
              <w:rPr>
                <w:rFonts w:eastAsia="Times New Roman"/>
                <w:sz w:val="18"/>
                <w:szCs w:val="18"/>
                <w:lang w:val="en-GB"/>
              </w:rPr>
              <w:t xml:space="preserve">report of support for social cohesion </w:t>
            </w:r>
            <w:r w:rsidRPr="00040FB6">
              <w:rPr>
                <w:rFonts w:eastAsia="Times New Roman"/>
                <w:sz w:val="18"/>
                <w:szCs w:val="18"/>
                <w:lang w:val="en-GB"/>
              </w:rPr>
              <w:t>in Iraq</w:t>
            </w:r>
          </w:p>
          <w:p w:rsidR="00DF63D7" w:rsidRPr="00040FB6" w:rsidRDefault="00B03D3A" w:rsidP="00EF6658">
            <w:pPr>
              <w:spacing w:after="120"/>
              <w:rPr>
                <w:sz w:val="20"/>
                <w:szCs w:val="20"/>
                <w:lang w:val="en-GB"/>
              </w:rPr>
            </w:pPr>
            <w:r w:rsidRPr="00040FB6">
              <w:rPr>
                <w:rFonts w:eastAsia="Times New Roman"/>
                <w:sz w:val="18"/>
                <w:szCs w:val="18"/>
                <w:lang w:val="en-GB"/>
              </w:rPr>
              <w:t>Frequency: Quarterly</w:t>
            </w:r>
          </w:p>
          <w:p w:rsidR="00B03D3A" w:rsidRPr="00040FB6" w:rsidRDefault="00B03D3A" w:rsidP="00EF6658">
            <w:pPr>
              <w:contextualSpacing/>
              <w:rPr>
                <w:sz w:val="18"/>
                <w:szCs w:val="18"/>
                <w:lang w:val="en-GB"/>
              </w:rPr>
            </w:pPr>
            <w:r w:rsidRPr="00040FB6">
              <w:rPr>
                <w:sz w:val="18"/>
                <w:szCs w:val="18"/>
                <w:lang w:val="en-GB"/>
              </w:rPr>
              <w:t>3.1.4.B</w:t>
            </w:r>
            <w:r w:rsidR="008E2C17" w:rsidRPr="00040FB6">
              <w:rPr>
                <w:sz w:val="18"/>
                <w:szCs w:val="18"/>
                <w:lang w:val="en-GB"/>
              </w:rPr>
              <w:t>.</w:t>
            </w:r>
            <w:r w:rsidRPr="00040FB6">
              <w:rPr>
                <w:sz w:val="18"/>
                <w:szCs w:val="18"/>
                <w:lang w:val="en-GB"/>
              </w:rPr>
              <w:t xml:space="preserve"> Attendance of different parties relevant to local conflict in reconciliation processes</w:t>
            </w:r>
          </w:p>
          <w:p w:rsidR="00B03D3A" w:rsidRPr="00040FB6" w:rsidRDefault="00B03D3A" w:rsidP="00EF6658">
            <w:pPr>
              <w:rPr>
                <w:sz w:val="18"/>
                <w:szCs w:val="18"/>
                <w:lang w:val="en-GB"/>
              </w:rPr>
            </w:pPr>
            <w:r w:rsidRPr="00040FB6">
              <w:rPr>
                <w:sz w:val="18"/>
                <w:szCs w:val="18"/>
                <w:lang w:val="en-GB"/>
              </w:rPr>
              <w:t>Baseline: None</w:t>
            </w:r>
          </w:p>
          <w:p w:rsidR="00B03D3A" w:rsidRPr="00040FB6" w:rsidRDefault="00856215" w:rsidP="00EF6658">
            <w:pPr>
              <w:tabs>
                <w:tab w:val="left" w:pos="1050"/>
              </w:tabs>
              <w:rPr>
                <w:sz w:val="18"/>
                <w:szCs w:val="18"/>
                <w:lang w:val="en-GB"/>
              </w:rPr>
            </w:pPr>
            <w:r w:rsidRPr="00040FB6">
              <w:rPr>
                <w:sz w:val="18"/>
                <w:szCs w:val="18"/>
                <w:lang w:val="en-GB"/>
              </w:rPr>
              <w:t>Target: 200 per province</w:t>
            </w:r>
          </w:p>
          <w:p w:rsidR="00B03D3A" w:rsidRPr="00040FB6" w:rsidRDefault="00B03D3A" w:rsidP="00EF6658">
            <w:pPr>
              <w:rPr>
                <w:sz w:val="18"/>
                <w:szCs w:val="18"/>
                <w:lang w:val="en-GB"/>
              </w:rPr>
            </w:pPr>
            <w:r w:rsidRPr="00040FB6">
              <w:rPr>
                <w:sz w:val="18"/>
                <w:szCs w:val="18"/>
                <w:lang w:val="en-GB"/>
              </w:rPr>
              <w:t>Source: Project reports</w:t>
            </w:r>
          </w:p>
          <w:p w:rsidR="00DF63D7" w:rsidRPr="00040FB6" w:rsidRDefault="00B03D3A" w:rsidP="00EF6658">
            <w:pPr>
              <w:spacing w:after="120"/>
              <w:rPr>
                <w:sz w:val="20"/>
                <w:szCs w:val="20"/>
                <w:lang w:val="en-GB"/>
              </w:rPr>
            </w:pPr>
            <w:r w:rsidRPr="00040FB6">
              <w:rPr>
                <w:sz w:val="18"/>
                <w:szCs w:val="18"/>
                <w:lang w:val="en-GB"/>
              </w:rPr>
              <w:t>Frequency: Quarterly</w:t>
            </w:r>
          </w:p>
          <w:p w:rsidR="00B03D3A" w:rsidRPr="00040FB6" w:rsidRDefault="00B03D3A" w:rsidP="00EF6658">
            <w:pPr>
              <w:tabs>
                <w:tab w:val="right" w:pos="9020"/>
              </w:tabs>
              <w:rPr>
                <w:rFonts w:eastAsia="Times New Roman"/>
                <w:sz w:val="18"/>
                <w:szCs w:val="18"/>
                <w:lang w:val="en-GB"/>
              </w:rPr>
            </w:pPr>
            <w:r w:rsidRPr="00040FB6">
              <w:rPr>
                <w:sz w:val="18"/>
                <w:szCs w:val="18"/>
                <w:lang w:val="en-GB"/>
              </w:rPr>
              <w:t>3.1.4.C</w:t>
            </w:r>
            <w:r w:rsidR="00E1577D" w:rsidRPr="00040FB6">
              <w:rPr>
                <w:sz w:val="18"/>
                <w:szCs w:val="18"/>
                <w:lang w:val="en-GB"/>
              </w:rPr>
              <w:t>.</w:t>
            </w:r>
            <w:r w:rsidRPr="00040FB6">
              <w:rPr>
                <w:sz w:val="18"/>
                <w:szCs w:val="18"/>
                <w:lang w:val="en-GB"/>
              </w:rPr>
              <w:t xml:space="preserve"> Number of reconciliation activities led by youth</w:t>
            </w:r>
            <w:r w:rsidR="00E1577D" w:rsidRPr="00040FB6">
              <w:rPr>
                <w:sz w:val="18"/>
                <w:szCs w:val="18"/>
                <w:lang w:val="en-GB"/>
              </w:rPr>
              <w:t>,</w:t>
            </w:r>
            <w:r w:rsidRPr="00040FB6">
              <w:rPr>
                <w:sz w:val="18"/>
                <w:szCs w:val="18"/>
                <w:lang w:val="en-GB"/>
              </w:rPr>
              <w:t xml:space="preserve"> NGOs</w:t>
            </w:r>
            <w:r w:rsidR="00E1577D" w:rsidRPr="00040FB6">
              <w:rPr>
                <w:sz w:val="18"/>
                <w:szCs w:val="18"/>
                <w:lang w:val="en-GB"/>
              </w:rPr>
              <w:t>,</w:t>
            </w:r>
            <w:r w:rsidRPr="00040FB6">
              <w:rPr>
                <w:sz w:val="18"/>
                <w:szCs w:val="18"/>
                <w:lang w:val="en-GB"/>
              </w:rPr>
              <w:t xml:space="preserve"> women’s groups </w:t>
            </w:r>
          </w:p>
          <w:p w:rsidR="00B03D3A" w:rsidRPr="00040FB6" w:rsidRDefault="00B03D3A" w:rsidP="00EF6658">
            <w:pPr>
              <w:rPr>
                <w:sz w:val="18"/>
                <w:szCs w:val="18"/>
                <w:lang w:val="en-GB"/>
              </w:rPr>
            </w:pPr>
            <w:r w:rsidRPr="00040FB6">
              <w:rPr>
                <w:sz w:val="18"/>
                <w:szCs w:val="18"/>
                <w:lang w:val="en-GB"/>
              </w:rPr>
              <w:t>Baseline: 0</w:t>
            </w:r>
            <w:r w:rsidR="00E1577D" w:rsidRPr="00040FB6">
              <w:rPr>
                <w:sz w:val="18"/>
                <w:szCs w:val="18"/>
                <w:lang w:val="en-GB"/>
              </w:rPr>
              <w:t xml:space="preserve">; </w:t>
            </w:r>
            <w:r w:rsidRPr="00040FB6">
              <w:rPr>
                <w:sz w:val="18"/>
                <w:szCs w:val="18"/>
                <w:lang w:val="en-GB"/>
              </w:rPr>
              <w:t>Target: 5 per governorate</w:t>
            </w:r>
          </w:p>
          <w:p w:rsidR="00B03D3A" w:rsidRPr="00040FB6" w:rsidRDefault="00B03D3A" w:rsidP="00EF6658">
            <w:pPr>
              <w:tabs>
                <w:tab w:val="right" w:pos="9020"/>
              </w:tabs>
              <w:rPr>
                <w:rFonts w:eastAsia="Times New Roman"/>
                <w:sz w:val="18"/>
                <w:szCs w:val="18"/>
                <w:lang w:val="en-GB"/>
              </w:rPr>
            </w:pPr>
            <w:r w:rsidRPr="00040FB6">
              <w:rPr>
                <w:sz w:val="18"/>
                <w:szCs w:val="18"/>
                <w:lang w:val="en-GB"/>
              </w:rPr>
              <w:t>Source:</w:t>
            </w:r>
            <w:r w:rsidRPr="00040FB6">
              <w:rPr>
                <w:rFonts w:eastAsia="Times New Roman"/>
                <w:sz w:val="18"/>
                <w:szCs w:val="18"/>
                <w:lang w:val="en-GB"/>
              </w:rPr>
              <w:t xml:space="preserve"> Local NGOs</w:t>
            </w:r>
            <w:r w:rsidR="00E1577D" w:rsidRPr="00040FB6">
              <w:rPr>
                <w:rFonts w:eastAsia="Times New Roman"/>
                <w:sz w:val="18"/>
                <w:szCs w:val="18"/>
                <w:lang w:val="en-GB"/>
              </w:rPr>
              <w:t xml:space="preserve">, </w:t>
            </w:r>
            <w:r w:rsidRPr="00040FB6">
              <w:rPr>
                <w:rFonts w:eastAsia="Times New Roman"/>
                <w:sz w:val="18"/>
                <w:szCs w:val="18"/>
                <w:lang w:val="en-GB"/>
              </w:rPr>
              <w:t xml:space="preserve">community centre; Annual </w:t>
            </w:r>
            <w:r w:rsidR="00E1577D" w:rsidRPr="00040FB6">
              <w:rPr>
                <w:rFonts w:eastAsia="Times New Roman"/>
                <w:sz w:val="18"/>
                <w:szCs w:val="18"/>
                <w:lang w:val="en-GB"/>
              </w:rPr>
              <w:t xml:space="preserve">report of support for social cohesion </w:t>
            </w:r>
            <w:r w:rsidRPr="00040FB6">
              <w:rPr>
                <w:rFonts w:eastAsia="Times New Roman"/>
                <w:sz w:val="18"/>
                <w:szCs w:val="18"/>
                <w:lang w:val="en-GB"/>
              </w:rPr>
              <w:t>in Iraq</w:t>
            </w:r>
          </w:p>
          <w:p w:rsidR="00DF63D7" w:rsidRPr="00040FB6" w:rsidRDefault="00B03D3A" w:rsidP="00EF6658">
            <w:pPr>
              <w:spacing w:after="120"/>
              <w:rPr>
                <w:sz w:val="20"/>
                <w:szCs w:val="20"/>
                <w:lang w:val="en-GB"/>
              </w:rPr>
            </w:pPr>
            <w:r w:rsidRPr="00040FB6">
              <w:rPr>
                <w:rFonts w:eastAsia="Times New Roman"/>
                <w:sz w:val="18"/>
                <w:szCs w:val="18"/>
                <w:lang w:val="en-GB"/>
              </w:rPr>
              <w:t>Frequency: Quarterly</w:t>
            </w:r>
          </w:p>
          <w:p w:rsidR="00DF63D7" w:rsidRPr="00040FB6" w:rsidRDefault="00B03D3A" w:rsidP="00EF6658">
            <w:pPr>
              <w:spacing w:after="120"/>
              <w:rPr>
                <w:sz w:val="20"/>
                <w:szCs w:val="20"/>
                <w:lang w:val="en-GB"/>
              </w:rPr>
            </w:pPr>
            <w:r w:rsidRPr="00040FB6">
              <w:rPr>
                <w:rFonts w:eastAsia="Times New Roman"/>
                <w:sz w:val="18"/>
                <w:szCs w:val="18"/>
                <w:lang w:val="en-GB"/>
              </w:rPr>
              <w:t>3.1.5</w:t>
            </w:r>
            <w:r w:rsidR="00E1577D" w:rsidRPr="00040FB6">
              <w:rPr>
                <w:rFonts w:eastAsia="Times New Roman"/>
                <w:sz w:val="18"/>
                <w:szCs w:val="18"/>
                <w:lang w:val="en-GB"/>
              </w:rPr>
              <w:t>.</w:t>
            </w:r>
            <w:r w:rsidRPr="00040FB6">
              <w:rPr>
                <w:rFonts w:eastAsia="Times New Roman"/>
                <w:sz w:val="18"/>
                <w:szCs w:val="18"/>
                <w:lang w:val="en-GB"/>
              </w:rPr>
              <w:t xml:space="preserve"> Technical support provided at the governorate level in the </w:t>
            </w:r>
            <w:r w:rsidR="00E1577D" w:rsidRPr="00040FB6">
              <w:rPr>
                <w:rFonts w:eastAsia="Times New Roman"/>
                <w:sz w:val="18"/>
                <w:szCs w:val="18"/>
                <w:lang w:val="en-GB"/>
              </w:rPr>
              <w:t>Kurd</w:t>
            </w:r>
            <w:r w:rsidR="00284547" w:rsidRPr="00040FB6">
              <w:rPr>
                <w:rFonts w:eastAsia="Times New Roman"/>
                <w:sz w:val="18"/>
                <w:szCs w:val="18"/>
                <w:lang w:val="en-GB"/>
              </w:rPr>
              <w:t>istan r</w:t>
            </w:r>
            <w:r w:rsidR="00E1577D" w:rsidRPr="00040FB6">
              <w:rPr>
                <w:rFonts w:eastAsia="Times New Roman"/>
                <w:sz w:val="18"/>
                <w:szCs w:val="18"/>
                <w:lang w:val="en-GB"/>
              </w:rPr>
              <w:t xml:space="preserve">egion </w:t>
            </w:r>
            <w:r w:rsidRPr="00040FB6">
              <w:rPr>
                <w:rFonts w:eastAsia="Times New Roman"/>
                <w:sz w:val="18"/>
                <w:szCs w:val="18"/>
                <w:lang w:val="en-GB"/>
              </w:rPr>
              <w:t>to improve crisis response</w:t>
            </w:r>
          </w:p>
          <w:p w:rsidR="00B03D3A" w:rsidRPr="00040FB6" w:rsidRDefault="00B03D3A" w:rsidP="00EF6658">
            <w:pPr>
              <w:tabs>
                <w:tab w:val="right" w:pos="9020"/>
              </w:tabs>
              <w:rPr>
                <w:rFonts w:eastAsia="Times New Roman"/>
                <w:iCs/>
                <w:sz w:val="18"/>
                <w:szCs w:val="18"/>
                <w:lang w:val="en-GB"/>
              </w:rPr>
            </w:pPr>
            <w:r w:rsidRPr="00040FB6">
              <w:rPr>
                <w:rFonts w:eastAsia="Times New Roman"/>
                <w:iCs/>
                <w:sz w:val="18"/>
                <w:szCs w:val="18"/>
                <w:lang w:val="en-GB"/>
              </w:rPr>
              <w:t>3.1.5.A</w:t>
            </w:r>
            <w:r w:rsidR="00E1577D" w:rsidRPr="00040FB6">
              <w:rPr>
                <w:rFonts w:eastAsia="Times New Roman"/>
                <w:iCs/>
                <w:sz w:val="18"/>
                <w:szCs w:val="18"/>
                <w:lang w:val="en-GB"/>
              </w:rPr>
              <w:t>.</w:t>
            </w:r>
            <w:r w:rsidRPr="00040FB6">
              <w:rPr>
                <w:rFonts w:eastAsia="Times New Roman"/>
                <w:iCs/>
                <w:sz w:val="18"/>
                <w:szCs w:val="18"/>
                <w:lang w:val="en-GB"/>
              </w:rPr>
              <w:t xml:space="preserve"> Crisis </w:t>
            </w:r>
            <w:r w:rsidR="00E1577D" w:rsidRPr="00040FB6">
              <w:rPr>
                <w:rFonts w:eastAsia="Times New Roman"/>
                <w:iCs/>
                <w:sz w:val="18"/>
                <w:szCs w:val="18"/>
                <w:lang w:val="en-GB"/>
              </w:rPr>
              <w:t>r</w:t>
            </w:r>
            <w:r w:rsidRPr="00040FB6">
              <w:rPr>
                <w:rFonts w:eastAsia="Times New Roman"/>
                <w:iCs/>
                <w:sz w:val="18"/>
                <w:szCs w:val="18"/>
                <w:lang w:val="en-GB"/>
              </w:rPr>
              <w:t>esponse coordination, management, structures established and fully functioning</w:t>
            </w:r>
          </w:p>
          <w:p w:rsidR="00B03D3A" w:rsidRPr="00040FB6" w:rsidRDefault="00B03D3A" w:rsidP="00EF6658">
            <w:pPr>
              <w:tabs>
                <w:tab w:val="right" w:pos="9020"/>
              </w:tabs>
              <w:rPr>
                <w:rFonts w:eastAsia="Times New Roman"/>
                <w:iCs/>
                <w:sz w:val="18"/>
                <w:szCs w:val="18"/>
                <w:lang w:val="en-GB"/>
              </w:rPr>
            </w:pPr>
            <w:r w:rsidRPr="00040FB6">
              <w:rPr>
                <w:rFonts w:eastAsia="Times New Roman"/>
                <w:iCs/>
                <w:sz w:val="18"/>
                <w:szCs w:val="18"/>
                <w:lang w:val="en-GB"/>
              </w:rPr>
              <w:t>Baseline: Crisis response structures established</w:t>
            </w:r>
          </w:p>
          <w:p w:rsidR="00B03D3A" w:rsidRPr="00040FB6" w:rsidRDefault="00B03D3A" w:rsidP="00EF6658">
            <w:pPr>
              <w:tabs>
                <w:tab w:val="right" w:pos="9020"/>
              </w:tabs>
              <w:rPr>
                <w:rFonts w:eastAsia="Times New Roman"/>
                <w:iCs/>
                <w:sz w:val="18"/>
                <w:szCs w:val="18"/>
                <w:lang w:val="en-GB"/>
              </w:rPr>
            </w:pPr>
            <w:r w:rsidRPr="00040FB6">
              <w:rPr>
                <w:rFonts w:eastAsia="Times New Roman"/>
                <w:iCs/>
                <w:sz w:val="18"/>
                <w:szCs w:val="18"/>
                <w:lang w:val="en-GB"/>
              </w:rPr>
              <w:lastRenderedPageBreak/>
              <w:t>Target: Joint Coordination Committee is able to provide reliable data on the crisis and inform decision</w:t>
            </w:r>
            <w:r w:rsidR="00E1577D" w:rsidRPr="00040FB6">
              <w:rPr>
                <w:rFonts w:eastAsia="Times New Roman"/>
                <w:iCs/>
                <w:sz w:val="18"/>
                <w:szCs w:val="18"/>
                <w:lang w:val="en-GB"/>
              </w:rPr>
              <w:t>-</w:t>
            </w:r>
            <w:r w:rsidRPr="00040FB6">
              <w:rPr>
                <w:rFonts w:eastAsia="Times New Roman"/>
                <w:iCs/>
                <w:sz w:val="18"/>
                <w:szCs w:val="18"/>
                <w:lang w:val="en-GB"/>
              </w:rPr>
              <w:t>makers on gaps and response capacity</w:t>
            </w:r>
            <w:r w:rsidR="00E1577D" w:rsidRPr="00040FB6">
              <w:rPr>
                <w:rFonts w:eastAsia="Times New Roman"/>
                <w:iCs/>
                <w:sz w:val="18"/>
                <w:szCs w:val="18"/>
                <w:lang w:val="en-GB"/>
              </w:rPr>
              <w:t>,</w:t>
            </w:r>
            <w:r w:rsidRPr="00040FB6">
              <w:rPr>
                <w:rFonts w:eastAsia="Times New Roman"/>
                <w:iCs/>
                <w:sz w:val="18"/>
                <w:szCs w:val="18"/>
                <w:lang w:val="en-GB"/>
              </w:rPr>
              <w:t xml:space="preserve"> </w:t>
            </w:r>
            <w:r w:rsidR="00E1577D" w:rsidRPr="00040FB6">
              <w:rPr>
                <w:rFonts w:eastAsia="Times New Roman"/>
                <w:iCs/>
                <w:sz w:val="18"/>
                <w:szCs w:val="18"/>
                <w:lang w:val="en-GB"/>
              </w:rPr>
              <w:t>and</w:t>
            </w:r>
            <w:r w:rsidRPr="00040FB6">
              <w:rPr>
                <w:rFonts w:eastAsia="Times New Roman"/>
                <w:iCs/>
                <w:sz w:val="18"/>
                <w:szCs w:val="18"/>
                <w:lang w:val="en-GB"/>
              </w:rPr>
              <w:t xml:space="preserve"> consolidated response plans</w:t>
            </w:r>
          </w:p>
          <w:p w:rsidR="00B03D3A" w:rsidRPr="00040FB6" w:rsidRDefault="00B03D3A" w:rsidP="00EF6658">
            <w:pPr>
              <w:tabs>
                <w:tab w:val="right" w:pos="9020"/>
              </w:tabs>
              <w:rPr>
                <w:rFonts w:eastAsia="Times New Roman"/>
                <w:iCs/>
                <w:sz w:val="18"/>
                <w:szCs w:val="18"/>
                <w:lang w:val="en-GB"/>
              </w:rPr>
            </w:pPr>
            <w:r w:rsidRPr="00040FB6">
              <w:rPr>
                <w:rFonts w:eastAsia="Times New Roman"/>
                <w:iCs/>
                <w:sz w:val="18"/>
                <w:szCs w:val="18"/>
                <w:lang w:val="en-GB"/>
              </w:rPr>
              <w:t xml:space="preserve">Source: Project </w:t>
            </w:r>
            <w:r w:rsidR="00E1577D" w:rsidRPr="00040FB6">
              <w:rPr>
                <w:rFonts w:eastAsia="Times New Roman"/>
                <w:iCs/>
                <w:sz w:val="18"/>
                <w:szCs w:val="18"/>
                <w:lang w:val="en-GB"/>
              </w:rPr>
              <w:t>r</w:t>
            </w:r>
            <w:r w:rsidRPr="00040FB6">
              <w:rPr>
                <w:rFonts w:eastAsia="Times New Roman"/>
                <w:iCs/>
                <w:sz w:val="18"/>
                <w:szCs w:val="18"/>
                <w:lang w:val="en-GB"/>
              </w:rPr>
              <w:t>eports</w:t>
            </w:r>
          </w:p>
          <w:p w:rsidR="00DF63D7" w:rsidRPr="00040FB6" w:rsidRDefault="00B03D3A" w:rsidP="00EF6658">
            <w:pPr>
              <w:spacing w:after="120"/>
              <w:rPr>
                <w:sz w:val="20"/>
                <w:szCs w:val="20"/>
                <w:lang w:val="en-GB"/>
              </w:rPr>
            </w:pPr>
            <w:r w:rsidRPr="00040FB6">
              <w:rPr>
                <w:rFonts w:eastAsia="Times New Roman"/>
                <w:iCs/>
                <w:sz w:val="18"/>
                <w:szCs w:val="18"/>
                <w:lang w:val="en-GB"/>
              </w:rPr>
              <w:t>Frequency: Quarterly</w:t>
            </w:r>
          </w:p>
          <w:p w:rsidR="00DF63D7" w:rsidRPr="00040FB6" w:rsidRDefault="00B03D3A" w:rsidP="00EF6658">
            <w:pPr>
              <w:spacing w:after="120"/>
              <w:rPr>
                <w:sz w:val="20"/>
                <w:szCs w:val="20"/>
                <w:lang w:val="en-GB"/>
              </w:rPr>
            </w:pPr>
            <w:r w:rsidRPr="00040FB6">
              <w:rPr>
                <w:rFonts w:eastAsia="Times New Roman"/>
                <w:sz w:val="18"/>
                <w:szCs w:val="18"/>
                <w:lang w:val="en-GB"/>
              </w:rPr>
              <w:t>3.1.6</w:t>
            </w:r>
            <w:r w:rsidR="00E1577D" w:rsidRPr="00040FB6">
              <w:rPr>
                <w:rFonts w:eastAsia="Times New Roman"/>
                <w:sz w:val="18"/>
                <w:szCs w:val="18"/>
                <w:lang w:val="en-GB"/>
              </w:rPr>
              <w:t>.</w:t>
            </w:r>
            <w:r w:rsidRPr="00040FB6">
              <w:rPr>
                <w:rFonts w:eastAsia="Times New Roman"/>
                <w:sz w:val="18"/>
                <w:szCs w:val="18"/>
                <w:lang w:val="en-GB"/>
              </w:rPr>
              <w:t xml:space="preserve"> Improved participatory decentralized basic service delivery in </w:t>
            </w:r>
            <w:r w:rsidR="00284547" w:rsidRPr="00040FB6">
              <w:rPr>
                <w:rFonts w:eastAsia="Times New Roman"/>
                <w:sz w:val="18"/>
                <w:szCs w:val="18"/>
                <w:lang w:val="en-GB"/>
              </w:rPr>
              <w:t>Kurdistan r</w:t>
            </w:r>
            <w:r w:rsidR="00E1577D" w:rsidRPr="00040FB6">
              <w:rPr>
                <w:rFonts w:eastAsia="Times New Roman"/>
                <w:sz w:val="18"/>
                <w:szCs w:val="18"/>
                <w:lang w:val="en-GB"/>
              </w:rPr>
              <w:t xml:space="preserve">egion </w:t>
            </w:r>
            <w:r w:rsidRPr="00040FB6">
              <w:rPr>
                <w:rFonts w:eastAsia="Times New Roman"/>
                <w:sz w:val="18"/>
                <w:szCs w:val="18"/>
                <w:lang w:val="en-GB"/>
              </w:rPr>
              <w:t xml:space="preserve">host communities and </w:t>
            </w:r>
            <w:r w:rsidR="00E1577D" w:rsidRPr="00040FB6">
              <w:rPr>
                <w:rFonts w:eastAsia="Times New Roman"/>
                <w:sz w:val="18"/>
                <w:szCs w:val="18"/>
                <w:lang w:val="en-GB"/>
              </w:rPr>
              <w:t>internally displaced persons</w:t>
            </w:r>
            <w:r w:rsidRPr="00040FB6">
              <w:rPr>
                <w:rFonts w:eastAsia="Times New Roman"/>
                <w:sz w:val="18"/>
                <w:szCs w:val="18"/>
                <w:lang w:val="en-GB"/>
              </w:rPr>
              <w:t>/refugee camps</w:t>
            </w:r>
          </w:p>
          <w:p w:rsidR="00B03D3A" w:rsidRPr="00040FB6" w:rsidRDefault="00B03D3A" w:rsidP="00EF6658">
            <w:pPr>
              <w:tabs>
                <w:tab w:val="right" w:pos="9020"/>
              </w:tabs>
              <w:rPr>
                <w:rFonts w:eastAsia="Times New Roman"/>
                <w:sz w:val="18"/>
                <w:szCs w:val="18"/>
                <w:lang w:val="en-GB"/>
              </w:rPr>
            </w:pPr>
            <w:r w:rsidRPr="00040FB6">
              <w:rPr>
                <w:rFonts w:eastAsia="Times New Roman"/>
                <w:sz w:val="18"/>
                <w:szCs w:val="18"/>
                <w:lang w:val="en-GB"/>
              </w:rPr>
              <w:t>3.1.6.A</w:t>
            </w:r>
            <w:r w:rsidR="00E1577D" w:rsidRPr="00040FB6">
              <w:rPr>
                <w:rFonts w:eastAsia="Times New Roman"/>
                <w:sz w:val="18"/>
                <w:szCs w:val="18"/>
                <w:lang w:val="en-GB"/>
              </w:rPr>
              <w:t>.</w:t>
            </w:r>
            <w:r w:rsidRPr="00040FB6">
              <w:rPr>
                <w:rFonts w:eastAsia="Times New Roman"/>
                <w:sz w:val="18"/>
                <w:szCs w:val="18"/>
                <w:lang w:val="en-GB"/>
              </w:rPr>
              <w:t xml:space="preserve"> </w:t>
            </w:r>
            <w:r w:rsidR="00E1577D" w:rsidRPr="00040FB6">
              <w:rPr>
                <w:rFonts w:eastAsia="Times New Roman"/>
                <w:sz w:val="18"/>
                <w:szCs w:val="18"/>
                <w:lang w:val="en-GB"/>
              </w:rPr>
              <w:t>Number</w:t>
            </w:r>
            <w:r w:rsidRPr="00040FB6">
              <w:rPr>
                <w:rFonts w:eastAsia="Times New Roman"/>
                <w:sz w:val="18"/>
                <w:szCs w:val="18"/>
                <w:lang w:val="en-GB"/>
              </w:rPr>
              <w:t xml:space="preserve"> of districts implementing community restoration initiatives undertaken through partnerships between local authorities, community organizations, </w:t>
            </w:r>
            <w:r w:rsidR="00E1577D" w:rsidRPr="00040FB6">
              <w:rPr>
                <w:rFonts w:eastAsia="Times New Roman"/>
                <w:sz w:val="18"/>
                <w:szCs w:val="18"/>
                <w:lang w:val="en-GB"/>
              </w:rPr>
              <w:t xml:space="preserve">and </w:t>
            </w:r>
            <w:r w:rsidRPr="00040FB6">
              <w:rPr>
                <w:rFonts w:eastAsia="Times New Roman"/>
                <w:sz w:val="18"/>
                <w:szCs w:val="18"/>
                <w:lang w:val="en-GB"/>
              </w:rPr>
              <w:t>private sector entities</w:t>
            </w:r>
            <w:r w:rsidR="00E1577D" w:rsidRPr="00040FB6">
              <w:rPr>
                <w:rFonts w:eastAsia="Times New Roman"/>
                <w:sz w:val="18"/>
                <w:szCs w:val="18"/>
                <w:lang w:val="en-GB"/>
              </w:rPr>
              <w:t>;</w:t>
            </w:r>
            <w:r w:rsidRPr="00040FB6">
              <w:rPr>
                <w:rFonts w:eastAsia="Times New Roman"/>
                <w:sz w:val="18"/>
                <w:szCs w:val="18"/>
                <w:lang w:val="en-GB"/>
              </w:rPr>
              <w:t xml:space="preserve"> amount of contributions provided by each of these</w:t>
            </w:r>
          </w:p>
          <w:p w:rsidR="00B03D3A" w:rsidRPr="00040FB6" w:rsidRDefault="00B03D3A" w:rsidP="00EF6658">
            <w:pPr>
              <w:tabs>
                <w:tab w:val="right" w:pos="9020"/>
              </w:tabs>
              <w:rPr>
                <w:rFonts w:eastAsia="Times New Roman"/>
                <w:sz w:val="18"/>
                <w:szCs w:val="18"/>
                <w:lang w:val="en-GB"/>
              </w:rPr>
            </w:pPr>
            <w:r w:rsidRPr="00040FB6">
              <w:rPr>
                <w:rFonts w:eastAsia="Times New Roman"/>
                <w:sz w:val="18"/>
                <w:szCs w:val="18"/>
                <w:lang w:val="en-GB"/>
              </w:rPr>
              <w:t>Baseline: 0</w:t>
            </w:r>
            <w:r w:rsidR="00E1577D" w:rsidRPr="00040FB6">
              <w:rPr>
                <w:rFonts w:eastAsia="Times New Roman"/>
                <w:sz w:val="18"/>
                <w:szCs w:val="18"/>
                <w:lang w:val="en-GB"/>
              </w:rPr>
              <w:t xml:space="preserve">; </w:t>
            </w:r>
            <w:r w:rsidRPr="00040FB6">
              <w:rPr>
                <w:rFonts w:eastAsia="Times New Roman"/>
                <w:sz w:val="18"/>
                <w:szCs w:val="18"/>
                <w:lang w:val="en-GB"/>
              </w:rPr>
              <w:t>Target: 15 districts</w:t>
            </w:r>
          </w:p>
          <w:p w:rsidR="00B03D3A" w:rsidRPr="00040FB6" w:rsidRDefault="00B03D3A" w:rsidP="00EF6658">
            <w:pPr>
              <w:tabs>
                <w:tab w:val="right" w:pos="9020"/>
              </w:tabs>
              <w:rPr>
                <w:rFonts w:eastAsia="Times New Roman"/>
                <w:sz w:val="18"/>
                <w:szCs w:val="18"/>
                <w:lang w:val="en-GB"/>
              </w:rPr>
            </w:pPr>
            <w:r w:rsidRPr="00040FB6">
              <w:rPr>
                <w:rFonts w:eastAsia="Times New Roman"/>
                <w:sz w:val="18"/>
                <w:szCs w:val="18"/>
                <w:lang w:val="en-GB"/>
              </w:rPr>
              <w:t xml:space="preserve">Source: Project </w:t>
            </w:r>
            <w:r w:rsidR="00E1577D" w:rsidRPr="00040FB6">
              <w:rPr>
                <w:rFonts w:eastAsia="Times New Roman"/>
                <w:sz w:val="18"/>
                <w:szCs w:val="18"/>
                <w:lang w:val="en-GB"/>
              </w:rPr>
              <w:t>r</w:t>
            </w:r>
            <w:r w:rsidRPr="00040FB6">
              <w:rPr>
                <w:rFonts w:eastAsia="Times New Roman"/>
                <w:sz w:val="18"/>
                <w:szCs w:val="18"/>
                <w:lang w:val="en-GB"/>
              </w:rPr>
              <w:t>eports</w:t>
            </w:r>
          </w:p>
          <w:p w:rsidR="00DF63D7" w:rsidRPr="00040FB6" w:rsidRDefault="00B03D3A" w:rsidP="00EF6658">
            <w:pPr>
              <w:spacing w:after="120"/>
              <w:rPr>
                <w:sz w:val="20"/>
                <w:szCs w:val="20"/>
                <w:lang w:val="en-GB"/>
              </w:rPr>
            </w:pPr>
            <w:r w:rsidRPr="00040FB6">
              <w:rPr>
                <w:rFonts w:eastAsia="Times New Roman"/>
                <w:sz w:val="18"/>
                <w:szCs w:val="18"/>
                <w:lang w:val="en-GB"/>
              </w:rPr>
              <w:t>Frequency: Quarterly</w:t>
            </w:r>
          </w:p>
          <w:p w:rsidR="00DF63D7" w:rsidRPr="00040FB6" w:rsidRDefault="00B03D3A" w:rsidP="00EF6658">
            <w:pPr>
              <w:spacing w:after="120"/>
              <w:rPr>
                <w:sz w:val="20"/>
                <w:szCs w:val="20"/>
                <w:lang w:val="en-GB"/>
              </w:rPr>
            </w:pPr>
            <w:r w:rsidRPr="00040FB6">
              <w:rPr>
                <w:rFonts w:eastAsia="Times New Roman"/>
                <w:sz w:val="18"/>
                <w:szCs w:val="18"/>
                <w:lang w:val="en-GB"/>
              </w:rPr>
              <w:t>3.1.7</w:t>
            </w:r>
            <w:r w:rsidR="00E1577D" w:rsidRPr="00040FB6">
              <w:rPr>
                <w:rFonts w:eastAsia="Times New Roman"/>
                <w:sz w:val="18"/>
                <w:szCs w:val="18"/>
                <w:lang w:val="en-GB"/>
              </w:rPr>
              <w:t>.</w:t>
            </w:r>
            <w:r w:rsidRPr="00040FB6">
              <w:rPr>
                <w:rFonts w:eastAsia="Times New Roman"/>
                <w:sz w:val="18"/>
                <w:szCs w:val="18"/>
                <w:lang w:val="en-GB"/>
              </w:rPr>
              <w:t xml:space="preserve"> Immediate livelihoods stabilization through emergency employment for host communities and vulnerable groups in the </w:t>
            </w:r>
            <w:r w:rsidR="00284547" w:rsidRPr="00040FB6">
              <w:rPr>
                <w:rFonts w:eastAsia="Times New Roman"/>
                <w:sz w:val="18"/>
                <w:szCs w:val="18"/>
                <w:lang w:val="en-GB"/>
              </w:rPr>
              <w:t>Kurdistan r</w:t>
            </w:r>
            <w:r w:rsidR="00E1577D" w:rsidRPr="00040FB6">
              <w:rPr>
                <w:rFonts w:eastAsia="Times New Roman"/>
                <w:sz w:val="18"/>
                <w:szCs w:val="18"/>
                <w:lang w:val="en-GB"/>
              </w:rPr>
              <w:t>egion of Iraq</w:t>
            </w:r>
          </w:p>
          <w:p w:rsidR="00B03D3A" w:rsidRPr="00040FB6" w:rsidRDefault="00B03D3A" w:rsidP="00EF6658">
            <w:pPr>
              <w:tabs>
                <w:tab w:val="right" w:pos="9020"/>
              </w:tabs>
              <w:rPr>
                <w:rFonts w:eastAsia="Times New Roman"/>
                <w:sz w:val="18"/>
                <w:szCs w:val="18"/>
                <w:lang w:val="en-GB"/>
              </w:rPr>
            </w:pPr>
            <w:r w:rsidRPr="00040FB6">
              <w:rPr>
                <w:rFonts w:eastAsia="Times New Roman"/>
                <w:sz w:val="18"/>
                <w:szCs w:val="18"/>
                <w:lang w:val="en-GB"/>
              </w:rPr>
              <w:t>3.1.7.A</w:t>
            </w:r>
            <w:r w:rsidR="00E1577D" w:rsidRPr="00040FB6">
              <w:rPr>
                <w:rFonts w:eastAsia="Times New Roman"/>
                <w:sz w:val="18"/>
                <w:szCs w:val="18"/>
                <w:lang w:val="en-GB"/>
              </w:rPr>
              <w:t>.</w:t>
            </w:r>
            <w:r w:rsidRPr="00040FB6">
              <w:rPr>
                <w:rFonts w:eastAsia="Times New Roman"/>
                <w:sz w:val="18"/>
                <w:szCs w:val="18"/>
                <w:lang w:val="en-GB"/>
              </w:rPr>
              <w:t xml:space="preserve"> </w:t>
            </w:r>
            <w:r w:rsidR="00E1577D" w:rsidRPr="00040FB6">
              <w:rPr>
                <w:rFonts w:eastAsia="Times New Roman"/>
                <w:sz w:val="18"/>
                <w:szCs w:val="18"/>
                <w:lang w:val="en-GB"/>
              </w:rPr>
              <w:t xml:space="preserve">Number  </w:t>
            </w:r>
            <w:r w:rsidRPr="00040FB6">
              <w:rPr>
                <w:rFonts w:eastAsia="Times New Roman"/>
                <w:sz w:val="18"/>
                <w:szCs w:val="18"/>
                <w:lang w:val="en-GB"/>
              </w:rPr>
              <w:t>of men and women benefitting from cash</w:t>
            </w:r>
            <w:r w:rsidR="00E1577D" w:rsidRPr="00040FB6">
              <w:rPr>
                <w:rFonts w:eastAsia="Times New Roman"/>
                <w:sz w:val="18"/>
                <w:szCs w:val="18"/>
                <w:lang w:val="en-GB"/>
              </w:rPr>
              <w:t>-</w:t>
            </w:r>
            <w:r w:rsidRPr="00040FB6">
              <w:rPr>
                <w:rFonts w:eastAsia="Times New Roman"/>
                <w:sz w:val="18"/>
                <w:szCs w:val="18"/>
                <w:lang w:val="en-GB"/>
              </w:rPr>
              <w:t>for</w:t>
            </w:r>
            <w:r w:rsidR="00E1577D" w:rsidRPr="00040FB6">
              <w:rPr>
                <w:rFonts w:eastAsia="Times New Roman"/>
                <w:sz w:val="18"/>
                <w:szCs w:val="18"/>
                <w:lang w:val="en-GB"/>
              </w:rPr>
              <w:t>-</w:t>
            </w:r>
            <w:r w:rsidRPr="00040FB6">
              <w:rPr>
                <w:rFonts w:eastAsia="Times New Roman"/>
                <w:sz w:val="18"/>
                <w:szCs w:val="18"/>
                <w:lang w:val="en-GB"/>
              </w:rPr>
              <w:t>work (% of women)</w:t>
            </w:r>
          </w:p>
          <w:p w:rsidR="00B03D3A" w:rsidRPr="00040FB6" w:rsidRDefault="00B03D3A" w:rsidP="00EF6658">
            <w:pPr>
              <w:tabs>
                <w:tab w:val="right" w:pos="9020"/>
              </w:tabs>
              <w:rPr>
                <w:rFonts w:eastAsia="Times New Roman"/>
                <w:sz w:val="18"/>
                <w:szCs w:val="18"/>
                <w:lang w:val="en-GB"/>
              </w:rPr>
            </w:pPr>
            <w:r w:rsidRPr="00040FB6">
              <w:rPr>
                <w:rFonts w:eastAsia="Times New Roman"/>
                <w:sz w:val="18"/>
                <w:szCs w:val="18"/>
                <w:lang w:val="en-GB"/>
              </w:rPr>
              <w:t>Baseline: 0</w:t>
            </w:r>
          </w:p>
          <w:p w:rsidR="00B03D3A" w:rsidRPr="00040FB6" w:rsidRDefault="00B03D3A" w:rsidP="00EF6658">
            <w:pPr>
              <w:tabs>
                <w:tab w:val="right" w:pos="9020"/>
              </w:tabs>
              <w:rPr>
                <w:rFonts w:eastAsia="Times New Roman"/>
                <w:sz w:val="18"/>
                <w:szCs w:val="18"/>
                <w:lang w:val="en-GB"/>
              </w:rPr>
            </w:pPr>
            <w:r w:rsidRPr="00040FB6">
              <w:rPr>
                <w:rFonts w:eastAsia="Times New Roman"/>
                <w:sz w:val="18"/>
                <w:szCs w:val="18"/>
                <w:lang w:val="en-GB"/>
              </w:rPr>
              <w:t>Target: 5,000 men and women (at least 30% women) in crisis affected communities benefit from cash</w:t>
            </w:r>
            <w:r w:rsidR="00E1577D" w:rsidRPr="00040FB6">
              <w:rPr>
                <w:rFonts w:eastAsia="Times New Roman"/>
                <w:sz w:val="18"/>
                <w:szCs w:val="18"/>
                <w:lang w:val="en-GB"/>
              </w:rPr>
              <w:t>-</w:t>
            </w:r>
            <w:r w:rsidRPr="00040FB6">
              <w:rPr>
                <w:rFonts w:eastAsia="Times New Roman"/>
                <w:sz w:val="18"/>
                <w:szCs w:val="18"/>
                <w:lang w:val="en-GB"/>
              </w:rPr>
              <w:t>for</w:t>
            </w:r>
            <w:r w:rsidR="00E1577D" w:rsidRPr="00040FB6">
              <w:rPr>
                <w:rFonts w:eastAsia="Times New Roman"/>
                <w:sz w:val="18"/>
                <w:szCs w:val="18"/>
                <w:lang w:val="en-GB"/>
              </w:rPr>
              <w:t>-</w:t>
            </w:r>
            <w:r w:rsidRPr="00040FB6">
              <w:rPr>
                <w:rFonts w:eastAsia="Times New Roman"/>
                <w:sz w:val="18"/>
                <w:szCs w:val="18"/>
                <w:lang w:val="en-GB"/>
              </w:rPr>
              <w:t>work activities</w:t>
            </w:r>
          </w:p>
          <w:p w:rsidR="00B03D3A" w:rsidRPr="00040FB6" w:rsidRDefault="00B03D3A" w:rsidP="00EF6658">
            <w:pPr>
              <w:tabs>
                <w:tab w:val="right" w:pos="9020"/>
              </w:tabs>
              <w:rPr>
                <w:rFonts w:eastAsia="Times New Roman"/>
                <w:sz w:val="18"/>
                <w:szCs w:val="18"/>
                <w:lang w:val="en-GB"/>
              </w:rPr>
            </w:pPr>
            <w:r w:rsidRPr="00040FB6">
              <w:rPr>
                <w:rFonts w:eastAsia="Times New Roman"/>
                <w:sz w:val="18"/>
                <w:szCs w:val="18"/>
                <w:lang w:val="en-GB"/>
              </w:rPr>
              <w:t>Source: Project reports</w:t>
            </w:r>
          </w:p>
          <w:p w:rsidR="00DF63D7" w:rsidRPr="00040FB6" w:rsidRDefault="00B03D3A" w:rsidP="00EF6658">
            <w:pPr>
              <w:spacing w:after="120"/>
              <w:rPr>
                <w:sz w:val="20"/>
                <w:szCs w:val="20"/>
                <w:lang w:val="en-GB"/>
              </w:rPr>
            </w:pPr>
            <w:r w:rsidRPr="00040FB6">
              <w:rPr>
                <w:rFonts w:eastAsia="Times New Roman"/>
                <w:sz w:val="18"/>
                <w:szCs w:val="18"/>
                <w:lang w:val="en-GB"/>
              </w:rPr>
              <w:t>Frequency: Annual</w:t>
            </w:r>
          </w:p>
          <w:p w:rsidR="00DF63D7" w:rsidRPr="00040FB6" w:rsidRDefault="00856215" w:rsidP="00EF6658">
            <w:pPr>
              <w:spacing w:after="120"/>
              <w:rPr>
                <w:sz w:val="20"/>
                <w:szCs w:val="20"/>
                <w:lang w:val="en-GB"/>
              </w:rPr>
            </w:pPr>
            <w:r w:rsidRPr="00040FB6">
              <w:rPr>
                <w:rFonts w:eastAsia="Times New Roman"/>
                <w:sz w:val="18"/>
                <w:szCs w:val="18"/>
                <w:lang w:val="en-GB"/>
              </w:rPr>
              <w:t>3.1.8</w:t>
            </w:r>
            <w:r w:rsidR="00B928D5" w:rsidRPr="00040FB6">
              <w:rPr>
                <w:rFonts w:eastAsia="Times New Roman"/>
                <w:sz w:val="18"/>
                <w:szCs w:val="18"/>
                <w:lang w:val="en-GB"/>
              </w:rPr>
              <w:t>.</w:t>
            </w:r>
            <w:r w:rsidRPr="00040FB6">
              <w:rPr>
                <w:rFonts w:eastAsia="Times New Roman"/>
                <w:sz w:val="18"/>
                <w:szCs w:val="18"/>
                <w:lang w:val="en-GB"/>
              </w:rPr>
              <w:t xml:space="preserve"> Strengthened community solidarity</w:t>
            </w:r>
            <w:r w:rsidR="00B03D3A" w:rsidRPr="00040FB6">
              <w:rPr>
                <w:rFonts w:eastAsia="Times New Roman"/>
                <w:sz w:val="18"/>
                <w:szCs w:val="18"/>
                <w:lang w:val="en-GB"/>
              </w:rPr>
              <w:t xml:space="preserve"> through dialogue and capacity</w:t>
            </w:r>
            <w:r w:rsidR="00E1577D" w:rsidRPr="00040FB6">
              <w:rPr>
                <w:rFonts w:eastAsia="Times New Roman"/>
                <w:sz w:val="18"/>
                <w:szCs w:val="18"/>
                <w:lang w:val="en-GB"/>
              </w:rPr>
              <w:t>-</w:t>
            </w:r>
            <w:r w:rsidR="00B03D3A" w:rsidRPr="00040FB6">
              <w:rPr>
                <w:rFonts w:eastAsia="Times New Roman"/>
                <w:sz w:val="18"/>
                <w:szCs w:val="18"/>
                <w:lang w:val="en-GB"/>
              </w:rPr>
              <w:t xml:space="preserve">building of local and national actors and communities in </w:t>
            </w:r>
            <w:r w:rsidR="00284547" w:rsidRPr="00040FB6">
              <w:rPr>
                <w:rFonts w:eastAsia="Times New Roman"/>
                <w:sz w:val="18"/>
                <w:szCs w:val="18"/>
                <w:lang w:val="en-GB"/>
              </w:rPr>
              <w:t>the Kurdistan r</w:t>
            </w:r>
            <w:r w:rsidR="00E1577D" w:rsidRPr="00040FB6">
              <w:rPr>
                <w:rFonts w:eastAsia="Times New Roman"/>
                <w:sz w:val="18"/>
                <w:szCs w:val="18"/>
                <w:lang w:val="en-GB"/>
              </w:rPr>
              <w:t>egion</w:t>
            </w:r>
          </w:p>
          <w:p w:rsidR="00B03D3A" w:rsidRPr="00040FB6" w:rsidRDefault="00B03D3A" w:rsidP="00EF6658">
            <w:pPr>
              <w:tabs>
                <w:tab w:val="right" w:pos="9020"/>
              </w:tabs>
              <w:rPr>
                <w:rFonts w:eastAsia="Times New Roman"/>
                <w:iCs/>
                <w:sz w:val="18"/>
                <w:szCs w:val="18"/>
                <w:lang w:val="en-GB"/>
              </w:rPr>
            </w:pPr>
            <w:r w:rsidRPr="00040FB6">
              <w:rPr>
                <w:rFonts w:eastAsia="Times New Roman"/>
                <w:iCs/>
                <w:sz w:val="18"/>
                <w:szCs w:val="18"/>
                <w:lang w:val="en-GB"/>
              </w:rPr>
              <w:t>3.1.8.A</w:t>
            </w:r>
            <w:r w:rsidR="00B928D5" w:rsidRPr="00040FB6">
              <w:rPr>
                <w:rFonts w:eastAsia="Times New Roman"/>
                <w:iCs/>
                <w:sz w:val="18"/>
                <w:szCs w:val="18"/>
                <w:lang w:val="en-GB"/>
              </w:rPr>
              <w:t>.</w:t>
            </w:r>
            <w:r w:rsidRPr="00040FB6">
              <w:rPr>
                <w:rFonts w:eastAsia="Times New Roman"/>
                <w:iCs/>
                <w:sz w:val="18"/>
                <w:szCs w:val="18"/>
                <w:lang w:val="en-GB"/>
              </w:rPr>
              <w:t xml:space="preserve"> </w:t>
            </w:r>
            <w:r w:rsidR="00E1577D" w:rsidRPr="00040FB6">
              <w:rPr>
                <w:rFonts w:eastAsia="Times New Roman"/>
                <w:iCs/>
                <w:sz w:val="18"/>
                <w:szCs w:val="18"/>
                <w:lang w:val="en-GB"/>
              </w:rPr>
              <w:t xml:space="preserve">Number </w:t>
            </w:r>
            <w:r w:rsidRPr="00040FB6">
              <w:rPr>
                <w:rFonts w:eastAsia="Times New Roman"/>
                <w:iCs/>
                <w:sz w:val="18"/>
                <w:szCs w:val="18"/>
                <w:lang w:val="en-GB"/>
              </w:rPr>
              <w:t xml:space="preserve">of joint </w:t>
            </w:r>
            <w:r w:rsidR="00856215" w:rsidRPr="00040FB6">
              <w:rPr>
                <w:rFonts w:eastAsia="Times New Roman"/>
                <w:iCs/>
                <w:sz w:val="18"/>
                <w:szCs w:val="18"/>
                <w:lang w:val="en-GB"/>
              </w:rPr>
              <w:t>community dialogue</w:t>
            </w:r>
            <w:r w:rsidRPr="00040FB6">
              <w:rPr>
                <w:rFonts w:eastAsia="Times New Roman"/>
                <w:iCs/>
                <w:sz w:val="18"/>
                <w:szCs w:val="18"/>
                <w:lang w:val="en-GB"/>
              </w:rPr>
              <w:t xml:space="preserve"> platforms established in the </w:t>
            </w:r>
            <w:r w:rsidR="00284547" w:rsidRPr="00040FB6">
              <w:rPr>
                <w:rFonts w:eastAsia="Times New Roman"/>
                <w:iCs/>
                <w:sz w:val="18"/>
                <w:szCs w:val="18"/>
                <w:lang w:val="en-GB"/>
              </w:rPr>
              <w:t>Kurdistan r</w:t>
            </w:r>
            <w:r w:rsidR="00E1577D" w:rsidRPr="00040FB6">
              <w:rPr>
                <w:rFonts w:eastAsia="Times New Roman"/>
                <w:iCs/>
                <w:sz w:val="18"/>
                <w:szCs w:val="18"/>
                <w:lang w:val="en-GB"/>
              </w:rPr>
              <w:t>egion</w:t>
            </w:r>
          </w:p>
          <w:p w:rsidR="00B03D3A" w:rsidRPr="00040FB6" w:rsidRDefault="00B03D3A" w:rsidP="00EF6658">
            <w:pPr>
              <w:tabs>
                <w:tab w:val="right" w:pos="9020"/>
              </w:tabs>
              <w:rPr>
                <w:rFonts w:eastAsia="Times New Roman"/>
                <w:iCs/>
                <w:sz w:val="18"/>
                <w:szCs w:val="18"/>
                <w:lang w:val="en-GB"/>
              </w:rPr>
            </w:pPr>
            <w:r w:rsidRPr="00040FB6">
              <w:rPr>
                <w:rFonts w:eastAsia="Times New Roman"/>
                <w:iCs/>
                <w:sz w:val="18"/>
                <w:szCs w:val="18"/>
                <w:lang w:val="en-GB"/>
              </w:rPr>
              <w:t>Baseline: 0</w:t>
            </w:r>
            <w:r w:rsidR="00E1577D" w:rsidRPr="00040FB6">
              <w:rPr>
                <w:rFonts w:eastAsia="Times New Roman"/>
                <w:iCs/>
                <w:sz w:val="18"/>
                <w:szCs w:val="18"/>
                <w:lang w:val="en-GB"/>
              </w:rPr>
              <w:t xml:space="preserve">; </w:t>
            </w:r>
            <w:r w:rsidRPr="00040FB6">
              <w:rPr>
                <w:rFonts w:eastAsia="Times New Roman"/>
                <w:iCs/>
                <w:sz w:val="18"/>
                <w:szCs w:val="18"/>
                <w:lang w:val="en-GB"/>
              </w:rPr>
              <w:t>Target: 16</w:t>
            </w:r>
          </w:p>
          <w:p w:rsidR="00B03D3A" w:rsidRPr="00040FB6" w:rsidRDefault="00B03D3A" w:rsidP="00EF6658">
            <w:pPr>
              <w:tabs>
                <w:tab w:val="right" w:pos="9020"/>
              </w:tabs>
              <w:rPr>
                <w:rFonts w:eastAsia="Times New Roman"/>
                <w:iCs/>
                <w:sz w:val="18"/>
                <w:szCs w:val="18"/>
                <w:lang w:val="en-GB"/>
              </w:rPr>
            </w:pPr>
            <w:r w:rsidRPr="00040FB6">
              <w:rPr>
                <w:rFonts w:eastAsia="Times New Roman"/>
                <w:iCs/>
                <w:sz w:val="18"/>
                <w:szCs w:val="18"/>
                <w:lang w:val="en-GB"/>
              </w:rPr>
              <w:t>Source: Project reports</w:t>
            </w:r>
          </w:p>
          <w:p w:rsidR="00B03D3A" w:rsidRPr="00040FB6" w:rsidRDefault="00BF7ED9" w:rsidP="00EF6658">
            <w:pPr>
              <w:tabs>
                <w:tab w:val="right" w:pos="9020"/>
              </w:tabs>
              <w:rPr>
                <w:rFonts w:eastAsia="Times New Roman"/>
                <w:iCs/>
                <w:sz w:val="18"/>
                <w:szCs w:val="18"/>
                <w:lang w:val="en-GB"/>
              </w:rPr>
            </w:pPr>
            <w:r w:rsidRPr="00040FB6">
              <w:rPr>
                <w:rFonts w:eastAsia="Times New Roman"/>
                <w:iCs/>
                <w:sz w:val="18"/>
                <w:szCs w:val="18"/>
                <w:lang w:val="en-GB"/>
              </w:rPr>
              <w:t>Frequency: Annual</w:t>
            </w:r>
          </w:p>
        </w:tc>
        <w:tc>
          <w:tcPr>
            <w:tcW w:w="972" w:type="pct"/>
          </w:tcPr>
          <w:p w:rsidR="00B03D3A" w:rsidRPr="00040FB6" w:rsidRDefault="00B03D3A" w:rsidP="00EF6658">
            <w:pPr>
              <w:rPr>
                <w:rFonts w:eastAsia="Times New Roman"/>
                <w:iCs/>
                <w:sz w:val="18"/>
                <w:szCs w:val="18"/>
                <w:lang w:val="en-GB"/>
              </w:rPr>
            </w:pPr>
            <w:r w:rsidRPr="00040FB6">
              <w:rPr>
                <w:rFonts w:eastAsia="Times New Roman"/>
                <w:iCs/>
                <w:sz w:val="18"/>
                <w:szCs w:val="18"/>
                <w:lang w:val="en-GB"/>
              </w:rPr>
              <w:lastRenderedPageBreak/>
              <w:t xml:space="preserve">Council of Ministers </w:t>
            </w:r>
            <w:r w:rsidR="00401F78" w:rsidRPr="00040FB6">
              <w:rPr>
                <w:rFonts w:eastAsia="Times New Roman"/>
                <w:iCs/>
                <w:sz w:val="18"/>
                <w:szCs w:val="18"/>
                <w:lang w:val="en-GB"/>
              </w:rPr>
              <w:t>s</w:t>
            </w:r>
            <w:r w:rsidRPr="00040FB6">
              <w:rPr>
                <w:rFonts w:eastAsia="Times New Roman"/>
                <w:iCs/>
                <w:sz w:val="18"/>
                <w:szCs w:val="18"/>
                <w:lang w:val="en-GB"/>
              </w:rPr>
              <w:t xml:space="preserve">ecretariat and key government line ministries, </w:t>
            </w:r>
            <w:r w:rsidR="00401F78" w:rsidRPr="00040FB6">
              <w:rPr>
                <w:rFonts w:eastAsia="Times New Roman"/>
                <w:sz w:val="18"/>
                <w:szCs w:val="18"/>
                <w:lang w:val="en-GB"/>
              </w:rPr>
              <w:t>Economic and Social Commission for Western Asia</w:t>
            </w:r>
            <w:r w:rsidRPr="00040FB6">
              <w:rPr>
                <w:rFonts w:eastAsia="Times New Roman"/>
                <w:iCs/>
                <w:sz w:val="18"/>
                <w:szCs w:val="18"/>
                <w:lang w:val="en-GB"/>
              </w:rPr>
              <w:t xml:space="preserve">, World Bank, Organisation for Economic Co-operation and Development, </w:t>
            </w:r>
            <w:r w:rsidR="0059255F" w:rsidRPr="00040FB6">
              <w:rPr>
                <w:rFonts w:eastAsia="Times New Roman"/>
                <w:iCs/>
                <w:sz w:val="18"/>
                <w:szCs w:val="18"/>
                <w:lang w:val="en-GB"/>
              </w:rPr>
              <w:t>JICA</w:t>
            </w:r>
            <w:r w:rsidRPr="00040FB6">
              <w:rPr>
                <w:rFonts w:eastAsia="Times New Roman"/>
                <w:iCs/>
                <w:sz w:val="18"/>
                <w:szCs w:val="18"/>
                <w:lang w:val="en-GB"/>
              </w:rPr>
              <w:t xml:space="preserve">, Common Humanitarian Fund, </w:t>
            </w:r>
            <w:r w:rsidR="00401F78" w:rsidRPr="00040FB6">
              <w:rPr>
                <w:rFonts w:eastAsia="Times New Roman"/>
                <w:iCs/>
                <w:sz w:val="18"/>
                <w:szCs w:val="18"/>
                <w:lang w:val="en-GB"/>
              </w:rPr>
              <w:t>International Monetary Fund</w:t>
            </w:r>
            <w:r w:rsidR="0059255F" w:rsidRPr="00040FB6">
              <w:rPr>
                <w:rFonts w:eastAsia="Times New Roman"/>
                <w:iCs/>
                <w:sz w:val="18"/>
                <w:szCs w:val="18"/>
                <w:lang w:val="en-GB"/>
              </w:rPr>
              <w:t>,</w:t>
            </w:r>
            <w:r w:rsidRPr="00040FB6">
              <w:rPr>
                <w:rFonts w:eastAsia="Times New Roman"/>
                <w:iCs/>
                <w:sz w:val="18"/>
                <w:szCs w:val="18"/>
                <w:lang w:val="en-GB"/>
              </w:rPr>
              <w:t xml:space="preserve"> </w:t>
            </w:r>
            <w:r w:rsidR="00401F78" w:rsidRPr="00040FB6">
              <w:rPr>
                <w:rFonts w:eastAsia="Times New Roman"/>
                <w:iCs/>
                <w:sz w:val="18"/>
                <w:szCs w:val="18"/>
                <w:lang w:val="en-GB"/>
              </w:rPr>
              <w:t>United States Agency for International Development</w:t>
            </w:r>
            <w:r w:rsidRPr="00040FB6">
              <w:rPr>
                <w:rFonts w:eastAsia="Times New Roman"/>
                <w:iCs/>
                <w:sz w:val="18"/>
                <w:szCs w:val="18"/>
                <w:lang w:val="en-GB"/>
              </w:rPr>
              <w:t>, Prime Minist</w:t>
            </w:r>
            <w:r w:rsidR="00401F78" w:rsidRPr="00040FB6">
              <w:rPr>
                <w:rFonts w:eastAsia="Times New Roman"/>
                <w:iCs/>
                <w:sz w:val="18"/>
                <w:szCs w:val="18"/>
                <w:lang w:val="en-GB"/>
              </w:rPr>
              <w:t>e</w:t>
            </w:r>
            <w:r w:rsidRPr="00040FB6">
              <w:rPr>
                <w:rFonts w:eastAsia="Times New Roman"/>
                <w:iCs/>
                <w:sz w:val="18"/>
                <w:szCs w:val="18"/>
                <w:lang w:val="en-GB"/>
              </w:rPr>
              <w:t xml:space="preserve">r’s Advisory Board, National Investment Commission, National Statistical Office, Kurdistan Region Statistics Office, provincial councils, Federation of Chambers, Iraqi Federation of Industries, trade unions, CSOs, UNAMI, United Nations organizations; Council of Representatives, Kurdistan Parliament, Higher Judicial Council, National Partnership Committee, </w:t>
            </w:r>
            <w:r w:rsidR="00401F78" w:rsidRPr="00040FB6">
              <w:rPr>
                <w:rFonts w:eastAsia="Times New Roman"/>
                <w:iCs/>
                <w:sz w:val="18"/>
                <w:szCs w:val="18"/>
                <w:lang w:val="en-GB"/>
              </w:rPr>
              <w:t xml:space="preserve">Office of the </w:t>
            </w:r>
            <w:r w:rsidRPr="00040FB6">
              <w:rPr>
                <w:rFonts w:eastAsia="Times New Roman"/>
                <w:iCs/>
                <w:sz w:val="18"/>
                <w:szCs w:val="18"/>
                <w:lang w:val="en-GB"/>
              </w:rPr>
              <w:t>High Commission</w:t>
            </w:r>
            <w:r w:rsidR="00401F78" w:rsidRPr="00040FB6">
              <w:rPr>
                <w:rFonts w:eastAsia="Times New Roman"/>
                <w:iCs/>
                <w:sz w:val="18"/>
                <w:szCs w:val="18"/>
                <w:lang w:val="en-GB"/>
              </w:rPr>
              <w:t>er</w:t>
            </w:r>
            <w:r w:rsidRPr="00040FB6">
              <w:rPr>
                <w:rFonts w:eastAsia="Times New Roman"/>
                <w:iCs/>
                <w:sz w:val="18"/>
                <w:szCs w:val="18"/>
                <w:lang w:val="en-GB"/>
              </w:rPr>
              <w:t xml:space="preserve"> for Human Rights, oversight institutions</w:t>
            </w:r>
            <w:r w:rsidR="0059255F" w:rsidRPr="00040FB6">
              <w:rPr>
                <w:rFonts w:eastAsia="Times New Roman"/>
                <w:iCs/>
                <w:sz w:val="18"/>
                <w:szCs w:val="18"/>
                <w:lang w:val="en-GB"/>
              </w:rPr>
              <w:t>,</w:t>
            </w:r>
            <w:r w:rsidRPr="00040FB6">
              <w:rPr>
                <w:rFonts w:eastAsia="Times New Roman"/>
                <w:iCs/>
                <w:sz w:val="18"/>
                <w:szCs w:val="18"/>
                <w:lang w:val="en-GB"/>
              </w:rPr>
              <w:t xml:space="preserve"> constitutional independent commissions, law enforcement, judiciary, justice institutions, professional associations, academic institutions, CBOs, key donors, provincial councils, Federation of Chambers, Iraqi Federation of Industries, trade </w:t>
            </w:r>
            <w:r w:rsidRPr="00040FB6">
              <w:rPr>
                <w:rFonts w:eastAsia="Times New Roman"/>
                <w:iCs/>
                <w:sz w:val="18"/>
                <w:szCs w:val="18"/>
                <w:lang w:val="en-GB"/>
              </w:rPr>
              <w:lastRenderedPageBreak/>
              <w:t>unions, NGOs, political parties, CSOs, media entities</w:t>
            </w:r>
            <w:r w:rsidR="0059255F" w:rsidRPr="00040FB6">
              <w:rPr>
                <w:rFonts w:eastAsia="Times New Roman"/>
                <w:iCs/>
                <w:sz w:val="18"/>
                <w:szCs w:val="18"/>
                <w:lang w:val="en-GB"/>
              </w:rPr>
              <w:t xml:space="preserve">, </w:t>
            </w:r>
            <w:r w:rsidR="00C05A30" w:rsidRPr="00040FB6">
              <w:rPr>
                <w:rFonts w:eastAsia="Times New Roman"/>
                <w:iCs/>
                <w:sz w:val="18"/>
                <w:szCs w:val="18"/>
                <w:lang w:val="en-GB"/>
              </w:rPr>
              <w:t>Joint Contracting Command</w:t>
            </w:r>
            <w:r w:rsidR="0059255F" w:rsidRPr="00040FB6">
              <w:rPr>
                <w:rFonts w:eastAsia="Times New Roman"/>
                <w:iCs/>
                <w:sz w:val="18"/>
                <w:szCs w:val="18"/>
                <w:lang w:val="en-GB"/>
              </w:rPr>
              <w:t xml:space="preserve">, </w:t>
            </w:r>
            <w:r w:rsidR="00C05A30" w:rsidRPr="00040FB6">
              <w:rPr>
                <w:rFonts w:eastAsia="Times New Roman"/>
                <w:iCs/>
                <w:sz w:val="18"/>
                <w:szCs w:val="18"/>
                <w:lang w:val="en-GB"/>
              </w:rPr>
              <w:t>Joint Coordination and Monitoring Centre</w:t>
            </w:r>
          </w:p>
          <w:p w:rsidR="00B03D3A" w:rsidRPr="00040FB6" w:rsidRDefault="00B03D3A" w:rsidP="00EF6658">
            <w:pPr>
              <w:rPr>
                <w:rFonts w:eastAsia="Times New Roman"/>
                <w:iCs/>
                <w:sz w:val="18"/>
                <w:szCs w:val="18"/>
                <w:lang w:val="en-GB"/>
              </w:rPr>
            </w:pPr>
          </w:p>
          <w:p w:rsidR="00B03D3A" w:rsidRPr="00040FB6" w:rsidRDefault="00B03D3A" w:rsidP="00EF6658">
            <w:pPr>
              <w:rPr>
                <w:rFonts w:eastAsia="Times New Roman"/>
                <w:iCs/>
                <w:sz w:val="18"/>
                <w:szCs w:val="18"/>
                <w:lang w:val="en-GB"/>
              </w:rPr>
            </w:pPr>
            <w:r w:rsidRPr="00040FB6">
              <w:rPr>
                <w:rFonts w:eastAsia="Times New Roman"/>
                <w:iCs/>
                <w:sz w:val="18"/>
                <w:szCs w:val="18"/>
                <w:lang w:val="en-GB"/>
              </w:rPr>
              <w:t>Engagement with the Government and other national actors around social and development policies and procedures, national policy strategies and regulations for promoting inclusive growth with an emphasis on the most lagging regions in Iraq, as part of a comprehensive framework</w:t>
            </w:r>
          </w:p>
          <w:p w:rsidR="00B03D3A" w:rsidRPr="00040FB6" w:rsidRDefault="00B03D3A" w:rsidP="00EF6658">
            <w:pPr>
              <w:rPr>
                <w:rFonts w:eastAsia="Times New Roman"/>
                <w:iCs/>
                <w:sz w:val="18"/>
                <w:szCs w:val="18"/>
                <w:lang w:val="en-GB"/>
              </w:rPr>
            </w:pPr>
          </w:p>
          <w:p w:rsidR="00B03D3A" w:rsidRPr="00040FB6" w:rsidRDefault="00B03D3A" w:rsidP="00EF6658">
            <w:pPr>
              <w:rPr>
                <w:rFonts w:eastAsia="Times New Roman"/>
                <w:iCs/>
                <w:sz w:val="18"/>
                <w:szCs w:val="18"/>
                <w:lang w:val="en-GB"/>
              </w:rPr>
            </w:pPr>
          </w:p>
        </w:tc>
        <w:tc>
          <w:tcPr>
            <w:tcW w:w="628" w:type="pct"/>
            <w:shd w:val="clear" w:color="auto" w:fill="auto"/>
          </w:tcPr>
          <w:p w:rsidR="00B03D3A" w:rsidRPr="00040FB6" w:rsidRDefault="00647A3D" w:rsidP="00EF6658">
            <w:pPr>
              <w:rPr>
                <w:rFonts w:eastAsia="Times New Roman"/>
                <w:b/>
                <w:sz w:val="18"/>
                <w:szCs w:val="18"/>
                <w:lang w:val="en-GB"/>
              </w:rPr>
            </w:pPr>
            <w:r w:rsidRPr="00040FB6">
              <w:rPr>
                <w:rFonts w:eastAsia="Times New Roman"/>
                <w:b/>
                <w:sz w:val="18"/>
                <w:szCs w:val="18"/>
                <w:lang w:val="en-GB"/>
              </w:rPr>
              <w:lastRenderedPageBreak/>
              <w:t>Regular: $800</w:t>
            </w:r>
          </w:p>
          <w:p w:rsidR="00B03D3A" w:rsidRPr="00040FB6" w:rsidRDefault="00B03D3A" w:rsidP="00EF6658">
            <w:pPr>
              <w:rPr>
                <w:rFonts w:eastAsia="Times New Roman"/>
                <w:b/>
                <w:sz w:val="18"/>
                <w:szCs w:val="18"/>
                <w:lang w:val="en-GB"/>
              </w:rPr>
            </w:pPr>
          </w:p>
          <w:p w:rsidR="00B03D3A" w:rsidRPr="00040FB6" w:rsidRDefault="00647A3D" w:rsidP="00EF6658">
            <w:pPr>
              <w:rPr>
                <w:rFonts w:eastAsia="Times New Roman"/>
                <w:b/>
                <w:sz w:val="18"/>
                <w:szCs w:val="18"/>
                <w:lang w:val="en-GB"/>
              </w:rPr>
            </w:pPr>
            <w:r w:rsidRPr="00040FB6">
              <w:rPr>
                <w:rFonts w:eastAsia="Times New Roman"/>
                <w:b/>
                <w:sz w:val="18"/>
                <w:szCs w:val="18"/>
                <w:lang w:val="en-GB"/>
              </w:rPr>
              <w:t>Other: $99,200</w:t>
            </w:r>
          </w:p>
          <w:p w:rsidR="00B03D3A" w:rsidRPr="00040FB6" w:rsidRDefault="00B03D3A" w:rsidP="00EF6658">
            <w:pPr>
              <w:rPr>
                <w:rFonts w:eastAsia="Times New Roman"/>
                <w:b/>
                <w:sz w:val="18"/>
                <w:szCs w:val="18"/>
                <w:lang w:val="en-GB"/>
              </w:rPr>
            </w:pPr>
          </w:p>
          <w:p w:rsidR="00B03D3A" w:rsidRPr="00040FB6" w:rsidRDefault="00B03D3A" w:rsidP="00EF6658">
            <w:pPr>
              <w:rPr>
                <w:rFonts w:eastAsia="Times New Roman"/>
                <w:b/>
                <w:sz w:val="18"/>
                <w:szCs w:val="18"/>
                <w:lang w:val="en-GB"/>
              </w:rPr>
            </w:pPr>
          </w:p>
          <w:p w:rsidR="00B03D3A" w:rsidRPr="00040FB6" w:rsidRDefault="00B03D3A" w:rsidP="00EF6658">
            <w:pPr>
              <w:rPr>
                <w:rFonts w:eastAsia="Times New Roman"/>
                <w:b/>
                <w:sz w:val="18"/>
                <w:szCs w:val="18"/>
                <w:lang w:val="en-GB"/>
              </w:rPr>
            </w:pPr>
          </w:p>
          <w:p w:rsidR="00B03D3A" w:rsidRPr="00040FB6" w:rsidRDefault="00B03D3A" w:rsidP="00EF6658">
            <w:pPr>
              <w:rPr>
                <w:rFonts w:eastAsia="Times New Roman"/>
                <w:b/>
                <w:sz w:val="18"/>
                <w:szCs w:val="18"/>
                <w:lang w:val="en-GB"/>
              </w:rPr>
            </w:pPr>
          </w:p>
          <w:p w:rsidR="00B03D3A" w:rsidRPr="00040FB6" w:rsidRDefault="00B03D3A" w:rsidP="00EF6658">
            <w:pPr>
              <w:rPr>
                <w:rFonts w:eastAsia="Times New Roman"/>
                <w:b/>
                <w:sz w:val="18"/>
                <w:szCs w:val="18"/>
                <w:lang w:val="en-GB"/>
              </w:rPr>
            </w:pPr>
          </w:p>
          <w:p w:rsidR="00B03D3A" w:rsidRPr="00040FB6" w:rsidRDefault="00B03D3A" w:rsidP="00EF6658">
            <w:pPr>
              <w:rPr>
                <w:rFonts w:eastAsia="Times New Roman"/>
                <w:b/>
                <w:sz w:val="18"/>
                <w:szCs w:val="18"/>
                <w:lang w:val="en-GB"/>
              </w:rPr>
            </w:pPr>
            <w:r w:rsidRPr="00040FB6">
              <w:rPr>
                <w:rFonts w:eastAsia="Times New Roman"/>
                <w:b/>
                <w:sz w:val="18"/>
                <w:szCs w:val="18"/>
                <w:lang w:val="en-GB"/>
              </w:rPr>
              <w:t>Subtotal regular: $</w:t>
            </w:r>
            <w:r w:rsidR="008E4F32" w:rsidRPr="00040FB6">
              <w:rPr>
                <w:rFonts w:eastAsia="Times New Roman"/>
                <w:b/>
                <w:sz w:val="18"/>
                <w:szCs w:val="18"/>
                <w:lang w:val="en-GB"/>
              </w:rPr>
              <w:t>7,712</w:t>
            </w:r>
          </w:p>
          <w:p w:rsidR="00B03D3A" w:rsidRPr="00040FB6" w:rsidRDefault="00B03D3A" w:rsidP="00EF6658">
            <w:pPr>
              <w:rPr>
                <w:rFonts w:eastAsia="Times New Roman"/>
                <w:b/>
                <w:sz w:val="18"/>
                <w:szCs w:val="18"/>
                <w:lang w:val="en-GB"/>
              </w:rPr>
            </w:pPr>
          </w:p>
          <w:p w:rsidR="00B03D3A" w:rsidRPr="00040FB6" w:rsidRDefault="00B03D3A" w:rsidP="00EF6658">
            <w:pPr>
              <w:rPr>
                <w:rFonts w:eastAsia="Times New Roman"/>
                <w:b/>
                <w:sz w:val="18"/>
                <w:szCs w:val="18"/>
                <w:lang w:val="en-GB"/>
              </w:rPr>
            </w:pPr>
            <w:r w:rsidRPr="00040FB6">
              <w:rPr>
                <w:rFonts w:eastAsia="Times New Roman"/>
                <w:b/>
                <w:sz w:val="18"/>
                <w:szCs w:val="18"/>
                <w:lang w:val="en-GB"/>
              </w:rPr>
              <w:t>Subtotal other: $</w:t>
            </w:r>
            <w:r w:rsidR="00647A3D" w:rsidRPr="00040FB6">
              <w:rPr>
                <w:rFonts w:eastAsia="Times New Roman"/>
                <w:b/>
                <w:sz w:val="18"/>
                <w:szCs w:val="18"/>
                <w:lang w:val="en-GB"/>
              </w:rPr>
              <w:t>227,950</w:t>
            </w:r>
          </w:p>
          <w:p w:rsidR="00B03D3A" w:rsidRPr="00040FB6" w:rsidRDefault="00B03D3A" w:rsidP="00EF6658">
            <w:pPr>
              <w:rPr>
                <w:rFonts w:eastAsia="Times New Roman"/>
                <w:b/>
                <w:sz w:val="18"/>
                <w:szCs w:val="18"/>
                <w:lang w:val="en-GB"/>
              </w:rPr>
            </w:pPr>
          </w:p>
          <w:p w:rsidR="00B03D3A" w:rsidRPr="00040FB6" w:rsidRDefault="00B03D3A" w:rsidP="00EF6658">
            <w:pPr>
              <w:rPr>
                <w:rFonts w:eastAsia="Times New Roman"/>
                <w:b/>
                <w:sz w:val="18"/>
                <w:szCs w:val="18"/>
                <w:lang w:val="en-GB"/>
              </w:rPr>
            </w:pPr>
            <w:r w:rsidRPr="00040FB6">
              <w:rPr>
                <w:rFonts w:eastAsia="Times New Roman"/>
                <w:b/>
                <w:sz w:val="18"/>
                <w:szCs w:val="18"/>
                <w:lang w:val="en-GB"/>
              </w:rPr>
              <w:t xml:space="preserve">Grand total: </w:t>
            </w:r>
          </w:p>
          <w:p w:rsidR="00B03D3A" w:rsidRPr="00040FB6" w:rsidRDefault="00B03D3A" w:rsidP="00EF6658">
            <w:pPr>
              <w:rPr>
                <w:rFonts w:eastAsia="Times New Roman"/>
                <w:b/>
                <w:bCs/>
                <w:sz w:val="18"/>
                <w:szCs w:val="18"/>
                <w:lang w:val="en-GB"/>
              </w:rPr>
            </w:pPr>
            <w:r w:rsidRPr="00040FB6">
              <w:rPr>
                <w:rFonts w:eastAsia="Times New Roman"/>
                <w:b/>
                <w:sz w:val="18"/>
                <w:szCs w:val="18"/>
                <w:lang w:val="en-GB"/>
              </w:rPr>
              <w:t>$</w:t>
            </w:r>
            <w:r w:rsidR="008E4F32" w:rsidRPr="00040FB6">
              <w:rPr>
                <w:rFonts w:eastAsia="Times New Roman"/>
                <w:b/>
                <w:sz w:val="18"/>
                <w:szCs w:val="18"/>
                <w:lang w:val="en-GB"/>
              </w:rPr>
              <w:t>235,662</w:t>
            </w:r>
          </w:p>
        </w:tc>
      </w:tr>
    </w:tbl>
    <w:p w:rsidR="00C14B2C" w:rsidRPr="00040FB6" w:rsidRDefault="00EF6658" w:rsidP="00C14B2C">
      <w:pPr>
        <w:pStyle w:val="Body"/>
        <w:jc w:val="center"/>
        <w:rPr>
          <w:rFonts w:hAnsi="Times New Roman" w:cs="Times New Roman"/>
          <w:lang w:val="en-GB"/>
        </w:rPr>
      </w:pPr>
      <w:r>
        <w:rPr>
          <w:rFonts w:eastAsia="Times New Roman" w:hAnsi="Times New Roman" w:cs="Times New Roman"/>
          <w:bCs/>
          <w:noProof/>
          <w:sz w:val="18"/>
          <w:szCs w:val="18"/>
          <w:bdr w:val="none" w:sz="0" w:space="0" w:color="auto"/>
        </w:rPr>
        <w:lastRenderedPageBreak/>
        <w:br w:type="textWrapping" w:clear="all"/>
      </w:r>
      <w:r w:rsidR="00C14B2C" w:rsidRPr="00040FB6">
        <w:rPr>
          <w:rFonts w:eastAsia="Times New Roman" w:hAnsi="Times New Roman" w:cs="Times New Roman"/>
          <w:bCs/>
          <w:noProof/>
          <w:sz w:val="18"/>
          <w:szCs w:val="18"/>
          <w:bdr w:val="none" w:sz="0" w:space="0" w:color="auto"/>
        </w:rPr>
        <w:drawing>
          <wp:inline distT="0" distB="0" distL="0" distR="0" wp14:anchorId="02E7ECAD" wp14:editId="166F4D91">
            <wp:extent cx="942975" cy="28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C14B2C" w:rsidRPr="00040FB6" w:rsidSect="005673F6">
      <w:headerReference w:type="even" r:id="rId21"/>
      <w:headerReference w:type="default" r:id="rId22"/>
      <w:pgSz w:w="15840" w:h="12240" w:orient="landscape"/>
      <w:pgMar w:top="1152" w:right="1440" w:bottom="1152" w:left="1440" w:header="57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42" w:rsidRDefault="00792342">
      <w:r>
        <w:separator/>
      </w:r>
    </w:p>
  </w:endnote>
  <w:endnote w:type="continuationSeparator" w:id="0">
    <w:p w:rsidR="00792342" w:rsidRDefault="0079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C9" w:rsidRDefault="00EE28C9">
    <w:pPr>
      <w:pStyle w:val="Footer"/>
    </w:pPr>
    <w:r>
      <w:rPr>
        <w:b/>
        <w:bCs/>
        <w:sz w:val="17"/>
        <w:szCs w:val="17"/>
      </w:rPr>
      <w:fldChar w:fldCharType="begin"/>
    </w:r>
    <w:r>
      <w:rPr>
        <w:b/>
        <w:bCs/>
        <w:sz w:val="17"/>
        <w:szCs w:val="17"/>
      </w:rPr>
      <w:instrText xml:space="preserve"> PAGE </w:instrText>
    </w:r>
    <w:r>
      <w:rPr>
        <w:b/>
        <w:bCs/>
        <w:sz w:val="17"/>
        <w:szCs w:val="17"/>
      </w:rPr>
      <w:fldChar w:fldCharType="separate"/>
    </w:r>
    <w:r>
      <w:rPr>
        <w:b/>
        <w:bCs/>
        <w:noProof/>
        <w:sz w:val="17"/>
        <w:szCs w:val="17"/>
      </w:rPr>
      <w:t>2</w:t>
    </w:r>
    <w:r>
      <w:rPr>
        <w:b/>
        <w:bCs/>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C9" w:rsidRDefault="00EE28C9">
    <w:pPr>
      <w:pStyle w:val="Footer"/>
      <w:jc w:val="right"/>
    </w:pPr>
    <w:r>
      <w:rPr>
        <w:b/>
        <w:bCs/>
        <w:sz w:val="17"/>
        <w:szCs w:val="17"/>
      </w:rPr>
      <w:fldChar w:fldCharType="begin"/>
    </w:r>
    <w:r>
      <w:rPr>
        <w:b/>
        <w:bCs/>
        <w:sz w:val="17"/>
        <w:szCs w:val="17"/>
      </w:rPr>
      <w:instrText xml:space="preserve"> PAGE </w:instrText>
    </w:r>
    <w:r>
      <w:rPr>
        <w:b/>
        <w:bCs/>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C9" w:rsidRDefault="00EE28C9">
    <w:pPr>
      <w:pStyle w:val="Footer"/>
    </w:pPr>
    <w:r>
      <w:rPr>
        <w:b/>
        <w:bCs/>
        <w:sz w:val="17"/>
        <w:szCs w:val="17"/>
      </w:rPr>
      <w:fldChar w:fldCharType="begin"/>
    </w:r>
    <w:r>
      <w:rPr>
        <w:b/>
        <w:bCs/>
        <w:sz w:val="17"/>
        <w:szCs w:val="17"/>
      </w:rPr>
      <w:instrText xml:space="preserve"> PAGE </w:instrText>
    </w:r>
    <w:r>
      <w:rPr>
        <w:b/>
        <w:bCs/>
        <w:sz w:val="17"/>
        <w:szCs w:val="17"/>
      </w:rPr>
      <w:fldChar w:fldCharType="separate"/>
    </w:r>
    <w:r w:rsidR="00B04CB1">
      <w:rPr>
        <w:b/>
        <w:bCs/>
        <w:noProof/>
        <w:sz w:val="17"/>
        <w:szCs w:val="17"/>
      </w:rPr>
      <w:t>8</w:t>
    </w:r>
    <w:r>
      <w:rPr>
        <w:b/>
        <w:bCs/>
        <w:sz w:val="17"/>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C9" w:rsidRDefault="00EE28C9">
    <w:pPr>
      <w:pStyle w:val="Footer"/>
      <w:jc w:val="right"/>
    </w:pPr>
    <w:r>
      <w:rPr>
        <w:b/>
        <w:bCs/>
        <w:sz w:val="17"/>
        <w:szCs w:val="17"/>
      </w:rPr>
      <w:fldChar w:fldCharType="begin"/>
    </w:r>
    <w:r>
      <w:rPr>
        <w:b/>
        <w:bCs/>
        <w:sz w:val="17"/>
        <w:szCs w:val="17"/>
      </w:rPr>
      <w:instrText xml:space="preserve"> PAGE </w:instrText>
    </w:r>
    <w:r>
      <w:rPr>
        <w:b/>
        <w:bCs/>
        <w:sz w:val="17"/>
        <w:szCs w:val="17"/>
      </w:rPr>
      <w:fldChar w:fldCharType="separate"/>
    </w:r>
    <w:r w:rsidR="00B04CB1">
      <w:rPr>
        <w:b/>
        <w:bCs/>
        <w:noProof/>
        <w:sz w:val="17"/>
        <w:szCs w:val="17"/>
      </w:rPr>
      <w:t>7</w:t>
    </w:r>
    <w:r>
      <w:rPr>
        <w:b/>
        <w:bCs/>
        <w:sz w:val="17"/>
        <w:szCs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1831894984"/>
      <w:docPartObj>
        <w:docPartGallery w:val="Page Numbers (Bottom of Page)"/>
        <w:docPartUnique/>
      </w:docPartObj>
    </w:sdtPr>
    <w:sdtEndPr>
      <w:rPr>
        <w:noProof/>
      </w:rPr>
    </w:sdtEndPr>
    <w:sdtContent>
      <w:p w:rsidR="00EE28C9" w:rsidRPr="005C7BDF" w:rsidRDefault="00EE28C9">
        <w:pPr>
          <w:pStyle w:val="Footer"/>
          <w:rPr>
            <w:b/>
            <w:sz w:val="17"/>
            <w:szCs w:val="17"/>
          </w:rPr>
        </w:pPr>
        <w:r w:rsidRPr="005C7BDF">
          <w:rPr>
            <w:b/>
            <w:sz w:val="17"/>
            <w:szCs w:val="17"/>
          </w:rPr>
          <w:fldChar w:fldCharType="begin"/>
        </w:r>
        <w:r w:rsidRPr="005C7BDF">
          <w:rPr>
            <w:b/>
            <w:sz w:val="17"/>
            <w:szCs w:val="17"/>
          </w:rPr>
          <w:instrText xml:space="preserve"> PAGE   \* MERGEFORMAT </w:instrText>
        </w:r>
        <w:r w:rsidRPr="005C7BDF">
          <w:rPr>
            <w:b/>
            <w:sz w:val="17"/>
            <w:szCs w:val="17"/>
          </w:rPr>
          <w:fldChar w:fldCharType="separate"/>
        </w:r>
        <w:r w:rsidR="00B04CB1">
          <w:rPr>
            <w:b/>
            <w:noProof/>
            <w:sz w:val="17"/>
            <w:szCs w:val="17"/>
          </w:rPr>
          <w:t>2</w:t>
        </w:r>
        <w:r w:rsidRPr="005C7BDF">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42" w:rsidRDefault="00792342">
      <w:r>
        <w:separator/>
      </w:r>
    </w:p>
  </w:footnote>
  <w:footnote w:type="continuationSeparator" w:id="0">
    <w:p w:rsidR="00792342" w:rsidRDefault="00792342">
      <w:r>
        <w:continuationSeparator/>
      </w:r>
    </w:p>
  </w:footnote>
  <w:footnote w:type="continuationNotice" w:id="1">
    <w:p w:rsidR="00792342" w:rsidRDefault="00792342"/>
  </w:footnote>
  <w:footnote w:id="2">
    <w:p w:rsidR="00EE28C9" w:rsidRPr="009657F0" w:rsidRDefault="00EE28C9" w:rsidP="00F82231">
      <w:pPr>
        <w:rPr>
          <w:sz w:val="16"/>
          <w:szCs w:val="16"/>
        </w:rPr>
      </w:pPr>
      <w:r w:rsidRPr="00A47BE0">
        <w:rPr>
          <w:rStyle w:val="FootnoteReference"/>
          <w:rFonts w:eastAsia="Courier"/>
          <w:color w:val="000000"/>
          <w:sz w:val="16"/>
          <w:szCs w:val="20"/>
          <w:u w:color="000000"/>
        </w:rPr>
        <w:footnoteRef/>
      </w:r>
      <w:r w:rsidRPr="009657F0">
        <w:rPr>
          <w:sz w:val="16"/>
          <w:szCs w:val="16"/>
        </w:rPr>
        <w:t xml:space="preserve"> </w:t>
      </w:r>
      <w:r w:rsidRPr="00040FB6">
        <w:rPr>
          <w:sz w:val="16"/>
          <w:szCs w:val="16"/>
        </w:rPr>
        <w:t>Institute of Medicine</w:t>
      </w:r>
      <w:r w:rsidRPr="009657F0">
        <w:rPr>
          <w:sz w:val="16"/>
          <w:szCs w:val="16"/>
        </w:rPr>
        <w:t xml:space="preserve"> </w:t>
      </w:r>
      <w:r>
        <w:rPr>
          <w:sz w:val="16"/>
          <w:szCs w:val="16"/>
        </w:rPr>
        <w:t>d</w:t>
      </w:r>
      <w:r w:rsidRPr="009657F0">
        <w:rPr>
          <w:sz w:val="16"/>
          <w:szCs w:val="16"/>
        </w:rPr>
        <w:t xml:space="preserve">isplacement </w:t>
      </w:r>
      <w:r>
        <w:rPr>
          <w:sz w:val="16"/>
          <w:szCs w:val="16"/>
        </w:rPr>
        <w:t>t</w:t>
      </w:r>
      <w:r w:rsidRPr="009657F0">
        <w:rPr>
          <w:sz w:val="16"/>
          <w:szCs w:val="16"/>
        </w:rPr>
        <w:t xml:space="preserve">racking </w:t>
      </w:r>
      <w:r>
        <w:rPr>
          <w:sz w:val="16"/>
          <w:szCs w:val="16"/>
        </w:rPr>
        <w:t>m</w:t>
      </w:r>
      <w:r w:rsidRPr="009657F0">
        <w:rPr>
          <w:sz w:val="16"/>
          <w:szCs w:val="16"/>
        </w:rPr>
        <w:t>atrix</w:t>
      </w:r>
      <w:r>
        <w:rPr>
          <w:sz w:val="16"/>
          <w:szCs w:val="16"/>
        </w:rPr>
        <w:t>,</w:t>
      </w:r>
      <w:r w:rsidRPr="009657F0">
        <w:rPr>
          <w:sz w:val="16"/>
          <w:szCs w:val="16"/>
        </w:rPr>
        <w:t xml:space="preserve"> August 2015 (file:///Users/Andrew/Downloads/20150811_IOM_DTM_RoundXXVI_Report_August2015.pdf)</w:t>
      </w:r>
    </w:p>
  </w:footnote>
  <w:footnote w:id="3">
    <w:p w:rsidR="00EE28C9" w:rsidRPr="005504FB" w:rsidRDefault="00EE28C9" w:rsidP="00F82231">
      <w:pPr>
        <w:pStyle w:val="FootnoteText"/>
        <w:rPr>
          <w:rFonts w:ascii="Times New Roman" w:hAnsi="Times New Roman" w:cs="Times New Roman"/>
        </w:rPr>
      </w:pPr>
      <w:r w:rsidRPr="00CD3967">
        <w:rPr>
          <w:rStyle w:val="FootnoteReference"/>
          <w:rFonts w:ascii="Times New Roman" w:hAnsi="Times New Roman" w:cs="Times New Roman"/>
          <w:sz w:val="16"/>
        </w:rPr>
        <w:footnoteRef/>
      </w:r>
      <w:r w:rsidRPr="00CD3967">
        <w:rPr>
          <w:rFonts w:ascii="Times New Roman" w:hAnsi="Times New Roman" w:cs="Times New Roman"/>
          <w:sz w:val="16"/>
        </w:rPr>
        <w:t xml:space="preserve"> </w:t>
      </w:r>
      <w:r w:rsidRPr="00040FB6">
        <w:rPr>
          <w:rFonts w:ascii="Times New Roman" w:hAnsi="Times New Roman" w:cs="Times New Roman"/>
          <w:i/>
          <w:sz w:val="16"/>
        </w:rPr>
        <w:t>No Place to Turn: Violence against women in the Iraq conflict</w:t>
      </w:r>
      <w:r w:rsidRPr="00CD3967">
        <w:rPr>
          <w:rFonts w:ascii="Times New Roman" w:hAnsi="Times New Roman" w:cs="Times New Roman"/>
          <w:sz w:val="16"/>
        </w:rPr>
        <w:t>, Ceasefire Centre for Civilian Rights and Minority Rights Group International</w:t>
      </w:r>
      <w:r>
        <w:rPr>
          <w:rFonts w:ascii="Times New Roman" w:hAnsi="Times New Roman" w:cs="Times New Roman"/>
          <w:sz w:val="16"/>
        </w:rPr>
        <w:t>,</w:t>
      </w:r>
      <w:r w:rsidRPr="00CD3967">
        <w:rPr>
          <w:rFonts w:ascii="Times New Roman" w:hAnsi="Times New Roman" w:cs="Times New Roman"/>
          <w:sz w:val="16"/>
        </w:rPr>
        <w:t xml:space="preserve"> February 2015; </w:t>
      </w:r>
      <w:hyperlink r:id="rId1" w:history="1">
        <w:r w:rsidRPr="005504FB">
          <w:rPr>
            <w:rStyle w:val="Hyperlink"/>
            <w:rFonts w:ascii="Times New Roman" w:hAnsi="Times New Roman" w:cs="Times New Roman"/>
            <w:sz w:val="16"/>
            <w:u w:val="none"/>
          </w:rPr>
          <w:t>http://reliefweb.int/sites/reliefweb.int/files/resources/ceasefire-report-no-place-to-turn.pdf</w:t>
        </w:r>
      </w:hyperlink>
      <w:r w:rsidRPr="005504FB">
        <w:rPr>
          <w:rFonts w:ascii="Times New Roman" w:hAnsi="Times New Roman" w:cs="Times New Roman"/>
          <w:sz w:val="16"/>
        </w:rPr>
        <w:t xml:space="preserve"> </w:t>
      </w:r>
    </w:p>
  </w:footnote>
  <w:footnote w:id="4">
    <w:p w:rsidR="00EE28C9" w:rsidRPr="005504FB" w:rsidRDefault="00EE28C9" w:rsidP="00EC21A4">
      <w:pPr>
        <w:pStyle w:val="FootnoteText"/>
        <w:rPr>
          <w:rFonts w:ascii="Times New Roman" w:hAnsi="Times New Roman" w:cs="Times New Roman"/>
          <w:sz w:val="16"/>
          <w:szCs w:val="16"/>
        </w:rPr>
      </w:pPr>
      <w:r w:rsidRPr="005504FB">
        <w:rPr>
          <w:rStyle w:val="FootnoteReference"/>
          <w:rFonts w:ascii="Times New Roman" w:hAnsi="Times New Roman" w:cs="Times New Roman"/>
          <w:sz w:val="16"/>
          <w:szCs w:val="16"/>
        </w:rPr>
        <w:footnoteRef/>
      </w:r>
      <w:r w:rsidRPr="005504FB">
        <w:rPr>
          <w:rFonts w:ascii="Times New Roman" w:hAnsi="Times New Roman" w:cs="Times New Roman"/>
          <w:sz w:val="16"/>
          <w:szCs w:val="16"/>
        </w:rPr>
        <w:t xml:space="preserve"> </w:t>
      </w:r>
      <w:r w:rsidRPr="00040FB6">
        <w:rPr>
          <w:rFonts w:ascii="Times New Roman" w:hAnsi="Times New Roman" w:cs="Times New Roman"/>
          <w:sz w:val="16"/>
          <w:szCs w:val="16"/>
        </w:rPr>
        <w:t>Transparency International Iraq Country Profile</w:t>
      </w:r>
      <w:r w:rsidRPr="005504FB">
        <w:rPr>
          <w:rFonts w:ascii="Times New Roman" w:hAnsi="Times New Roman" w:cs="Times New Roman"/>
          <w:sz w:val="16"/>
          <w:szCs w:val="16"/>
        </w:rPr>
        <w:t xml:space="preserve">, March 2015: </w:t>
      </w:r>
      <w:hyperlink r:id="rId2" w:history="1">
        <w:r w:rsidRPr="005504FB">
          <w:rPr>
            <w:rStyle w:val="Hyperlink"/>
            <w:rFonts w:ascii="Times New Roman" w:hAnsi="Times New Roman" w:cs="Times New Roman"/>
            <w:sz w:val="16"/>
            <w:szCs w:val="16"/>
            <w:u w:val="none"/>
          </w:rPr>
          <w:t>http://www.transparency.org/files/content/corruptionqas/Country_profile_Iraq_2015.pdf</w:t>
        </w:r>
      </w:hyperlink>
      <w:r w:rsidRPr="005504FB">
        <w:rPr>
          <w:rFonts w:ascii="Times New Roman" w:hAnsi="Times New Roman" w:cs="Times New Roman"/>
          <w:sz w:val="16"/>
          <w:szCs w:val="16"/>
        </w:rPr>
        <w:t xml:space="preserve"> </w:t>
      </w:r>
    </w:p>
  </w:footnote>
  <w:footnote w:id="5">
    <w:p w:rsidR="00EE28C9" w:rsidRPr="005504FB" w:rsidRDefault="00EE28C9" w:rsidP="00EC21A4">
      <w:pPr>
        <w:pStyle w:val="FootnoteText"/>
      </w:pPr>
      <w:r w:rsidRPr="005504FB">
        <w:rPr>
          <w:rStyle w:val="FootnoteReference"/>
          <w:rFonts w:ascii="Times New Roman" w:hAnsi="Times New Roman" w:cs="Times New Roman"/>
          <w:sz w:val="16"/>
          <w:szCs w:val="16"/>
        </w:rPr>
        <w:footnoteRef/>
      </w:r>
      <w:r w:rsidRPr="005504FB">
        <w:rPr>
          <w:rFonts w:ascii="Times New Roman" w:hAnsi="Times New Roman" w:cs="Times New Roman"/>
          <w:sz w:val="16"/>
          <w:szCs w:val="16"/>
        </w:rPr>
        <w:t xml:space="preserve"> Central Intelligence Agency World Factbook, Iraq Country Profile. https://www.cia.gov/library/publications/the-world-factbook/geos/iz.html</w:t>
      </w:r>
    </w:p>
  </w:footnote>
  <w:footnote w:id="6">
    <w:p w:rsidR="00EE28C9" w:rsidRPr="005504FB" w:rsidRDefault="00EE28C9" w:rsidP="00EC21A4">
      <w:pPr>
        <w:pStyle w:val="FootnoteText"/>
        <w:rPr>
          <w:rFonts w:ascii="Times New Roman" w:hAnsi="Times New Roman" w:cs="Times New Roman"/>
          <w:sz w:val="16"/>
          <w:szCs w:val="16"/>
        </w:rPr>
      </w:pPr>
      <w:r w:rsidRPr="005504FB">
        <w:rPr>
          <w:rStyle w:val="FootnoteReference"/>
          <w:rFonts w:ascii="Times New Roman" w:hAnsi="Times New Roman" w:cs="Times New Roman"/>
          <w:sz w:val="16"/>
          <w:szCs w:val="16"/>
        </w:rPr>
        <w:footnoteRef/>
      </w:r>
      <w:r w:rsidRPr="005504FB">
        <w:rPr>
          <w:rFonts w:ascii="Times New Roman" w:hAnsi="Times New Roman" w:cs="Times New Roman"/>
          <w:sz w:val="16"/>
          <w:szCs w:val="16"/>
        </w:rPr>
        <w:t xml:space="preserve"> </w:t>
      </w:r>
      <w:hyperlink r:id="rId3" w:history="1">
        <w:r w:rsidRPr="005504FB">
          <w:rPr>
            <w:rStyle w:val="Hyperlink"/>
            <w:rFonts w:ascii="Times New Roman" w:hAnsi="Times New Roman" w:cs="Times New Roman"/>
            <w:sz w:val="16"/>
            <w:szCs w:val="16"/>
            <w:u w:val="none"/>
          </w:rPr>
          <w:t>http://www.iraqicivilsociety.org/archives/4692</w:t>
        </w:r>
      </w:hyperlink>
    </w:p>
  </w:footnote>
  <w:footnote w:id="7">
    <w:p w:rsidR="00EE28C9" w:rsidRPr="005504FB" w:rsidRDefault="00EE28C9" w:rsidP="00EC21A4">
      <w:pPr>
        <w:pStyle w:val="FootnoteText"/>
      </w:pPr>
      <w:r w:rsidRPr="005504FB">
        <w:rPr>
          <w:rStyle w:val="FootnoteReference"/>
          <w:rFonts w:ascii="Times New Roman" w:hAnsi="Times New Roman" w:cs="Times New Roman"/>
          <w:sz w:val="16"/>
          <w:szCs w:val="16"/>
        </w:rPr>
        <w:footnoteRef/>
      </w:r>
      <w:r w:rsidRPr="005504FB">
        <w:rPr>
          <w:rFonts w:ascii="Times New Roman" w:hAnsi="Times New Roman" w:cs="Times New Roman"/>
          <w:sz w:val="16"/>
          <w:szCs w:val="16"/>
        </w:rPr>
        <w:t xml:space="preserve"> https://watersecurity.wordpress.com/2015/05/10/isis-and-water-security-threats</w:t>
      </w:r>
    </w:p>
  </w:footnote>
  <w:footnote w:id="8">
    <w:p w:rsidR="00EE28C9" w:rsidRPr="00507AC8" w:rsidRDefault="00EE28C9" w:rsidP="00EC21A4">
      <w:pPr>
        <w:rPr>
          <w:sz w:val="16"/>
          <w:szCs w:val="16"/>
        </w:rPr>
      </w:pPr>
      <w:r w:rsidRPr="00A47BE0">
        <w:rPr>
          <w:rStyle w:val="FootnoteReference"/>
          <w:rFonts w:eastAsia="Courier"/>
          <w:color w:val="000000"/>
          <w:sz w:val="16"/>
          <w:szCs w:val="16"/>
          <w:u w:color="000000"/>
        </w:rPr>
        <w:footnoteRef/>
      </w:r>
      <w:r w:rsidRPr="00A47BE0">
        <w:rPr>
          <w:rStyle w:val="FootnoteReference"/>
          <w:rFonts w:eastAsia="Courier"/>
          <w:color w:val="000000"/>
          <w:sz w:val="16"/>
          <w:szCs w:val="16"/>
          <w:u w:color="000000"/>
        </w:rPr>
        <w:t xml:space="preserve"> </w:t>
      </w:r>
      <w:r w:rsidRPr="00507AC8">
        <w:rPr>
          <w:sz w:val="16"/>
          <w:szCs w:val="16"/>
        </w:rPr>
        <w:t>Election Observation Mission Report (</w:t>
      </w:r>
      <w:hyperlink r:id="rId4" w:history="1">
        <w:r w:rsidRPr="00507AC8">
          <w:rPr>
            <w:sz w:val="16"/>
            <w:szCs w:val="16"/>
          </w:rPr>
          <w:t>http://www.unpo.org/downloads/954.pdf</w:t>
        </w:r>
      </w:hyperlink>
      <w:r>
        <w:rPr>
          <w:sz w:val="16"/>
          <w:szCs w:val="16"/>
        </w:rPr>
        <w:t xml:space="preserve"> </w:t>
      </w:r>
      <w:r w:rsidRPr="00507AC8">
        <w:rPr>
          <w:sz w:val="16"/>
          <w:szCs w:val="16"/>
        </w:rPr>
        <w:t xml:space="preserve"> )</w:t>
      </w:r>
    </w:p>
  </w:footnote>
  <w:footnote w:id="9">
    <w:p w:rsidR="00EE28C9" w:rsidRPr="004172A1" w:rsidRDefault="00EE28C9" w:rsidP="00C1589E">
      <w:r w:rsidRPr="00A47BE0">
        <w:rPr>
          <w:rStyle w:val="FootnoteReference"/>
          <w:rFonts w:eastAsia="Courier"/>
          <w:color w:val="000000"/>
          <w:sz w:val="16"/>
          <w:szCs w:val="16"/>
          <w:u w:color="000000"/>
        </w:rPr>
        <w:footnoteRef/>
      </w:r>
      <w:r w:rsidRPr="00A47BE0">
        <w:rPr>
          <w:rStyle w:val="FootnoteReference"/>
          <w:rFonts w:eastAsia="Courier"/>
          <w:color w:val="000000"/>
          <w:sz w:val="16"/>
          <w:szCs w:val="16"/>
          <w:u w:color="000000"/>
        </w:rPr>
        <w:t xml:space="preserve"> </w:t>
      </w:r>
      <w:r w:rsidRPr="009657F0">
        <w:rPr>
          <w:rFonts w:eastAsia="Times New Roman"/>
          <w:sz w:val="16"/>
          <w:szCs w:val="16"/>
        </w:rPr>
        <w:t xml:space="preserve">Third report of the </w:t>
      </w:r>
      <w:r w:rsidRPr="005955C9">
        <w:rPr>
          <w:rFonts w:eastAsia="Times New Roman"/>
          <w:sz w:val="16"/>
          <w:szCs w:val="16"/>
        </w:rPr>
        <w:t>Secretary-General submitted pursuant to paragraph 6 of resolution 2110 (2013) (S/2014/485)</w:t>
      </w:r>
    </w:p>
  </w:footnote>
  <w:footnote w:id="10">
    <w:p w:rsidR="00EE28C9" w:rsidRPr="009C25AA" w:rsidRDefault="00EE28C9" w:rsidP="009131BC">
      <w:pPr>
        <w:pStyle w:val="FootnoteText"/>
        <w:rPr>
          <w:rFonts w:ascii="Times New Roman" w:hAnsi="Times New Roman" w:cs="Times New Roman"/>
          <w:sz w:val="16"/>
          <w:szCs w:val="16"/>
        </w:rPr>
      </w:pPr>
      <w:r w:rsidRPr="009C25AA">
        <w:rPr>
          <w:rStyle w:val="FootnoteReference"/>
          <w:rFonts w:ascii="Times New Roman" w:hAnsi="Times New Roman" w:cs="Times New Roman"/>
          <w:sz w:val="16"/>
          <w:szCs w:val="16"/>
        </w:rPr>
        <w:footnoteRef/>
      </w:r>
      <w:r w:rsidRPr="009C25AA">
        <w:rPr>
          <w:rFonts w:ascii="Times New Roman" w:hAnsi="Times New Roman" w:cs="Times New Roman"/>
          <w:sz w:val="16"/>
          <w:szCs w:val="16"/>
        </w:rPr>
        <w:t xml:space="preserve"> http://www.iq.undp.org/content/iraq/en/home/presscenter/pressreleases/2014/11/16/workshop-to-support-the-iraqi-parliament-on-the-management-revision-and-the-analysis-of-the-of-the-national-budget.html</w:t>
      </w:r>
    </w:p>
  </w:footnote>
  <w:footnote w:id="11">
    <w:p w:rsidR="00EE28C9" w:rsidRPr="004E321E" w:rsidRDefault="00EE28C9" w:rsidP="00CA4C3C">
      <w:pPr>
        <w:pStyle w:val="FootnoteText"/>
        <w:rPr>
          <w:rFonts w:ascii="Times New Roman" w:hAnsi="Times New Roman" w:cs="Times New Roman"/>
          <w:sz w:val="16"/>
          <w:szCs w:val="16"/>
        </w:rPr>
      </w:pPr>
      <w:r w:rsidRPr="004E321E">
        <w:rPr>
          <w:rStyle w:val="FootnoteReference"/>
          <w:rFonts w:ascii="Times New Roman" w:hAnsi="Times New Roman" w:cs="Times New Roman"/>
          <w:sz w:val="16"/>
          <w:szCs w:val="16"/>
        </w:rPr>
        <w:footnoteRef/>
      </w:r>
      <w:r w:rsidRPr="004E321E">
        <w:rPr>
          <w:rFonts w:ascii="Times New Roman" w:hAnsi="Times New Roman" w:cs="Times New Roman"/>
          <w:sz w:val="16"/>
          <w:szCs w:val="16"/>
        </w:rPr>
        <w:t xml:space="preserve"> http://www.iq.undp.org/content/iraq/en/home/presscenter/articles/2013/05/16/ensuring-their-voices-are-heard-the-struggle-of-female-parliamentarians.html</w:t>
      </w:r>
    </w:p>
  </w:footnote>
  <w:footnote w:id="12">
    <w:p w:rsidR="00EE28C9" w:rsidRPr="004E321E" w:rsidRDefault="00EE28C9" w:rsidP="00FE687A">
      <w:pPr>
        <w:pStyle w:val="FootnoteText"/>
        <w:rPr>
          <w:rFonts w:ascii="Times New Roman" w:hAnsi="Times New Roman" w:cs="Times New Roman"/>
          <w:sz w:val="16"/>
          <w:szCs w:val="16"/>
        </w:rPr>
      </w:pPr>
      <w:r w:rsidRPr="004E321E">
        <w:rPr>
          <w:rStyle w:val="FootnoteReference"/>
          <w:rFonts w:ascii="Times New Roman" w:hAnsi="Times New Roman" w:cs="Times New Roman"/>
          <w:sz w:val="16"/>
          <w:szCs w:val="16"/>
        </w:rPr>
        <w:footnoteRef/>
      </w:r>
      <w:r w:rsidRPr="004E321E">
        <w:rPr>
          <w:rFonts w:ascii="Times New Roman" w:hAnsi="Times New Roman" w:cs="Times New Roman"/>
          <w:sz w:val="16"/>
          <w:szCs w:val="16"/>
        </w:rPr>
        <w:t xml:space="preserve"> http://www.iq.undp.org/content/iraq/en/home/presscenter/articles/2013/05/01/undp-provides-grants-to-iraqi-civil-society-organisations.html</w:t>
      </w:r>
    </w:p>
  </w:footnote>
  <w:footnote w:id="13">
    <w:p w:rsidR="00EE28C9" w:rsidRPr="00070F13" w:rsidRDefault="00EE28C9" w:rsidP="000C017E">
      <w:pPr>
        <w:pStyle w:val="FootnoteText"/>
        <w:rPr>
          <w:rFonts w:ascii="Times New Roman" w:hAnsi="Times New Roman" w:cs="Times New Roman"/>
          <w:sz w:val="16"/>
          <w:szCs w:val="16"/>
        </w:rPr>
      </w:pPr>
      <w:r w:rsidRPr="00070F13">
        <w:rPr>
          <w:rStyle w:val="FootnoteReference"/>
          <w:rFonts w:ascii="Times New Roman" w:hAnsi="Times New Roman" w:cs="Times New Roman"/>
          <w:sz w:val="16"/>
          <w:szCs w:val="16"/>
        </w:rPr>
        <w:footnoteRef/>
      </w:r>
      <w:r w:rsidRPr="00070F13">
        <w:rPr>
          <w:rFonts w:ascii="Times New Roman" w:hAnsi="Times New Roman" w:cs="Times New Roman"/>
          <w:sz w:val="16"/>
          <w:szCs w:val="16"/>
        </w:rPr>
        <w:t xml:space="preserve"> http://www.iq.undp.org/content/iraq/en/home/presscenter/articles/2013/09/26/building-the-capacity-of-iraq-s-family-protection-units.html</w:t>
      </w:r>
    </w:p>
  </w:footnote>
  <w:footnote w:id="14">
    <w:p w:rsidR="00EE28C9" w:rsidRDefault="00EE28C9" w:rsidP="008E2A12">
      <w:pPr>
        <w:pStyle w:val="FootnoteText"/>
      </w:pPr>
      <w:r w:rsidRPr="00070F13">
        <w:rPr>
          <w:rStyle w:val="FootnoteReference"/>
          <w:rFonts w:ascii="Times New Roman" w:hAnsi="Times New Roman" w:cs="Times New Roman"/>
          <w:sz w:val="16"/>
          <w:szCs w:val="16"/>
        </w:rPr>
        <w:footnoteRef/>
      </w:r>
      <w:r w:rsidRPr="00070F13">
        <w:rPr>
          <w:rFonts w:ascii="Times New Roman" w:hAnsi="Times New Roman" w:cs="Times New Roman"/>
          <w:sz w:val="16"/>
          <w:szCs w:val="16"/>
        </w:rPr>
        <w:t xml:space="preserve"> http://reliefweb.int/report/iraq/one-year-after-mosuls-fall-iraqs-worsening-displacement-crisis</w:t>
      </w:r>
    </w:p>
  </w:footnote>
  <w:footnote w:id="15">
    <w:p w:rsidR="00EE28C9" w:rsidRDefault="00EE28C9" w:rsidP="008E2A12">
      <w:pPr>
        <w:pStyle w:val="FootnoteText"/>
      </w:pPr>
      <w:r w:rsidRPr="00040FB6">
        <w:rPr>
          <w:rStyle w:val="FootnoteReference"/>
          <w:rFonts w:ascii="Times New Roman" w:hAnsi="Times New Roman" w:cs="Times New Roman"/>
          <w:sz w:val="16"/>
          <w:szCs w:val="16"/>
        </w:rPr>
        <w:footnoteRef/>
      </w:r>
      <w:r w:rsidRPr="00040FB6">
        <w:rPr>
          <w:rFonts w:ascii="Times New Roman" w:hAnsi="Times New Roman" w:cs="Times New Roman"/>
          <w:sz w:val="16"/>
          <w:szCs w:val="16"/>
        </w:rPr>
        <w:t xml:space="preserve"> </w:t>
      </w:r>
      <w:r w:rsidRPr="004172A1">
        <w:rPr>
          <w:rFonts w:ascii="Times New Roman" w:hAnsi="Times New Roman" w:cs="Times New Roman"/>
          <w:sz w:val="16"/>
          <w:szCs w:val="16"/>
        </w:rPr>
        <w:t>http://www.basnews.com/en/news/2015/07/26/new-partnership-to-support-humanitarian-coordination-in-iraq/</w:t>
      </w:r>
    </w:p>
  </w:footnote>
  <w:footnote w:id="16">
    <w:p w:rsidR="00EE28C9" w:rsidRDefault="00EE28C9" w:rsidP="008E2A12">
      <w:pPr>
        <w:pStyle w:val="FootnoteText"/>
      </w:pPr>
      <w:r w:rsidRPr="00040FB6">
        <w:rPr>
          <w:rStyle w:val="FootnoteReference"/>
          <w:rFonts w:ascii="Times New Roman" w:hAnsi="Times New Roman" w:cs="Times New Roman"/>
          <w:sz w:val="16"/>
          <w:szCs w:val="16"/>
        </w:rPr>
        <w:footnoteRef/>
      </w:r>
      <w:r w:rsidRPr="00040FB6">
        <w:rPr>
          <w:rFonts w:ascii="Times New Roman" w:hAnsi="Times New Roman" w:cs="Times New Roman"/>
          <w:sz w:val="16"/>
          <w:szCs w:val="16"/>
        </w:rPr>
        <w:t xml:space="preserve"> </w:t>
      </w:r>
      <w:r w:rsidRPr="004172A1">
        <w:rPr>
          <w:rFonts w:ascii="Times New Roman" w:hAnsi="Times New Roman" w:cs="Times New Roman"/>
          <w:sz w:val="16"/>
          <w:szCs w:val="16"/>
        </w:rPr>
        <w:t>http://www.iq.undp.org/content/iraq/en/home/presscenter/pressreleases/2015/05/17/first-ever-crisis-coordination-and-disaster-preparedness-centre-in-kurdistan.html</w:t>
      </w:r>
    </w:p>
  </w:footnote>
  <w:footnote w:id="17">
    <w:p w:rsidR="00EE28C9" w:rsidRDefault="00EE28C9" w:rsidP="008E2A12">
      <w:pPr>
        <w:pStyle w:val="FootnoteText"/>
      </w:pPr>
      <w:r w:rsidRPr="004172A1">
        <w:rPr>
          <w:rStyle w:val="FootnoteReference"/>
          <w:rFonts w:ascii="Times New Roman" w:hAnsi="Times New Roman" w:cs="Times New Roman"/>
          <w:sz w:val="16"/>
          <w:szCs w:val="16"/>
        </w:rPr>
        <w:footnoteRef/>
      </w:r>
      <w:r w:rsidRPr="004172A1">
        <w:rPr>
          <w:rFonts w:ascii="Times New Roman" w:hAnsi="Times New Roman" w:cs="Times New Roman"/>
          <w:sz w:val="16"/>
          <w:szCs w:val="16"/>
        </w:rPr>
        <w:t xml:space="preserve"> Assessment of Development Results Iraq: http://web.undp.org/evaluation/evaluations/adr/iraq.shtml</w:t>
      </w:r>
    </w:p>
  </w:footnote>
  <w:footnote w:id="18">
    <w:p w:rsidR="00EE28C9" w:rsidRPr="004A5AF1" w:rsidRDefault="00EE28C9" w:rsidP="008E2A12">
      <w:pPr>
        <w:pStyle w:val="FootnoteText"/>
        <w:rPr>
          <w:rFonts w:ascii="Times New Roman" w:hAnsi="Times New Roman" w:cs="Times New Roman"/>
          <w:sz w:val="16"/>
          <w:szCs w:val="16"/>
        </w:rPr>
      </w:pPr>
      <w:r w:rsidRPr="004A5AF1">
        <w:rPr>
          <w:rStyle w:val="FootnoteReference"/>
          <w:rFonts w:ascii="Times New Roman" w:hAnsi="Times New Roman" w:cs="Times New Roman"/>
          <w:sz w:val="16"/>
          <w:szCs w:val="16"/>
        </w:rPr>
        <w:footnoteRef/>
      </w:r>
      <w:r w:rsidRPr="004A5AF1">
        <w:rPr>
          <w:rFonts w:ascii="Times New Roman" w:hAnsi="Times New Roman" w:cs="Times New Roman"/>
          <w:sz w:val="16"/>
          <w:szCs w:val="16"/>
        </w:rPr>
        <w:t xml:space="preserve"> http://www.iq.undp.org/content/iraq/en/home/presscenter/pressreleases/2014/12/03/support-to-the-iraqi-public-sector-modernization-reaffirmed.html</w:t>
      </w:r>
    </w:p>
  </w:footnote>
  <w:footnote w:id="19">
    <w:p w:rsidR="00EE28C9" w:rsidRDefault="00EE28C9" w:rsidP="008E2A12">
      <w:pPr>
        <w:pStyle w:val="FootnoteText"/>
      </w:pPr>
      <w:r w:rsidRPr="004A5AF1">
        <w:rPr>
          <w:rStyle w:val="FootnoteReference"/>
          <w:rFonts w:ascii="Times New Roman" w:hAnsi="Times New Roman" w:cs="Times New Roman"/>
          <w:sz w:val="16"/>
          <w:szCs w:val="16"/>
        </w:rPr>
        <w:footnoteRef/>
      </w:r>
      <w:r w:rsidRPr="004A5AF1">
        <w:rPr>
          <w:rFonts w:ascii="Times New Roman" w:hAnsi="Times New Roman" w:cs="Times New Roman"/>
          <w:sz w:val="16"/>
          <w:szCs w:val="16"/>
        </w:rPr>
        <w:t xml:space="preserve"> http://www.iq.undp.org/content/iraq/en/home/presscenter/pressreleases/2015/05/05/the-basra-compact-a-flagship-partnership-to-revive-the-economy-in-southern-iraq.html</w:t>
      </w:r>
    </w:p>
  </w:footnote>
  <w:footnote w:id="20">
    <w:p w:rsidR="00EE28C9" w:rsidRDefault="00EE28C9" w:rsidP="008E2A12">
      <w:pPr>
        <w:pStyle w:val="FootnoteText"/>
      </w:pPr>
      <w:r w:rsidRPr="00040FB6">
        <w:rPr>
          <w:rStyle w:val="FootnoteReference"/>
          <w:rFonts w:ascii="Times New Roman" w:hAnsi="Times New Roman" w:cs="Times New Roman"/>
          <w:sz w:val="18"/>
          <w:szCs w:val="18"/>
        </w:rPr>
        <w:footnoteRef/>
      </w:r>
      <w:r w:rsidRPr="00040FB6">
        <w:rPr>
          <w:rFonts w:ascii="Times New Roman" w:hAnsi="Times New Roman" w:cs="Times New Roman"/>
          <w:sz w:val="18"/>
          <w:szCs w:val="18"/>
        </w:rPr>
        <w:t xml:space="preserve"> </w:t>
      </w:r>
      <w:r w:rsidRPr="006C6A87">
        <w:rPr>
          <w:rFonts w:ascii="Times New Roman" w:hAnsi="Times New Roman" w:cs="Times New Roman"/>
          <w:sz w:val="16"/>
          <w:szCs w:val="16"/>
        </w:rPr>
        <w:t>U</w:t>
      </w:r>
      <w:r>
        <w:rPr>
          <w:rFonts w:ascii="Times New Roman" w:hAnsi="Times New Roman" w:cs="Times New Roman"/>
          <w:sz w:val="16"/>
          <w:szCs w:val="16"/>
        </w:rPr>
        <w:t xml:space="preserve">nited Nations Development Framework for Iraq, </w:t>
      </w:r>
      <w:r w:rsidRPr="006C6A87">
        <w:rPr>
          <w:rFonts w:ascii="Times New Roman" w:hAnsi="Times New Roman" w:cs="Times New Roman"/>
          <w:sz w:val="16"/>
          <w:szCs w:val="16"/>
        </w:rPr>
        <w:t>2015</w:t>
      </w:r>
      <w:r>
        <w:rPr>
          <w:rFonts w:ascii="Times New Roman" w:hAnsi="Times New Roman" w:cs="Times New Roman"/>
          <w:sz w:val="16"/>
          <w:szCs w:val="16"/>
        </w:rPr>
        <w:t>-2019,</w:t>
      </w:r>
      <w:r w:rsidRPr="006C6A87">
        <w:rPr>
          <w:rFonts w:ascii="Times New Roman" w:hAnsi="Times New Roman" w:cs="Times New Roman"/>
          <w:sz w:val="16"/>
          <w:szCs w:val="16"/>
        </w:rPr>
        <w:t xml:space="preserve"> under revision</w:t>
      </w:r>
      <w:r>
        <w:rPr>
          <w:rFonts w:ascii="Times New Roman" w:hAnsi="Times New Roman" w:cs="Times New Roman"/>
          <w:sz w:val="16"/>
          <w:szCs w:val="16"/>
        </w:rPr>
        <w:t>; d</w:t>
      </w:r>
      <w:r w:rsidRPr="006C6A87">
        <w:rPr>
          <w:rFonts w:ascii="Times New Roman" w:hAnsi="Times New Roman" w:cs="Times New Roman"/>
          <w:sz w:val="16"/>
          <w:szCs w:val="16"/>
        </w:rPr>
        <w:t xml:space="preserve">raft </w:t>
      </w:r>
      <w:r>
        <w:rPr>
          <w:rFonts w:ascii="Times New Roman" w:hAnsi="Times New Roman" w:cs="Times New Roman"/>
          <w:sz w:val="16"/>
          <w:szCs w:val="16"/>
        </w:rPr>
        <w:t>o</w:t>
      </w:r>
      <w:r w:rsidRPr="006C6A87">
        <w:rPr>
          <w:rFonts w:ascii="Times New Roman" w:hAnsi="Times New Roman" w:cs="Times New Roman"/>
          <w:sz w:val="16"/>
          <w:szCs w:val="16"/>
        </w:rPr>
        <w:t xml:space="preserve">utcome </w:t>
      </w:r>
      <w:r>
        <w:rPr>
          <w:rFonts w:ascii="Times New Roman" w:hAnsi="Times New Roman" w:cs="Times New Roman"/>
          <w:sz w:val="16"/>
          <w:szCs w:val="16"/>
        </w:rPr>
        <w:t>s</w:t>
      </w:r>
      <w:r w:rsidRPr="006C6A87">
        <w:rPr>
          <w:rFonts w:ascii="Times New Roman" w:hAnsi="Times New Roman" w:cs="Times New Roman"/>
          <w:sz w:val="16"/>
          <w:szCs w:val="16"/>
        </w:rPr>
        <w:t xml:space="preserve">tatements for new document provided in </w:t>
      </w:r>
      <w:r>
        <w:rPr>
          <w:rFonts w:ascii="Times New Roman" w:hAnsi="Times New Roman" w:cs="Times New Roman"/>
          <w:sz w:val="16"/>
          <w:szCs w:val="16"/>
        </w:rPr>
        <w:t>this</w:t>
      </w:r>
      <w:r w:rsidRPr="006C6A87">
        <w:rPr>
          <w:rFonts w:ascii="Times New Roman" w:hAnsi="Times New Roman" w:cs="Times New Roman"/>
          <w:sz w:val="16"/>
          <w:szCs w:val="16"/>
        </w:rPr>
        <w:t xml:space="preserve"> </w:t>
      </w:r>
      <w:r>
        <w:rPr>
          <w:rFonts w:ascii="Times New Roman" w:hAnsi="Times New Roman" w:cs="Times New Roman"/>
          <w:sz w:val="16"/>
          <w:szCs w:val="16"/>
        </w:rPr>
        <w:t>r</w:t>
      </w:r>
      <w:r w:rsidRPr="006C6A87">
        <w:rPr>
          <w:rFonts w:ascii="Times New Roman" w:hAnsi="Times New Roman" w:cs="Times New Roman"/>
          <w:sz w:val="16"/>
          <w:szCs w:val="16"/>
        </w:rPr>
        <w:t xml:space="preserve">esults and </w:t>
      </w:r>
      <w:r>
        <w:rPr>
          <w:rFonts w:ascii="Times New Roman" w:hAnsi="Times New Roman" w:cs="Times New Roman"/>
          <w:sz w:val="16"/>
          <w:szCs w:val="16"/>
        </w:rPr>
        <w:t>r</w:t>
      </w:r>
      <w:r w:rsidRPr="006C6A87">
        <w:rPr>
          <w:rFonts w:ascii="Times New Roman" w:hAnsi="Times New Roman" w:cs="Times New Roman"/>
          <w:sz w:val="16"/>
          <w:szCs w:val="16"/>
        </w:rPr>
        <w:t xml:space="preserve">esources </w:t>
      </w:r>
      <w:r>
        <w:rPr>
          <w:rFonts w:ascii="Times New Roman" w:hAnsi="Times New Roman" w:cs="Times New Roman"/>
          <w:sz w:val="16"/>
          <w:szCs w:val="16"/>
        </w:rPr>
        <w:t>f</w:t>
      </w:r>
      <w:r w:rsidRPr="006C6A87">
        <w:rPr>
          <w:rFonts w:ascii="Times New Roman" w:hAnsi="Times New Roman" w:cs="Times New Roman"/>
          <w:sz w:val="16"/>
          <w:szCs w:val="16"/>
        </w:rPr>
        <w:t>ramework</w:t>
      </w:r>
      <w:r>
        <w:rPr>
          <w:rFonts w:ascii="Times New Roman" w:hAnsi="Times New Roman" w:cs="Times New Roman"/>
          <w:sz w:val="16"/>
          <w:szCs w:val="16"/>
        </w:rPr>
        <w:t>.</w:t>
      </w:r>
    </w:p>
  </w:footnote>
  <w:footnote w:id="21">
    <w:p w:rsidR="00EE28C9" w:rsidRDefault="00EE28C9" w:rsidP="008E2A12">
      <w:pPr>
        <w:pStyle w:val="FootnoteText"/>
      </w:pPr>
      <w:r w:rsidRPr="00040FB6">
        <w:rPr>
          <w:rStyle w:val="FootnoteReference"/>
          <w:rFonts w:ascii="Times New Roman" w:hAnsi="Times New Roman" w:cs="Times New Roman"/>
          <w:sz w:val="18"/>
          <w:szCs w:val="18"/>
        </w:rPr>
        <w:footnoteRef/>
      </w:r>
      <w:r w:rsidRPr="00040FB6">
        <w:rPr>
          <w:rFonts w:ascii="Times New Roman" w:hAnsi="Times New Roman" w:cs="Times New Roman"/>
          <w:sz w:val="18"/>
          <w:szCs w:val="18"/>
        </w:rPr>
        <w:t xml:space="preserve"> </w:t>
      </w:r>
      <w:r w:rsidRPr="006C6A87">
        <w:rPr>
          <w:rFonts w:ascii="Times New Roman" w:hAnsi="Times New Roman" w:cs="Times New Roman"/>
          <w:sz w:val="16"/>
          <w:szCs w:val="16"/>
        </w:rPr>
        <w:t>U</w:t>
      </w:r>
      <w:r>
        <w:rPr>
          <w:rFonts w:ascii="Times New Roman" w:hAnsi="Times New Roman" w:cs="Times New Roman"/>
          <w:sz w:val="16"/>
          <w:szCs w:val="16"/>
        </w:rPr>
        <w:t xml:space="preserve">nited Nations Development Framework for Iraq, </w:t>
      </w:r>
      <w:r w:rsidRPr="006C6A87">
        <w:rPr>
          <w:rFonts w:ascii="Times New Roman" w:hAnsi="Times New Roman" w:cs="Times New Roman"/>
          <w:sz w:val="16"/>
          <w:szCs w:val="16"/>
        </w:rPr>
        <w:t>2015</w:t>
      </w:r>
      <w:r>
        <w:rPr>
          <w:rFonts w:ascii="Times New Roman" w:hAnsi="Times New Roman" w:cs="Times New Roman"/>
          <w:sz w:val="16"/>
          <w:szCs w:val="16"/>
        </w:rPr>
        <w:t>-2019,</w:t>
      </w:r>
      <w:r w:rsidRPr="006C6A87">
        <w:rPr>
          <w:rFonts w:ascii="Times New Roman" w:hAnsi="Times New Roman" w:cs="Times New Roman"/>
          <w:sz w:val="16"/>
          <w:szCs w:val="16"/>
        </w:rPr>
        <w:t xml:space="preserve"> under revision</w:t>
      </w:r>
      <w:r>
        <w:rPr>
          <w:rFonts w:ascii="Times New Roman" w:hAnsi="Times New Roman" w:cs="Times New Roman"/>
          <w:sz w:val="16"/>
          <w:szCs w:val="16"/>
        </w:rPr>
        <w:t>; d</w:t>
      </w:r>
      <w:r w:rsidRPr="006C6A87">
        <w:rPr>
          <w:rFonts w:ascii="Times New Roman" w:hAnsi="Times New Roman" w:cs="Times New Roman"/>
          <w:sz w:val="16"/>
          <w:szCs w:val="16"/>
        </w:rPr>
        <w:t xml:space="preserve">raft </w:t>
      </w:r>
      <w:r>
        <w:rPr>
          <w:rFonts w:ascii="Times New Roman" w:hAnsi="Times New Roman" w:cs="Times New Roman"/>
          <w:sz w:val="16"/>
          <w:szCs w:val="16"/>
        </w:rPr>
        <w:t>o</w:t>
      </w:r>
      <w:r w:rsidRPr="006C6A87">
        <w:rPr>
          <w:rFonts w:ascii="Times New Roman" w:hAnsi="Times New Roman" w:cs="Times New Roman"/>
          <w:sz w:val="16"/>
          <w:szCs w:val="16"/>
        </w:rPr>
        <w:t xml:space="preserve">utcome </w:t>
      </w:r>
      <w:r>
        <w:rPr>
          <w:rFonts w:ascii="Times New Roman" w:hAnsi="Times New Roman" w:cs="Times New Roman"/>
          <w:sz w:val="16"/>
          <w:szCs w:val="16"/>
        </w:rPr>
        <w:t>s</w:t>
      </w:r>
      <w:r w:rsidRPr="006C6A87">
        <w:rPr>
          <w:rFonts w:ascii="Times New Roman" w:hAnsi="Times New Roman" w:cs="Times New Roman"/>
          <w:sz w:val="16"/>
          <w:szCs w:val="16"/>
        </w:rPr>
        <w:t xml:space="preserve">tatements for new document provided in </w:t>
      </w:r>
      <w:r>
        <w:rPr>
          <w:rFonts w:ascii="Times New Roman" w:hAnsi="Times New Roman" w:cs="Times New Roman"/>
          <w:sz w:val="16"/>
          <w:szCs w:val="16"/>
        </w:rPr>
        <w:t>this</w:t>
      </w:r>
      <w:r w:rsidRPr="006C6A87">
        <w:rPr>
          <w:rFonts w:ascii="Times New Roman" w:hAnsi="Times New Roman" w:cs="Times New Roman"/>
          <w:sz w:val="16"/>
          <w:szCs w:val="16"/>
        </w:rPr>
        <w:t xml:space="preserve"> </w:t>
      </w:r>
      <w:r>
        <w:rPr>
          <w:rFonts w:ascii="Times New Roman" w:hAnsi="Times New Roman" w:cs="Times New Roman"/>
          <w:sz w:val="16"/>
          <w:szCs w:val="16"/>
        </w:rPr>
        <w:t>r</w:t>
      </w:r>
      <w:r w:rsidRPr="006C6A87">
        <w:rPr>
          <w:rFonts w:ascii="Times New Roman" w:hAnsi="Times New Roman" w:cs="Times New Roman"/>
          <w:sz w:val="16"/>
          <w:szCs w:val="16"/>
        </w:rPr>
        <w:t xml:space="preserve">esults and </w:t>
      </w:r>
      <w:r>
        <w:rPr>
          <w:rFonts w:ascii="Times New Roman" w:hAnsi="Times New Roman" w:cs="Times New Roman"/>
          <w:sz w:val="16"/>
          <w:szCs w:val="16"/>
        </w:rPr>
        <w:t>r</w:t>
      </w:r>
      <w:r w:rsidRPr="006C6A87">
        <w:rPr>
          <w:rFonts w:ascii="Times New Roman" w:hAnsi="Times New Roman" w:cs="Times New Roman"/>
          <w:sz w:val="16"/>
          <w:szCs w:val="16"/>
        </w:rPr>
        <w:t xml:space="preserve">esources </w:t>
      </w:r>
      <w:r>
        <w:rPr>
          <w:rFonts w:ascii="Times New Roman" w:hAnsi="Times New Roman" w:cs="Times New Roman"/>
          <w:sz w:val="16"/>
          <w:szCs w:val="16"/>
        </w:rPr>
        <w:t>f</w:t>
      </w:r>
      <w:r w:rsidRPr="006C6A87">
        <w:rPr>
          <w:rFonts w:ascii="Times New Roman" w:hAnsi="Times New Roman" w:cs="Times New Roman"/>
          <w:sz w:val="16"/>
          <w:szCs w:val="16"/>
        </w:rPr>
        <w:t>ramework</w:t>
      </w:r>
      <w:r>
        <w:rPr>
          <w:rFonts w:ascii="Times New Roman" w:hAnsi="Times New Roman" w:cs="Times New Roman"/>
          <w:sz w:val="16"/>
          <w:szCs w:val="16"/>
        </w:rPr>
        <w:t>.</w:t>
      </w:r>
    </w:p>
  </w:footnote>
  <w:footnote w:id="22">
    <w:p w:rsidR="00EE28C9" w:rsidRDefault="00EE28C9" w:rsidP="008E2A12">
      <w:pPr>
        <w:pStyle w:val="FootnoteText"/>
      </w:pPr>
      <w:r>
        <w:rPr>
          <w:rStyle w:val="FootnoteReference"/>
        </w:rPr>
        <w:footnoteRef/>
      </w:r>
      <w:r>
        <w:t xml:space="preserve"> </w:t>
      </w:r>
      <w:r>
        <w:rPr>
          <w:rFonts w:ascii="Times New Roman" w:hAnsi="Times New Roman"/>
          <w:sz w:val="16"/>
          <w:szCs w:val="16"/>
        </w:rPr>
        <w:t>Expanded governorate-</w:t>
      </w:r>
      <w:r w:rsidRPr="009F443A">
        <w:rPr>
          <w:rFonts w:ascii="Times New Roman" w:hAnsi="Times New Roman"/>
          <w:sz w:val="16"/>
          <w:szCs w:val="16"/>
        </w:rPr>
        <w:t xml:space="preserve">specific data: </w:t>
      </w:r>
      <w:hyperlink r:id="rId5" w:history="1">
        <w:r w:rsidRPr="009F443A">
          <w:rPr>
            <w:rStyle w:val="Hyperlink"/>
            <w:rFonts w:ascii="Times New Roman" w:hAnsi="Times New Roman"/>
            <w:sz w:val="16"/>
            <w:szCs w:val="16"/>
          </w:rPr>
          <w:t>http://planipolis.iiep.unesco.org/upload/Iraq/Iraq_UNDAF_2015-2019.pdf</w:t>
        </w:r>
      </w:hyperlink>
      <w:r>
        <w:rPr>
          <w:rStyle w:val="Hyperlink"/>
          <w:rFonts w:ascii="Times New Roman" w:hAnsi="Times New Roman"/>
          <w:sz w:val="16"/>
          <w:szCs w:val="16"/>
        </w:rPr>
        <w:t>,</w:t>
      </w:r>
      <w:r w:rsidRPr="009F443A">
        <w:rPr>
          <w:rFonts w:ascii="Times New Roman" w:hAnsi="Times New Roman"/>
          <w:sz w:val="16"/>
          <w:szCs w:val="16"/>
        </w:rPr>
        <w:t xml:space="preserve"> p.</w:t>
      </w:r>
      <w:r>
        <w:rPr>
          <w:rFonts w:ascii="Times New Roman" w:hAnsi="Times New Roman"/>
          <w:sz w:val="16"/>
          <w:szCs w:val="16"/>
        </w:rPr>
        <w:t>30</w:t>
      </w:r>
    </w:p>
  </w:footnote>
  <w:footnote w:id="23">
    <w:p w:rsidR="00EE28C9" w:rsidRDefault="00EE28C9" w:rsidP="00401F78">
      <w:pPr>
        <w:pStyle w:val="FootnoteText"/>
      </w:pPr>
      <w:r w:rsidRPr="00040FB6">
        <w:rPr>
          <w:rStyle w:val="FootnoteReference"/>
          <w:rFonts w:ascii="Times New Roman" w:hAnsi="Times New Roman" w:cs="Times New Roman"/>
          <w:sz w:val="18"/>
          <w:szCs w:val="18"/>
        </w:rPr>
        <w:footnoteRef/>
      </w:r>
      <w:r w:rsidRPr="00040FB6">
        <w:rPr>
          <w:rFonts w:ascii="Times New Roman" w:hAnsi="Times New Roman" w:cs="Times New Roman"/>
          <w:sz w:val="18"/>
          <w:szCs w:val="18"/>
        </w:rPr>
        <w:t xml:space="preserve"> </w:t>
      </w:r>
      <w:r w:rsidRPr="006C6A87">
        <w:rPr>
          <w:rFonts w:ascii="Times New Roman" w:hAnsi="Times New Roman" w:cs="Times New Roman"/>
          <w:sz w:val="16"/>
          <w:szCs w:val="16"/>
        </w:rPr>
        <w:t>U</w:t>
      </w:r>
      <w:r>
        <w:rPr>
          <w:rFonts w:ascii="Times New Roman" w:hAnsi="Times New Roman" w:cs="Times New Roman"/>
          <w:sz w:val="16"/>
          <w:szCs w:val="16"/>
        </w:rPr>
        <w:t xml:space="preserve">nited Nations Development Framework for Iraq, </w:t>
      </w:r>
      <w:r w:rsidRPr="006C6A87">
        <w:rPr>
          <w:rFonts w:ascii="Times New Roman" w:hAnsi="Times New Roman" w:cs="Times New Roman"/>
          <w:sz w:val="16"/>
          <w:szCs w:val="16"/>
        </w:rPr>
        <w:t>2015</w:t>
      </w:r>
      <w:r>
        <w:rPr>
          <w:rFonts w:ascii="Times New Roman" w:hAnsi="Times New Roman" w:cs="Times New Roman"/>
          <w:sz w:val="16"/>
          <w:szCs w:val="16"/>
        </w:rPr>
        <w:t>-2019,</w:t>
      </w:r>
      <w:r w:rsidRPr="006C6A87">
        <w:rPr>
          <w:rFonts w:ascii="Times New Roman" w:hAnsi="Times New Roman" w:cs="Times New Roman"/>
          <w:sz w:val="16"/>
          <w:szCs w:val="16"/>
        </w:rPr>
        <w:t xml:space="preserve"> under revision</w:t>
      </w:r>
      <w:r>
        <w:rPr>
          <w:rFonts w:ascii="Times New Roman" w:hAnsi="Times New Roman" w:cs="Times New Roman"/>
          <w:sz w:val="16"/>
          <w:szCs w:val="16"/>
        </w:rPr>
        <w:t>; d</w:t>
      </w:r>
      <w:r w:rsidRPr="006C6A87">
        <w:rPr>
          <w:rFonts w:ascii="Times New Roman" w:hAnsi="Times New Roman" w:cs="Times New Roman"/>
          <w:sz w:val="16"/>
          <w:szCs w:val="16"/>
        </w:rPr>
        <w:t xml:space="preserve">raft </w:t>
      </w:r>
      <w:r>
        <w:rPr>
          <w:rFonts w:ascii="Times New Roman" w:hAnsi="Times New Roman" w:cs="Times New Roman"/>
          <w:sz w:val="16"/>
          <w:szCs w:val="16"/>
        </w:rPr>
        <w:t>o</w:t>
      </w:r>
      <w:r w:rsidRPr="006C6A87">
        <w:rPr>
          <w:rFonts w:ascii="Times New Roman" w:hAnsi="Times New Roman" w:cs="Times New Roman"/>
          <w:sz w:val="16"/>
          <w:szCs w:val="16"/>
        </w:rPr>
        <w:t xml:space="preserve">utcome </w:t>
      </w:r>
      <w:r>
        <w:rPr>
          <w:rFonts w:ascii="Times New Roman" w:hAnsi="Times New Roman" w:cs="Times New Roman"/>
          <w:sz w:val="16"/>
          <w:szCs w:val="16"/>
        </w:rPr>
        <w:t>s</w:t>
      </w:r>
      <w:r w:rsidRPr="006C6A87">
        <w:rPr>
          <w:rFonts w:ascii="Times New Roman" w:hAnsi="Times New Roman" w:cs="Times New Roman"/>
          <w:sz w:val="16"/>
          <w:szCs w:val="16"/>
        </w:rPr>
        <w:t xml:space="preserve">tatements for new document provided in </w:t>
      </w:r>
      <w:r>
        <w:rPr>
          <w:rFonts w:ascii="Times New Roman" w:hAnsi="Times New Roman" w:cs="Times New Roman"/>
          <w:sz w:val="16"/>
          <w:szCs w:val="16"/>
        </w:rPr>
        <w:t>this</w:t>
      </w:r>
      <w:r w:rsidRPr="006C6A87">
        <w:rPr>
          <w:rFonts w:ascii="Times New Roman" w:hAnsi="Times New Roman" w:cs="Times New Roman"/>
          <w:sz w:val="16"/>
          <w:szCs w:val="16"/>
        </w:rPr>
        <w:t xml:space="preserve"> </w:t>
      </w:r>
      <w:r>
        <w:rPr>
          <w:rFonts w:ascii="Times New Roman" w:hAnsi="Times New Roman" w:cs="Times New Roman"/>
          <w:sz w:val="16"/>
          <w:szCs w:val="16"/>
        </w:rPr>
        <w:t>r</w:t>
      </w:r>
      <w:r w:rsidRPr="006C6A87">
        <w:rPr>
          <w:rFonts w:ascii="Times New Roman" w:hAnsi="Times New Roman" w:cs="Times New Roman"/>
          <w:sz w:val="16"/>
          <w:szCs w:val="16"/>
        </w:rPr>
        <w:t xml:space="preserve">esults and </w:t>
      </w:r>
      <w:r>
        <w:rPr>
          <w:rFonts w:ascii="Times New Roman" w:hAnsi="Times New Roman" w:cs="Times New Roman"/>
          <w:sz w:val="16"/>
          <w:szCs w:val="16"/>
        </w:rPr>
        <w:t>r</w:t>
      </w:r>
      <w:r w:rsidRPr="006C6A87">
        <w:rPr>
          <w:rFonts w:ascii="Times New Roman" w:hAnsi="Times New Roman" w:cs="Times New Roman"/>
          <w:sz w:val="16"/>
          <w:szCs w:val="16"/>
        </w:rPr>
        <w:t xml:space="preserve">esources </w:t>
      </w:r>
      <w:r>
        <w:rPr>
          <w:rFonts w:ascii="Times New Roman" w:hAnsi="Times New Roman" w:cs="Times New Roman"/>
          <w:sz w:val="16"/>
          <w:szCs w:val="16"/>
        </w:rPr>
        <w:t>f</w:t>
      </w:r>
      <w:r w:rsidRPr="006C6A87">
        <w:rPr>
          <w:rFonts w:ascii="Times New Roman" w:hAnsi="Times New Roman" w:cs="Times New Roman"/>
          <w:sz w:val="16"/>
          <w:szCs w:val="16"/>
        </w:rPr>
        <w:t>ramework</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70" w:type="dxa"/>
      <w:tblBorders>
        <w:bottom w:val="single" w:sz="4" w:space="0" w:color="auto"/>
      </w:tblBorders>
      <w:tblLayout w:type="fixed"/>
      <w:tblCellMar>
        <w:left w:w="0" w:type="dxa"/>
        <w:right w:w="0" w:type="dxa"/>
      </w:tblCellMar>
      <w:tblLook w:val="0000" w:firstRow="0" w:lastRow="0" w:firstColumn="0" w:lastColumn="0" w:noHBand="0" w:noVBand="0"/>
    </w:tblPr>
    <w:tblGrid>
      <w:gridCol w:w="5147"/>
      <w:gridCol w:w="4332"/>
    </w:tblGrid>
    <w:tr w:rsidR="00EE28C9" w:rsidRPr="005C7BDF" w:rsidTr="009D15B9">
      <w:trPr>
        <w:trHeight w:hRule="exact" w:val="909"/>
      </w:trPr>
      <w:tc>
        <w:tcPr>
          <w:tcW w:w="5147" w:type="dxa"/>
          <w:tcBorders>
            <w:bottom w:val="single" w:sz="4" w:space="0" w:color="auto"/>
          </w:tcBorders>
          <w:vAlign w:val="bottom"/>
        </w:tcPr>
        <w:p w:rsidR="00EE28C9" w:rsidRPr="005C7BDF" w:rsidRDefault="00EE28C9" w:rsidP="005C7BD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80"/>
            <w:ind w:left="270" w:hanging="270"/>
            <w:rPr>
              <w:rFonts w:eastAsia="Times New Roman"/>
              <w:b/>
              <w:sz w:val="17"/>
              <w:szCs w:val="17"/>
              <w:bdr w:val="none" w:sz="0" w:space="0" w:color="auto"/>
            </w:rPr>
          </w:pPr>
          <w:r w:rsidRPr="005C7BDF">
            <w:rPr>
              <w:rFonts w:eastAsia="Times New Roman"/>
              <w:b/>
              <w:sz w:val="17"/>
              <w:szCs w:val="17"/>
              <w:bdr w:val="none" w:sz="0" w:space="0" w:color="auto"/>
            </w:rPr>
            <w:t>DP/DCP/</w:t>
          </w:r>
          <w:r>
            <w:rPr>
              <w:rFonts w:eastAsia="Times New Roman"/>
              <w:b/>
              <w:sz w:val="17"/>
              <w:szCs w:val="17"/>
              <w:bdr w:val="none" w:sz="0" w:space="0" w:color="auto"/>
            </w:rPr>
            <w:t>IRQ</w:t>
          </w:r>
          <w:r w:rsidRPr="005C7BDF">
            <w:rPr>
              <w:rFonts w:eastAsia="Times New Roman"/>
              <w:b/>
              <w:sz w:val="17"/>
              <w:szCs w:val="17"/>
              <w:bdr w:val="none" w:sz="0" w:space="0" w:color="auto"/>
            </w:rPr>
            <w:t>/</w:t>
          </w:r>
          <w:r>
            <w:rPr>
              <w:rFonts w:eastAsia="Times New Roman"/>
              <w:b/>
              <w:sz w:val="17"/>
              <w:szCs w:val="17"/>
              <w:bdr w:val="none" w:sz="0" w:space="0" w:color="auto"/>
            </w:rPr>
            <w:t>2</w:t>
          </w:r>
        </w:p>
      </w:tc>
      <w:tc>
        <w:tcPr>
          <w:tcW w:w="4332" w:type="dxa"/>
          <w:tcBorders>
            <w:bottom w:val="single" w:sz="4" w:space="0" w:color="auto"/>
          </w:tcBorders>
          <w:vAlign w:val="bottom"/>
        </w:tcPr>
        <w:p w:rsidR="00EE28C9" w:rsidRPr="005C7BDF" w:rsidRDefault="00EE28C9" w:rsidP="005C7BD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rPr>
              <w:rFonts w:eastAsia="Times New Roman"/>
              <w:sz w:val="17"/>
              <w:szCs w:val="17"/>
              <w:bdr w:val="none" w:sz="0" w:space="0" w:color="auto"/>
            </w:rPr>
          </w:pPr>
        </w:p>
      </w:tc>
    </w:tr>
  </w:tbl>
  <w:p w:rsidR="00EE28C9" w:rsidRPr="005C7BDF" w:rsidRDefault="00EE28C9" w:rsidP="005C7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C9" w:rsidRDefault="00EE28C9">
    <w:pPr>
      <w:pStyle w:val="HeaderFooter"/>
      <w:widowControl w:val="0"/>
    </w:pPr>
    <w:r>
      <w:rPr>
        <w:noProof/>
      </w:rPr>
      <mc:AlternateContent>
        <mc:Choice Requires="wps">
          <w:drawing>
            <wp:anchor distT="152400" distB="152400" distL="152400" distR="152400" simplePos="0" relativeHeight="251655168" behindDoc="1" locked="0" layoutInCell="1" allowOverlap="1" wp14:anchorId="57A97F51" wp14:editId="420505A4">
              <wp:simplePos x="0" y="0"/>
              <wp:positionH relativeFrom="page">
                <wp:posOffset>731519</wp:posOffset>
              </wp:positionH>
              <wp:positionV relativeFrom="page">
                <wp:posOffset>365759</wp:posOffset>
              </wp:positionV>
              <wp:extent cx="8327391" cy="22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327391" cy="228600"/>
                      </a:xfrm>
                      <a:prstGeom prst="rect">
                        <a:avLst/>
                      </a:prstGeom>
                    </wps:spPr>
                    <wps:txbx>
                      <w:txbxContent>
                        <w:tbl>
                          <w:tblPr>
                            <w:tblW w:w="13113"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38"/>
                            <w:gridCol w:w="8275"/>
                          </w:tblGrid>
                          <w:tr w:rsidR="00EE28C9">
                            <w:trPr>
                              <w:trHeight w:hRule="exact" w:val="80"/>
                            </w:trPr>
                            <w:tc>
                              <w:tcPr>
                                <w:tcW w:w="483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EE28C9" w:rsidRDefault="00EE28C9"/>
                            </w:tc>
                            <w:tc>
                              <w:tcPr>
                                <w:tcW w:w="827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EE28C9" w:rsidRDefault="00EE28C9">
                                <w:pPr>
                                  <w:pStyle w:val="Header"/>
                                  <w:jc w:val="right"/>
                                </w:pPr>
                                <w:r>
                                  <w:rPr>
                                    <w:rFonts w:ascii="Times New Roman"/>
                                    <w:b/>
                                    <w:bCs/>
                                    <w:sz w:val="17"/>
                                    <w:szCs w:val="17"/>
                                  </w:rPr>
                                  <w:t>DP/DCP/</w:t>
                                </w:r>
                              </w:p>
                            </w:tc>
                          </w:tr>
                        </w:tbl>
                        <w:p w:rsidR="00EE28C9" w:rsidRDefault="00EE28C9"/>
                      </w:txbxContent>
                    </wps:txbx>
                    <wps:bodyPr lIns="0" tIns="0" rIns="0" bIns="0">
                      <a:spAutoFit/>
                    </wps:bodyPr>
                  </wps:wsp>
                </a:graphicData>
              </a:graphic>
            </wp:anchor>
          </w:drawing>
        </mc:Choice>
        <mc:Fallback>
          <w:pict>
            <v:rect w14:anchorId="57A97F51" id="officeArt object" o:spid="_x0000_s1026" style="position:absolute;margin-left:57.6pt;margin-top:28.8pt;width:655.7pt;height:18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" filled="f" stroked="f">
              <v:textbox style="mso-fit-shape-to-text:t" inset="0,0,0,0">
                <w:txbxContent>
                  <w:tbl>
                    <w:tblPr>
                      <w:tblW w:w="13113"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38"/>
                      <w:gridCol w:w="8275"/>
                    </w:tblGrid>
                    <w:tr w:rsidR="00EE28C9">
                      <w:trPr>
                        <w:trHeight w:hRule="exact" w:val="80"/>
                      </w:trPr>
                      <w:tc>
                        <w:tcPr>
                          <w:tcW w:w="483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EE28C9" w:rsidRDefault="00EE28C9"/>
                      </w:tc>
                      <w:tc>
                        <w:tcPr>
                          <w:tcW w:w="827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EE28C9" w:rsidRDefault="00EE28C9">
                          <w:pPr>
                            <w:pStyle w:val="Header"/>
                            <w:jc w:val="right"/>
                          </w:pPr>
                          <w:r>
                            <w:rPr>
                              <w:rFonts w:ascii="Times New Roman"/>
                              <w:b/>
                              <w:bCs/>
                              <w:sz w:val="17"/>
                              <w:szCs w:val="17"/>
                            </w:rPr>
                            <w:t>DP/DCP/</w:t>
                          </w:r>
                        </w:p>
                      </w:tc>
                    </w:tr>
                  </w:tbl>
                  <w:p w:rsidR="00EE28C9" w:rsidRDefault="00EE28C9"/>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EE28C9" w:rsidRPr="00D27995" w:rsidTr="00D27995">
      <w:trPr>
        <w:trHeight w:hRule="exact" w:val="864"/>
      </w:trPr>
      <w:tc>
        <w:tcPr>
          <w:tcW w:w="1267" w:type="dxa"/>
          <w:tcBorders>
            <w:top w:val="nil"/>
            <w:left w:val="nil"/>
            <w:bottom w:val="nil"/>
            <w:right w:val="nil"/>
          </w:tcBorders>
          <w:vAlign w:val="bottom"/>
        </w:tcPr>
        <w:p w:rsidR="00EE28C9" w:rsidRPr="00D27995" w:rsidRDefault="00EE28C9" w:rsidP="00D279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120"/>
            <w:rPr>
              <w:rFonts w:ascii="Courier" w:eastAsia="Times New Roman" w:hAnsi="Courier"/>
              <w:sz w:val="22"/>
              <w:szCs w:val="20"/>
              <w:bdr w:val="none" w:sz="0" w:space="0" w:color="auto"/>
              <w:lang w:val="es-ES"/>
            </w:rPr>
          </w:pPr>
        </w:p>
      </w:tc>
      <w:tc>
        <w:tcPr>
          <w:tcW w:w="1872" w:type="dxa"/>
          <w:tcBorders>
            <w:top w:val="nil"/>
            <w:left w:val="nil"/>
            <w:bottom w:val="nil"/>
            <w:right w:val="nil"/>
          </w:tcBorders>
          <w:vAlign w:val="bottom"/>
        </w:tcPr>
        <w:p w:rsidR="00EE28C9" w:rsidRPr="00D27995" w:rsidRDefault="00EE28C9" w:rsidP="00D27995">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80" w:line="300" w:lineRule="exact"/>
            <w:outlineLvl w:val="0"/>
            <w:rPr>
              <w:rFonts w:eastAsia="Times New Roman"/>
              <w:spacing w:val="2"/>
              <w:w w:val="96"/>
              <w:kern w:val="14"/>
              <w:sz w:val="28"/>
              <w:szCs w:val="20"/>
              <w:bdr w:val="none" w:sz="0" w:space="0" w:color="auto"/>
              <w:lang w:val="es-ES"/>
            </w:rPr>
          </w:pPr>
          <w:r w:rsidRPr="00D27995">
            <w:rPr>
              <w:rFonts w:eastAsia="Times New Roman"/>
              <w:spacing w:val="2"/>
              <w:w w:val="96"/>
              <w:kern w:val="14"/>
              <w:sz w:val="28"/>
              <w:szCs w:val="20"/>
              <w:bdr w:val="none" w:sz="0" w:space="0" w:color="auto"/>
              <w:lang w:val="es-ES"/>
            </w:rPr>
            <w:t>United Nations</w:t>
          </w:r>
        </w:p>
      </w:tc>
      <w:tc>
        <w:tcPr>
          <w:tcW w:w="245" w:type="dxa"/>
          <w:tcBorders>
            <w:top w:val="nil"/>
            <w:left w:val="nil"/>
            <w:bottom w:val="nil"/>
            <w:right w:val="nil"/>
          </w:tcBorders>
          <w:vAlign w:val="bottom"/>
        </w:tcPr>
        <w:p w:rsidR="00EE28C9" w:rsidRPr="00D27995" w:rsidRDefault="00EE28C9" w:rsidP="00D279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120"/>
            <w:rPr>
              <w:rFonts w:ascii="Courier" w:eastAsia="Times New Roman" w:hAnsi="Courier"/>
              <w:sz w:val="22"/>
              <w:szCs w:val="20"/>
              <w:bdr w:val="none" w:sz="0" w:space="0" w:color="auto"/>
              <w:lang w:val="es-ES"/>
            </w:rPr>
          </w:pPr>
        </w:p>
      </w:tc>
      <w:tc>
        <w:tcPr>
          <w:tcW w:w="6876" w:type="dxa"/>
          <w:gridSpan w:val="3"/>
          <w:tcBorders>
            <w:top w:val="nil"/>
            <w:left w:val="nil"/>
            <w:bottom w:val="nil"/>
            <w:right w:val="nil"/>
          </w:tcBorders>
          <w:vAlign w:val="bottom"/>
        </w:tcPr>
        <w:p w:rsidR="00EE28C9" w:rsidRPr="00D27995" w:rsidRDefault="00EE28C9" w:rsidP="005C7BDF">
          <w:pPr>
            <w:pBdr>
              <w:top w:val="none" w:sz="0" w:space="0" w:color="auto"/>
              <w:left w:val="none" w:sz="0" w:space="0" w:color="auto"/>
              <w:bottom w:val="none" w:sz="0" w:space="0" w:color="auto"/>
              <w:right w:val="none" w:sz="0" w:space="0" w:color="auto"/>
              <w:between w:val="none" w:sz="0" w:space="0" w:color="auto"/>
              <w:bar w:val="none" w:sz="0" w:color="auto"/>
            </w:pBdr>
            <w:spacing w:after="80"/>
            <w:jc w:val="center"/>
            <w:rPr>
              <w:rFonts w:eastAsia="Times New Roman"/>
              <w:position w:val="-4"/>
              <w:sz w:val="20"/>
              <w:szCs w:val="20"/>
              <w:bdr w:val="none" w:sz="0" w:space="0" w:color="auto"/>
              <w:lang w:val="es-ES"/>
            </w:rPr>
          </w:pPr>
          <w:r w:rsidRPr="00D27995">
            <w:rPr>
              <w:rFonts w:eastAsia="Times New Roman"/>
              <w:position w:val="-4"/>
              <w:sz w:val="40"/>
              <w:szCs w:val="20"/>
              <w:bdr w:val="none" w:sz="0" w:space="0" w:color="auto"/>
              <w:lang w:val="es-ES"/>
            </w:rPr>
            <w:t xml:space="preserve">                                                  </w:t>
          </w:r>
          <w:r>
            <w:rPr>
              <w:rFonts w:eastAsia="Times New Roman"/>
              <w:position w:val="-4"/>
              <w:sz w:val="40"/>
              <w:szCs w:val="20"/>
              <w:bdr w:val="none" w:sz="0" w:space="0" w:color="auto"/>
              <w:lang w:val="es-ES"/>
            </w:rPr>
            <w:t xml:space="preserve">   </w:t>
          </w:r>
          <w:r w:rsidRPr="00D27995">
            <w:rPr>
              <w:rFonts w:eastAsia="Times New Roman"/>
              <w:position w:val="-4"/>
              <w:sz w:val="40"/>
              <w:szCs w:val="20"/>
              <w:bdr w:val="none" w:sz="0" w:space="0" w:color="auto"/>
              <w:lang w:val="es-ES"/>
            </w:rPr>
            <w:t>DP</w:t>
          </w:r>
          <w:r w:rsidRPr="00D27995">
            <w:rPr>
              <w:rFonts w:eastAsia="Times New Roman"/>
              <w:position w:val="-4"/>
              <w:sz w:val="20"/>
              <w:szCs w:val="20"/>
              <w:bdr w:val="none" w:sz="0" w:space="0" w:color="auto"/>
              <w:lang w:val="es-ES"/>
            </w:rPr>
            <w:t>/DCP/</w:t>
          </w:r>
          <w:r>
            <w:rPr>
              <w:rFonts w:eastAsia="Times New Roman"/>
              <w:position w:val="-4"/>
              <w:sz w:val="20"/>
              <w:szCs w:val="20"/>
              <w:bdr w:val="none" w:sz="0" w:space="0" w:color="auto"/>
              <w:lang w:val="es-ES"/>
            </w:rPr>
            <w:t>IRQ</w:t>
          </w:r>
          <w:r w:rsidRPr="00D27995">
            <w:rPr>
              <w:rFonts w:eastAsia="Times New Roman"/>
              <w:position w:val="-4"/>
              <w:sz w:val="20"/>
              <w:szCs w:val="20"/>
              <w:bdr w:val="none" w:sz="0" w:space="0" w:color="auto"/>
              <w:lang w:val="es-ES"/>
            </w:rPr>
            <w:t>/</w:t>
          </w:r>
          <w:r>
            <w:rPr>
              <w:rFonts w:eastAsia="Times New Roman"/>
              <w:position w:val="-4"/>
              <w:sz w:val="20"/>
              <w:szCs w:val="20"/>
              <w:bdr w:val="none" w:sz="0" w:space="0" w:color="auto"/>
              <w:lang w:val="es-ES"/>
            </w:rPr>
            <w:t>2</w:t>
          </w:r>
        </w:p>
      </w:tc>
    </w:tr>
    <w:tr w:rsidR="00EE28C9" w:rsidRPr="00D27995" w:rsidTr="00D27995">
      <w:trPr>
        <w:trHeight w:hRule="exact" w:val="2411"/>
      </w:trPr>
      <w:tc>
        <w:tcPr>
          <w:tcW w:w="1267" w:type="dxa"/>
          <w:tcBorders>
            <w:top w:val="single" w:sz="4" w:space="0" w:color="auto"/>
            <w:left w:val="nil"/>
            <w:bottom w:val="single" w:sz="12" w:space="0" w:color="auto"/>
            <w:right w:val="nil"/>
          </w:tcBorders>
        </w:tcPr>
        <w:p w:rsidR="00EE28C9" w:rsidRPr="00D27995" w:rsidRDefault="00EE28C9" w:rsidP="00D279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before="109"/>
            <w:rPr>
              <w:rFonts w:ascii="Courier" w:eastAsia="Times New Roman" w:hAnsi="Courier"/>
              <w:sz w:val="22"/>
              <w:szCs w:val="20"/>
              <w:bdr w:val="none" w:sz="0" w:space="0" w:color="auto"/>
              <w:lang w:val="es-ES"/>
            </w:rPr>
          </w:pPr>
          <w:r w:rsidRPr="00D27995">
            <w:rPr>
              <w:rFonts w:ascii="Courier" w:eastAsia="Times New Roman" w:hAnsi="Courier"/>
              <w:noProof/>
              <w:sz w:val="22"/>
              <w:szCs w:val="20"/>
              <w:bdr w:val="none" w:sz="0" w:space="0" w:color="auto"/>
            </w:rPr>
            <w:drawing>
              <wp:inline distT="0" distB="0" distL="0" distR="0" wp14:anchorId="25D811A3" wp14:editId="6D2956AE">
                <wp:extent cx="716280" cy="586740"/>
                <wp:effectExtent l="0" t="0" r="7620" b="381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rsidR="00EE28C9" w:rsidRPr="00D27995" w:rsidRDefault="00EE28C9" w:rsidP="00D279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before="109"/>
            <w:rPr>
              <w:rFonts w:ascii="Courier" w:eastAsia="Times New Roman" w:hAnsi="Courier"/>
              <w:sz w:val="22"/>
              <w:szCs w:val="20"/>
              <w:bdr w:val="none" w:sz="0" w:space="0" w:color="auto"/>
              <w:lang w:val="es-ES"/>
            </w:rPr>
          </w:pPr>
        </w:p>
      </w:tc>
      <w:tc>
        <w:tcPr>
          <w:tcW w:w="5227" w:type="dxa"/>
          <w:gridSpan w:val="3"/>
          <w:tcBorders>
            <w:top w:val="single" w:sz="4" w:space="0" w:color="auto"/>
            <w:left w:val="nil"/>
            <w:bottom w:val="single" w:sz="12" w:space="0" w:color="auto"/>
            <w:right w:val="nil"/>
          </w:tcBorders>
        </w:tcPr>
        <w:p w:rsidR="00EE28C9" w:rsidRPr="00D27995" w:rsidRDefault="00EE28C9" w:rsidP="009D534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leader="dot" w:pos="360"/>
            </w:tabs>
            <w:suppressAutoHyphens/>
            <w:spacing w:before="109" w:line="330" w:lineRule="exact"/>
            <w:outlineLvl w:val="0"/>
            <w:rPr>
              <w:rFonts w:eastAsia="Times New Roman"/>
              <w:b/>
              <w:spacing w:val="-4"/>
              <w:w w:val="98"/>
              <w:kern w:val="14"/>
              <w:sz w:val="34"/>
              <w:szCs w:val="20"/>
              <w:bdr w:val="none" w:sz="0" w:space="0" w:color="auto"/>
            </w:rPr>
          </w:pPr>
          <w:r w:rsidRPr="00D27995">
            <w:rPr>
              <w:rFonts w:eastAsia="Times New Roman"/>
              <w:b/>
              <w:spacing w:val="-4"/>
              <w:w w:val="98"/>
              <w:kern w:val="14"/>
              <w:sz w:val="34"/>
              <w:szCs w:val="20"/>
              <w:bdr w:val="none" w:sz="0" w:space="0" w:color="auto"/>
              <w:lang w:val="en-GB"/>
            </w:rPr>
            <w:t>Executive Board of the</w:t>
          </w:r>
          <w:r w:rsidRPr="00D27995">
            <w:rPr>
              <w:rFonts w:eastAsia="Times New Roman"/>
              <w:b/>
              <w:spacing w:val="-4"/>
              <w:w w:val="98"/>
              <w:kern w:val="14"/>
              <w:sz w:val="34"/>
              <w:szCs w:val="20"/>
              <w:bdr w:val="none" w:sz="0" w:space="0" w:color="auto"/>
              <w:lang w:val="en-GB"/>
            </w:rPr>
            <w:br/>
            <w:t>United Nations Development</w:t>
          </w:r>
          <w:r w:rsidRPr="00D27995">
            <w:rPr>
              <w:rFonts w:eastAsia="Times New Roman"/>
              <w:b/>
              <w:spacing w:val="-4"/>
              <w:w w:val="98"/>
              <w:kern w:val="14"/>
              <w:sz w:val="34"/>
              <w:szCs w:val="20"/>
              <w:bdr w:val="none" w:sz="0" w:space="0" w:color="auto"/>
              <w:lang w:val="en-GB"/>
            </w:rPr>
            <w:br/>
            <w:t>Programme, the United Nations Population Fund and the</w:t>
          </w:r>
          <w:r w:rsidRPr="00D27995">
            <w:rPr>
              <w:rFonts w:eastAsia="Times New Roman"/>
              <w:b/>
              <w:spacing w:val="-4"/>
              <w:w w:val="98"/>
              <w:kern w:val="14"/>
              <w:sz w:val="34"/>
              <w:szCs w:val="20"/>
              <w:bdr w:val="none" w:sz="0" w:space="0" w:color="auto"/>
              <w:lang w:val="en-GB"/>
            </w:rPr>
            <w:br/>
            <w:t>United Nations Office for</w:t>
          </w:r>
          <w:r w:rsidRPr="00D27995">
            <w:rPr>
              <w:rFonts w:eastAsia="Times New Roman"/>
              <w:b/>
              <w:spacing w:val="-4"/>
              <w:w w:val="98"/>
              <w:kern w:val="14"/>
              <w:sz w:val="34"/>
              <w:szCs w:val="20"/>
              <w:bdr w:val="none" w:sz="0" w:space="0" w:color="auto"/>
              <w:lang w:val="en-GB"/>
            </w:rPr>
            <w:br/>
            <w:t>Project Services</w:t>
          </w:r>
        </w:p>
      </w:tc>
      <w:tc>
        <w:tcPr>
          <w:tcW w:w="245" w:type="dxa"/>
          <w:tcBorders>
            <w:top w:val="single" w:sz="4" w:space="0" w:color="auto"/>
            <w:left w:val="nil"/>
            <w:bottom w:val="single" w:sz="12" w:space="0" w:color="auto"/>
            <w:right w:val="nil"/>
          </w:tcBorders>
        </w:tcPr>
        <w:p w:rsidR="00EE28C9" w:rsidRPr="00D27995" w:rsidRDefault="00EE28C9" w:rsidP="00D279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before="109"/>
            <w:rPr>
              <w:rFonts w:ascii="Courier" w:eastAsia="Times New Roman" w:hAnsi="Courier"/>
              <w:sz w:val="22"/>
              <w:szCs w:val="20"/>
              <w:bdr w:val="none" w:sz="0" w:space="0" w:color="auto"/>
            </w:rPr>
          </w:pPr>
        </w:p>
      </w:tc>
      <w:tc>
        <w:tcPr>
          <w:tcW w:w="3521" w:type="dxa"/>
          <w:tcBorders>
            <w:top w:val="single" w:sz="4" w:space="0" w:color="auto"/>
            <w:left w:val="nil"/>
            <w:bottom w:val="single" w:sz="12" w:space="0" w:color="auto"/>
            <w:right w:val="nil"/>
          </w:tcBorders>
        </w:tcPr>
        <w:p w:rsidR="00EE28C9" w:rsidRPr="00D27995" w:rsidRDefault="00EE28C9" w:rsidP="00D27995">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Times New Roman"/>
              <w:sz w:val="20"/>
              <w:szCs w:val="20"/>
              <w:bdr w:val="none" w:sz="0" w:space="0" w:color="auto"/>
            </w:rPr>
          </w:pPr>
          <w:r w:rsidRPr="00D27995">
            <w:rPr>
              <w:rFonts w:eastAsia="Times New Roman"/>
              <w:sz w:val="20"/>
              <w:szCs w:val="20"/>
              <w:bdr w:val="none" w:sz="0" w:space="0" w:color="auto"/>
            </w:rPr>
            <w:t>Distr.: General</w:t>
          </w:r>
        </w:p>
        <w:p w:rsidR="00EE28C9" w:rsidRPr="00D27995" w:rsidRDefault="00EE28C9" w:rsidP="00D279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2 November</w:t>
          </w:r>
          <w:r w:rsidRPr="00D27995">
            <w:rPr>
              <w:rFonts w:eastAsia="Times New Roman"/>
              <w:sz w:val="20"/>
              <w:szCs w:val="20"/>
              <w:bdr w:val="none" w:sz="0" w:space="0" w:color="auto"/>
            </w:rPr>
            <w:t xml:space="preserve"> 2015</w:t>
          </w:r>
        </w:p>
        <w:p w:rsidR="00EE28C9" w:rsidRPr="00D27995" w:rsidRDefault="00EE28C9" w:rsidP="00D279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rsidR="00EE28C9" w:rsidRPr="00D27995" w:rsidRDefault="00EE28C9" w:rsidP="00D279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D27995">
            <w:rPr>
              <w:rFonts w:eastAsia="Times New Roman"/>
              <w:sz w:val="20"/>
              <w:szCs w:val="20"/>
              <w:bdr w:val="none" w:sz="0" w:space="0" w:color="auto"/>
            </w:rPr>
            <w:t>Original: English</w:t>
          </w:r>
        </w:p>
      </w:tc>
    </w:tr>
  </w:tbl>
  <w:p w:rsidR="00EE28C9" w:rsidRPr="00040FB6" w:rsidRDefault="00EE28C9" w:rsidP="00D27995">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612"/>
    </w:tblGrid>
    <w:tr w:rsidR="00EE28C9" w:rsidRPr="005C7BDF" w:rsidTr="009D15B9">
      <w:trPr>
        <w:trHeight w:hRule="exact" w:val="864"/>
      </w:trPr>
      <w:tc>
        <w:tcPr>
          <w:tcW w:w="4838" w:type="dxa"/>
          <w:shd w:val="clear" w:color="auto" w:fill="auto"/>
          <w:vAlign w:val="bottom"/>
        </w:tcPr>
        <w:p w:rsidR="00EE28C9" w:rsidRPr="005C7BDF" w:rsidRDefault="00EE28C9" w:rsidP="005C7BDF">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80"/>
            <w:rPr>
              <w:rFonts w:eastAsia="Times New Roman"/>
              <w:b/>
              <w:noProof/>
              <w:sz w:val="17"/>
              <w:szCs w:val="20"/>
              <w:bdr w:val="none" w:sz="0" w:space="0" w:color="auto"/>
            </w:rPr>
          </w:pPr>
        </w:p>
      </w:tc>
      <w:tc>
        <w:tcPr>
          <w:tcW w:w="4612" w:type="dxa"/>
          <w:shd w:val="clear" w:color="auto" w:fill="auto"/>
          <w:vAlign w:val="bottom"/>
        </w:tcPr>
        <w:p w:rsidR="00EE28C9" w:rsidRPr="005C7BDF" w:rsidRDefault="00EE28C9" w:rsidP="005C7BDF">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jc w:val="right"/>
            <w:rPr>
              <w:rFonts w:eastAsia="Times New Roman"/>
              <w:noProof/>
              <w:sz w:val="17"/>
              <w:szCs w:val="20"/>
              <w:bdr w:val="none" w:sz="0" w:space="0" w:color="auto"/>
            </w:rPr>
          </w:pPr>
          <w:r w:rsidRPr="005C7BDF">
            <w:rPr>
              <w:rFonts w:eastAsia="Times New Roman"/>
              <w:b/>
              <w:noProof/>
              <w:sz w:val="17"/>
              <w:szCs w:val="20"/>
              <w:bdr w:val="none" w:sz="0" w:space="0" w:color="auto"/>
            </w:rPr>
            <w:t>DP/DCP/</w:t>
          </w:r>
          <w:r>
            <w:rPr>
              <w:rFonts w:eastAsia="Times New Roman"/>
              <w:b/>
              <w:noProof/>
              <w:sz w:val="17"/>
              <w:szCs w:val="20"/>
              <w:bdr w:val="none" w:sz="0" w:space="0" w:color="auto"/>
            </w:rPr>
            <w:t>IRQ</w:t>
          </w:r>
          <w:r w:rsidRPr="005C7BDF">
            <w:rPr>
              <w:rFonts w:eastAsia="Times New Roman"/>
              <w:b/>
              <w:noProof/>
              <w:sz w:val="17"/>
              <w:szCs w:val="20"/>
              <w:bdr w:val="none" w:sz="0" w:space="0" w:color="auto"/>
            </w:rPr>
            <w:t>/</w:t>
          </w:r>
          <w:r w:rsidRPr="005C7BDF">
            <w:rPr>
              <w:rFonts w:eastAsia="Times New Roman"/>
              <w:b/>
              <w:noProof/>
              <w:sz w:val="17"/>
              <w:szCs w:val="20"/>
              <w:bdr w:val="none" w:sz="0" w:space="0" w:color="auto"/>
            </w:rPr>
            <w:fldChar w:fldCharType="begin"/>
          </w:r>
          <w:r w:rsidRPr="005C7BDF">
            <w:rPr>
              <w:rFonts w:eastAsia="Times New Roman"/>
              <w:b/>
              <w:noProof/>
              <w:sz w:val="17"/>
              <w:szCs w:val="20"/>
              <w:bdr w:val="none" w:sz="0" w:space="0" w:color="auto"/>
            </w:rPr>
            <w:instrText xml:space="preserve"> DOCVARIABLE "sss1" \* MERGEFORMAT </w:instrText>
          </w:r>
          <w:r w:rsidRPr="005C7BDF">
            <w:rPr>
              <w:rFonts w:eastAsia="Times New Roman"/>
              <w:b/>
              <w:noProof/>
              <w:sz w:val="17"/>
              <w:szCs w:val="20"/>
              <w:bdr w:val="none" w:sz="0" w:space="0" w:color="auto"/>
            </w:rPr>
            <w:fldChar w:fldCharType="end"/>
          </w:r>
          <w:r>
            <w:rPr>
              <w:rFonts w:eastAsia="Times New Roman"/>
              <w:b/>
              <w:noProof/>
              <w:sz w:val="17"/>
              <w:szCs w:val="20"/>
              <w:bdr w:val="none" w:sz="0" w:space="0" w:color="auto"/>
            </w:rPr>
            <w:t>2</w:t>
          </w:r>
        </w:p>
      </w:tc>
    </w:tr>
  </w:tbl>
  <w:p w:rsidR="00EE28C9" w:rsidRPr="00A55B7A" w:rsidRDefault="00EE28C9">
    <w:pPr>
      <w:pStyle w:val="HeaderFooter"/>
      <w:widowControl w:val="0"/>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70" w:type="dxa"/>
      <w:tblBorders>
        <w:bottom w:val="single" w:sz="4" w:space="0" w:color="auto"/>
      </w:tblBorders>
      <w:tblLayout w:type="fixed"/>
      <w:tblCellMar>
        <w:left w:w="0" w:type="dxa"/>
        <w:right w:w="0" w:type="dxa"/>
      </w:tblCellMar>
      <w:tblLook w:val="0000" w:firstRow="0" w:lastRow="0" w:firstColumn="0" w:lastColumn="0" w:noHBand="0" w:noVBand="0"/>
    </w:tblPr>
    <w:tblGrid>
      <w:gridCol w:w="5147"/>
      <w:gridCol w:w="4332"/>
    </w:tblGrid>
    <w:tr w:rsidR="00EE28C9" w:rsidRPr="005C7BDF" w:rsidTr="009D15B9">
      <w:trPr>
        <w:trHeight w:hRule="exact" w:val="909"/>
      </w:trPr>
      <w:tc>
        <w:tcPr>
          <w:tcW w:w="5147" w:type="dxa"/>
          <w:tcBorders>
            <w:bottom w:val="single" w:sz="4" w:space="0" w:color="auto"/>
          </w:tcBorders>
          <w:vAlign w:val="bottom"/>
        </w:tcPr>
        <w:p w:rsidR="00EE28C9" w:rsidRPr="005C7BDF" w:rsidRDefault="00EE28C9" w:rsidP="005C7BD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80"/>
            <w:ind w:left="270" w:hanging="270"/>
            <w:rPr>
              <w:rFonts w:eastAsia="Times New Roman"/>
              <w:b/>
              <w:sz w:val="17"/>
              <w:szCs w:val="17"/>
              <w:bdr w:val="none" w:sz="0" w:space="0" w:color="auto"/>
            </w:rPr>
          </w:pPr>
          <w:r w:rsidRPr="005C7BDF">
            <w:rPr>
              <w:rFonts w:eastAsia="Times New Roman"/>
              <w:b/>
              <w:sz w:val="17"/>
              <w:szCs w:val="17"/>
              <w:bdr w:val="none" w:sz="0" w:space="0" w:color="auto"/>
            </w:rPr>
            <w:t>DP/DCP/</w:t>
          </w:r>
          <w:r>
            <w:rPr>
              <w:rFonts w:eastAsia="Times New Roman"/>
              <w:b/>
              <w:sz w:val="17"/>
              <w:szCs w:val="17"/>
              <w:bdr w:val="none" w:sz="0" w:space="0" w:color="auto"/>
            </w:rPr>
            <w:t>IRQ</w:t>
          </w:r>
          <w:r w:rsidRPr="005C7BDF">
            <w:rPr>
              <w:rFonts w:eastAsia="Times New Roman"/>
              <w:b/>
              <w:sz w:val="17"/>
              <w:szCs w:val="17"/>
              <w:bdr w:val="none" w:sz="0" w:space="0" w:color="auto"/>
            </w:rPr>
            <w:t>/</w:t>
          </w:r>
          <w:r>
            <w:rPr>
              <w:rFonts w:eastAsia="Times New Roman"/>
              <w:b/>
              <w:sz w:val="17"/>
              <w:szCs w:val="17"/>
              <w:bdr w:val="none" w:sz="0" w:space="0" w:color="auto"/>
            </w:rPr>
            <w:t>2</w:t>
          </w:r>
        </w:p>
      </w:tc>
      <w:tc>
        <w:tcPr>
          <w:tcW w:w="4332" w:type="dxa"/>
          <w:tcBorders>
            <w:bottom w:val="single" w:sz="4" w:space="0" w:color="auto"/>
          </w:tcBorders>
          <w:vAlign w:val="bottom"/>
        </w:tcPr>
        <w:p w:rsidR="00EE28C9" w:rsidRPr="005C7BDF" w:rsidRDefault="00EE28C9" w:rsidP="005C7BD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rPr>
              <w:rFonts w:eastAsia="Times New Roman"/>
              <w:sz w:val="17"/>
              <w:szCs w:val="17"/>
              <w:bdr w:val="none" w:sz="0" w:space="0" w:color="auto"/>
            </w:rPr>
          </w:pPr>
        </w:p>
      </w:tc>
    </w:tr>
  </w:tbl>
  <w:p w:rsidR="00EE28C9" w:rsidRPr="00D27995" w:rsidRDefault="00EE28C9" w:rsidP="00D279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5147"/>
      <w:gridCol w:w="7453"/>
    </w:tblGrid>
    <w:tr w:rsidR="00EE28C9" w:rsidRPr="005C7BDF" w:rsidTr="00BF7ED9">
      <w:trPr>
        <w:trHeight w:hRule="exact" w:val="909"/>
      </w:trPr>
      <w:tc>
        <w:tcPr>
          <w:tcW w:w="5147" w:type="dxa"/>
          <w:tcBorders>
            <w:bottom w:val="single" w:sz="4" w:space="0" w:color="auto"/>
          </w:tcBorders>
          <w:vAlign w:val="bottom"/>
        </w:tcPr>
        <w:p w:rsidR="00EE28C9" w:rsidRPr="005C7BDF" w:rsidRDefault="00EE28C9" w:rsidP="00BF7E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80"/>
            <w:ind w:left="270" w:hanging="270"/>
            <w:rPr>
              <w:rFonts w:eastAsia="Times New Roman"/>
              <w:b/>
              <w:sz w:val="17"/>
              <w:szCs w:val="17"/>
              <w:bdr w:val="none" w:sz="0" w:space="0" w:color="auto"/>
            </w:rPr>
          </w:pPr>
          <w:r w:rsidRPr="005C7BDF">
            <w:rPr>
              <w:rFonts w:eastAsia="Times New Roman"/>
              <w:b/>
              <w:sz w:val="17"/>
              <w:szCs w:val="17"/>
              <w:bdr w:val="none" w:sz="0" w:space="0" w:color="auto"/>
            </w:rPr>
            <w:t>DP/DCP/</w:t>
          </w:r>
          <w:r>
            <w:rPr>
              <w:rFonts w:eastAsia="Times New Roman"/>
              <w:b/>
              <w:sz w:val="17"/>
              <w:szCs w:val="17"/>
              <w:bdr w:val="none" w:sz="0" w:space="0" w:color="auto"/>
            </w:rPr>
            <w:t>IRQ</w:t>
          </w:r>
          <w:r w:rsidRPr="005C7BDF">
            <w:rPr>
              <w:rFonts w:eastAsia="Times New Roman"/>
              <w:b/>
              <w:sz w:val="17"/>
              <w:szCs w:val="17"/>
              <w:bdr w:val="none" w:sz="0" w:space="0" w:color="auto"/>
            </w:rPr>
            <w:t>/</w:t>
          </w:r>
          <w:r>
            <w:rPr>
              <w:rFonts w:eastAsia="Times New Roman"/>
              <w:b/>
              <w:sz w:val="17"/>
              <w:szCs w:val="17"/>
              <w:bdr w:val="none" w:sz="0" w:space="0" w:color="auto"/>
            </w:rPr>
            <w:t>2</w:t>
          </w:r>
        </w:p>
      </w:tc>
      <w:tc>
        <w:tcPr>
          <w:tcW w:w="7453" w:type="dxa"/>
          <w:tcBorders>
            <w:bottom w:val="single" w:sz="4" w:space="0" w:color="auto"/>
          </w:tcBorders>
          <w:vAlign w:val="bottom"/>
        </w:tcPr>
        <w:p w:rsidR="00EE28C9" w:rsidRPr="005C7BDF" w:rsidRDefault="00EE28C9" w:rsidP="005C7BD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rPr>
              <w:rFonts w:eastAsia="Times New Roman"/>
              <w:sz w:val="17"/>
              <w:szCs w:val="17"/>
              <w:bdr w:val="none" w:sz="0" w:space="0" w:color="auto"/>
            </w:rPr>
          </w:pPr>
        </w:p>
      </w:tc>
    </w:tr>
  </w:tbl>
  <w:p w:rsidR="00EE28C9" w:rsidRPr="007C4BB3" w:rsidRDefault="00EE28C9" w:rsidP="005C7BDF">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33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7492"/>
    </w:tblGrid>
    <w:tr w:rsidR="00EE28C9" w:rsidRPr="005C7BDF" w:rsidTr="00BF7ED9">
      <w:trPr>
        <w:trHeight w:hRule="exact" w:val="864"/>
      </w:trPr>
      <w:tc>
        <w:tcPr>
          <w:tcW w:w="4838" w:type="dxa"/>
          <w:shd w:val="clear" w:color="auto" w:fill="auto"/>
          <w:vAlign w:val="bottom"/>
        </w:tcPr>
        <w:p w:rsidR="00EE28C9" w:rsidRPr="005C7BDF" w:rsidRDefault="00EE28C9" w:rsidP="005C7BDF">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80"/>
            <w:rPr>
              <w:rFonts w:eastAsia="Times New Roman"/>
              <w:b/>
              <w:noProof/>
              <w:sz w:val="17"/>
              <w:szCs w:val="20"/>
              <w:bdr w:val="none" w:sz="0" w:space="0" w:color="auto"/>
            </w:rPr>
          </w:pPr>
        </w:p>
      </w:tc>
      <w:tc>
        <w:tcPr>
          <w:tcW w:w="7492" w:type="dxa"/>
          <w:shd w:val="clear" w:color="auto" w:fill="auto"/>
          <w:vAlign w:val="bottom"/>
        </w:tcPr>
        <w:p w:rsidR="00EE28C9" w:rsidRPr="005C7BDF" w:rsidRDefault="00EE28C9" w:rsidP="005C7BDF">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jc w:val="right"/>
            <w:rPr>
              <w:rFonts w:eastAsia="Times New Roman"/>
              <w:noProof/>
              <w:sz w:val="17"/>
              <w:szCs w:val="20"/>
              <w:bdr w:val="none" w:sz="0" w:space="0" w:color="auto"/>
            </w:rPr>
          </w:pPr>
          <w:r w:rsidRPr="005C7BDF">
            <w:rPr>
              <w:rFonts w:eastAsia="Times New Roman"/>
              <w:b/>
              <w:noProof/>
              <w:sz w:val="17"/>
              <w:szCs w:val="20"/>
              <w:bdr w:val="none" w:sz="0" w:space="0" w:color="auto"/>
            </w:rPr>
            <w:t>DP/DCP/</w:t>
          </w:r>
          <w:r>
            <w:rPr>
              <w:rFonts w:eastAsia="Times New Roman"/>
              <w:b/>
              <w:noProof/>
              <w:sz w:val="17"/>
              <w:szCs w:val="20"/>
              <w:bdr w:val="none" w:sz="0" w:space="0" w:color="auto"/>
            </w:rPr>
            <w:t>IRQ</w:t>
          </w:r>
          <w:r w:rsidRPr="005C7BDF">
            <w:rPr>
              <w:rFonts w:eastAsia="Times New Roman"/>
              <w:b/>
              <w:noProof/>
              <w:sz w:val="17"/>
              <w:szCs w:val="20"/>
              <w:bdr w:val="none" w:sz="0" w:space="0" w:color="auto"/>
            </w:rPr>
            <w:t>/</w:t>
          </w:r>
          <w:r w:rsidRPr="005C7BDF">
            <w:rPr>
              <w:rFonts w:eastAsia="Times New Roman"/>
              <w:b/>
              <w:noProof/>
              <w:sz w:val="17"/>
              <w:szCs w:val="20"/>
              <w:bdr w:val="none" w:sz="0" w:space="0" w:color="auto"/>
            </w:rPr>
            <w:fldChar w:fldCharType="begin"/>
          </w:r>
          <w:r w:rsidRPr="005C7BDF">
            <w:rPr>
              <w:rFonts w:eastAsia="Times New Roman"/>
              <w:b/>
              <w:noProof/>
              <w:sz w:val="17"/>
              <w:szCs w:val="20"/>
              <w:bdr w:val="none" w:sz="0" w:space="0" w:color="auto"/>
            </w:rPr>
            <w:instrText xml:space="preserve"> DOCVARIABLE "sss1" \* MERGEFORMAT </w:instrText>
          </w:r>
          <w:r w:rsidRPr="005C7BDF">
            <w:rPr>
              <w:rFonts w:eastAsia="Times New Roman"/>
              <w:b/>
              <w:noProof/>
              <w:sz w:val="17"/>
              <w:szCs w:val="20"/>
              <w:bdr w:val="none" w:sz="0" w:space="0" w:color="auto"/>
            </w:rPr>
            <w:fldChar w:fldCharType="end"/>
          </w:r>
          <w:r>
            <w:rPr>
              <w:rFonts w:eastAsia="Times New Roman"/>
              <w:b/>
              <w:noProof/>
              <w:sz w:val="17"/>
              <w:szCs w:val="20"/>
              <w:bdr w:val="none" w:sz="0" w:space="0" w:color="auto"/>
            </w:rPr>
            <w:t>2</w:t>
          </w:r>
        </w:p>
      </w:tc>
    </w:tr>
  </w:tbl>
  <w:p w:rsidR="00EE28C9" w:rsidRPr="007C4BB3" w:rsidRDefault="00EE28C9">
    <w:pPr>
      <w:pStyle w:val="HeaderFooter"/>
      <w:widowControl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5ED"/>
    <w:multiLevelType w:val="multilevel"/>
    <w:tmpl w:val="179C2710"/>
    <w:styleLink w:val="List15"/>
    <w:lvl w:ilvl="0">
      <w:numFmt w:val="bullet"/>
      <w:lvlText w:val="•"/>
      <w:lvlJc w:val="left"/>
      <w:pPr>
        <w:tabs>
          <w:tab w:val="num" w:pos="360"/>
        </w:tabs>
        <w:ind w:left="36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60"/>
        </w:tabs>
        <w:ind w:left="96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80"/>
        </w:tabs>
        <w:ind w:left="168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00"/>
        </w:tabs>
        <w:ind w:left="240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20"/>
        </w:tabs>
        <w:ind w:left="312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40"/>
        </w:tabs>
        <w:ind w:left="384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60"/>
        </w:tabs>
        <w:ind w:left="456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80"/>
        </w:tabs>
        <w:ind w:left="528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00"/>
        </w:tabs>
        <w:ind w:left="600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abstractNum w:abstractNumId="1" w15:restartNumberingAfterBreak="0">
    <w:nsid w:val="020A6CD7"/>
    <w:multiLevelType w:val="multilevel"/>
    <w:tmpl w:val="67E6677A"/>
    <w:styleLink w:val="List21"/>
    <w:lvl w:ilvl="0">
      <w:start w:val="3"/>
      <w:numFmt w:val="upperRoman"/>
      <w:lvlText w:val="%1."/>
      <w:lvlJc w:val="left"/>
      <w:pPr>
        <w:tabs>
          <w:tab w:val="num" w:pos="720"/>
        </w:tabs>
        <w:ind w:left="720" w:hanging="447"/>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3B745D4"/>
    <w:multiLevelType w:val="hybridMultilevel"/>
    <w:tmpl w:val="27E27184"/>
    <w:lvl w:ilvl="0" w:tplc="26FCD716">
      <w:start w:val="1"/>
      <w:numFmt w:val="bullet"/>
      <w:lvlText w:val=""/>
      <w:lvlJc w:val="left"/>
      <w:pPr>
        <w:ind w:left="720" w:hanging="360"/>
      </w:pPr>
      <w:rPr>
        <w:rFonts w:ascii="Symbol" w:hAnsi="Symbol"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370AD"/>
    <w:multiLevelType w:val="multilevel"/>
    <w:tmpl w:val="D7A686EC"/>
    <w:styleLink w:val="List17"/>
    <w:lvl w:ilvl="0">
      <w:numFmt w:val="bullet"/>
      <w:lvlText w:val="•"/>
      <w:lvlJc w:val="left"/>
      <w:pPr>
        <w:tabs>
          <w:tab w:val="num" w:pos="368"/>
        </w:tabs>
        <w:ind w:left="368"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17"/>
        </w:tabs>
        <w:ind w:left="121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937"/>
        </w:tabs>
        <w:ind w:left="193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657"/>
        </w:tabs>
        <w:ind w:left="265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377"/>
        </w:tabs>
        <w:ind w:left="337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97"/>
        </w:tabs>
        <w:ind w:left="409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17"/>
        </w:tabs>
        <w:ind w:left="481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537"/>
        </w:tabs>
        <w:ind w:left="553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257"/>
        </w:tabs>
        <w:ind w:left="625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C640A11"/>
    <w:multiLevelType w:val="multilevel"/>
    <w:tmpl w:val="B644F852"/>
    <w:lvl w:ilvl="0">
      <w:start w:val="2"/>
      <w:numFmt w:val="decimal"/>
      <w:lvlText w:val="%1"/>
      <w:lvlJc w:val="left"/>
      <w:pPr>
        <w:ind w:left="459" w:hanging="360"/>
      </w:pPr>
      <w:rPr>
        <w:rFonts w:hint="default"/>
      </w:rPr>
    </w:lvl>
    <w:lvl w:ilvl="1">
      <w:start w:val="1"/>
      <w:numFmt w:val="decimal"/>
      <w:lvlText w:val="%1.%2."/>
      <w:lvlJc w:val="left"/>
      <w:pPr>
        <w:ind w:left="459" w:hanging="360"/>
      </w:pPr>
      <w:rPr>
        <w:rFonts w:ascii="Arial" w:eastAsia="Arial" w:hAnsi="Arial" w:hint="default"/>
        <w:w w:val="90"/>
        <w:sz w:val="20"/>
        <w:szCs w:val="20"/>
      </w:rPr>
    </w:lvl>
    <w:lvl w:ilvl="2">
      <w:start w:val="1"/>
      <w:numFmt w:val="bullet"/>
      <w:lvlText w:val="•"/>
      <w:lvlJc w:val="left"/>
      <w:pPr>
        <w:ind w:left="1025" w:hanging="360"/>
      </w:pPr>
      <w:rPr>
        <w:rFonts w:hint="default"/>
      </w:rPr>
    </w:lvl>
    <w:lvl w:ilvl="3">
      <w:start w:val="1"/>
      <w:numFmt w:val="bullet"/>
      <w:lvlText w:val="•"/>
      <w:lvlJc w:val="left"/>
      <w:pPr>
        <w:ind w:left="1307" w:hanging="360"/>
      </w:pPr>
      <w:rPr>
        <w:rFonts w:hint="default"/>
      </w:rPr>
    </w:lvl>
    <w:lvl w:ilvl="4">
      <w:start w:val="1"/>
      <w:numFmt w:val="bullet"/>
      <w:lvlText w:val="•"/>
      <w:lvlJc w:val="left"/>
      <w:pPr>
        <w:ind w:left="1590" w:hanging="360"/>
      </w:pPr>
      <w:rPr>
        <w:rFonts w:hint="default"/>
      </w:rPr>
    </w:lvl>
    <w:lvl w:ilvl="5">
      <w:start w:val="1"/>
      <w:numFmt w:val="bullet"/>
      <w:lvlText w:val="•"/>
      <w:lvlJc w:val="left"/>
      <w:pPr>
        <w:ind w:left="1872" w:hanging="360"/>
      </w:pPr>
      <w:rPr>
        <w:rFonts w:hint="default"/>
      </w:rPr>
    </w:lvl>
    <w:lvl w:ilvl="6">
      <w:start w:val="1"/>
      <w:numFmt w:val="bullet"/>
      <w:lvlText w:val="•"/>
      <w:lvlJc w:val="left"/>
      <w:pPr>
        <w:ind w:left="2155" w:hanging="360"/>
      </w:pPr>
      <w:rPr>
        <w:rFonts w:hint="default"/>
      </w:rPr>
    </w:lvl>
    <w:lvl w:ilvl="7">
      <w:start w:val="1"/>
      <w:numFmt w:val="bullet"/>
      <w:lvlText w:val="•"/>
      <w:lvlJc w:val="left"/>
      <w:pPr>
        <w:ind w:left="2438" w:hanging="360"/>
      </w:pPr>
      <w:rPr>
        <w:rFonts w:hint="default"/>
      </w:rPr>
    </w:lvl>
    <w:lvl w:ilvl="8">
      <w:start w:val="1"/>
      <w:numFmt w:val="bullet"/>
      <w:lvlText w:val="•"/>
      <w:lvlJc w:val="left"/>
      <w:pPr>
        <w:ind w:left="2720" w:hanging="360"/>
      </w:pPr>
      <w:rPr>
        <w:rFonts w:hint="default"/>
      </w:rPr>
    </w:lvl>
  </w:abstractNum>
  <w:abstractNum w:abstractNumId="5" w15:restartNumberingAfterBreak="0">
    <w:nsid w:val="0F351AE6"/>
    <w:multiLevelType w:val="hybridMultilevel"/>
    <w:tmpl w:val="BAF2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37445"/>
    <w:multiLevelType w:val="hybridMultilevel"/>
    <w:tmpl w:val="9F6A1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37169B"/>
    <w:multiLevelType w:val="multilevel"/>
    <w:tmpl w:val="B45245C8"/>
    <w:styleLink w:val="List0"/>
    <w:lvl w:ilvl="0">
      <w:start w:val="1"/>
      <w:numFmt w:val="upperRoman"/>
      <w:lvlText w:val="%1."/>
      <w:lvlJc w:val="left"/>
      <w:pPr>
        <w:tabs>
          <w:tab w:val="num" w:pos="720"/>
        </w:tabs>
        <w:ind w:left="720" w:hanging="447"/>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17112608"/>
    <w:multiLevelType w:val="multilevel"/>
    <w:tmpl w:val="6AD61D02"/>
    <w:styleLink w:val="List10"/>
    <w:lvl w:ilvl="0">
      <w:numFmt w:val="bullet"/>
      <w:lvlText w:val="•"/>
      <w:lvlJc w:val="left"/>
      <w:pPr>
        <w:tabs>
          <w:tab w:val="num" w:pos="395"/>
        </w:tabs>
        <w:ind w:left="395"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200"/>
        </w:tabs>
        <w:ind w:left="1200" w:hanging="48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80"/>
        </w:tabs>
        <w:ind w:left="168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00"/>
        </w:tabs>
        <w:ind w:left="240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20"/>
        </w:tabs>
        <w:ind w:left="312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40"/>
        </w:tabs>
        <w:ind w:left="384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60"/>
        </w:tabs>
        <w:ind w:left="456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80"/>
        </w:tabs>
        <w:ind w:left="528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00"/>
        </w:tabs>
        <w:ind w:left="600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19145CA2"/>
    <w:multiLevelType w:val="hybridMultilevel"/>
    <w:tmpl w:val="FD86C4FE"/>
    <w:lvl w:ilvl="0" w:tplc="04090001">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10" w15:restartNumberingAfterBreak="0">
    <w:nsid w:val="1A847B77"/>
    <w:multiLevelType w:val="multilevel"/>
    <w:tmpl w:val="BF4A1E9E"/>
    <w:styleLink w:val="List16"/>
    <w:lvl w:ilvl="0">
      <w:start w:val="1"/>
      <w:numFmt w:val="decimal"/>
      <w:lvlText w:val="%1."/>
      <w:lvlJc w:val="left"/>
      <w:pPr>
        <w:tabs>
          <w:tab w:val="num" w:pos="360"/>
        </w:tabs>
        <w:ind w:left="36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60"/>
        </w:tabs>
        <w:ind w:left="96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80"/>
        </w:tabs>
        <w:ind w:left="168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00"/>
        </w:tabs>
        <w:ind w:left="240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20"/>
        </w:tabs>
        <w:ind w:left="312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40"/>
        </w:tabs>
        <w:ind w:left="384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60"/>
        </w:tabs>
        <w:ind w:left="456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80"/>
        </w:tabs>
        <w:ind w:left="528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00"/>
        </w:tabs>
        <w:ind w:left="600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1A93228D"/>
    <w:multiLevelType w:val="multilevel"/>
    <w:tmpl w:val="704687C0"/>
    <w:styleLink w:val="List9"/>
    <w:lvl w:ilvl="0">
      <w:start w:val="2"/>
      <w:numFmt w:val="decimal"/>
      <w:lvlText w:val="%1."/>
      <w:lvlJc w:val="left"/>
      <w:pPr>
        <w:tabs>
          <w:tab w:val="num" w:pos="323"/>
        </w:tabs>
        <w:ind w:left="323" w:hanging="323"/>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200"/>
        </w:tabs>
        <w:ind w:left="1200" w:hanging="48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1E10775D"/>
    <w:multiLevelType w:val="hybridMultilevel"/>
    <w:tmpl w:val="0A745820"/>
    <w:lvl w:ilvl="0" w:tplc="CC30F634">
      <w:start w:val="1"/>
      <w:numFmt w:val="decimal"/>
      <w:lvlText w:val="%1."/>
      <w:lvlJc w:val="left"/>
      <w:pPr>
        <w:ind w:left="720" w:hanging="720"/>
      </w:pPr>
      <w:rPr>
        <w:rFonts w:hint="default"/>
      </w:rPr>
    </w:lvl>
    <w:lvl w:ilvl="1" w:tplc="1F0EB5D0">
      <w:start w:val="1"/>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7B1B2C"/>
    <w:multiLevelType w:val="multilevel"/>
    <w:tmpl w:val="177C67FC"/>
    <w:styleLink w:val="List7"/>
    <w:lvl w:ilvl="0">
      <w:numFmt w:val="bullet"/>
      <w:lvlText w:val="•"/>
      <w:lvlJc w:val="left"/>
      <w:pPr>
        <w:tabs>
          <w:tab w:val="num" w:pos="360"/>
        </w:tabs>
        <w:ind w:left="36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60"/>
        </w:tabs>
        <w:ind w:left="96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80"/>
        </w:tabs>
        <w:ind w:left="168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00"/>
        </w:tabs>
        <w:ind w:left="240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20"/>
        </w:tabs>
        <w:ind w:left="312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40"/>
        </w:tabs>
        <w:ind w:left="384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60"/>
        </w:tabs>
        <w:ind w:left="456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80"/>
        </w:tabs>
        <w:ind w:left="528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00"/>
        </w:tabs>
        <w:ind w:left="600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20D41D79"/>
    <w:multiLevelType w:val="hybridMultilevel"/>
    <w:tmpl w:val="E250B6EE"/>
    <w:lvl w:ilvl="0" w:tplc="CC30F634">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634904"/>
    <w:multiLevelType w:val="multilevel"/>
    <w:tmpl w:val="BDD8AE68"/>
    <w:styleLink w:val="List18"/>
    <w:lvl w:ilvl="0">
      <w:numFmt w:val="bullet"/>
      <w:lvlText w:val="•"/>
      <w:lvlJc w:val="left"/>
      <w:pPr>
        <w:tabs>
          <w:tab w:val="num" w:pos="389"/>
        </w:tabs>
        <w:ind w:left="389"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17"/>
        </w:tabs>
        <w:ind w:left="121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937"/>
        </w:tabs>
        <w:ind w:left="193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657"/>
        </w:tabs>
        <w:ind w:left="265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377"/>
        </w:tabs>
        <w:ind w:left="337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97"/>
        </w:tabs>
        <w:ind w:left="409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17"/>
        </w:tabs>
        <w:ind w:left="481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537"/>
        </w:tabs>
        <w:ind w:left="553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257"/>
        </w:tabs>
        <w:ind w:left="625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294918F6"/>
    <w:multiLevelType w:val="hybridMultilevel"/>
    <w:tmpl w:val="3776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A08F1"/>
    <w:multiLevelType w:val="hybridMultilevel"/>
    <w:tmpl w:val="91829206"/>
    <w:lvl w:ilvl="0" w:tplc="E5C20330">
      <w:start w:val="1"/>
      <w:numFmt w:val="decimal"/>
      <w:lvlText w:val="%1."/>
      <w:lvlJc w:val="left"/>
      <w:pPr>
        <w:ind w:left="33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ED7FFB"/>
    <w:multiLevelType w:val="hybridMultilevel"/>
    <w:tmpl w:val="C45EED82"/>
    <w:lvl w:ilvl="0" w:tplc="23F837F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06F66"/>
    <w:multiLevelType w:val="multilevel"/>
    <w:tmpl w:val="FC48F2A8"/>
    <w:styleLink w:val="List8"/>
    <w:lvl w:ilvl="0">
      <w:start w:val="3"/>
      <w:numFmt w:val="decimal"/>
      <w:lvlText w:val="%1."/>
      <w:lvlJc w:val="left"/>
      <w:pPr>
        <w:tabs>
          <w:tab w:val="num" w:pos="344"/>
        </w:tabs>
        <w:ind w:left="344" w:hanging="3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200"/>
        </w:tabs>
        <w:ind w:left="1200" w:hanging="48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372F5000"/>
    <w:multiLevelType w:val="multilevel"/>
    <w:tmpl w:val="AF420654"/>
    <w:styleLink w:val="List13"/>
    <w:lvl w:ilvl="0">
      <w:numFmt w:val="bullet"/>
      <w:lvlText w:val="•"/>
      <w:lvlJc w:val="left"/>
      <w:pPr>
        <w:tabs>
          <w:tab w:val="num" w:pos="368"/>
        </w:tabs>
        <w:ind w:left="368"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20"/>
        </w:tabs>
        <w:ind w:left="132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40"/>
        </w:tabs>
        <w:ind w:left="204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60"/>
        </w:tabs>
        <w:ind w:left="276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80"/>
        </w:tabs>
        <w:ind w:left="348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00"/>
        </w:tabs>
        <w:ind w:left="420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20"/>
        </w:tabs>
        <w:ind w:left="492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40"/>
        </w:tabs>
        <w:ind w:left="564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60"/>
        </w:tabs>
        <w:ind w:left="636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3CBF3C49"/>
    <w:multiLevelType w:val="hybridMultilevel"/>
    <w:tmpl w:val="91829206"/>
    <w:lvl w:ilvl="0" w:tplc="E5C20330">
      <w:start w:val="1"/>
      <w:numFmt w:val="decimal"/>
      <w:lvlText w:val="%1."/>
      <w:lvlJc w:val="left"/>
      <w:pPr>
        <w:ind w:left="33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F84228"/>
    <w:multiLevelType w:val="multilevel"/>
    <w:tmpl w:val="8C645F94"/>
    <w:styleLink w:val="List31"/>
    <w:lvl w:ilvl="0">
      <w:start w:val="5"/>
      <w:numFmt w:val="upperRoman"/>
      <w:lvlText w:val="%1."/>
      <w:lvlJc w:val="left"/>
      <w:pPr>
        <w:tabs>
          <w:tab w:val="num" w:pos="720"/>
        </w:tabs>
        <w:ind w:left="720" w:hanging="437"/>
      </w:pPr>
      <w:rPr>
        <w:b/>
        <w:bCs/>
        <w:color w:val="000000"/>
        <w:position w:val="0"/>
        <w:sz w:val="18"/>
        <w:szCs w:val="18"/>
        <w:u w:color="000000"/>
      </w:rPr>
    </w:lvl>
    <w:lvl w:ilvl="1">
      <w:start w:val="1"/>
      <w:numFmt w:val="lowerLetter"/>
      <w:lvlText w:val="%2."/>
      <w:lvlJc w:val="left"/>
      <w:pPr>
        <w:tabs>
          <w:tab w:val="num" w:pos="1350"/>
        </w:tabs>
        <w:ind w:left="1350" w:hanging="270"/>
      </w:pPr>
      <w:rPr>
        <w:b/>
        <w:bCs/>
        <w:color w:val="000000"/>
        <w:position w:val="0"/>
        <w:sz w:val="18"/>
        <w:szCs w:val="18"/>
        <w:u w:color="000000"/>
      </w:rPr>
    </w:lvl>
    <w:lvl w:ilvl="2">
      <w:start w:val="1"/>
      <w:numFmt w:val="lowerRoman"/>
      <w:lvlText w:val="%3."/>
      <w:lvlJc w:val="left"/>
      <w:pPr>
        <w:tabs>
          <w:tab w:val="num" w:pos="2086"/>
        </w:tabs>
        <w:ind w:left="2086" w:hanging="222"/>
      </w:pPr>
      <w:rPr>
        <w:b/>
        <w:bCs/>
        <w:color w:val="000000"/>
        <w:position w:val="0"/>
        <w:sz w:val="18"/>
        <w:szCs w:val="18"/>
        <w:u w:color="000000"/>
      </w:rPr>
    </w:lvl>
    <w:lvl w:ilvl="3">
      <w:start w:val="1"/>
      <w:numFmt w:val="decimal"/>
      <w:lvlText w:val="%4."/>
      <w:lvlJc w:val="left"/>
      <w:pPr>
        <w:tabs>
          <w:tab w:val="num" w:pos="2790"/>
        </w:tabs>
        <w:ind w:left="2790" w:hanging="270"/>
      </w:pPr>
      <w:rPr>
        <w:b/>
        <w:bCs/>
        <w:color w:val="000000"/>
        <w:position w:val="0"/>
        <w:sz w:val="18"/>
        <w:szCs w:val="18"/>
        <w:u w:color="000000"/>
      </w:rPr>
    </w:lvl>
    <w:lvl w:ilvl="4">
      <w:start w:val="1"/>
      <w:numFmt w:val="lowerLetter"/>
      <w:lvlText w:val="%5."/>
      <w:lvlJc w:val="left"/>
      <w:pPr>
        <w:tabs>
          <w:tab w:val="num" w:pos="3510"/>
        </w:tabs>
        <w:ind w:left="3510" w:hanging="270"/>
      </w:pPr>
      <w:rPr>
        <w:b/>
        <w:bCs/>
        <w:color w:val="000000"/>
        <w:position w:val="0"/>
        <w:sz w:val="18"/>
        <w:szCs w:val="18"/>
        <w:u w:color="000000"/>
      </w:rPr>
    </w:lvl>
    <w:lvl w:ilvl="5">
      <w:start w:val="1"/>
      <w:numFmt w:val="lowerRoman"/>
      <w:lvlText w:val="%6."/>
      <w:lvlJc w:val="left"/>
      <w:pPr>
        <w:tabs>
          <w:tab w:val="num" w:pos="4246"/>
        </w:tabs>
        <w:ind w:left="4246" w:hanging="222"/>
      </w:pPr>
      <w:rPr>
        <w:b/>
        <w:bCs/>
        <w:color w:val="000000"/>
        <w:position w:val="0"/>
        <w:sz w:val="18"/>
        <w:szCs w:val="18"/>
        <w:u w:color="000000"/>
      </w:rPr>
    </w:lvl>
    <w:lvl w:ilvl="6">
      <w:start w:val="1"/>
      <w:numFmt w:val="decimal"/>
      <w:lvlText w:val="%7."/>
      <w:lvlJc w:val="left"/>
      <w:pPr>
        <w:tabs>
          <w:tab w:val="num" w:pos="4950"/>
        </w:tabs>
        <w:ind w:left="4950" w:hanging="270"/>
      </w:pPr>
      <w:rPr>
        <w:b/>
        <w:bCs/>
        <w:color w:val="000000"/>
        <w:position w:val="0"/>
        <w:sz w:val="18"/>
        <w:szCs w:val="18"/>
        <w:u w:color="000000"/>
      </w:rPr>
    </w:lvl>
    <w:lvl w:ilvl="7">
      <w:start w:val="1"/>
      <w:numFmt w:val="lowerLetter"/>
      <w:lvlText w:val="%8."/>
      <w:lvlJc w:val="left"/>
      <w:pPr>
        <w:tabs>
          <w:tab w:val="num" w:pos="5670"/>
        </w:tabs>
        <w:ind w:left="5670" w:hanging="270"/>
      </w:pPr>
      <w:rPr>
        <w:b/>
        <w:bCs/>
        <w:color w:val="000000"/>
        <w:position w:val="0"/>
        <w:sz w:val="18"/>
        <w:szCs w:val="18"/>
        <w:u w:color="000000"/>
      </w:rPr>
    </w:lvl>
    <w:lvl w:ilvl="8">
      <w:start w:val="1"/>
      <w:numFmt w:val="lowerRoman"/>
      <w:lvlText w:val="%9."/>
      <w:lvlJc w:val="left"/>
      <w:pPr>
        <w:tabs>
          <w:tab w:val="num" w:pos="6406"/>
        </w:tabs>
        <w:ind w:left="6406" w:hanging="222"/>
      </w:pPr>
      <w:rPr>
        <w:b/>
        <w:bCs/>
        <w:color w:val="000000"/>
        <w:position w:val="0"/>
        <w:sz w:val="18"/>
        <w:szCs w:val="18"/>
        <w:u w:color="000000"/>
      </w:rPr>
    </w:lvl>
  </w:abstractNum>
  <w:abstractNum w:abstractNumId="23" w15:restartNumberingAfterBreak="0">
    <w:nsid w:val="40F822A2"/>
    <w:multiLevelType w:val="multilevel"/>
    <w:tmpl w:val="BF8A90EA"/>
    <w:styleLink w:val="List41"/>
    <w:lvl w:ilvl="0">
      <w:start w:val="1"/>
      <w:numFmt w:val="decimal"/>
      <w:lvlText w:val="%1."/>
      <w:lvlJc w:val="left"/>
      <w:pPr>
        <w:tabs>
          <w:tab w:val="num" w:pos="240"/>
        </w:tabs>
        <w:ind w:left="240" w:hanging="240"/>
      </w:pPr>
      <w:rPr>
        <w:b/>
        <w:bCs/>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360"/>
        </w:tabs>
        <w:ind w:left="360" w:hanging="360"/>
      </w:pPr>
      <w:rPr>
        <w:b/>
        <w:bCs/>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480"/>
        </w:tabs>
        <w:ind w:left="480" w:hanging="480"/>
      </w:pPr>
      <w:rPr>
        <w:b/>
        <w:bCs/>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480"/>
        </w:tabs>
        <w:ind w:left="480" w:hanging="480"/>
      </w:pPr>
      <w:rPr>
        <w:b/>
        <w:bCs/>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720"/>
        </w:tabs>
        <w:ind w:left="720" w:hanging="720"/>
      </w:pPr>
      <w:rPr>
        <w:b/>
        <w:bCs/>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720"/>
        </w:tabs>
        <w:ind w:left="720" w:hanging="720"/>
      </w:pPr>
      <w:rPr>
        <w:b/>
        <w:bCs/>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960"/>
        </w:tabs>
        <w:ind w:left="960" w:hanging="960"/>
      </w:pPr>
      <w:rPr>
        <w:b/>
        <w:bCs/>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960"/>
        </w:tabs>
        <w:ind w:left="960" w:hanging="960"/>
      </w:pPr>
      <w:rPr>
        <w:b/>
        <w:bCs/>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200"/>
        </w:tabs>
        <w:ind w:left="1200" w:hanging="1200"/>
      </w:pPr>
      <w:rPr>
        <w:b/>
        <w:bCs/>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24" w15:restartNumberingAfterBreak="0">
    <w:nsid w:val="41261E67"/>
    <w:multiLevelType w:val="multilevel"/>
    <w:tmpl w:val="041884A2"/>
    <w:styleLink w:val="List12"/>
    <w:lvl w:ilvl="0">
      <w:numFmt w:val="bullet"/>
      <w:lvlText w:val="•"/>
      <w:lvlJc w:val="left"/>
      <w:pPr>
        <w:tabs>
          <w:tab w:val="num" w:pos="395"/>
        </w:tabs>
        <w:ind w:left="395"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20"/>
        </w:tabs>
        <w:ind w:left="132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40"/>
        </w:tabs>
        <w:ind w:left="204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60"/>
        </w:tabs>
        <w:ind w:left="276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80"/>
        </w:tabs>
        <w:ind w:left="348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00"/>
        </w:tabs>
        <w:ind w:left="420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20"/>
        </w:tabs>
        <w:ind w:left="492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40"/>
        </w:tabs>
        <w:ind w:left="564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60"/>
        </w:tabs>
        <w:ind w:left="636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45E65B4D"/>
    <w:multiLevelType w:val="hybridMultilevel"/>
    <w:tmpl w:val="D05E5AD0"/>
    <w:lvl w:ilvl="0" w:tplc="776A8328">
      <w:start w:val="1"/>
      <w:numFmt w:val="bullet"/>
      <w:lvlText w:val=""/>
      <w:lvlJc w:val="left"/>
      <w:pPr>
        <w:ind w:left="459" w:hanging="360"/>
      </w:pPr>
      <w:rPr>
        <w:rFonts w:ascii="Symbol" w:eastAsia="Symbol" w:hAnsi="Symbol" w:hint="default"/>
        <w:w w:val="77"/>
        <w:sz w:val="20"/>
        <w:szCs w:val="20"/>
      </w:rPr>
    </w:lvl>
    <w:lvl w:ilvl="1" w:tplc="F4AC0C88">
      <w:start w:val="1"/>
      <w:numFmt w:val="bullet"/>
      <w:lvlText w:val="•"/>
      <w:lvlJc w:val="left"/>
      <w:pPr>
        <w:ind w:left="742" w:hanging="360"/>
      </w:pPr>
      <w:rPr>
        <w:rFonts w:hint="default"/>
      </w:rPr>
    </w:lvl>
    <w:lvl w:ilvl="2" w:tplc="2F6E1694">
      <w:start w:val="1"/>
      <w:numFmt w:val="bullet"/>
      <w:lvlText w:val="•"/>
      <w:lvlJc w:val="left"/>
      <w:pPr>
        <w:ind w:left="1025" w:hanging="360"/>
      </w:pPr>
      <w:rPr>
        <w:rFonts w:hint="default"/>
      </w:rPr>
    </w:lvl>
    <w:lvl w:ilvl="3" w:tplc="802C760C">
      <w:start w:val="1"/>
      <w:numFmt w:val="bullet"/>
      <w:lvlText w:val="•"/>
      <w:lvlJc w:val="left"/>
      <w:pPr>
        <w:ind w:left="1307" w:hanging="360"/>
      </w:pPr>
      <w:rPr>
        <w:rFonts w:hint="default"/>
      </w:rPr>
    </w:lvl>
    <w:lvl w:ilvl="4" w:tplc="4656E5B4">
      <w:start w:val="1"/>
      <w:numFmt w:val="bullet"/>
      <w:lvlText w:val="•"/>
      <w:lvlJc w:val="left"/>
      <w:pPr>
        <w:ind w:left="1590" w:hanging="360"/>
      </w:pPr>
      <w:rPr>
        <w:rFonts w:hint="default"/>
      </w:rPr>
    </w:lvl>
    <w:lvl w:ilvl="5" w:tplc="AE103EF4">
      <w:start w:val="1"/>
      <w:numFmt w:val="bullet"/>
      <w:lvlText w:val="•"/>
      <w:lvlJc w:val="left"/>
      <w:pPr>
        <w:ind w:left="1872" w:hanging="360"/>
      </w:pPr>
      <w:rPr>
        <w:rFonts w:hint="default"/>
      </w:rPr>
    </w:lvl>
    <w:lvl w:ilvl="6" w:tplc="99AA8B1C">
      <w:start w:val="1"/>
      <w:numFmt w:val="bullet"/>
      <w:lvlText w:val="•"/>
      <w:lvlJc w:val="left"/>
      <w:pPr>
        <w:ind w:left="2155" w:hanging="360"/>
      </w:pPr>
      <w:rPr>
        <w:rFonts w:hint="default"/>
      </w:rPr>
    </w:lvl>
    <w:lvl w:ilvl="7" w:tplc="47C003AA">
      <w:start w:val="1"/>
      <w:numFmt w:val="bullet"/>
      <w:lvlText w:val="•"/>
      <w:lvlJc w:val="left"/>
      <w:pPr>
        <w:ind w:left="2438" w:hanging="360"/>
      </w:pPr>
      <w:rPr>
        <w:rFonts w:hint="default"/>
      </w:rPr>
    </w:lvl>
    <w:lvl w:ilvl="8" w:tplc="CAF83EB0">
      <w:start w:val="1"/>
      <w:numFmt w:val="bullet"/>
      <w:lvlText w:val="•"/>
      <w:lvlJc w:val="left"/>
      <w:pPr>
        <w:ind w:left="2720" w:hanging="360"/>
      </w:pPr>
      <w:rPr>
        <w:rFonts w:hint="default"/>
      </w:rPr>
    </w:lvl>
  </w:abstractNum>
  <w:abstractNum w:abstractNumId="26"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A364A45"/>
    <w:multiLevelType w:val="multilevel"/>
    <w:tmpl w:val="068A5F9C"/>
    <w:styleLink w:val="List14"/>
    <w:lvl w:ilvl="0">
      <w:start w:val="1"/>
      <w:numFmt w:val="decimal"/>
      <w:lvlText w:val="%1."/>
      <w:lvlJc w:val="left"/>
      <w:pPr>
        <w:tabs>
          <w:tab w:val="num" w:pos="323"/>
        </w:tabs>
        <w:ind w:left="323" w:hanging="323"/>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200"/>
        </w:tabs>
        <w:ind w:left="1200" w:hanging="48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abstractNum w:abstractNumId="28" w15:restartNumberingAfterBreak="0">
    <w:nsid w:val="4B8E47B9"/>
    <w:multiLevelType w:val="multilevel"/>
    <w:tmpl w:val="96EE91EC"/>
    <w:styleLink w:val="List6"/>
    <w:lvl w:ilvl="0">
      <w:numFmt w:val="bullet"/>
      <w:lvlText w:val="•"/>
      <w:lvlJc w:val="left"/>
      <w:pPr>
        <w:tabs>
          <w:tab w:val="num" w:pos="180"/>
        </w:tabs>
        <w:ind w:left="180" w:hanging="18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60"/>
        </w:tabs>
        <w:ind w:left="96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80"/>
        </w:tabs>
        <w:ind w:left="168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00"/>
        </w:tabs>
        <w:ind w:left="240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20"/>
        </w:tabs>
        <w:ind w:left="312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40"/>
        </w:tabs>
        <w:ind w:left="384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60"/>
        </w:tabs>
        <w:ind w:left="456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80"/>
        </w:tabs>
        <w:ind w:left="528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00"/>
        </w:tabs>
        <w:ind w:left="600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4BBE0269"/>
    <w:multiLevelType w:val="multilevel"/>
    <w:tmpl w:val="513E3FE8"/>
    <w:styleLink w:val="List11"/>
    <w:lvl w:ilvl="0">
      <w:numFmt w:val="bullet"/>
      <w:lvlText w:val="•"/>
      <w:lvlJc w:val="left"/>
      <w:pPr>
        <w:tabs>
          <w:tab w:val="num" w:pos="360"/>
        </w:tabs>
        <w:ind w:left="36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200"/>
        </w:tabs>
        <w:ind w:left="1200" w:hanging="48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80"/>
        </w:tabs>
        <w:ind w:left="168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00"/>
        </w:tabs>
        <w:ind w:left="240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20"/>
        </w:tabs>
        <w:ind w:left="312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40"/>
        </w:tabs>
        <w:ind w:left="384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60"/>
        </w:tabs>
        <w:ind w:left="456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80"/>
        </w:tabs>
        <w:ind w:left="528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00"/>
        </w:tabs>
        <w:ind w:left="6000"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55C661B7"/>
    <w:multiLevelType w:val="hybridMultilevel"/>
    <w:tmpl w:val="D902CFC0"/>
    <w:lvl w:ilvl="0" w:tplc="8356EE76">
      <w:start w:val="1"/>
      <w:numFmt w:val="upperRoman"/>
      <w:lvlText w:val="%1."/>
      <w:lvlJc w:val="left"/>
      <w:pPr>
        <w:ind w:left="1170" w:hanging="720"/>
      </w:pPr>
      <w:rPr>
        <w:rFonts w:hint="default"/>
        <w:b/>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470BD5"/>
    <w:multiLevelType w:val="multilevel"/>
    <w:tmpl w:val="18B42938"/>
    <w:styleLink w:val="List1"/>
    <w:lvl w:ilvl="0">
      <w:start w:val="2"/>
      <w:numFmt w:val="upperRoman"/>
      <w:lvlText w:val="%1."/>
      <w:lvlJc w:val="left"/>
      <w:pPr>
        <w:tabs>
          <w:tab w:val="num" w:pos="720"/>
        </w:tabs>
        <w:ind w:left="720" w:hanging="447"/>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4" w15:restartNumberingAfterBreak="0">
    <w:nsid w:val="619E23FF"/>
    <w:multiLevelType w:val="multilevel"/>
    <w:tmpl w:val="4DC25C20"/>
    <w:styleLink w:val="List19"/>
    <w:lvl w:ilvl="0">
      <w:numFmt w:val="bullet"/>
      <w:lvlText w:val="•"/>
      <w:lvlJc w:val="left"/>
      <w:pPr>
        <w:tabs>
          <w:tab w:val="num" w:pos="413"/>
        </w:tabs>
        <w:ind w:left="413"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17"/>
        </w:tabs>
        <w:ind w:left="121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937"/>
        </w:tabs>
        <w:ind w:left="193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657"/>
        </w:tabs>
        <w:ind w:left="265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377"/>
        </w:tabs>
        <w:ind w:left="337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97"/>
        </w:tabs>
        <w:ind w:left="409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17"/>
        </w:tabs>
        <w:ind w:left="481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537"/>
        </w:tabs>
        <w:ind w:left="553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257"/>
        </w:tabs>
        <w:ind w:left="6257" w:hanging="240"/>
      </w:pPr>
      <w:rPr>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645C6A33"/>
    <w:multiLevelType w:val="multilevel"/>
    <w:tmpl w:val="D1C63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390C79"/>
    <w:multiLevelType w:val="hybridMultilevel"/>
    <w:tmpl w:val="7DCED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70195D"/>
    <w:multiLevelType w:val="hybridMultilevel"/>
    <w:tmpl w:val="91829206"/>
    <w:lvl w:ilvl="0" w:tplc="E5C20330">
      <w:start w:val="1"/>
      <w:numFmt w:val="decimal"/>
      <w:lvlText w:val="%1."/>
      <w:lvlJc w:val="left"/>
      <w:pPr>
        <w:ind w:left="33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0B2101"/>
    <w:multiLevelType w:val="multilevel"/>
    <w:tmpl w:val="002CF5B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47B59CD"/>
    <w:multiLevelType w:val="multilevel"/>
    <w:tmpl w:val="C3E840AE"/>
    <w:styleLink w:val="List51"/>
    <w:lvl w:ilvl="0">
      <w:numFmt w:val="bullet"/>
      <w:lvlText w:val="•"/>
      <w:lvlJc w:val="left"/>
      <w:pPr>
        <w:tabs>
          <w:tab w:val="num" w:pos="180"/>
        </w:tabs>
        <w:ind w:left="180" w:hanging="180"/>
      </w:pPr>
      <w:rPr>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60"/>
        </w:tabs>
        <w:ind w:left="960" w:hanging="240"/>
      </w:pPr>
      <w:rPr>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80"/>
        </w:tabs>
        <w:ind w:left="1680" w:hanging="240"/>
      </w:pPr>
      <w:rPr>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00"/>
        </w:tabs>
        <w:ind w:left="2400" w:hanging="240"/>
      </w:pPr>
      <w:rPr>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20"/>
        </w:tabs>
        <w:ind w:left="3120" w:hanging="240"/>
      </w:pPr>
      <w:rPr>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40"/>
        </w:tabs>
        <w:ind w:left="3840" w:hanging="240"/>
      </w:pPr>
      <w:rPr>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60"/>
        </w:tabs>
        <w:ind w:left="4560" w:hanging="240"/>
      </w:pPr>
      <w:rPr>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80"/>
        </w:tabs>
        <w:ind w:left="5280" w:hanging="240"/>
      </w:pPr>
      <w:rPr>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00"/>
        </w:tabs>
        <w:ind w:left="6000" w:hanging="240"/>
      </w:pPr>
      <w:rPr>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40" w15:restartNumberingAfterBreak="0">
    <w:nsid w:val="79132357"/>
    <w:multiLevelType w:val="hybridMultilevel"/>
    <w:tmpl w:val="117E96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FF58B7"/>
    <w:multiLevelType w:val="hybridMultilevel"/>
    <w:tmpl w:val="0A745820"/>
    <w:lvl w:ilvl="0" w:tplc="CC30F634">
      <w:start w:val="1"/>
      <w:numFmt w:val="decimal"/>
      <w:lvlText w:val="%1."/>
      <w:lvlJc w:val="left"/>
      <w:pPr>
        <w:ind w:left="720" w:hanging="720"/>
      </w:pPr>
      <w:rPr>
        <w:rFonts w:hint="default"/>
      </w:rPr>
    </w:lvl>
    <w:lvl w:ilvl="1" w:tplc="1F0EB5D0">
      <w:start w:val="1"/>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491A4A"/>
    <w:multiLevelType w:val="hybridMultilevel"/>
    <w:tmpl w:val="91829206"/>
    <w:lvl w:ilvl="0" w:tplc="E5C20330">
      <w:start w:val="1"/>
      <w:numFmt w:val="decimal"/>
      <w:lvlText w:val="%1."/>
      <w:lvlJc w:val="left"/>
      <w:pPr>
        <w:ind w:left="33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33"/>
  </w:num>
  <w:num w:numId="3">
    <w:abstractNumId w:val="1"/>
  </w:num>
  <w:num w:numId="4">
    <w:abstractNumId w:val="22"/>
  </w:num>
  <w:num w:numId="5">
    <w:abstractNumId w:val="23"/>
  </w:num>
  <w:num w:numId="6">
    <w:abstractNumId w:val="39"/>
  </w:num>
  <w:num w:numId="7">
    <w:abstractNumId w:val="28"/>
  </w:num>
  <w:num w:numId="8">
    <w:abstractNumId w:val="13"/>
  </w:num>
  <w:num w:numId="9">
    <w:abstractNumId w:val="11"/>
  </w:num>
  <w:num w:numId="10">
    <w:abstractNumId w:val="19"/>
  </w:num>
  <w:num w:numId="11">
    <w:abstractNumId w:val="24"/>
  </w:num>
  <w:num w:numId="12">
    <w:abstractNumId w:val="20"/>
  </w:num>
  <w:num w:numId="13">
    <w:abstractNumId w:val="8"/>
  </w:num>
  <w:num w:numId="14">
    <w:abstractNumId w:val="29"/>
  </w:num>
  <w:num w:numId="15">
    <w:abstractNumId w:val="27"/>
  </w:num>
  <w:num w:numId="16">
    <w:abstractNumId w:val="0"/>
  </w:num>
  <w:num w:numId="17">
    <w:abstractNumId w:val="10"/>
  </w:num>
  <w:num w:numId="18">
    <w:abstractNumId w:val="3"/>
  </w:num>
  <w:num w:numId="19">
    <w:abstractNumId w:val="15"/>
  </w:num>
  <w:num w:numId="20">
    <w:abstractNumId w:val="34"/>
  </w:num>
  <w:num w:numId="21">
    <w:abstractNumId w:val="31"/>
  </w:num>
  <w:num w:numId="22">
    <w:abstractNumId w:val="32"/>
  </w:num>
  <w:num w:numId="23">
    <w:abstractNumId w:val="12"/>
  </w:num>
  <w:num w:numId="24">
    <w:abstractNumId w:val="9"/>
  </w:num>
  <w:num w:numId="25">
    <w:abstractNumId w:val="14"/>
  </w:num>
  <w:num w:numId="26">
    <w:abstractNumId w:val="41"/>
  </w:num>
  <w:num w:numId="27">
    <w:abstractNumId w:val="36"/>
  </w:num>
  <w:num w:numId="28">
    <w:abstractNumId w:val="40"/>
  </w:num>
  <w:num w:numId="29">
    <w:abstractNumId w:val="35"/>
  </w:num>
  <w:num w:numId="30">
    <w:abstractNumId w:val="6"/>
  </w:num>
  <w:num w:numId="31">
    <w:abstractNumId w:val="2"/>
  </w:num>
  <w:num w:numId="32">
    <w:abstractNumId w:val="18"/>
  </w:num>
  <w:num w:numId="33">
    <w:abstractNumId w:val="5"/>
  </w:num>
  <w:num w:numId="34">
    <w:abstractNumId w:val="25"/>
  </w:num>
  <w:num w:numId="35">
    <w:abstractNumId w:val="4"/>
  </w:num>
  <w:num w:numId="36">
    <w:abstractNumId w:val="21"/>
  </w:num>
  <w:num w:numId="37">
    <w:abstractNumId w:val="17"/>
  </w:num>
  <w:num w:numId="38">
    <w:abstractNumId w:val="37"/>
  </w:num>
  <w:num w:numId="39">
    <w:abstractNumId w:val="42"/>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6"/>
  </w:num>
  <w:num w:numId="43">
    <w:abstractNumId w:val="30"/>
  </w:num>
  <w:num w:numId="4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B4"/>
    <w:rsid w:val="00002650"/>
    <w:rsid w:val="000037A5"/>
    <w:rsid w:val="00003CDB"/>
    <w:rsid w:val="000126A3"/>
    <w:rsid w:val="000140DD"/>
    <w:rsid w:val="00040FB6"/>
    <w:rsid w:val="0004795F"/>
    <w:rsid w:val="000564DB"/>
    <w:rsid w:val="00056F74"/>
    <w:rsid w:val="00064199"/>
    <w:rsid w:val="00070F13"/>
    <w:rsid w:val="00083127"/>
    <w:rsid w:val="000839F9"/>
    <w:rsid w:val="000B2278"/>
    <w:rsid w:val="000B3326"/>
    <w:rsid w:val="000B4BDE"/>
    <w:rsid w:val="000B7A98"/>
    <w:rsid w:val="000C017E"/>
    <w:rsid w:val="000D21DD"/>
    <w:rsid w:val="000D3058"/>
    <w:rsid w:val="000D42B5"/>
    <w:rsid w:val="000E4108"/>
    <w:rsid w:val="000E691E"/>
    <w:rsid w:val="000E775F"/>
    <w:rsid w:val="001007CA"/>
    <w:rsid w:val="00112F48"/>
    <w:rsid w:val="00123211"/>
    <w:rsid w:val="00126685"/>
    <w:rsid w:val="00130E8D"/>
    <w:rsid w:val="00160504"/>
    <w:rsid w:val="00165C06"/>
    <w:rsid w:val="001822FF"/>
    <w:rsid w:val="001A0C9B"/>
    <w:rsid w:val="001A4CD7"/>
    <w:rsid w:val="001B459D"/>
    <w:rsid w:val="001B4A1F"/>
    <w:rsid w:val="001C5BE5"/>
    <w:rsid w:val="001D63FE"/>
    <w:rsid w:val="001E4796"/>
    <w:rsid w:val="001E4B93"/>
    <w:rsid w:val="001F342A"/>
    <w:rsid w:val="001F3554"/>
    <w:rsid w:val="00200FFE"/>
    <w:rsid w:val="0020450F"/>
    <w:rsid w:val="00217D85"/>
    <w:rsid w:val="00226F96"/>
    <w:rsid w:val="00231FA5"/>
    <w:rsid w:val="00233B3C"/>
    <w:rsid w:val="00234F88"/>
    <w:rsid w:val="002405F0"/>
    <w:rsid w:val="00273F5D"/>
    <w:rsid w:val="002761EF"/>
    <w:rsid w:val="00284547"/>
    <w:rsid w:val="00290095"/>
    <w:rsid w:val="002936EB"/>
    <w:rsid w:val="00295F7F"/>
    <w:rsid w:val="002C7D0C"/>
    <w:rsid w:val="002D237F"/>
    <w:rsid w:val="002D3154"/>
    <w:rsid w:val="002D5552"/>
    <w:rsid w:val="002D5F61"/>
    <w:rsid w:val="002D7931"/>
    <w:rsid w:val="002E3D1F"/>
    <w:rsid w:val="002F15B5"/>
    <w:rsid w:val="00300BDF"/>
    <w:rsid w:val="0032021A"/>
    <w:rsid w:val="00333113"/>
    <w:rsid w:val="00335803"/>
    <w:rsid w:val="00347F23"/>
    <w:rsid w:val="00351D34"/>
    <w:rsid w:val="00374725"/>
    <w:rsid w:val="00376096"/>
    <w:rsid w:val="00391A9A"/>
    <w:rsid w:val="003A17FB"/>
    <w:rsid w:val="003A24D8"/>
    <w:rsid w:val="003B041D"/>
    <w:rsid w:val="003B14F1"/>
    <w:rsid w:val="003B2FCF"/>
    <w:rsid w:val="003C2222"/>
    <w:rsid w:val="003C7CB2"/>
    <w:rsid w:val="003D213D"/>
    <w:rsid w:val="003D3FF0"/>
    <w:rsid w:val="003F18A7"/>
    <w:rsid w:val="003F4D38"/>
    <w:rsid w:val="004007F6"/>
    <w:rsid w:val="00401F3F"/>
    <w:rsid w:val="00401F78"/>
    <w:rsid w:val="004102E3"/>
    <w:rsid w:val="00411E2E"/>
    <w:rsid w:val="0041643B"/>
    <w:rsid w:val="00417068"/>
    <w:rsid w:val="004172A1"/>
    <w:rsid w:val="00420513"/>
    <w:rsid w:val="00434DC8"/>
    <w:rsid w:val="00440082"/>
    <w:rsid w:val="00465D85"/>
    <w:rsid w:val="004711CC"/>
    <w:rsid w:val="00471390"/>
    <w:rsid w:val="00476770"/>
    <w:rsid w:val="004A0150"/>
    <w:rsid w:val="004A5AF1"/>
    <w:rsid w:val="004B4718"/>
    <w:rsid w:val="004B6DB6"/>
    <w:rsid w:val="004C18D0"/>
    <w:rsid w:val="004D0629"/>
    <w:rsid w:val="004D6026"/>
    <w:rsid w:val="004E1A1F"/>
    <w:rsid w:val="004E202D"/>
    <w:rsid w:val="004E2B3F"/>
    <w:rsid w:val="004E321E"/>
    <w:rsid w:val="004E327E"/>
    <w:rsid w:val="004F13AD"/>
    <w:rsid w:val="005005CE"/>
    <w:rsid w:val="005026A4"/>
    <w:rsid w:val="0051126B"/>
    <w:rsid w:val="0051397D"/>
    <w:rsid w:val="005352F7"/>
    <w:rsid w:val="00535C1C"/>
    <w:rsid w:val="005504FB"/>
    <w:rsid w:val="005531FF"/>
    <w:rsid w:val="00561AEC"/>
    <w:rsid w:val="00561AF1"/>
    <w:rsid w:val="0056452E"/>
    <w:rsid w:val="005649B3"/>
    <w:rsid w:val="005673F6"/>
    <w:rsid w:val="00570AC8"/>
    <w:rsid w:val="0058701C"/>
    <w:rsid w:val="0059255F"/>
    <w:rsid w:val="005955C9"/>
    <w:rsid w:val="005A0F0D"/>
    <w:rsid w:val="005C7BDF"/>
    <w:rsid w:val="005D4F85"/>
    <w:rsid w:val="005E27B0"/>
    <w:rsid w:val="005F393B"/>
    <w:rsid w:val="0060158B"/>
    <w:rsid w:val="00613982"/>
    <w:rsid w:val="00614110"/>
    <w:rsid w:val="00615BF1"/>
    <w:rsid w:val="00624198"/>
    <w:rsid w:val="00632037"/>
    <w:rsid w:val="006445E4"/>
    <w:rsid w:val="00647A3D"/>
    <w:rsid w:val="00652595"/>
    <w:rsid w:val="00654D57"/>
    <w:rsid w:val="00663DB9"/>
    <w:rsid w:val="00671B2F"/>
    <w:rsid w:val="00676337"/>
    <w:rsid w:val="00681D74"/>
    <w:rsid w:val="006847CE"/>
    <w:rsid w:val="0069618E"/>
    <w:rsid w:val="006A031B"/>
    <w:rsid w:val="006C6A87"/>
    <w:rsid w:val="006D1CE9"/>
    <w:rsid w:val="006D516D"/>
    <w:rsid w:val="006E3010"/>
    <w:rsid w:val="006F6979"/>
    <w:rsid w:val="006F7A7C"/>
    <w:rsid w:val="00702CD2"/>
    <w:rsid w:val="00715463"/>
    <w:rsid w:val="0071631F"/>
    <w:rsid w:val="00717A14"/>
    <w:rsid w:val="00720E1D"/>
    <w:rsid w:val="00721CC0"/>
    <w:rsid w:val="00723281"/>
    <w:rsid w:val="007270DC"/>
    <w:rsid w:val="00730EEF"/>
    <w:rsid w:val="00732FB8"/>
    <w:rsid w:val="00743193"/>
    <w:rsid w:val="00754E60"/>
    <w:rsid w:val="0075783B"/>
    <w:rsid w:val="00772C67"/>
    <w:rsid w:val="007813DC"/>
    <w:rsid w:val="007855AA"/>
    <w:rsid w:val="00787C52"/>
    <w:rsid w:val="00792342"/>
    <w:rsid w:val="007B06F1"/>
    <w:rsid w:val="007B16DB"/>
    <w:rsid w:val="007B3BC6"/>
    <w:rsid w:val="007C0C5C"/>
    <w:rsid w:val="007C4BB3"/>
    <w:rsid w:val="007D130B"/>
    <w:rsid w:val="007D635F"/>
    <w:rsid w:val="007F42C3"/>
    <w:rsid w:val="008115A2"/>
    <w:rsid w:val="00824045"/>
    <w:rsid w:val="00852A92"/>
    <w:rsid w:val="00856215"/>
    <w:rsid w:val="008671C1"/>
    <w:rsid w:val="00870F8A"/>
    <w:rsid w:val="0088139C"/>
    <w:rsid w:val="00886636"/>
    <w:rsid w:val="00895317"/>
    <w:rsid w:val="00896001"/>
    <w:rsid w:val="008A1370"/>
    <w:rsid w:val="008D7534"/>
    <w:rsid w:val="008E2A12"/>
    <w:rsid w:val="008E2C17"/>
    <w:rsid w:val="008E4F32"/>
    <w:rsid w:val="008F19CB"/>
    <w:rsid w:val="008F6AC2"/>
    <w:rsid w:val="008F6CF8"/>
    <w:rsid w:val="00901109"/>
    <w:rsid w:val="009055DE"/>
    <w:rsid w:val="009131BC"/>
    <w:rsid w:val="009361E4"/>
    <w:rsid w:val="00940642"/>
    <w:rsid w:val="0094688F"/>
    <w:rsid w:val="0094782E"/>
    <w:rsid w:val="009559AD"/>
    <w:rsid w:val="00962BC6"/>
    <w:rsid w:val="00976133"/>
    <w:rsid w:val="0098218C"/>
    <w:rsid w:val="009B0A20"/>
    <w:rsid w:val="009C25AA"/>
    <w:rsid w:val="009C348A"/>
    <w:rsid w:val="009C4DFC"/>
    <w:rsid w:val="009D15B9"/>
    <w:rsid w:val="009D4ED4"/>
    <w:rsid w:val="009D5342"/>
    <w:rsid w:val="009D5716"/>
    <w:rsid w:val="009E420D"/>
    <w:rsid w:val="00A108D9"/>
    <w:rsid w:val="00A11FEB"/>
    <w:rsid w:val="00A36EA2"/>
    <w:rsid w:val="00A432B4"/>
    <w:rsid w:val="00A47BE0"/>
    <w:rsid w:val="00A5257B"/>
    <w:rsid w:val="00A540DF"/>
    <w:rsid w:val="00A5482E"/>
    <w:rsid w:val="00A55B7A"/>
    <w:rsid w:val="00A56908"/>
    <w:rsid w:val="00A65A96"/>
    <w:rsid w:val="00A70174"/>
    <w:rsid w:val="00A711CA"/>
    <w:rsid w:val="00A74117"/>
    <w:rsid w:val="00AA5776"/>
    <w:rsid w:val="00AB0326"/>
    <w:rsid w:val="00AB6F5D"/>
    <w:rsid w:val="00AC4D33"/>
    <w:rsid w:val="00AD2C90"/>
    <w:rsid w:val="00AF21FB"/>
    <w:rsid w:val="00B013C1"/>
    <w:rsid w:val="00B03D3A"/>
    <w:rsid w:val="00B04CB1"/>
    <w:rsid w:val="00B1394D"/>
    <w:rsid w:val="00B4129B"/>
    <w:rsid w:val="00B5203E"/>
    <w:rsid w:val="00B657B6"/>
    <w:rsid w:val="00B700E3"/>
    <w:rsid w:val="00B71CAF"/>
    <w:rsid w:val="00B7299F"/>
    <w:rsid w:val="00B83ABE"/>
    <w:rsid w:val="00B928D5"/>
    <w:rsid w:val="00BA12FA"/>
    <w:rsid w:val="00BB228A"/>
    <w:rsid w:val="00BB3C5A"/>
    <w:rsid w:val="00BB7B30"/>
    <w:rsid w:val="00BC79DC"/>
    <w:rsid w:val="00BD65F4"/>
    <w:rsid w:val="00BD6A19"/>
    <w:rsid w:val="00BE2A4D"/>
    <w:rsid w:val="00BE43E5"/>
    <w:rsid w:val="00BE4D7C"/>
    <w:rsid w:val="00BF18F4"/>
    <w:rsid w:val="00BF312D"/>
    <w:rsid w:val="00BF3BE0"/>
    <w:rsid w:val="00BF7ED9"/>
    <w:rsid w:val="00C01A93"/>
    <w:rsid w:val="00C05A30"/>
    <w:rsid w:val="00C0627A"/>
    <w:rsid w:val="00C1429F"/>
    <w:rsid w:val="00C14B2C"/>
    <w:rsid w:val="00C1589E"/>
    <w:rsid w:val="00C168DD"/>
    <w:rsid w:val="00C27304"/>
    <w:rsid w:val="00C31B84"/>
    <w:rsid w:val="00C32875"/>
    <w:rsid w:val="00C43FD8"/>
    <w:rsid w:val="00C4564D"/>
    <w:rsid w:val="00C63AD5"/>
    <w:rsid w:val="00C64A7D"/>
    <w:rsid w:val="00C74B0E"/>
    <w:rsid w:val="00C76B0F"/>
    <w:rsid w:val="00C83121"/>
    <w:rsid w:val="00C852FB"/>
    <w:rsid w:val="00C85876"/>
    <w:rsid w:val="00C87619"/>
    <w:rsid w:val="00C93019"/>
    <w:rsid w:val="00C94208"/>
    <w:rsid w:val="00C948FC"/>
    <w:rsid w:val="00C97787"/>
    <w:rsid w:val="00CA25A0"/>
    <w:rsid w:val="00CA2EE0"/>
    <w:rsid w:val="00CA4C3C"/>
    <w:rsid w:val="00CA7771"/>
    <w:rsid w:val="00CB39A2"/>
    <w:rsid w:val="00CB752F"/>
    <w:rsid w:val="00CC0CF6"/>
    <w:rsid w:val="00CC5F18"/>
    <w:rsid w:val="00CD351D"/>
    <w:rsid w:val="00CD3967"/>
    <w:rsid w:val="00CD39E9"/>
    <w:rsid w:val="00CD4524"/>
    <w:rsid w:val="00CE557E"/>
    <w:rsid w:val="00CF2918"/>
    <w:rsid w:val="00CF6DEE"/>
    <w:rsid w:val="00CF77E9"/>
    <w:rsid w:val="00D23B63"/>
    <w:rsid w:val="00D2661E"/>
    <w:rsid w:val="00D27995"/>
    <w:rsid w:val="00D368C4"/>
    <w:rsid w:val="00D50716"/>
    <w:rsid w:val="00D50CB8"/>
    <w:rsid w:val="00D63284"/>
    <w:rsid w:val="00D73517"/>
    <w:rsid w:val="00D94AC1"/>
    <w:rsid w:val="00D96522"/>
    <w:rsid w:val="00DA2ACF"/>
    <w:rsid w:val="00DA4944"/>
    <w:rsid w:val="00DC39E2"/>
    <w:rsid w:val="00DC55A4"/>
    <w:rsid w:val="00DC62BD"/>
    <w:rsid w:val="00DC6D22"/>
    <w:rsid w:val="00DD0705"/>
    <w:rsid w:val="00DD140C"/>
    <w:rsid w:val="00DD15DE"/>
    <w:rsid w:val="00DD34BE"/>
    <w:rsid w:val="00DE175A"/>
    <w:rsid w:val="00DE3F0C"/>
    <w:rsid w:val="00DF63D7"/>
    <w:rsid w:val="00E10787"/>
    <w:rsid w:val="00E1577D"/>
    <w:rsid w:val="00E15EC0"/>
    <w:rsid w:val="00E17383"/>
    <w:rsid w:val="00E2098F"/>
    <w:rsid w:val="00E24FEE"/>
    <w:rsid w:val="00E31201"/>
    <w:rsid w:val="00E37E95"/>
    <w:rsid w:val="00E469A1"/>
    <w:rsid w:val="00E469BD"/>
    <w:rsid w:val="00E534C9"/>
    <w:rsid w:val="00E55C80"/>
    <w:rsid w:val="00E57465"/>
    <w:rsid w:val="00E7000F"/>
    <w:rsid w:val="00E706DA"/>
    <w:rsid w:val="00E718B8"/>
    <w:rsid w:val="00E749A4"/>
    <w:rsid w:val="00E7725E"/>
    <w:rsid w:val="00E77C30"/>
    <w:rsid w:val="00E82603"/>
    <w:rsid w:val="00E84965"/>
    <w:rsid w:val="00E869D9"/>
    <w:rsid w:val="00E9480D"/>
    <w:rsid w:val="00EA778B"/>
    <w:rsid w:val="00EB27BE"/>
    <w:rsid w:val="00EB6A47"/>
    <w:rsid w:val="00EC21A4"/>
    <w:rsid w:val="00ED3D6D"/>
    <w:rsid w:val="00EE28C9"/>
    <w:rsid w:val="00EE4B2F"/>
    <w:rsid w:val="00EE5382"/>
    <w:rsid w:val="00EF6658"/>
    <w:rsid w:val="00F02E34"/>
    <w:rsid w:val="00F056D8"/>
    <w:rsid w:val="00F12372"/>
    <w:rsid w:val="00F13032"/>
    <w:rsid w:val="00F237D4"/>
    <w:rsid w:val="00F429F9"/>
    <w:rsid w:val="00F53FDD"/>
    <w:rsid w:val="00F549B7"/>
    <w:rsid w:val="00F605DB"/>
    <w:rsid w:val="00F609D3"/>
    <w:rsid w:val="00F712B2"/>
    <w:rsid w:val="00F82231"/>
    <w:rsid w:val="00FB0D79"/>
    <w:rsid w:val="00FB510E"/>
    <w:rsid w:val="00FB7C70"/>
    <w:rsid w:val="00FD5345"/>
    <w:rsid w:val="00FE687A"/>
    <w:rsid w:val="00FF6A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18497AF-F159-4B61-BB55-2AE27642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312D"/>
    <w:rPr>
      <w:sz w:val="24"/>
      <w:szCs w:val="24"/>
    </w:rPr>
  </w:style>
  <w:style w:type="paragraph" w:styleId="Heading1">
    <w:name w:val="heading 1"/>
    <w:basedOn w:val="Normal"/>
    <w:next w:val="Normal"/>
    <w:link w:val="Heading1Char"/>
    <w:uiPriority w:val="9"/>
    <w:qFormat/>
    <w:rsid w:val="00C76B0F"/>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pPr>
      <w:keepNext/>
      <w:jc w:val="center"/>
      <w:outlineLvl w:val="1"/>
    </w:pPr>
    <w:rPr>
      <w:rFonts w:ascii="Arial" w:hAnsi="Arial Unicode MS" w:cs="Arial Unicode MS"/>
      <w:b/>
      <w:bCs/>
      <w:color w:val="000000"/>
      <w:sz w:val="28"/>
      <w:szCs w:val="28"/>
      <w:u w:color="000000"/>
    </w:rPr>
  </w:style>
  <w:style w:type="paragraph" w:styleId="Heading4">
    <w:name w:val="heading 4"/>
    <w:next w:val="Body"/>
    <w:pPr>
      <w:keepNext/>
      <w:outlineLvl w:val="3"/>
    </w:pPr>
    <w:rPr>
      <w:rFonts w:ascii="Arial" w:eastAsia="Arial" w:hAnsi="Arial" w:cs="Arial"/>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widowControl w:val="0"/>
      <w:tabs>
        <w:tab w:val="center" w:pos="4320"/>
        <w:tab w:val="right" w:pos="8640"/>
      </w:tabs>
    </w:pPr>
    <w:rPr>
      <w:rFonts w:ascii="Courier" w:hAnsi="Arial Unicode MS" w:cs="Arial Unicode MS"/>
      <w:color w:val="000000"/>
      <w:sz w:val="22"/>
      <w:szCs w:val="22"/>
      <w:u w:color="000000"/>
    </w:rPr>
  </w:style>
  <w:style w:type="paragraph" w:styleId="Footer">
    <w:name w:val="footer"/>
    <w:link w:val="FooterChar"/>
    <w:uiPriority w:val="99"/>
    <w:pPr>
      <w:tabs>
        <w:tab w:val="center" w:pos="4320"/>
        <w:tab w:val="right" w:pos="8640"/>
      </w:tabs>
    </w:pPr>
    <w:rPr>
      <w:rFonts w:eastAsia="Times New Roman"/>
      <w:color w:val="000000"/>
      <w:u w:color="000000"/>
    </w:rPr>
  </w:style>
  <w:style w:type="paragraph" w:customStyle="1" w:styleId="HCh">
    <w:name w:val="_ H _Ch"/>
    <w:next w:val="Body"/>
    <w:pPr>
      <w:keepNext/>
      <w:keepLines/>
      <w:suppressAutoHyphens/>
      <w:spacing w:line="300" w:lineRule="exact"/>
      <w:outlineLvl w:val="0"/>
    </w:pPr>
    <w:rPr>
      <w:rFonts w:hAnsi="Arial Unicode MS" w:cs="Arial Unicode MS"/>
      <w:b/>
      <w:bCs/>
      <w:color w:val="000000"/>
      <w:spacing w:val="-2"/>
      <w:kern w:val="14"/>
      <w:sz w:val="28"/>
      <w:szCs w:val="28"/>
      <w:u w:color="000000"/>
    </w:rPr>
  </w:style>
  <w:style w:type="paragraph" w:customStyle="1" w:styleId="Body">
    <w:name w:val="Body"/>
    <w:rPr>
      <w:rFonts w:hAnsi="Arial Unicode MS" w:cs="Arial Unicode MS"/>
      <w:color w:val="000000"/>
      <w:u w:color="000000"/>
    </w:rPr>
  </w:style>
  <w:style w:type="paragraph" w:customStyle="1" w:styleId="XLarge">
    <w:name w:val="XLarge"/>
    <w:pPr>
      <w:keepNext/>
      <w:keepLines/>
      <w:tabs>
        <w:tab w:val="right" w:leader="dot" w:pos="360"/>
      </w:tabs>
      <w:suppressAutoHyphens/>
      <w:spacing w:line="390" w:lineRule="exact"/>
      <w:outlineLvl w:val="0"/>
    </w:pPr>
    <w:rPr>
      <w:rFonts w:hAnsi="Arial Unicode MS" w:cs="Arial Unicode MS"/>
      <w:b/>
      <w:bCs/>
      <w:color w:val="000000"/>
      <w:spacing w:val="-3"/>
      <w:kern w:val="14"/>
      <w:sz w:val="40"/>
      <w:szCs w:val="40"/>
      <w:u w:color="000000"/>
    </w:rPr>
  </w:style>
  <w:style w:type="paragraph" w:customStyle="1" w:styleId="SingleTxt">
    <w:name w:val="__Single Txt"/>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color w:val="000000"/>
      <w:spacing w:val="3"/>
      <w:kern w:val="14"/>
      <w:u w:color="000000"/>
    </w:rPr>
  </w:style>
  <w:style w:type="paragraph" w:styleId="ListParagraph">
    <w:name w:val="List Paragraph"/>
    <w:aliases w:val="List Paragraph (numbered (a)),WB Para,List Paragraph1"/>
    <w:uiPriority w:val="34"/>
    <w:qFormat/>
    <w:pPr>
      <w:ind w:left="720"/>
    </w:pPr>
    <w:rPr>
      <w:rFonts w:hAnsi="Arial Unicode MS" w:cs="Arial Unicode MS"/>
      <w:color w:val="000000"/>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0"/>
    <w:pPr>
      <w:numPr>
        <w:numId w:val="2"/>
      </w:numPr>
    </w:pPr>
  </w:style>
  <w:style w:type="numbering" w:customStyle="1" w:styleId="ImportedStyle10">
    <w:name w:val="Imported Style 1.0"/>
  </w:style>
  <w:style w:type="numbering" w:customStyle="1" w:styleId="List21">
    <w:name w:val="List 21"/>
    <w:basedOn w:val="ImportedStyle11"/>
    <w:pPr>
      <w:numPr>
        <w:numId w:val="3"/>
      </w:numPr>
    </w:pPr>
  </w:style>
  <w:style w:type="numbering" w:customStyle="1" w:styleId="ImportedStyle11">
    <w:name w:val="Imported Style 1.1"/>
  </w:style>
  <w:style w:type="paragraph" w:styleId="FootnoteText">
    <w:name w:val="footnote text"/>
    <w:link w:val="FootnoteTextChar"/>
    <w:uiPriority w:val="99"/>
    <w:pPr>
      <w:widowControl w:val="0"/>
    </w:pPr>
    <w:rPr>
      <w:rFonts w:ascii="Courier" w:eastAsia="Courier" w:hAnsi="Courier" w:cs="Courier"/>
      <w:color w:val="000000"/>
      <w:u w:color="000000"/>
    </w:rPr>
  </w:style>
  <w:style w:type="paragraph" w:customStyle="1" w:styleId="Heading">
    <w:name w:val="Heading"/>
    <w:next w:val="Body"/>
    <w:pPr>
      <w:keepNext/>
      <w:widowControl w:val="0"/>
      <w:suppressAutoHyphens/>
      <w:outlineLvl w:val="0"/>
    </w:pPr>
    <w:rPr>
      <w:rFonts w:ascii="Courier" w:hAnsi="Arial Unicode MS" w:cs="Arial Unicode MS"/>
      <w:b/>
      <w:bCs/>
      <w:color w:val="000000"/>
      <w:spacing w:val="-3"/>
      <w:sz w:val="28"/>
      <w:szCs w:val="28"/>
      <w:u w:color="000000"/>
    </w:rPr>
  </w:style>
  <w:style w:type="character" w:customStyle="1" w:styleId="Link">
    <w:name w:val="Link"/>
    <w:rPr>
      <w:color w:val="336699"/>
      <w:u w:val="none" w:color="336699"/>
    </w:rPr>
  </w:style>
  <w:style w:type="character" w:customStyle="1" w:styleId="Hyperlink0">
    <w:name w:val="Hyperlink.0"/>
    <w:basedOn w:val="Link"/>
    <w:rPr>
      <w:color w:val="000000"/>
      <w:u w:val="none" w:color="000000"/>
    </w:rPr>
  </w:style>
  <w:style w:type="numbering" w:customStyle="1" w:styleId="List31">
    <w:name w:val="List 31"/>
    <w:basedOn w:val="ImportedStyle12"/>
    <w:pPr>
      <w:numPr>
        <w:numId w:val="4"/>
      </w:numPr>
    </w:pPr>
  </w:style>
  <w:style w:type="numbering" w:customStyle="1" w:styleId="ImportedStyle12">
    <w:name w:val="Imported Style 1.2"/>
  </w:style>
  <w:style w:type="numbering" w:customStyle="1" w:styleId="List41">
    <w:name w:val="List 41"/>
    <w:basedOn w:val="ImportedStyle2"/>
    <w:pPr>
      <w:numPr>
        <w:numId w:val="5"/>
      </w:numPr>
    </w:pPr>
  </w:style>
  <w:style w:type="numbering" w:customStyle="1" w:styleId="ImportedStyle2">
    <w:name w:val="Imported Style 2"/>
  </w:style>
  <w:style w:type="numbering" w:customStyle="1" w:styleId="List51">
    <w:name w:val="List 51"/>
    <w:basedOn w:val="ImportedStyle3"/>
    <w:pPr>
      <w:numPr>
        <w:numId w:val="6"/>
      </w:numPr>
    </w:pPr>
  </w:style>
  <w:style w:type="numbering" w:customStyle="1" w:styleId="ImportedStyle3">
    <w:name w:val="Imported Style 3"/>
  </w:style>
  <w:style w:type="numbering" w:customStyle="1" w:styleId="List6">
    <w:name w:val="List 6"/>
    <w:basedOn w:val="ImportedStyle4"/>
    <w:pPr>
      <w:numPr>
        <w:numId w:val="7"/>
      </w:numPr>
    </w:pPr>
  </w:style>
  <w:style w:type="numbering" w:customStyle="1" w:styleId="ImportedStyle4">
    <w:name w:val="Imported Style 4"/>
  </w:style>
  <w:style w:type="numbering" w:customStyle="1" w:styleId="List7">
    <w:name w:val="List 7"/>
    <w:basedOn w:val="ImportedStyle4"/>
    <w:pPr>
      <w:numPr>
        <w:numId w:val="8"/>
      </w:numPr>
    </w:pPr>
  </w:style>
  <w:style w:type="numbering" w:customStyle="1" w:styleId="List8">
    <w:name w:val="List 8"/>
    <w:basedOn w:val="ImportedStyle5"/>
    <w:pPr>
      <w:numPr>
        <w:numId w:val="10"/>
      </w:numPr>
    </w:pPr>
  </w:style>
  <w:style w:type="numbering" w:customStyle="1" w:styleId="ImportedStyle5">
    <w:name w:val="Imported Style 5"/>
  </w:style>
  <w:style w:type="numbering" w:customStyle="1" w:styleId="List9">
    <w:name w:val="List 9"/>
    <w:basedOn w:val="ImportedStyle5"/>
    <w:pPr>
      <w:numPr>
        <w:numId w:val="9"/>
      </w:numPr>
    </w:pPr>
  </w:style>
  <w:style w:type="numbering" w:customStyle="1" w:styleId="List10">
    <w:name w:val="List 10"/>
    <w:basedOn w:val="ImportedStyle6"/>
    <w:pPr>
      <w:numPr>
        <w:numId w:val="13"/>
      </w:numPr>
    </w:pPr>
  </w:style>
  <w:style w:type="numbering" w:customStyle="1" w:styleId="ImportedStyle6">
    <w:name w:val="Imported Style 6"/>
  </w:style>
  <w:style w:type="numbering" w:customStyle="1" w:styleId="List11">
    <w:name w:val="List 11"/>
    <w:basedOn w:val="ImportedStyle6"/>
    <w:pPr>
      <w:numPr>
        <w:numId w:val="14"/>
      </w:numPr>
    </w:pPr>
  </w:style>
  <w:style w:type="numbering" w:customStyle="1" w:styleId="List12">
    <w:name w:val="List 12"/>
    <w:basedOn w:val="ImportedStyle7"/>
    <w:pPr>
      <w:numPr>
        <w:numId w:val="11"/>
      </w:numPr>
    </w:pPr>
  </w:style>
  <w:style w:type="numbering" w:customStyle="1" w:styleId="ImportedStyle7">
    <w:name w:val="Imported Style 7"/>
  </w:style>
  <w:style w:type="numbering" w:customStyle="1" w:styleId="List13">
    <w:name w:val="List 13"/>
    <w:basedOn w:val="ImportedStyle7"/>
    <w:pPr>
      <w:numPr>
        <w:numId w:val="12"/>
      </w:numPr>
    </w:pPr>
  </w:style>
  <w:style w:type="numbering" w:customStyle="1" w:styleId="List14">
    <w:name w:val="List 14"/>
    <w:basedOn w:val="ImportedStyle8"/>
    <w:pPr>
      <w:numPr>
        <w:numId w:val="15"/>
      </w:numPr>
    </w:pPr>
  </w:style>
  <w:style w:type="numbering" w:customStyle="1" w:styleId="ImportedStyle8">
    <w:name w:val="Imported Style 8"/>
  </w:style>
  <w:style w:type="numbering" w:customStyle="1" w:styleId="List15">
    <w:name w:val="List 15"/>
    <w:basedOn w:val="ImportedStyle9"/>
    <w:pPr>
      <w:numPr>
        <w:numId w:val="16"/>
      </w:numPr>
    </w:pPr>
  </w:style>
  <w:style w:type="numbering" w:customStyle="1" w:styleId="ImportedStyle9">
    <w:name w:val="Imported Style 9"/>
  </w:style>
  <w:style w:type="numbering" w:customStyle="1" w:styleId="List16">
    <w:name w:val="List 16"/>
    <w:basedOn w:val="ImportedStyle100"/>
    <w:pPr>
      <w:numPr>
        <w:numId w:val="17"/>
      </w:numPr>
    </w:pPr>
  </w:style>
  <w:style w:type="numbering" w:customStyle="1" w:styleId="ImportedStyle100">
    <w:name w:val="Imported Style 10"/>
  </w:style>
  <w:style w:type="numbering" w:customStyle="1" w:styleId="List17">
    <w:name w:val="List 17"/>
    <w:basedOn w:val="ImportedStyle110"/>
    <w:pPr>
      <w:numPr>
        <w:numId w:val="18"/>
      </w:numPr>
    </w:pPr>
  </w:style>
  <w:style w:type="numbering" w:customStyle="1" w:styleId="ImportedStyle110">
    <w:name w:val="Imported Style 11"/>
  </w:style>
  <w:style w:type="numbering" w:customStyle="1" w:styleId="List18">
    <w:name w:val="List 18"/>
    <w:basedOn w:val="ImportedStyle110"/>
    <w:pPr>
      <w:numPr>
        <w:numId w:val="19"/>
      </w:numPr>
    </w:pPr>
  </w:style>
  <w:style w:type="numbering" w:customStyle="1" w:styleId="List19">
    <w:name w:val="List 19"/>
    <w:basedOn w:val="ImportedStyle110"/>
    <w:pPr>
      <w:numPr>
        <w:numId w:val="20"/>
      </w:numPr>
    </w:pPr>
  </w:style>
  <w:style w:type="character" w:styleId="FootnoteReference">
    <w:name w:val="footnote reference"/>
    <w:basedOn w:val="DefaultParagraphFont"/>
    <w:uiPriority w:val="99"/>
    <w:unhideWhenUsed/>
    <w:rsid w:val="006F7A7C"/>
    <w:rPr>
      <w:vertAlign w:val="superscript"/>
    </w:rPr>
  </w:style>
  <w:style w:type="character" w:styleId="FollowedHyperlink">
    <w:name w:val="FollowedHyperlink"/>
    <w:basedOn w:val="DefaultParagraphFont"/>
    <w:uiPriority w:val="99"/>
    <w:semiHidden/>
    <w:unhideWhenUsed/>
    <w:rsid w:val="006F7A7C"/>
    <w:rPr>
      <w:color w:val="FF00FF" w:themeColor="followedHyperlink"/>
      <w:u w:val="single"/>
    </w:rPr>
  </w:style>
  <w:style w:type="character" w:styleId="CommentReference">
    <w:name w:val="annotation reference"/>
    <w:semiHidden/>
    <w:rsid w:val="005673F6"/>
    <w:rPr>
      <w:rFonts w:cs="Times New Roman"/>
      <w:sz w:val="6"/>
      <w:szCs w:val="6"/>
    </w:rPr>
  </w:style>
  <w:style w:type="paragraph" w:styleId="CommentText">
    <w:name w:val="annotation text"/>
    <w:basedOn w:val="Normal"/>
    <w:link w:val="CommentTextChar"/>
    <w:rsid w:val="005673F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5673F6"/>
    <w:rPr>
      <w:rFonts w:eastAsia="Times New Roman"/>
      <w:bdr w:val="none" w:sz="0" w:space="0" w:color="auto"/>
    </w:rPr>
  </w:style>
  <w:style w:type="character" w:customStyle="1" w:styleId="FootnoteTextChar">
    <w:name w:val="Footnote Text Char"/>
    <w:link w:val="FootnoteText"/>
    <w:uiPriority w:val="99"/>
    <w:rsid w:val="005673F6"/>
    <w:rPr>
      <w:rFonts w:ascii="Courier" w:eastAsia="Courier" w:hAnsi="Courier" w:cs="Courier"/>
      <w:color w:val="000000"/>
      <w:u w:color="000000"/>
    </w:rPr>
  </w:style>
  <w:style w:type="character" w:customStyle="1" w:styleId="MediumGrid1-Accent2Char">
    <w:name w:val="Medium Grid 1 - Accent 2 Char"/>
    <w:aliases w:val="List Paragraph (numbered (a)) Char,Colorful List - Accent 1 Char,List Paragraph Char,WB Para Char,List Paragraph1 Char"/>
    <w:link w:val="MediumGrid1-Accent2"/>
    <w:uiPriority w:val="34"/>
    <w:locked/>
    <w:rsid w:val="005673F6"/>
    <w:rPr>
      <w:lang w:val="en-US" w:eastAsia="en-US"/>
    </w:rPr>
  </w:style>
  <w:style w:type="table" w:styleId="MediumGrid1-Accent2">
    <w:name w:val="Medium Grid 1 Accent 2"/>
    <w:basedOn w:val="TableNormal"/>
    <w:link w:val="MediumGrid1-Accent2Char"/>
    <w:uiPriority w:val="34"/>
    <w:semiHidden/>
    <w:unhideWhenUsed/>
    <w:rsid w:val="005673F6"/>
    <w:tblPr>
      <w:tblStyleRowBandSize w:val="1"/>
      <w:tblStyleColBandSize w:val="1"/>
      <w:tblBorders>
        <w:top w:val="single" w:sz="8" w:space="0" w:color="91D267" w:themeColor="accent2" w:themeTint="BF"/>
        <w:left w:val="single" w:sz="8" w:space="0" w:color="91D267" w:themeColor="accent2" w:themeTint="BF"/>
        <w:bottom w:val="single" w:sz="8" w:space="0" w:color="91D267" w:themeColor="accent2" w:themeTint="BF"/>
        <w:right w:val="single" w:sz="8" w:space="0" w:color="91D267" w:themeColor="accent2" w:themeTint="BF"/>
        <w:insideH w:val="single" w:sz="8" w:space="0" w:color="91D267" w:themeColor="accent2" w:themeTint="BF"/>
        <w:insideV w:val="single" w:sz="8" w:space="0" w:color="91D267" w:themeColor="accent2" w:themeTint="BF"/>
      </w:tblBorders>
    </w:tblPr>
    <w:tcPr>
      <w:shd w:val="clear" w:color="auto" w:fill="DAF0CC" w:themeFill="accent2" w:themeFillTint="3F"/>
    </w:tcPr>
    <w:tblStylePr w:type="lastRow">
      <w:tblPr/>
      <w:tcPr>
        <w:tcBorders>
          <w:top w:val="single" w:sz="18" w:space="0" w:color="91D267" w:themeColor="accent2" w:themeTint="BF"/>
        </w:tcBorders>
      </w:tcPr>
    </w:tblStylePr>
    <w:tblStylePr w:type="band1Vert">
      <w:tblPr/>
      <w:tcPr>
        <w:shd w:val="clear" w:color="auto" w:fill="B6E199" w:themeFill="accent2" w:themeFillTint="7F"/>
      </w:tcPr>
    </w:tblStylePr>
    <w:tblStylePr w:type="band1Horz">
      <w:tblPr/>
      <w:tcPr>
        <w:shd w:val="clear" w:color="auto" w:fill="B6E199" w:themeFill="accent2" w:themeFillTint="7F"/>
      </w:tcPr>
    </w:tblStylePr>
  </w:style>
  <w:style w:type="paragraph" w:styleId="BalloonText">
    <w:name w:val="Balloon Text"/>
    <w:basedOn w:val="Normal"/>
    <w:link w:val="BalloonTextChar"/>
    <w:uiPriority w:val="99"/>
    <w:semiHidden/>
    <w:unhideWhenUsed/>
    <w:rsid w:val="00567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3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7787"/>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C97787"/>
    <w:rPr>
      <w:rFonts w:eastAsia="Times New Roman"/>
      <w:b/>
      <w:bCs/>
      <w:bdr w:val="none" w:sz="0" w:space="0" w:color="auto"/>
    </w:rPr>
  </w:style>
  <w:style w:type="table" w:styleId="TableGrid">
    <w:name w:val="Table Grid"/>
    <w:basedOn w:val="TableNormal"/>
    <w:uiPriority w:val="59"/>
    <w:rsid w:val="00165C0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B4A1F"/>
  </w:style>
  <w:style w:type="paragraph" w:styleId="NormalWeb">
    <w:name w:val="Normal (Web)"/>
    <w:basedOn w:val="Normal"/>
    <w:uiPriority w:val="99"/>
    <w:unhideWhenUsed/>
    <w:rsid w:val="00561AF1"/>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Revision">
    <w:name w:val="Revision"/>
    <w:hidden/>
    <w:uiPriority w:val="99"/>
    <w:semiHidden/>
    <w:rsid w:val="0020450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C76B0F"/>
    <w:rPr>
      <w:rFonts w:asciiTheme="majorHAnsi" w:eastAsiaTheme="majorEastAsia" w:hAnsiTheme="majorHAnsi" w:cstheme="majorBidi"/>
      <w:color w:val="2F759E" w:themeColor="accent1" w:themeShade="BF"/>
      <w:sz w:val="32"/>
      <w:szCs w:val="32"/>
    </w:rPr>
  </w:style>
  <w:style w:type="paragraph" w:styleId="EndnoteText">
    <w:name w:val="endnote text"/>
    <w:basedOn w:val="Normal"/>
    <w:link w:val="EndnoteTextChar"/>
    <w:uiPriority w:val="99"/>
    <w:unhideWhenUsed/>
    <w:rsid w:val="004E321E"/>
  </w:style>
  <w:style w:type="character" w:customStyle="1" w:styleId="EndnoteTextChar">
    <w:name w:val="Endnote Text Char"/>
    <w:basedOn w:val="DefaultParagraphFont"/>
    <w:link w:val="EndnoteText"/>
    <w:uiPriority w:val="99"/>
    <w:rsid w:val="004E321E"/>
    <w:rPr>
      <w:sz w:val="24"/>
      <w:szCs w:val="24"/>
    </w:rPr>
  </w:style>
  <w:style w:type="character" w:styleId="EndnoteReference">
    <w:name w:val="endnote reference"/>
    <w:basedOn w:val="DefaultParagraphFont"/>
    <w:uiPriority w:val="99"/>
    <w:unhideWhenUsed/>
    <w:rsid w:val="004E321E"/>
    <w:rPr>
      <w:vertAlign w:val="superscript"/>
    </w:rPr>
  </w:style>
  <w:style w:type="character" w:customStyle="1" w:styleId="FooterChar">
    <w:name w:val="Footer Char"/>
    <w:basedOn w:val="DefaultParagraphFont"/>
    <w:link w:val="Footer"/>
    <w:uiPriority w:val="99"/>
    <w:rsid w:val="005C7BDF"/>
    <w:rPr>
      <w:rFonts w:eastAsia="Times New Roman"/>
      <w:color w:val="000000"/>
      <w:u w:color="000000"/>
    </w:rPr>
  </w:style>
  <w:style w:type="character" w:styleId="Emphasis">
    <w:name w:val="Emphasis"/>
    <w:basedOn w:val="DefaultParagraphFont"/>
    <w:uiPriority w:val="20"/>
    <w:qFormat/>
    <w:rsid w:val="001A0C9B"/>
    <w:rPr>
      <w:i/>
      <w:iCs/>
    </w:rPr>
  </w:style>
  <w:style w:type="character" w:customStyle="1" w:styleId="apple-converted-space">
    <w:name w:val="apple-converted-space"/>
    <w:basedOn w:val="DefaultParagraphFont"/>
    <w:rsid w:val="00CA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3827">
      <w:bodyDiv w:val="1"/>
      <w:marLeft w:val="0"/>
      <w:marRight w:val="0"/>
      <w:marTop w:val="0"/>
      <w:marBottom w:val="0"/>
      <w:divBdr>
        <w:top w:val="none" w:sz="0" w:space="0" w:color="auto"/>
        <w:left w:val="none" w:sz="0" w:space="0" w:color="auto"/>
        <w:bottom w:val="none" w:sz="0" w:space="0" w:color="auto"/>
        <w:right w:val="none" w:sz="0" w:space="0" w:color="auto"/>
      </w:divBdr>
      <w:divsChild>
        <w:div w:id="2077318177">
          <w:marLeft w:val="0"/>
          <w:marRight w:val="0"/>
          <w:marTop w:val="0"/>
          <w:marBottom w:val="0"/>
          <w:divBdr>
            <w:top w:val="none" w:sz="0" w:space="0" w:color="auto"/>
            <w:left w:val="none" w:sz="0" w:space="0" w:color="auto"/>
            <w:bottom w:val="none" w:sz="0" w:space="0" w:color="auto"/>
            <w:right w:val="none" w:sz="0" w:space="0" w:color="auto"/>
          </w:divBdr>
        </w:div>
        <w:div w:id="1959799339">
          <w:marLeft w:val="0"/>
          <w:marRight w:val="0"/>
          <w:marTop w:val="0"/>
          <w:marBottom w:val="0"/>
          <w:divBdr>
            <w:top w:val="none" w:sz="0" w:space="0" w:color="auto"/>
            <w:left w:val="none" w:sz="0" w:space="0" w:color="auto"/>
            <w:bottom w:val="none" w:sz="0" w:space="0" w:color="auto"/>
            <w:right w:val="none" w:sz="0" w:space="0" w:color="auto"/>
          </w:divBdr>
        </w:div>
        <w:div w:id="1500341440">
          <w:marLeft w:val="0"/>
          <w:marRight w:val="0"/>
          <w:marTop w:val="0"/>
          <w:marBottom w:val="0"/>
          <w:divBdr>
            <w:top w:val="none" w:sz="0" w:space="0" w:color="auto"/>
            <w:left w:val="none" w:sz="0" w:space="0" w:color="auto"/>
            <w:bottom w:val="none" w:sz="0" w:space="0" w:color="auto"/>
            <w:right w:val="none" w:sz="0" w:space="0" w:color="auto"/>
          </w:divBdr>
        </w:div>
        <w:div w:id="916985643">
          <w:marLeft w:val="0"/>
          <w:marRight w:val="0"/>
          <w:marTop w:val="0"/>
          <w:marBottom w:val="0"/>
          <w:divBdr>
            <w:top w:val="none" w:sz="0" w:space="0" w:color="auto"/>
            <w:left w:val="none" w:sz="0" w:space="0" w:color="auto"/>
            <w:bottom w:val="none" w:sz="0" w:space="0" w:color="auto"/>
            <w:right w:val="none" w:sz="0" w:space="0" w:color="auto"/>
          </w:divBdr>
        </w:div>
        <w:div w:id="1614896552">
          <w:marLeft w:val="0"/>
          <w:marRight w:val="0"/>
          <w:marTop w:val="0"/>
          <w:marBottom w:val="0"/>
          <w:divBdr>
            <w:top w:val="none" w:sz="0" w:space="0" w:color="auto"/>
            <w:left w:val="none" w:sz="0" w:space="0" w:color="auto"/>
            <w:bottom w:val="none" w:sz="0" w:space="0" w:color="auto"/>
            <w:right w:val="none" w:sz="0" w:space="0" w:color="auto"/>
          </w:divBdr>
        </w:div>
        <w:div w:id="681473775">
          <w:marLeft w:val="0"/>
          <w:marRight w:val="0"/>
          <w:marTop w:val="0"/>
          <w:marBottom w:val="0"/>
          <w:divBdr>
            <w:top w:val="none" w:sz="0" w:space="0" w:color="auto"/>
            <w:left w:val="none" w:sz="0" w:space="0" w:color="auto"/>
            <w:bottom w:val="none" w:sz="0" w:space="0" w:color="auto"/>
            <w:right w:val="none" w:sz="0" w:space="0" w:color="auto"/>
          </w:divBdr>
        </w:div>
        <w:div w:id="1567304294">
          <w:marLeft w:val="0"/>
          <w:marRight w:val="0"/>
          <w:marTop w:val="0"/>
          <w:marBottom w:val="0"/>
          <w:divBdr>
            <w:top w:val="none" w:sz="0" w:space="0" w:color="auto"/>
            <w:left w:val="none" w:sz="0" w:space="0" w:color="auto"/>
            <w:bottom w:val="none" w:sz="0" w:space="0" w:color="auto"/>
            <w:right w:val="none" w:sz="0" w:space="0" w:color="auto"/>
          </w:divBdr>
        </w:div>
        <w:div w:id="763302375">
          <w:marLeft w:val="0"/>
          <w:marRight w:val="0"/>
          <w:marTop w:val="0"/>
          <w:marBottom w:val="0"/>
          <w:divBdr>
            <w:top w:val="none" w:sz="0" w:space="0" w:color="auto"/>
            <w:left w:val="none" w:sz="0" w:space="0" w:color="auto"/>
            <w:bottom w:val="none" w:sz="0" w:space="0" w:color="auto"/>
            <w:right w:val="none" w:sz="0" w:space="0" w:color="auto"/>
          </w:divBdr>
        </w:div>
        <w:div w:id="1503352059">
          <w:marLeft w:val="0"/>
          <w:marRight w:val="0"/>
          <w:marTop w:val="0"/>
          <w:marBottom w:val="0"/>
          <w:divBdr>
            <w:top w:val="none" w:sz="0" w:space="0" w:color="auto"/>
            <w:left w:val="none" w:sz="0" w:space="0" w:color="auto"/>
            <w:bottom w:val="none" w:sz="0" w:space="0" w:color="auto"/>
            <w:right w:val="none" w:sz="0" w:space="0" w:color="auto"/>
          </w:divBdr>
        </w:div>
        <w:div w:id="911085942">
          <w:marLeft w:val="0"/>
          <w:marRight w:val="0"/>
          <w:marTop w:val="0"/>
          <w:marBottom w:val="0"/>
          <w:divBdr>
            <w:top w:val="none" w:sz="0" w:space="0" w:color="auto"/>
            <w:left w:val="none" w:sz="0" w:space="0" w:color="auto"/>
            <w:bottom w:val="none" w:sz="0" w:space="0" w:color="auto"/>
            <w:right w:val="none" w:sz="0" w:space="0" w:color="auto"/>
          </w:divBdr>
        </w:div>
        <w:div w:id="1992296214">
          <w:marLeft w:val="0"/>
          <w:marRight w:val="0"/>
          <w:marTop w:val="0"/>
          <w:marBottom w:val="0"/>
          <w:divBdr>
            <w:top w:val="none" w:sz="0" w:space="0" w:color="auto"/>
            <w:left w:val="none" w:sz="0" w:space="0" w:color="auto"/>
            <w:bottom w:val="none" w:sz="0" w:space="0" w:color="auto"/>
            <w:right w:val="none" w:sz="0" w:space="0" w:color="auto"/>
          </w:divBdr>
        </w:div>
        <w:div w:id="1561594413">
          <w:marLeft w:val="0"/>
          <w:marRight w:val="0"/>
          <w:marTop w:val="0"/>
          <w:marBottom w:val="0"/>
          <w:divBdr>
            <w:top w:val="none" w:sz="0" w:space="0" w:color="auto"/>
            <w:left w:val="none" w:sz="0" w:space="0" w:color="auto"/>
            <w:bottom w:val="none" w:sz="0" w:space="0" w:color="auto"/>
            <w:right w:val="none" w:sz="0" w:space="0" w:color="auto"/>
          </w:divBdr>
        </w:div>
        <w:div w:id="1929607217">
          <w:marLeft w:val="0"/>
          <w:marRight w:val="0"/>
          <w:marTop w:val="0"/>
          <w:marBottom w:val="0"/>
          <w:divBdr>
            <w:top w:val="none" w:sz="0" w:space="0" w:color="auto"/>
            <w:left w:val="none" w:sz="0" w:space="0" w:color="auto"/>
            <w:bottom w:val="none" w:sz="0" w:space="0" w:color="auto"/>
            <w:right w:val="none" w:sz="0" w:space="0" w:color="auto"/>
          </w:divBdr>
        </w:div>
        <w:div w:id="180701138">
          <w:marLeft w:val="0"/>
          <w:marRight w:val="0"/>
          <w:marTop w:val="0"/>
          <w:marBottom w:val="0"/>
          <w:divBdr>
            <w:top w:val="none" w:sz="0" w:space="0" w:color="auto"/>
            <w:left w:val="none" w:sz="0" w:space="0" w:color="auto"/>
            <w:bottom w:val="none" w:sz="0" w:space="0" w:color="auto"/>
            <w:right w:val="none" w:sz="0" w:space="0" w:color="auto"/>
          </w:divBdr>
        </w:div>
        <w:div w:id="1341422300">
          <w:marLeft w:val="0"/>
          <w:marRight w:val="0"/>
          <w:marTop w:val="0"/>
          <w:marBottom w:val="0"/>
          <w:divBdr>
            <w:top w:val="none" w:sz="0" w:space="0" w:color="auto"/>
            <w:left w:val="none" w:sz="0" w:space="0" w:color="auto"/>
            <w:bottom w:val="none" w:sz="0" w:space="0" w:color="auto"/>
            <w:right w:val="none" w:sz="0" w:space="0" w:color="auto"/>
          </w:divBdr>
        </w:div>
        <w:div w:id="1894343350">
          <w:marLeft w:val="0"/>
          <w:marRight w:val="0"/>
          <w:marTop w:val="0"/>
          <w:marBottom w:val="0"/>
          <w:divBdr>
            <w:top w:val="none" w:sz="0" w:space="0" w:color="auto"/>
            <w:left w:val="none" w:sz="0" w:space="0" w:color="auto"/>
            <w:bottom w:val="none" w:sz="0" w:space="0" w:color="auto"/>
            <w:right w:val="none" w:sz="0" w:space="0" w:color="auto"/>
          </w:divBdr>
        </w:div>
        <w:div w:id="1951086552">
          <w:marLeft w:val="0"/>
          <w:marRight w:val="0"/>
          <w:marTop w:val="0"/>
          <w:marBottom w:val="0"/>
          <w:divBdr>
            <w:top w:val="none" w:sz="0" w:space="0" w:color="auto"/>
            <w:left w:val="none" w:sz="0" w:space="0" w:color="auto"/>
            <w:bottom w:val="none" w:sz="0" w:space="0" w:color="auto"/>
            <w:right w:val="none" w:sz="0" w:space="0" w:color="auto"/>
          </w:divBdr>
        </w:div>
        <w:div w:id="2074231942">
          <w:marLeft w:val="0"/>
          <w:marRight w:val="0"/>
          <w:marTop w:val="0"/>
          <w:marBottom w:val="0"/>
          <w:divBdr>
            <w:top w:val="none" w:sz="0" w:space="0" w:color="auto"/>
            <w:left w:val="none" w:sz="0" w:space="0" w:color="auto"/>
            <w:bottom w:val="none" w:sz="0" w:space="0" w:color="auto"/>
            <w:right w:val="none" w:sz="0" w:space="0" w:color="auto"/>
          </w:divBdr>
        </w:div>
        <w:div w:id="1835879859">
          <w:marLeft w:val="0"/>
          <w:marRight w:val="0"/>
          <w:marTop w:val="0"/>
          <w:marBottom w:val="0"/>
          <w:divBdr>
            <w:top w:val="none" w:sz="0" w:space="0" w:color="auto"/>
            <w:left w:val="none" w:sz="0" w:space="0" w:color="auto"/>
            <w:bottom w:val="none" w:sz="0" w:space="0" w:color="auto"/>
            <w:right w:val="none" w:sz="0" w:space="0" w:color="auto"/>
          </w:divBdr>
        </w:div>
        <w:div w:id="1813517350">
          <w:marLeft w:val="0"/>
          <w:marRight w:val="0"/>
          <w:marTop w:val="0"/>
          <w:marBottom w:val="0"/>
          <w:divBdr>
            <w:top w:val="none" w:sz="0" w:space="0" w:color="auto"/>
            <w:left w:val="none" w:sz="0" w:space="0" w:color="auto"/>
            <w:bottom w:val="none" w:sz="0" w:space="0" w:color="auto"/>
            <w:right w:val="none" w:sz="0" w:space="0" w:color="auto"/>
          </w:divBdr>
        </w:div>
      </w:divsChild>
    </w:div>
    <w:div w:id="556745458">
      <w:bodyDiv w:val="1"/>
      <w:marLeft w:val="0"/>
      <w:marRight w:val="0"/>
      <w:marTop w:val="0"/>
      <w:marBottom w:val="0"/>
      <w:divBdr>
        <w:top w:val="none" w:sz="0" w:space="0" w:color="auto"/>
        <w:left w:val="none" w:sz="0" w:space="0" w:color="auto"/>
        <w:bottom w:val="none" w:sz="0" w:space="0" w:color="auto"/>
        <w:right w:val="none" w:sz="0" w:space="0" w:color="auto"/>
      </w:divBdr>
    </w:div>
    <w:div w:id="990796281">
      <w:bodyDiv w:val="1"/>
      <w:marLeft w:val="0"/>
      <w:marRight w:val="0"/>
      <w:marTop w:val="0"/>
      <w:marBottom w:val="0"/>
      <w:divBdr>
        <w:top w:val="none" w:sz="0" w:space="0" w:color="auto"/>
        <w:left w:val="none" w:sz="0" w:space="0" w:color="auto"/>
        <w:bottom w:val="none" w:sz="0" w:space="0" w:color="auto"/>
        <w:right w:val="none" w:sz="0" w:space="0" w:color="auto"/>
      </w:divBdr>
    </w:div>
    <w:div w:id="1163199090">
      <w:bodyDiv w:val="1"/>
      <w:marLeft w:val="0"/>
      <w:marRight w:val="0"/>
      <w:marTop w:val="0"/>
      <w:marBottom w:val="0"/>
      <w:divBdr>
        <w:top w:val="none" w:sz="0" w:space="0" w:color="auto"/>
        <w:left w:val="none" w:sz="0" w:space="0" w:color="auto"/>
        <w:bottom w:val="none" w:sz="0" w:space="0" w:color="auto"/>
        <w:right w:val="none" w:sz="0" w:space="0" w:color="auto"/>
      </w:divBdr>
    </w:div>
    <w:div w:id="1236432034">
      <w:bodyDiv w:val="1"/>
      <w:marLeft w:val="0"/>
      <w:marRight w:val="0"/>
      <w:marTop w:val="0"/>
      <w:marBottom w:val="0"/>
      <w:divBdr>
        <w:top w:val="none" w:sz="0" w:space="0" w:color="auto"/>
        <w:left w:val="none" w:sz="0" w:space="0" w:color="auto"/>
        <w:bottom w:val="none" w:sz="0" w:space="0" w:color="auto"/>
        <w:right w:val="none" w:sz="0" w:space="0" w:color="auto"/>
      </w:divBdr>
    </w:div>
    <w:div w:id="1314917045">
      <w:bodyDiv w:val="1"/>
      <w:marLeft w:val="0"/>
      <w:marRight w:val="0"/>
      <w:marTop w:val="0"/>
      <w:marBottom w:val="0"/>
      <w:divBdr>
        <w:top w:val="none" w:sz="0" w:space="0" w:color="auto"/>
        <w:left w:val="none" w:sz="0" w:space="0" w:color="auto"/>
        <w:bottom w:val="none" w:sz="0" w:space="0" w:color="auto"/>
        <w:right w:val="none" w:sz="0" w:space="0" w:color="auto"/>
      </w:divBdr>
    </w:div>
    <w:div w:id="1514151541">
      <w:bodyDiv w:val="1"/>
      <w:marLeft w:val="0"/>
      <w:marRight w:val="0"/>
      <w:marTop w:val="0"/>
      <w:marBottom w:val="0"/>
      <w:divBdr>
        <w:top w:val="none" w:sz="0" w:space="0" w:color="auto"/>
        <w:left w:val="none" w:sz="0" w:space="0" w:color="auto"/>
        <w:bottom w:val="none" w:sz="0" w:space="0" w:color="auto"/>
        <w:right w:val="none" w:sz="0" w:space="0" w:color="auto"/>
      </w:divBdr>
    </w:div>
    <w:div w:id="1519349014">
      <w:bodyDiv w:val="1"/>
      <w:marLeft w:val="0"/>
      <w:marRight w:val="0"/>
      <w:marTop w:val="0"/>
      <w:marBottom w:val="0"/>
      <w:divBdr>
        <w:top w:val="none" w:sz="0" w:space="0" w:color="auto"/>
        <w:left w:val="none" w:sz="0" w:space="0" w:color="auto"/>
        <w:bottom w:val="none" w:sz="0" w:space="0" w:color="auto"/>
        <w:right w:val="none" w:sz="0" w:space="0" w:color="auto"/>
      </w:divBdr>
    </w:div>
    <w:div w:id="1823158811">
      <w:bodyDiv w:val="1"/>
      <w:marLeft w:val="0"/>
      <w:marRight w:val="0"/>
      <w:marTop w:val="0"/>
      <w:marBottom w:val="0"/>
      <w:divBdr>
        <w:top w:val="none" w:sz="0" w:space="0" w:color="auto"/>
        <w:left w:val="none" w:sz="0" w:space="0" w:color="auto"/>
        <w:bottom w:val="none" w:sz="0" w:space="0" w:color="auto"/>
        <w:right w:val="none" w:sz="0" w:space="0" w:color="auto"/>
      </w:divBdr>
      <w:divsChild>
        <w:div w:id="1795906669">
          <w:marLeft w:val="0"/>
          <w:marRight w:val="0"/>
          <w:marTop w:val="0"/>
          <w:marBottom w:val="0"/>
          <w:divBdr>
            <w:top w:val="none" w:sz="0" w:space="0" w:color="auto"/>
            <w:left w:val="none" w:sz="0" w:space="0" w:color="auto"/>
            <w:bottom w:val="none" w:sz="0" w:space="0" w:color="auto"/>
            <w:right w:val="none" w:sz="0" w:space="0" w:color="auto"/>
          </w:divBdr>
        </w:div>
        <w:div w:id="1810323926">
          <w:marLeft w:val="0"/>
          <w:marRight w:val="0"/>
          <w:marTop w:val="0"/>
          <w:marBottom w:val="0"/>
          <w:divBdr>
            <w:top w:val="none" w:sz="0" w:space="0" w:color="auto"/>
            <w:left w:val="none" w:sz="0" w:space="0" w:color="auto"/>
            <w:bottom w:val="none" w:sz="0" w:space="0" w:color="auto"/>
            <w:right w:val="none" w:sz="0" w:space="0" w:color="auto"/>
          </w:divBdr>
        </w:div>
        <w:div w:id="440490546">
          <w:marLeft w:val="0"/>
          <w:marRight w:val="0"/>
          <w:marTop w:val="0"/>
          <w:marBottom w:val="0"/>
          <w:divBdr>
            <w:top w:val="none" w:sz="0" w:space="0" w:color="auto"/>
            <w:left w:val="none" w:sz="0" w:space="0" w:color="auto"/>
            <w:bottom w:val="none" w:sz="0" w:space="0" w:color="auto"/>
            <w:right w:val="none" w:sz="0" w:space="0" w:color="auto"/>
          </w:divBdr>
        </w:div>
        <w:div w:id="1410805599">
          <w:marLeft w:val="0"/>
          <w:marRight w:val="0"/>
          <w:marTop w:val="0"/>
          <w:marBottom w:val="0"/>
          <w:divBdr>
            <w:top w:val="none" w:sz="0" w:space="0" w:color="auto"/>
            <w:left w:val="none" w:sz="0" w:space="0" w:color="auto"/>
            <w:bottom w:val="none" w:sz="0" w:space="0" w:color="auto"/>
            <w:right w:val="none" w:sz="0" w:space="0" w:color="auto"/>
          </w:divBdr>
        </w:div>
        <w:div w:id="1822114479">
          <w:marLeft w:val="0"/>
          <w:marRight w:val="0"/>
          <w:marTop w:val="0"/>
          <w:marBottom w:val="0"/>
          <w:divBdr>
            <w:top w:val="none" w:sz="0" w:space="0" w:color="auto"/>
            <w:left w:val="none" w:sz="0" w:space="0" w:color="auto"/>
            <w:bottom w:val="none" w:sz="0" w:space="0" w:color="auto"/>
            <w:right w:val="none" w:sz="0" w:space="0" w:color="auto"/>
          </w:divBdr>
        </w:div>
        <w:div w:id="1124881935">
          <w:marLeft w:val="0"/>
          <w:marRight w:val="0"/>
          <w:marTop w:val="0"/>
          <w:marBottom w:val="0"/>
          <w:divBdr>
            <w:top w:val="none" w:sz="0" w:space="0" w:color="auto"/>
            <w:left w:val="none" w:sz="0" w:space="0" w:color="auto"/>
            <w:bottom w:val="none" w:sz="0" w:space="0" w:color="auto"/>
            <w:right w:val="none" w:sz="0" w:space="0" w:color="auto"/>
          </w:divBdr>
        </w:div>
        <w:div w:id="346060141">
          <w:marLeft w:val="0"/>
          <w:marRight w:val="0"/>
          <w:marTop w:val="0"/>
          <w:marBottom w:val="0"/>
          <w:divBdr>
            <w:top w:val="none" w:sz="0" w:space="0" w:color="auto"/>
            <w:left w:val="none" w:sz="0" w:space="0" w:color="auto"/>
            <w:bottom w:val="none" w:sz="0" w:space="0" w:color="auto"/>
            <w:right w:val="none" w:sz="0" w:space="0" w:color="auto"/>
          </w:divBdr>
        </w:div>
        <w:div w:id="260649575">
          <w:marLeft w:val="0"/>
          <w:marRight w:val="0"/>
          <w:marTop w:val="0"/>
          <w:marBottom w:val="0"/>
          <w:divBdr>
            <w:top w:val="none" w:sz="0" w:space="0" w:color="auto"/>
            <w:left w:val="none" w:sz="0" w:space="0" w:color="auto"/>
            <w:bottom w:val="none" w:sz="0" w:space="0" w:color="auto"/>
            <w:right w:val="none" w:sz="0" w:space="0" w:color="auto"/>
          </w:divBdr>
        </w:div>
        <w:div w:id="711073346">
          <w:marLeft w:val="0"/>
          <w:marRight w:val="0"/>
          <w:marTop w:val="0"/>
          <w:marBottom w:val="0"/>
          <w:divBdr>
            <w:top w:val="none" w:sz="0" w:space="0" w:color="auto"/>
            <w:left w:val="none" w:sz="0" w:space="0" w:color="auto"/>
            <w:bottom w:val="none" w:sz="0" w:space="0" w:color="auto"/>
            <w:right w:val="none" w:sz="0" w:space="0" w:color="auto"/>
          </w:divBdr>
        </w:div>
        <w:div w:id="1351100476">
          <w:marLeft w:val="0"/>
          <w:marRight w:val="0"/>
          <w:marTop w:val="0"/>
          <w:marBottom w:val="0"/>
          <w:divBdr>
            <w:top w:val="none" w:sz="0" w:space="0" w:color="auto"/>
            <w:left w:val="none" w:sz="0" w:space="0" w:color="auto"/>
            <w:bottom w:val="none" w:sz="0" w:space="0" w:color="auto"/>
            <w:right w:val="none" w:sz="0" w:space="0" w:color="auto"/>
          </w:divBdr>
        </w:div>
        <w:div w:id="252207619">
          <w:marLeft w:val="0"/>
          <w:marRight w:val="0"/>
          <w:marTop w:val="0"/>
          <w:marBottom w:val="0"/>
          <w:divBdr>
            <w:top w:val="none" w:sz="0" w:space="0" w:color="auto"/>
            <w:left w:val="none" w:sz="0" w:space="0" w:color="auto"/>
            <w:bottom w:val="none" w:sz="0" w:space="0" w:color="auto"/>
            <w:right w:val="none" w:sz="0" w:space="0" w:color="auto"/>
          </w:divBdr>
        </w:div>
        <w:div w:id="683288475">
          <w:marLeft w:val="0"/>
          <w:marRight w:val="0"/>
          <w:marTop w:val="0"/>
          <w:marBottom w:val="0"/>
          <w:divBdr>
            <w:top w:val="none" w:sz="0" w:space="0" w:color="auto"/>
            <w:left w:val="none" w:sz="0" w:space="0" w:color="auto"/>
            <w:bottom w:val="none" w:sz="0" w:space="0" w:color="auto"/>
            <w:right w:val="none" w:sz="0" w:space="0" w:color="auto"/>
          </w:divBdr>
        </w:div>
        <w:div w:id="1783186072">
          <w:marLeft w:val="0"/>
          <w:marRight w:val="0"/>
          <w:marTop w:val="0"/>
          <w:marBottom w:val="0"/>
          <w:divBdr>
            <w:top w:val="none" w:sz="0" w:space="0" w:color="auto"/>
            <w:left w:val="none" w:sz="0" w:space="0" w:color="auto"/>
            <w:bottom w:val="none" w:sz="0" w:space="0" w:color="auto"/>
            <w:right w:val="none" w:sz="0" w:space="0" w:color="auto"/>
          </w:divBdr>
        </w:div>
        <w:div w:id="1516963646">
          <w:marLeft w:val="0"/>
          <w:marRight w:val="0"/>
          <w:marTop w:val="0"/>
          <w:marBottom w:val="0"/>
          <w:divBdr>
            <w:top w:val="none" w:sz="0" w:space="0" w:color="auto"/>
            <w:left w:val="none" w:sz="0" w:space="0" w:color="auto"/>
            <w:bottom w:val="none" w:sz="0" w:space="0" w:color="auto"/>
            <w:right w:val="none" w:sz="0" w:space="0" w:color="auto"/>
          </w:divBdr>
        </w:div>
        <w:div w:id="1496532079">
          <w:marLeft w:val="0"/>
          <w:marRight w:val="0"/>
          <w:marTop w:val="0"/>
          <w:marBottom w:val="0"/>
          <w:divBdr>
            <w:top w:val="none" w:sz="0" w:space="0" w:color="auto"/>
            <w:left w:val="none" w:sz="0" w:space="0" w:color="auto"/>
            <w:bottom w:val="none" w:sz="0" w:space="0" w:color="auto"/>
            <w:right w:val="none" w:sz="0" w:space="0" w:color="auto"/>
          </w:divBdr>
        </w:div>
        <w:div w:id="38285271">
          <w:marLeft w:val="0"/>
          <w:marRight w:val="0"/>
          <w:marTop w:val="0"/>
          <w:marBottom w:val="0"/>
          <w:divBdr>
            <w:top w:val="none" w:sz="0" w:space="0" w:color="auto"/>
            <w:left w:val="none" w:sz="0" w:space="0" w:color="auto"/>
            <w:bottom w:val="none" w:sz="0" w:space="0" w:color="auto"/>
            <w:right w:val="none" w:sz="0" w:space="0" w:color="auto"/>
          </w:divBdr>
        </w:div>
        <w:div w:id="1798645910">
          <w:marLeft w:val="0"/>
          <w:marRight w:val="0"/>
          <w:marTop w:val="0"/>
          <w:marBottom w:val="0"/>
          <w:divBdr>
            <w:top w:val="none" w:sz="0" w:space="0" w:color="auto"/>
            <w:left w:val="none" w:sz="0" w:space="0" w:color="auto"/>
            <w:bottom w:val="none" w:sz="0" w:space="0" w:color="auto"/>
            <w:right w:val="none" w:sz="0" w:space="0" w:color="auto"/>
          </w:divBdr>
        </w:div>
        <w:div w:id="82991583">
          <w:marLeft w:val="0"/>
          <w:marRight w:val="0"/>
          <w:marTop w:val="0"/>
          <w:marBottom w:val="0"/>
          <w:divBdr>
            <w:top w:val="none" w:sz="0" w:space="0" w:color="auto"/>
            <w:left w:val="none" w:sz="0" w:space="0" w:color="auto"/>
            <w:bottom w:val="none" w:sz="0" w:space="0" w:color="auto"/>
            <w:right w:val="none" w:sz="0" w:space="0" w:color="auto"/>
          </w:divBdr>
        </w:div>
        <w:div w:id="1459951324">
          <w:marLeft w:val="0"/>
          <w:marRight w:val="0"/>
          <w:marTop w:val="0"/>
          <w:marBottom w:val="0"/>
          <w:divBdr>
            <w:top w:val="none" w:sz="0" w:space="0" w:color="auto"/>
            <w:left w:val="none" w:sz="0" w:space="0" w:color="auto"/>
            <w:bottom w:val="none" w:sz="0" w:space="0" w:color="auto"/>
            <w:right w:val="none" w:sz="0" w:space="0" w:color="auto"/>
          </w:divBdr>
        </w:div>
        <w:div w:id="1971205664">
          <w:marLeft w:val="0"/>
          <w:marRight w:val="0"/>
          <w:marTop w:val="0"/>
          <w:marBottom w:val="0"/>
          <w:divBdr>
            <w:top w:val="none" w:sz="0" w:space="0" w:color="auto"/>
            <w:left w:val="none" w:sz="0" w:space="0" w:color="auto"/>
            <w:bottom w:val="none" w:sz="0" w:space="0" w:color="auto"/>
            <w:right w:val="none" w:sz="0" w:space="0" w:color="auto"/>
          </w:divBdr>
        </w:div>
        <w:div w:id="50731483">
          <w:marLeft w:val="0"/>
          <w:marRight w:val="0"/>
          <w:marTop w:val="0"/>
          <w:marBottom w:val="0"/>
          <w:divBdr>
            <w:top w:val="none" w:sz="0" w:space="0" w:color="auto"/>
            <w:left w:val="none" w:sz="0" w:space="0" w:color="auto"/>
            <w:bottom w:val="none" w:sz="0" w:space="0" w:color="auto"/>
            <w:right w:val="none" w:sz="0" w:space="0" w:color="auto"/>
          </w:divBdr>
        </w:div>
        <w:div w:id="19400253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dp.org/content/undp/en/home/operations/accountability/programme_and_operationspoliciesandprocedures.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nfo.undp.org/global/popp/rma/Pages/internal-control-framework.aspx" TargetMode="Externa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www.iraqicivilsociety.org/archives/4692" TargetMode="External"/><Relationship Id="rId2" Type="http://schemas.openxmlformats.org/officeDocument/2006/relationships/hyperlink" Target="http://www.transparency.org/files/content/corruptionqas/Country_profile_Iraq_2015.pdf" TargetMode="External"/><Relationship Id="rId1" Type="http://schemas.openxmlformats.org/officeDocument/2006/relationships/hyperlink" Target="http://reliefweb.int/sites/reliefweb.int/files/resources/ceasefire-report-no-place-to-turn.pdf" TargetMode="External"/><Relationship Id="rId5" Type="http://schemas.openxmlformats.org/officeDocument/2006/relationships/hyperlink" Target="http://planipolis.iiep.unesco.org/upload/Iraq/Iraq_UNDAF_2015-2019.pdf" TargetMode="External"/><Relationship Id="rId4" Type="http://schemas.openxmlformats.org/officeDocument/2006/relationships/hyperlink" Target="http://www.unpo.org/downloads/954.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E71E-1D32-4858-A992-40A42667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6432</Words>
  <Characters>36663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Svetlana Iazykova</cp:lastModifiedBy>
  <cp:revision>6</cp:revision>
  <cp:lastPrinted>2015-10-28T18:49:00Z</cp:lastPrinted>
  <dcterms:created xsi:type="dcterms:W3CDTF">2015-10-28T17:04:00Z</dcterms:created>
  <dcterms:modified xsi:type="dcterms:W3CDTF">2015-10-28T18:58:00Z</dcterms:modified>
</cp:coreProperties>
</file>