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AA" w:rsidRDefault="0099643A" w:rsidP="001B69AA">
      <w:pPr>
        <w:rPr>
          <w:b/>
          <w:bCs/>
          <w:sz w:val="24"/>
          <w:szCs w:val="24"/>
        </w:rPr>
      </w:pPr>
      <w:r>
        <w:rPr>
          <w:b/>
          <w:bCs/>
          <w:sz w:val="24"/>
          <w:szCs w:val="24"/>
        </w:rPr>
        <w:t>Annex 1</w:t>
      </w:r>
      <w:bookmarkStart w:id="0" w:name="_GoBack"/>
      <w:bookmarkEnd w:id="0"/>
      <w:r>
        <w:rPr>
          <w:b/>
          <w:bCs/>
          <w:sz w:val="24"/>
          <w:szCs w:val="24"/>
        </w:rPr>
        <w:t>.</w:t>
      </w:r>
      <w:r w:rsidR="001B69AA">
        <w:rPr>
          <w:b/>
          <w:bCs/>
          <w:sz w:val="24"/>
          <w:szCs w:val="24"/>
        </w:rPr>
        <w:t xml:space="preserve"> Institutional Effectiveness Monitoring Matrix</w:t>
      </w:r>
    </w:p>
    <w:p w:rsidR="001B69AA" w:rsidRDefault="001B69AA" w:rsidP="001B69AA">
      <w:pPr>
        <w:rPr>
          <w:b/>
          <w:bCs/>
          <w:sz w:val="24"/>
          <w:szCs w:val="24"/>
        </w:rPr>
      </w:pPr>
    </w:p>
    <w:tbl>
      <w:tblPr>
        <w:tblStyle w:val="TableGrid"/>
        <w:tblW w:w="0" w:type="auto"/>
        <w:tblLook w:val="04A0" w:firstRow="1" w:lastRow="0" w:firstColumn="1" w:lastColumn="0" w:noHBand="0" w:noVBand="1"/>
      </w:tblPr>
      <w:tblGrid>
        <w:gridCol w:w="2989"/>
        <w:gridCol w:w="1656"/>
        <w:gridCol w:w="2026"/>
        <w:gridCol w:w="2679"/>
      </w:tblGrid>
      <w:tr w:rsidR="00983D41" w:rsidRPr="001035A2" w:rsidTr="00E30BC1">
        <w:tc>
          <w:tcPr>
            <w:tcW w:w="3047" w:type="dxa"/>
            <w:shd w:val="clear" w:color="auto" w:fill="D9D9D9" w:themeFill="background1" w:themeFillShade="D9"/>
          </w:tcPr>
          <w:p w:rsidR="00983D41" w:rsidRPr="001035A2" w:rsidRDefault="00983D41" w:rsidP="00E30BC1">
            <w:pPr>
              <w:jc w:val="center"/>
              <w:rPr>
                <w:b/>
              </w:rPr>
            </w:pPr>
            <w:r w:rsidRPr="001035A2">
              <w:rPr>
                <w:b/>
              </w:rPr>
              <w:t>Policy,  Planning and Reporting</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r w:rsidRPr="004475D0">
              <w:rPr>
                <w:b/>
              </w:rPr>
              <w:t>Progress</w:t>
            </w:r>
          </w:p>
        </w:tc>
      </w:tr>
      <w:tr w:rsidR="00983D41" w:rsidRPr="001035A2" w:rsidTr="00E30BC1">
        <w:tc>
          <w:tcPr>
            <w:tcW w:w="3047" w:type="dxa"/>
          </w:tcPr>
          <w:p w:rsidR="00983D41" w:rsidRPr="001035A2" w:rsidRDefault="00983D41" w:rsidP="00E30BC1">
            <w:r w:rsidRPr="001035A2">
              <w:t>UNDP Adopts a Gender Policy/Strategy</w:t>
            </w:r>
          </w:p>
        </w:tc>
        <w:tc>
          <w:tcPr>
            <w:tcW w:w="1689" w:type="dxa"/>
          </w:tcPr>
          <w:p w:rsidR="00983D41" w:rsidRPr="001035A2" w:rsidRDefault="00983D41" w:rsidP="00E30BC1">
            <w:r w:rsidRPr="001035A2">
              <w:t>YES</w:t>
            </w:r>
          </w:p>
        </w:tc>
        <w:tc>
          <w:tcPr>
            <w:tcW w:w="2032" w:type="dxa"/>
          </w:tcPr>
          <w:p w:rsidR="00983D41" w:rsidRPr="001035A2" w:rsidRDefault="00983D41" w:rsidP="00E30BC1">
            <w:r w:rsidRPr="001035A2">
              <w:t>Q1 2014</w:t>
            </w:r>
          </w:p>
        </w:tc>
        <w:tc>
          <w:tcPr>
            <w:tcW w:w="2808" w:type="dxa"/>
          </w:tcPr>
          <w:p w:rsidR="00983D41" w:rsidRPr="004475D0" w:rsidRDefault="00983D41" w:rsidP="00E30BC1">
            <w:r w:rsidRPr="004475D0">
              <w:t>Completed</w:t>
            </w:r>
          </w:p>
        </w:tc>
      </w:tr>
      <w:tr w:rsidR="00983D41" w:rsidRPr="001035A2" w:rsidTr="00E30BC1">
        <w:tc>
          <w:tcPr>
            <w:tcW w:w="3047" w:type="dxa"/>
          </w:tcPr>
          <w:p w:rsidR="00983D41" w:rsidRPr="001035A2" w:rsidRDefault="00983D41" w:rsidP="00E30BC1">
            <w:r w:rsidRPr="001035A2">
              <w:t>Gender is integrated into</w:t>
            </w:r>
          </w:p>
          <w:p w:rsidR="00983D41" w:rsidRPr="001035A2" w:rsidRDefault="00983D41" w:rsidP="00E30BC1">
            <w:proofErr w:type="spellStart"/>
            <w:r>
              <w:t>i</w:t>
            </w:r>
            <w:proofErr w:type="spellEnd"/>
            <w:r w:rsidRPr="001035A2">
              <w:t>. Annual Business Plans</w:t>
            </w:r>
          </w:p>
          <w:p w:rsidR="00983D41" w:rsidRPr="001035A2" w:rsidRDefault="00983D41" w:rsidP="00E30BC1">
            <w:r>
              <w:t>ii</w:t>
            </w:r>
            <w:r w:rsidRPr="001035A2">
              <w:t xml:space="preserve">. Country </w:t>
            </w:r>
            <w:proofErr w:type="spellStart"/>
            <w:r w:rsidRPr="001035A2">
              <w:t>Programme</w:t>
            </w:r>
            <w:proofErr w:type="spellEnd"/>
            <w:r w:rsidRPr="001035A2">
              <w:t xml:space="preserve"> Documents</w:t>
            </w:r>
          </w:p>
          <w:p w:rsidR="00983D41" w:rsidRPr="001035A2" w:rsidRDefault="00983D41" w:rsidP="00E30BC1"/>
        </w:tc>
        <w:tc>
          <w:tcPr>
            <w:tcW w:w="1689" w:type="dxa"/>
          </w:tcPr>
          <w:p w:rsidR="00983D41" w:rsidRPr="001035A2" w:rsidRDefault="00983D41" w:rsidP="00E30BC1">
            <w:r w:rsidRPr="001035A2">
              <w:t>YES</w:t>
            </w:r>
          </w:p>
        </w:tc>
        <w:tc>
          <w:tcPr>
            <w:tcW w:w="2032" w:type="dxa"/>
          </w:tcPr>
          <w:p w:rsidR="00983D41" w:rsidRPr="001035A2" w:rsidRDefault="00983D41" w:rsidP="00E30BC1">
            <w:r w:rsidRPr="001035A2">
              <w:t>Ongoing</w:t>
            </w:r>
          </w:p>
        </w:tc>
        <w:tc>
          <w:tcPr>
            <w:tcW w:w="2808" w:type="dxa"/>
          </w:tcPr>
          <w:p w:rsidR="00220449" w:rsidRPr="000C2E7E" w:rsidRDefault="00424871" w:rsidP="00E30BC1">
            <w:pPr>
              <w:rPr>
                <w:i/>
                <w:sz w:val="20"/>
              </w:rPr>
            </w:pPr>
            <w:r w:rsidRPr="00E76030">
              <w:rPr>
                <w:i/>
                <w:sz w:val="20"/>
              </w:rPr>
              <w:t xml:space="preserve">Out of 28 CPDs approved in 2015, 24 have specific measures to address </w:t>
            </w:r>
            <w:r w:rsidR="00F1544E" w:rsidRPr="00E76030">
              <w:rPr>
                <w:i/>
                <w:sz w:val="20"/>
              </w:rPr>
              <w:t>gender inequalities</w:t>
            </w:r>
            <w:r w:rsidR="003B066E" w:rsidRPr="00E76030">
              <w:rPr>
                <w:i/>
                <w:sz w:val="20"/>
              </w:rPr>
              <w:t xml:space="preserve"> (85%)</w:t>
            </w:r>
            <w:r w:rsidR="00F1544E" w:rsidRPr="00E76030">
              <w:rPr>
                <w:i/>
                <w:sz w:val="20"/>
              </w:rPr>
              <w:t xml:space="preserve">, </w:t>
            </w:r>
            <w:r w:rsidRPr="00E76030">
              <w:rPr>
                <w:i/>
                <w:sz w:val="20"/>
              </w:rPr>
              <w:t>an increase from 53% of CPDs approved in 2014;</w:t>
            </w:r>
            <w:r w:rsidR="00F1544E" w:rsidRPr="00E76030">
              <w:rPr>
                <w:i/>
                <w:sz w:val="20"/>
              </w:rPr>
              <w:t xml:space="preserve"> 27 have gender- (and sex-) disaggregated indicators</w:t>
            </w:r>
            <w:r w:rsidR="003B066E" w:rsidRPr="00E76030">
              <w:rPr>
                <w:i/>
                <w:sz w:val="20"/>
              </w:rPr>
              <w:t xml:space="preserve"> (96%)</w:t>
            </w:r>
            <w:r w:rsidR="00F1544E" w:rsidRPr="00E76030">
              <w:rPr>
                <w:i/>
                <w:sz w:val="20"/>
              </w:rPr>
              <w:t xml:space="preserve">, </w:t>
            </w:r>
            <w:r w:rsidR="003B066E" w:rsidRPr="00E76030">
              <w:rPr>
                <w:i/>
                <w:sz w:val="20"/>
              </w:rPr>
              <w:t>an increase from 80% in 2014.</w:t>
            </w:r>
          </w:p>
        </w:tc>
      </w:tr>
      <w:tr w:rsidR="00983D41" w:rsidRPr="001035A2" w:rsidTr="00E30BC1">
        <w:tc>
          <w:tcPr>
            <w:tcW w:w="3047" w:type="dxa"/>
          </w:tcPr>
          <w:p w:rsidR="00983D41" w:rsidRPr="001035A2" w:rsidRDefault="00983D41" w:rsidP="00E30BC1">
            <w:r w:rsidRPr="001035A2">
              <w:t xml:space="preserve">Appraisal of CPDs </w:t>
            </w:r>
            <w:proofErr w:type="spellStart"/>
            <w:r w:rsidRPr="001035A2">
              <w:t>programmes</w:t>
            </w:r>
            <w:proofErr w:type="spellEnd"/>
            <w:r w:rsidRPr="001035A2">
              <w:t xml:space="preserve">/projects includes a gender screening </w:t>
            </w:r>
          </w:p>
        </w:tc>
        <w:tc>
          <w:tcPr>
            <w:tcW w:w="1689" w:type="dxa"/>
          </w:tcPr>
          <w:p w:rsidR="00983D41" w:rsidRPr="001035A2" w:rsidRDefault="00983D41" w:rsidP="00E30BC1">
            <w:r w:rsidRPr="001035A2">
              <w:t>YES</w:t>
            </w:r>
          </w:p>
        </w:tc>
        <w:tc>
          <w:tcPr>
            <w:tcW w:w="2032" w:type="dxa"/>
          </w:tcPr>
          <w:p w:rsidR="00983D41" w:rsidRPr="001035A2" w:rsidRDefault="00983D41" w:rsidP="00E30BC1">
            <w:r w:rsidRPr="001035A2">
              <w:t>Ongoing</w:t>
            </w:r>
          </w:p>
        </w:tc>
        <w:tc>
          <w:tcPr>
            <w:tcW w:w="2808" w:type="dxa"/>
          </w:tcPr>
          <w:p w:rsidR="00983D41" w:rsidRPr="004475D0" w:rsidRDefault="00983D41" w:rsidP="00E30BC1">
            <w:pPr>
              <w:rPr>
                <w:i/>
              </w:rPr>
            </w:pPr>
            <w:r w:rsidRPr="004475D0">
              <w:rPr>
                <w:i/>
                <w:sz w:val="20"/>
              </w:rPr>
              <w:t>There is now a mandatory gender screening for all UNDP projects and CPDs at the stage of design, monitoring and closure, which is integrated in the new project quality assurance tool.</w:t>
            </w:r>
          </w:p>
        </w:tc>
      </w:tr>
      <w:tr w:rsidR="00983D41" w:rsidRPr="001035A2" w:rsidTr="00E30BC1">
        <w:tc>
          <w:tcPr>
            <w:tcW w:w="3047" w:type="dxa"/>
          </w:tcPr>
          <w:p w:rsidR="00983D41" w:rsidRPr="001035A2" w:rsidRDefault="00983D41" w:rsidP="00E30BC1">
            <w:r w:rsidRPr="001035A2">
              <w:t>Environmental and Social Screening Procedure integrates gender concerns</w:t>
            </w:r>
          </w:p>
          <w:p w:rsidR="00983D41" w:rsidRPr="001035A2" w:rsidRDefault="00983D41" w:rsidP="00E30BC1"/>
        </w:tc>
        <w:tc>
          <w:tcPr>
            <w:tcW w:w="1689" w:type="dxa"/>
          </w:tcPr>
          <w:p w:rsidR="00983D41" w:rsidRPr="001035A2" w:rsidRDefault="00983D41" w:rsidP="00E30BC1"/>
        </w:tc>
        <w:tc>
          <w:tcPr>
            <w:tcW w:w="2032" w:type="dxa"/>
          </w:tcPr>
          <w:p w:rsidR="00983D41" w:rsidRPr="001035A2" w:rsidRDefault="00983D41" w:rsidP="00E30BC1">
            <w:r w:rsidRPr="001035A2">
              <w:t>Q1 2014</w:t>
            </w:r>
          </w:p>
        </w:tc>
        <w:tc>
          <w:tcPr>
            <w:tcW w:w="2808" w:type="dxa"/>
          </w:tcPr>
          <w:p w:rsidR="00983D41" w:rsidRPr="004475D0" w:rsidRDefault="00983D41" w:rsidP="00E30BC1">
            <w:r w:rsidRPr="004475D0">
              <w:t>Completed</w:t>
            </w:r>
          </w:p>
          <w:p w:rsidR="00983D41" w:rsidRDefault="00983D41" w:rsidP="00E30BC1">
            <w:pPr>
              <w:rPr>
                <w:i/>
                <w:sz w:val="20"/>
              </w:rPr>
            </w:pPr>
            <w:r w:rsidRPr="00982496">
              <w:rPr>
                <w:i/>
                <w:sz w:val="20"/>
              </w:rPr>
              <w:t xml:space="preserve">The UNDP social and </w:t>
            </w:r>
            <w:r w:rsidRPr="004475D0">
              <w:rPr>
                <w:i/>
                <w:sz w:val="20"/>
              </w:rPr>
              <w:t xml:space="preserve">environmental screening procedure requires all projects to address specific questions related to the project’s gender equality impact and ensure engagement with women prior to their approval. </w:t>
            </w:r>
          </w:p>
          <w:p w:rsidR="000C2E7E" w:rsidRPr="000C2E7E" w:rsidRDefault="000C2E7E" w:rsidP="00E30BC1">
            <w:pPr>
              <w:rPr>
                <w:i/>
              </w:rPr>
            </w:pPr>
          </w:p>
        </w:tc>
      </w:tr>
      <w:tr w:rsidR="00983D41" w:rsidRPr="001035A2" w:rsidTr="00E30BC1">
        <w:tc>
          <w:tcPr>
            <w:tcW w:w="3047" w:type="dxa"/>
          </w:tcPr>
          <w:p w:rsidR="00983D41" w:rsidRPr="000C2E7E" w:rsidRDefault="00983D41" w:rsidP="00E30BC1">
            <w:pPr>
              <w:rPr>
                <w:lang w:val="en-GB"/>
              </w:rPr>
            </w:pPr>
            <w:r w:rsidRPr="001035A2">
              <w:rPr>
                <w:lang w:val="en-GB"/>
              </w:rPr>
              <w:t xml:space="preserve">Percentage of programmes/projects designed with significant gender component </w:t>
            </w:r>
          </w:p>
        </w:tc>
        <w:tc>
          <w:tcPr>
            <w:tcW w:w="1689" w:type="dxa"/>
          </w:tcPr>
          <w:p w:rsidR="00983D41" w:rsidRPr="001035A2" w:rsidRDefault="00983D41" w:rsidP="00E30BC1">
            <w:pPr>
              <w:rPr>
                <w:highlight w:val="yellow"/>
              </w:rPr>
            </w:pPr>
          </w:p>
        </w:tc>
        <w:tc>
          <w:tcPr>
            <w:tcW w:w="2032" w:type="dxa"/>
          </w:tcPr>
          <w:p w:rsidR="00983D41" w:rsidRPr="001035A2" w:rsidRDefault="00983D41" w:rsidP="00E30BC1">
            <w:r w:rsidRPr="001035A2">
              <w:t>2015</w:t>
            </w:r>
            <w:r>
              <w:t xml:space="preserve"> (GEN3+GEN2)</w:t>
            </w:r>
            <w:r w:rsidRPr="001035A2">
              <w:t xml:space="preserve"> 35%</w:t>
            </w:r>
          </w:p>
          <w:p w:rsidR="00983D41" w:rsidRPr="001035A2" w:rsidRDefault="00983D41" w:rsidP="00E30BC1">
            <w:r w:rsidRPr="001035A2">
              <w:t>2017</w:t>
            </w:r>
            <w:r>
              <w:t xml:space="preserve"> (GEN3</w:t>
            </w:r>
            <w:r w:rsidR="000C2E7E">
              <w:t>+GEN2) 50%</w:t>
            </w:r>
          </w:p>
        </w:tc>
        <w:tc>
          <w:tcPr>
            <w:tcW w:w="2808" w:type="dxa"/>
          </w:tcPr>
          <w:p w:rsidR="00316D15" w:rsidRPr="004475D0" w:rsidRDefault="00E76030" w:rsidP="00E30BC1">
            <w:r>
              <w:t>Met</w:t>
            </w:r>
            <w:r w:rsidR="004475D0" w:rsidRPr="004475D0">
              <w:t xml:space="preserve"> Target</w:t>
            </w:r>
          </w:p>
          <w:p w:rsidR="00316D15" w:rsidRDefault="00316D15" w:rsidP="00E30BC1">
            <w:pPr>
              <w:rPr>
                <w:i/>
                <w:sz w:val="20"/>
                <w:szCs w:val="20"/>
              </w:rPr>
            </w:pPr>
            <w:r>
              <w:rPr>
                <w:i/>
                <w:sz w:val="20"/>
                <w:szCs w:val="20"/>
              </w:rPr>
              <w:t>2015</w:t>
            </w:r>
            <w:r w:rsidR="005561D6">
              <w:rPr>
                <w:i/>
                <w:sz w:val="20"/>
                <w:szCs w:val="20"/>
              </w:rPr>
              <w:t xml:space="preserve"> - </w:t>
            </w:r>
            <w:r w:rsidR="00E76030">
              <w:rPr>
                <w:i/>
                <w:sz w:val="20"/>
                <w:szCs w:val="20"/>
              </w:rPr>
              <w:t>GEN2+GEN3</w:t>
            </w:r>
            <w:r w:rsidR="005561D6">
              <w:rPr>
                <w:i/>
                <w:sz w:val="20"/>
                <w:szCs w:val="20"/>
              </w:rPr>
              <w:t xml:space="preserve"> =</w:t>
            </w:r>
            <w:r>
              <w:rPr>
                <w:i/>
                <w:sz w:val="20"/>
                <w:szCs w:val="20"/>
              </w:rPr>
              <w:t xml:space="preserve"> 35%</w:t>
            </w:r>
          </w:p>
          <w:p w:rsidR="00316D15" w:rsidRDefault="00316D15" w:rsidP="00E30BC1">
            <w:pPr>
              <w:rPr>
                <w:i/>
                <w:sz w:val="20"/>
                <w:szCs w:val="20"/>
              </w:rPr>
            </w:pPr>
            <w:r>
              <w:rPr>
                <w:i/>
                <w:sz w:val="20"/>
                <w:szCs w:val="20"/>
              </w:rPr>
              <w:t>2014 – GEN2+GEN3 = 34%</w:t>
            </w:r>
          </w:p>
          <w:p w:rsidR="00983D41" w:rsidRPr="004475D0" w:rsidRDefault="00E76030" w:rsidP="00E30BC1">
            <w:pPr>
              <w:rPr>
                <w:b/>
                <w:i/>
                <w:sz w:val="20"/>
                <w:szCs w:val="20"/>
              </w:rPr>
            </w:pPr>
            <w:r>
              <w:rPr>
                <w:i/>
                <w:sz w:val="20"/>
                <w:szCs w:val="20"/>
              </w:rPr>
              <w:t xml:space="preserve"> </w:t>
            </w:r>
          </w:p>
          <w:p w:rsidR="00B30AF5" w:rsidRPr="004475D0" w:rsidRDefault="00B30AF5" w:rsidP="00E30BC1">
            <w:pPr>
              <w:rPr>
                <w:i/>
                <w:sz w:val="20"/>
                <w:szCs w:val="20"/>
              </w:rPr>
            </w:pPr>
          </w:p>
        </w:tc>
      </w:tr>
      <w:tr w:rsidR="00983D41" w:rsidRPr="001035A2" w:rsidTr="00E30BC1">
        <w:tc>
          <w:tcPr>
            <w:tcW w:w="3047" w:type="dxa"/>
            <w:shd w:val="clear" w:color="auto" w:fill="D9D9D9" w:themeFill="background1" w:themeFillShade="D9"/>
          </w:tcPr>
          <w:p w:rsidR="00983D41" w:rsidRPr="001035A2" w:rsidRDefault="00983D41" w:rsidP="00E30BC1">
            <w:pPr>
              <w:rPr>
                <w:b/>
              </w:rPr>
            </w:pPr>
            <w:r w:rsidRPr="001035A2">
              <w:rPr>
                <w:b/>
              </w:rPr>
              <w:t>Accountability and Oversight</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p>
        </w:tc>
      </w:tr>
      <w:tr w:rsidR="00983D41" w:rsidRPr="001035A2" w:rsidTr="00E30BC1">
        <w:tc>
          <w:tcPr>
            <w:tcW w:w="3047" w:type="dxa"/>
          </w:tcPr>
          <w:p w:rsidR="00983D41" w:rsidRPr="001035A2" w:rsidRDefault="00983D41" w:rsidP="00E30BC1">
            <w:r>
              <w:t>GSIC meetings convened</w:t>
            </w:r>
          </w:p>
        </w:tc>
        <w:tc>
          <w:tcPr>
            <w:tcW w:w="1689" w:type="dxa"/>
          </w:tcPr>
          <w:p w:rsidR="00983D41" w:rsidRPr="001035A2" w:rsidRDefault="00983D41" w:rsidP="00E30BC1"/>
        </w:tc>
        <w:tc>
          <w:tcPr>
            <w:tcW w:w="2032" w:type="dxa"/>
          </w:tcPr>
          <w:p w:rsidR="00983D41" w:rsidRDefault="00983D41" w:rsidP="00E30BC1">
            <w:r>
              <w:t>Annually</w:t>
            </w:r>
          </w:p>
        </w:tc>
        <w:tc>
          <w:tcPr>
            <w:tcW w:w="2808" w:type="dxa"/>
          </w:tcPr>
          <w:p w:rsidR="00983D41" w:rsidRPr="004475D0" w:rsidRDefault="000925F3" w:rsidP="00E30BC1">
            <w:r>
              <w:t>Completed  5-6 May 2016</w:t>
            </w:r>
          </w:p>
        </w:tc>
      </w:tr>
      <w:tr w:rsidR="00983D41" w:rsidRPr="001035A2" w:rsidTr="00E30BC1">
        <w:tc>
          <w:tcPr>
            <w:tcW w:w="3047" w:type="dxa"/>
          </w:tcPr>
          <w:p w:rsidR="00983D41" w:rsidRPr="001035A2" w:rsidRDefault="00983D41" w:rsidP="00E30BC1">
            <w:r w:rsidRPr="001035A2">
              <w:t>Annual Report presented to Executive Board</w:t>
            </w:r>
          </w:p>
        </w:tc>
        <w:tc>
          <w:tcPr>
            <w:tcW w:w="1689" w:type="dxa"/>
          </w:tcPr>
          <w:p w:rsidR="00983D41" w:rsidRPr="001035A2" w:rsidRDefault="00983D41" w:rsidP="00E30BC1"/>
        </w:tc>
        <w:tc>
          <w:tcPr>
            <w:tcW w:w="2032" w:type="dxa"/>
          </w:tcPr>
          <w:p w:rsidR="00983D41" w:rsidRPr="001035A2" w:rsidRDefault="00983D41" w:rsidP="00E30BC1">
            <w:r>
              <w:t>Annually</w:t>
            </w:r>
          </w:p>
        </w:tc>
        <w:tc>
          <w:tcPr>
            <w:tcW w:w="2808" w:type="dxa"/>
          </w:tcPr>
          <w:p w:rsidR="00983D41" w:rsidRPr="004475D0" w:rsidRDefault="000925F3" w:rsidP="00E30BC1">
            <w:r>
              <w:t>Completed June 2016</w:t>
            </w:r>
          </w:p>
        </w:tc>
      </w:tr>
      <w:tr w:rsidR="00983D41" w:rsidRPr="001035A2" w:rsidTr="00E30BC1">
        <w:trPr>
          <w:trHeight w:val="665"/>
        </w:trPr>
        <w:tc>
          <w:tcPr>
            <w:tcW w:w="3047" w:type="dxa"/>
          </w:tcPr>
          <w:p w:rsidR="00983D41" w:rsidRPr="001035A2" w:rsidRDefault="00983D41" w:rsidP="00E30BC1">
            <w:r w:rsidRPr="001035A2">
              <w:t>The Gender Equality Seal Certification Process undertaken</w:t>
            </w:r>
          </w:p>
        </w:tc>
        <w:tc>
          <w:tcPr>
            <w:tcW w:w="1689" w:type="dxa"/>
          </w:tcPr>
          <w:p w:rsidR="00983D41" w:rsidRPr="001035A2" w:rsidRDefault="00983D41" w:rsidP="00E30BC1"/>
        </w:tc>
        <w:tc>
          <w:tcPr>
            <w:tcW w:w="2032" w:type="dxa"/>
          </w:tcPr>
          <w:p w:rsidR="00983D41" w:rsidRPr="001035A2" w:rsidRDefault="00983D41" w:rsidP="00E30BC1">
            <w:proofErr w:type="spellStart"/>
            <w:r w:rsidRPr="001035A2">
              <w:t>i</w:t>
            </w:r>
            <w:proofErr w:type="spellEnd"/>
            <w:r w:rsidRPr="001035A2">
              <w:t>.</w:t>
            </w:r>
            <w:r>
              <w:t xml:space="preserve"> </w:t>
            </w:r>
            <w:r w:rsidRPr="001035A2">
              <w:t xml:space="preserve">32 certified COs in 2014 </w:t>
            </w:r>
          </w:p>
          <w:p w:rsidR="00983D41" w:rsidRPr="001035A2" w:rsidRDefault="00983D41" w:rsidP="00E30BC1">
            <w:r w:rsidRPr="001035A2">
              <w:t>ii.50 certified COs in 2016</w:t>
            </w:r>
          </w:p>
          <w:p w:rsidR="00983D41" w:rsidRDefault="00983D41" w:rsidP="00E30BC1">
            <w:r w:rsidRPr="001035A2">
              <w:t>iii.70 certified COs in 2017</w:t>
            </w:r>
          </w:p>
          <w:p w:rsidR="00544739" w:rsidRPr="001035A2" w:rsidRDefault="00544739" w:rsidP="00E30BC1"/>
        </w:tc>
        <w:tc>
          <w:tcPr>
            <w:tcW w:w="2808" w:type="dxa"/>
          </w:tcPr>
          <w:p w:rsidR="00983D41" w:rsidRPr="004475D0" w:rsidRDefault="00983D41" w:rsidP="00E30BC1">
            <w:proofErr w:type="spellStart"/>
            <w:r w:rsidRPr="004475D0">
              <w:t>i</w:t>
            </w:r>
            <w:proofErr w:type="spellEnd"/>
            <w:r w:rsidRPr="004475D0">
              <w:t>. Approaching target</w:t>
            </w:r>
          </w:p>
          <w:p w:rsidR="00983D41" w:rsidRDefault="002D6B59" w:rsidP="00E30BC1">
            <w:pPr>
              <w:rPr>
                <w:i/>
                <w:sz w:val="20"/>
                <w:szCs w:val="20"/>
              </w:rPr>
            </w:pPr>
            <w:r>
              <w:rPr>
                <w:i/>
                <w:sz w:val="20"/>
                <w:szCs w:val="20"/>
              </w:rPr>
              <w:t>2015 – 28 new country offices enrolled</w:t>
            </w:r>
          </w:p>
          <w:p w:rsidR="002D6B59" w:rsidRPr="002D6B59" w:rsidRDefault="002D6B59" w:rsidP="00E30BC1">
            <w:pPr>
              <w:rPr>
                <w:sz w:val="20"/>
                <w:szCs w:val="20"/>
              </w:rPr>
            </w:pPr>
            <w:r>
              <w:rPr>
                <w:i/>
                <w:sz w:val="20"/>
                <w:szCs w:val="20"/>
              </w:rPr>
              <w:t>2014 – 25 country offices certified</w:t>
            </w:r>
          </w:p>
        </w:tc>
      </w:tr>
      <w:tr w:rsidR="00983D41" w:rsidRPr="001035A2" w:rsidTr="00E30BC1">
        <w:tc>
          <w:tcPr>
            <w:tcW w:w="3047" w:type="dxa"/>
            <w:shd w:val="clear" w:color="auto" w:fill="D9D9D9" w:themeFill="background1" w:themeFillShade="D9"/>
          </w:tcPr>
          <w:p w:rsidR="00983D41" w:rsidRPr="001035A2" w:rsidRDefault="00983D41" w:rsidP="00E30BC1">
            <w:pPr>
              <w:rPr>
                <w:b/>
              </w:rPr>
            </w:pPr>
            <w:r w:rsidRPr="001035A2">
              <w:lastRenderedPageBreak/>
              <w:br w:type="page"/>
            </w:r>
            <w:r w:rsidRPr="001035A2">
              <w:rPr>
                <w:b/>
              </w:rPr>
              <w:t>Gender Architecture</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p>
        </w:tc>
      </w:tr>
      <w:tr w:rsidR="00983D41" w:rsidRPr="001035A2" w:rsidTr="00E30BC1">
        <w:tc>
          <w:tcPr>
            <w:tcW w:w="3047" w:type="dxa"/>
          </w:tcPr>
          <w:p w:rsidR="00983D41" w:rsidRPr="001035A2" w:rsidRDefault="00983D41" w:rsidP="00E30BC1">
            <w:r w:rsidRPr="001035A2">
              <w:t xml:space="preserve">A core team of no less than fifteen (15) gender policy advisors posted at Headquarters, in Global Policy Centers and Regional Service </w:t>
            </w:r>
            <w:proofErr w:type="spellStart"/>
            <w:r w:rsidRPr="001035A2">
              <w:t>Centres</w:t>
            </w:r>
            <w:proofErr w:type="spellEnd"/>
            <w:r w:rsidRPr="001035A2">
              <w:t xml:space="preserve">, as part of the Bureau for Policy and </w:t>
            </w:r>
            <w:proofErr w:type="spellStart"/>
            <w:r w:rsidRPr="001035A2">
              <w:t>Programme</w:t>
            </w:r>
            <w:proofErr w:type="spellEnd"/>
            <w:r w:rsidRPr="001035A2">
              <w:t xml:space="preserve"> Support</w:t>
            </w:r>
          </w:p>
        </w:tc>
        <w:tc>
          <w:tcPr>
            <w:tcW w:w="1689" w:type="dxa"/>
          </w:tcPr>
          <w:p w:rsidR="00983D41" w:rsidRPr="001035A2" w:rsidRDefault="00983D41" w:rsidP="00E30BC1"/>
        </w:tc>
        <w:tc>
          <w:tcPr>
            <w:tcW w:w="2032" w:type="dxa"/>
          </w:tcPr>
          <w:p w:rsidR="00983D41" w:rsidRPr="001035A2" w:rsidRDefault="00983D41" w:rsidP="00E30BC1">
            <w:r w:rsidRPr="001035A2">
              <w:t>2014</w:t>
            </w:r>
          </w:p>
        </w:tc>
        <w:tc>
          <w:tcPr>
            <w:tcW w:w="2808" w:type="dxa"/>
          </w:tcPr>
          <w:p w:rsidR="00983D41" w:rsidRPr="004475D0" w:rsidRDefault="00983D41" w:rsidP="00E30BC1">
            <w:r w:rsidRPr="004475D0">
              <w:t>Exceeded</w:t>
            </w:r>
          </w:p>
          <w:p w:rsidR="00983D41" w:rsidRPr="004475D0" w:rsidRDefault="00983D41" w:rsidP="005C4951">
            <w:pPr>
              <w:rPr>
                <w:i/>
              </w:rPr>
            </w:pPr>
            <w:r w:rsidRPr="004475D0">
              <w:rPr>
                <w:i/>
              </w:rPr>
              <w:t>(</w:t>
            </w:r>
            <w:r w:rsidRPr="004475D0">
              <w:rPr>
                <w:i/>
                <w:sz w:val="20"/>
                <w:szCs w:val="20"/>
              </w:rPr>
              <w:t xml:space="preserve">8 HQ gender policy advisors; and </w:t>
            </w:r>
            <w:r w:rsidR="005C4951">
              <w:rPr>
                <w:i/>
                <w:sz w:val="20"/>
                <w:szCs w:val="20"/>
              </w:rPr>
              <w:t>20</w:t>
            </w:r>
            <w:r w:rsidRPr="004475D0">
              <w:rPr>
                <w:i/>
                <w:sz w:val="20"/>
                <w:szCs w:val="20"/>
              </w:rPr>
              <w:t xml:space="preserve"> in Regional Centers)</w:t>
            </w:r>
          </w:p>
        </w:tc>
      </w:tr>
      <w:tr w:rsidR="00983D41" w:rsidRPr="001035A2" w:rsidTr="00E30BC1">
        <w:tc>
          <w:tcPr>
            <w:tcW w:w="3047" w:type="dxa"/>
          </w:tcPr>
          <w:p w:rsidR="00983D41" w:rsidRPr="001035A2" w:rsidRDefault="00983D41" w:rsidP="00E30BC1">
            <w:r w:rsidRPr="001035A2">
              <w:t>Regional Program to recruit at least (1) gender advisor each (total 5)</w:t>
            </w:r>
          </w:p>
        </w:tc>
        <w:tc>
          <w:tcPr>
            <w:tcW w:w="1689" w:type="dxa"/>
          </w:tcPr>
          <w:p w:rsidR="00983D41" w:rsidRPr="001035A2" w:rsidRDefault="00983D41" w:rsidP="00E30BC1"/>
        </w:tc>
        <w:tc>
          <w:tcPr>
            <w:tcW w:w="2032" w:type="dxa"/>
          </w:tcPr>
          <w:p w:rsidR="00983D41" w:rsidRPr="001035A2" w:rsidRDefault="00983D41" w:rsidP="00E30BC1">
            <w:r w:rsidRPr="001035A2">
              <w:t>2014</w:t>
            </w:r>
          </w:p>
        </w:tc>
        <w:tc>
          <w:tcPr>
            <w:tcW w:w="2808" w:type="dxa"/>
          </w:tcPr>
          <w:p w:rsidR="00983D41" w:rsidRPr="004475D0" w:rsidRDefault="00983D41" w:rsidP="00E30BC1">
            <w:r w:rsidRPr="004475D0">
              <w:t>See above</w:t>
            </w:r>
          </w:p>
        </w:tc>
      </w:tr>
      <w:tr w:rsidR="00983D41" w:rsidRPr="001035A2" w:rsidTr="00E30BC1">
        <w:tc>
          <w:tcPr>
            <w:tcW w:w="3047" w:type="dxa"/>
            <w:shd w:val="clear" w:color="auto" w:fill="auto"/>
          </w:tcPr>
          <w:p w:rsidR="00983D41" w:rsidRPr="00695B32" w:rsidRDefault="00983D41" w:rsidP="00E30BC1">
            <w:r w:rsidRPr="00695B32">
              <w:t>COs with more than $25 million annual budget appoint a total of 40 gender senior advisers or their equivalent</w:t>
            </w:r>
          </w:p>
        </w:tc>
        <w:tc>
          <w:tcPr>
            <w:tcW w:w="1689" w:type="dxa"/>
            <w:shd w:val="clear" w:color="auto" w:fill="auto"/>
          </w:tcPr>
          <w:p w:rsidR="00983D41" w:rsidRPr="00695B32" w:rsidRDefault="00983D41" w:rsidP="00E30BC1"/>
        </w:tc>
        <w:tc>
          <w:tcPr>
            <w:tcW w:w="2032" w:type="dxa"/>
            <w:shd w:val="clear" w:color="auto" w:fill="auto"/>
          </w:tcPr>
          <w:p w:rsidR="00983D41" w:rsidRPr="00695B32" w:rsidRDefault="00983D41" w:rsidP="00E30BC1">
            <w:r w:rsidRPr="00695B32">
              <w:t xml:space="preserve">15 by 2014; </w:t>
            </w:r>
          </w:p>
          <w:p w:rsidR="00983D41" w:rsidRPr="00695B32" w:rsidRDefault="00983D41" w:rsidP="00E30BC1">
            <w:r w:rsidRPr="00695B32">
              <w:t xml:space="preserve">40 by 2015; </w:t>
            </w:r>
          </w:p>
          <w:p w:rsidR="00983D41" w:rsidRPr="00695B32" w:rsidRDefault="00983D41" w:rsidP="00E30BC1"/>
        </w:tc>
        <w:tc>
          <w:tcPr>
            <w:tcW w:w="2808" w:type="dxa"/>
            <w:shd w:val="clear" w:color="auto" w:fill="auto"/>
          </w:tcPr>
          <w:p w:rsidR="00983D41" w:rsidRPr="004475D0" w:rsidRDefault="00983D41" w:rsidP="00E30BC1">
            <w:r w:rsidRPr="004475D0">
              <w:t>Approaching target</w:t>
            </w:r>
          </w:p>
          <w:p w:rsidR="00DE4120" w:rsidRDefault="005C4951" w:rsidP="005C4951">
            <w:pPr>
              <w:rPr>
                <w:i/>
                <w:sz w:val="20"/>
                <w:szCs w:val="20"/>
              </w:rPr>
            </w:pPr>
            <w:r>
              <w:rPr>
                <w:i/>
                <w:sz w:val="20"/>
                <w:szCs w:val="20"/>
              </w:rPr>
              <w:t xml:space="preserve">2015 </w:t>
            </w:r>
            <w:r w:rsidR="00D4758A">
              <w:rPr>
                <w:i/>
                <w:sz w:val="20"/>
                <w:szCs w:val="20"/>
              </w:rPr>
              <w:t>–</w:t>
            </w:r>
            <w:r>
              <w:rPr>
                <w:i/>
                <w:sz w:val="20"/>
                <w:szCs w:val="20"/>
              </w:rPr>
              <w:t xml:space="preserve"> </w:t>
            </w:r>
            <w:r w:rsidR="00D4758A">
              <w:rPr>
                <w:i/>
                <w:sz w:val="20"/>
                <w:szCs w:val="20"/>
              </w:rPr>
              <w:t xml:space="preserve">11 country offices </w:t>
            </w:r>
          </w:p>
          <w:p w:rsidR="00D4758A" w:rsidRPr="004475D0" w:rsidRDefault="00D4758A" w:rsidP="005C4951">
            <w:pPr>
              <w:rPr>
                <w:i/>
                <w:sz w:val="20"/>
                <w:szCs w:val="20"/>
              </w:rPr>
            </w:pPr>
            <w:r>
              <w:rPr>
                <w:i/>
                <w:sz w:val="20"/>
                <w:szCs w:val="20"/>
              </w:rPr>
              <w:t>2014 – 9 country offices</w:t>
            </w:r>
          </w:p>
        </w:tc>
      </w:tr>
      <w:tr w:rsidR="00983D41" w:rsidRPr="001035A2" w:rsidTr="00E30BC1">
        <w:tc>
          <w:tcPr>
            <w:tcW w:w="3047" w:type="dxa"/>
          </w:tcPr>
          <w:p w:rsidR="00983D41" w:rsidRPr="001035A2" w:rsidRDefault="00983D41" w:rsidP="00E30BC1">
            <w:r w:rsidRPr="001035A2">
              <w:t xml:space="preserve">COs, RSC and </w:t>
            </w:r>
            <w:proofErr w:type="spellStart"/>
            <w:r w:rsidRPr="001035A2">
              <w:t>RBx</w:t>
            </w:r>
            <w:proofErr w:type="spellEnd"/>
            <w:r w:rsidRPr="001035A2">
              <w:t xml:space="preserve"> put in place Gender Focal Teams with written TORs </w:t>
            </w:r>
          </w:p>
        </w:tc>
        <w:tc>
          <w:tcPr>
            <w:tcW w:w="1689" w:type="dxa"/>
          </w:tcPr>
          <w:p w:rsidR="00983D41" w:rsidRPr="001035A2" w:rsidRDefault="00983D41" w:rsidP="00E30BC1">
            <w:r w:rsidRPr="001035A2">
              <w:t>YES</w:t>
            </w:r>
          </w:p>
        </w:tc>
        <w:tc>
          <w:tcPr>
            <w:tcW w:w="2032" w:type="dxa"/>
          </w:tcPr>
          <w:p w:rsidR="00983D41" w:rsidRPr="001035A2" w:rsidRDefault="00983D41" w:rsidP="00E30BC1">
            <w:r w:rsidRPr="001035A2">
              <w:t>2015</w:t>
            </w:r>
          </w:p>
          <w:p w:rsidR="00983D41" w:rsidRPr="001035A2" w:rsidRDefault="00983D41" w:rsidP="00E30BC1"/>
        </w:tc>
        <w:tc>
          <w:tcPr>
            <w:tcW w:w="2808" w:type="dxa"/>
          </w:tcPr>
          <w:p w:rsidR="00983D41" w:rsidRPr="004475D0" w:rsidRDefault="00983D41" w:rsidP="00E30BC1">
            <w:r w:rsidRPr="004475D0">
              <w:t>In progress</w:t>
            </w:r>
          </w:p>
          <w:p w:rsidR="00983D41" w:rsidRPr="000C2E7E" w:rsidRDefault="00554A62" w:rsidP="000C2E7E">
            <w:pPr>
              <w:rPr>
                <w:i/>
                <w:sz w:val="20"/>
                <w:szCs w:val="20"/>
              </w:rPr>
            </w:pPr>
            <w:r w:rsidRPr="00554A62">
              <w:rPr>
                <w:i/>
                <w:sz w:val="20"/>
                <w:szCs w:val="20"/>
              </w:rPr>
              <w:t>In 2015, 67 per c</w:t>
            </w:r>
            <w:r w:rsidR="00277FA4">
              <w:rPr>
                <w:i/>
                <w:sz w:val="20"/>
                <w:szCs w:val="20"/>
              </w:rPr>
              <w:t xml:space="preserve">ent of country offices (90) reported having </w:t>
            </w:r>
            <w:r w:rsidRPr="00554A62">
              <w:rPr>
                <w:i/>
                <w:sz w:val="20"/>
                <w:szCs w:val="20"/>
              </w:rPr>
              <w:t xml:space="preserve">multidisciplinary gender focal teams led by senior management with written terms of reference, an increase from 45 per cent of country offices in 2014. </w:t>
            </w:r>
          </w:p>
        </w:tc>
      </w:tr>
      <w:tr w:rsidR="00983D41" w:rsidRPr="001035A2" w:rsidTr="00E30BC1">
        <w:tc>
          <w:tcPr>
            <w:tcW w:w="3047" w:type="dxa"/>
          </w:tcPr>
          <w:p w:rsidR="00983D41" w:rsidRDefault="00983D41" w:rsidP="00E30BC1">
            <w:r w:rsidRPr="001035A2">
              <w:t xml:space="preserve">Regional Bureaus, Central Bureaus, Global Policy Centers and major departments/professional clusters appoint gender focal points at P4 and higher </w:t>
            </w:r>
          </w:p>
          <w:p w:rsidR="00983D41" w:rsidRPr="001035A2" w:rsidRDefault="00983D41" w:rsidP="00E30BC1"/>
        </w:tc>
        <w:tc>
          <w:tcPr>
            <w:tcW w:w="1689" w:type="dxa"/>
          </w:tcPr>
          <w:p w:rsidR="00983D41" w:rsidRPr="001035A2" w:rsidRDefault="00983D41" w:rsidP="00E30BC1">
            <w:r w:rsidRPr="001035A2">
              <w:t>YES</w:t>
            </w:r>
          </w:p>
        </w:tc>
        <w:tc>
          <w:tcPr>
            <w:tcW w:w="2032" w:type="dxa"/>
          </w:tcPr>
          <w:p w:rsidR="00983D41" w:rsidRPr="001035A2" w:rsidRDefault="00983D41" w:rsidP="00E30BC1">
            <w:r w:rsidRPr="001035A2">
              <w:t>2014</w:t>
            </w:r>
          </w:p>
          <w:p w:rsidR="00983D41" w:rsidRPr="001035A2" w:rsidRDefault="00983D41" w:rsidP="00E30BC1"/>
        </w:tc>
        <w:tc>
          <w:tcPr>
            <w:tcW w:w="2808" w:type="dxa"/>
          </w:tcPr>
          <w:p w:rsidR="00983D41" w:rsidRPr="004475D0" w:rsidRDefault="00983D41" w:rsidP="00E30BC1">
            <w:pPr>
              <w:rPr>
                <w:i/>
                <w:sz w:val="20"/>
              </w:rPr>
            </w:pPr>
            <w:r w:rsidRPr="004475D0">
              <w:t>In progress</w:t>
            </w:r>
          </w:p>
          <w:p w:rsidR="00983D41" w:rsidRPr="004475D0" w:rsidRDefault="00277FA4" w:rsidP="00E30BC1">
            <w:pPr>
              <w:rPr>
                <w:i/>
                <w:sz w:val="20"/>
              </w:rPr>
            </w:pPr>
            <w:r>
              <w:rPr>
                <w:i/>
                <w:sz w:val="20"/>
              </w:rPr>
              <w:t xml:space="preserve">In 2015, </w:t>
            </w:r>
            <w:r w:rsidR="00E4540B">
              <w:rPr>
                <w:i/>
                <w:sz w:val="20"/>
              </w:rPr>
              <w:t xml:space="preserve">there are </w:t>
            </w:r>
            <w:r w:rsidRPr="00277FA4">
              <w:rPr>
                <w:i/>
                <w:sz w:val="20"/>
              </w:rPr>
              <w:t>32 national and international gender advisers (P4 and equivalent and above) in country offices</w:t>
            </w:r>
            <w:r w:rsidR="00E4540B">
              <w:rPr>
                <w:i/>
                <w:sz w:val="20"/>
              </w:rPr>
              <w:t xml:space="preserve"> (24%)</w:t>
            </w:r>
            <w:r w:rsidRPr="00277FA4">
              <w:rPr>
                <w:i/>
                <w:sz w:val="20"/>
              </w:rPr>
              <w:t xml:space="preserve">.  </w:t>
            </w:r>
          </w:p>
          <w:p w:rsidR="00983D41" w:rsidRDefault="00983D41" w:rsidP="00E30BC1">
            <w:pPr>
              <w:rPr>
                <w:i/>
                <w:sz w:val="20"/>
              </w:rPr>
            </w:pPr>
            <w:r w:rsidRPr="004475D0">
              <w:rPr>
                <w:i/>
                <w:sz w:val="20"/>
              </w:rPr>
              <w:t xml:space="preserve"> </w:t>
            </w:r>
            <w:r w:rsidR="00302E61" w:rsidRPr="00302E61">
              <w:rPr>
                <w:i/>
                <w:sz w:val="20"/>
              </w:rPr>
              <w:t>To compensate for the shortcomings of capacities at national level, UNDP has been promoting through the Gender Equality Seal the adoption of multidisciplinary focal teams headed by senior managers in country offices to advance gender equality and women’s empowerment</w:t>
            </w:r>
            <w:r w:rsidR="00C219EC">
              <w:rPr>
                <w:i/>
                <w:sz w:val="20"/>
              </w:rPr>
              <w:t>. 67% of COs has multidisciplinary gender focal teams led by senior management, an increase from 45% in 2014.</w:t>
            </w:r>
          </w:p>
          <w:p w:rsidR="000C2E7E" w:rsidRPr="004475D0" w:rsidRDefault="000C2E7E" w:rsidP="00E30BC1">
            <w:pPr>
              <w:rPr>
                <w:i/>
              </w:rPr>
            </w:pPr>
          </w:p>
        </w:tc>
      </w:tr>
      <w:tr w:rsidR="00983D41" w:rsidRPr="001035A2" w:rsidTr="00E30BC1">
        <w:tc>
          <w:tcPr>
            <w:tcW w:w="3047" w:type="dxa"/>
            <w:shd w:val="clear" w:color="auto" w:fill="D9D9D9" w:themeFill="background1" w:themeFillShade="D9"/>
          </w:tcPr>
          <w:p w:rsidR="00983D41" w:rsidRPr="001035A2" w:rsidRDefault="00983D41" w:rsidP="00E30BC1">
            <w:pPr>
              <w:rPr>
                <w:b/>
              </w:rPr>
            </w:pPr>
            <w:r w:rsidRPr="001035A2">
              <w:rPr>
                <w:b/>
              </w:rPr>
              <w:t>Gender Parity</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p>
        </w:tc>
      </w:tr>
      <w:tr w:rsidR="00983D41" w:rsidRPr="00695B32" w:rsidTr="00E30BC1">
        <w:tc>
          <w:tcPr>
            <w:tcW w:w="3047" w:type="dxa"/>
          </w:tcPr>
          <w:p w:rsidR="00983D41" w:rsidRPr="00695B32" w:rsidRDefault="00983D41" w:rsidP="00E30BC1">
            <w:pPr>
              <w:rPr>
                <w:rFonts w:eastAsia="Times New Roman"/>
                <w:color w:val="000000"/>
              </w:rPr>
            </w:pPr>
            <w:r w:rsidRPr="00695B32">
              <w:rPr>
                <w:rFonts w:eastAsia="Times New Roman"/>
                <w:bCs/>
                <w:iCs/>
                <w:color w:val="000000"/>
                <w:lang w:val="en-GB"/>
              </w:rPr>
              <w:t>Percentage of staff who are female:</w:t>
            </w:r>
          </w:p>
          <w:p w:rsidR="00983D41" w:rsidRPr="00695B32" w:rsidRDefault="00983D41" w:rsidP="00E30BC1">
            <w:pPr>
              <w:rPr>
                <w:rFonts w:eastAsia="Times New Roman"/>
                <w:color w:val="000000"/>
              </w:rPr>
            </w:pPr>
            <w:proofErr w:type="spellStart"/>
            <w:r w:rsidRPr="00695B32">
              <w:rPr>
                <w:rFonts w:eastAsia="Times New Roman"/>
                <w:bCs/>
                <w:iCs/>
                <w:color w:val="000000"/>
                <w:lang w:val="en-GB"/>
              </w:rPr>
              <w:lastRenderedPageBreak/>
              <w:t>i</w:t>
            </w:r>
            <w:proofErr w:type="spellEnd"/>
            <w:r w:rsidRPr="00695B32">
              <w:rPr>
                <w:rFonts w:eastAsia="Times New Roman"/>
                <w:bCs/>
                <w:iCs/>
                <w:color w:val="000000"/>
                <w:lang w:val="en-GB"/>
              </w:rPr>
              <w:t>. At all levels</w:t>
            </w:r>
          </w:p>
          <w:p w:rsidR="00983D41" w:rsidRPr="000C2E7E" w:rsidRDefault="00983D41" w:rsidP="00E30BC1">
            <w:pPr>
              <w:rPr>
                <w:rFonts w:eastAsia="Times New Roman"/>
                <w:color w:val="000000"/>
              </w:rPr>
            </w:pPr>
            <w:r w:rsidRPr="00695B32">
              <w:rPr>
                <w:rFonts w:eastAsia="Times New Roman"/>
                <w:bCs/>
                <w:iCs/>
                <w:color w:val="000000"/>
                <w:lang w:val="en-GB"/>
              </w:rPr>
              <w:t>ii. D1 and above</w:t>
            </w:r>
          </w:p>
        </w:tc>
        <w:tc>
          <w:tcPr>
            <w:tcW w:w="1689" w:type="dxa"/>
          </w:tcPr>
          <w:p w:rsidR="00983D41" w:rsidRPr="00695B32" w:rsidRDefault="00983D41" w:rsidP="00E30BC1"/>
          <w:p w:rsidR="00983D41" w:rsidRPr="00695B32" w:rsidRDefault="00983D41" w:rsidP="00E30BC1"/>
          <w:p w:rsidR="00983D41" w:rsidRPr="00695B32" w:rsidRDefault="00983D41" w:rsidP="00E30BC1">
            <w:r w:rsidRPr="00695B32">
              <w:lastRenderedPageBreak/>
              <w:t>YES</w:t>
            </w:r>
          </w:p>
        </w:tc>
        <w:tc>
          <w:tcPr>
            <w:tcW w:w="2032" w:type="dxa"/>
          </w:tcPr>
          <w:p w:rsidR="00983D41" w:rsidRDefault="00983D41" w:rsidP="00E30BC1">
            <w:r w:rsidRPr="00695B32">
              <w:lastRenderedPageBreak/>
              <w:t>2017</w:t>
            </w:r>
          </w:p>
          <w:p w:rsidR="00485B78" w:rsidRPr="00695B32" w:rsidRDefault="00485B78" w:rsidP="00E30BC1"/>
          <w:p w:rsidR="00983D41" w:rsidRPr="00695B32" w:rsidRDefault="00983D41" w:rsidP="00E30BC1">
            <w:r w:rsidRPr="00695B32">
              <w:lastRenderedPageBreak/>
              <w:t xml:space="preserve">i.42% </w:t>
            </w:r>
          </w:p>
          <w:p w:rsidR="00983D41" w:rsidRDefault="00983D41" w:rsidP="00485B78">
            <w:r w:rsidRPr="00695B32">
              <w:t xml:space="preserve">ii.48% </w:t>
            </w:r>
          </w:p>
          <w:p w:rsidR="000C2E7E" w:rsidRPr="00695B32" w:rsidRDefault="000C2E7E" w:rsidP="00485B78"/>
        </w:tc>
        <w:tc>
          <w:tcPr>
            <w:tcW w:w="2808" w:type="dxa"/>
          </w:tcPr>
          <w:p w:rsidR="00983D41" w:rsidRPr="004475D0" w:rsidRDefault="00983D41" w:rsidP="00E30BC1">
            <w:r w:rsidRPr="004475D0">
              <w:lastRenderedPageBreak/>
              <w:t>Approaching target</w:t>
            </w:r>
          </w:p>
          <w:p w:rsidR="00983D41" w:rsidRPr="004475D0" w:rsidRDefault="00D65CEA" w:rsidP="00E30BC1">
            <w:pPr>
              <w:rPr>
                <w:i/>
                <w:sz w:val="20"/>
                <w:szCs w:val="20"/>
              </w:rPr>
            </w:pPr>
            <w:proofErr w:type="spellStart"/>
            <w:r>
              <w:rPr>
                <w:i/>
                <w:sz w:val="20"/>
                <w:szCs w:val="20"/>
              </w:rPr>
              <w:t>i</w:t>
            </w:r>
            <w:proofErr w:type="spellEnd"/>
            <w:r>
              <w:rPr>
                <w:i/>
                <w:sz w:val="20"/>
                <w:szCs w:val="20"/>
              </w:rPr>
              <w:t>. At all level: 50</w:t>
            </w:r>
            <w:r w:rsidR="00983D41" w:rsidRPr="004475D0">
              <w:rPr>
                <w:i/>
                <w:sz w:val="20"/>
                <w:szCs w:val="20"/>
              </w:rPr>
              <w:t xml:space="preserve">% </w:t>
            </w:r>
          </w:p>
          <w:p w:rsidR="00983D41" w:rsidRPr="000C2E7E" w:rsidRDefault="00983D41" w:rsidP="000C2E7E">
            <w:pPr>
              <w:rPr>
                <w:i/>
                <w:sz w:val="20"/>
                <w:szCs w:val="20"/>
              </w:rPr>
            </w:pPr>
            <w:r w:rsidRPr="004475D0">
              <w:rPr>
                <w:i/>
                <w:sz w:val="20"/>
                <w:szCs w:val="20"/>
              </w:rPr>
              <w:lastRenderedPageBreak/>
              <w:t>ii.D1 and above:</w:t>
            </w:r>
            <w:r w:rsidR="000C2E7E">
              <w:rPr>
                <w:i/>
                <w:sz w:val="20"/>
                <w:szCs w:val="20"/>
              </w:rPr>
              <w:t xml:space="preserve"> 38%</w:t>
            </w:r>
          </w:p>
        </w:tc>
      </w:tr>
      <w:tr w:rsidR="00983D41" w:rsidRPr="001035A2" w:rsidTr="00E30BC1">
        <w:tc>
          <w:tcPr>
            <w:tcW w:w="3047" w:type="dxa"/>
            <w:shd w:val="clear" w:color="auto" w:fill="D9D9D9" w:themeFill="background1" w:themeFillShade="D9"/>
          </w:tcPr>
          <w:p w:rsidR="00983D41" w:rsidRPr="001035A2" w:rsidRDefault="00983D41" w:rsidP="00E30BC1">
            <w:pPr>
              <w:rPr>
                <w:b/>
              </w:rPr>
            </w:pPr>
            <w:r w:rsidRPr="001035A2">
              <w:rPr>
                <w:b/>
              </w:rPr>
              <w:lastRenderedPageBreak/>
              <w:t>Performance Incentives</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p>
        </w:tc>
      </w:tr>
      <w:tr w:rsidR="00983D41" w:rsidRPr="001035A2" w:rsidTr="00E30BC1">
        <w:tc>
          <w:tcPr>
            <w:tcW w:w="3047" w:type="dxa"/>
          </w:tcPr>
          <w:p w:rsidR="00983D41" w:rsidRPr="001035A2" w:rsidRDefault="00983D41" w:rsidP="00E30BC1">
            <w:pPr>
              <w:rPr>
                <w:b/>
              </w:rPr>
            </w:pPr>
            <w:r w:rsidRPr="001035A2">
              <w:t>The Performance Management and Development (PMD) guidelines are revised to ensure that all staff are assessed on their performance in achieving gender equality results</w:t>
            </w:r>
          </w:p>
        </w:tc>
        <w:tc>
          <w:tcPr>
            <w:tcW w:w="1689" w:type="dxa"/>
          </w:tcPr>
          <w:p w:rsidR="00983D41" w:rsidRPr="001035A2" w:rsidRDefault="00983D41" w:rsidP="00E30BC1">
            <w:r w:rsidRPr="001035A2">
              <w:t>YES</w:t>
            </w:r>
          </w:p>
        </w:tc>
        <w:tc>
          <w:tcPr>
            <w:tcW w:w="2032" w:type="dxa"/>
          </w:tcPr>
          <w:p w:rsidR="00983D41" w:rsidRPr="001035A2" w:rsidRDefault="00983D41" w:rsidP="00E30BC1">
            <w:r w:rsidRPr="001035A2">
              <w:t>Q1 2014</w:t>
            </w:r>
          </w:p>
        </w:tc>
        <w:tc>
          <w:tcPr>
            <w:tcW w:w="2808" w:type="dxa"/>
          </w:tcPr>
          <w:p w:rsidR="00983D41" w:rsidRPr="004475D0" w:rsidRDefault="00983D41" w:rsidP="00E30BC1">
            <w:r w:rsidRPr="004475D0">
              <w:t>Completed in 2015</w:t>
            </w:r>
          </w:p>
          <w:p w:rsidR="00983D41" w:rsidRPr="004475D0" w:rsidRDefault="00983D41" w:rsidP="00E30BC1">
            <w:pPr>
              <w:rPr>
                <w:i/>
                <w:sz w:val="20"/>
                <w:szCs w:val="20"/>
              </w:rPr>
            </w:pPr>
            <w:r w:rsidRPr="004475D0">
              <w:rPr>
                <w:i/>
                <w:sz w:val="20"/>
                <w:szCs w:val="20"/>
              </w:rPr>
              <w:t>Performance Management and Development (PMD) guidelines have been revised and tools developed to ensure that all staff are assessed on their performance in achieving gender equality results.</w:t>
            </w:r>
          </w:p>
        </w:tc>
      </w:tr>
      <w:tr w:rsidR="00983D41" w:rsidRPr="001035A2" w:rsidTr="00E30BC1">
        <w:tc>
          <w:tcPr>
            <w:tcW w:w="3047" w:type="dxa"/>
          </w:tcPr>
          <w:p w:rsidR="00983D41" w:rsidRPr="00385750" w:rsidRDefault="00983D41" w:rsidP="00E30BC1">
            <w:pPr>
              <w:rPr>
                <w:noProof/>
              </w:rPr>
            </w:pPr>
            <w:r w:rsidRPr="00385750">
              <w:t xml:space="preserve">Global, regional and country offices invest 10 percent of the learning budgets for gender-related learning </w:t>
            </w:r>
          </w:p>
        </w:tc>
        <w:tc>
          <w:tcPr>
            <w:tcW w:w="1689" w:type="dxa"/>
          </w:tcPr>
          <w:p w:rsidR="00983D41" w:rsidRPr="00385750" w:rsidRDefault="00983D41" w:rsidP="00E30BC1"/>
        </w:tc>
        <w:tc>
          <w:tcPr>
            <w:tcW w:w="2032" w:type="dxa"/>
          </w:tcPr>
          <w:p w:rsidR="00983D41" w:rsidRPr="00385750" w:rsidRDefault="00983D41" w:rsidP="00E30BC1">
            <w:r w:rsidRPr="00385750">
              <w:t>2015 40% of COs</w:t>
            </w:r>
          </w:p>
          <w:p w:rsidR="00983D41" w:rsidRPr="00385750" w:rsidRDefault="00983D41" w:rsidP="00E30BC1">
            <w:r w:rsidRPr="00385750">
              <w:t>2017 75% of COs</w:t>
            </w:r>
          </w:p>
          <w:p w:rsidR="00983D41" w:rsidRPr="00385750" w:rsidRDefault="00983D41" w:rsidP="00E30BC1"/>
        </w:tc>
        <w:tc>
          <w:tcPr>
            <w:tcW w:w="2808" w:type="dxa"/>
          </w:tcPr>
          <w:p w:rsidR="00983D41" w:rsidRPr="004475D0" w:rsidRDefault="0042253D" w:rsidP="00E30BC1">
            <w:r>
              <w:t xml:space="preserve">Exceeded </w:t>
            </w:r>
            <w:r w:rsidR="00983D41" w:rsidRPr="004475D0">
              <w:t>Target</w:t>
            </w:r>
          </w:p>
          <w:p w:rsidR="00983D41" w:rsidRDefault="004B71DD" w:rsidP="00E30BC1">
            <w:pPr>
              <w:rPr>
                <w:i/>
                <w:sz w:val="20"/>
                <w:szCs w:val="20"/>
              </w:rPr>
            </w:pPr>
            <w:r>
              <w:rPr>
                <w:i/>
                <w:sz w:val="20"/>
                <w:szCs w:val="20"/>
              </w:rPr>
              <w:t>2015 - 44% of COs</w:t>
            </w:r>
            <w:r w:rsidR="004E28FD">
              <w:rPr>
                <w:i/>
                <w:sz w:val="20"/>
                <w:szCs w:val="20"/>
              </w:rPr>
              <w:t xml:space="preserve"> </w:t>
            </w:r>
          </w:p>
          <w:p w:rsidR="004B71DD" w:rsidRPr="004475D0" w:rsidRDefault="004B71DD" w:rsidP="00E30BC1">
            <w:pPr>
              <w:rPr>
                <w:i/>
                <w:sz w:val="20"/>
                <w:szCs w:val="20"/>
                <w:highlight w:val="yellow"/>
              </w:rPr>
            </w:pPr>
            <w:r>
              <w:rPr>
                <w:i/>
                <w:sz w:val="20"/>
                <w:szCs w:val="20"/>
              </w:rPr>
              <w:t>2014 – 15% of COs</w:t>
            </w:r>
          </w:p>
        </w:tc>
      </w:tr>
      <w:tr w:rsidR="00983D41" w:rsidRPr="001035A2" w:rsidTr="00E30BC1">
        <w:tc>
          <w:tcPr>
            <w:tcW w:w="3047" w:type="dxa"/>
            <w:shd w:val="clear" w:color="auto" w:fill="D9D9D9" w:themeFill="background1" w:themeFillShade="D9"/>
          </w:tcPr>
          <w:p w:rsidR="00983D41" w:rsidRPr="001035A2" w:rsidRDefault="00983D41" w:rsidP="00E30BC1">
            <w:pPr>
              <w:rPr>
                <w:b/>
              </w:rPr>
            </w:pPr>
            <w:r w:rsidRPr="001035A2">
              <w:rPr>
                <w:b/>
              </w:rPr>
              <w:t>Financial resources</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p>
        </w:tc>
      </w:tr>
      <w:tr w:rsidR="00983D41" w:rsidRPr="001035A2" w:rsidTr="00E30BC1">
        <w:tc>
          <w:tcPr>
            <w:tcW w:w="3047" w:type="dxa"/>
          </w:tcPr>
          <w:p w:rsidR="00983D41" w:rsidRPr="001035A2" w:rsidRDefault="00983D41" w:rsidP="00E30BC1">
            <w:r w:rsidRPr="001035A2">
              <w:t>15% of the resources/expenditures of the organization are allocated to gender equality.</w:t>
            </w:r>
          </w:p>
        </w:tc>
        <w:tc>
          <w:tcPr>
            <w:tcW w:w="1689" w:type="dxa"/>
          </w:tcPr>
          <w:p w:rsidR="00983D41" w:rsidRPr="001035A2" w:rsidRDefault="00983D41" w:rsidP="00E30BC1">
            <w:r>
              <w:t>YES</w:t>
            </w:r>
          </w:p>
        </w:tc>
        <w:tc>
          <w:tcPr>
            <w:tcW w:w="2032" w:type="dxa"/>
          </w:tcPr>
          <w:p w:rsidR="00983D41" w:rsidRPr="001035A2" w:rsidRDefault="00983D41" w:rsidP="00E30BC1">
            <w:r w:rsidRPr="001035A2">
              <w:t>2014 8% GEN3</w:t>
            </w:r>
          </w:p>
          <w:p w:rsidR="00983D41" w:rsidRPr="001035A2" w:rsidRDefault="00983D41" w:rsidP="00E30BC1">
            <w:r w:rsidRPr="001035A2">
              <w:t>2015 11% GEN3</w:t>
            </w:r>
          </w:p>
          <w:p w:rsidR="00983D41" w:rsidRPr="001035A2" w:rsidRDefault="00983D41" w:rsidP="00E30BC1">
            <w:r w:rsidRPr="001035A2">
              <w:t>2017 15 % GEN3</w:t>
            </w:r>
          </w:p>
          <w:p w:rsidR="00983D41" w:rsidRPr="001035A2" w:rsidRDefault="00983D41" w:rsidP="00E30BC1"/>
          <w:p w:rsidR="00983D41" w:rsidRPr="001035A2" w:rsidRDefault="00983D41" w:rsidP="00E30BC1"/>
        </w:tc>
        <w:tc>
          <w:tcPr>
            <w:tcW w:w="2808" w:type="dxa"/>
          </w:tcPr>
          <w:p w:rsidR="00983D41" w:rsidRPr="004475D0" w:rsidRDefault="00983D41" w:rsidP="00E30BC1">
            <w:r w:rsidRPr="004475D0">
              <w:t>Approaching target</w:t>
            </w:r>
          </w:p>
          <w:p w:rsidR="00144390" w:rsidRDefault="00144390" w:rsidP="001F301C">
            <w:pPr>
              <w:rPr>
                <w:i/>
                <w:sz w:val="20"/>
                <w:szCs w:val="20"/>
              </w:rPr>
            </w:pPr>
            <w:r>
              <w:rPr>
                <w:i/>
                <w:sz w:val="20"/>
                <w:szCs w:val="20"/>
              </w:rPr>
              <w:t>2015 – 4% GEN3</w:t>
            </w:r>
          </w:p>
          <w:p w:rsidR="00144390" w:rsidRDefault="00144390" w:rsidP="001F301C">
            <w:pPr>
              <w:rPr>
                <w:i/>
                <w:sz w:val="20"/>
                <w:szCs w:val="20"/>
              </w:rPr>
            </w:pPr>
            <w:r>
              <w:rPr>
                <w:i/>
                <w:sz w:val="20"/>
                <w:szCs w:val="20"/>
              </w:rPr>
              <w:t>2014 – 5% GEN3</w:t>
            </w:r>
          </w:p>
          <w:p w:rsidR="00983D41" w:rsidRPr="004475D0" w:rsidRDefault="00983D41" w:rsidP="001F301C">
            <w:pPr>
              <w:rPr>
                <w:i/>
                <w:sz w:val="20"/>
                <w:szCs w:val="20"/>
              </w:rPr>
            </w:pPr>
          </w:p>
        </w:tc>
      </w:tr>
      <w:tr w:rsidR="00983D41" w:rsidRPr="001035A2" w:rsidTr="00E30BC1">
        <w:tc>
          <w:tcPr>
            <w:tcW w:w="3047" w:type="dxa"/>
          </w:tcPr>
          <w:p w:rsidR="00983D41" w:rsidRPr="001E7349" w:rsidRDefault="00983D41" w:rsidP="00E30BC1">
            <w:pPr>
              <w:rPr>
                <w:b/>
                <w:highlight w:val="lightGray"/>
              </w:rPr>
            </w:pPr>
            <w:r w:rsidRPr="00485B78">
              <w:t>Flexible Trust Fund is launched and resources mobilized</w:t>
            </w:r>
          </w:p>
        </w:tc>
        <w:tc>
          <w:tcPr>
            <w:tcW w:w="1689" w:type="dxa"/>
          </w:tcPr>
          <w:p w:rsidR="00983D41" w:rsidRPr="001E7349" w:rsidRDefault="00983D41" w:rsidP="00E30BC1">
            <w:pPr>
              <w:rPr>
                <w:highlight w:val="lightGray"/>
              </w:rPr>
            </w:pPr>
          </w:p>
        </w:tc>
        <w:tc>
          <w:tcPr>
            <w:tcW w:w="2032" w:type="dxa"/>
          </w:tcPr>
          <w:p w:rsidR="00983D41" w:rsidRPr="00485B78" w:rsidRDefault="00983D41" w:rsidP="00E30BC1">
            <w:r w:rsidRPr="00485B78">
              <w:t>2014 US$ 10 million</w:t>
            </w:r>
          </w:p>
          <w:p w:rsidR="00983D41" w:rsidRPr="00485B78" w:rsidRDefault="00983D41" w:rsidP="00E30BC1">
            <w:r w:rsidRPr="00485B78">
              <w:t>2015 US$ 25 million</w:t>
            </w:r>
          </w:p>
          <w:p w:rsidR="00983D41" w:rsidRPr="00485B78" w:rsidRDefault="00983D41" w:rsidP="00E30BC1">
            <w:r w:rsidRPr="00485B78">
              <w:t>2016 US$ 40 million</w:t>
            </w:r>
          </w:p>
          <w:p w:rsidR="00983D41" w:rsidRPr="001E7349" w:rsidRDefault="00983D41" w:rsidP="00E30BC1">
            <w:pPr>
              <w:rPr>
                <w:highlight w:val="lightGray"/>
              </w:rPr>
            </w:pPr>
            <w:r w:rsidRPr="00485B78">
              <w:t>2017 US$ 50 million</w:t>
            </w:r>
          </w:p>
        </w:tc>
        <w:tc>
          <w:tcPr>
            <w:tcW w:w="2808" w:type="dxa"/>
          </w:tcPr>
          <w:p w:rsidR="00953389" w:rsidRPr="00953389" w:rsidRDefault="00953389" w:rsidP="00E30BC1">
            <w:pPr>
              <w:rPr>
                <w:sz w:val="20"/>
                <w:szCs w:val="20"/>
              </w:rPr>
            </w:pPr>
            <w:r>
              <w:rPr>
                <w:sz w:val="20"/>
                <w:szCs w:val="20"/>
              </w:rPr>
              <w:t>In progress</w:t>
            </w:r>
          </w:p>
          <w:p w:rsidR="00983D41" w:rsidRPr="004475D0" w:rsidRDefault="00983D41" w:rsidP="00E30BC1">
            <w:pPr>
              <w:rPr>
                <w:i/>
                <w:sz w:val="20"/>
                <w:szCs w:val="20"/>
              </w:rPr>
            </w:pPr>
            <w:r w:rsidRPr="004475D0">
              <w:rPr>
                <w:i/>
                <w:sz w:val="20"/>
                <w:szCs w:val="20"/>
              </w:rPr>
              <w:t xml:space="preserve">This provision has been subsumed in the new Funding Windows architecture and in the obligation of all Trust Funds to dedicate and report against a 15% minimum allocation to gender equality and the empowerment of women components and </w:t>
            </w:r>
            <w:proofErr w:type="spellStart"/>
            <w:r w:rsidRPr="004475D0">
              <w:rPr>
                <w:i/>
                <w:sz w:val="20"/>
                <w:szCs w:val="20"/>
              </w:rPr>
              <w:t>programmes</w:t>
            </w:r>
            <w:proofErr w:type="spellEnd"/>
            <w:r w:rsidRPr="004475D0">
              <w:rPr>
                <w:i/>
                <w:sz w:val="20"/>
                <w:szCs w:val="20"/>
              </w:rPr>
              <w:t xml:space="preserve"> of what they fund.     </w:t>
            </w:r>
          </w:p>
        </w:tc>
      </w:tr>
      <w:tr w:rsidR="00983D41" w:rsidRPr="001035A2" w:rsidTr="00E30BC1">
        <w:trPr>
          <w:trHeight w:val="341"/>
        </w:trPr>
        <w:tc>
          <w:tcPr>
            <w:tcW w:w="3047" w:type="dxa"/>
            <w:shd w:val="clear" w:color="auto" w:fill="D9D9D9" w:themeFill="background1" w:themeFillShade="D9"/>
          </w:tcPr>
          <w:p w:rsidR="00983D41" w:rsidRPr="001035A2" w:rsidRDefault="00983D41" w:rsidP="00E30BC1">
            <w:pPr>
              <w:rPr>
                <w:b/>
              </w:rPr>
            </w:pPr>
            <w:r w:rsidRPr="001035A2">
              <w:rPr>
                <w:b/>
              </w:rPr>
              <w:t>Partnerships</w:t>
            </w:r>
          </w:p>
        </w:tc>
        <w:tc>
          <w:tcPr>
            <w:tcW w:w="1689" w:type="dxa"/>
            <w:shd w:val="clear" w:color="auto" w:fill="D9D9D9" w:themeFill="background1" w:themeFillShade="D9"/>
          </w:tcPr>
          <w:p w:rsidR="00983D41" w:rsidRPr="001035A2" w:rsidRDefault="00983D41" w:rsidP="00E30BC1">
            <w:pPr>
              <w:rPr>
                <w:b/>
              </w:rPr>
            </w:pPr>
            <w:r w:rsidRPr="001035A2">
              <w:rPr>
                <w:b/>
              </w:rPr>
              <w:t>SWAP Requirement</w:t>
            </w:r>
          </w:p>
        </w:tc>
        <w:tc>
          <w:tcPr>
            <w:tcW w:w="2032" w:type="dxa"/>
            <w:shd w:val="clear" w:color="auto" w:fill="D9D9D9" w:themeFill="background1" w:themeFillShade="D9"/>
          </w:tcPr>
          <w:p w:rsidR="00983D41" w:rsidRPr="001035A2" w:rsidRDefault="00983D41" w:rsidP="00E30BC1">
            <w:pPr>
              <w:rPr>
                <w:b/>
              </w:rPr>
            </w:pPr>
            <w:r w:rsidRPr="001035A2">
              <w:rPr>
                <w:b/>
              </w:rPr>
              <w:t>Timeframe</w:t>
            </w:r>
            <w:r>
              <w:rPr>
                <w:b/>
              </w:rPr>
              <w:t>/Targets</w:t>
            </w:r>
          </w:p>
        </w:tc>
        <w:tc>
          <w:tcPr>
            <w:tcW w:w="2808" w:type="dxa"/>
            <w:shd w:val="clear" w:color="auto" w:fill="D9D9D9" w:themeFill="background1" w:themeFillShade="D9"/>
          </w:tcPr>
          <w:p w:rsidR="00983D41" w:rsidRPr="004475D0" w:rsidRDefault="00983D41" w:rsidP="00E30BC1">
            <w:pPr>
              <w:rPr>
                <w:b/>
              </w:rPr>
            </w:pPr>
          </w:p>
        </w:tc>
      </w:tr>
      <w:tr w:rsidR="00983D41" w:rsidRPr="001035A2" w:rsidTr="00E30BC1">
        <w:tc>
          <w:tcPr>
            <w:tcW w:w="3047" w:type="dxa"/>
            <w:shd w:val="clear" w:color="auto" w:fill="auto"/>
          </w:tcPr>
          <w:p w:rsidR="00983D41" w:rsidRPr="001035A2" w:rsidRDefault="00983D41" w:rsidP="00E30BC1">
            <w:r w:rsidRPr="001035A2">
              <w:t>Document clarifying UN Women/UNDP complementarities and joint initiatives</w:t>
            </w:r>
          </w:p>
        </w:tc>
        <w:tc>
          <w:tcPr>
            <w:tcW w:w="1689" w:type="dxa"/>
          </w:tcPr>
          <w:p w:rsidR="00983D41" w:rsidRPr="001035A2" w:rsidRDefault="00983D41" w:rsidP="00E30BC1"/>
        </w:tc>
        <w:tc>
          <w:tcPr>
            <w:tcW w:w="2032" w:type="dxa"/>
            <w:shd w:val="clear" w:color="auto" w:fill="auto"/>
          </w:tcPr>
          <w:p w:rsidR="00983D41" w:rsidRPr="001035A2" w:rsidRDefault="00983D41" w:rsidP="00E30BC1">
            <w:pPr>
              <w:rPr>
                <w:b/>
              </w:rPr>
            </w:pPr>
            <w:r w:rsidRPr="001035A2">
              <w:t>Q1 2015</w:t>
            </w:r>
          </w:p>
        </w:tc>
        <w:tc>
          <w:tcPr>
            <w:tcW w:w="2808" w:type="dxa"/>
          </w:tcPr>
          <w:p w:rsidR="00983D41" w:rsidRPr="004475D0" w:rsidRDefault="00983D41" w:rsidP="00E30BC1">
            <w:r w:rsidRPr="004475D0">
              <w:t xml:space="preserve">Completed </w:t>
            </w:r>
          </w:p>
          <w:p w:rsidR="00983D41" w:rsidRPr="004475D0" w:rsidRDefault="00983D41" w:rsidP="00E30BC1">
            <w:pPr>
              <w:rPr>
                <w:i/>
                <w:sz w:val="20"/>
                <w:szCs w:val="20"/>
              </w:rPr>
            </w:pPr>
            <w:r w:rsidRPr="004475D0">
              <w:rPr>
                <w:i/>
                <w:sz w:val="20"/>
                <w:szCs w:val="20"/>
              </w:rPr>
              <w:t>The UNDP Gender Equality Strategy describes and clarifies complementarities and joint initiatives</w:t>
            </w:r>
          </w:p>
        </w:tc>
      </w:tr>
    </w:tbl>
    <w:p w:rsidR="00A5115D" w:rsidRDefault="00A5115D"/>
    <w:sectPr w:rsidR="00A5115D" w:rsidSect="00544739">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24" w:rsidRDefault="00832C24" w:rsidP="00982496">
      <w:r>
        <w:separator/>
      </w:r>
    </w:p>
  </w:endnote>
  <w:endnote w:type="continuationSeparator" w:id="0">
    <w:p w:rsidR="00832C24" w:rsidRDefault="00832C24" w:rsidP="0098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74813"/>
      <w:docPartObj>
        <w:docPartGallery w:val="Page Numbers (Bottom of Page)"/>
        <w:docPartUnique/>
      </w:docPartObj>
    </w:sdtPr>
    <w:sdtEndPr>
      <w:rPr>
        <w:noProof/>
      </w:rPr>
    </w:sdtEndPr>
    <w:sdtContent>
      <w:p w:rsidR="00982496" w:rsidRDefault="00982496">
        <w:pPr>
          <w:pStyle w:val="Footer"/>
          <w:jc w:val="right"/>
        </w:pPr>
        <w:r>
          <w:fldChar w:fldCharType="begin"/>
        </w:r>
        <w:r>
          <w:instrText xml:space="preserve"> PAGE   \* MERGEFORMAT </w:instrText>
        </w:r>
        <w:r>
          <w:fldChar w:fldCharType="separate"/>
        </w:r>
        <w:r w:rsidR="0099643A">
          <w:rPr>
            <w:noProof/>
          </w:rPr>
          <w:t>2</w:t>
        </w:r>
        <w:r>
          <w:rPr>
            <w:noProof/>
          </w:rPr>
          <w:fldChar w:fldCharType="end"/>
        </w:r>
      </w:p>
    </w:sdtContent>
  </w:sdt>
  <w:p w:rsidR="00982496" w:rsidRDefault="00982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24" w:rsidRDefault="00832C24" w:rsidP="00982496">
      <w:r>
        <w:separator/>
      </w:r>
    </w:p>
  </w:footnote>
  <w:footnote w:type="continuationSeparator" w:id="0">
    <w:p w:rsidR="00832C24" w:rsidRDefault="00832C24" w:rsidP="00982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34F34"/>
    <w:multiLevelType w:val="hybridMultilevel"/>
    <w:tmpl w:val="583EB5CE"/>
    <w:lvl w:ilvl="0" w:tplc="F1A88346">
      <w:start w:val="1"/>
      <w:numFmt w:val="decimal"/>
      <w:suff w:val="space"/>
      <w:lvlText w:val="%1."/>
      <w:lvlJc w:val="left"/>
      <w:pPr>
        <w:ind w:left="180" w:hanging="180"/>
      </w:pPr>
      <w:rPr>
        <w:rFonts w:ascii="Times New Roman" w:hAnsi="Times New Roman" w:cs="Times New Roman" w:hint="default"/>
        <w:b w:val="0"/>
        <w:i w:val="0"/>
        <w:sz w:val="20"/>
        <w:lang w:val="en-G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AA"/>
    <w:rsid w:val="00034610"/>
    <w:rsid w:val="00037C5A"/>
    <w:rsid w:val="00044AD9"/>
    <w:rsid w:val="00066FB9"/>
    <w:rsid w:val="0008195F"/>
    <w:rsid w:val="0008746B"/>
    <w:rsid w:val="000925F3"/>
    <w:rsid w:val="000C1261"/>
    <w:rsid w:val="000C2E7E"/>
    <w:rsid w:val="0011735A"/>
    <w:rsid w:val="00144390"/>
    <w:rsid w:val="001B69AA"/>
    <w:rsid w:val="001F301C"/>
    <w:rsid w:val="00220449"/>
    <w:rsid w:val="00277FA4"/>
    <w:rsid w:val="002D6B59"/>
    <w:rsid w:val="00302E61"/>
    <w:rsid w:val="00316D15"/>
    <w:rsid w:val="003234F2"/>
    <w:rsid w:val="0039526D"/>
    <w:rsid w:val="003B066E"/>
    <w:rsid w:val="0040655A"/>
    <w:rsid w:val="0042253D"/>
    <w:rsid w:val="00424871"/>
    <w:rsid w:val="00437F0F"/>
    <w:rsid w:val="004475D0"/>
    <w:rsid w:val="00460C79"/>
    <w:rsid w:val="00485B78"/>
    <w:rsid w:val="004B71DD"/>
    <w:rsid w:val="004E28FD"/>
    <w:rsid w:val="00515C52"/>
    <w:rsid w:val="00525F98"/>
    <w:rsid w:val="00544739"/>
    <w:rsid w:val="00554A62"/>
    <w:rsid w:val="005561D6"/>
    <w:rsid w:val="005C4951"/>
    <w:rsid w:val="006316C8"/>
    <w:rsid w:val="006B7DFD"/>
    <w:rsid w:val="00790A7A"/>
    <w:rsid w:val="007E7827"/>
    <w:rsid w:val="00832C24"/>
    <w:rsid w:val="009131ED"/>
    <w:rsid w:val="00953389"/>
    <w:rsid w:val="00982496"/>
    <w:rsid w:val="00983D41"/>
    <w:rsid w:val="0099643A"/>
    <w:rsid w:val="009C4FD9"/>
    <w:rsid w:val="009F6EA1"/>
    <w:rsid w:val="00A118AD"/>
    <w:rsid w:val="00A35415"/>
    <w:rsid w:val="00A5115D"/>
    <w:rsid w:val="00A626D6"/>
    <w:rsid w:val="00B16ED2"/>
    <w:rsid w:val="00B30AF5"/>
    <w:rsid w:val="00B9176A"/>
    <w:rsid w:val="00BA411A"/>
    <w:rsid w:val="00C1463C"/>
    <w:rsid w:val="00C219EC"/>
    <w:rsid w:val="00C933BD"/>
    <w:rsid w:val="00CD40B0"/>
    <w:rsid w:val="00D4758A"/>
    <w:rsid w:val="00D65CEA"/>
    <w:rsid w:val="00DE4120"/>
    <w:rsid w:val="00E01CB4"/>
    <w:rsid w:val="00E4540B"/>
    <w:rsid w:val="00E76030"/>
    <w:rsid w:val="00E84C4F"/>
    <w:rsid w:val="00E9462F"/>
    <w:rsid w:val="00F1544E"/>
    <w:rsid w:val="00F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AD92B-BC7F-4E6B-A2FE-6CD7934A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983D41"/>
    <w:pPr>
      <w:spacing w:after="200" w:line="276" w:lineRule="auto"/>
      <w:ind w:left="720"/>
      <w:contextualSpacing/>
    </w:pPr>
    <w:rPr>
      <w:rFonts w:eastAsia="Calibri"/>
      <w:lang w:val="en-GB"/>
    </w:rPr>
  </w:style>
  <w:style w:type="paragraph" w:styleId="BalloonText">
    <w:name w:val="Balloon Text"/>
    <w:basedOn w:val="Normal"/>
    <w:link w:val="BalloonTextChar"/>
    <w:uiPriority w:val="99"/>
    <w:semiHidden/>
    <w:unhideWhenUsed/>
    <w:rsid w:val="00A11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AD"/>
    <w:rPr>
      <w:rFonts w:ascii="Segoe UI" w:hAnsi="Segoe UI" w:cs="Segoe UI"/>
      <w:sz w:val="18"/>
      <w:szCs w:val="18"/>
    </w:rPr>
  </w:style>
  <w:style w:type="paragraph" w:styleId="Header">
    <w:name w:val="header"/>
    <w:basedOn w:val="Normal"/>
    <w:link w:val="HeaderChar"/>
    <w:uiPriority w:val="99"/>
    <w:unhideWhenUsed/>
    <w:rsid w:val="00982496"/>
    <w:pPr>
      <w:tabs>
        <w:tab w:val="center" w:pos="4680"/>
        <w:tab w:val="right" w:pos="9360"/>
      </w:tabs>
    </w:pPr>
  </w:style>
  <w:style w:type="character" w:customStyle="1" w:styleId="HeaderChar">
    <w:name w:val="Header Char"/>
    <w:basedOn w:val="DefaultParagraphFont"/>
    <w:link w:val="Header"/>
    <w:uiPriority w:val="99"/>
    <w:rsid w:val="00982496"/>
    <w:rPr>
      <w:rFonts w:ascii="Calibri" w:hAnsi="Calibri" w:cs="Times New Roman"/>
    </w:rPr>
  </w:style>
  <w:style w:type="paragraph" w:styleId="Footer">
    <w:name w:val="footer"/>
    <w:basedOn w:val="Normal"/>
    <w:link w:val="FooterChar"/>
    <w:uiPriority w:val="99"/>
    <w:unhideWhenUsed/>
    <w:rsid w:val="00982496"/>
    <w:pPr>
      <w:tabs>
        <w:tab w:val="center" w:pos="4680"/>
        <w:tab w:val="right" w:pos="9360"/>
      </w:tabs>
    </w:pPr>
  </w:style>
  <w:style w:type="character" w:customStyle="1" w:styleId="FooterChar">
    <w:name w:val="Footer Char"/>
    <w:basedOn w:val="DefaultParagraphFont"/>
    <w:link w:val="Footer"/>
    <w:uiPriority w:val="99"/>
    <w:rsid w:val="00982496"/>
    <w:rPr>
      <w:rFonts w:ascii="Calibri" w:hAnsi="Calibri" w:cs="Times New Roman"/>
    </w:rPr>
  </w:style>
  <w:style w:type="character" w:styleId="CommentReference">
    <w:name w:val="annotation reference"/>
    <w:basedOn w:val="DefaultParagraphFont"/>
    <w:uiPriority w:val="99"/>
    <w:semiHidden/>
    <w:unhideWhenUsed/>
    <w:rsid w:val="0008746B"/>
    <w:rPr>
      <w:sz w:val="16"/>
      <w:szCs w:val="16"/>
    </w:rPr>
  </w:style>
  <w:style w:type="paragraph" w:styleId="CommentText">
    <w:name w:val="annotation text"/>
    <w:basedOn w:val="Normal"/>
    <w:link w:val="CommentTextChar"/>
    <w:uiPriority w:val="99"/>
    <w:semiHidden/>
    <w:unhideWhenUsed/>
    <w:rsid w:val="0008746B"/>
    <w:rPr>
      <w:sz w:val="20"/>
      <w:szCs w:val="20"/>
    </w:rPr>
  </w:style>
  <w:style w:type="character" w:customStyle="1" w:styleId="CommentTextChar">
    <w:name w:val="Comment Text Char"/>
    <w:basedOn w:val="DefaultParagraphFont"/>
    <w:link w:val="CommentText"/>
    <w:uiPriority w:val="99"/>
    <w:semiHidden/>
    <w:rsid w:val="0008746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746B"/>
    <w:rPr>
      <w:b/>
      <w:bCs/>
    </w:rPr>
  </w:style>
  <w:style w:type="character" w:customStyle="1" w:styleId="CommentSubjectChar">
    <w:name w:val="Comment Subject Char"/>
    <w:basedOn w:val="CommentTextChar"/>
    <w:link w:val="CommentSubject"/>
    <w:uiPriority w:val="99"/>
    <w:semiHidden/>
    <w:rsid w:val="0008746B"/>
    <w:rPr>
      <w:rFonts w:ascii="Calibri" w:hAnsi="Calibri" w:cs="Times New Roman"/>
      <w:b/>
      <w:bCs/>
      <w:sz w:val="20"/>
      <w:szCs w:val="20"/>
    </w:rPr>
  </w:style>
  <w:style w:type="paragraph" w:styleId="Revision">
    <w:name w:val="Revision"/>
    <w:hidden/>
    <w:uiPriority w:val="99"/>
    <w:semiHidden/>
    <w:rsid w:val="0008746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 Ngu</dc:creator>
  <cp:lastModifiedBy>Svetlana Iazykova</cp:lastModifiedBy>
  <cp:revision>3</cp:revision>
  <cp:lastPrinted>2016-05-02T15:00:00Z</cp:lastPrinted>
  <dcterms:created xsi:type="dcterms:W3CDTF">2016-05-19T15:36:00Z</dcterms:created>
  <dcterms:modified xsi:type="dcterms:W3CDTF">2016-05-19T15:37:00Z</dcterms:modified>
</cp:coreProperties>
</file>