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682D7" w14:textId="77777777" w:rsidR="005C6168" w:rsidRPr="006A4AA5" w:rsidRDefault="005C6168" w:rsidP="00CB4203">
      <w:pPr>
        <w:pStyle w:val="Heading3"/>
        <w:jc w:val="left"/>
        <w:rPr>
          <w:rFonts w:ascii="Times New Roman" w:hAnsi="Times New Roman"/>
        </w:rPr>
      </w:pPr>
      <w:bookmarkStart w:id="0" w:name="_GoBack"/>
      <w:bookmarkEnd w:id="0"/>
      <w:r w:rsidRPr="006A4AA5">
        <w:rPr>
          <w:rFonts w:ascii="Times New Roman" w:hAnsi="Times New Roman"/>
        </w:rPr>
        <w:t>Country:</w:t>
      </w:r>
      <w:r w:rsidRPr="006A4AA5">
        <w:rPr>
          <w:rFonts w:ascii="Times New Roman" w:hAnsi="Times New Roman"/>
        </w:rPr>
        <w:tab/>
      </w:r>
      <w:r w:rsidRPr="006A4AA5">
        <w:rPr>
          <w:rFonts w:ascii="Times New Roman" w:hAnsi="Times New Roman"/>
        </w:rPr>
        <w:tab/>
      </w:r>
      <w:r w:rsidR="0089573E" w:rsidRPr="006A4AA5">
        <w:rPr>
          <w:rFonts w:ascii="Times New Roman" w:hAnsi="Times New Roman"/>
        </w:rPr>
        <w:t>Kazakhstan</w:t>
      </w:r>
      <w:r w:rsidR="0089573E" w:rsidRPr="006A4AA5">
        <w:rPr>
          <w:rFonts w:ascii="Times New Roman" w:hAnsi="Times New Roman"/>
        </w:rPr>
        <w:tab/>
      </w:r>
    </w:p>
    <w:p w14:paraId="1B765F5A" w14:textId="77777777" w:rsidR="005C6168" w:rsidRPr="006A4AA5" w:rsidRDefault="005C6168" w:rsidP="00CB4203">
      <w:pPr>
        <w:pStyle w:val="Heading3"/>
        <w:rPr>
          <w:rFonts w:ascii="Times New Roman" w:hAnsi="Times New Roman"/>
        </w:rPr>
      </w:pPr>
    </w:p>
    <w:p w14:paraId="2734D33E" w14:textId="77777777" w:rsidR="005C6168" w:rsidRPr="006A4AA5" w:rsidRDefault="00BC38E0" w:rsidP="00CB4203">
      <w:pPr>
        <w:pStyle w:val="Heading3"/>
        <w:rPr>
          <w:rFonts w:ascii="Times New Roman" w:hAnsi="Times New Roman"/>
          <w:b/>
          <w:bCs w:val="0"/>
        </w:rPr>
      </w:pPr>
      <w:r w:rsidRPr="006A4AA5">
        <w:rPr>
          <w:rFonts w:ascii="Times New Roman" w:hAnsi="Times New Roman"/>
          <w:b/>
          <w:bCs w:val="0"/>
        </w:rPr>
        <w:t>COUNTRY PROGRAMME</w:t>
      </w:r>
      <w:r w:rsidR="00B32ADA" w:rsidRPr="006A4AA5">
        <w:rPr>
          <w:rFonts w:ascii="Times New Roman" w:hAnsi="Times New Roman"/>
          <w:b/>
          <w:bCs w:val="0"/>
        </w:rPr>
        <w:t xml:space="preserve"> PERFORMANCE SUMMARY</w:t>
      </w:r>
    </w:p>
    <w:p w14:paraId="3098B94E" w14:textId="77777777" w:rsidR="005C6168" w:rsidRPr="006A4AA5" w:rsidRDefault="005C6168" w:rsidP="00CB4203">
      <w:pPr>
        <w:pStyle w:val="Heading3"/>
        <w:rPr>
          <w:rFonts w:ascii="Times New Roman" w:hAnsi="Times New Roman"/>
          <w:b/>
        </w:rPr>
      </w:pPr>
    </w:p>
    <w:p w14:paraId="6E09BF9F" w14:textId="77777777" w:rsidR="005C6168" w:rsidRPr="006A4AA5" w:rsidRDefault="006A4AA5" w:rsidP="00CB4203">
      <w:pPr>
        <w:pStyle w:val="Heading3"/>
        <w:jc w:val="left"/>
        <w:rPr>
          <w:rFonts w:ascii="Times New Roman" w:hAnsi="Times New Roman"/>
        </w:rPr>
      </w:pPr>
      <w:r>
        <w:rPr>
          <w:rFonts w:ascii="Times New Roman" w:hAnsi="Times New Roman"/>
        </w:rPr>
        <w:t>Reporting period:  2010-2014</w:t>
      </w:r>
    </w:p>
    <w:p w14:paraId="0709323F" w14:textId="77777777" w:rsidR="005C6168" w:rsidRPr="006A4AA5" w:rsidRDefault="005C6168" w:rsidP="00CB4203">
      <w:pPr>
        <w:pStyle w:val="Heading3"/>
        <w:rPr>
          <w:rFonts w:ascii="Times New Roman" w:hAnsi="Times New Roman"/>
        </w:rPr>
      </w:pPr>
    </w:p>
    <w:p w14:paraId="06D95B8E" w14:textId="77777777" w:rsidR="005C6168" w:rsidRPr="006A4AA5" w:rsidRDefault="005C6168" w:rsidP="00CB4203"/>
    <w:p w14:paraId="5B9A00B2" w14:textId="77777777" w:rsidR="005C6168" w:rsidRPr="006A4AA5" w:rsidRDefault="005C6168" w:rsidP="00CB4203">
      <w:pPr>
        <w:pStyle w:val="Heading3"/>
        <w:rPr>
          <w:rFonts w:ascii="Times New Roman" w:hAnsi="Times New Roman"/>
          <w:b/>
          <w:bCs w:val="0"/>
        </w:rPr>
      </w:pPr>
      <w:r w:rsidRPr="006A4AA5">
        <w:rPr>
          <w:rFonts w:ascii="Times New Roman" w:hAnsi="Times New Roman"/>
          <w:b/>
          <w:bCs w:val="0"/>
        </w:rPr>
        <w:t xml:space="preserve">I.  </w:t>
      </w:r>
      <w:r w:rsidR="0064746F" w:rsidRPr="006A4AA5">
        <w:rPr>
          <w:rFonts w:ascii="Times New Roman" w:hAnsi="Times New Roman"/>
          <w:b/>
          <w:bCs w:val="0"/>
        </w:rPr>
        <w:t>EXECUTIVE SUMMARY</w:t>
      </w:r>
      <w:r w:rsidR="0089573E" w:rsidRPr="006A4AA5">
        <w:rPr>
          <w:rFonts w:ascii="Times New Roman" w:hAnsi="Times New Roman"/>
          <w:b/>
          <w:bCs w:val="0"/>
        </w:rPr>
        <w:t xml:space="preserve"> </w:t>
      </w:r>
    </w:p>
    <w:p w14:paraId="7E6CF0E3" w14:textId="77777777" w:rsidR="007813C4" w:rsidRDefault="007813C4" w:rsidP="00CB4203">
      <w:pPr>
        <w:pStyle w:val="BodyText"/>
        <w:rPr>
          <w:rFonts w:ascii="Times New Roman" w:hAnsi="Times New Roman"/>
          <w:sz w:val="20"/>
        </w:rPr>
      </w:pPr>
    </w:p>
    <w:p w14:paraId="346226D8" w14:textId="77777777" w:rsidR="007813C4" w:rsidRDefault="0089573E" w:rsidP="00D40E6F">
      <w:pPr>
        <w:pStyle w:val="BodyText"/>
        <w:jc w:val="both"/>
        <w:rPr>
          <w:rFonts w:ascii="Times New Roman" w:hAnsi="Times New Roman"/>
          <w:sz w:val="20"/>
        </w:rPr>
      </w:pPr>
      <w:r>
        <w:rPr>
          <w:rFonts w:ascii="Times New Roman" w:hAnsi="Times New Roman"/>
          <w:sz w:val="20"/>
        </w:rPr>
        <w:t xml:space="preserve">The UNDP County Programme </w:t>
      </w:r>
      <w:r w:rsidR="00ED0C4F">
        <w:rPr>
          <w:rFonts w:ascii="Times New Roman" w:hAnsi="Times New Roman"/>
          <w:sz w:val="20"/>
        </w:rPr>
        <w:t xml:space="preserve">for Kazakhstan for 2010-2015 </w:t>
      </w:r>
      <w:r>
        <w:rPr>
          <w:rFonts w:ascii="Times New Roman" w:hAnsi="Times New Roman"/>
          <w:sz w:val="20"/>
        </w:rPr>
        <w:t xml:space="preserve">was </w:t>
      </w:r>
      <w:r w:rsidR="00ED0C4F">
        <w:rPr>
          <w:rFonts w:ascii="Times New Roman" w:hAnsi="Times New Roman"/>
          <w:sz w:val="20"/>
        </w:rPr>
        <w:t>adopted</w:t>
      </w:r>
      <w:r>
        <w:rPr>
          <w:rFonts w:ascii="Times New Roman" w:hAnsi="Times New Roman"/>
          <w:sz w:val="20"/>
        </w:rPr>
        <w:t xml:space="preserve"> by the UNDP Executive Board in 2009</w:t>
      </w:r>
      <w:r w:rsidR="00AF17F3">
        <w:rPr>
          <w:rFonts w:ascii="Times New Roman" w:hAnsi="Times New Roman"/>
          <w:sz w:val="20"/>
        </w:rPr>
        <w:t xml:space="preserve"> and includes two pillars: </w:t>
      </w:r>
      <w:r w:rsidR="00AF17F3" w:rsidRPr="00AF17F3">
        <w:rPr>
          <w:rFonts w:ascii="Times New Roman" w:hAnsi="Times New Roman"/>
          <w:sz w:val="20"/>
        </w:rPr>
        <w:t>Socio-Economic Moder</w:t>
      </w:r>
      <w:r w:rsidR="00AF17F3">
        <w:rPr>
          <w:rFonts w:ascii="Times New Roman" w:hAnsi="Times New Roman"/>
          <w:sz w:val="20"/>
        </w:rPr>
        <w:t xml:space="preserve">nization and Human Development </w:t>
      </w:r>
      <w:r w:rsidR="00AF17F3" w:rsidRPr="00AF17F3">
        <w:rPr>
          <w:rFonts w:ascii="Times New Roman" w:hAnsi="Times New Roman"/>
          <w:sz w:val="20"/>
        </w:rPr>
        <w:t>and the International Pillar.</w:t>
      </w:r>
      <w:r w:rsidR="00AF17F3">
        <w:rPr>
          <w:rFonts w:ascii="Times New Roman" w:hAnsi="Times New Roman"/>
          <w:sz w:val="20"/>
        </w:rPr>
        <w:t xml:space="preserve"> </w:t>
      </w:r>
      <w:r w:rsidR="00ED0C4F" w:rsidRPr="00ED0C4F">
        <w:rPr>
          <w:rFonts w:ascii="Times New Roman" w:hAnsi="Times New Roman"/>
          <w:sz w:val="20"/>
        </w:rPr>
        <w:t xml:space="preserve">The UNDP Country Programme 2010-2015 for </w:t>
      </w:r>
      <w:r w:rsidR="00EA75C6">
        <w:rPr>
          <w:rFonts w:ascii="Times New Roman" w:hAnsi="Times New Roman"/>
          <w:sz w:val="20"/>
        </w:rPr>
        <w:t>Kazakhstan</w:t>
      </w:r>
      <w:r w:rsidR="00ED0C4F" w:rsidRPr="00ED0C4F">
        <w:rPr>
          <w:rFonts w:ascii="Times New Roman" w:hAnsi="Times New Roman"/>
          <w:sz w:val="20"/>
        </w:rPr>
        <w:t xml:space="preserve"> was developed and implemented in close partnership with the Government and civil society of </w:t>
      </w:r>
      <w:r w:rsidR="00EA75C6">
        <w:rPr>
          <w:rFonts w:ascii="Times New Roman" w:hAnsi="Times New Roman"/>
          <w:sz w:val="20"/>
        </w:rPr>
        <w:t>Kazakhstan</w:t>
      </w:r>
      <w:r w:rsidR="00ED0C4F" w:rsidRPr="00ED0C4F">
        <w:rPr>
          <w:rFonts w:ascii="Times New Roman" w:hAnsi="Times New Roman"/>
          <w:sz w:val="20"/>
        </w:rPr>
        <w:t xml:space="preserve"> as well as UNDP’s international partners and donors.  </w:t>
      </w:r>
    </w:p>
    <w:p w14:paraId="20AC251E" w14:textId="77777777" w:rsidR="007813C4" w:rsidRDefault="007813C4" w:rsidP="00D40E6F">
      <w:pPr>
        <w:pStyle w:val="BodyText"/>
        <w:jc w:val="both"/>
        <w:rPr>
          <w:rFonts w:ascii="Times New Roman" w:hAnsi="Times New Roman"/>
          <w:sz w:val="20"/>
        </w:rPr>
      </w:pPr>
    </w:p>
    <w:p w14:paraId="3E1989A7" w14:textId="3478FDC4" w:rsidR="0089573E" w:rsidRPr="00BA26AD" w:rsidRDefault="00ED0C4F" w:rsidP="00D40E6F">
      <w:pPr>
        <w:pStyle w:val="BodyText"/>
        <w:jc w:val="both"/>
        <w:rPr>
          <w:rFonts w:ascii="Times New Roman" w:hAnsi="Times New Roman"/>
          <w:sz w:val="20"/>
        </w:rPr>
      </w:pPr>
      <w:r w:rsidRPr="00ED0C4F">
        <w:rPr>
          <w:rFonts w:ascii="Times New Roman" w:hAnsi="Times New Roman"/>
          <w:sz w:val="20"/>
        </w:rPr>
        <w:t xml:space="preserve">As reflected in the </w:t>
      </w:r>
      <w:r w:rsidR="00D16577">
        <w:rPr>
          <w:rFonts w:ascii="Times New Roman" w:hAnsi="Times New Roman"/>
          <w:sz w:val="20"/>
        </w:rPr>
        <w:t>outcome and project</w:t>
      </w:r>
      <w:r w:rsidRPr="00ED0C4F">
        <w:rPr>
          <w:rFonts w:ascii="Times New Roman" w:hAnsi="Times New Roman"/>
          <w:sz w:val="20"/>
        </w:rPr>
        <w:t xml:space="preserve"> evaluation</w:t>
      </w:r>
      <w:r w:rsidR="00D16577">
        <w:rPr>
          <w:rFonts w:ascii="Times New Roman" w:hAnsi="Times New Roman"/>
          <w:sz w:val="20"/>
        </w:rPr>
        <w:t>s and UNDP m</w:t>
      </w:r>
      <w:r w:rsidRPr="00ED0C4F">
        <w:rPr>
          <w:rFonts w:ascii="Times New Roman" w:hAnsi="Times New Roman"/>
          <w:sz w:val="20"/>
        </w:rPr>
        <w:t xml:space="preserve">onitoring and reports, during the period under review, the Country Programme has made an important contribution to the national development priorities in </w:t>
      </w:r>
      <w:r w:rsidR="00D16577">
        <w:rPr>
          <w:rFonts w:ascii="Times New Roman" w:hAnsi="Times New Roman"/>
          <w:sz w:val="20"/>
        </w:rPr>
        <w:t>Kazakhstan</w:t>
      </w:r>
      <w:r w:rsidR="00520E30">
        <w:rPr>
          <w:rFonts w:ascii="Times New Roman" w:hAnsi="Times New Roman"/>
          <w:sz w:val="20"/>
        </w:rPr>
        <w:t xml:space="preserve">. </w:t>
      </w:r>
      <w:r w:rsidR="00520E30" w:rsidRPr="00520E30">
        <w:rPr>
          <w:rFonts w:ascii="Times New Roman" w:hAnsi="Times New Roman"/>
          <w:sz w:val="20"/>
        </w:rPr>
        <w:t>National partners acknowledge significant contributions UNDP has made towards supporting Kazakhstan’s efforts in a) equitable development at local level; b) preserving biodiversity and promoting sustainable natural resources management; c) good governance and access to justice; and d) promoting regional cooperation.</w:t>
      </w:r>
    </w:p>
    <w:p w14:paraId="74C28F1A" w14:textId="77777777" w:rsidR="0089573E" w:rsidRPr="00BA26AD" w:rsidRDefault="0089573E" w:rsidP="00CB4203">
      <w:pPr>
        <w:pStyle w:val="BodyText"/>
        <w:rPr>
          <w:rFonts w:ascii="Times New Roman" w:hAnsi="Times New Roman"/>
          <w:sz w:val="20"/>
        </w:rPr>
      </w:pPr>
    </w:p>
    <w:p w14:paraId="7099CCB5" w14:textId="795FBA66" w:rsidR="00106F9F" w:rsidRPr="00106F9F" w:rsidRDefault="00106F9F" w:rsidP="00106F9F">
      <w:pPr>
        <w:spacing w:after="120"/>
        <w:ind w:right="27"/>
        <w:jc w:val="both"/>
        <w:rPr>
          <w:color w:val="000000"/>
          <w:sz w:val="20"/>
        </w:rPr>
      </w:pPr>
      <w:r w:rsidRPr="00106F9F">
        <w:rPr>
          <w:color w:val="000000"/>
          <w:sz w:val="20"/>
        </w:rPr>
        <w:t xml:space="preserve">In the area of local development and reducing inequalities, the joint UN programme in the East Kazakhstan region (one of the least developed regions in the country) is widely recognized </w:t>
      </w:r>
      <w:r w:rsidR="00280274">
        <w:rPr>
          <w:color w:val="000000"/>
          <w:sz w:val="20"/>
        </w:rPr>
        <w:t xml:space="preserve">by the development partners </w:t>
      </w:r>
      <w:r w:rsidRPr="00106F9F">
        <w:rPr>
          <w:color w:val="000000"/>
          <w:sz w:val="20"/>
        </w:rPr>
        <w:t>as demonstrating the value of the joint UN-Government approach to scale up social and economic services to the most vulnerable groups, such as the Kazakh repatriates-</w:t>
      </w:r>
      <w:r w:rsidRPr="00106F9F">
        <w:rPr>
          <w:i/>
          <w:color w:val="000000"/>
          <w:sz w:val="20"/>
        </w:rPr>
        <w:t>oralmans</w:t>
      </w:r>
      <w:r w:rsidRPr="00106F9F">
        <w:rPr>
          <w:color w:val="000000"/>
          <w:sz w:val="20"/>
        </w:rPr>
        <w:t>,</w:t>
      </w:r>
      <w:r w:rsidR="000E2BEA">
        <w:rPr>
          <w:rStyle w:val="FootnoteReference"/>
          <w:color w:val="000000"/>
          <w:sz w:val="20"/>
        </w:rPr>
        <w:footnoteReference w:id="2"/>
      </w:r>
      <w:r w:rsidRPr="00106F9F">
        <w:rPr>
          <w:color w:val="000000"/>
          <w:sz w:val="20"/>
        </w:rPr>
        <w:t xml:space="preserve"> people with disabilities and under-employed youth, women and men. Based on this experience, in 2013, the Governme</w:t>
      </w:r>
      <w:r w:rsidR="00B70C40">
        <w:rPr>
          <w:color w:val="000000"/>
          <w:sz w:val="20"/>
        </w:rPr>
        <w:t>nt has allocated additional $</w:t>
      </w:r>
      <w:r w:rsidRPr="00106F9F">
        <w:rPr>
          <w:color w:val="000000"/>
          <w:sz w:val="20"/>
        </w:rPr>
        <w:t xml:space="preserve">6 million to UNDP to launch joint programmes in Kyzylorda and Mangystau regions. The three local development programmes have demonstrated UNDP’s ability to advise the Government, and support the implementation of the </w:t>
      </w:r>
      <w:r w:rsidRPr="00106F9F">
        <w:rPr>
          <w:i/>
          <w:color w:val="000000"/>
          <w:sz w:val="20"/>
        </w:rPr>
        <w:t>Nurly Zhol</w:t>
      </w:r>
      <w:r w:rsidR="002F279A">
        <w:rPr>
          <w:rStyle w:val="FootnoteReference"/>
          <w:i/>
          <w:color w:val="000000"/>
          <w:sz w:val="20"/>
        </w:rPr>
        <w:footnoteReference w:id="3"/>
      </w:r>
      <w:r w:rsidRPr="00106F9F">
        <w:rPr>
          <w:color w:val="000000"/>
          <w:sz w:val="20"/>
        </w:rPr>
        <w:t xml:space="preserve"> policy, as well as other national policies such as the national Road Map for Employment (2011-2020</w:t>
      </w:r>
      <w:r w:rsidR="00364C8E">
        <w:rPr>
          <w:color w:val="000000"/>
          <w:sz w:val="20"/>
        </w:rPr>
        <w:t>)</w:t>
      </w:r>
      <w:r w:rsidRPr="00106F9F">
        <w:rPr>
          <w:color w:val="000000"/>
          <w:sz w:val="20"/>
        </w:rPr>
        <w:t xml:space="preserve"> and the National Programme on Development for Regions (2014-2020).</w:t>
      </w:r>
    </w:p>
    <w:p w14:paraId="574F3A62" w14:textId="77777777" w:rsidR="00BA26AD" w:rsidRPr="00BA26AD" w:rsidRDefault="00BA26AD" w:rsidP="00BA26AD">
      <w:pPr>
        <w:jc w:val="both"/>
        <w:rPr>
          <w:sz w:val="20"/>
        </w:rPr>
      </w:pPr>
    </w:p>
    <w:p w14:paraId="157F9A8B" w14:textId="33759974" w:rsidR="00E770DC" w:rsidRPr="00BA26AD" w:rsidRDefault="00106F9F" w:rsidP="00A03C0E">
      <w:pPr>
        <w:jc w:val="both"/>
        <w:rPr>
          <w:sz w:val="20"/>
        </w:rPr>
      </w:pPr>
      <w:r w:rsidRPr="00106F9F">
        <w:rPr>
          <w:sz w:val="20"/>
        </w:rPr>
        <w:t>UNDP is recognized by national and local partners as being at the forefront of promoting energy efficient technologies and sustainable transport solutions, through demonstration projects in energy efficient housing, modern lighting, and ‘green’ public transport options</w:t>
      </w:r>
      <w:r>
        <w:rPr>
          <w:sz w:val="20"/>
        </w:rPr>
        <w:t>.</w:t>
      </w:r>
      <w:r w:rsidRPr="00106F9F">
        <w:rPr>
          <w:color w:val="000000"/>
        </w:rPr>
        <w:t xml:space="preserve"> </w:t>
      </w:r>
      <w:r w:rsidRPr="00106F9F">
        <w:rPr>
          <w:sz w:val="20"/>
        </w:rPr>
        <w:t>In the area of natural resource management, the outcome evaluation conducted in 2013 recognizes UNDP’s success in advancing the country’s policies and practices in conserving biodiversity, combatting land degradation, and introducing climate change adaptation in the agriculture sector</w:t>
      </w:r>
      <w:r>
        <w:rPr>
          <w:sz w:val="20"/>
        </w:rPr>
        <w:t xml:space="preserve">.  </w:t>
      </w:r>
      <w:r w:rsidR="0089573E" w:rsidRPr="00BA26AD">
        <w:rPr>
          <w:sz w:val="20"/>
        </w:rPr>
        <w:t>In the area of good governance, UNDP has succeeded in introducing a system of public hearing</w:t>
      </w:r>
      <w:r w:rsidR="003F5933">
        <w:rPr>
          <w:sz w:val="20"/>
        </w:rPr>
        <w:t>s</w:t>
      </w:r>
      <w:r w:rsidR="0089573E" w:rsidRPr="00BA26AD">
        <w:rPr>
          <w:sz w:val="20"/>
        </w:rPr>
        <w:t xml:space="preserve"> and dialogue at a village level as a platform for meaningfully involving citizen in the decision-making processes. This mechanism has been adopted by the Government’s strategy on territorial development to be replicated in all regions of the country. Access to justice has been one of the main areas of UNDP work: alternative dispute resolution mechanisms such as mediation, piloted by UNDP at local levels, have been integrated into the new Civil Code of the country. As the culmination of the three years of efforts by UNDP, Kazakhstan adopted an enabling legislation to establish the Official Development Assistance (ODA) system. UNDP has worked with the Agency for Civil Service Affairs during 2011-2013 to introduce a new model of civil service reforms in the country. As a result of this joint endeavor, in 2013 the Regional Hub for Civil Service in Astana was established as a platform to exchange knowledge and best practices in civil service reform among Kazakhstan and other countries in the region.</w:t>
      </w:r>
    </w:p>
    <w:p w14:paraId="2B8634F7" w14:textId="77777777" w:rsidR="00520E30" w:rsidRDefault="00520E30" w:rsidP="00C0165A">
      <w:pPr>
        <w:jc w:val="both"/>
      </w:pPr>
    </w:p>
    <w:p w14:paraId="771C2C0E" w14:textId="0E64E746" w:rsidR="00520E30" w:rsidRPr="00106F9F" w:rsidRDefault="00520E30" w:rsidP="00520E30">
      <w:pPr>
        <w:tabs>
          <w:tab w:val="left" w:pos="7740"/>
        </w:tabs>
        <w:spacing w:after="120"/>
        <w:jc w:val="both"/>
        <w:rPr>
          <w:sz w:val="20"/>
        </w:rPr>
      </w:pPr>
      <w:r w:rsidRPr="00106F9F">
        <w:rPr>
          <w:sz w:val="20"/>
        </w:rPr>
        <w:t xml:space="preserve">During this cycle, UNDP has emerged as a ‘partner of choice’ in supporting the Government in many of its development priorities, ranging from civil service reform to positioning itself as a regional convener/facilitator. This is evident from the fact that the number of government costs-shared projects has been increasing steadily during the past five years. </w:t>
      </w:r>
      <w:r w:rsidR="0017025C" w:rsidRPr="0017025C">
        <w:rPr>
          <w:sz w:val="20"/>
        </w:rPr>
        <w:t>The share of government cost-sharing to development projects implemented by UNDP in Kazakhstan constituted over 50% of annual budgets for 2015</w:t>
      </w:r>
      <w:r w:rsidRPr="00106F9F">
        <w:rPr>
          <w:sz w:val="20"/>
        </w:rPr>
        <w:t xml:space="preserve">, compared to only 4% at the beginning of the </w:t>
      </w:r>
      <w:r w:rsidRPr="00106F9F">
        <w:rPr>
          <w:sz w:val="20"/>
        </w:rPr>
        <w:lastRenderedPageBreak/>
        <w:t xml:space="preserve">CPD cycle in 2010. </w:t>
      </w:r>
    </w:p>
    <w:p w14:paraId="09B03CA8" w14:textId="1AD79C74" w:rsidR="000B6914" w:rsidRPr="000B6914" w:rsidRDefault="000B6914" w:rsidP="00C0165A">
      <w:pPr>
        <w:jc w:val="both"/>
        <w:rPr>
          <w:sz w:val="20"/>
        </w:rPr>
        <w:sectPr w:rsidR="000B6914" w:rsidRPr="000B6914" w:rsidSect="00C0165A">
          <w:footerReference w:type="default" r:id="rId13"/>
          <w:endnotePr>
            <w:numFmt w:val="decimal"/>
          </w:endnotePr>
          <w:pgSz w:w="11907" w:h="16840" w:code="9"/>
          <w:pgMar w:top="1440" w:right="1440" w:bottom="1440" w:left="1440" w:header="720" w:footer="720" w:gutter="0"/>
          <w:cols w:space="720"/>
        </w:sectPr>
      </w:pPr>
      <w:r w:rsidRPr="000B6914">
        <w:rPr>
          <w:sz w:val="20"/>
        </w:rPr>
        <w:t>In the</w:t>
      </w:r>
      <w:r w:rsidR="00822C8B">
        <w:rPr>
          <w:sz w:val="20"/>
        </w:rPr>
        <w:t xml:space="preserve"> current country programme period</w:t>
      </w:r>
      <w:r w:rsidR="009273B3">
        <w:rPr>
          <w:sz w:val="20"/>
        </w:rPr>
        <w:t xml:space="preserve"> (2010-2015)</w:t>
      </w:r>
      <w:r w:rsidRPr="000B6914">
        <w:rPr>
          <w:sz w:val="20"/>
        </w:rPr>
        <w:t xml:space="preserve">, in partnership with international community and the Government of </w:t>
      </w:r>
      <w:r w:rsidR="00576472">
        <w:rPr>
          <w:sz w:val="20"/>
        </w:rPr>
        <w:t>Kazakhstan</w:t>
      </w:r>
      <w:r w:rsidRPr="000B6914">
        <w:rPr>
          <w:sz w:val="20"/>
        </w:rPr>
        <w:t xml:space="preserve">, UNDP mobilized and delivered programmes of a total value of </w:t>
      </w:r>
      <w:r w:rsidR="006F2F9A">
        <w:rPr>
          <w:sz w:val="20"/>
        </w:rPr>
        <w:t>$65</w:t>
      </w:r>
      <w:r w:rsidRPr="000B6914">
        <w:rPr>
          <w:sz w:val="20"/>
        </w:rPr>
        <w:t xml:space="preserve"> million. The top </w:t>
      </w:r>
      <w:r w:rsidR="000A2E2D">
        <w:rPr>
          <w:sz w:val="20"/>
        </w:rPr>
        <w:t>five</w:t>
      </w:r>
      <w:r w:rsidRPr="000B6914">
        <w:rPr>
          <w:sz w:val="20"/>
        </w:rPr>
        <w:t xml:space="preserve"> financial contributors to the Country Programme in </w:t>
      </w:r>
      <w:r w:rsidR="006F2F9A">
        <w:rPr>
          <w:sz w:val="20"/>
        </w:rPr>
        <w:t>Kazakhstan</w:t>
      </w:r>
      <w:r w:rsidRPr="000B6914">
        <w:rPr>
          <w:sz w:val="20"/>
        </w:rPr>
        <w:t xml:space="preserve"> included the </w:t>
      </w:r>
      <w:r w:rsidR="006F2F9A">
        <w:rPr>
          <w:sz w:val="20"/>
        </w:rPr>
        <w:t xml:space="preserve">Government of Kazakhstan, GEF, the European </w:t>
      </w:r>
      <w:r w:rsidR="00C95D29">
        <w:rPr>
          <w:sz w:val="20"/>
        </w:rPr>
        <w:t>Union</w:t>
      </w:r>
      <w:r w:rsidR="006F2F9A">
        <w:rPr>
          <w:sz w:val="20"/>
        </w:rPr>
        <w:t xml:space="preserve">, </w:t>
      </w:r>
      <w:r w:rsidR="00C95D29" w:rsidRPr="00C95D29">
        <w:rPr>
          <w:sz w:val="20"/>
        </w:rPr>
        <w:t>the Global Fund to Fight AIDS, Tuberculosis and Malaria</w:t>
      </w:r>
      <w:r w:rsidR="00CD539D">
        <w:rPr>
          <w:sz w:val="20"/>
        </w:rPr>
        <w:t xml:space="preserve"> and </w:t>
      </w:r>
      <w:r w:rsidR="000A2E2D">
        <w:rPr>
          <w:sz w:val="20"/>
        </w:rPr>
        <w:t>USAID</w:t>
      </w:r>
      <w:r w:rsidR="00C95D29">
        <w:rPr>
          <w:sz w:val="20"/>
        </w:rPr>
        <w:t xml:space="preserve">. </w:t>
      </w:r>
    </w:p>
    <w:p w14:paraId="6FCA0EE8" w14:textId="77777777" w:rsidR="0037523B" w:rsidRDefault="0037523B" w:rsidP="00C0165A">
      <w:pPr>
        <w:pStyle w:val="BodyText2"/>
        <w:rPr>
          <w:rFonts w:ascii="Times New Roman" w:hAnsi="Times New Roman"/>
          <w:b/>
          <w:sz w:val="24"/>
        </w:rPr>
      </w:pPr>
    </w:p>
    <w:p w14:paraId="35AACA60" w14:textId="77777777" w:rsidR="0037523B" w:rsidRDefault="0037523B" w:rsidP="00CB4203">
      <w:pPr>
        <w:pStyle w:val="BodyText2"/>
        <w:jc w:val="center"/>
        <w:rPr>
          <w:rFonts w:ascii="Times New Roman" w:hAnsi="Times New Roman"/>
          <w:b/>
          <w:sz w:val="24"/>
        </w:rPr>
      </w:pPr>
    </w:p>
    <w:p w14:paraId="74229485" w14:textId="77777777" w:rsidR="0037523B" w:rsidRDefault="0037523B" w:rsidP="00CB4203">
      <w:pPr>
        <w:pStyle w:val="BodyText2"/>
        <w:rPr>
          <w:rFonts w:ascii="Times New Roman" w:hAnsi="Times New Roman"/>
          <w:b/>
          <w:sz w:val="24"/>
        </w:rPr>
      </w:pPr>
    </w:p>
    <w:p w14:paraId="6DA8B5BD" w14:textId="77777777" w:rsidR="00975566" w:rsidRPr="00517955" w:rsidRDefault="006900FE" w:rsidP="00CB4203">
      <w:pPr>
        <w:pStyle w:val="Heading3"/>
        <w:jc w:val="left"/>
        <w:rPr>
          <w:rFonts w:asciiTheme="minorHAnsi" w:hAnsiTheme="minorHAnsi"/>
          <w:b/>
        </w:rPr>
      </w:pPr>
      <w:r>
        <w:rPr>
          <w:rFonts w:asciiTheme="minorHAnsi" w:hAnsiTheme="minorHAnsi"/>
          <w:b/>
        </w:rPr>
        <w:t>II</w:t>
      </w:r>
      <w:r w:rsidR="0081403B" w:rsidRPr="00517955">
        <w:rPr>
          <w:rFonts w:asciiTheme="minorHAnsi" w:hAnsiTheme="minorHAnsi"/>
          <w:b/>
        </w:rPr>
        <w:t xml:space="preserve">: </w:t>
      </w:r>
      <w:r w:rsidR="000C09B4" w:rsidRPr="00517955">
        <w:rPr>
          <w:rFonts w:asciiTheme="minorHAnsi" w:hAnsiTheme="minorHAnsi"/>
          <w:b/>
        </w:rPr>
        <w:t xml:space="preserve">Country Programme Performance </w:t>
      </w:r>
      <w:r w:rsidR="00975566" w:rsidRPr="00517955">
        <w:rPr>
          <w:rFonts w:asciiTheme="minorHAnsi" w:hAnsiTheme="minorHAnsi"/>
          <w:b/>
        </w:rPr>
        <w:t>Summary</w:t>
      </w:r>
    </w:p>
    <w:p w14:paraId="7C510493" w14:textId="77777777" w:rsidR="00DC7354" w:rsidRDefault="00DC7354" w:rsidP="00CB4203">
      <w:pPr>
        <w:pStyle w:val="BodyText2"/>
        <w:jc w:val="center"/>
        <w:rPr>
          <w:rFonts w:ascii="Times New Roman" w:hAnsi="Times New Roman"/>
          <w:b/>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
        <w:gridCol w:w="1530"/>
        <w:gridCol w:w="90"/>
        <w:gridCol w:w="3780"/>
        <w:gridCol w:w="5490"/>
      </w:tblGrid>
      <w:tr w:rsidR="00CB647D" w:rsidRPr="00DC7354" w14:paraId="23E7A751" w14:textId="77777777" w:rsidTr="00EB276F">
        <w:tc>
          <w:tcPr>
            <w:tcW w:w="3150" w:type="dxa"/>
            <w:gridSpan w:val="2"/>
            <w:tcBorders>
              <w:right w:val="nil"/>
            </w:tcBorders>
            <w:shd w:val="clear" w:color="auto" w:fill="FFC000"/>
          </w:tcPr>
          <w:p w14:paraId="4B29716A" w14:textId="77777777" w:rsidR="00CB647D" w:rsidRPr="00A85E34" w:rsidRDefault="00CB647D" w:rsidP="00CB4203">
            <w:pPr>
              <w:pStyle w:val="BodyText2"/>
              <w:rPr>
                <w:rFonts w:asciiTheme="minorHAnsi" w:hAnsiTheme="minorHAnsi"/>
                <w:b/>
                <w:sz w:val="24"/>
              </w:rPr>
            </w:pPr>
            <w:r w:rsidRPr="00A85E34">
              <w:rPr>
                <w:rFonts w:asciiTheme="minorHAnsi" w:hAnsiTheme="minorHAnsi"/>
                <w:b/>
              </w:rPr>
              <w:t>Country information</w:t>
            </w:r>
          </w:p>
        </w:tc>
        <w:tc>
          <w:tcPr>
            <w:tcW w:w="10890" w:type="dxa"/>
            <w:gridSpan w:val="4"/>
            <w:tcBorders>
              <w:left w:val="nil"/>
            </w:tcBorders>
            <w:shd w:val="clear" w:color="auto" w:fill="FFC000"/>
          </w:tcPr>
          <w:p w14:paraId="0FF0CCA6" w14:textId="77777777" w:rsidR="00CB647D" w:rsidRPr="00A85E34" w:rsidRDefault="00CB647D" w:rsidP="00CB4203">
            <w:pPr>
              <w:pStyle w:val="BodyText2"/>
              <w:rPr>
                <w:rFonts w:asciiTheme="minorHAnsi" w:hAnsiTheme="minorHAnsi"/>
                <w:b/>
                <w:sz w:val="24"/>
              </w:rPr>
            </w:pPr>
          </w:p>
        </w:tc>
      </w:tr>
      <w:tr w:rsidR="009B76A1" w:rsidRPr="00DC7354" w14:paraId="74A77B42" w14:textId="77777777" w:rsidTr="00EB276F">
        <w:tc>
          <w:tcPr>
            <w:tcW w:w="14040" w:type="dxa"/>
            <w:gridSpan w:val="6"/>
          </w:tcPr>
          <w:p w14:paraId="090A8BF2" w14:textId="77777777" w:rsidR="009B76A1" w:rsidRPr="00DC7354" w:rsidRDefault="009B76A1" w:rsidP="00CB4203">
            <w:pPr>
              <w:pStyle w:val="BodyText2"/>
              <w:rPr>
                <w:rFonts w:asciiTheme="minorHAnsi" w:hAnsiTheme="minorHAnsi"/>
                <w:b/>
                <w:sz w:val="24"/>
              </w:rPr>
            </w:pPr>
            <w:r w:rsidRPr="00230A0E">
              <w:rPr>
                <w:rFonts w:asciiTheme="minorHAnsi" w:hAnsiTheme="minorHAnsi"/>
                <w:b/>
              </w:rPr>
              <w:t>Country name:</w:t>
            </w:r>
            <w:r w:rsidR="0089573E">
              <w:rPr>
                <w:rFonts w:asciiTheme="minorHAnsi" w:hAnsiTheme="minorHAnsi"/>
                <w:b/>
              </w:rPr>
              <w:t xml:space="preserve">  Kazakhstan</w:t>
            </w:r>
          </w:p>
        </w:tc>
      </w:tr>
      <w:tr w:rsidR="009B76A1" w:rsidRPr="00843006" w14:paraId="5835385B" w14:textId="77777777" w:rsidTr="00EB276F">
        <w:tc>
          <w:tcPr>
            <w:tcW w:w="14040" w:type="dxa"/>
            <w:gridSpan w:val="6"/>
          </w:tcPr>
          <w:p w14:paraId="58308398" w14:textId="77777777" w:rsidR="009B76A1" w:rsidRPr="00843006" w:rsidRDefault="009B76A1" w:rsidP="00CB4203">
            <w:pPr>
              <w:pStyle w:val="BodyText2"/>
              <w:rPr>
                <w:rFonts w:asciiTheme="minorHAnsi" w:hAnsiTheme="minorHAnsi"/>
                <w:b/>
              </w:rPr>
            </w:pPr>
            <w:r w:rsidRPr="00843006">
              <w:rPr>
                <w:rFonts w:asciiTheme="minorHAnsi" w:hAnsiTheme="minorHAnsi"/>
                <w:b/>
              </w:rPr>
              <w:t>Current country program</w:t>
            </w:r>
            <w:r>
              <w:rPr>
                <w:rFonts w:asciiTheme="minorHAnsi" w:hAnsiTheme="minorHAnsi"/>
                <w:b/>
              </w:rPr>
              <w:t>me</w:t>
            </w:r>
            <w:r w:rsidRPr="00843006">
              <w:rPr>
                <w:rFonts w:asciiTheme="minorHAnsi" w:hAnsiTheme="minorHAnsi"/>
                <w:b/>
              </w:rPr>
              <w:t xml:space="preserve"> period:</w:t>
            </w:r>
            <w:r w:rsidR="0089573E">
              <w:rPr>
                <w:rFonts w:asciiTheme="minorHAnsi" w:hAnsiTheme="minorHAnsi"/>
                <w:b/>
              </w:rPr>
              <w:t xml:space="preserve"> 2010-2015</w:t>
            </w:r>
          </w:p>
        </w:tc>
      </w:tr>
      <w:tr w:rsidR="003B037A" w:rsidRPr="00DC7354" w14:paraId="2696EA85" w14:textId="77777777" w:rsidTr="00EB276F">
        <w:tc>
          <w:tcPr>
            <w:tcW w:w="3150" w:type="dxa"/>
            <w:gridSpan w:val="2"/>
          </w:tcPr>
          <w:p w14:paraId="0CBFE89B" w14:textId="77777777" w:rsidR="003B037A" w:rsidRPr="00DC7354" w:rsidRDefault="003B037A" w:rsidP="00CB4203">
            <w:pPr>
              <w:pStyle w:val="BodyText2"/>
              <w:rPr>
                <w:rFonts w:asciiTheme="minorHAnsi" w:hAnsiTheme="minorHAnsi"/>
                <w:b/>
                <w:sz w:val="24"/>
              </w:rPr>
            </w:pPr>
            <w:r w:rsidRPr="00DC7354">
              <w:rPr>
                <w:rFonts w:asciiTheme="minorHAnsi" w:hAnsiTheme="minorHAnsi"/>
                <w:b/>
                <w:sz w:val="24"/>
              </w:rPr>
              <w:t>Outcome</w:t>
            </w:r>
            <w:r w:rsidR="00700521">
              <w:rPr>
                <w:rFonts w:asciiTheme="minorHAnsi" w:hAnsiTheme="minorHAnsi"/>
                <w:b/>
                <w:sz w:val="24"/>
              </w:rPr>
              <w:t>s</w:t>
            </w:r>
          </w:p>
        </w:tc>
        <w:tc>
          <w:tcPr>
            <w:tcW w:w="1620" w:type="dxa"/>
            <w:gridSpan w:val="2"/>
            <w:shd w:val="clear" w:color="auto" w:fill="auto"/>
          </w:tcPr>
          <w:p w14:paraId="394B4B37" w14:textId="77777777" w:rsidR="003B037A" w:rsidRPr="005F6261" w:rsidRDefault="003B037A" w:rsidP="00CB4203">
            <w:pPr>
              <w:pStyle w:val="BodyText2"/>
              <w:rPr>
                <w:rFonts w:asciiTheme="minorHAnsi" w:hAnsiTheme="minorHAnsi"/>
                <w:b/>
                <w:sz w:val="22"/>
              </w:rPr>
            </w:pPr>
            <w:r w:rsidRPr="005F6261">
              <w:rPr>
                <w:rFonts w:asciiTheme="minorHAnsi" w:hAnsiTheme="minorHAnsi"/>
                <w:b/>
                <w:sz w:val="22"/>
              </w:rPr>
              <w:t>Total Expenditure</w:t>
            </w:r>
          </w:p>
        </w:tc>
        <w:tc>
          <w:tcPr>
            <w:tcW w:w="3780" w:type="dxa"/>
            <w:tcBorders>
              <w:left w:val="single" w:sz="4" w:space="0" w:color="auto"/>
            </w:tcBorders>
          </w:tcPr>
          <w:p w14:paraId="18914CB5" w14:textId="77777777" w:rsidR="003B037A" w:rsidRPr="005F6261" w:rsidRDefault="003B037A" w:rsidP="00CB4203">
            <w:pPr>
              <w:pStyle w:val="BodyText2"/>
              <w:rPr>
                <w:rFonts w:asciiTheme="minorHAnsi" w:hAnsiTheme="minorHAnsi"/>
                <w:b/>
                <w:sz w:val="22"/>
              </w:rPr>
            </w:pPr>
            <w:r w:rsidRPr="005F6261">
              <w:rPr>
                <w:rFonts w:asciiTheme="minorHAnsi" w:hAnsiTheme="minorHAnsi"/>
                <w:b/>
                <w:sz w:val="22"/>
              </w:rPr>
              <w:t>Key Indicators of outcome (1-4 per outcome)</w:t>
            </w:r>
          </w:p>
        </w:tc>
        <w:tc>
          <w:tcPr>
            <w:tcW w:w="5490" w:type="dxa"/>
          </w:tcPr>
          <w:p w14:paraId="1938796C" w14:textId="77777777" w:rsidR="003B037A" w:rsidRPr="005F6261" w:rsidRDefault="003B037A" w:rsidP="00CB4203">
            <w:pPr>
              <w:pStyle w:val="BodyText2"/>
              <w:rPr>
                <w:rFonts w:asciiTheme="minorHAnsi" w:hAnsiTheme="minorHAnsi"/>
                <w:b/>
                <w:sz w:val="22"/>
              </w:rPr>
            </w:pPr>
            <w:r w:rsidRPr="005F6261">
              <w:rPr>
                <w:rFonts w:asciiTheme="minorHAnsi" w:hAnsiTheme="minorHAnsi"/>
                <w:b/>
                <w:sz w:val="22"/>
              </w:rPr>
              <w:t>Progress made against key indicators</w:t>
            </w:r>
          </w:p>
        </w:tc>
      </w:tr>
      <w:tr w:rsidR="000823AC" w:rsidRPr="00DC7354" w14:paraId="2F3CC3FB" w14:textId="77777777" w:rsidTr="00E31BB3">
        <w:tc>
          <w:tcPr>
            <w:tcW w:w="3150" w:type="dxa"/>
            <w:gridSpan w:val="2"/>
            <w:tcBorders>
              <w:bottom w:val="single" w:sz="4" w:space="0" w:color="auto"/>
            </w:tcBorders>
            <w:shd w:val="clear" w:color="auto" w:fill="548DD4" w:themeFill="text2" w:themeFillTint="99"/>
          </w:tcPr>
          <w:p w14:paraId="06AFB255" w14:textId="77777777" w:rsidR="00FB3E13" w:rsidRPr="006A58E9" w:rsidRDefault="00FB3E13" w:rsidP="00CB4203">
            <w:pPr>
              <w:rPr>
                <w:b/>
                <w:sz w:val="20"/>
              </w:rPr>
            </w:pPr>
            <w:r w:rsidRPr="006A58E9">
              <w:rPr>
                <w:b/>
                <w:sz w:val="20"/>
              </w:rPr>
              <w:t xml:space="preserve">Vulnerable groups, </w:t>
            </w:r>
            <w:r w:rsidR="00B82BC5" w:rsidRPr="006A58E9">
              <w:rPr>
                <w:b/>
                <w:sz w:val="20"/>
              </w:rPr>
              <w:t>e</w:t>
            </w:r>
            <w:r w:rsidRPr="006A58E9">
              <w:rPr>
                <w:b/>
                <w:sz w:val="20"/>
              </w:rPr>
              <w:t>specially women, young and aged people, oralmans, people with disabilities, have improved access to markets, goods, services and social safety nets</w:t>
            </w:r>
          </w:p>
          <w:p w14:paraId="1D591B55" w14:textId="77777777" w:rsidR="003B037A" w:rsidRPr="00CB4203" w:rsidRDefault="003B037A" w:rsidP="00CB4203">
            <w:pPr>
              <w:pStyle w:val="BodyText2"/>
              <w:rPr>
                <w:rFonts w:ascii="Times New Roman" w:hAnsi="Times New Roman"/>
                <w:b/>
              </w:rPr>
            </w:pPr>
          </w:p>
        </w:tc>
        <w:tc>
          <w:tcPr>
            <w:tcW w:w="1620" w:type="dxa"/>
            <w:gridSpan w:val="2"/>
            <w:tcBorders>
              <w:bottom w:val="single" w:sz="4" w:space="0" w:color="auto"/>
            </w:tcBorders>
            <w:shd w:val="clear" w:color="auto" w:fill="auto"/>
          </w:tcPr>
          <w:p w14:paraId="7E7A450C" w14:textId="4F5DABBB" w:rsidR="003B037A" w:rsidRPr="00240410" w:rsidRDefault="00E31BB3" w:rsidP="00D57349">
            <w:pPr>
              <w:pStyle w:val="BodyText2"/>
              <w:rPr>
                <w:rFonts w:ascii="Times New Roman" w:hAnsi="Times New Roman"/>
                <w:highlight w:val="yellow"/>
              </w:rPr>
            </w:pPr>
            <w:r>
              <w:rPr>
                <w:rFonts w:ascii="Times New Roman" w:hAnsi="Times New Roman"/>
              </w:rPr>
              <w:t>$</w:t>
            </w:r>
            <w:r w:rsidR="00645D3B" w:rsidRPr="00240410">
              <w:rPr>
                <w:rFonts w:ascii="Times New Roman" w:hAnsi="Times New Roman"/>
              </w:rPr>
              <w:t>18,473,</w:t>
            </w:r>
            <w:r w:rsidR="00D57349" w:rsidRPr="00240410">
              <w:rPr>
                <w:rFonts w:ascii="Times New Roman" w:hAnsi="Times New Roman"/>
              </w:rPr>
              <w:t>000</w:t>
            </w:r>
          </w:p>
        </w:tc>
        <w:tc>
          <w:tcPr>
            <w:tcW w:w="3780" w:type="dxa"/>
            <w:tcBorders>
              <w:left w:val="single" w:sz="4" w:space="0" w:color="auto"/>
              <w:bottom w:val="single" w:sz="4" w:space="0" w:color="auto"/>
            </w:tcBorders>
          </w:tcPr>
          <w:p w14:paraId="33B7CDE7" w14:textId="3DC299EE" w:rsidR="00FB3E13" w:rsidRDefault="00CF4977" w:rsidP="00CB4203">
            <w:pPr>
              <w:pStyle w:val="BodyText2"/>
              <w:numPr>
                <w:ilvl w:val="0"/>
                <w:numId w:val="19"/>
              </w:numPr>
              <w:rPr>
                <w:rFonts w:ascii="Times New Roman" w:hAnsi="Times New Roman"/>
              </w:rPr>
            </w:pPr>
            <w:r>
              <w:rPr>
                <w:rFonts w:ascii="Times New Roman" w:hAnsi="Times New Roman"/>
              </w:rPr>
              <w:t>Availability of strategy and action plan to improve the situation of People with Disabilities (PWD) in light of the Convention on the Rights of PWD</w:t>
            </w:r>
          </w:p>
          <w:p w14:paraId="2D62EA2A" w14:textId="2F9386D6" w:rsidR="00CF4977" w:rsidRDefault="00CF4977" w:rsidP="00CB4203">
            <w:pPr>
              <w:pStyle w:val="BodyText2"/>
              <w:numPr>
                <w:ilvl w:val="0"/>
                <w:numId w:val="19"/>
              </w:numPr>
              <w:rPr>
                <w:rFonts w:ascii="Times New Roman" w:hAnsi="Times New Roman"/>
              </w:rPr>
            </w:pPr>
            <w:r>
              <w:rPr>
                <w:rFonts w:ascii="Times New Roman" w:hAnsi="Times New Roman"/>
              </w:rPr>
              <w:t>Number of jobs created in target areas, including for target groups</w:t>
            </w:r>
          </w:p>
          <w:p w14:paraId="46BE1F87" w14:textId="2A136197" w:rsidR="00B82BC5" w:rsidRPr="00CF4977" w:rsidRDefault="00CF4977" w:rsidP="00CB4203">
            <w:pPr>
              <w:pStyle w:val="BodyText2"/>
              <w:numPr>
                <w:ilvl w:val="0"/>
                <w:numId w:val="19"/>
              </w:numPr>
              <w:rPr>
                <w:rFonts w:ascii="Times New Roman" w:hAnsi="Times New Roman"/>
              </w:rPr>
            </w:pPr>
            <w:r w:rsidRPr="00CF4977">
              <w:rPr>
                <w:rFonts w:ascii="Times New Roman" w:hAnsi="Times New Roman"/>
              </w:rPr>
              <w:t>Number of regions that replicate model services for oralmans</w:t>
            </w:r>
          </w:p>
          <w:p w14:paraId="06CC68D2" w14:textId="77777777" w:rsidR="00FB3E13" w:rsidRPr="00FB3E13" w:rsidRDefault="00FB3E13" w:rsidP="00CB4203">
            <w:pPr>
              <w:pStyle w:val="BodyText2"/>
              <w:rPr>
                <w:rFonts w:asciiTheme="minorHAnsi" w:hAnsiTheme="minorHAnsi"/>
              </w:rPr>
            </w:pPr>
          </w:p>
        </w:tc>
        <w:tc>
          <w:tcPr>
            <w:tcW w:w="5490" w:type="dxa"/>
            <w:tcBorders>
              <w:bottom w:val="single" w:sz="4" w:space="0" w:color="auto"/>
            </w:tcBorders>
            <w:shd w:val="clear" w:color="auto" w:fill="auto"/>
          </w:tcPr>
          <w:p w14:paraId="6ADDED8B" w14:textId="77777777" w:rsidR="00BD09CE" w:rsidRPr="004403C5" w:rsidRDefault="004403C5" w:rsidP="00E31BB3">
            <w:pPr>
              <w:pStyle w:val="BodyText2"/>
              <w:rPr>
                <w:rFonts w:ascii="Times New Roman" w:hAnsi="Times New Roman"/>
              </w:rPr>
            </w:pPr>
            <w:r>
              <w:rPr>
                <w:rFonts w:ascii="Times New Roman" w:hAnsi="Times New Roman"/>
              </w:rPr>
              <w:t>a</w:t>
            </w:r>
            <w:r w:rsidR="00CF4977" w:rsidRPr="004403C5">
              <w:rPr>
                <w:rFonts w:ascii="Times New Roman" w:hAnsi="Times New Roman"/>
              </w:rPr>
              <w:t xml:space="preserve">. </w:t>
            </w:r>
            <w:r w:rsidR="00BD09CE" w:rsidRPr="004403C5">
              <w:rPr>
                <w:rFonts w:ascii="Times New Roman" w:hAnsi="Times New Roman"/>
              </w:rPr>
              <w:t xml:space="preserve">During this cycle, Kazakhstan has adopted a number of </w:t>
            </w:r>
            <w:r w:rsidR="006F24FB" w:rsidRPr="004403C5">
              <w:rPr>
                <w:rFonts w:ascii="Times New Roman" w:hAnsi="Times New Roman"/>
              </w:rPr>
              <w:t>legislative actions (in line with international standards)</w:t>
            </w:r>
            <w:r w:rsidR="00BD09CE" w:rsidRPr="004403C5">
              <w:rPr>
                <w:rFonts w:ascii="Times New Roman" w:hAnsi="Times New Roman"/>
              </w:rPr>
              <w:t>, and the Convention on the Rights of PWD</w:t>
            </w:r>
            <w:r w:rsidR="006F24FB" w:rsidRPr="004403C5">
              <w:rPr>
                <w:rFonts w:ascii="Times New Roman" w:hAnsi="Times New Roman"/>
              </w:rPr>
              <w:t>; participation of people with disabilities in decision-making processes have increased at local and national levels</w:t>
            </w:r>
            <w:r w:rsidR="00BD09CE" w:rsidRPr="004403C5">
              <w:rPr>
                <w:rFonts w:ascii="Times New Roman" w:hAnsi="Times New Roman"/>
              </w:rPr>
              <w:t>.</w:t>
            </w:r>
          </w:p>
          <w:p w14:paraId="5EEEE29C" w14:textId="180FD649" w:rsidR="00BD09CE" w:rsidRPr="004403C5" w:rsidRDefault="004403C5" w:rsidP="00E31BB3">
            <w:pPr>
              <w:pStyle w:val="BodyText2"/>
              <w:rPr>
                <w:rFonts w:ascii="Times New Roman" w:hAnsi="Times New Roman"/>
              </w:rPr>
            </w:pPr>
            <w:r>
              <w:rPr>
                <w:rFonts w:ascii="Times New Roman" w:hAnsi="Times New Roman"/>
              </w:rPr>
              <w:t>b</w:t>
            </w:r>
            <w:r w:rsidR="00BD09CE" w:rsidRPr="004403C5">
              <w:rPr>
                <w:rFonts w:ascii="Times New Roman" w:hAnsi="Times New Roman"/>
              </w:rPr>
              <w:t xml:space="preserve">. 254 jobs were created in total (out of which 20% disabled people); these were linked to national Road Map for Employment </w:t>
            </w:r>
          </w:p>
          <w:p w14:paraId="0D7850EB" w14:textId="77777777" w:rsidR="00B82BC5" w:rsidRPr="004403C5" w:rsidRDefault="004403C5" w:rsidP="00CB4203">
            <w:pPr>
              <w:pStyle w:val="BodyText2"/>
              <w:rPr>
                <w:rFonts w:ascii="Times New Roman" w:hAnsi="Times New Roman"/>
              </w:rPr>
            </w:pPr>
            <w:r>
              <w:rPr>
                <w:rFonts w:ascii="Times New Roman" w:hAnsi="Times New Roman"/>
              </w:rPr>
              <w:t>c</w:t>
            </w:r>
            <w:r w:rsidR="00BD09CE" w:rsidRPr="004403C5">
              <w:rPr>
                <w:rFonts w:ascii="Times New Roman" w:hAnsi="Times New Roman"/>
              </w:rPr>
              <w:t xml:space="preserve">. </w:t>
            </w:r>
            <w:r w:rsidR="00B82BC5" w:rsidRPr="004403C5">
              <w:rPr>
                <w:rFonts w:ascii="Times New Roman" w:hAnsi="Times New Roman"/>
              </w:rPr>
              <w:t xml:space="preserve">By late 2014, based on the East Kazakhstan local development model, 2 more regions (Kyzylorda and Mangystau) have adapted the model of socio-economic services for oralmans and other vulnerable groups. Also, the national Regional Development Programme (2014-2020) has adopted the UNDP model of providing integrated social and economic services to rural populations. </w:t>
            </w:r>
          </w:p>
          <w:p w14:paraId="5BC4FD78" w14:textId="77777777" w:rsidR="00B82BC5" w:rsidRPr="00920DBC" w:rsidRDefault="00B82BC5" w:rsidP="00E31BB3">
            <w:pPr>
              <w:pStyle w:val="BodyText2"/>
              <w:rPr>
                <w:rFonts w:asciiTheme="minorHAnsi" w:hAnsiTheme="minorHAnsi"/>
                <w:i/>
              </w:rPr>
            </w:pPr>
            <w:r>
              <w:rPr>
                <w:rFonts w:asciiTheme="minorHAnsi" w:hAnsiTheme="minorHAnsi"/>
              </w:rPr>
              <w:t xml:space="preserve"> </w:t>
            </w:r>
          </w:p>
        </w:tc>
      </w:tr>
      <w:tr w:rsidR="00530FDE" w:rsidRPr="00DC7354" w14:paraId="145D9D46" w14:textId="77777777" w:rsidTr="00E31BB3">
        <w:trPr>
          <w:trHeight w:val="530"/>
        </w:trPr>
        <w:tc>
          <w:tcPr>
            <w:tcW w:w="14040" w:type="dxa"/>
            <w:gridSpan w:val="6"/>
          </w:tcPr>
          <w:p w14:paraId="4937306D" w14:textId="77777777" w:rsidR="00843006" w:rsidRPr="00837C4B" w:rsidRDefault="00837C4B" w:rsidP="00CB4203">
            <w:pPr>
              <w:pStyle w:val="BodyText2"/>
              <w:rPr>
                <w:rFonts w:asciiTheme="minorHAnsi" w:hAnsiTheme="minorHAnsi"/>
                <w:b/>
              </w:rPr>
            </w:pPr>
            <w:r w:rsidRPr="00837C4B">
              <w:rPr>
                <w:rFonts w:asciiTheme="minorHAnsi" w:hAnsiTheme="minorHAnsi"/>
                <w:b/>
              </w:rPr>
              <w:t>UNDP Contribution:</w:t>
            </w:r>
          </w:p>
          <w:p w14:paraId="6549A0EF" w14:textId="77777777" w:rsidR="00B00E5C" w:rsidRPr="00F869BA" w:rsidRDefault="00B00E5C" w:rsidP="00CB4203">
            <w:pPr>
              <w:pStyle w:val="BodyText2"/>
              <w:rPr>
                <w:rFonts w:ascii="Times New Roman" w:hAnsi="Times New Roman"/>
              </w:rPr>
            </w:pPr>
            <w:r w:rsidRPr="00F869BA">
              <w:rPr>
                <w:rFonts w:ascii="Times New Roman" w:hAnsi="Times New Roman"/>
                <w:u w:val="single"/>
              </w:rPr>
              <w:t>CP Outputs</w:t>
            </w:r>
            <w:r w:rsidR="00845340" w:rsidRPr="00F869BA">
              <w:rPr>
                <w:rFonts w:ascii="Times New Roman" w:hAnsi="Times New Roman"/>
              </w:rPr>
              <w:t>:</w:t>
            </w:r>
          </w:p>
          <w:p w14:paraId="54AFDAC6" w14:textId="77777777" w:rsidR="00B82BC5" w:rsidRPr="00F869BA" w:rsidRDefault="00B82BC5" w:rsidP="00CB4203">
            <w:pPr>
              <w:keepNext/>
              <w:keepLines/>
              <w:rPr>
                <w:sz w:val="20"/>
              </w:rPr>
            </w:pPr>
            <w:r w:rsidRPr="00F869BA">
              <w:rPr>
                <w:i/>
                <w:sz w:val="20"/>
              </w:rPr>
              <w:t>-</w:t>
            </w:r>
            <w:r w:rsidRPr="00F869BA">
              <w:rPr>
                <w:sz w:val="20"/>
              </w:rPr>
              <w:t xml:space="preserve"> Social sector stakeholders are able to better plan, implement and monitor quality of social services, with special emphasis on target vulnerable groups.</w:t>
            </w:r>
          </w:p>
          <w:p w14:paraId="7968B19F" w14:textId="77777777" w:rsidR="00B00E5C" w:rsidRPr="00F869BA" w:rsidRDefault="00B82BC5" w:rsidP="00CB4203">
            <w:pPr>
              <w:pStyle w:val="BodyText2"/>
              <w:rPr>
                <w:rFonts w:ascii="Times New Roman" w:hAnsi="Times New Roman"/>
              </w:rPr>
            </w:pPr>
            <w:r w:rsidRPr="00F869BA">
              <w:rPr>
                <w:rFonts w:ascii="Times New Roman" w:hAnsi="Times New Roman"/>
              </w:rPr>
              <w:t>- Economically at-risk population benefit from improved job creation and sustainable productive employment.</w:t>
            </w:r>
          </w:p>
          <w:p w14:paraId="40731CD8" w14:textId="77777777" w:rsidR="00700521" w:rsidRPr="00F869BA" w:rsidRDefault="00B00E5C" w:rsidP="00CB4203">
            <w:pPr>
              <w:pStyle w:val="BodyText2"/>
              <w:rPr>
                <w:rFonts w:ascii="Times New Roman" w:hAnsi="Times New Roman"/>
              </w:rPr>
            </w:pPr>
            <w:r w:rsidRPr="00F869BA">
              <w:rPr>
                <w:rFonts w:ascii="Times New Roman" w:hAnsi="Times New Roman"/>
                <w:u w:val="single"/>
              </w:rPr>
              <w:t>Progress and Achievements</w:t>
            </w:r>
            <w:r w:rsidR="00845340" w:rsidRPr="00F869BA">
              <w:rPr>
                <w:rFonts w:ascii="Times New Roman" w:hAnsi="Times New Roman"/>
              </w:rPr>
              <w:t>:</w:t>
            </w:r>
          </w:p>
          <w:p w14:paraId="1B265C85" w14:textId="33F82A5A" w:rsidR="0094693B" w:rsidRDefault="00B82BC5" w:rsidP="00CB4203">
            <w:pPr>
              <w:jc w:val="both"/>
              <w:rPr>
                <w:sz w:val="20"/>
              </w:rPr>
            </w:pPr>
            <w:r w:rsidRPr="0094693B">
              <w:rPr>
                <w:sz w:val="20"/>
              </w:rPr>
              <w:t xml:space="preserve">The </w:t>
            </w:r>
            <w:r w:rsidR="0094693B">
              <w:rPr>
                <w:sz w:val="20"/>
              </w:rPr>
              <w:t xml:space="preserve">thee local development programmes have demonstrated the </w:t>
            </w:r>
            <w:r w:rsidRPr="0094693B">
              <w:rPr>
                <w:sz w:val="20"/>
              </w:rPr>
              <w:t xml:space="preserve">joint UN-Government </w:t>
            </w:r>
            <w:r w:rsidR="0094693B">
              <w:rPr>
                <w:sz w:val="20"/>
              </w:rPr>
              <w:t>approach</w:t>
            </w:r>
            <w:r w:rsidRPr="0094693B">
              <w:rPr>
                <w:sz w:val="20"/>
              </w:rPr>
              <w:t xml:space="preserve"> to scale up social and economic services to the most vulnerable groups, such as the Kazakh repatriates-oralmans, people with disabilities and under-employed youth, women and men. </w:t>
            </w:r>
            <w:r w:rsidR="00763E7F">
              <w:rPr>
                <w:sz w:val="20"/>
              </w:rPr>
              <w:t>For example, the center</w:t>
            </w:r>
            <w:r w:rsidR="0094693B">
              <w:rPr>
                <w:sz w:val="20"/>
              </w:rPr>
              <w:t xml:space="preserve"> for Adaptation and Integration for Oralman </w:t>
            </w:r>
            <w:r w:rsidR="00763E7F">
              <w:rPr>
                <w:sz w:val="20"/>
              </w:rPr>
              <w:t xml:space="preserve">was </w:t>
            </w:r>
            <w:r w:rsidR="0094693B">
              <w:rPr>
                <w:sz w:val="20"/>
              </w:rPr>
              <w:t>e</w:t>
            </w:r>
            <w:r w:rsidR="00763E7F">
              <w:rPr>
                <w:sz w:val="20"/>
              </w:rPr>
              <w:t>stablished in Semey (East Kazakhstan)</w:t>
            </w:r>
            <w:r w:rsidR="0094693B">
              <w:rPr>
                <w:sz w:val="20"/>
              </w:rPr>
              <w:t xml:space="preserve">, which </w:t>
            </w:r>
            <w:r w:rsidR="00763E7F">
              <w:rPr>
                <w:sz w:val="20"/>
              </w:rPr>
              <w:t>was su</w:t>
            </w:r>
            <w:r w:rsidR="0094693B">
              <w:rPr>
                <w:sz w:val="20"/>
              </w:rPr>
              <w:t>bsequently scaled up</w:t>
            </w:r>
            <w:r w:rsidR="00763E7F">
              <w:rPr>
                <w:sz w:val="20"/>
              </w:rPr>
              <w:t xml:space="preserve"> through</w:t>
            </w:r>
            <w:r w:rsidR="0094693B">
              <w:rPr>
                <w:sz w:val="20"/>
              </w:rPr>
              <w:t xml:space="preserve"> local and national governments (</w:t>
            </w:r>
            <w:r w:rsidR="00763E7F">
              <w:rPr>
                <w:sz w:val="20"/>
              </w:rPr>
              <w:t xml:space="preserve">now </w:t>
            </w:r>
            <w:r w:rsidR="0094693B">
              <w:rPr>
                <w:sz w:val="20"/>
              </w:rPr>
              <w:t xml:space="preserve">East Kazakhstan region is fully covered, and other regions are in the process of adopting this best practice). Also, public-private partnerships </w:t>
            </w:r>
            <w:r w:rsidR="00763E7F">
              <w:rPr>
                <w:sz w:val="20"/>
              </w:rPr>
              <w:t xml:space="preserve">were successfully tested </w:t>
            </w:r>
            <w:r w:rsidR="0094693B">
              <w:rPr>
                <w:sz w:val="20"/>
              </w:rPr>
              <w:t>through the</w:t>
            </w:r>
            <w:r w:rsidR="00763E7F">
              <w:rPr>
                <w:sz w:val="20"/>
              </w:rPr>
              <w:t xml:space="preserve"> establishment of</w:t>
            </w:r>
            <w:r w:rsidR="0094693B">
              <w:rPr>
                <w:sz w:val="20"/>
              </w:rPr>
              <w:t xml:space="preserve"> training centre</w:t>
            </w:r>
            <w:r w:rsidR="00763E7F">
              <w:rPr>
                <w:sz w:val="20"/>
              </w:rPr>
              <w:t>s</w:t>
            </w:r>
            <w:r w:rsidR="0094693B">
              <w:rPr>
                <w:sz w:val="20"/>
              </w:rPr>
              <w:t xml:space="preserve"> for social workers and day care centres for disabled families in East Kazakhstan. Out of</w:t>
            </w:r>
            <w:r w:rsidR="00763E7F">
              <w:rPr>
                <w:sz w:val="20"/>
              </w:rPr>
              <w:t xml:space="preserve"> the total of</w:t>
            </w:r>
            <w:r w:rsidR="0094693B">
              <w:rPr>
                <w:sz w:val="20"/>
              </w:rPr>
              <w:t xml:space="preserve"> 254 jobs created in the three regions, about 20% were disabled people.   </w:t>
            </w:r>
          </w:p>
          <w:p w14:paraId="29B809D3" w14:textId="2645654B" w:rsidR="004403C5" w:rsidRPr="0094693B" w:rsidRDefault="00B82BC5" w:rsidP="003833BB">
            <w:pPr>
              <w:jc w:val="both"/>
              <w:rPr>
                <w:sz w:val="20"/>
              </w:rPr>
            </w:pPr>
            <w:r w:rsidRPr="0094693B">
              <w:rPr>
                <w:sz w:val="20"/>
              </w:rPr>
              <w:t>An independent medium-term evaluation</w:t>
            </w:r>
            <w:r w:rsidR="00C7539A">
              <w:rPr>
                <w:sz w:val="20"/>
              </w:rPr>
              <w:t xml:space="preserve"> of the</w:t>
            </w:r>
            <w:r w:rsidR="00C7539A" w:rsidRPr="0094693B">
              <w:rPr>
                <w:sz w:val="20"/>
              </w:rPr>
              <w:t xml:space="preserve"> </w:t>
            </w:r>
            <w:r w:rsidR="00C7539A">
              <w:rPr>
                <w:sz w:val="20"/>
              </w:rPr>
              <w:t xml:space="preserve">joint programme </w:t>
            </w:r>
            <w:r w:rsidRPr="0094693B">
              <w:rPr>
                <w:sz w:val="20"/>
              </w:rPr>
              <w:t xml:space="preserve">conducted in 2014 </w:t>
            </w:r>
            <w:r w:rsidR="00763E7F">
              <w:rPr>
                <w:sz w:val="20"/>
              </w:rPr>
              <w:t>confirms these</w:t>
            </w:r>
            <w:r w:rsidRPr="0094693B">
              <w:rPr>
                <w:sz w:val="20"/>
              </w:rPr>
              <w:t xml:space="preserve"> success</w:t>
            </w:r>
            <w:r w:rsidR="00763E7F">
              <w:rPr>
                <w:sz w:val="20"/>
              </w:rPr>
              <w:t>es</w:t>
            </w:r>
            <w:r w:rsidRPr="0094693B">
              <w:rPr>
                <w:sz w:val="20"/>
              </w:rPr>
              <w:t>, and further points out to the necessity of building in more evidence-based and innovative approaches. Based on this experience, in 2013, the Gover</w:t>
            </w:r>
            <w:r w:rsidR="003833BB">
              <w:rPr>
                <w:sz w:val="20"/>
              </w:rPr>
              <w:t>nment has allocated additional $</w:t>
            </w:r>
            <w:r w:rsidRPr="0094693B">
              <w:rPr>
                <w:sz w:val="20"/>
              </w:rPr>
              <w:t xml:space="preserve">6 million to UNDP to launch joint programmes in </w:t>
            </w:r>
            <w:r w:rsidRPr="0094693B">
              <w:rPr>
                <w:sz w:val="20"/>
              </w:rPr>
              <w:lastRenderedPageBreak/>
              <w:t xml:space="preserve">Kyzylorda and Mangystau regions. The three local development programmes have demonstrated UNDP’s ability to advise the Government, and support the implementation of the </w:t>
            </w:r>
            <w:r w:rsidR="005F1BD3">
              <w:rPr>
                <w:sz w:val="20"/>
              </w:rPr>
              <w:t>new economic</w:t>
            </w:r>
            <w:r w:rsidR="00763E7F">
              <w:rPr>
                <w:sz w:val="20"/>
              </w:rPr>
              <w:t xml:space="preserve"> </w:t>
            </w:r>
            <w:r w:rsidRPr="0094693B">
              <w:rPr>
                <w:sz w:val="20"/>
              </w:rPr>
              <w:t>policy</w:t>
            </w:r>
            <w:r w:rsidR="00763E7F">
              <w:rPr>
                <w:sz w:val="20"/>
              </w:rPr>
              <w:t xml:space="preserve"> </w:t>
            </w:r>
            <w:r w:rsidR="00763E7F" w:rsidRPr="0094693B">
              <w:rPr>
                <w:sz w:val="20"/>
              </w:rPr>
              <w:t>Nurly Zhol</w:t>
            </w:r>
            <w:r w:rsidRPr="0094693B">
              <w:rPr>
                <w:sz w:val="20"/>
              </w:rPr>
              <w:t>, as well as other national policies such as the national Road Map for Employment (2011-2020), and the National Programme on Development for Regions (2014-2020).</w:t>
            </w:r>
          </w:p>
        </w:tc>
      </w:tr>
      <w:tr w:rsidR="003B037A" w:rsidRPr="00DC7354" w14:paraId="5E24F683" w14:textId="77777777" w:rsidTr="00E31BB3">
        <w:tc>
          <w:tcPr>
            <w:tcW w:w="3060" w:type="dxa"/>
            <w:shd w:val="clear" w:color="auto" w:fill="95B3D7" w:themeFill="accent1" w:themeFillTint="99"/>
          </w:tcPr>
          <w:p w14:paraId="6667540E" w14:textId="77777777" w:rsidR="00763E7F" w:rsidRPr="00532D25" w:rsidRDefault="00763E7F" w:rsidP="00CB4203">
            <w:pPr>
              <w:rPr>
                <w:b/>
                <w:iCs/>
                <w:sz w:val="20"/>
              </w:rPr>
            </w:pPr>
            <w:r w:rsidRPr="00532D25">
              <w:rPr>
                <w:b/>
                <w:sz w:val="20"/>
              </w:rPr>
              <w:lastRenderedPageBreak/>
              <w:t xml:space="preserve">Government, communities and civil society practice an integrated approach to natural resources management in national and </w:t>
            </w:r>
            <w:r w:rsidRPr="00532D25">
              <w:rPr>
                <w:b/>
                <w:iCs/>
                <w:sz w:val="20"/>
              </w:rPr>
              <w:t xml:space="preserve">transboundary perspectives </w:t>
            </w:r>
          </w:p>
          <w:p w14:paraId="25107DD2" w14:textId="77777777" w:rsidR="003B037A" w:rsidRPr="000823AC" w:rsidRDefault="003B037A" w:rsidP="00CB4203">
            <w:pPr>
              <w:pStyle w:val="BodyText2"/>
              <w:rPr>
                <w:rFonts w:asciiTheme="minorHAnsi" w:hAnsiTheme="minorHAnsi"/>
                <w:b/>
              </w:rPr>
            </w:pPr>
          </w:p>
        </w:tc>
        <w:tc>
          <w:tcPr>
            <w:tcW w:w="1620" w:type="dxa"/>
            <w:gridSpan w:val="2"/>
            <w:shd w:val="clear" w:color="auto" w:fill="auto"/>
          </w:tcPr>
          <w:p w14:paraId="04B7A7E0" w14:textId="5DB53D57" w:rsidR="003B037A" w:rsidRPr="00240410" w:rsidRDefault="007B446C" w:rsidP="007B446C">
            <w:pPr>
              <w:pStyle w:val="BodyText2"/>
              <w:rPr>
                <w:rFonts w:ascii="Times New Roman" w:hAnsi="Times New Roman"/>
              </w:rPr>
            </w:pPr>
            <w:r>
              <w:rPr>
                <w:rFonts w:ascii="Times New Roman" w:hAnsi="Times New Roman"/>
              </w:rPr>
              <w:t>$</w:t>
            </w:r>
            <w:r w:rsidR="00D57349" w:rsidRPr="00240410">
              <w:rPr>
                <w:rFonts w:ascii="Times New Roman" w:hAnsi="Times New Roman"/>
              </w:rPr>
              <w:t xml:space="preserve">15,450,000 </w:t>
            </w:r>
          </w:p>
        </w:tc>
        <w:tc>
          <w:tcPr>
            <w:tcW w:w="3870" w:type="dxa"/>
            <w:gridSpan w:val="2"/>
            <w:tcBorders>
              <w:left w:val="single" w:sz="4" w:space="0" w:color="auto"/>
            </w:tcBorders>
          </w:tcPr>
          <w:p w14:paraId="14AFF3E6" w14:textId="77777777" w:rsidR="00763E7F" w:rsidRPr="005F1BD3" w:rsidRDefault="004403C5" w:rsidP="005F1BD3">
            <w:pPr>
              <w:keepNext/>
              <w:keepLines/>
              <w:rPr>
                <w:sz w:val="20"/>
              </w:rPr>
            </w:pPr>
            <w:r>
              <w:rPr>
                <w:rFonts w:cs="Arial"/>
                <w:sz w:val="20"/>
              </w:rPr>
              <w:t xml:space="preserve">a. </w:t>
            </w:r>
            <w:r w:rsidRPr="005F1BD3">
              <w:rPr>
                <w:sz w:val="20"/>
              </w:rPr>
              <w:t>Number of financial mechanisms introduced for the conservation of biodiversity and combatting the land degradation;</w:t>
            </w:r>
          </w:p>
          <w:p w14:paraId="3D2C88E2" w14:textId="0CFF17E9" w:rsidR="004403C5" w:rsidRPr="005F1BD3" w:rsidRDefault="004403C5" w:rsidP="005F1BD3">
            <w:pPr>
              <w:keepNext/>
              <w:keepLines/>
              <w:rPr>
                <w:sz w:val="20"/>
              </w:rPr>
            </w:pPr>
            <w:r>
              <w:rPr>
                <w:rFonts w:cs="Arial"/>
                <w:sz w:val="20"/>
              </w:rPr>
              <w:t xml:space="preserve">b. </w:t>
            </w:r>
            <w:r w:rsidRPr="005F1BD3">
              <w:rPr>
                <w:sz w:val="20"/>
              </w:rPr>
              <w:t>Number of protected areas in Kazakhstan important for the conservation of the globally and nationally significant species</w:t>
            </w:r>
            <w:r>
              <w:rPr>
                <w:rFonts w:cs="Arial"/>
                <w:sz w:val="20"/>
              </w:rPr>
              <w:t>;</w:t>
            </w:r>
            <w:r w:rsidRPr="005F1BD3">
              <w:rPr>
                <w:sz w:val="20"/>
              </w:rPr>
              <w:t xml:space="preserve"> </w:t>
            </w:r>
          </w:p>
          <w:p w14:paraId="708C2722" w14:textId="77777777" w:rsidR="003B037A" w:rsidRPr="00920DBC" w:rsidRDefault="003B037A" w:rsidP="00CB4203">
            <w:pPr>
              <w:pStyle w:val="BodyText2"/>
              <w:ind w:left="360"/>
              <w:rPr>
                <w:rFonts w:asciiTheme="minorHAnsi" w:hAnsiTheme="minorHAnsi"/>
                <w:i/>
              </w:rPr>
            </w:pPr>
          </w:p>
        </w:tc>
        <w:tc>
          <w:tcPr>
            <w:tcW w:w="5490" w:type="dxa"/>
            <w:shd w:val="clear" w:color="auto" w:fill="auto"/>
          </w:tcPr>
          <w:p w14:paraId="4BC625CF" w14:textId="1E4CAEC7" w:rsidR="003B037A" w:rsidRPr="00453FA6" w:rsidRDefault="007E6CE3" w:rsidP="00CB4203">
            <w:pPr>
              <w:pStyle w:val="BodyText2"/>
              <w:numPr>
                <w:ilvl w:val="0"/>
                <w:numId w:val="16"/>
              </w:numPr>
              <w:rPr>
                <w:rFonts w:ascii="Times New Roman" w:hAnsi="Times New Roman"/>
                <w:i/>
              </w:rPr>
            </w:pPr>
            <w:r w:rsidRPr="00453FA6">
              <w:rPr>
                <w:rFonts w:ascii="Times New Roman" w:hAnsi="Times New Roman"/>
              </w:rPr>
              <w:t>Two innovative financial mechanisms (Biodiversity Trust Fund and Microcredit Financial Programme) were launched and implemented</w:t>
            </w:r>
            <w:r w:rsidR="00545B9A" w:rsidRPr="00453FA6">
              <w:rPr>
                <w:rFonts w:ascii="Times New Roman" w:hAnsi="Times New Roman"/>
              </w:rPr>
              <w:t>; more than 150 grants were distributed</w:t>
            </w:r>
            <w:r w:rsidR="00092F5C">
              <w:rPr>
                <w:rFonts w:ascii="Times New Roman" w:hAnsi="Times New Roman"/>
              </w:rPr>
              <w:t xml:space="preserve"> (in partnership with the Government),</w:t>
            </w:r>
            <w:r w:rsidR="00545B9A" w:rsidRPr="00453FA6">
              <w:rPr>
                <w:rFonts w:ascii="Times New Roman" w:hAnsi="Times New Roman"/>
              </w:rPr>
              <w:t xml:space="preserve"> and more </w:t>
            </w:r>
            <w:r w:rsidR="00092F5C">
              <w:rPr>
                <w:rFonts w:ascii="Times New Roman" w:hAnsi="Times New Roman"/>
              </w:rPr>
              <w:t xml:space="preserve">than </w:t>
            </w:r>
            <w:r w:rsidR="00545B9A" w:rsidRPr="00453FA6">
              <w:rPr>
                <w:rFonts w:ascii="Times New Roman" w:hAnsi="Times New Roman"/>
              </w:rPr>
              <w:t xml:space="preserve">400 jobs were created for communities living </w:t>
            </w:r>
            <w:r w:rsidR="00D86255">
              <w:rPr>
                <w:rFonts w:ascii="Times New Roman" w:hAnsi="Times New Roman"/>
              </w:rPr>
              <w:t>near</w:t>
            </w:r>
            <w:r w:rsidR="00F869BA">
              <w:rPr>
                <w:rFonts w:ascii="Times New Roman" w:hAnsi="Times New Roman"/>
              </w:rPr>
              <w:t xml:space="preserve"> </w:t>
            </w:r>
            <w:r w:rsidR="00545B9A" w:rsidRPr="00453FA6">
              <w:rPr>
                <w:rFonts w:ascii="Times New Roman" w:hAnsi="Times New Roman"/>
              </w:rPr>
              <w:t xml:space="preserve">the protected areas; sustainable livelihoods options </w:t>
            </w:r>
            <w:r w:rsidR="00092F5C">
              <w:rPr>
                <w:rFonts w:ascii="Times New Roman" w:hAnsi="Times New Roman"/>
              </w:rPr>
              <w:t>expanded for those people.</w:t>
            </w:r>
          </w:p>
          <w:p w14:paraId="0BA543C1" w14:textId="77777777" w:rsidR="007E6CE3" w:rsidRPr="00920DBC" w:rsidRDefault="00545B9A" w:rsidP="00CB4203">
            <w:pPr>
              <w:pStyle w:val="BodyText2"/>
              <w:numPr>
                <w:ilvl w:val="0"/>
                <w:numId w:val="16"/>
              </w:numPr>
              <w:rPr>
                <w:rFonts w:asciiTheme="minorHAnsi" w:hAnsiTheme="minorHAnsi"/>
                <w:i/>
              </w:rPr>
            </w:pPr>
            <w:r w:rsidRPr="00453FA6">
              <w:rPr>
                <w:rFonts w:ascii="Times New Roman" w:hAnsi="Times New Roman"/>
              </w:rPr>
              <w:t>The overall size of the protected territories</w:t>
            </w:r>
            <w:r w:rsidR="00453FA6">
              <w:rPr>
                <w:rFonts w:ascii="Times New Roman" w:hAnsi="Times New Roman"/>
              </w:rPr>
              <w:t xml:space="preserve"> (encompassing the wetland, steppes and other ecosystems)</w:t>
            </w:r>
            <w:r w:rsidRPr="00453FA6">
              <w:rPr>
                <w:rFonts w:ascii="Times New Roman" w:hAnsi="Times New Roman"/>
              </w:rPr>
              <w:t xml:space="preserve"> has increased by 2 million hectares</w:t>
            </w:r>
            <w:r w:rsidR="00453FA6">
              <w:rPr>
                <w:rFonts w:ascii="Times New Roman" w:hAnsi="Times New Roman"/>
              </w:rPr>
              <w:t>; innovative monitoring technologies were introduced to track the migration of rare species (saiga), and the first national ecological corridor</w:t>
            </w:r>
            <w:r w:rsidR="00BE1C37">
              <w:rPr>
                <w:rFonts w:ascii="Times New Roman" w:hAnsi="Times New Roman"/>
              </w:rPr>
              <w:t xml:space="preserve"> was</w:t>
            </w:r>
            <w:r w:rsidR="00453FA6">
              <w:rPr>
                <w:rFonts w:ascii="Times New Roman" w:hAnsi="Times New Roman"/>
              </w:rPr>
              <w:t xml:space="preserve"> established for safe </w:t>
            </w:r>
            <w:r w:rsidR="00BE1C37">
              <w:rPr>
                <w:rFonts w:ascii="Times New Roman" w:hAnsi="Times New Roman"/>
              </w:rPr>
              <w:t>passage</w:t>
            </w:r>
            <w:r w:rsidR="00453FA6">
              <w:rPr>
                <w:rFonts w:ascii="Times New Roman" w:hAnsi="Times New Roman"/>
              </w:rPr>
              <w:t xml:space="preserve"> of rare species (both flora and fauna); 3 protected areas are included </w:t>
            </w:r>
            <w:r w:rsidR="00561471">
              <w:rPr>
                <w:rFonts w:ascii="Times New Roman" w:hAnsi="Times New Roman"/>
              </w:rPr>
              <w:t xml:space="preserve">in the </w:t>
            </w:r>
            <w:r w:rsidR="00453FA6">
              <w:rPr>
                <w:rFonts w:ascii="Times New Roman" w:hAnsi="Times New Roman"/>
              </w:rPr>
              <w:t>UNESCO</w:t>
            </w:r>
            <w:r w:rsidR="00561471">
              <w:rPr>
                <w:rFonts w:ascii="Times New Roman" w:hAnsi="Times New Roman"/>
              </w:rPr>
              <w:t xml:space="preserve"> ‘Man and Biosphere</w:t>
            </w:r>
            <w:r w:rsidR="00BE1C37">
              <w:rPr>
                <w:rFonts w:ascii="Times New Roman" w:hAnsi="Times New Roman"/>
              </w:rPr>
              <w:t>’</w:t>
            </w:r>
            <w:r w:rsidR="00561471">
              <w:rPr>
                <w:rFonts w:ascii="Times New Roman" w:hAnsi="Times New Roman"/>
              </w:rPr>
              <w:t xml:space="preserve"> programme.</w:t>
            </w:r>
            <w:r w:rsidR="00453FA6">
              <w:rPr>
                <w:rFonts w:ascii="Times New Roman" w:hAnsi="Times New Roman"/>
              </w:rPr>
              <w:t xml:space="preserve">   </w:t>
            </w:r>
            <w:r>
              <w:rPr>
                <w:rFonts w:asciiTheme="minorHAnsi" w:hAnsiTheme="minorHAnsi"/>
              </w:rPr>
              <w:t xml:space="preserve"> </w:t>
            </w:r>
          </w:p>
        </w:tc>
      </w:tr>
      <w:tr w:rsidR="00700521" w:rsidRPr="00DC7354" w14:paraId="1D7597EF" w14:textId="77777777" w:rsidTr="00E31BB3">
        <w:tc>
          <w:tcPr>
            <w:tcW w:w="14040" w:type="dxa"/>
            <w:gridSpan w:val="6"/>
          </w:tcPr>
          <w:p w14:paraId="4B11F0A8" w14:textId="77777777" w:rsidR="00700521" w:rsidRPr="00837C4B" w:rsidRDefault="00700521" w:rsidP="00CB4203">
            <w:pPr>
              <w:pStyle w:val="BodyText2"/>
              <w:rPr>
                <w:rFonts w:asciiTheme="minorHAnsi" w:hAnsiTheme="minorHAnsi"/>
                <w:b/>
              </w:rPr>
            </w:pPr>
            <w:r w:rsidRPr="00837C4B">
              <w:rPr>
                <w:rFonts w:asciiTheme="minorHAnsi" w:hAnsiTheme="minorHAnsi"/>
                <w:b/>
              </w:rPr>
              <w:t>UNDP Contribution:</w:t>
            </w:r>
          </w:p>
          <w:p w14:paraId="0A4A3A8C" w14:textId="77777777" w:rsidR="008B06DD" w:rsidRPr="00BE1C37" w:rsidRDefault="008B06DD" w:rsidP="00CB4203">
            <w:pPr>
              <w:pStyle w:val="BodyText2"/>
              <w:rPr>
                <w:rFonts w:ascii="Times New Roman" w:hAnsi="Times New Roman"/>
              </w:rPr>
            </w:pPr>
            <w:r w:rsidRPr="00BE1C37">
              <w:rPr>
                <w:rFonts w:ascii="Times New Roman" w:hAnsi="Times New Roman"/>
                <w:u w:val="single"/>
              </w:rPr>
              <w:t>CP Outputs</w:t>
            </w:r>
            <w:r w:rsidR="00845340" w:rsidRPr="00BE1C37">
              <w:rPr>
                <w:rFonts w:ascii="Times New Roman" w:hAnsi="Times New Roman"/>
              </w:rPr>
              <w:t>:</w:t>
            </w:r>
          </w:p>
          <w:p w14:paraId="5CB4B458" w14:textId="77777777" w:rsidR="00561471" w:rsidRPr="00BE1C37" w:rsidRDefault="00BE1C37" w:rsidP="00CB4203">
            <w:pPr>
              <w:pStyle w:val="BodyText2"/>
              <w:numPr>
                <w:ilvl w:val="0"/>
                <w:numId w:val="23"/>
              </w:numPr>
              <w:rPr>
                <w:rFonts w:ascii="Times New Roman" w:hAnsi="Times New Roman"/>
              </w:rPr>
            </w:pPr>
            <w:r w:rsidRPr="00BE1C37">
              <w:rPr>
                <w:rFonts w:ascii="Times New Roman" w:hAnsi="Times New Roman"/>
              </w:rPr>
              <w:t>Integrated and participatory approach to the conservation and sustainable use of biological diversity developed and tested in priority sites;</w:t>
            </w:r>
          </w:p>
          <w:p w14:paraId="1B77899C" w14:textId="7ED482AD" w:rsidR="00BE1C37" w:rsidRPr="00BE1C37" w:rsidRDefault="00BE1C37" w:rsidP="00CB4203">
            <w:pPr>
              <w:pStyle w:val="BodyText2"/>
              <w:numPr>
                <w:ilvl w:val="0"/>
                <w:numId w:val="23"/>
              </w:numPr>
              <w:rPr>
                <w:rFonts w:ascii="Times New Roman" w:hAnsi="Times New Roman"/>
              </w:rPr>
            </w:pPr>
            <w:r w:rsidRPr="00BE1C37">
              <w:rPr>
                <w:rFonts w:ascii="Times New Roman" w:hAnsi="Times New Roman"/>
              </w:rPr>
              <w:t xml:space="preserve">Caspian Sea: </w:t>
            </w:r>
            <w:r w:rsidR="00FE6B3A">
              <w:rPr>
                <w:rFonts w:ascii="Times New Roman" w:hAnsi="Times New Roman"/>
              </w:rPr>
              <w:t>r</w:t>
            </w:r>
            <w:r w:rsidRPr="00BE1C37">
              <w:rPr>
                <w:rFonts w:ascii="Times New Roman" w:hAnsi="Times New Roman"/>
              </w:rPr>
              <w:t xml:space="preserve">estoring </w:t>
            </w:r>
            <w:r w:rsidR="00FE6B3A">
              <w:rPr>
                <w:rFonts w:ascii="Times New Roman" w:hAnsi="Times New Roman"/>
              </w:rPr>
              <w:t>d</w:t>
            </w:r>
            <w:r w:rsidRPr="00BE1C37">
              <w:rPr>
                <w:rFonts w:ascii="Times New Roman" w:hAnsi="Times New Roman"/>
              </w:rPr>
              <w:t xml:space="preserve">epleted </w:t>
            </w:r>
            <w:r w:rsidR="00FE6B3A">
              <w:rPr>
                <w:rFonts w:ascii="Times New Roman" w:hAnsi="Times New Roman"/>
              </w:rPr>
              <w:t>f</w:t>
            </w:r>
            <w:r w:rsidRPr="00BE1C37">
              <w:rPr>
                <w:rFonts w:ascii="Times New Roman" w:hAnsi="Times New Roman"/>
              </w:rPr>
              <w:t>isheries and consolidation of the permanent environment governance framework;</w:t>
            </w:r>
          </w:p>
          <w:p w14:paraId="53E6DFE4" w14:textId="77777777" w:rsidR="00BE1C37" w:rsidRPr="00BE1C37" w:rsidRDefault="00BE1C37" w:rsidP="00CB4203">
            <w:pPr>
              <w:pStyle w:val="BodyText2"/>
              <w:numPr>
                <w:ilvl w:val="0"/>
                <w:numId w:val="23"/>
              </w:numPr>
              <w:rPr>
                <w:rFonts w:ascii="Times New Roman" w:hAnsi="Times New Roman"/>
              </w:rPr>
            </w:pPr>
            <w:r w:rsidRPr="00BE1C37">
              <w:rPr>
                <w:rFonts w:ascii="Times New Roman" w:hAnsi="Times New Roman"/>
              </w:rPr>
              <w:t>Central and local actor</w:t>
            </w:r>
            <w:r w:rsidR="00852B3C">
              <w:rPr>
                <w:rFonts w:ascii="Times New Roman" w:hAnsi="Times New Roman"/>
              </w:rPr>
              <w:t>s</w:t>
            </w:r>
            <w:r w:rsidRPr="00BE1C37">
              <w:rPr>
                <w:rFonts w:ascii="Times New Roman" w:hAnsi="Times New Roman"/>
              </w:rPr>
              <w:t xml:space="preserve"> acquire tools and methodologies for IWRM implementation and fostering a trans-boundary dialogue;</w:t>
            </w:r>
          </w:p>
          <w:p w14:paraId="5B280CD6" w14:textId="0D8B8924" w:rsidR="00BE1C37" w:rsidRPr="00BE1C37" w:rsidRDefault="00BE1C37" w:rsidP="00CB4203">
            <w:pPr>
              <w:pStyle w:val="BodyText2"/>
              <w:numPr>
                <w:ilvl w:val="0"/>
                <w:numId w:val="23"/>
              </w:numPr>
              <w:rPr>
                <w:rFonts w:ascii="Times New Roman" w:hAnsi="Times New Roman"/>
              </w:rPr>
            </w:pPr>
            <w:r w:rsidRPr="00BE1C37">
              <w:rPr>
                <w:rFonts w:ascii="Times New Roman" w:hAnsi="Times New Roman"/>
              </w:rPr>
              <w:t xml:space="preserve">Civil society organizations contribute to the environmental sustainability at </w:t>
            </w:r>
            <w:r w:rsidR="00FE6B3A">
              <w:rPr>
                <w:rFonts w:ascii="Times New Roman" w:hAnsi="Times New Roman"/>
              </w:rPr>
              <w:t xml:space="preserve">the </w:t>
            </w:r>
            <w:r w:rsidRPr="00BE1C37">
              <w:rPr>
                <w:rFonts w:ascii="Times New Roman" w:hAnsi="Times New Roman"/>
              </w:rPr>
              <w:t>local level.</w:t>
            </w:r>
          </w:p>
          <w:p w14:paraId="2A8153DF" w14:textId="77777777" w:rsidR="00700521" w:rsidRPr="00387EE7" w:rsidRDefault="008B06DD" w:rsidP="00CB4203">
            <w:pPr>
              <w:pStyle w:val="BodyText2"/>
              <w:rPr>
                <w:rFonts w:ascii="Times New Roman" w:hAnsi="Times New Roman"/>
                <w:u w:val="single"/>
              </w:rPr>
            </w:pPr>
            <w:r w:rsidRPr="00387EE7">
              <w:rPr>
                <w:rFonts w:ascii="Times New Roman" w:hAnsi="Times New Roman"/>
                <w:u w:val="single"/>
              </w:rPr>
              <w:t>Progress and Achievements</w:t>
            </w:r>
            <w:r w:rsidR="00845340" w:rsidRPr="00387EE7">
              <w:rPr>
                <w:rFonts w:ascii="Times New Roman" w:hAnsi="Times New Roman"/>
                <w:u w:val="single"/>
              </w:rPr>
              <w:t>:</w:t>
            </w:r>
          </w:p>
          <w:p w14:paraId="3E7B5B97" w14:textId="29314A70" w:rsidR="00852B3C" w:rsidRPr="00B04F6F" w:rsidRDefault="00BE1C37" w:rsidP="00CB4203">
            <w:pPr>
              <w:pStyle w:val="BodyText2"/>
              <w:rPr>
                <w:rFonts w:ascii="Times New Roman" w:hAnsi="Times New Roman"/>
              </w:rPr>
            </w:pPr>
            <w:r w:rsidRPr="00852B3C">
              <w:rPr>
                <w:rFonts w:ascii="Times New Roman" w:hAnsi="Times New Roman"/>
              </w:rPr>
              <w:t>With the support of UNDP, one protected territory was established (</w:t>
            </w:r>
            <w:r w:rsidR="00852B3C" w:rsidRPr="00852B3C">
              <w:rPr>
                <w:rFonts w:ascii="Times New Roman" w:hAnsi="Times New Roman"/>
              </w:rPr>
              <w:t xml:space="preserve">Altyn Dala), and the other </w:t>
            </w:r>
            <w:r w:rsidR="00035FB6">
              <w:rPr>
                <w:rFonts w:ascii="Times New Roman" w:hAnsi="Times New Roman"/>
              </w:rPr>
              <w:t>five</w:t>
            </w:r>
            <w:r w:rsidR="00852B3C" w:rsidRPr="00852B3C">
              <w:rPr>
                <w:rFonts w:ascii="Times New Roman" w:hAnsi="Times New Roman"/>
              </w:rPr>
              <w:t xml:space="preserve"> territories were </w:t>
            </w:r>
            <w:r w:rsidRPr="00852B3C">
              <w:rPr>
                <w:rFonts w:ascii="Times New Roman" w:hAnsi="Times New Roman"/>
              </w:rPr>
              <w:t>expanded significantly</w:t>
            </w:r>
            <w:r w:rsidR="00852B3C" w:rsidRPr="00852B3C">
              <w:rPr>
                <w:rFonts w:ascii="Times New Roman" w:hAnsi="Times New Roman"/>
              </w:rPr>
              <w:t xml:space="preserve"> (covering the area of </w:t>
            </w:r>
            <w:r w:rsidRPr="00852B3C">
              <w:rPr>
                <w:rFonts w:ascii="Times New Roman" w:hAnsi="Times New Roman"/>
              </w:rPr>
              <w:t xml:space="preserve">more than </w:t>
            </w:r>
            <w:r w:rsidR="00AA51E9">
              <w:rPr>
                <w:rFonts w:ascii="Times New Roman" w:hAnsi="Times New Roman"/>
              </w:rPr>
              <w:t>two</w:t>
            </w:r>
            <w:r w:rsidRPr="00852B3C">
              <w:rPr>
                <w:rFonts w:ascii="Times New Roman" w:hAnsi="Times New Roman"/>
              </w:rPr>
              <w:t xml:space="preserve"> million hectares in total). In all sites, UNDP and the Government actively engaged local</w:t>
            </w:r>
            <w:r w:rsidR="00852B3C" w:rsidRPr="00852B3C">
              <w:rPr>
                <w:rFonts w:ascii="Times New Roman" w:hAnsi="Times New Roman"/>
              </w:rPr>
              <w:t xml:space="preserve"> communities (about 40-50,000 people) and involved them in the participatory decision-making processes for sustainable </w:t>
            </w:r>
            <w:r w:rsidR="008E492B">
              <w:rPr>
                <w:rFonts w:ascii="Times New Roman" w:hAnsi="Times New Roman"/>
              </w:rPr>
              <w:t>natural resource management</w:t>
            </w:r>
            <w:r w:rsidR="00852B3C" w:rsidRPr="00852B3C">
              <w:rPr>
                <w:rFonts w:ascii="Times New Roman" w:hAnsi="Times New Roman"/>
              </w:rPr>
              <w:t xml:space="preserve"> and livelihoods strategies. However, challenges still remain at the institutional level to scale up these best practices due to the lack of comprehensive coordination and ownership at the central level.  In regards to the restoration of the Caspian Sea, UNDP hosted UNOPS-executed project</w:t>
            </w:r>
            <w:r w:rsidR="00852B3C">
              <w:rPr>
                <w:rFonts w:ascii="Times New Roman" w:hAnsi="Times New Roman"/>
              </w:rPr>
              <w:t xml:space="preserve"> on Tehran Convention Ratification, and laid down institutional mechanisms to protect and restore the Caspian Sea fisheries by the </w:t>
            </w:r>
            <w:r w:rsidR="00FE6B3A">
              <w:rPr>
                <w:rFonts w:ascii="Times New Roman" w:hAnsi="Times New Roman"/>
              </w:rPr>
              <w:t>five</w:t>
            </w:r>
            <w:r w:rsidR="00852B3C">
              <w:rPr>
                <w:rFonts w:ascii="Times New Roman" w:hAnsi="Times New Roman"/>
              </w:rPr>
              <w:t xml:space="preserve"> signatory Caspian countries.  In regards to integrated water management, UNDP together with other </w:t>
            </w:r>
            <w:r w:rsidR="00B04F6F">
              <w:rPr>
                <w:rFonts w:ascii="Times New Roman" w:hAnsi="Times New Roman"/>
              </w:rPr>
              <w:t>countries (Kyrgyzstan, China)</w:t>
            </w:r>
            <w:r w:rsidR="00852B3C">
              <w:rPr>
                <w:rFonts w:ascii="Times New Roman" w:hAnsi="Times New Roman"/>
              </w:rPr>
              <w:t xml:space="preserve"> </w:t>
            </w:r>
            <w:r w:rsidR="00B04F6F">
              <w:rPr>
                <w:rFonts w:ascii="Times New Roman" w:hAnsi="Times New Roman"/>
              </w:rPr>
              <w:t xml:space="preserve">supported complex negotiation processes and water management principles for the Chui-Talas basin. A single water basin committee was established for coordination among the </w:t>
            </w:r>
            <w:r w:rsidR="00D26B13">
              <w:rPr>
                <w:rFonts w:ascii="Times New Roman" w:hAnsi="Times New Roman"/>
              </w:rPr>
              <w:t>neighboring</w:t>
            </w:r>
            <w:r w:rsidR="00B04F6F">
              <w:rPr>
                <w:rFonts w:ascii="Times New Roman" w:hAnsi="Times New Roman"/>
              </w:rPr>
              <w:t xml:space="preserve"> countries. </w:t>
            </w:r>
            <w:r w:rsidR="00852B3C" w:rsidRPr="00852B3C">
              <w:rPr>
                <w:rFonts w:ascii="Times New Roman" w:hAnsi="Times New Roman"/>
              </w:rPr>
              <w:t xml:space="preserve">UNDP </w:t>
            </w:r>
            <w:r w:rsidR="00B04F6F">
              <w:rPr>
                <w:rFonts w:ascii="Times New Roman" w:hAnsi="Times New Roman"/>
              </w:rPr>
              <w:t>continues to develop capacities of local civil society organizations: about 100 projects were financed by the GEF Small</w:t>
            </w:r>
            <w:r w:rsidR="00A5258A">
              <w:rPr>
                <w:rFonts w:ascii="Times New Roman" w:hAnsi="Times New Roman"/>
              </w:rPr>
              <w:t xml:space="preserve"> Grants Programme (totaling $</w:t>
            </w:r>
            <w:r w:rsidR="00B04F6F">
              <w:rPr>
                <w:rFonts w:ascii="Times New Roman" w:hAnsi="Times New Roman"/>
              </w:rPr>
              <w:t xml:space="preserve">2.5 million), which have been successfully implemented by community-based and civil society organizations. </w:t>
            </w:r>
          </w:p>
        </w:tc>
      </w:tr>
    </w:tbl>
    <w:p w14:paraId="43526AC4" w14:textId="77777777" w:rsidR="00D9192E" w:rsidRDefault="00D9192E" w:rsidP="00CB4203">
      <w:r>
        <w:br w:type="page"/>
      </w: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530"/>
        <w:gridCol w:w="67"/>
        <w:gridCol w:w="3803"/>
        <w:gridCol w:w="67"/>
        <w:gridCol w:w="5423"/>
      </w:tblGrid>
      <w:tr w:rsidR="003B037A" w:rsidRPr="00F01FDE" w14:paraId="1EA51A37" w14:textId="77777777" w:rsidTr="00C648DA">
        <w:tc>
          <w:tcPr>
            <w:tcW w:w="3150" w:type="dxa"/>
            <w:shd w:val="clear" w:color="auto" w:fill="95B3D7" w:themeFill="accent1" w:themeFillTint="99"/>
          </w:tcPr>
          <w:p w14:paraId="4BD6AADB" w14:textId="77777777" w:rsidR="003B037A" w:rsidRPr="00532D25" w:rsidRDefault="007A04EF" w:rsidP="00CB4203">
            <w:pPr>
              <w:pStyle w:val="BodyText2"/>
              <w:rPr>
                <w:rFonts w:ascii="Times New Roman" w:hAnsi="Times New Roman"/>
                <w:b/>
              </w:rPr>
            </w:pPr>
            <w:r w:rsidRPr="00532D25">
              <w:rPr>
                <w:rFonts w:ascii="Times New Roman" w:hAnsi="Times New Roman"/>
                <w:b/>
              </w:rPr>
              <w:lastRenderedPageBreak/>
              <w:t xml:space="preserve">The Government, industries and civil society take steps to adapt to climate change and mitigate its impact through energy efficiency measures and climate change adaptation policies. </w:t>
            </w:r>
          </w:p>
        </w:tc>
        <w:tc>
          <w:tcPr>
            <w:tcW w:w="1597" w:type="dxa"/>
            <w:gridSpan w:val="2"/>
            <w:shd w:val="clear" w:color="auto" w:fill="auto"/>
          </w:tcPr>
          <w:p w14:paraId="0565829B" w14:textId="74BCED6D" w:rsidR="003B037A" w:rsidRPr="00F01FDE" w:rsidRDefault="00C648DA" w:rsidP="00D57349">
            <w:pPr>
              <w:pStyle w:val="BodyText2"/>
              <w:rPr>
                <w:rFonts w:ascii="Times New Roman" w:hAnsi="Times New Roman"/>
              </w:rPr>
            </w:pPr>
            <w:r>
              <w:rPr>
                <w:rFonts w:ascii="Times New Roman" w:hAnsi="Times New Roman"/>
              </w:rPr>
              <w:t>$</w:t>
            </w:r>
            <w:r w:rsidR="00D57349">
              <w:rPr>
                <w:rFonts w:ascii="Times New Roman" w:hAnsi="Times New Roman"/>
              </w:rPr>
              <w:t>16,050,000</w:t>
            </w:r>
          </w:p>
        </w:tc>
        <w:tc>
          <w:tcPr>
            <w:tcW w:w="3803" w:type="dxa"/>
            <w:tcBorders>
              <w:left w:val="single" w:sz="4" w:space="0" w:color="auto"/>
            </w:tcBorders>
          </w:tcPr>
          <w:p w14:paraId="22502F21" w14:textId="77777777" w:rsidR="003B037A" w:rsidRDefault="003659EF" w:rsidP="00CB4203">
            <w:pPr>
              <w:pStyle w:val="BodyText2"/>
              <w:numPr>
                <w:ilvl w:val="0"/>
                <w:numId w:val="24"/>
              </w:numPr>
              <w:rPr>
                <w:rFonts w:ascii="Times New Roman" w:hAnsi="Times New Roman"/>
              </w:rPr>
            </w:pPr>
            <w:r>
              <w:rPr>
                <w:rFonts w:ascii="Times New Roman" w:hAnsi="Times New Roman"/>
              </w:rPr>
              <w:t>Special normative acts on energy efficiency and energy-saving developed and adapted;</w:t>
            </w:r>
          </w:p>
          <w:p w14:paraId="792CCF04" w14:textId="0EED746C" w:rsidR="003659EF" w:rsidRDefault="003659EF" w:rsidP="00CB4203">
            <w:pPr>
              <w:pStyle w:val="BodyText2"/>
              <w:numPr>
                <w:ilvl w:val="0"/>
                <w:numId w:val="24"/>
              </w:numPr>
              <w:rPr>
                <w:rFonts w:ascii="Times New Roman" w:hAnsi="Times New Roman"/>
              </w:rPr>
            </w:pPr>
            <w:r>
              <w:rPr>
                <w:rFonts w:ascii="Times New Roman" w:hAnsi="Times New Roman"/>
              </w:rPr>
              <w:t>Number of economic instruments for introduction of energy efficiency principles</w:t>
            </w:r>
            <w:r w:rsidR="00DF0A19">
              <w:rPr>
                <w:rFonts w:ascii="Times New Roman" w:hAnsi="Times New Roman"/>
              </w:rPr>
              <w:t>;</w:t>
            </w:r>
          </w:p>
          <w:p w14:paraId="470EB7FA" w14:textId="77777777" w:rsidR="003659EF" w:rsidRPr="003659EF" w:rsidRDefault="003659EF" w:rsidP="00CB4203">
            <w:pPr>
              <w:pStyle w:val="BodyText2"/>
              <w:numPr>
                <w:ilvl w:val="0"/>
                <w:numId w:val="24"/>
              </w:numPr>
              <w:rPr>
                <w:rFonts w:ascii="Times New Roman" w:hAnsi="Times New Roman"/>
              </w:rPr>
            </w:pPr>
            <w:r>
              <w:rPr>
                <w:rFonts w:ascii="Times New Roman" w:hAnsi="Times New Roman"/>
              </w:rPr>
              <w:t xml:space="preserve">National low-carbon development policy and principles mainstreaming into national development strategy. </w:t>
            </w:r>
          </w:p>
        </w:tc>
        <w:tc>
          <w:tcPr>
            <w:tcW w:w="5490" w:type="dxa"/>
            <w:gridSpan w:val="2"/>
            <w:shd w:val="clear" w:color="auto" w:fill="auto"/>
          </w:tcPr>
          <w:p w14:paraId="1AB4BE79" w14:textId="4797F824" w:rsidR="00733D39" w:rsidRPr="00D26B13" w:rsidRDefault="00733D39" w:rsidP="00CB4203">
            <w:pPr>
              <w:pStyle w:val="BodyText2"/>
              <w:numPr>
                <w:ilvl w:val="0"/>
                <w:numId w:val="25"/>
              </w:numPr>
              <w:rPr>
                <w:rFonts w:ascii="Times New Roman" w:hAnsi="Times New Roman"/>
              </w:rPr>
            </w:pPr>
            <w:r w:rsidRPr="00D26B13">
              <w:rPr>
                <w:rFonts w:ascii="Times New Roman" w:hAnsi="Times New Roman"/>
              </w:rPr>
              <w:t>In 2012, the national law on energy efficiency was adopted, and the two national programmes</w:t>
            </w:r>
            <w:r w:rsidR="003179FD">
              <w:rPr>
                <w:rFonts w:ascii="Times New Roman" w:hAnsi="Times New Roman"/>
              </w:rPr>
              <w:t>—</w:t>
            </w:r>
            <w:r w:rsidRPr="00D26B13">
              <w:rPr>
                <w:rFonts w:ascii="Times New Roman" w:hAnsi="Times New Roman"/>
              </w:rPr>
              <w:t>Energy Efficiency 2020 and the Modernization of Housing and Municipal Infrastructure</w:t>
            </w:r>
            <w:r w:rsidR="003179FD">
              <w:rPr>
                <w:rFonts w:ascii="Times New Roman" w:hAnsi="Times New Roman"/>
              </w:rPr>
              <w:t>—</w:t>
            </w:r>
            <w:r w:rsidRPr="00D26B13">
              <w:rPr>
                <w:rFonts w:ascii="Times New Roman" w:hAnsi="Times New Roman"/>
              </w:rPr>
              <w:t>were launched; the new concepts on thermal upgrade and energy service providers (ESCOs) were introduced, which clearly delineates roles and responsibilities of public and private institutions. More than 47 normative acts in this a</w:t>
            </w:r>
            <w:r w:rsidR="007D2BBE">
              <w:rPr>
                <w:rFonts w:ascii="Times New Roman" w:hAnsi="Times New Roman"/>
              </w:rPr>
              <w:t>rea were</w:t>
            </w:r>
            <w:r w:rsidRPr="00D26B13">
              <w:rPr>
                <w:rFonts w:ascii="Times New Roman" w:hAnsi="Times New Roman"/>
              </w:rPr>
              <w:t xml:space="preserve"> introduced with UNDP support.</w:t>
            </w:r>
          </w:p>
          <w:p w14:paraId="22FBFAD4" w14:textId="04800C3F" w:rsidR="00733D39" w:rsidRPr="00D26B13" w:rsidRDefault="00733D39" w:rsidP="00CB4203">
            <w:pPr>
              <w:pStyle w:val="BodyText2"/>
              <w:numPr>
                <w:ilvl w:val="0"/>
                <w:numId w:val="25"/>
              </w:numPr>
              <w:rPr>
                <w:rFonts w:ascii="Times New Roman" w:hAnsi="Times New Roman"/>
              </w:rPr>
            </w:pPr>
            <w:r w:rsidRPr="00D26B13">
              <w:rPr>
                <w:rFonts w:ascii="Times New Roman" w:hAnsi="Times New Roman"/>
              </w:rPr>
              <w:t xml:space="preserve">Three innovative economic instruments to promote energy efficiency were launched: energy service companies (ESCOs), mechanisms of </w:t>
            </w:r>
            <w:r w:rsidR="00D26B13">
              <w:rPr>
                <w:rFonts w:ascii="Times New Roman" w:hAnsi="Times New Roman"/>
              </w:rPr>
              <w:t xml:space="preserve">public subsidies, and </w:t>
            </w:r>
            <w:r w:rsidRPr="00D26B13">
              <w:rPr>
                <w:rFonts w:ascii="Times New Roman" w:hAnsi="Times New Roman"/>
              </w:rPr>
              <w:t>credits</w:t>
            </w:r>
            <w:r w:rsidR="00D26B13">
              <w:rPr>
                <w:rFonts w:ascii="Times New Roman" w:hAnsi="Times New Roman"/>
              </w:rPr>
              <w:t>/system of positive incentives</w:t>
            </w:r>
            <w:r w:rsidRPr="00D26B13">
              <w:rPr>
                <w:rFonts w:ascii="Times New Roman" w:hAnsi="Times New Roman"/>
              </w:rPr>
              <w:t xml:space="preserve"> for energy efficient businesses. Overall, around </w:t>
            </w:r>
            <w:r w:rsidR="00380856">
              <w:rPr>
                <w:rFonts w:ascii="Times New Roman" w:hAnsi="Times New Roman"/>
              </w:rPr>
              <w:t>$</w:t>
            </w:r>
            <w:r w:rsidRPr="00D26B13">
              <w:rPr>
                <w:rFonts w:ascii="Times New Roman" w:hAnsi="Times New Roman"/>
              </w:rPr>
              <w:t>48 million were invested into the energy efficiency mechanisms that generated</w:t>
            </w:r>
            <w:r w:rsidR="00D26B13">
              <w:rPr>
                <w:rFonts w:ascii="Times New Roman" w:hAnsi="Times New Roman"/>
              </w:rPr>
              <w:t xml:space="preserve"> decrease in CO2 emissions by</w:t>
            </w:r>
            <w:r w:rsidRPr="00D26B13">
              <w:rPr>
                <w:rFonts w:ascii="Times New Roman" w:hAnsi="Times New Roman"/>
              </w:rPr>
              <w:t xml:space="preserve"> 30,000 to 40,000 tons</w:t>
            </w:r>
            <w:r w:rsidR="006710DF">
              <w:rPr>
                <w:rFonts w:ascii="Times New Roman" w:hAnsi="Times New Roman"/>
              </w:rPr>
              <w:t xml:space="preserve"> (GEF evaluation 2013)</w:t>
            </w:r>
            <w:r w:rsidRPr="00D26B13">
              <w:rPr>
                <w:rFonts w:ascii="Times New Roman" w:hAnsi="Times New Roman"/>
              </w:rPr>
              <w:t xml:space="preserve">. </w:t>
            </w:r>
          </w:p>
          <w:p w14:paraId="37D26CCF" w14:textId="6218F5E7" w:rsidR="00532D25" w:rsidRPr="00F01FDE" w:rsidRDefault="00D26B13" w:rsidP="00CB4203">
            <w:pPr>
              <w:pStyle w:val="BodyText2"/>
              <w:numPr>
                <w:ilvl w:val="0"/>
                <w:numId w:val="25"/>
              </w:numPr>
              <w:rPr>
                <w:rFonts w:ascii="Times New Roman" w:hAnsi="Times New Roman"/>
              </w:rPr>
            </w:pPr>
            <w:r>
              <w:rPr>
                <w:rFonts w:ascii="Times New Roman" w:hAnsi="Times New Roman"/>
              </w:rPr>
              <w:t>T</w:t>
            </w:r>
            <w:r w:rsidRPr="00D26B13">
              <w:rPr>
                <w:rFonts w:ascii="Times New Roman" w:hAnsi="Times New Roman"/>
              </w:rPr>
              <w:t>he national Energy Efficiency pro</w:t>
            </w:r>
            <w:r>
              <w:rPr>
                <w:rFonts w:ascii="Times New Roman" w:hAnsi="Times New Roman"/>
              </w:rPr>
              <w:t xml:space="preserve">gramme was adopted </w:t>
            </w:r>
            <w:r w:rsidR="00151247">
              <w:rPr>
                <w:rFonts w:ascii="Times New Roman" w:hAnsi="Times New Roman"/>
              </w:rPr>
              <w:t>committing</w:t>
            </w:r>
            <w:r>
              <w:rPr>
                <w:rFonts w:ascii="Times New Roman" w:hAnsi="Times New Roman"/>
              </w:rPr>
              <w:t xml:space="preserve"> the country to the annual decrease in energy consumption by</w:t>
            </w:r>
            <w:r w:rsidR="00733D39" w:rsidRPr="00D26B13">
              <w:rPr>
                <w:rFonts w:ascii="Times New Roman" w:hAnsi="Times New Roman"/>
              </w:rPr>
              <w:t xml:space="preserve"> 2.5% by 2020</w:t>
            </w:r>
            <w:r>
              <w:rPr>
                <w:rFonts w:ascii="Times New Roman" w:hAnsi="Times New Roman"/>
              </w:rPr>
              <w:t>. Also a</w:t>
            </w:r>
            <w:r w:rsidR="00733D39" w:rsidRPr="00D26B13">
              <w:rPr>
                <w:rFonts w:ascii="Times New Roman" w:hAnsi="Times New Roman"/>
              </w:rPr>
              <w:t xml:space="preserve"> </w:t>
            </w:r>
            <w:r>
              <w:rPr>
                <w:rFonts w:ascii="Times New Roman" w:hAnsi="Times New Roman"/>
              </w:rPr>
              <w:t>b</w:t>
            </w:r>
            <w:r w:rsidR="00733D39" w:rsidRPr="00D26B13">
              <w:rPr>
                <w:rFonts w:ascii="Times New Roman" w:hAnsi="Times New Roman"/>
              </w:rPr>
              <w:t xml:space="preserve">roader </w:t>
            </w:r>
            <w:r>
              <w:rPr>
                <w:rFonts w:ascii="Times New Roman" w:hAnsi="Times New Roman"/>
              </w:rPr>
              <w:t xml:space="preserve">national </w:t>
            </w:r>
            <w:r w:rsidR="00733D39" w:rsidRPr="00D26B13">
              <w:rPr>
                <w:rFonts w:ascii="Times New Roman" w:hAnsi="Times New Roman"/>
              </w:rPr>
              <w:t>commitment to low-carbon development is pledged in the Green Economy Concept and in the Green Bridge Initiative, endorsed by 18 countries.</w:t>
            </w:r>
          </w:p>
        </w:tc>
      </w:tr>
      <w:tr w:rsidR="00DC4D86" w:rsidRPr="00DC7354" w14:paraId="15B2B1FB" w14:textId="77777777" w:rsidTr="00733D39">
        <w:tc>
          <w:tcPr>
            <w:tcW w:w="14040" w:type="dxa"/>
            <w:gridSpan w:val="6"/>
          </w:tcPr>
          <w:p w14:paraId="3EEB81BA" w14:textId="77777777" w:rsidR="00DC4D86" w:rsidRDefault="00DC4D86" w:rsidP="00CB4203">
            <w:pPr>
              <w:pStyle w:val="BodyText2"/>
              <w:rPr>
                <w:rFonts w:asciiTheme="minorHAnsi" w:hAnsiTheme="minorHAnsi"/>
                <w:b/>
              </w:rPr>
            </w:pPr>
            <w:r w:rsidRPr="00837C4B">
              <w:rPr>
                <w:rFonts w:asciiTheme="minorHAnsi" w:hAnsiTheme="minorHAnsi"/>
                <w:b/>
              </w:rPr>
              <w:t>UNDP Contribution:</w:t>
            </w:r>
          </w:p>
          <w:p w14:paraId="6BDC9CED" w14:textId="77777777" w:rsidR="00733D39" w:rsidRPr="00D26B13" w:rsidRDefault="00733D39" w:rsidP="00CB4203">
            <w:pPr>
              <w:pStyle w:val="BodyText2"/>
              <w:shd w:val="clear" w:color="auto" w:fill="FFFFFF" w:themeFill="background1"/>
              <w:rPr>
                <w:rFonts w:ascii="Times New Roman" w:hAnsi="Times New Roman"/>
                <w:u w:val="single"/>
              </w:rPr>
            </w:pPr>
            <w:r w:rsidRPr="00D26B13">
              <w:rPr>
                <w:rFonts w:ascii="Times New Roman" w:hAnsi="Times New Roman"/>
                <w:u w:val="single"/>
              </w:rPr>
              <w:t xml:space="preserve">CP Outputs: </w:t>
            </w:r>
          </w:p>
          <w:p w14:paraId="097D2092" w14:textId="77777777" w:rsidR="00733D39" w:rsidRPr="00D26B13" w:rsidRDefault="00733D39" w:rsidP="00CB4203">
            <w:pPr>
              <w:pStyle w:val="BodyText2"/>
              <w:numPr>
                <w:ilvl w:val="0"/>
                <w:numId w:val="23"/>
              </w:numPr>
              <w:shd w:val="clear" w:color="auto" w:fill="FFFFFF" w:themeFill="background1"/>
              <w:rPr>
                <w:rFonts w:ascii="Times New Roman" w:hAnsi="Times New Roman"/>
              </w:rPr>
            </w:pPr>
            <w:r w:rsidRPr="00D26B13">
              <w:rPr>
                <w:rFonts w:ascii="Times New Roman" w:hAnsi="Times New Roman"/>
              </w:rPr>
              <w:t xml:space="preserve">Comprehensive national climate change strategies (with a focus on economic sectors at risk, ecosystem vulnerability and adaptation needs) are developed to be further integrated into national development plans and sustainable development strategies; </w:t>
            </w:r>
          </w:p>
          <w:p w14:paraId="205726E1" w14:textId="77777777" w:rsidR="00733D39" w:rsidRPr="00D26B13" w:rsidRDefault="00733D39" w:rsidP="00CB4203">
            <w:pPr>
              <w:pStyle w:val="BodyText2"/>
              <w:numPr>
                <w:ilvl w:val="0"/>
                <w:numId w:val="23"/>
              </w:numPr>
              <w:shd w:val="clear" w:color="auto" w:fill="FFFFFF" w:themeFill="background1"/>
              <w:rPr>
                <w:rFonts w:ascii="Times New Roman" w:hAnsi="Times New Roman"/>
              </w:rPr>
            </w:pPr>
            <w:r w:rsidRPr="00D26B13">
              <w:rPr>
                <w:rFonts w:ascii="Times New Roman" w:hAnsi="Times New Roman"/>
              </w:rPr>
              <w:t xml:space="preserve">The Government and energy consumers are better equipped with knowledge, policies and pilot cases on renewable energy market regulations; </w:t>
            </w:r>
          </w:p>
          <w:p w14:paraId="4A7B5529" w14:textId="77777777" w:rsidR="00733D39" w:rsidRPr="00D26B13" w:rsidRDefault="00733D39" w:rsidP="00CB4203">
            <w:pPr>
              <w:pStyle w:val="BodyText2"/>
              <w:numPr>
                <w:ilvl w:val="0"/>
                <w:numId w:val="23"/>
              </w:numPr>
              <w:shd w:val="clear" w:color="auto" w:fill="FFFFFF" w:themeFill="background1"/>
              <w:rPr>
                <w:rFonts w:ascii="Times New Roman" w:hAnsi="Times New Roman"/>
              </w:rPr>
            </w:pPr>
            <w:r w:rsidRPr="00D26B13">
              <w:rPr>
                <w:rFonts w:ascii="Times New Roman" w:hAnsi="Times New Roman"/>
              </w:rPr>
              <w:t xml:space="preserve">The Government and energy consumers are better equipped with knowledge, policies and pilot cases on energy efficiency in sectors with high carbon dioxide emission levels; </w:t>
            </w:r>
          </w:p>
          <w:p w14:paraId="787EF469" w14:textId="77777777" w:rsidR="00733D39" w:rsidRPr="00D26B13" w:rsidRDefault="00733D39" w:rsidP="00CB4203">
            <w:pPr>
              <w:pStyle w:val="BodyText2"/>
              <w:numPr>
                <w:ilvl w:val="0"/>
                <w:numId w:val="23"/>
              </w:numPr>
              <w:shd w:val="clear" w:color="auto" w:fill="FFFFFF" w:themeFill="background1"/>
              <w:rPr>
                <w:rFonts w:ascii="Times New Roman" w:hAnsi="Times New Roman"/>
              </w:rPr>
            </w:pPr>
            <w:r w:rsidRPr="00D26B13">
              <w:rPr>
                <w:rFonts w:ascii="Times New Roman" w:hAnsi="Times New Roman"/>
              </w:rPr>
              <w:t xml:space="preserve">Improved regulation and practices developed for public transport in the City of Almaty. </w:t>
            </w:r>
          </w:p>
          <w:p w14:paraId="39735D47" w14:textId="21EF2D8B" w:rsidR="00733D39" w:rsidRPr="00D26B13" w:rsidRDefault="00733D39" w:rsidP="00CB4203">
            <w:pPr>
              <w:pStyle w:val="BodyText2"/>
              <w:shd w:val="clear" w:color="auto" w:fill="FFFFFF" w:themeFill="background1"/>
              <w:rPr>
                <w:rFonts w:ascii="Times New Roman" w:hAnsi="Times New Roman"/>
                <w:u w:val="single"/>
              </w:rPr>
            </w:pPr>
            <w:r w:rsidRPr="00D26B13">
              <w:rPr>
                <w:rFonts w:ascii="Times New Roman" w:hAnsi="Times New Roman"/>
                <w:u w:val="single"/>
              </w:rPr>
              <w:t>Progress and Achievements</w:t>
            </w:r>
            <w:r w:rsidR="00D90423">
              <w:rPr>
                <w:rFonts w:ascii="Times New Roman" w:hAnsi="Times New Roman"/>
                <w:u w:val="single"/>
              </w:rPr>
              <w:t>:</w:t>
            </w:r>
          </w:p>
          <w:p w14:paraId="19CE2D75" w14:textId="10B6D6F6" w:rsidR="00DC4D86" w:rsidRPr="00733D39" w:rsidRDefault="00733D39" w:rsidP="00CB4203">
            <w:pPr>
              <w:pStyle w:val="BodyText2"/>
              <w:shd w:val="clear" w:color="auto" w:fill="FFFFFF" w:themeFill="background1"/>
              <w:rPr>
                <w:rFonts w:asciiTheme="minorHAnsi" w:hAnsiTheme="minorHAnsi"/>
                <w:b/>
              </w:rPr>
            </w:pPr>
            <w:r w:rsidRPr="00D26B13">
              <w:rPr>
                <w:rFonts w:ascii="Times New Roman" w:hAnsi="Times New Roman"/>
              </w:rPr>
              <w:t>With the support of UNDP, the Government developed and endors</w:t>
            </w:r>
            <w:r w:rsidR="00D26B13">
              <w:rPr>
                <w:rFonts w:ascii="Times New Roman" w:hAnsi="Times New Roman"/>
              </w:rPr>
              <w:t>ed the Green Economy Concept, which defines</w:t>
            </w:r>
            <w:r w:rsidRPr="00D26B13">
              <w:rPr>
                <w:rFonts w:ascii="Times New Roman" w:hAnsi="Times New Roman"/>
              </w:rPr>
              <w:t xml:space="preserve"> the national strategy to low-carbon development. As a practical instrument for the Concept’s implementation, the Green Bridge Initiative was launched in 2013 and since then had been endorsed by 18 countries, which signed the Green Bridge Charter. </w:t>
            </w:r>
            <w:r w:rsidR="00D26B13">
              <w:rPr>
                <w:rFonts w:ascii="Times New Roman" w:hAnsi="Times New Roman"/>
              </w:rPr>
              <w:t xml:space="preserve">With UNDP support, the </w:t>
            </w:r>
            <w:r w:rsidRPr="00D26B13">
              <w:rPr>
                <w:rFonts w:ascii="Times New Roman" w:hAnsi="Times New Roman"/>
              </w:rPr>
              <w:t xml:space="preserve">Government spending on energy efficiency </w:t>
            </w:r>
            <w:r w:rsidR="00D26B13">
              <w:rPr>
                <w:rFonts w:ascii="Times New Roman" w:hAnsi="Times New Roman"/>
              </w:rPr>
              <w:t xml:space="preserve">measure grew substantially </w:t>
            </w:r>
            <w:r w:rsidR="00EB276F">
              <w:rPr>
                <w:rFonts w:ascii="Times New Roman" w:hAnsi="Times New Roman"/>
              </w:rPr>
              <w:t>during 2013-2015, with over $</w:t>
            </w:r>
            <w:r w:rsidRPr="00D26B13">
              <w:rPr>
                <w:rFonts w:ascii="Times New Roman" w:hAnsi="Times New Roman"/>
              </w:rPr>
              <w:t>2.6 b</w:t>
            </w:r>
            <w:r w:rsidR="00D26B13">
              <w:rPr>
                <w:rFonts w:ascii="Times New Roman" w:hAnsi="Times New Roman"/>
              </w:rPr>
              <w:t>illion already allocated to</w:t>
            </w:r>
            <w:r w:rsidRPr="00D26B13">
              <w:rPr>
                <w:rFonts w:ascii="Times New Roman" w:hAnsi="Times New Roman"/>
              </w:rPr>
              <w:t xml:space="preserve"> the National Programme on Modernization of Municipal Housing. The challenge is whether under the current economic slowdown the Government remains financially committed to the low-carbon development. By piloting innovative approaches, UNDP-GEF projects </w:t>
            </w:r>
            <w:r w:rsidR="00447D73">
              <w:rPr>
                <w:rFonts w:ascii="Times New Roman" w:hAnsi="Times New Roman"/>
              </w:rPr>
              <w:t xml:space="preserve">demonstrated through pilots the </w:t>
            </w:r>
            <w:r w:rsidR="00447D73" w:rsidRPr="00D26B13">
              <w:rPr>
                <w:rFonts w:ascii="Times New Roman" w:hAnsi="Times New Roman"/>
              </w:rPr>
              <w:t>real e</w:t>
            </w:r>
            <w:r w:rsidR="00447D73">
              <w:rPr>
                <w:rFonts w:ascii="Times New Roman" w:hAnsi="Times New Roman"/>
              </w:rPr>
              <w:t xml:space="preserve">conomic benefits </w:t>
            </w:r>
            <w:r w:rsidR="00447D73" w:rsidRPr="00D26B13">
              <w:rPr>
                <w:rFonts w:ascii="Times New Roman" w:hAnsi="Times New Roman"/>
              </w:rPr>
              <w:t>of energy efficiency</w:t>
            </w:r>
            <w:r w:rsidR="00447D73">
              <w:rPr>
                <w:rFonts w:ascii="Times New Roman" w:hAnsi="Times New Roman"/>
              </w:rPr>
              <w:t xml:space="preserve"> measures, and</w:t>
            </w:r>
            <w:r w:rsidR="00447D73" w:rsidRPr="00D26B13">
              <w:rPr>
                <w:rFonts w:ascii="Times New Roman" w:hAnsi="Times New Roman"/>
              </w:rPr>
              <w:t xml:space="preserve"> </w:t>
            </w:r>
            <w:r w:rsidRPr="00D26B13">
              <w:rPr>
                <w:rFonts w:ascii="Times New Roman" w:hAnsi="Times New Roman"/>
              </w:rPr>
              <w:t>provided key policy makers, local municipalities and grassroots communities with</w:t>
            </w:r>
            <w:r w:rsidR="00447D73">
              <w:rPr>
                <w:rFonts w:ascii="Times New Roman" w:hAnsi="Times New Roman"/>
              </w:rPr>
              <w:t xml:space="preserve"> capacities and knowledge on best practices</w:t>
            </w:r>
            <w:r w:rsidRPr="00D26B13">
              <w:rPr>
                <w:rFonts w:ascii="Times New Roman" w:hAnsi="Times New Roman"/>
              </w:rPr>
              <w:t xml:space="preserve">. UNDP also </w:t>
            </w:r>
            <w:r w:rsidR="00447D73">
              <w:rPr>
                <w:rFonts w:ascii="Times New Roman" w:hAnsi="Times New Roman"/>
              </w:rPr>
              <w:lastRenderedPageBreak/>
              <w:t>contributed to the development of socially/environmentally responsible businesses, and in</w:t>
            </w:r>
            <w:r w:rsidRPr="00D26B13">
              <w:rPr>
                <w:rFonts w:ascii="Times New Roman" w:hAnsi="Times New Roman"/>
              </w:rPr>
              <w:t xml:space="preserve"> 2014 the first business-to-business one stop-shop was launched. It works as an exchange of ideas, business transactions and consultations in energy efficiency. In regards to the </w:t>
            </w:r>
            <w:r w:rsidR="00447D73">
              <w:rPr>
                <w:rFonts w:ascii="Times New Roman" w:hAnsi="Times New Roman"/>
              </w:rPr>
              <w:t xml:space="preserve">public transport in Almaty, </w:t>
            </w:r>
            <w:r w:rsidRPr="00D26B13">
              <w:rPr>
                <w:rFonts w:ascii="Times New Roman" w:hAnsi="Times New Roman"/>
              </w:rPr>
              <w:t xml:space="preserve">UNDP led the development and launch of the Almaty Sustainable Transport Strategy, persuaded the municipal authorities to commit to the urban bicycle lanes, Bus Rapid Transit and Light Rail Transit. Meanwhile, around 190 bus drivers were trained </w:t>
            </w:r>
            <w:r w:rsidR="00447D73">
              <w:rPr>
                <w:rFonts w:ascii="Times New Roman" w:hAnsi="Times New Roman"/>
              </w:rPr>
              <w:t xml:space="preserve">in </w:t>
            </w:r>
            <w:r w:rsidRPr="00D26B13">
              <w:rPr>
                <w:rFonts w:ascii="Times New Roman" w:hAnsi="Times New Roman"/>
              </w:rPr>
              <w:t>the sustainable driving skills</w:t>
            </w:r>
            <w:r w:rsidR="00447D73">
              <w:rPr>
                <w:rFonts w:ascii="Times New Roman" w:hAnsi="Times New Roman"/>
              </w:rPr>
              <w:t>,</w:t>
            </w:r>
            <w:r w:rsidRPr="00D26B13">
              <w:rPr>
                <w:rFonts w:ascii="Times New Roman" w:hAnsi="Times New Roman"/>
              </w:rPr>
              <w:t xml:space="preserve"> and the city is actively modernizing its public transport fleet </w:t>
            </w:r>
            <w:r w:rsidR="00447D73">
              <w:rPr>
                <w:rFonts w:ascii="Times New Roman" w:hAnsi="Times New Roman"/>
              </w:rPr>
              <w:t>(</w:t>
            </w:r>
            <w:r w:rsidRPr="00D26B13">
              <w:rPr>
                <w:rFonts w:ascii="Times New Roman" w:hAnsi="Times New Roman"/>
              </w:rPr>
              <w:t>with the gas-fueled busses</w:t>
            </w:r>
            <w:r w:rsidR="00447D73">
              <w:rPr>
                <w:rFonts w:ascii="Times New Roman" w:hAnsi="Times New Roman"/>
              </w:rPr>
              <w:t>)</w:t>
            </w:r>
            <w:r w:rsidRPr="00D26B13">
              <w:rPr>
                <w:rFonts w:ascii="Times New Roman" w:hAnsi="Times New Roman"/>
              </w:rPr>
              <w:t>.</w:t>
            </w:r>
          </w:p>
        </w:tc>
      </w:tr>
      <w:tr w:rsidR="00733D39" w:rsidRPr="00DC7354" w14:paraId="527B7A20" w14:textId="77777777" w:rsidTr="000765E9">
        <w:tc>
          <w:tcPr>
            <w:tcW w:w="3150" w:type="dxa"/>
            <w:shd w:val="clear" w:color="auto" w:fill="8DB3E2" w:themeFill="text2" w:themeFillTint="66"/>
          </w:tcPr>
          <w:p w14:paraId="0362A0CF" w14:textId="77777777" w:rsidR="00733D39" w:rsidRPr="00447D73" w:rsidRDefault="00733D39" w:rsidP="00CB4203">
            <w:pPr>
              <w:pStyle w:val="BodyText2"/>
              <w:rPr>
                <w:rFonts w:asciiTheme="minorHAnsi" w:hAnsiTheme="minorHAnsi"/>
                <w:b/>
              </w:rPr>
            </w:pPr>
            <w:r w:rsidRPr="00447D73">
              <w:rPr>
                <w:rFonts w:ascii="Times New Roman" w:hAnsi="Times New Roman"/>
                <w:b/>
              </w:rPr>
              <w:lastRenderedPageBreak/>
              <w:t>National authorities and communities are better prepared and respond to natural and man-made disasters</w:t>
            </w:r>
          </w:p>
        </w:tc>
        <w:tc>
          <w:tcPr>
            <w:tcW w:w="1597" w:type="dxa"/>
            <w:gridSpan w:val="2"/>
          </w:tcPr>
          <w:p w14:paraId="79BFE8A2" w14:textId="5BE9CCEB" w:rsidR="00733D39" w:rsidRPr="00240410" w:rsidRDefault="000765E9" w:rsidP="007752F4">
            <w:pPr>
              <w:pStyle w:val="BodyText2"/>
              <w:rPr>
                <w:rFonts w:ascii="Times New Roman" w:hAnsi="Times New Roman"/>
              </w:rPr>
            </w:pPr>
            <w:r>
              <w:rPr>
                <w:rFonts w:ascii="Times New Roman" w:hAnsi="Times New Roman"/>
              </w:rPr>
              <w:t>$</w:t>
            </w:r>
            <w:r w:rsidR="00D57349" w:rsidRPr="00240410">
              <w:rPr>
                <w:rFonts w:ascii="Times New Roman" w:hAnsi="Times New Roman"/>
              </w:rPr>
              <w:t>9,700,000</w:t>
            </w:r>
          </w:p>
        </w:tc>
        <w:tc>
          <w:tcPr>
            <w:tcW w:w="3870" w:type="dxa"/>
            <w:gridSpan w:val="2"/>
          </w:tcPr>
          <w:p w14:paraId="524C7AF9" w14:textId="77777777" w:rsidR="00733D39" w:rsidRPr="00447D73" w:rsidRDefault="00733D39" w:rsidP="000765E9">
            <w:pPr>
              <w:pStyle w:val="BodyText2"/>
              <w:numPr>
                <w:ilvl w:val="0"/>
                <w:numId w:val="26"/>
              </w:numPr>
              <w:ind w:left="1080"/>
              <w:rPr>
                <w:rFonts w:ascii="Times New Roman" w:hAnsi="Times New Roman"/>
              </w:rPr>
            </w:pPr>
            <w:r w:rsidRPr="00447D73">
              <w:rPr>
                <w:rFonts w:ascii="Times New Roman" w:hAnsi="Times New Roman"/>
              </w:rPr>
              <w:t>Involvement of civil society and communities in development, testing and implementing national disaster response and preparedness plans;</w:t>
            </w:r>
          </w:p>
          <w:p w14:paraId="5B16807E" w14:textId="77777777" w:rsidR="00733D39" w:rsidRDefault="00733D39" w:rsidP="000765E9">
            <w:pPr>
              <w:pStyle w:val="BodyText2"/>
              <w:numPr>
                <w:ilvl w:val="0"/>
                <w:numId w:val="26"/>
              </w:numPr>
              <w:ind w:left="1080"/>
              <w:rPr>
                <w:rFonts w:ascii="Times New Roman" w:hAnsi="Times New Roman"/>
              </w:rPr>
            </w:pPr>
            <w:r w:rsidRPr="00447D73">
              <w:rPr>
                <w:rFonts w:ascii="Times New Roman" w:hAnsi="Times New Roman"/>
              </w:rPr>
              <w:t>Best international practices in community preparedness reflected in national capacities and emergency preparedness plans;</w:t>
            </w:r>
          </w:p>
          <w:p w14:paraId="094C3A0B" w14:textId="71741377" w:rsidR="00733D39" w:rsidRPr="00447D73" w:rsidRDefault="00733D39" w:rsidP="000765E9">
            <w:pPr>
              <w:pStyle w:val="BodyText2"/>
              <w:numPr>
                <w:ilvl w:val="0"/>
                <w:numId w:val="26"/>
              </w:numPr>
              <w:ind w:left="1080"/>
              <w:rPr>
                <w:rFonts w:ascii="Times New Roman" w:hAnsi="Times New Roman"/>
              </w:rPr>
            </w:pPr>
            <w:r w:rsidRPr="00447D73">
              <w:rPr>
                <w:rFonts w:ascii="Times New Roman" w:hAnsi="Times New Roman"/>
              </w:rPr>
              <w:t xml:space="preserve">National legal and regulatory framework contain clear provisions for </w:t>
            </w:r>
            <w:r w:rsidR="00E671EB" w:rsidRPr="00E671EB">
              <w:rPr>
                <w:rFonts w:ascii="Times New Roman" w:hAnsi="Times New Roman"/>
              </w:rPr>
              <w:t>Polychlorinated Biphenyls</w:t>
            </w:r>
            <w:r w:rsidR="00E671EB">
              <w:rPr>
                <w:rFonts w:ascii="Times New Roman" w:hAnsi="Times New Roman"/>
              </w:rPr>
              <w:t xml:space="preserve"> (</w:t>
            </w:r>
            <w:r w:rsidRPr="00447D73">
              <w:rPr>
                <w:rFonts w:ascii="Times New Roman" w:hAnsi="Times New Roman"/>
              </w:rPr>
              <w:t>PCB</w:t>
            </w:r>
            <w:r w:rsidR="00E671EB">
              <w:rPr>
                <w:rFonts w:ascii="Times New Roman" w:hAnsi="Times New Roman"/>
              </w:rPr>
              <w:t>)</w:t>
            </w:r>
            <w:r w:rsidRPr="00447D73">
              <w:rPr>
                <w:rFonts w:ascii="Times New Roman" w:hAnsi="Times New Roman"/>
              </w:rPr>
              <w:t xml:space="preserve"> management.</w:t>
            </w:r>
          </w:p>
        </w:tc>
        <w:tc>
          <w:tcPr>
            <w:tcW w:w="5423" w:type="dxa"/>
          </w:tcPr>
          <w:p w14:paraId="4C5B6A6C" w14:textId="77777777" w:rsidR="00733D39" w:rsidRPr="00447D73" w:rsidRDefault="00733D39" w:rsidP="00CB4203">
            <w:pPr>
              <w:pStyle w:val="BodyText2"/>
              <w:numPr>
                <w:ilvl w:val="0"/>
                <w:numId w:val="27"/>
              </w:numPr>
              <w:rPr>
                <w:rFonts w:ascii="Times New Roman" w:hAnsi="Times New Roman"/>
              </w:rPr>
            </w:pPr>
            <w:r w:rsidRPr="00447D73">
              <w:rPr>
                <w:rFonts w:ascii="Times New Roman" w:hAnsi="Times New Roman"/>
              </w:rPr>
              <w:t>In Almaty Oblast 5 disaster response teams</w:t>
            </w:r>
            <w:r w:rsidR="00447D73">
              <w:rPr>
                <w:rFonts w:ascii="Times New Roman" w:hAnsi="Times New Roman"/>
              </w:rPr>
              <w:t xml:space="preserve"> from local communities were formed, trained and equipped. During</w:t>
            </w:r>
            <w:r w:rsidRPr="00447D73">
              <w:rPr>
                <w:rFonts w:ascii="Times New Roman" w:hAnsi="Times New Roman"/>
              </w:rPr>
              <w:t xml:space="preserve"> 2013-2014 these response teams assisted in </w:t>
            </w:r>
            <w:r w:rsidR="00447D73">
              <w:rPr>
                <w:rFonts w:ascii="Times New Roman" w:hAnsi="Times New Roman"/>
              </w:rPr>
              <w:t xml:space="preserve">the </w:t>
            </w:r>
            <w:r w:rsidRPr="00447D73">
              <w:rPr>
                <w:rFonts w:ascii="Times New Roman" w:hAnsi="Times New Roman"/>
              </w:rPr>
              <w:t>disaster response to the local floods and forest fires in Tekeli and Karabulak settlement</w:t>
            </w:r>
            <w:r w:rsidR="00447D73">
              <w:rPr>
                <w:rFonts w:ascii="Times New Roman" w:hAnsi="Times New Roman"/>
              </w:rPr>
              <w:t>s</w:t>
            </w:r>
            <w:r w:rsidRPr="00447D73">
              <w:rPr>
                <w:rFonts w:ascii="Times New Roman" w:hAnsi="Times New Roman"/>
              </w:rPr>
              <w:t xml:space="preserve">. </w:t>
            </w:r>
          </w:p>
          <w:p w14:paraId="6A0E9470" w14:textId="77777777" w:rsidR="00733D39" w:rsidRPr="00447D73" w:rsidRDefault="00733D39" w:rsidP="00CB4203">
            <w:pPr>
              <w:pStyle w:val="BodyText2"/>
              <w:numPr>
                <w:ilvl w:val="0"/>
                <w:numId w:val="27"/>
              </w:numPr>
              <w:rPr>
                <w:rFonts w:ascii="Times New Roman" w:hAnsi="Times New Roman"/>
              </w:rPr>
            </w:pPr>
            <w:r w:rsidRPr="00447D73">
              <w:rPr>
                <w:rFonts w:ascii="Times New Roman" w:hAnsi="Times New Roman"/>
              </w:rPr>
              <w:t>The updated national preparedness plan reflects best practices on co</w:t>
            </w:r>
            <w:r w:rsidR="00447D73">
              <w:rPr>
                <w:rFonts w:ascii="Times New Roman" w:hAnsi="Times New Roman"/>
              </w:rPr>
              <w:t>mmunity-level DRR preparedness from the EC/EU</w:t>
            </w:r>
            <w:r w:rsidRPr="00447D73">
              <w:rPr>
                <w:rFonts w:ascii="Times New Roman" w:hAnsi="Times New Roman"/>
              </w:rPr>
              <w:t xml:space="preserve">. In particular, </w:t>
            </w:r>
            <w:r w:rsidR="00447D73">
              <w:rPr>
                <w:rFonts w:ascii="Times New Roman" w:hAnsi="Times New Roman"/>
              </w:rPr>
              <w:t>the EC</w:t>
            </w:r>
            <w:r w:rsidRPr="00447D73">
              <w:rPr>
                <w:rFonts w:ascii="Times New Roman" w:hAnsi="Times New Roman"/>
              </w:rPr>
              <w:t xml:space="preserve"> practices were reflected in the local disaster risk assessmen</w:t>
            </w:r>
            <w:r w:rsidR="00447D73">
              <w:rPr>
                <w:rFonts w:ascii="Times New Roman" w:hAnsi="Times New Roman"/>
              </w:rPr>
              <w:t>ts (3 local schools in the Almaty Region)</w:t>
            </w:r>
            <w:r w:rsidRPr="00447D73">
              <w:rPr>
                <w:rFonts w:ascii="Times New Roman" w:hAnsi="Times New Roman"/>
              </w:rPr>
              <w:t xml:space="preserve">. </w:t>
            </w:r>
          </w:p>
          <w:p w14:paraId="4C617968" w14:textId="77777777" w:rsidR="00733D39" w:rsidRPr="00447D73" w:rsidRDefault="00733D39" w:rsidP="00CB4203">
            <w:pPr>
              <w:pStyle w:val="BodyText2"/>
              <w:numPr>
                <w:ilvl w:val="0"/>
                <w:numId w:val="27"/>
              </w:numPr>
              <w:rPr>
                <w:rFonts w:ascii="Times New Roman" w:hAnsi="Times New Roman"/>
              </w:rPr>
            </w:pPr>
            <w:r w:rsidRPr="00447D73">
              <w:rPr>
                <w:rFonts w:ascii="Times New Roman" w:hAnsi="Times New Roman"/>
              </w:rPr>
              <w:t>UNDP facilitated the development and approval of the legislative and regulatory framework</w:t>
            </w:r>
            <w:r w:rsidR="00447D73">
              <w:rPr>
                <w:rFonts w:ascii="Times New Roman" w:hAnsi="Times New Roman"/>
              </w:rPr>
              <w:t>s</w:t>
            </w:r>
            <w:r w:rsidRPr="00447D73">
              <w:rPr>
                <w:rFonts w:ascii="Times New Roman" w:hAnsi="Times New Roman"/>
              </w:rPr>
              <w:t>, in particular 11 amendments to the EcoCode, 3 amendments to the “Standard List of Environmental Activities” a</w:t>
            </w:r>
            <w:r w:rsidR="00447D73">
              <w:rPr>
                <w:rFonts w:ascii="Times New Roman" w:hAnsi="Times New Roman"/>
              </w:rPr>
              <w:t xml:space="preserve">pplicable to economic entities; </w:t>
            </w:r>
            <w:r w:rsidRPr="00447D73">
              <w:rPr>
                <w:rFonts w:ascii="Times New Roman" w:hAnsi="Times New Roman"/>
              </w:rPr>
              <w:t>"Rules for handling Persistent Organic Pollutants (P</w:t>
            </w:r>
            <w:r w:rsidR="00447D73">
              <w:rPr>
                <w:rFonts w:ascii="Times New Roman" w:hAnsi="Times New Roman"/>
              </w:rPr>
              <w:t>OPs) and POPs containing waste.”</w:t>
            </w:r>
            <w:r w:rsidRPr="00447D73">
              <w:rPr>
                <w:rFonts w:ascii="Times New Roman" w:hAnsi="Times New Roman"/>
              </w:rPr>
              <w:t xml:space="preserve"> 7 additional amendments to the EcoCode were proposed and submitted for approval in 2015.</w:t>
            </w:r>
          </w:p>
        </w:tc>
      </w:tr>
      <w:tr w:rsidR="00733D39" w:rsidRPr="00DC7354" w14:paraId="19608987" w14:textId="77777777" w:rsidTr="00CF57CD">
        <w:trPr>
          <w:trHeight w:val="1160"/>
        </w:trPr>
        <w:tc>
          <w:tcPr>
            <w:tcW w:w="14040" w:type="dxa"/>
            <w:gridSpan w:val="6"/>
            <w:shd w:val="clear" w:color="auto" w:fill="FFFFFF" w:themeFill="background1"/>
          </w:tcPr>
          <w:p w14:paraId="6608F451" w14:textId="77777777" w:rsidR="00733D39" w:rsidRPr="00447D73" w:rsidRDefault="00733D39" w:rsidP="00CB4203">
            <w:pPr>
              <w:pStyle w:val="BodyText2"/>
              <w:rPr>
                <w:rFonts w:asciiTheme="minorHAnsi" w:hAnsiTheme="minorHAnsi"/>
                <w:b/>
              </w:rPr>
            </w:pPr>
            <w:r w:rsidRPr="00447D73">
              <w:rPr>
                <w:rFonts w:asciiTheme="minorHAnsi" w:hAnsiTheme="minorHAnsi"/>
                <w:b/>
              </w:rPr>
              <w:t>UNDP Contribution:</w:t>
            </w:r>
          </w:p>
          <w:p w14:paraId="0091A757" w14:textId="77777777" w:rsidR="00733D39" w:rsidRPr="007D2BBE" w:rsidRDefault="00733D39" w:rsidP="00CB4203">
            <w:pPr>
              <w:pStyle w:val="BodyText2"/>
              <w:rPr>
                <w:rFonts w:ascii="Times New Roman" w:hAnsi="Times New Roman"/>
                <w:u w:val="single"/>
              </w:rPr>
            </w:pPr>
            <w:r w:rsidRPr="007D2BBE">
              <w:rPr>
                <w:rFonts w:ascii="Times New Roman" w:hAnsi="Times New Roman"/>
                <w:u w:val="single"/>
              </w:rPr>
              <w:t xml:space="preserve">CP Outputs: </w:t>
            </w:r>
          </w:p>
          <w:p w14:paraId="6ECD54E6" w14:textId="77777777" w:rsidR="00733D39" w:rsidRPr="007D2BBE" w:rsidRDefault="00733D39" w:rsidP="00CB4203">
            <w:pPr>
              <w:pStyle w:val="BodyText2"/>
              <w:numPr>
                <w:ilvl w:val="0"/>
                <w:numId w:val="23"/>
              </w:numPr>
              <w:rPr>
                <w:rFonts w:ascii="Times New Roman" w:hAnsi="Times New Roman"/>
              </w:rPr>
            </w:pPr>
            <w:r w:rsidRPr="007D2BBE">
              <w:rPr>
                <w:rFonts w:ascii="Times New Roman" w:hAnsi="Times New Roman"/>
              </w:rPr>
              <w:t xml:space="preserve">Government capacity to prepare and respond to disaster at community level and to lead and participate in international and regional disaster management partnerships is enhanced; </w:t>
            </w:r>
          </w:p>
          <w:p w14:paraId="563EE069" w14:textId="77777777" w:rsidR="00733D39" w:rsidRPr="007D2BBE" w:rsidRDefault="007D2BBE" w:rsidP="00CB4203">
            <w:pPr>
              <w:pStyle w:val="BodyText2"/>
              <w:numPr>
                <w:ilvl w:val="0"/>
                <w:numId w:val="23"/>
              </w:numPr>
              <w:rPr>
                <w:rFonts w:ascii="Times New Roman" w:hAnsi="Times New Roman"/>
              </w:rPr>
            </w:pPr>
            <w:r w:rsidRPr="007D2BBE">
              <w:rPr>
                <w:rFonts w:ascii="Times New Roman" w:hAnsi="Times New Roman"/>
              </w:rPr>
              <w:t>The Ministry of E</w:t>
            </w:r>
            <w:r w:rsidR="00733D39" w:rsidRPr="007D2BBE">
              <w:rPr>
                <w:rFonts w:ascii="Times New Roman" w:hAnsi="Times New Roman"/>
              </w:rPr>
              <w:t xml:space="preserve">nvironment, local governments and industries have enhanced technical capacities for management, safeguarding and disposal of hazardous waste as well as for phasing out ozone depleting substances. </w:t>
            </w:r>
          </w:p>
          <w:p w14:paraId="4533EDE4" w14:textId="0D1BBADD" w:rsidR="00733D39" w:rsidRPr="007D2BBE" w:rsidRDefault="00733D39" w:rsidP="00CB4203">
            <w:pPr>
              <w:pStyle w:val="BodyText2"/>
              <w:rPr>
                <w:rFonts w:ascii="Times New Roman" w:hAnsi="Times New Roman"/>
                <w:u w:val="single"/>
              </w:rPr>
            </w:pPr>
            <w:r w:rsidRPr="007D2BBE">
              <w:rPr>
                <w:rFonts w:ascii="Times New Roman" w:hAnsi="Times New Roman"/>
                <w:u w:val="single"/>
              </w:rPr>
              <w:t>Progress and Achievements</w:t>
            </w:r>
            <w:r w:rsidR="004C4B9C">
              <w:rPr>
                <w:rFonts w:ascii="Times New Roman" w:hAnsi="Times New Roman"/>
                <w:u w:val="single"/>
              </w:rPr>
              <w:t>:</w:t>
            </w:r>
          </w:p>
          <w:p w14:paraId="743A242F" w14:textId="77777777" w:rsidR="00733D39" w:rsidRDefault="00733D39" w:rsidP="00CB4203">
            <w:pPr>
              <w:pStyle w:val="BodyText2"/>
              <w:rPr>
                <w:rFonts w:ascii="Times New Roman" w:hAnsi="Times New Roman"/>
              </w:rPr>
            </w:pPr>
            <w:r w:rsidRPr="007D2BBE">
              <w:rPr>
                <w:rFonts w:ascii="Times New Roman" w:hAnsi="Times New Roman"/>
              </w:rPr>
              <w:t xml:space="preserve">UNDP designed the first local community-based risk assessment tool that was </w:t>
            </w:r>
            <w:r w:rsidR="007D2BBE">
              <w:rPr>
                <w:rFonts w:ascii="Times New Roman" w:hAnsi="Times New Roman"/>
              </w:rPr>
              <w:t>endorsed by the Inter-Agency</w:t>
            </w:r>
            <w:r w:rsidRPr="007D2BBE">
              <w:rPr>
                <w:rFonts w:ascii="Times New Roman" w:hAnsi="Times New Roman"/>
              </w:rPr>
              <w:t xml:space="preserve"> Government Commission on Emergency Situations for </w:t>
            </w:r>
            <w:r w:rsidR="007D2BBE">
              <w:rPr>
                <w:rFonts w:ascii="Times New Roman" w:hAnsi="Times New Roman"/>
              </w:rPr>
              <w:t xml:space="preserve">the </w:t>
            </w:r>
            <w:r w:rsidRPr="007D2BBE">
              <w:rPr>
                <w:rFonts w:ascii="Times New Roman" w:hAnsi="Times New Roman"/>
              </w:rPr>
              <w:t xml:space="preserve">use in disaster preparedness annual planning at </w:t>
            </w:r>
            <w:r w:rsidR="007D2BBE">
              <w:rPr>
                <w:rFonts w:ascii="Times New Roman" w:hAnsi="Times New Roman"/>
              </w:rPr>
              <w:t xml:space="preserve">the </w:t>
            </w:r>
            <w:r w:rsidRPr="007D2BBE">
              <w:rPr>
                <w:rFonts w:ascii="Times New Roman" w:hAnsi="Times New Roman"/>
              </w:rPr>
              <w:t>regional level. Along with the national partners</w:t>
            </w:r>
            <w:r w:rsidR="007D2BBE">
              <w:rPr>
                <w:rFonts w:ascii="Times New Roman" w:hAnsi="Times New Roman"/>
              </w:rPr>
              <w:t>,</w:t>
            </w:r>
            <w:r w:rsidRPr="007D2BBE">
              <w:rPr>
                <w:rFonts w:ascii="Times New Roman" w:hAnsi="Times New Roman"/>
              </w:rPr>
              <w:t xml:space="preserve"> UNDP facilitated </w:t>
            </w:r>
            <w:r w:rsidR="007D2BBE">
              <w:rPr>
                <w:rFonts w:ascii="Times New Roman" w:hAnsi="Times New Roman"/>
              </w:rPr>
              <w:t xml:space="preserve">the </w:t>
            </w:r>
            <w:r w:rsidRPr="007D2BBE">
              <w:rPr>
                <w:rFonts w:ascii="Times New Roman" w:hAnsi="Times New Roman"/>
              </w:rPr>
              <w:t>establishment of the local disaster management committees in Almaty region, made up of local volunteer</w:t>
            </w:r>
            <w:r w:rsidR="007D2BBE">
              <w:rPr>
                <w:rFonts w:ascii="Times New Roman" w:hAnsi="Times New Roman"/>
              </w:rPr>
              <w:t>s, and further engaged them in</w:t>
            </w:r>
            <w:r w:rsidRPr="007D2BBE">
              <w:rPr>
                <w:rFonts w:ascii="Times New Roman" w:hAnsi="Times New Roman"/>
              </w:rPr>
              <w:t xml:space="preserve"> the small scale structural mitigation projects. Around 70 disaster response professionals were capacitated in disaster risk assessment and management at the local level, coordination of local communities, local akimats and local committees of other relevant public bodies. The National and Almaty Oblast local Preparedness Plans to the natural disasters are being updated and will be officially endorsed in 2015. </w:t>
            </w:r>
          </w:p>
          <w:p w14:paraId="758B0F8A" w14:textId="77777777" w:rsidR="007D2BBE" w:rsidRDefault="007D2BBE" w:rsidP="00CB4203">
            <w:pPr>
              <w:pStyle w:val="BodyText2"/>
              <w:rPr>
                <w:rFonts w:ascii="Times New Roman" w:hAnsi="Times New Roman"/>
              </w:rPr>
            </w:pPr>
          </w:p>
          <w:p w14:paraId="72E013B2" w14:textId="77777777" w:rsidR="00733D39" w:rsidRPr="00447D73" w:rsidRDefault="007D2BBE" w:rsidP="00CB4203">
            <w:pPr>
              <w:pStyle w:val="BodyText2"/>
              <w:rPr>
                <w:rFonts w:ascii="Times New Roman" w:hAnsi="Times New Roman"/>
              </w:rPr>
            </w:pPr>
            <w:r w:rsidRPr="007D2BBE">
              <w:rPr>
                <w:rFonts w:ascii="Times New Roman" w:hAnsi="Times New Roman"/>
                <w:color w:val="000000"/>
              </w:rPr>
              <w:t xml:space="preserve">UNDP </w:t>
            </w:r>
            <w:r>
              <w:rPr>
                <w:rFonts w:ascii="Times New Roman" w:hAnsi="Times New Roman"/>
                <w:color w:val="000000"/>
              </w:rPr>
              <w:t>tested and developed a national</w:t>
            </w:r>
            <w:r w:rsidRPr="007D2BBE">
              <w:rPr>
                <w:rFonts w:ascii="Times New Roman" w:hAnsi="Times New Roman"/>
                <w:color w:val="000000"/>
              </w:rPr>
              <w:t xml:space="preserve"> system </w:t>
            </w:r>
            <w:r>
              <w:rPr>
                <w:rFonts w:ascii="Times New Roman" w:hAnsi="Times New Roman"/>
                <w:color w:val="000000"/>
              </w:rPr>
              <w:t xml:space="preserve">of effective </w:t>
            </w:r>
            <w:r w:rsidRPr="007D2BBE">
              <w:rPr>
                <w:rFonts w:ascii="Times New Roman" w:hAnsi="Times New Roman"/>
                <w:color w:val="000000"/>
              </w:rPr>
              <w:t xml:space="preserve">management of PCBs, and has demonstrated the functioning of this system through the disposal of 80 tons of PCB oils and associated wastes. This approach is tested through the disposal of 150 tons of PCB containing capacitors. Sound PCB management system is further strengthened through training of </w:t>
            </w:r>
            <w:r w:rsidRPr="007D2BBE">
              <w:rPr>
                <w:rFonts w:ascii="Times New Roman" w:eastAsia="MS Mincho" w:hAnsi="Times New Roman"/>
              </w:rPr>
              <w:t xml:space="preserve">1,090 stakeholders and beneficiaries on safe management, storage and transportation of PCB containing equipment and waste. 10 national </w:t>
            </w:r>
            <w:r w:rsidRPr="007D2BBE">
              <w:rPr>
                <w:rFonts w:ascii="Times New Roman" w:eastAsia="MS Mincho" w:hAnsi="Times New Roman"/>
              </w:rPr>
              <w:lastRenderedPageBreak/>
              <w:t xml:space="preserve">laboratories were </w:t>
            </w:r>
            <w:r>
              <w:rPr>
                <w:rFonts w:ascii="Times New Roman" w:eastAsia="MS Mincho" w:hAnsi="Times New Roman"/>
              </w:rPr>
              <w:t>trained</w:t>
            </w:r>
            <w:r w:rsidRPr="007D2BBE">
              <w:rPr>
                <w:rFonts w:ascii="Times New Roman" w:eastAsia="MS Mincho" w:hAnsi="Times New Roman"/>
              </w:rPr>
              <w:t xml:space="preserve"> in PCB analysis, and 5 of them were accredited for PCB analysis in oils, soil</w:t>
            </w:r>
            <w:r>
              <w:rPr>
                <w:rFonts w:ascii="Times New Roman" w:eastAsia="MS Mincho" w:hAnsi="Times New Roman"/>
              </w:rPr>
              <w:t xml:space="preserve">s and foods. 2 large </w:t>
            </w:r>
            <w:r w:rsidRPr="007D2BBE">
              <w:rPr>
                <w:rFonts w:ascii="Times New Roman" w:eastAsia="MS Mincho" w:hAnsi="Times New Roman"/>
              </w:rPr>
              <w:t>hazardous waste proprietors were trained in safe (re)packaging, transp</w:t>
            </w:r>
            <w:r>
              <w:rPr>
                <w:rFonts w:ascii="Times New Roman" w:eastAsia="MS Mincho" w:hAnsi="Times New Roman"/>
              </w:rPr>
              <w:t>ortation and interim storage of</w:t>
            </w:r>
            <w:r w:rsidRPr="007D2BBE">
              <w:rPr>
                <w:rFonts w:ascii="Times New Roman" w:eastAsia="MS Mincho" w:hAnsi="Times New Roman"/>
              </w:rPr>
              <w:t xml:space="preserve"> PCB containing wastes, thus preventing further PCB contamination of soils. The issues of safe management of PCBs and other hazardous wastes were </w:t>
            </w:r>
            <w:r w:rsidRPr="007D2BBE">
              <w:rPr>
                <w:rFonts w:ascii="Times New Roman" w:hAnsi="Times New Roman"/>
                <w:lang w:val="en-GB"/>
              </w:rPr>
              <w:t xml:space="preserve">mainstreamed into the </w:t>
            </w:r>
            <w:r w:rsidRPr="007D2BBE">
              <w:rPr>
                <w:rFonts w:ascii="Times New Roman" w:hAnsi="Times New Roman"/>
                <w:i/>
                <w:lang w:val="en-GB"/>
              </w:rPr>
              <w:t>Concept for the Transition of the Republic of Kazakhstan to a Green Economy</w:t>
            </w:r>
            <w:r w:rsidRPr="007D2BBE">
              <w:rPr>
                <w:rFonts w:ascii="Times New Roman" w:hAnsi="Times New Roman"/>
                <w:lang w:val="en-GB"/>
              </w:rPr>
              <w:t xml:space="preserve"> and became part of the </w:t>
            </w:r>
            <w:r w:rsidRPr="007D2BBE">
              <w:rPr>
                <w:rFonts w:ascii="Times New Roman" w:hAnsi="Times New Roman"/>
                <w:i/>
                <w:lang w:val="en-GB"/>
              </w:rPr>
              <w:t>Action Plan</w:t>
            </w:r>
            <w:r w:rsidRPr="007D2BBE">
              <w:rPr>
                <w:rFonts w:ascii="Times New Roman" w:hAnsi="Times New Roman"/>
                <w:lang w:val="en-GB"/>
              </w:rPr>
              <w:t xml:space="preserve"> for the Concept’s implementation approved by the President.</w:t>
            </w:r>
          </w:p>
        </w:tc>
      </w:tr>
      <w:tr w:rsidR="00733D39" w:rsidRPr="00DC7354" w14:paraId="71997C84" w14:textId="77777777" w:rsidTr="007D2225">
        <w:tc>
          <w:tcPr>
            <w:tcW w:w="3150" w:type="dxa"/>
            <w:shd w:val="clear" w:color="auto" w:fill="8DB3E2" w:themeFill="text2" w:themeFillTint="66"/>
          </w:tcPr>
          <w:p w14:paraId="2788CF3E" w14:textId="77777777" w:rsidR="00733D39" w:rsidRPr="00CF57CD" w:rsidRDefault="00733D39" w:rsidP="00CB4203">
            <w:pPr>
              <w:pStyle w:val="BodyText2"/>
              <w:rPr>
                <w:rFonts w:ascii="Times New Roman" w:hAnsi="Times New Roman"/>
                <w:b/>
              </w:rPr>
            </w:pPr>
            <w:r w:rsidRPr="00CF57CD">
              <w:rPr>
                <w:rFonts w:ascii="Times New Roman" w:hAnsi="Times New Roman"/>
                <w:b/>
              </w:rPr>
              <w:lastRenderedPageBreak/>
              <w:t>National institutions have better capacity for protection and promotion of human rights and ensuring access to justice for all</w:t>
            </w:r>
          </w:p>
          <w:p w14:paraId="46835723" w14:textId="77777777" w:rsidR="00733D39" w:rsidRPr="00837C4B" w:rsidRDefault="00733D39" w:rsidP="00CB4203">
            <w:pPr>
              <w:pStyle w:val="BodyText2"/>
              <w:rPr>
                <w:rFonts w:asciiTheme="minorHAnsi" w:hAnsiTheme="minorHAnsi"/>
                <w:b/>
              </w:rPr>
            </w:pPr>
          </w:p>
        </w:tc>
        <w:tc>
          <w:tcPr>
            <w:tcW w:w="1530" w:type="dxa"/>
          </w:tcPr>
          <w:p w14:paraId="37B2BCD9" w14:textId="7A413895" w:rsidR="00733D39" w:rsidRPr="00240410" w:rsidRDefault="00D10D5F" w:rsidP="00D57349">
            <w:pPr>
              <w:pStyle w:val="BodyText2"/>
              <w:rPr>
                <w:rFonts w:ascii="Times New Roman" w:hAnsi="Times New Roman"/>
              </w:rPr>
            </w:pPr>
            <w:r>
              <w:rPr>
                <w:rFonts w:ascii="Times New Roman" w:hAnsi="Times New Roman"/>
              </w:rPr>
              <w:t>$</w:t>
            </w:r>
            <w:r w:rsidR="00D57349" w:rsidRPr="00240410">
              <w:rPr>
                <w:rFonts w:ascii="Times New Roman" w:hAnsi="Times New Roman"/>
              </w:rPr>
              <w:t>2,166,000</w:t>
            </w:r>
          </w:p>
        </w:tc>
        <w:tc>
          <w:tcPr>
            <w:tcW w:w="3937" w:type="dxa"/>
            <w:gridSpan w:val="3"/>
          </w:tcPr>
          <w:p w14:paraId="5F039038" w14:textId="5E1E3180" w:rsidR="00733D39" w:rsidRPr="00CF57CD" w:rsidRDefault="00733D39" w:rsidP="00CB4203">
            <w:pPr>
              <w:pStyle w:val="ListParagraph"/>
              <w:numPr>
                <w:ilvl w:val="0"/>
                <w:numId w:val="28"/>
              </w:numPr>
              <w:ind w:left="382"/>
            </w:pPr>
            <w:r w:rsidRPr="00CF57CD">
              <w:t>Frequency and participation in national human rights action plan (NHRAP) monitoring;</w:t>
            </w:r>
          </w:p>
          <w:p w14:paraId="26C0A7CF" w14:textId="77777777" w:rsidR="00733D39" w:rsidRPr="00CF57CD" w:rsidRDefault="00733D39" w:rsidP="00CB4203">
            <w:pPr>
              <w:pStyle w:val="ListParagraph"/>
              <w:numPr>
                <w:ilvl w:val="0"/>
                <w:numId w:val="28"/>
              </w:numPr>
              <w:ind w:left="382"/>
            </w:pPr>
            <w:r w:rsidRPr="00CF57CD">
              <w:t>Increase in budget allocations for gender equality strategy implementation;</w:t>
            </w:r>
          </w:p>
          <w:p w14:paraId="47F28684" w14:textId="77777777" w:rsidR="00733D39" w:rsidRPr="00CF57CD" w:rsidRDefault="00733D39" w:rsidP="00CB4203">
            <w:pPr>
              <w:pStyle w:val="ListParagraph"/>
              <w:numPr>
                <w:ilvl w:val="0"/>
                <w:numId w:val="28"/>
              </w:numPr>
              <w:ind w:left="382"/>
            </w:pPr>
            <w:r w:rsidRPr="00CF57CD">
              <w:t>Availability of court records;</w:t>
            </w:r>
          </w:p>
        </w:tc>
        <w:tc>
          <w:tcPr>
            <w:tcW w:w="5423" w:type="dxa"/>
          </w:tcPr>
          <w:p w14:paraId="3E1F5962" w14:textId="7E749AE2" w:rsidR="00733D39" w:rsidRPr="00CF57CD" w:rsidRDefault="00322235" w:rsidP="00CB4203">
            <w:pPr>
              <w:pStyle w:val="BodyText2"/>
              <w:numPr>
                <w:ilvl w:val="0"/>
                <w:numId w:val="30"/>
              </w:numPr>
              <w:rPr>
                <w:rFonts w:ascii="Times New Roman" w:hAnsi="Times New Roman"/>
              </w:rPr>
            </w:pPr>
            <w:r>
              <w:rPr>
                <w:rFonts w:ascii="Times New Roman" w:hAnsi="Times New Roman"/>
              </w:rPr>
              <w:t xml:space="preserve">In </w:t>
            </w:r>
            <w:r w:rsidR="00733D39" w:rsidRPr="00CF57CD">
              <w:rPr>
                <w:rFonts w:ascii="Times New Roman" w:hAnsi="Times New Roman"/>
              </w:rPr>
              <w:t>December 2013</w:t>
            </w:r>
            <w:r w:rsidR="007D2225">
              <w:rPr>
                <w:rFonts w:ascii="Times New Roman" w:hAnsi="Times New Roman"/>
              </w:rPr>
              <w:t>,</w:t>
            </w:r>
            <w:r>
              <w:rPr>
                <w:rFonts w:ascii="Times New Roman" w:hAnsi="Times New Roman"/>
              </w:rPr>
              <w:t xml:space="preserve"> a monitoring</w:t>
            </w:r>
            <w:r w:rsidR="00733D39" w:rsidRPr="00CF57CD">
              <w:rPr>
                <w:rFonts w:ascii="Times New Roman" w:hAnsi="Times New Roman"/>
              </w:rPr>
              <w:t xml:space="preserve"> database on the international obligations of Kazakhstan in the field of human rights within the UN system </w:t>
            </w:r>
            <w:r>
              <w:rPr>
                <w:rFonts w:ascii="Times New Roman" w:hAnsi="Times New Roman"/>
              </w:rPr>
              <w:t>was</w:t>
            </w:r>
            <w:r w:rsidR="00733D39" w:rsidRPr="00CF57CD">
              <w:rPr>
                <w:rFonts w:ascii="Times New Roman" w:hAnsi="Times New Roman"/>
              </w:rPr>
              <w:t xml:space="preserve"> launched</w:t>
            </w:r>
            <w:r w:rsidR="00D14342">
              <w:rPr>
                <w:rFonts w:ascii="Times New Roman" w:hAnsi="Times New Roman"/>
              </w:rPr>
              <w:t xml:space="preserve"> </w:t>
            </w:r>
            <w:r>
              <w:rPr>
                <w:rFonts w:ascii="Times New Roman" w:hAnsi="Times New Roman"/>
              </w:rPr>
              <w:t>provid</w:t>
            </w:r>
            <w:r w:rsidR="00D14342">
              <w:rPr>
                <w:rFonts w:ascii="Times New Roman" w:hAnsi="Times New Roman"/>
              </w:rPr>
              <w:t>ing</w:t>
            </w:r>
            <w:r>
              <w:rPr>
                <w:rFonts w:ascii="Times New Roman" w:hAnsi="Times New Roman"/>
              </w:rPr>
              <w:t xml:space="preserve"> open data on human rights obligations/legislative acts to the public.</w:t>
            </w:r>
          </w:p>
          <w:p w14:paraId="53B4DFDD" w14:textId="2C5A581E" w:rsidR="00733D39" w:rsidRPr="00322235" w:rsidRDefault="00733D39" w:rsidP="00CB4203">
            <w:pPr>
              <w:pStyle w:val="BodyText2"/>
              <w:numPr>
                <w:ilvl w:val="0"/>
                <w:numId w:val="30"/>
              </w:numPr>
              <w:rPr>
                <w:rFonts w:ascii="Times New Roman" w:hAnsi="Times New Roman"/>
              </w:rPr>
            </w:pPr>
            <w:r w:rsidRPr="00CF57CD">
              <w:rPr>
                <w:rFonts w:ascii="Times New Roman" w:hAnsi="Times New Roman"/>
              </w:rPr>
              <w:t>By 2014</w:t>
            </w:r>
            <w:r w:rsidR="007D2225">
              <w:rPr>
                <w:rFonts w:ascii="Times New Roman" w:hAnsi="Times New Roman"/>
              </w:rPr>
              <w:t>,</w:t>
            </w:r>
            <w:r w:rsidRPr="00CF57CD">
              <w:rPr>
                <w:rFonts w:ascii="Times New Roman" w:hAnsi="Times New Roman"/>
              </w:rPr>
              <w:t xml:space="preserve"> </w:t>
            </w:r>
            <w:r w:rsidR="00322235">
              <w:rPr>
                <w:rFonts w:ascii="Times New Roman" w:hAnsi="Times New Roman"/>
              </w:rPr>
              <w:t>a network of centers for</w:t>
            </w:r>
            <w:r w:rsidRPr="00CF57CD">
              <w:rPr>
                <w:rFonts w:ascii="Times New Roman" w:hAnsi="Times New Roman"/>
              </w:rPr>
              <w:t xml:space="preserve"> economic education</w:t>
            </w:r>
            <w:r w:rsidR="00322235">
              <w:rPr>
                <w:rFonts w:ascii="Times New Roman" w:hAnsi="Times New Roman"/>
              </w:rPr>
              <w:t xml:space="preserve"> were launched with the support of UNDP</w:t>
            </w:r>
            <w:r w:rsidRPr="00CF57CD">
              <w:rPr>
                <w:rFonts w:ascii="Times New Roman" w:hAnsi="Times New Roman"/>
              </w:rPr>
              <w:t xml:space="preserve"> to </w:t>
            </w:r>
            <w:r w:rsidR="00322235">
              <w:rPr>
                <w:rFonts w:ascii="Times New Roman" w:hAnsi="Times New Roman"/>
              </w:rPr>
              <w:t xml:space="preserve">develop </w:t>
            </w:r>
            <w:r w:rsidRPr="00CF57CD">
              <w:rPr>
                <w:rFonts w:ascii="Times New Roman" w:hAnsi="Times New Roman"/>
              </w:rPr>
              <w:t>women-led SME</w:t>
            </w:r>
            <w:r w:rsidR="00D404DA">
              <w:rPr>
                <w:rFonts w:ascii="Times New Roman" w:hAnsi="Times New Roman"/>
              </w:rPr>
              <w:t>s, financed by the local and national government</w:t>
            </w:r>
            <w:r w:rsidR="00322235">
              <w:rPr>
                <w:rFonts w:ascii="Times New Roman" w:hAnsi="Times New Roman"/>
              </w:rPr>
              <w:t>s</w:t>
            </w:r>
            <w:r w:rsidRPr="00CF57CD">
              <w:rPr>
                <w:rFonts w:ascii="Times New Roman" w:hAnsi="Times New Roman"/>
              </w:rPr>
              <w:t>;</w:t>
            </w:r>
            <w:r w:rsidR="00322235">
              <w:rPr>
                <w:rFonts w:ascii="Times New Roman" w:hAnsi="Times New Roman"/>
              </w:rPr>
              <w:t xml:space="preserve"> during 2011-</w:t>
            </w:r>
            <w:r w:rsidRPr="00322235">
              <w:rPr>
                <w:rFonts w:ascii="Times New Roman" w:hAnsi="Times New Roman"/>
              </w:rPr>
              <w:t xml:space="preserve">2015, up to 50% increase in financing the field of maternal and child health protection </w:t>
            </w:r>
            <w:r w:rsidR="00322235" w:rsidRPr="00322235">
              <w:rPr>
                <w:rFonts w:ascii="Times New Roman" w:hAnsi="Times New Roman"/>
              </w:rPr>
              <w:t xml:space="preserve">was documented </w:t>
            </w:r>
            <w:r w:rsidRPr="00322235">
              <w:rPr>
                <w:rFonts w:ascii="Times New Roman" w:hAnsi="Times New Roman"/>
              </w:rPr>
              <w:t>(</w:t>
            </w:r>
            <w:r w:rsidR="006710DF">
              <w:rPr>
                <w:rFonts w:ascii="Times New Roman" w:hAnsi="Times New Roman"/>
              </w:rPr>
              <w:t xml:space="preserve">in the </w:t>
            </w:r>
            <w:r w:rsidRPr="00322235">
              <w:rPr>
                <w:rFonts w:ascii="Times New Roman" w:hAnsi="Times New Roman"/>
              </w:rPr>
              <w:t>National programme “Salamatty Kazakhstan”, “Gender equality strategy 2006-2016</w:t>
            </w:r>
            <w:r w:rsidR="006710DF">
              <w:rPr>
                <w:rFonts w:ascii="Times New Roman" w:hAnsi="Times New Roman"/>
              </w:rPr>
              <w:t>,</w:t>
            </w:r>
            <w:r w:rsidRPr="00322235">
              <w:rPr>
                <w:rFonts w:ascii="Times New Roman" w:hAnsi="Times New Roman"/>
              </w:rPr>
              <w:t>”</w:t>
            </w:r>
            <w:r w:rsidR="006710DF">
              <w:rPr>
                <w:rFonts w:ascii="Times New Roman" w:hAnsi="Times New Roman"/>
              </w:rPr>
              <w:t xml:space="preserve"> which was directly </w:t>
            </w:r>
            <w:r w:rsidR="00D404DA">
              <w:rPr>
                <w:rFonts w:ascii="Times New Roman" w:hAnsi="Times New Roman"/>
              </w:rPr>
              <w:t>supported by UNDP</w:t>
            </w:r>
            <w:r w:rsidR="006710DF">
              <w:rPr>
                <w:rFonts w:ascii="Times New Roman" w:hAnsi="Times New Roman"/>
              </w:rPr>
              <w:t>.</w:t>
            </w:r>
          </w:p>
          <w:p w14:paraId="5CFD0444" w14:textId="77777777" w:rsidR="00733D39" w:rsidRPr="00CF57CD" w:rsidRDefault="00322235" w:rsidP="00CB4203">
            <w:pPr>
              <w:pStyle w:val="BodyText2"/>
              <w:numPr>
                <w:ilvl w:val="0"/>
                <w:numId w:val="30"/>
              </w:numPr>
              <w:rPr>
                <w:rFonts w:ascii="Times New Roman" w:hAnsi="Times New Roman"/>
              </w:rPr>
            </w:pPr>
            <w:r>
              <w:rPr>
                <w:rFonts w:ascii="Times New Roman" w:hAnsi="Times New Roman"/>
              </w:rPr>
              <w:t xml:space="preserve">UNDP supported independent citizen </w:t>
            </w:r>
            <w:r w:rsidR="00575B82">
              <w:rPr>
                <w:rFonts w:ascii="Times New Roman" w:hAnsi="Times New Roman"/>
              </w:rPr>
              <w:t xml:space="preserve">satisfaction surveys on court proceedings (2012 and 2015), over 60 mediators and 50 trainers are equipped to provide mediation services to the general population (2013-2014), with 59 courts piloting this practice. </w:t>
            </w:r>
          </w:p>
        </w:tc>
      </w:tr>
      <w:tr w:rsidR="00575B82" w:rsidRPr="00DC7354" w14:paraId="1867EF2A" w14:textId="77777777" w:rsidTr="00575B82">
        <w:tc>
          <w:tcPr>
            <w:tcW w:w="14040" w:type="dxa"/>
            <w:gridSpan w:val="6"/>
            <w:shd w:val="clear" w:color="auto" w:fill="FFFFFF" w:themeFill="background1"/>
          </w:tcPr>
          <w:p w14:paraId="284ACFA9" w14:textId="77777777" w:rsidR="00D404DA" w:rsidRPr="00575B82" w:rsidRDefault="00D404DA" w:rsidP="00CB4203">
            <w:pPr>
              <w:pStyle w:val="BodyText2"/>
              <w:rPr>
                <w:rFonts w:ascii="Times New Roman" w:hAnsi="Times New Roman"/>
              </w:rPr>
            </w:pPr>
            <w:r>
              <w:rPr>
                <w:rFonts w:ascii="Times New Roman" w:hAnsi="Times New Roman"/>
              </w:rPr>
              <w:t xml:space="preserve"> </w:t>
            </w:r>
            <w:r w:rsidRPr="00575B82">
              <w:rPr>
                <w:rFonts w:ascii="Times New Roman" w:hAnsi="Times New Roman"/>
                <w:u w:val="single"/>
              </w:rPr>
              <w:t>CP Outputs</w:t>
            </w:r>
            <w:r w:rsidRPr="00575B82">
              <w:rPr>
                <w:rFonts w:ascii="Times New Roman" w:hAnsi="Times New Roman"/>
              </w:rPr>
              <w:t>:</w:t>
            </w:r>
          </w:p>
          <w:p w14:paraId="590D5C09" w14:textId="77777777" w:rsidR="00D404DA" w:rsidRPr="00575B82" w:rsidRDefault="00D404DA" w:rsidP="00CB4203">
            <w:pPr>
              <w:pStyle w:val="ListParagraph"/>
              <w:keepNext/>
              <w:keepLines/>
              <w:numPr>
                <w:ilvl w:val="0"/>
                <w:numId w:val="31"/>
              </w:numPr>
              <w:ind w:left="436"/>
            </w:pPr>
            <w:r w:rsidRPr="00575B82">
              <w:t>The Human Rights Commission and the Office of the Ombudsman have enhanced capacity to implement and monitor the Human Rights Action Plan</w:t>
            </w:r>
            <w:r>
              <w:t>;</w:t>
            </w:r>
            <w:r w:rsidRPr="00575B82">
              <w:t xml:space="preserve"> </w:t>
            </w:r>
          </w:p>
          <w:p w14:paraId="7090B6B5" w14:textId="77777777" w:rsidR="00D404DA" w:rsidRPr="00575B82" w:rsidRDefault="00D404DA" w:rsidP="00CB4203">
            <w:pPr>
              <w:pStyle w:val="ListParagraph"/>
              <w:keepNext/>
              <w:keepLines/>
              <w:numPr>
                <w:ilvl w:val="0"/>
                <w:numId w:val="31"/>
              </w:numPr>
              <w:ind w:left="436"/>
            </w:pPr>
            <w:r w:rsidRPr="00575B82">
              <w:t>The action plan of the gender equality strategy reaches a greater number of beneficiaries and is more fully implemented</w:t>
            </w:r>
            <w:r>
              <w:t>;</w:t>
            </w:r>
            <w:r w:rsidRPr="00575B82">
              <w:t xml:space="preserve"> </w:t>
            </w:r>
          </w:p>
          <w:p w14:paraId="7ABE3E1A" w14:textId="77777777" w:rsidR="00D404DA" w:rsidRPr="00575B82" w:rsidRDefault="00D404DA" w:rsidP="00CB4203">
            <w:pPr>
              <w:pStyle w:val="ListParagraph"/>
              <w:keepNext/>
              <w:keepLines/>
              <w:numPr>
                <w:ilvl w:val="0"/>
                <w:numId w:val="31"/>
              </w:numPr>
              <w:ind w:left="436"/>
            </w:pPr>
            <w:r w:rsidRPr="00575B82">
              <w:t>People have better access to justice through strengthened capacity of the justice system</w:t>
            </w:r>
            <w:r>
              <w:t>.</w:t>
            </w:r>
          </w:p>
          <w:p w14:paraId="6F61717D" w14:textId="77777777" w:rsidR="00D404DA" w:rsidRPr="00575B82" w:rsidRDefault="00D404DA" w:rsidP="00CB4203">
            <w:pPr>
              <w:pStyle w:val="BodyText2"/>
              <w:rPr>
                <w:rFonts w:ascii="Times New Roman" w:hAnsi="Times New Roman"/>
                <w:u w:val="single"/>
              </w:rPr>
            </w:pPr>
          </w:p>
          <w:p w14:paraId="084BC6F8" w14:textId="77777777" w:rsidR="00D404DA" w:rsidRPr="00575B82" w:rsidRDefault="00D404DA" w:rsidP="00CB4203">
            <w:pPr>
              <w:pStyle w:val="BodyText2"/>
              <w:rPr>
                <w:rFonts w:ascii="Times New Roman" w:hAnsi="Times New Roman"/>
              </w:rPr>
            </w:pPr>
            <w:r w:rsidRPr="00575B82">
              <w:rPr>
                <w:rFonts w:ascii="Times New Roman" w:hAnsi="Times New Roman"/>
                <w:u w:val="single"/>
              </w:rPr>
              <w:t>Progress and Achievements</w:t>
            </w:r>
            <w:r w:rsidRPr="00575B82">
              <w:rPr>
                <w:rFonts w:ascii="Times New Roman" w:hAnsi="Times New Roman"/>
              </w:rPr>
              <w:t>:</w:t>
            </w:r>
          </w:p>
          <w:p w14:paraId="5E1CC3A0" w14:textId="77777777" w:rsidR="00D404DA" w:rsidRPr="00575B82" w:rsidRDefault="00D404DA" w:rsidP="00CB4203">
            <w:pPr>
              <w:jc w:val="both"/>
              <w:rPr>
                <w:sz w:val="20"/>
              </w:rPr>
            </w:pPr>
            <w:r>
              <w:rPr>
                <w:sz w:val="20"/>
              </w:rPr>
              <w:t xml:space="preserve">UNDP supported the Government in developing an action plan for UPR implementation (2011-2014), coordinated by the Ministry of Justice and the Ministry of Foreign Affairs. In addition, UNDP provided expert technical and capacity development assistance to the main national bodies for UPR reporting and implementation. One of the main achievements of the country is the election of Kazakhstan to the </w:t>
            </w:r>
            <w:r w:rsidRPr="00575B82">
              <w:rPr>
                <w:sz w:val="20"/>
              </w:rPr>
              <w:t>UN Human Rights Council</w:t>
            </w:r>
            <w:r>
              <w:rPr>
                <w:sz w:val="20"/>
              </w:rPr>
              <w:t xml:space="preserve"> (2012-2015), signaling Kazakhstan’s commitment to embrace international human rights standards, and play an active role in this area in general. </w:t>
            </w:r>
            <w:r w:rsidRPr="00575B82">
              <w:rPr>
                <w:sz w:val="20"/>
              </w:rPr>
              <w:t xml:space="preserve"> </w:t>
            </w:r>
          </w:p>
          <w:p w14:paraId="1089BF6C" w14:textId="77777777" w:rsidR="00D404DA" w:rsidRPr="00575B82" w:rsidRDefault="00D404DA" w:rsidP="00CB4203">
            <w:pPr>
              <w:jc w:val="both"/>
              <w:rPr>
                <w:sz w:val="20"/>
              </w:rPr>
            </w:pPr>
          </w:p>
          <w:p w14:paraId="0F81541A" w14:textId="77777777" w:rsidR="00D404DA" w:rsidRPr="00575B82" w:rsidRDefault="00D404DA" w:rsidP="00CB4203">
            <w:pPr>
              <w:jc w:val="both"/>
              <w:rPr>
                <w:sz w:val="20"/>
              </w:rPr>
            </w:pPr>
            <w:r>
              <w:rPr>
                <w:sz w:val="20"/>
              </w:rPr>
              <w:t xml:space="preserve">The Government has been making some progress towards integrating human rights principles and access to justice into the </w:t>
            </w:r>
            <w:r w:rsidRPr="00575B82">
              <w:rPr>
                <w:sz w:val="20"/>
              </w:rPr>
              <w:t>national legislation</w:t>
            </w:r>
            <w:r>
              <w:rPr>
                <w:sz w:val="20"/>
              </w:rPr>
              <w:t xml:space="preserve">s. For example, during 2012- 2014, the criminal procedural code, criminal code and </w:t>
            </w:r>
            <w:r w:rsidRPr="00575B82">
              <w:rPr>
                <w:sz w:val="20"/>
              </w:rPr>
              <w:t>civil procedural code</w:t>
            </w:r>
            <w:r>
              <w:rPr>
                <w:sz w:val="20"/>
              </w:rPr>
              <w:t xml:space="preserve"> were developed and adopted; and the</w:t>
            </w:r>
            <w:r w:rsidRPr="00575B82">
              <w:rPr>
                <w:sz w:val="20"/>
              </w:rPr>
              <w:t xml:space="preserve"> law on access to infor</w:t>
            </w:r>
            <w:r>
              <w:rPr>
                <w:sz w:val="20"/>
              </w:rPr>
              <w:t xml:space="preserve">mation, and the law on prevention of corruption and public oversight are being </w:t>
            </w:r>
            <w:r w:rsidRPr="00575B82">
              <w:rPr>
                <w:sz w:val="20"/>
              </w:rPr>
              <w:t>elaborated. The legal framework for the use of alternative means o</w:t>
            </w:r>
            <w:r>
              <w:rPr>
                <w:sz w:val="20"/>
              </w:rPr>
              <w:t>f dispute resolutions, such as mediation, has been put in place, with UNDP as the main partner of the Government in this area.</w:t>
            </w:r>
            <w:r w:rsidRPr="00575B82">
              <w:rPr>
                <w:sz w:val="20"/>
              </w:rPr>
              <w:t xml:space="preserve"> In addition, short term and distant learning courses on access to inf</w:t>
            </w:r>
            <w:r>
              <w:rPr>
                <w:sz w:val="20"/>
              </w:rPr>
              <w:t>ormation for the judges were</w:t>
            </w:r>
            <w:r w:rsidRPr="00575B82">
              <w:rPr>
                <w:sz w:val="20"/>
              </w:rPr>
              <w:t xml:space="preserve"> elaborated</w:t>
            </w:r>
            <w:r>
              <w:rPr>
                <w:sz w:val="20"/>
              </w:rPr>
              <w:t xml:space="preserve"> </w:t>
            </w:r>
            <w:r>
              <w:rPr>
                <w:sz w:val="20"/>
              </w:rPr>
              <w:lastRenderedPageBreak/>
              <w:t>(2012-2014)</w:t>
            </w:r>
            <w:r w:rsidRPr="00575B82">
              <w:rPr>
                <w:sz w:val="20"/>
              </w:rPr>
              <w:t xml:space="preserve">.  </w:t>
            </w:r>
          </w:p>
          <w:p w14:paraId="6F840FF5" w14:textId="77777777" w:rsidR="00D404DA" w:rsidRPr="00575B82" w:rsidRDefault="00D404DA" w:rsidP="00CB4203">
            <w:pPr>
              <w:jc w:val="both"/>
              <w:rPr>
                <w:sz w:val="20"/>
              </w:rPr>
            </w:pPr>
          </w:p>
          <w:p w14:paraId="386511C8" w14:textId="77777777" w:rsidR="00575B82" w:rsidRDefault="00D404DA" w:rsidP="00CB4203">
            <w:pPr>
              <w:jc w:val="both"/>
            </w:pPr>
            <w:r w:rsidRPr="00575B82">
              <w:rPr>
                <w:sz w:val="20"/>
              </w:rPr>
              <w:t>Kazakhstan has ra</w:t>
            </w:r>
            <w:r>
              <w:rPr>
                <w:sz w:val="20"/>
              </w:rPr>
              <w:t xml:space="preserve">tified the majority of the </w:t>
            </w:r>
            <w:r w:rsidRPr="00575B82">
              <w:rPr>
                <w:sz w:val="20"/>
              </w:rPr>
              <w:t>UN human rights treaties and has endorsed four procedures that allow individual complaints to be submitted (under the International Convention on the Elimination of all Forms of Racial Discrimination; the International Covenant on Civil and Political Rights; the Optional Protocol to the Convention on the Elimination of all Forms of Discrimination against Women; and the Convention against Torture).  </w:t>
            </w:r>
          </w:p>
        </w:tc>
      </w:tr>
      <w:tr w:rsidR="00D404DA" w:rsidRPr="00DC7354" w14:paraId="240FB2FF" w14:textId="77777777" w:rsidTr="007D2225">
        <w:tc>
          <w:tcPr>
            <w:tcW w:w="3150" w:type="dxa"/>
            <w:shd w:val="clear" w:color="auto" w:fill="548DD4" w:themeFill="text2" w:themeFillTint="99"/>
          </w:tcPr>
          <w:p w14:paraId="664ED900" w14:textId="77777777" w:rsidR="00D404DA" w:rsidRPr="00240410" w:rsidRDefault="00D404DA" w:rsidP="00CB4203">
            <w:pPr>
              <w:pStyle w:val="BodyText2"/>
              <w:rPr>
                <w:rFonts w:ascii="Times New Roman" w:hAnsi="Times New Roman"/>
                <w:u w:val="single"/>
              </w:rPr>
            </w:pPr>
            <w:r w:rsidRPr="00240410">
              <w:rPr>
                <w:rFonts w:ascii="Times New Roman" w:hAnsi="Times New Roman"/>
                <w:b/>
              </w:rPr>
              <w:lastRenderedPageBreak/>
              <w:t>The Parliament, sub-national legislative bodies and CSOs enjoy effective dialogue and collaboration in policy-making, elective and legislative processes</w:t>
            </w:r>
          </w:p>
        </w:tc>
        <w:tc>
          <w:tcPr>
            <w:tcW w:w="1597" w:type="dxa"/>
            <w:gridSpan w:val="2"/>
            <w:shd w:val="clear" w:color="auto" w:fill="FFFFFF" w:themeFill="background1"/>
          </w:tcPr>
          <w:p w14:paraId="79E7BE6C" w14:textId="0AC3E3D9" w:rsidR="00D404DA" w:rsidRPr="00D404DA" w:rsidRDefault="007D2225" w:rsidP="007752F4">
            <w:pPr>
              <w:pStyle w:val="BodyText2"/>
              <w:rPr>
                <w:rFonts w:ascii="Times New Roman" w:hAnsi="Times New Roman"/>
              </w:rPr>
            </w:pPr>
            <w:r>
              <w:rPr>
                <w:rFonts w:ascii="Times New Roman" w:hAnsi="Times New Roman"/>
              </w:rPr>
              <w:t>$</w:t>
            </w:r>
            <w:r w:rsidR="00D57349">
              <w:rPr>
                <w:rFonts w:ascii="Times New Roman" w:hAnsi="Times New Roman"/>
              </w:rPr>
              <w:t>960,000</w:t>
            </w:r>
          </w:p>
        </w:tc>
        <w:tc>
          <w:tcPr>
            <w:tcW w:w="3870" w:type="dxa"/>
            <w:gridSpan w:val="2"/>
            <w:shd w:val="clear" w:color="auto" w:fill="FFFFFF" w:themeFill="background1"/>
          </w:tcPr>
          <w:p w14:paraId="4A8124E1" w14:textId="77777777" w:rsidR="00D404DA" w:rsidRPr="00D404DA" w:rsidRDefault="00D404DA" w:rsidP="00CB4203">
            <w:pPr>
              <w:pStyle w:val="ListParagraph"/>
              <w:numPr>
                <w:ilvl w:val="0"/>
                <w:numId w:val="35"/>
              </w:numPr>
              <w:ind w:left="382"/>
            </w:pPr>
            <w:r w:rsidRPr="00D404DA">
              <w:t>All political parties and other key civil society organizations participate in dialogue platforms;</w:t>
            </w:r>
          </w:p>
          <w:p w14:paraId="57709817" w14:textId="6F8E1545" w:rsidR="00D404DA" w:rsidRPr="00D404DA" w:rsidRDefault="00D404DA" w:rsidP="00CB4203">
            <w:pPr>
              <w:pStyle w:val="ListParagraph"/>
              <w:numPr>
                <w:ilvl w:val="0"/>
                <w:numId w:val="35"/>
              </w:numPr>
              <w:ind w:left="382"/>
            </w:pPr>
            <w:r w:rsidRPr="00D404DA">
              <w:t>Number of civil society organizations that benefit from capacity development initiatives</w:t>
            </w:r>
          </w:p>
        </w:tc>
        <w:tc>
          <w:tcPr>
            <w:tcW w:w="5423" w:type="dxa"/>
            <w:shd w:val="clear" w:color="auto" w:fill="FFFFFF" w:themeFill="background1"/>
          </w:tcPr>
          <w:p w14:paraId="158787B8" w14:textId="1808C2CB" w:rsidR="00D404DA" w:rsidRDefault="00D404DA" w:rsidP="00CB4203">
            <w:pPr>
              <w:pStyle w:val="ListParagraph"/>
              <w:numPr>
                <w:ilvl w:val="0"/>
                <w:numId w:val="36"/>
              </w:numPr>
              <w:ind w:left="391"/>
            </w:pPr>
            <w:r w:rsidRPr="00D404DA">
              <w:t xml:space="preserve">By 2012, 576 participants were trained (including 306 women) </w:t>
            </w:r>
            <w:r w:rsidR="00962A8F">
              <w:t>for local level elections, with special focus on young people, women, disabled and other representatives of vulnerable groups</w:t>
            </w:r>
            <w:r w:rsidRPr="00D404DA">
              <w:t>;</w:t>
            </w:r>
            <w:r w:rsidR="00962A8F">
              <w:t xml:space="preserve"> subsequently, there was more than 60% increase in the number of young candidates under the age of 30. CSO-Government dialogue platforms have been increasing since 2011, both at local and national levels (however, the effectiveness of these dialogues </w:t>
            </w:r>
            <w:r w:rsidR="00DD44A1">
              <w:t>cannot</w:t>
            </w:r>
            <w:r w:rsidR="00962A8F">
              <w:t xml:space="preserve"> yet be assessed). </w:t>
            </w:r>
          </w:p>
          <w:p w14:paraId="0B6E5DC3" w14:textId="232599C0" w:rsidR="00D404DA" w:rsidRPr="00962A8F" w:rsidRDefault="00962A8F" w:rsidP="00CB4203">
            <w:pPr>
              <w:pStyle w:val="ListParagraph"/>
              <w:numPr>
                <w:ilvl w:val="0"/>
                <w:numId w:val="36"/>
              </w:numPr>
              <w:ind w:left="391"/>
            </w:pPr>
            <w:r>
              <w:t xml:space="preserve">During </w:t>
            </w:r>
            <w:r w:rsidR="006F2560">
              <w:t xml:space="preserve">the </w:t>
            </w:r>
            <w:r>
              <w:t xml:space="preserve">2011-2015 period, the three joint UN programmes in local development </w:t>
            </w:r>
            <w:r w:rsidR="006F2560">
              <w:t xml:space="preserve">have supported 43 </w:t>
            </w:r>
            <w:r>
              <w:t xml:space="preserve">local NGOs and </w:t>
            </w:r>
            <w:r w:rsidR="00E836B5">
              <w:t>community-based organizations</w:t>
            </w:r>
            <w:r w:rsidR="00F05F1F">
              <w:t xml:space="preserve"> (CBO)</w:t>
            </w:r>
            <w:r>
              <w:t xml:space="preserve"> in implementing </w:t>
            </w:r>
            <w:r w:rsidR="006F2560">
              <w:t>socio-economic grants and interventions for the most vulnerable groups (women, youth, oralman). Capacities of these NGOs have been significantly improved.</w:t>
            </w:r>
          </w:p>
        </w:tc>
      </w:tr>
      <w:tr w:rsidR="00733D39" w:rsidRPr="00DC7354" w14:paraId="4ADE9D7F" w14:textId="77777777" w:rsidTr="00733D39">
        <w:tc>
          <w:tcPr>
            <w:tcW w:w="14040" w:type="dxa"/>
            <w:gridSpan w:val="6"/>
            <w:shd w:val="clear" w:color="auto" w:fill="FFFFFF" w:themeFill="background1"/>
          </w:tcPr>
          <w:p w14:paraId="09529A1C" w14:textId="77777777" w:rsidR="00733D39" w:rsidRPr="00CF57CD" w:rsidRDefault="00733D39" w:rsidP="00CB4203">
            <w:pPr>
              <w:pStyle w:val="BodyText2"/>
              <w:rPr>
                <w:rFonts w:ascii="Times New Roman" w:hAnsi="Times New Roman"/>
                <w:b/>
              </w:rPr>
            </w:pPr>
            <w:r w:rsidRPr="00CF57CD">
              <w:rPr>
                <w:rFonts w:ascii="Times New Roman" w:hAnsi="Times New Roman"/>
                <w:b/>
              </w:rPr>
              <w:t>UNDP Contribution:</w:t>
            </w:r>
          </w:p>
          <w:p w14:paraId="40EEE3DC" w14:textId="77777777" w:rsidR="00733D39" w:rsidRPr="00CF57CD" w:rsidRDefault="00733D39" w:rsidP="00CB4203">
            <w:pPr>
              <w:pStyle w:val="BodyText2"/>
              <w:rPr>
                <w:rFonts w:ascii="Times New Roman" w:hAnsi="Times New Roman"/>
              </w:rPr>
            </w:pPr>
            <w:r w:rsidRPr="00CF57CD">
              <w:rPr>
                <w:rFonts w:ascii="Times New Roman" w:hAnsi="Times New Roman"/>
                <w:u w:val="single"/>
              </w:rPr>
              <w:t>CP Outputs</w:t>
            </w:r>
            <w:r w:rsidRPr="00CF57CD">
              <w:rPr>
                <w:rFonts w:ascii="Times New Roman" w:hAnsi="Times New Roman"/>
              </w:rPr>
              <w:t>:</w:t>
            </w:r>
          </w:p>
          <w:p w14:paraId="27A857E6" w14:textId="72699707" w:rsidR="00733D39" w:rsidRPr="00CF57CD" w:rsidRDefault="00733D39" w:rsidP="00CB4203">
            <w:pPr>
              <w:pStyle w:val="ListParagraph"/>
              <w:keepNext/>
              <w:keepLines/>
              <w:numPr>
                <w:ilvl w:val="0"/>
                <w:numId w:val="31"/>
              </w:numPr>
              <w:ind w:left="436"/>
            </w:pPr>
            <w:r w:rsidRPr="00CF57CD">
              <w:t>Parliament, subnational legislative bodies and civil society organizations have strengthened capacity and use analysis and information for dialogue and collaboration</w:t>
            </w:r>
            <w:r w:rsidR="00EC68F4">
              <w:t>;</w:t>
            </w:r>
          </w:p>
          <w:p w14:paraId="0040D864" w14:textId="57D3EE56" w:rsidR="00733D39" w:rsidRPr="00575B82" w:rsidRDefault="00733D39" w:rsidP="00CB4203">
            <w:pPr>
              <w:pStyle w:val="ListParagraph"/>
              <w:keepNext/>
              <w:keepLines/>
              <w:numPr>
                <w:ilvl w:val="0"/>
                <w:numId w:val="31"/>
              </w:numPr>
              <w:ind w:left="436"/>
            </w:pPr>
            <w:r w:rsidRPr="00CF57CD">
              <w:t>Civil society organizations in targeted areas actively engage in community mobilization and provision of services</w:t>
            </w:r>
            <w:r w:rsidR="00EC68F4">
              <w:t>.</w:t>
            </w:r>
          </w:p>
          <w:p w14:paraId="786B50C0" w14:textId="77777777" w:rsidR="00EC68F4" w:rsidRPr="00575B82" w:rsidRDefault="00EC68F4" w:rsidP="00EC68F4">
            <w:pPr>
              <w:pStyle w:val="ListParagraph"/>
              <w:keepNext/>
              <w:keepLines/>
              <w:ind w:left="436"/>
            </w:pPr>
          </w:p>
          <w:p w14:paraId="52BA32E4" w14:textId="77777777" w:rsidR="00733D39" w:rsidRPr="00CF57CD" w:rsidRDefault="00733D39" w:rsidP="00CB4203">
            <w:pPr>
              <w:pStyle w:val="BodyText2"/>
              <w:rPr>
                <w:rFonts w:ascii="Times New Roman" w:hAnsi="Times New Roman"/>
              </w:rPr>
            </w:pPr>
            <w:r w:rsidRPr="00CF57CD">
              <w:rPr>
                <w:rFonts w:ascii="Times New Roman" w:hAnsi="Times New Roman"/>
                <w:u w:val="single"/>
              </w:rPr>
              <w:t>Progress and Achievements</w:t>
            </w:r>
            <w:r w:rsidRPr="00CF57CD">
              <w:rPr>
                <w:rFonts w:ascii="Times New Roman" w:hAnsi="Times New Roman"/>
              </w:rPr>
              <w:t>:</w:t>
            </w:r>
          </w:p>
          <w:p w14:paraId="4C3F485E" w14:textId="62651844" w:rsidR="003D0AD9" w:rsidRPr="00575B82" w:rsidRDefault="006F2560" w:rsidP="00CB4203">
            <w:pPr>
              <w:pStyle w:val="Default"/>
              <w:jc w:val="both"/>
              <w:rPr>
                <w:rFonts w:eastAsia="Times New Roman"/>
                <w:color w:val="auto"/>
                <w:sz w:val="20"/>
                <w:szCs w:val="20"/>
                <w:lang w:val="en-US"/>
              </w:rPr>
            </w:pPr>
            <w:r w:rsidRPr="003D0AD9">
              <w:rPr>
                <w:rFonts w:eastAsia="Times New Roman"/>
                <w:color w:val="auto"/>
                <w:sz w:val="20"/>
                <w:szCs w:val="20"/>
                <w:lang w:val="en-US"/>
              </w:rPr>
              <w:t xml:space="preserve">During 2011-2012, UNDP (through UNDEF funds) </w:t>
            </w:r>
            <w:r w:rsidR="00733D39" w:rsidRPr="003D0AD9">
              <w:rPr>
                <w:rFonts w:eastAsia="Times New Roman"/>
                <w:color w:val="auto"/>
                <w:sz w:val="20"/>
                <w:szCs w:val="20"/>
                <w:lang w:val="en-US"/>
              </w:rPr>
              <w:t>train</w:t>
            </w:r>
            <w:r w:rsidRPr="003D0AD9">
              <w:rPr>
                <w:rFonts w:eastAsia="Times New Roman"/>
                <w:color w:val="auto"/>
                <w:sz w:val="20"/>
                <w:szCs w:val="20"/>
                <w:lang w:val="en-US"/>
              </w:rPr>
              <w:t>ed</w:t>
            </w:r>
            <w:r w:rsidR="00733D39" w:rsidRPr="003D0AD9">
              <w:rPr>
                <w:rFonts w:eastAsia="Times New Roman"/>
                <w:color w:val="auto"/>
                <w:sz w:val="20"/>
                <w:szCs w:val="20"/>
                <w:lang w:val="en-US"/>
              </w:rPr>
              <w:t xml:space="preserve"> under</w:t>
            </w:r>
            <w:r w:rsidRPr="003D0AD9">
              <w:rPr>
                <w:rFonts w:eastAsia="Times New Roman"/>
                <w:color w:val="auto"/>
                <w:sz w:val="20"/>
                <w:szCs w:val="20"/>
                <w:lang w:val="en-US"/>
              </w:rPr>
              <w:t>-</w:t>
            </w:r>
            <w:r w:rsidR="00733D39" w:rsidRPr="003D0AD9">
              <w:rPr>
                <w:rFonts w:eastAsia="Times New Roman"/>
                <w:color w:val="auto"/>
                <w:sz w:val="20"/>
                <w:szCs w:val="20"/>
                <w:lang w:val="en-US"/>
              </w:rPr>
              <w:t>represented and vulnerable group</w:t>
            </w:r>
            <w:r w:rsidRPr="003D0AD9">
              <w:rPr>
                <w:rFonts w:eastAsia="Times New Roman"/>
                <w:color w:val="auto"/>
                <w:sz w:val="20"/>
                <w:szCs w:val="20"/>
                <w:lang w:val="en-US"/>
              </w:rPr>
              <w:t>s</w:t>
            </w:r>
            <w:r w:rsidR="00733D39" w:rsidRPr="003D0AD9">
              <w:rPr>
                <w:rFonts w:eastAsia="Times New Roman"/>
                <w:color w:val="auto"/>
                <w:sz w:val="20"/>
                <w:szCs w:val="20"/>
                <w:lang w:val="en-US"/>
              </w:rPr>
              <w:t xml:space="preserve"> </w:t>
            </w:r>
            <w:r w:rsidRPr="003D0AD9">
              <w:rPr>
                <w:rFonts w:eastAsia="Times New Roman"/>
                <w:color w:val="auto"/>
                <w:sz w:val="20"/>
                <w:szCs w:val="20"/>
                <w:lang w:val="en-US"/>
              </w:rPr>
              <w:t xml:space="preserve">(youth, women, disabled) to </w:t>
            </w:r>
            <w:r w:rsidR="00733D39" w:rsidRPr="003D0AD9">
              <w:rPr>
                <w:rFonts w:eastAsia="Times New Roman"/>
                <w:color w:val="auto"/>
                <w:sz w:val="20"/>
                <w:szCs w:val="20"/>
                <w:lang w:val="en-US"/>
              </w:rPr>
              <w:t>exercise their rights to elect and be elected</w:t>
            </w:r>
            <w:r w:rsidRPr="003D0AD9">
              <w:rPr>
                <w:rFonts w:eastAsia="Times New Roman"/>
                <w:color w:val="auto"/>
                <w:sz w:val="20"/>
                <w:szCs w:val="20"/>
                <w:lang w:val="en-US"/>
              </w:rPr>
              <w:t>,</w:t>
            </w:r>
            <w:r w:rsidR="00733D39" w:rsidRPr="003D0AD9">
              <w:rPr>
                <w:rFonts w:eastAsia="Times New Roman"/>
                <w:color w:val="auto"/>
                <w:sz w:val="20"/>
                <w:szCs w:val="20"/>
                <w:lang w:val="en-US"/>
              </w:rPr>
              <w:t xml:space="preserve"> and </w:t>
            </w:r>
            <w:r w:rsidRPr="003D0AD9">
              <w:rPr>
                <w:rFonts w:eastAsia="Times New Roman"/>
                <w:color w:val="auto"/>
                <w:sz w:val="20"/>
                <w:szCs w:val="20"/>
                <w:lang w:val="en-US"/>
              </w:rPr>
              <w:t xml:space="preserve">conducted </w:t>
            </w:r>
            <w:r w:rsidR="00733D39" w:rsidRPr="003D0AD9">
              <w:rPr>
                <w:rFonts w:eastAsia="Times New Roman"/>
                <w:color w:val="auto"/>
                <w:sz w:val="20"/>
                <w:szCs w:val="20"/>
                <w:lang w:val="en-US"/>
              </w:rPr>
              <w:t>awareness raising campaign</w:t>
            </w:r>
            <w:r w:rsidRPr="003D0AD9">
              <w:rPr>
                <w:rFonts w:eastAsia="Times New Roman"/>
                <w:color w:val="auto"/>
                <w:sz w:val="20"/>
                <w:szCs w:val="20"/>
                <w:lang w:val="en-US"/>
              </w:rPr>
              <w:t>s among the public</w:t>
            </w:r>
            <w:r w:rsidR="003D0AD9" w:rsidRPr="003D0AD9">
              <w:rPr>
                <w:rFonts w:eastAsia="Times New Roman"/>
                <w:color w:val="auto"/>
                <w:sz w:val="20"/>
                <w:szCs w:val="20"/>
                <w:lang w:val="en-US"/>
              </w:rPr>
              <w:t>, together with the Central Election Committee.</w:t>
            </w:r>
            <w:r w:rsidR="00733D39" w:rsidRPr="003D0AD9">
              <w:rPr>
                <w:rFonts w:eastAsia="Times New Roman"/>
                <w:color w:val="auto"/>
                <w:sz w:val="20"/>
                <w:szCs w:val="20"/>
                <w:lang w:val="en-US"/>
              </w:rPr>
              <w:t xml:space="preserve"> The results of </w:t>
            </w:r>
            <w:r w:rsidRPr="003D0AD9">
              <w:rPr>
                <w:rFonts w:eastAsia="Times New Roman"/>
                <w:color w:val="auto"/>
                <w:sz w:val="20"/>
                <w:szCs w:val="20"/>
                <w:lang w:val="en-US"/>
              </w:rPr>
              <w:t xml:space="preserve">local </w:t>
            </w:r>
            <w:r w:rsidR="00733D39" w:rsidRPr="003D0AD9">
              <w:rPr>
                <w:rFonts w:eastAsia="Times New Roman"/>
                <w:color w:val="auto"/>
                <w:sz w:val="20"/>
                <w:szCs w:val="20"/>
                <w:lang w:val="en-US"/>
              </w:rPr>
              <w:t>election</w:t>
            </w:r>
            <w:r w:rsidRPr="003D0AD9">
              <w:rPr>
                <w:rFonts w:eastAsia="Times New Roman"/>
                <w:color w:val="auto"/>
                <w:sz w:val="20"/>
                <w:szCs w:val="20"/>
                <w:lang w:val="en-US"/>
              </w:rPr>
              <w:t xml:space="preserve">s in </w:t>
            </w:r>
            <w:r w:rsidR="00733D39" w:rsidRPr="003D0AD9">
              <w:rPr>
                <w:rFonts w:eastAsia="Times New Roman"/>
                <w:color w:val="auto"/>
                <w:sz w:val="20"/>
                <w:szCs w:val="20"/>
                <w:lang w:val="en-US"/>
              </w:rPr>
              <w:t>2012 showed more than 60% increase in the number of young candidates. Overall</w:t>
            </w:r>
            <w:r w:rsidRPr="003D0AD9">
              <w:rPr>
                <w:rFonts w:eastAsia="Times New Roman"/>
                <w:color w:val="auto"/>
                <w:sz w:val="20"/>
                <w:szCs w:val="20"/>
                <w:lang w:val="en-US"/>
              </w:rPr>
              <w:t>,</w:t>
            </w:r>
            <w:r w:rsidR="00733D39" w:rsidRPr="003D0AD9">
              <w:rPr>
                <w:rFonts w:eastAsia="Times New Roman"/>
                <w:color w:val="auto"/>
                <w:sz w:val="20"/>
                <w:szCs w:val="20"/>
                <w:lang w:val="en-US"/>
              </w:rPr>
              <w:t xml:space="preserve"> 1</w:t>
            </w:r>
            <w:r w:rsidRPr="003D0AD9">
              <w:rPr>
                <w:rFonts w:eastAsia="Times New Roman"/>
                <w:color w:val="auto"/>
                <w:sz w:val="20"/>
                <w:szCs w:val="20"/>
                <w:lang w:val="en-US"/>
              </w:rPr>
              <w:t>,</w:t>
            </w:r>
            <w:r w:rsidR="00733D39" w:rsidRPr="003D0AD9">
              <w:rPr>
                <w:rFonts w:eastAsia="Times New Roman"/>
                <w:color w:val="auto"/>
                <w:sz w:val="20"/>
                <w:szCs w:val="20"/>
                <w:lang w:val="en-US"/>
              </w:rPr>
              <w:t>206 young people were registered as candidates</w:t>
            </w:r>
            <w:r w:rsidR="0026303E">
              <w:rPr>
                <w:rFonts w:eastAsia="Times New Roman"/>
                <w:color w:val="auto"/>
                <w:sz w:val="20"/>
                <w:szCs w:val="20"/>
                <w:lang w:val="en-US"/>
              </w:rPr>
              <w:t xml:space="preserve"> (</w:t>
            </w:r>
            <w:r w:rsidR="00733D39" w:rsidRPr="003D0AD9">
              <w:rPr>
                <w:rFonts w:eastAsia="Times New Roman"/>
                <w:color w:val="auto"/>
                <w:sz w:val="20"/>
                <w:szCs w:val="20"/>
                <w:lang w:val="en-US"/>
              </w:rPr>
              <w:t xml:space="preserve">12% of </w:t>
            </w:r>
            <w:r w:rsidR="0026303E">
              <w:rPr>
                <w:rFonts w:eastAsia="Times New Roman"/>
                <w:color w:val="auto"/>
                <w:sz w:val="20"/>
                <w:szCs w:val="20"/>
                <w:lang w:val="en-US"/>
              </w:rPr>
              <w:t>the total)</w:t>
            </w:r>
            <w:r w:rsidR="00733D39" w:rsidRPr="003D0AD9">
              <w:rPr>
                <w:rFonts w:eastAsia="Times New Roman"/>
                <w:color w:val="auto"/>
                <w:sz w:val="20"/>
                <w:szCs w:val="20"/>
                <w:lang w:val="en-US"/>
              </w:rPr>
              <w:t xml:space="preserve">. About 23% of the candidates of the 2012 local elections were women. Although there </w:t>
            </w:r>
            <w:r w:rsidR="00AF4ACA">
              <w:rPr>
                <w:rFonts w:eastAsia="Times New Roman"/>
                <w:color w:val="auto"/>
                <w:sz w:val="20"/>
                <w:szCs w:val="20"/>
                <w:lang w:val="en-US"/>
              </w:rPr>
              <w:t>are</w:t>
            </w:r>
            <w:r w:rsidR="00733D39" w:rsidRPr="003D0AD9">
              <w:rPr>
                <w:rFonts w:eastAsia="Times New Roman"/>
                <w:color w:val="auto"/>
                <w:sz w:val="20"/>
                <w:szCs w:val="20"/>
                <w:lang w:val="en-US"/>
              </w:rPr>
              <w:t xml:space="preserve"> no official statistic</w:t>
            </w:r>
            <w:r w:rsidR="00AF4ACA">
              <w:rPr>
                <w:rFonts w:eastAsia="Times New Roman"/>
                <w:color w:val="auto"/>
                <w:sz w:val="20"/>
                <w:szCs w:val="20"/>
                <w:lang w:val="en-US"/>
              </w:rPr>
              <w:t>al</w:t>
            </w:r>
            <w:r w:rsidR="00733D39" w:rsidRPr="003D0AD9">
              <w:rPr>
                <w:rFonts w:eastAsia="Times New Roman"/>
                <w:color w:val="auto"/>
                <w:sz w:val="20"/>
                <w:szCs w:val="20"/>
                <w:lang w:val="en-US"/>
              </w:rPr>
              <w:t xml:space="preserve"> data on the PWD participation in elections, 6 PWD were registered as candidates in Almaty, Aktobe, Akmola, Zham</w:t>
            </w:r>
            <w:r w:rsidRPr="003D0AD9">
              <w:rPr>
                <w:rFonts w:eastAsia="Times New Roman"/>
                <w:color w:val="auto"/>
                <w:sz w:val="20"/>
                <w:szCs w:val="20"/>
                <w:lang w:val="en-US"/>
              </w:rPr>
              <w:t>byl</w:t>
            </w:r>
            <w:r w:rsidR="00733D39" w:rsidRPr="003D0AD9">
              <w:rPr>
                <w:rFonts w:eastAsia="Times New Roman"/>
                <w:color w:val="auto"/>
                <w:sz w:val="20"/>
                <w:szCs w:val="20"/>
                <w:lang w:val="en-US"/>
              </w:rPr>
              <w:t xml:space="preserve"> oblasts and Almaty city. One of them was elected to the </w:t>
            </w:r>
            <w:r w:rsidRPr="003D0AD9">
              <w:rPr>
                <w:rFonts w:eastAsia="Times New Roman"/>
                <w:color w:val="auto"/>
                <w:sz w:val="20"/>
                <w:szCs w:val="20"/>
                <w:lang w:val="en-US"/>
              </w:rPr>
              <w:t>local representative body in Ak</w:t>
            </w:r>
            <w:r w:rsidR="00733D39" w:rsidRPr="003D0AD9">
              <w:rPr>
                <w:rFonts w:eastAsia="Times New Roman"/>
                <w:color w:val="auto"/>
                <w:sz w:val="20"/>
                <w:szCs w:val="20"/>
                <w:lang w:val="en-US"/>
              </w:rPr>
              <w:t xml:space="preserve">mola oblast.  </w:t>
            </w:r>
            <w:r w:rsidR="003D0AD9" w:rsidRPr="00575B82">
              <w:rPr>
                <w:rFonts w:eastAsia="Times New Roman"/>
                <w:color w:val="auto"/>
                <w:sz w:val="20"/>
                <w:szCs w:val="20"/>
                <w:lang w:val="en-US"/>
              </w:rPr>
              <w:t>Currently Central Election Commission looks for the possibilities to introduce a system of professional development for the members of the local election commissions.</w:t>
            </w:r>
          </w:p>
          <w:p w14:paraId="32C829D2" w14:textId="77777777" w:rsidR="00733D39" w:rsidRPr="00575B82" w:rsidRDefault="00733D39" w:rsidP="00CB4203">
            <w:pPr>
              <w:pStyle w:val="BodyText2"/>
              <w:jc w:val="both"/>
              <w:rPr>
                <w:rFonts w:ascii="Times New Roman" w:hAnsi="Times New Roman"/>
              </w:rPr>
            </w:pPr>
          </w:p>
          <w:p w14:paraId="43F937CD" w14:textId="71699F33" w:rsidR="00733D39" w:rsidRPr="003D0AD9" w:rsidRDefault="006F2560" w:rsidP="00CB4203">
            <w:pPr>
              <w:pStyle w:val="BodyText2"/>
              <w:jc w:val="both"/>
              <w:rPr>
                <w:rFonts w:ascii="Times New Roman" w:hAnsi="Times New Roman"/>
              </w:rPr>
            </w:pPr>
            <w:r>
              <w:rPr>
                <w:rFonts w:ascii="Times New Roman" w:hAnsi="Times New Roman"/>
              </w:rPr>
              <w:t xml:space="preserve">The three joint UN local development programmes (East Kazakhstan, </w:t>
            </w:r>
            <w:r w:rsidR="003D0AD9">
              <w:rPr>
                <w:rFonts w:ascii="Times New Roman" w:hAnsi="Times New Roman"/>
              </w:rPr>
              <w:t xml:space="preserve">Kyzylorda and Mangystau) have supported more than 40 local NGOs and CBOs and enhanced their capacities to deliver socio-economic services for women, youth, and disabled people in rural areas. The services being provided are in the areas of social protection, SME-development, </w:t>
            </w:r>
            <w:r w:rsidR="00F05F1F">
              <w:rPr>
                <w:rFonts w:ascii="Times New Roman" w:hAnsi="Times New Roman"/>
              </w:rPr>
              <w:t>natural resource management</w:t>
            </w:r>
            <w:r w:rsidR="003D0AD9">
              <w:rPr>
                <w:rFonts w:ascii="Times New Roman" w:hAnsi="Times New Roman"/>
              </w:rPr>
              <w:t xml:space="preserve"> and social re-integration. During 2014-2015, the </w:t>
            </w:r>
            <w:r w:rsidR="00733D39" w:rsidRPr="00575B82">
              <w:rPr>
                <w:rFonts w:ascii="Times New Roman" w:hAnsi="Times New Roman"/>
              </w:rPr>
              <w:t xml:space="preserve">Ministry of Economic Development and Trade </w:t>
            </w:r>
            <w:r w:rsidR="003D0AD9">
              <w:rPr>
                <w:rFonts w:ascii="Times New Roman" w:hAnsi="Times New Roman"/>
              </w:rPr>
              <w:t xml:space="preserve">has </w:t>
            </w:r>
            <w:r w:rsidR="00733D39" w:rsidRPr="00575B82">
              <w:rPr>
                <w:rFonts w:ascii="Times New Roman" w:hAnsi="Times New Roman"/>
              </w:rPr>
              <w:t xml:space="preserve">initiated </w:t>
            </w:r>
            <w:r w:rsidR="003D0AD9">
              <w:rPr>
                <w:rFonts w:ascii="Times New Roman" w:hAnsi="Times New Roman"/>
              </w:rPr>
              <w:t xml:space="preserve">dialogues </w:t>
            </w:r>
            <w:r w:rsidR="00733D39" w:rsidRPr="00575B82">
              <w:rPr>
                <w:rFonts w:ascii="Times New Roman" w:hAnsi="Times New Roman"/>
              </w:rPr>
              <w:t>with non-governmental organization</w:t>
            </w:r>
            <w:r w:rsidR="003D0AD9">
              <w:rPr>
                <w:rFonts w:ascii="Times New Roman" w:hAnsi="Times New Roman"/>
              </w:rPr>
              <w:t xml:space="preserve">s to independently asses the effectiveness of public services. The current </w:t>
            </w:r>
            <w:r w:rsidR="00733D39" w:rsidRPr="00575B82">
              <w:rPr>
                <w:rFonts w:ascii="Times New Roman" w:hAnsi="Times New Roman"/>
              </w:rPr>
              <w:t>public administration assessment framework is</w:t>
            </w:r>
            <w:r w:rsidR="003D0AD9">
              <w:rPr>
                <w:rFonts w:ascii="Times New Roman" w:hAnsi="Times New Roman"/>
              </w:rPr>
              <w:t xml:space="preserve"> being</w:t>
            </w:r>
            <w:r w:rsidR="00733D39" w:rsidRPr="00575B82">
              <w:rPr>
                <w:rFonts w:ascii="Times New Roman" w:hAnsi="Times New Roman"/>
              </w:rPr>
              <w:t xml:space="preserve"> reviewed in line </w:t>
            </w:r>
            <w:r w:rsidR="00733D39" w:rsidRPr="00575B82">
              <w:rPr>
                <w:rFonts w:ascii="Times New Roman" w:hAnsi="Times New Roman"/>
              </w:rPr>
              <w:lastRenderedPageBreak/>
              <w:t xml:space="preserve">with international standards of participatory and inclusive mechanisms for civil society. </w:t>
            </w:r>
            <w:r w:rsidR="003D0AD9">
              <w:rPr>
                <w:rFonts w:ascii="Times New Roman" w:hAnsi="Times New Roman"/>
              </w:rPr>
              <w:t>Capacities</w:t>
            </w:r>
            <w:r w:rsidR="00733D39" w:rsidRPr="00575B82">
              <w:rPr>
                <w:rFonts w:ascii="Times New Roman" w:hAnsi="Times New Roman"/>
              </w:rPr>
              <w:t xml:space="preserve"> of local non-governmental organizations </w:t>
            </w:r>
            <w:r w:rsidR="006F4C53">
              <w:rPr>
                <w:rFonts w:ascii="Times New Roman" w:hAnsi="Times New Roman"/>
              </w:rPr>
              <w:t>were</w:t>
            </w:r>
            <w:r w:rsidR="00733D39" w:rsidRPr="00575B82">
              <w:rPr>
                <w:rFonts w:ascii="Times New Roman" w:hAnsi="Times New Roman"/>
              </w:rPr>
              <w:t xml:space="preserve"> raised to </w:t>
            </w:r>
            <w:r w:rsidR="006F4C53">
              <w:rPr>
                <w:rFonts w:ascii="Times New Roman" w:hAnsi="Times New Roman"/>
              </w:rPr>
              <w:t>enable them</w:t>
            </w:r>
            <w:r w:rsidR="00733D39" w:rsidRPr="00575B82">
              <w:rPr>
                <w:rFonts w:ascii="Times New Roman" w:hAnsi="Times New Roman"/>
              </w:rPr>
              <w:t xml:space="preserve"> to participate in evaluation of public offices and services</w:t>
            </w:r>
            <w:r w:rsidR="003D0AD9">
              <w:rPr>
                <w:rFonts w:ascii="Times New Roman" w:hAnsi="Times New Roman"/>
              </w:rPr>
              <w:t xml:space="preserve"> through a series of trainings in </w:t>
            </w:r>
            <w:r w:rsidR="00733D39" w:rsidRPr="00575B82">
              <w:rPr>
                <w:rFonts w:ascii="Times New Roman" w:hAnsi="Times New Roman"/>
              </w:rPr>
              <w:t>10 regional cities</w:t>
            </w:r>
            <w:r w:rsidR="003D0AD9">
              <w:rPr>
                <w:rFonts w:ascii="Times New Roman" w:hAnsi="Times New Roman"/>
              </w:rPr>
              <w:t xml:space="preserve"> and municipalities, distribution of </w:t>
            </w:r>
            <w:r w:rsidR="00733D39" w:rsidRPr="00575B82">
              <w:rPr>
                <w:rFonts w:ascii="Times New Roman" w:hAnsi="Times New Roman"/>
              </w:rPr>
              <w:t>handbook</w:t>
            </w:r>
            <w:r w:rsidR="003D0AD9">
              <w:rPr>
                <w:rFonts w:ascii="Times New Roman" w:hAnsi="Times New Roman"/>
              </w:rPr>
              <w:t>s</w:t>
            </w:r>
            <w:r w:rsidR="00733D39" w:rsidRPr="00575B82">
              <w:rPr>
                <w:rFonts w:ascii="Times New Roman" w:hAnsi="Times New Roman"/>
              </w:rPr>
              <w:t xml:space="preserve"> and reference materials. </w:t>
            </w:r>
          </w:p>
        </w:tc>
      </w:tr>
      <w:tr w:rsidR="00733D39" w:rsidRPr="00DC7354" w14:paraId="79075C5B" w14:textId="77777777" w:rsidTr="00787B31">
        <w:tc>
          <w:tcPr>
            <w:tcW w:w="3150" w:type="dxa"/>
            <w:shd w:val="clear" w:color="auto" w:fill="8DB3E2" w:themeFill="text2" w:themeFillTint="66"/>
          </w:tcPr>
          <w:p w14:paraId="594CEBCC" w14:textId="77777777" w:rsidR="00733D39" w:rsidRPr="003D0AD9" w:rsidRDefault="00733D39" w:rsidP="00CB4203">
            <w:pPr>
              <w:pStyle w:val="BodyText2"/>
              <w:rPr>
                <w:rFonts w:ascii="Times New Roman" w:hAnsi="Times New Roman"/>
                <w:b/>
              </w:rPr>
            </w:pPr>
            <w:r w:rsidRPr="003D0AD9">
              <w:rPr>
                <w:rFonts w:ascii="Times New Roman" w:hAnsi="Times New Roman"/>
                <w:b/>
              </w:rPr>
              <w:lastRenderedPageBreak/>
              <w:t>Central and local governments operate in a more effective, transparent and accountable manner</w:t>
            </w:r>
          </w:p>
        </w:tc>
        <w:tc>
          <w:tcPr>
            <w:tcW w:w="1597" w:type="dxa"/>
            <w:gridSpan w:val="2"/>
          </w:tcPr>
          <w:p w14:paraId="76FEE911" w14:textId="6662A53A" w:rsidR="00733D39" w:rsidRPr="00240410" w:rsidRDefault="00787B31" w:rsidP="007752F4">
            <w:pPr>
              <w:pStyle w:val="BodyText2"/>
              <w:rPr>
                <w:rFonts w:ascii="Times New Roman" w:hAnsi="Times New Roman"/>
              </w:rPr>
            </w:pPr>
            <w:r>
              <w:rPr>
                <w:rFonts w:ascii="Times New Roman" w:hAnsi="Times New Roman"/>
              </w:rPr>
              <w:t>$</w:t>
            </w:r>
            <w:r w:rsidR="00D57349" w:rsidRPr="00240410">
              <w:rPr>
                <w:rFonts w:ascii="Times New Roman" w:hAnsi="Times New Roman"/>
              </w:rPr>
              <w:t>9,620,000</w:t>
            </w:r>
          </w:p>
        </w:tc>
        <w:tc>
          <w:tcPr>
            <w:tcW w:w="3870" w:type="dxa"/>
            <w:gridSpan w:val="2"/>
          </w:tcPr>
          <w:p w14:paraId="2C4029F6" w14:textId="2DB7A77B" w:rsidR="00733D39" w:rsidRPr="003D0AD9" w:rsidRDefault="00733D39" w:rsidP="00CB4203">
            <w:pPr>
              <w:pStyle w:val="ListParagraph"/>
              <w:numPr>
                <w:ilvl w:val="0"/>
                <w:numId w:val="33"/>
              </w:numPr>
              <w:ind w:left="382"/>
            </w:pPr>
            <w:r w:rsidRPr="003D0AD9">
              <w:t xml:space="preserve">Number of joint initiatives implemented using </w:t>
            </w:r>
            <w:r w:rsidR="006F4C53">
              <w:t>results-based management (</w:t>
            </w:r>
            <w:r w:rsidRPr="003D0AD9">
              <w:t>RBM</w:t>
            </w:r>
            <w:r w:rsidR="006F4C53">
              <w:t>)</w:t>
            </w:r>
            <w:r w:rsidRPr="003D0AD9">
              <w:t xml:space="preserve"> and capacity development tools;</w:t>
            </w:r>
          </w:p>
          <w:p w14:paraId="349694B7" w14:textId="73630D2F" w:rsidR="00733D39" w:rsidRPr="003D0AD9" w:rsidRDefault="00733D39" w:rsidP="00CB4203">
            <w:pPr>
              <w:pStyle w:val="ListParagraph"/>
              <w:numPr>
                <w:ilvl w:val="0"/>
                <w:numId w:val="33"/>
              </w:numPr>
              <w:ind w:left="382"/>
              <w:rPr>
                <w:rFonts w:asciiTheme="minorHAnsi" w:hAnsiTheme="minorHAnsi"/>
                <w:sz w:val="22"/>
                <w:szCs w:val="22"/>
              </w:rPr>
            </w:pPr>
            <w:r w:rsidRPr="003D0AD9">
              <w:t>Border management strategies and plans of action produced</w:t>
            </w:r>
            <w:r w:rsidR="00A761A8">
              <w:t>.</w:t>
            </w:r>
          </w:p>
        </w:tc>
        <w:tc>
          <w:tcPr>
            <w:tcW w:w="5423" w:type="dxa"/>
          </w:tcPr>
          <w:p w14:paraId="0FD3FBDD" w14:textId="77777777" w:rsidR="00D775B5" w:rsidRDefault="00733D39" w:rsidP="00CB4203">
            <w:pPr>
              <w:pStyle w:val="ListParagraph"/>
              <w:numPr>
                <w:ilvl w:val="0"/>
                <w:numId w:val="34"/>
              </w:numPr>
            </w:pPr>
            <w:r w:rsidRPr="003D0AD9">
              <w:t xml:space="preserve">By 2015, </w:t>
            </w:r>
            <w:r w:rsidR="00D775B5">
              <w:t xml:space="preserve">local governing bodies in </w:t>
            </w:r>
            <w:r w:rsidRPr="003D0AD9">
              <w:t>13 districts (10 in the East KZ, 1 in Mangystau, 2 in Kyzylorda</w:t>
            </w:r>
            <w:r w:rsidR="00D775B5">
              <w:t xml:space="preserve">) have </w:t>
            </w:r>
            <w:r w:rsidRPr="003D0AD9">
              <w:t xml:space="preserve">successfully </w:t>
            </w:r>
            <w:r w:rsidR="00D775B5">
              <w:t xml:space="preserve">developed and are implementing local development plans through the application of RBM and participatory decision-making tools. During 2012-2013, UNDP supported the Ministry of National Economy in application of the Results-Based Budgeting for aligning medium-term sectoral strategies with the overall vision ‘Kazakhstan-2050’.   </w:t>
            </w:r>
          </w:p>
          <w:p w14:paraId="5271F66C" w14:textId="79CAA2E8" w:rsidR="00733D39" w:rsidRPr="00D775B5" w:rsidRDefault="00733D39" w:rsidP="00CB4203">
            <w:pPr>
              <w:pStyle w:val="ListParagraph"/>
              <w:numPr>
                <w:ilvl w:val="0"/>
                <w:numId w:val="34"/>
              </w:numPr>
            </w:pPr>
            <w:r w:rsidRPr="00D775B5">
              <w:t xml:space="preserve">By 2014, Kazakhstan has adopted </w:t>
            </w:r>
            <w:r w:rsidR="00D775B5">
              <w:t xml:space="preserve">the </w:t>
            </w:r>
            <w:r w:rsidRPr="00D775B5">
              <w:t xml:space="preserve">Integrated Border Management (IBM) strategy including </w:t>
            </w:r>
            <w:r w:rsidR="00D775B5">
              <w:t xml:space="preserve">the </w:t>
            </w:r>
            <w:r w:rsidRPr="00D775B5">
              <w:t>development and enhancement of the cross-border trade, infrastructure and provision of equipment, strengthen</w:t>
            </w:r>
            <w:r w:rsidR="00D775B5">
              <w:t>ing of</w:t>
            </w:r>
            <w:r w:rsidRPr="00D775B5">
              <w:t xml:space="preserve"> the capabilities of partner countries to deter, detect and interdict illicit trafficking.</w:t>
            </w:r>
          </w:p>
        </w:tc>
      </w:tr>
      <w:tr w:rsidR="00733D39" w:rsidRPr="00DC7354" w14:paraId="46AAB4F0" w14:textId="77777777" w:rsidTr="00733D39">
        <w:tc>
          <w:tcPr>
            <w:tcW w:w="14040" w:type="dxa"/>
            <w:gridSpan w:val="6"/>
            <w:shd w:val="clear" w:color="auto" w:fill="FFFFFF" w:themeFill="background1"/>
          </w:tcPr>
          <w:p w14:paraId="2A6F0812" w14:textId="77777777" w:rsidR="00733D39" w:rsidRPr="001A2C02" w:rsidRDefault="00733D39" w:rsidP="00CB4203">
            <w:pPr>
              <w:pStyle w:val="BodyText2"/>
              <w:rPr>
                <w:rFonts w:ascii="Times New Roman" w:hAnsi="Times New Roman"/>
                <w:b/>
              </w:rPr>
            </w:pPr>
            <w:r w:rsidRPr="001A2C02">
              <w:rPr>
                <w:rFonts w:ascii="Times New Roman" w:hAnsi="Times New Roman"/>
                <w:b/>
              </w:rPr>
              <w:t>UNDP Contribution:</w:t>
            </w:r>
          </w:p>
          <w:p w14:paraId="00955B82" w14:textId="77777777" w:rsidR="00733D39" w:rsidRPr="001A2C02" w:rsidRDefault="00733D39" w:rsidP="00CB4203">
            <w:pPr>
              <w:pStyle w:val="BodyText2"/>
              <w:rPr>
                <w:rFonts w:ascii="Times New Roman" w:hAnsi="Times New Roman"/>
              </w:rPr>
            </w:pPr>
            <w:r w:rsidRPr="001A2C02">
              <w:rPr>
                <w:rFonts w:ascii="Times New Roman" w:hAnsi="Times New Roman"/>
                <w:u w:val="single"/>
              </w:rPr>
              <w:t>CP Outputs</w:t>
            </w:r>
            <w:r w:rsidRPr="001A2C02">
              <w:rPr>
                <w:rFonts w:ascii="Times New Roman" w:hAnsi="Times New Roman"/>
              </w:rPr>
              <w:t>:</w:t>
            </w:r>
          </w:p>
          <w:p w14:paraId="7CE429D8" w14:textId="1C27FCDC" w:rsidR="00733D39" w:rsidRPr="001A2C02" w:rsidRDefault="00733D39" w:rsidP="00CB4203">
            <w:pPr>
              <w:pStyle w:val="ListParagraph"/>
              <w:keepNext/>
              <w:keepLines/>
              <w:numPr>
                <w:ilvl w:val="0"/>
                <w:numId w:val="31"/>
              </w:numPr>
              <w:ind w:left="436"/>
            </w:pPr>
            <w:r w:rsidRPr="001A2C02">
              <w:t>Central government bodies enhance their capacity, including for promotion of regional cooperation</w:t>
            </w:r>
            <w:r w:rsidR="00A761A8">
              <w:t>;</w:t>
            </w:r>
          </w:p>
          <w:p w14:paraId="58263655" w14:textId="68634042" w:rsidR="00733D39" w:rsidRPr="001A2C02" w:rsidRDefault="00733D39" w:rsidP="00CB4203">
            <w:pPr>
              <w:pStyle w:val="ListParagraph"/>
              <w:keepNext/>
              <w:keepLines/>
              <w:numPr>
                <w:ilvl w:val="0"/>
                <w:numId w:val="31"/>
              </w:numPr>
              <w:ind w:left="436"/>
            </w:pPr>
            <w:r w:rsidRPr="001A2C02">
              <w:t>Border and customs authorities exercise enhanced capacities for improved control and surveillance</w:t>
            </w:r>
            <w:r w:rsidR="00A761A8">
              <w:t>.</w:t>
            </w:r>
          </w:p>
          <w:p w14:paraId="0B742FD6" w14:textId="77777777" w:rsidR="009E159B" w:rsidRPr="001A2C02" w:rsidRDefault="009E159B" w:rsidP="009E159B">
            <w:pPr>
              <w:pStyle w:val="ListParagraph"/>
              <w:keepNext/>
              <w:keepLines/>
              <w:ind w:left="436"/>
            </w:pPr>
          </w:p>
          <w:p w14:paraId="79F19655" w14:textId="77C3FA25" w:rsidR="002725C6" w:rsidRPr="0017025C" w:rsidRDefault="00733D39" w:rsidP="00787B31">
            <w:pPr>
              <w:pStyle w:val="BodyText2"/>
              <w:rPr>
                <w:color w:val="000000"/>
                <w:sz w:val="24"/>
              </w:rPr>
            </w:pPr>
            <w:r w:rsidRPr="001A2C02">
              <w:rPr>
                <w:rFonts w:ascii="Times New Roman" w:hAnsi="Times New Roman"/>
                <w:u w:val="single"/>
              </w:rPr>
              <w:t>Progress and Achievements</w:t>
            </w:r>
            <w:r w:rsidRPr="001A2C02">
              <w:rPr>
                <w:rFonts w:ascii="Times New Roman" w:hAnsi="Times New Roman"/>
              </w:rPr>
              <w:t>:</w:t>
            </w:r>
          </w:p>
          <w:p w14:paraId="442146EC" w14:textId="2A6085B1" w:rsidR="00E07EFD" w:rsidRPr="00E07EFD" w:rsidRDefault="00E07EFD" w:rsidP="00CB4203">
            <w:pPr>
              <w:keepNext/>
              <w:keepLines/>
              <w:rPr>
                <w:sz w:val="20"/>
              </w:rPr>
            </w:pPr>
            <w:r w:rsidRPr="00E07EFD">
              <w:rPr>
                <w:sz w:val="20"/>
              </w:rPr>
              <w:t xml:space="preserve">UNDP has worked with the Agency for Civil Service Affairs during 2011-2013 to introduce a new model of civil service reforms in the country. As a result of this joint endeavor, in 2013 the Regional Hub for Civil Service in Astana was established as a platform to exchange knowledge and best practices in civil service reform among Kazakhstan and other countries in the region. To date, the </w:t>
            </w:r>
            <w:r w:rsidR="006527DB">
              <w:rPr>
                <w:sz w:val="20"/>
              </w:rPr>
              <w:t>H</w:t>
            </w:r>
            <w:r w:rsidRPr="00E07EFD">
              <w:rPr>
                <w:sz w:val="20"/>
              </w:rPr>
              <w:t xml:space="preserve">ub is a fully functioning entity with over 30 countries and institutions actively participating. </w:t>
            </w:r>
            <w:r w:rsidR="006527DB">
              <w:rPr>
                <w:sz w:val="20"/>
              </w:rPr>
              <w:t>It</w:t>
            </w:r>
            <w:r w:rsidRPr="00E07EFD">
              <w:rPr>
                <w:sz w:val="20"/>
              </w:rPr>
              <w:t xml:space="preserve"> promises to become one of </w:t>
            </w:r>
            <w:r w:rsidR="006527DB">
              <w:rPr>
                <w:sz w:val="20"/>
              </w:rPr>
              <w:t>UNDP’s</w:t>
            </w:r>
            <w:r w:rsidRPr="00E07EFD">
              <w:rPr>
                <w:sz w:val="20"/>
              </w:rPr>
              <w:t xml:space="preserve"> major platforms for institutionalizing South-South and Triangular partnership mechanisms. As the culmination of the three years of efforts by UNDP, Kazakhstan adopted an enabling legislation to establish the Official Development Assistance (ODA) system. The main lesson learned is that with the shift of Kazakhstan’s position as a middle-income country and an active international player, UNDP should reevaluate its value-added, especially in the area of promoting regional cooperation as one of the main focus areas for the new CPD cycle.</w:t>
            </w:r>
          </w:p>
          <w:p w14:paraId="4BAA91F1" w14:textId="77777777" w:rsidR="00E07EFD" w:rsidRDefault="00E07EFD" w:rsidP="00CB4203">
            <w:pPr>
              <w:pStyle w:val="Default"/>
              <w:jc w:val="both"/>
              <w:rPr>
                <w:rFonts w:eastAsia="Times New Roman"/>
                <w:sz w:val="20"/>
                <w:szCs w:val="20"/>
                <w:lang w:val="en-US"/>
              </w:rPr>
            </w:pPr>
          </w:p>
          <w:p w14:paraId="69ADABF5" w14:textId="11F016E5" w:rsidR="00733D39" w:rsidRPr="001A2C02" w:rsidRDefault="00733D39" w:rsidP="001B6FE3">
            <w:pPr>
              <w:pStyle w:val="Default"/>
              <w:jc w:val="both"/>
              <w:rPr>
                <w:sz w:val="20"/>
                <w:szCs w:val="20"/>
                <w:lang w:val="en-US"/>
              </w:rPr>
            </w:pPr>
            <w:r w:rsidRPr="001A2C02">
              <w:rPr>
                <w:rFonts w:eastAsia="Times New Roman"/>
                <w:sz w:val="20"/>
                <w:szCs w:val="20"/>
                <w:lang w:val="en-US"/>
              </w:rPr>
              <w:t>Border Management Assist</w:t>
            </w:r>
            <w:r w:rsidR="00BA0CCD">
              <w:rPr>
                <w:rFonts w:eastAsia="Times New Roman"/>
                <w:sz w:val="20"/>
                <w:szCs w:val="20"/>
                <w:lang w:val="en-US"/>
              </w:rPr>
              <w:t xml:space="preserve">ance Programme (EU/UNDP) in </w:t>
            </w:r>
            <w:r w:rsidRPr="001A2C02">
              <w:rPr>
                <w:rFonts w:eastAsia="Times New Roman"/>
                <w:sz w:val="20"/>
                <w:szCs w:val="20"/>
                <w:lang w:val="en-US"/>
              </w:rPr>
              <w:t xml:space="preserve">Central Asia has been cooperating with the Customs Control Committee </w:t>
            </w:r>
            <w:r w:rsidR="00BA0CCD">
              <w:rPr>
                <w:rFonts w:eastAsia="Times New Roman"/>
                <w:sz w:val="20"/>
                <w:szCs w:val="20"/>
                <w:lang w:val="en-US"/>
              </w:rPr>
              <w:t>of Kazakhstan in the past 10 years</w:t>
            </w:r>
            <w:r w:rsidRPr="001A2C02">
              <w:rPr>
                <w:rFonts w:eastAsia="Times New Roman"/>
                <w:sz w:val="20"/>
                <w:szCs w:val="20"/>
                <w:lang w:val="en-US"/>
              </w:rPr>
              <w:t xml:space="preserve">. </w:t>
            </w:r>
            <w:r w:rsidR="00BA0CCD">
              <w:rPr>
                <w:rFonts w:eastAsia="Times New Roman"/>
                <w:sz w:val="20"/>
                <w:szCs w:val="20"/>
                <w:lang w:val="en-US"/>
              </w:rPr>
              <w:t xml:space="preserve">During </w:t>
            </w:r>
            <w:r w:rsidRPr="001A2C02">
              <w:rPr>
                <w:rFonts w:eastAsia="Times New Roman"/>
                <w:sz w:val="20"/>
                <w:szCs w:val="20"/>
                <w:lang w:val="en-US"/>
              </w:rPr>
              <w:t>this period</w:t>
            </w:r>
            <w:r w:rsidR="00BA0CCD">
              <w:rPr>
                <w:rFonts w:eastAsia="Times New Roman"/>
                <w:sz w:val="20"/>
                <w:szCs w:val="20"/>
                <w:lang w:val="en-US"/>
              </w:rPr>
              <w:t>, relevant local and national bodies have</w:t>
            </w:r>
            <w:r w:rsidRPr="001A2C02">
              <w:rPr>
                <w:rFonts w:eastAsia="Times New Roman"/>
                <w:sz w:val="20"/>
                <w:szCs w:val="20"/>
                <w:lang w:val="en-US"/>
              </w:rPr>
              <w:t xml:space="preserve"> gained a wide</w:t>
            </w:r>
            <w:r w:rsidR="00BA0CCD">
              <w:rPr>
                <w:rFonts w:eastAsia="Times New Roman"/>
                <w:sz w:val="20"/>
                <w:szCs w:val="20"/>
                <w:lang w:val="en-US"/>
              </w:rPr>
              <w:t>-ranging</w:t>
            </w:r>
            <w:r w:rsidRPr="001A2C02">
              <w:rPr>
                <w:rFonts w:eastAsia="Times New Roman"/>
                <w:sz w:val="20"/>
                <w:szCs w:val="20"/>
                <w:lang w:val="en-US"/>
              </w:rPr>
              <w:t xml:space="preserve"> experience </w:t>
            </w:r>
            <w:r w:rsidR="00BA0CCD">
              <w:rPr>
                <w:rFonts w:eastAsia="Times New Roman"/>
                <w:sz w:val="20"/>
                <w:szCs w:val="20"/>
                <w:lang w:val="en-US"/>
              </w:rPr>
              <w:t xml:space="preserve">in effective application of </w:t>
            </w:r>
            <w:r w:rsidRPr="001A2C02">
              <w:rPr>
                <w:rFonts w:eastAsia="Times New Roman"/>
                <w:sz w:val="20"/>
                <w:szCs w:val="20"/>
                <w:lang w:val="en-US"/>
              </w:rPr>
              <w:t xml:space="preserve">cross-border security, drug interdiction, </w:t>
            </w:r>
            <w:r w:rsidR="00BA0CCD">
              <w:rPr>
                <w:rFonts w:eastAsia="Times New Roman"/>
                <w:sz w:val="20"/>
                <w:szCs w:val="20"/>
                <w:lang w:val="en-US"/>
              </w:rPr>
              <w:t xml:space="preserve">and </w:t>
            </w:r>
            <w:r w:rsidRPr="001A2C02">
              <w:rPr>
                <w:rFonts w:eastAsia="Times New Roman"/>
                <w:sz w:val="20"/>
                <w:szCs w:val="20"/>
                <w:lang w:val="en-US"/>
              </w:rPr>
              <w:t xml:space="preserve">integrated border management. </w:t>
            </w:r>
            <w:r w:rsidR="00BA0CCD">
              <w:rPr>
                <w:rFonts w:eastAsia="Times New Roman"/>
                <w:sz w:val="20"/>
                <w:szCs w:val="20"/>
                <w:lang w:val="en-US"/>
              </w:rPr>
              <w:t xml:space="preserve">During 2011- </w:t>
            </w:r>
            <w:r w:rsidRPr="001A2C02">
              <w:rPr>
                <w:rFonts w:eastAsia="Times New Roman"/>
                <w:sz w:val="20"/>
                <w:szCs w:val="20"/>
                <w:lang w:val="en-US"/>
              </w:rPr>
              <w:t xml:space="preserve">2013, </w:t>
            </w:r>
            <w:r w:rsidR="00BA0CCD">
              <w:rPr>
                <w:rFonts w:eastAsia="Times New Roman"/>
                <w:sz w:val="20"/>
                <w:szCs w:val="20"/>
                <w:lang w:val="en-US"/>
              </w:rPr>
              <w:t>more than</w:t>
            </w:r>
            <w:r w:rsidRPr="001A2C02">
              <w:rPr>
                <w:rFonts w:eastAsia="Times New Roman"/>
                <w:sz w:val="20"/>
                <w:szCs w:val="20"/>
                <w:lang w:val="en-US"/>
              </w:rPr>
              <w:t xml:space="preserve"> 170 </w:t>
            </w:r>
            <w:r w:rsidR="00BA0CCD">
              <w:rPr>
                <w:rFonts w:eastAsia="Times New Roman"/>
                <w:sz w:val="20"/>
                <w:szCs w:val="20"/>
                <w:lang w:val="en-US"/>
              </w:rPr>
              <w:t>customs officers,</w:t>
            </w:r>
            <w:r w:rsidR="008B6DB2">
              <w:rPr>
                <w:rFonts w:eastAsia="Times New Roman"/>
                <w:sz w:val="20"/>
                <w:szCs w:val="20"/>
                <w:lang w:val="en-US"/>
              </w:rPr>
              <w:t xml:space="preserve"> 300</w:t>
            </w:r>
            <w:r w:rsidR="00E07EFD">
              <w:rPr>
                <w:rFonts w:eastAsia="Times New Roman"/>
                <w:sz w:val="20"/>
                <w:szCs w:val="20"/>
                <w:lang w:val="en-US"/>
              </w:rPr>
              <w:t xml:space="preserve"> law enforcement officials</w:t>
            </w:r>
            <w:r w:rsidR="00BA0CCD">
              <w:rPr>
                <w:rFonts w:eastAsia="Times New Roman"/>
                <w:sz w:val="20"/>
                <w:szCs w:val="20"/>
                <w:lang w:val="en-US"/>
              </w:rPr>
              <w:t xml:space="preserve"> were trained in </w:t>
            </w:r>
            <w:r w:rsidRPr="001A2C02">
              <w:rPr>
                <w:rFonts w:eastAsia="Times New Roman"/>
                <w:sz w:val="20"/>
                <w:szCs w:val="20"/>
                <w:lang w:val="en-US"/>
              </w:rPr>
              <w:t xml:space="preserve">Kazakhstan. </w:t>
            </w:r>
            <w:r w:rsidR="00BA0CCD">
              <w:rPr>
                <w:rFonts w:eastAsia="Times New Roman"/>
                <w:sz w:val="20"/>
                <w:szCs w:val="20"/>
                <w:lang w:val="en-US"/>
              </w:rPr>
              <w:t xml:space="preserve">Moreover, this initiative significantly strengthened regional cooperation of </w:t>
            </w:r>
            <w:r w:rsidR="001B6FE3">
              <w:rPr>
                <w:rFonts w:eastAsia="Times New Roman"/>
                <w:sz w:val="20"/>
                <w:szCs w:val="20"/>
                <w:lang w:val="en-US"/>
              </w:rPr>
              <w:t>3</w:t>
            </w:r>
            <w:r w:rsidR="00BA0CCD">
              <w:rPr>
                <w:rFonts w:eastAsia="Times New Roman"/>
                <w:sz w:val="20"/>
                <w:szCs w:val="20"/>
                <w:lang w:val="en-US"/>
              </w:rPr>
              <w:t xml:space="preserve"> C</w:t>
            </w:r>
            <w:r w:rsidR="001B6FE3">
              <w:rPr>
                <w:rFonts w:eastAsia="Times New Roman"/>
                <w:sz w:val="20"/>
                <w:szCs w:val="20"/>
                <w:lang w:val="en-US"/>
              </w:rPr>
              <w:t xml:space="preserve">entral </w:t>
            </w:r>
            <w:r w:rsidR="00BA0CCD">
              <w:rPr>
                <w:rFonts w:eastAsia="Times New Roman"/>
                <w:sz w:val="20"/>
                <w:szCs w:val="20"/>
                <w:lang w:val="en-US"/>
              </w:rPr>
              <w:t>A</w:t>
            </w:r>
            <w:r w:rsidR="001B6FE3">
              <w:rPr>
                <w:rFonts w:eastAsia="Times New Roman"/>
                <w:sz w:val="20"/>
                <w:szCs w:val="20"/>
                <w:lang w:val="en-US"/>
              </w:rPr>
              <w:t>sian</w:t>
            </w:r>
            <w:r w:rsidR="00BA0CCD">
              <w:rPr>
                <w:rFonts w:eastAsia="Times New Roman"/>
                <w:sz w:val="20"/>
                <w:szCs w:val="20"/>
                <w:lang w:val="en-US"/>
              </w:rPr>
              <w:t xml:space="preserve"> countries among the customs and law enforcement bodies: </w:t>
            </w:r>
            <w:r w:rsidRPr="001A2C02">
              <w:rPr>
                <w:rFonts w:eastAsia="Times New Roman"/>
                <w:sz w:val="20"/>
                <w:szCs w:val="20"/>
                <w:lang w:val="en-US"/>
              </w:rPr>
              <w:t>Memorandum of Cooperation between the training facilities of t</w:t>
            </w:r>
            <w:r w:rsidR="00BA0CCD">
              <w:rPr>
                <w:rFonts w:eastAsia="Times New Roman"/>
                <w:sz w:val="20"/>
                <w:szCs w:val="20"/>
                <w:lang w:val="en-US"/>
              </w:rPr>
              <w:t xml:space="preserve">he Central Asian countries </w:t>
            </w:r>
            <w:r w:rsidRPr="001A2C02">
              <w:rPr>
                <w:rFonts w:eastAsia="Times New Roman"/>
                <w:sz w:val="20"/>
                <w:szCs w:val="20"/>
                <w:lang w:val="en-US"/>
              </w:rPr>
              <w:t xml:space="preserve">was signed by the heads of the customs authorities of </w:t>
            </w:r>
            <w:r w:rsidR="00BA0CCD">
              <w:rPr>
                <w:rFonts w:eastAsia="Times New Roman"/>
                <w:sz w:val="20"/>
                <w:szCs w:val="20"/>
                <w:lang w:val="en-US"/>
              </w:rPr>
              <w:t xml:space="preserve">Kazakhstan, </w:t>
            </w:r>
            <w:r w:rsidRPr="001A2C02">
              <w:rPr>
                <w:rFonts w:eastAsia="Times New Roman"/>
                <w:sz w:val="20"/>
                <w:szCs w:val="20"/>
                <w:lang w:val="en-US"/>
              </w:rPr>
              <w:t>K</w:t>
            </w:r>
            <w:r w:rsidR="00BA0CCD">
              <w:rPr>
                <w:rFonts w:eastAsia="Times New Roman"/>
                <w:sz w:val="20"/>
                <w:szCs w:val="20"/>
                <w:lang w:val="en-US"/>
              </w:rPr>
              <w:t>yrgyzstan and Tajikistan</w:t>
            </w:r>
            <w:r w:rsidRPr="001A2C02">
              <w:rPr>
                <w:rFonts w:eastAsia="Times New Roman"/>
                <w:sz w:val="20"/>
                <w:szCs w:val="20"/>
                <w:lang w:val="en-US"/>
              </w:rPr>
              <w:t xml:space="preserve">. </w:t>
            </w:r>
          </w:p>
        </w:tc>
      </w:tr>
      <w:tr w:rsidR="009E7526" w:rsidRPr="00F01FDE" w14:paraId="3A7D259D" w14:textId="77777777" w:rsidTr="00733D39">
        <w:tc>
          <w:tcPr>
            <w:tcW w:w="14040" w:type="dxa"/>
            <w:gridSpan w:val="6"/>
          </w:tcPr>
          <w:p w14:paraId="1DEC3A59" w14:textId="77777777" w:rsidR="009E7526" w:rsidRPr="00AF35B4" w:rsidRDefault="009E7526" w:rsidP="00CB4203">
            <w:pPr>
              <w:rPr>
                <w:sz w:val="20"/>
                <w:u w:val="single"/>
              </w:rPr>
            </w:pPr>
            <w:r w:rsidRPr="00AF35B4">
              <w:rPr>
                <w:sz w:val="20"/>
                <w:u w:val="single"/>
              </w:rPr>
              <w:t>Summary of evaluation</w:t>
            </w:r>
            <w:r w:rsidR="00674B1A" w:rsidRPr="00AF35B4">
              <w:rPr>
                <w:sz w:val="20"/>
                <w:u w:val="single"/>
              </w:rPr>
              <w:t xml:space="preserve"> finding</w:t>
            </w:r>
            <w:r w:rsidRPr="00AF35B4">
              <w:rPr>
                <w:sz w:val="20"/>
                <w:u w:val="single"/>
              </w:rPr>
              <w:t>s (</w:t>
            </w:r>
            <w:r w:rsidR="008F0A97" w:rsidRPr="00AF35B4">
              <w:rPr>
                <w:sz w:val="20"/>
                <w:u w:val="single"/>
              </w:rPr>
              <w:t xml:space="preserve">e.g. from outcome and project evaluations, UNDAF </w:t>
            </w:r>
            <w:r w:rsidRPr="00AF35B4">
              <w:rPr>
                <w:sz w:val="20"/>
                <w:u w:val="single"/>
              </w:rPr>
              <w:t xml:space="preserve">reviews, </w:t>
            </w:r>
            <w:r w:rsidR="008F0A97" w:rsidRPr="00AF35B4">
              <w:rPr>
                <w:sz w:val="20"/>
                <w:u w:val="single"/>
              </w:rPr>
              <w:t xml:space="preserve">and other </w:t>
            </w:r>
            <w:r w:rsidRPr="00AF35B4">
              <w:rPr>
                <w:sz w:val="20"/>
                <w:u w:val="single"/>
              </w:rPr>
              <w:t>assessments)</w:t>
            </w:r>
          </w:p>
          <w:p w14:paraId="56289AD3" w14:textId="77777777" w:rsidR="00934A6B" w:rsidRPr="00845340" w:rsidRDefault="00934A6B" w:rsidP="00CB4203">
            <w:pPr>
              <w:rPr>
                <w:rFonts w:asciiTheme="minorHAnsi" w:hAnsiTheme="minorHAnsi"/>
                <w:sz w:val="20"/>
                <w:u w:val="single"/>
              </w:rPr>
            </w:pPr>
          </w:p>
          <w:p w14:paraId="0A873609" w14:textId="526D2407" w:rsidR="006A58E9" w:rsidRPr="006A58E9" w:rsidRDefault="006A58E9" w:rsidP="00CB4203">
            <w:pPr>
              <w:jc w:val="both"/>
              <w:rPr>
                <w:color w:val="000000"/>
                <w:sz w:val="20"/>
              </w:rPr>
            </w:pPr>
            <w:r w:rsidRPr="006A58E9">
              <w:rPr>
                <w:color w:val="000000"/>
                <w:sz w:val="20"/>
              </w:rPr>
              <w:lastRenderedPageBreak/>
              <w:t>The UNDP Country Office will be conducting</w:t>
            </w:r>
            <w:r>
              <w:rPr>
                <w:color w:val="000000"/>
                <w:sz w:val="20"/>
              </w:rPr>
              <w:t xml:space="preserve"> </w:t>
            </w:r>
            <w:r w:rsidR="00252170">
              <w:rPr>
                <w:color w:val="000000"/>
                <w:sz w:val="20"/>
              </w:rPr>
              <w:t>four</w:t>
            </w:r>
            <w:r>
              <w:rPr>
                <w:color w:val="000000"/>
                <w:sz w:val="20"/>
              </w:rPr>
              <w:t xml:space="preserve"> joint</w:t>
            </w:r>
            <w:r w:rsidRPr="006A58E9">
              <w:rPr>
                <w:color w:val="000000"/>
                <w:sz w:val="20"/>
              </w:rPr>
              <w:t xml:space="preserve"> evaluations</w:t>
            </w:r>
            <w:r>
              <w:rPr>
                <w:color w:val="000000"/>
                <w:sz w:val="20"/>
              </w:rPr>
              <w:t xml:space="preserve"> for </w:t>
            </w:r>
            <w:r w:rsidR="00252170">
              <w:rPr>
                <w:color w:val="000000"/>
                <w:sz w:val="20"/>
              </w:rPr>
              <w:t>six</w:t>
            </w:r>
            <w:r>
              <w:rPr>
                <w:color w:val="000000"/>
                <w:sz w:val="20"/>
              </w:rPr>
              <w:t xml:space="preserve"> outcomes</w:t>
            </w:r>
            <w:r w:rsidRPr="006A58E9">
              <w:rPr>
                <w:color w:val="000000"/>
                <w:sz w:val="20"/>
              </w:rPr>
              <w:t xml:space="preserve"> in 2015, which will provide a more evidence-based information on UNDP’s contribution to the development results during the 2010-2015 country programme cycle. </w:t>
            </w:r>
            <w:r>
              <w:rPr>
                <w:color w:val="000000"/>
                <w:sz w:val="20"/>
              </w:rPr>
              <w:t>To date</w:t>
            </w:r>
            <w:r w:rsidR="00AF35B4">
              <w:rPr>
                <w:color w:val="000000"/>
                <w:sz w:val="20"/>
              </w:rPr>
              <w:t>,</w:t>
            </w:r>
            <w:r>
              <w:rPr>
                <w:color w:val="000000"/>
                <w:sz w:val="20"/>
              </w:rPr>
              <w:t xml:space="preserve"> an evaluation was conducted for one outcome: “</w:t>
            </w:r>
            <w:r w:rsidRPr="006A58E9">
              <w:rPr>
                <w:sz w:val="20"/>
              </w:rPr>
              <w:t xml:space="preserve">Government, communities and civil society practice an integrated approach to natural resources management in national and </w:t>
            </w:r>
            <w:r w:rsidRPr="006A58E9">
              <w:rPr>
                <w:iCs/>
                <w:sz w:val="20"/>
              </w:rPr>
              <w:t>trans</w:t>
            </w:r>
            <w:r>
              <w:rPr>
                <w:iCs/>
                <w:sz w:val="20"/>
              </w:rPr>
              <w:t>-</w:t>
            </w:r>
            <w:r w:rsidRPr="006A58E9">
              <w:rPr>
                <w:iCs/>
                <w:sz w:val="20"/>
              </w:rPr>
              <w:t>boundar</w:t>
            </w:r>
            <w:r>
              <w:rPr>
                <w:iCs/>
                <w:sz w:val="20"/>
              </w:rPr>
              <w:t>y perspectives</w:t>
            </w:r>
            <w:r w:rsidR="00C5019B">
              <w:rPr>
                <w:iCs/>
                <w:sz w:val="20"/>
              </w:rPr>
              <w:t>”</w:t>
            </w:r>
            <w:r w:rsidR="00252170">
              <w:rPr>
                <w:iCs/>
                <w:sz w:val="20"/>
              </w:rPr>
              <w:t>.</w:t>
            </w:r>
            <w:r>
              <w:rPr>
                <w:iCs/>
                <w:sz w:val="20"/>
              </w:rPr>
              <w:t xml:space="preserve"> </w:t>
            </w:r>
            <w:r w:rsidRPr="006A58E9">
              <w:rPr>
                <w:color w:val="000000"/>
                <w:sz w:val="20"/>
              </w:rPr>
              <w:t>In the area of natural resource management, the outcome evaluation conducted in 2013 recognizes UNDP’s success in advancing the country’s policies and practices in conserving biodiversity, combatting land degradation, and introducing climate change adaptation in the agriculture sector (wheat). Based on</w:t>
            </w:r>
            <w:r>
              <w:rPr>
                <w:color w:val="000000"/>
                <w:sz w:val="20"/>
              </w:rPr>
              <w:t xml:space="preserve"> </w:t>
            </w:r>
            <w:r w:rsidR="00934A6B">
              <w:rPr>
                <w:color w:val="000000"/>
                <w:sz w:val="20"/>
              </w:rPr>
              <w:t>four</w:t>
            </w:r>
            <w:r w:rsidR="00D76EEE">
              <w:rPr>
                <w:color w:val="000000"/>
                <w:sz w:val="20"/>
              </w:rPr>
              <w:t xml:space="preserve"> </w:t>
            </w:r>
            <w:r w:rsidRPr="006A58E9">
              <w:rPr>
                <w:color w:val="000000"/>
                <w:sz w:val="20"/>
              </w:rPr>
              <w:t>evaluations of the Global Environmental Facility (GEF)</w:t>
            </w:r>
            <w:r w:rsidR="00D76EEE">
              <w:rPr>
                <w:color w:val="000000"/>
                <w:sz w:val="20"/>
              </w:rPr>
              <w:t>-funded</w:t>
            </w:r>
            <w:r w:rsidRPr="006A58E9">
              <w:rPr>
                <w:color w:val="000000"/>
                <w:sz w:val="20"/>
              </w:rPr>
              <w:t xml:space="preserve"> projects, implemented by UNDP during the 2010-2015 period, UNDP is recognized by national and local partners as being at the forefront of promoting energy efficient technologies and sustainable transport solutions, through demonstration projects in energy efficient housing, modern lighting, and ‘green’ public transport options. </w:t>
            </w:r>
            <w:r w:rsidR="00C5019B">
              <w:rPr>
                <w:color w:val="000000"/>
                <w:sz w:val="20"/>
              </w:rPr>
              <w:t xml:space="preserve">Also, a mid-term evaluation on the UN joint local development programme in East Kazakhstan was conducted in 2013, which recognized a significant value-added of the UN agencies to the promotion of inclusive development practices in rural areas. </w:t>
            </w:r>
          </w:p>
          <w:p w14:paraId="0030B89C" w14:textId="77777777" w:rsidR="009E7526" w:rsidRPr="009F07B8" w:rsidRDefault="009E7526" w:rsidP="00CB4203">
            <w:pPr>
              <w:jc w:val="both"/>
              <w:rPr>
                <w:color w:val="000000"/>
                <w:sz w:val="20"/>
              </w:rPr>
            </w:pPr>
            <w:r w:rsidRPr="006A58E9">
              <w:rPr>
                <w:sz w:val="20"/>
                <w:u w:val="single"/>
              </w:rPr>
              <w:t>Key Achievements</w:t>
            </w:r>
            <w:r w:rsidR="005F6261" w:rsidRPr="006A58E9">
              <w:rPr>
                <w:sz w:val="20"/>
              </w:rPr>
              <w:t>:</w:t>
            </w:r>
            <w:r w:rsidR="006A58E9" w:rsidRPr="006A58E9">
              <w:rPr>
                <w:sz w:val="20"/>
              </w:rPr>
              <w:t xml:space="preserve"> </w:t>
            </w:r>
            <w:r w:rsidR="006A58E9" w:rsidRPr="006A58E9">
              <w:rPr>
                <w:color w:val="000000"/>
                <w:sz w:val="20"/>
              </w:rPr>
              <w:t>During this cycle, UNDP has emerged as a ‘partner of choice’ in supporting the Government in many of its development priorities, ranging from civil service reform to positioning itself as a regional convener/facilitator.</w:t>
            </w:r>
            <w:r w:rsidR="003E10C6" w:rsidRPr="006A58E9">
              <w:rPr>
                <w:color w:val="000000"/>
                <w:sz w:val="20"/>
              </w:rPr>
              <w:t xml:space="preserve"> National partners acknowledge significant contributions UNDP has made towards supporting Kazakhstan’s efforts in a) equitable development at local level; b) preserving biodiversity and promoting sustainable natural resources management; c) good governance and access to justice; and d) promoting regional cooperation.</w:t>
            </w:r>
            <w:r w:rsidR="003E10C6">
              <w:rPr>
                <w:color w:val="000000"/>
                <w:sz w:val="20"/>
              </w:rPr>
              <w:t xml:space="preserve"> </w:t>
            </w:r>
            <w:r w:rsidR="006A58E9" w:rsidRPr="006A58E9">
              <w:rPr>
                <w:color w:val="000000"/>
                <w:sz w:val="20"/>
              </w:rPr>
              <w:t xml:space="preserve">This is evident from the fact that the number of government costs-shared projects has been increasing steadily during the past five years. In 2015, the share of the government cost-sharing constituted over 50% of UNDP budget, compared to only 4% at the beginning of the CPD cycle in 2010. </w:t>
            </w:r>
            <w:r w:rsidR="006A58E9" w:rsidRPr="006A58E9">
              <w:rPr>
                <w:sz w:val="20"/>
              </w:rPr>
              <w:tab/>
            </w:r>
          </w:p>
          <w:p w14:paraId="6826FB22" w14:textId="1242EC50" w:rsidR="009E7526" w:rsidRPr="00F01FDE" w:rsidRDefault="009E7526" w:rsidP="00CB4203">
            <w:pPr>
              <w:pStyle w:val="BodyText2"/>
              <w:rPr>
                <w:rFonts w:ascii="Times New Roman" w:hAnsi="Times New Roman"/>
              </w:rPr>
            </w:pPr>
            <w:r w:rsidRPr="006A58E9">
              <w:rPr>
                <w:rFonts w:ascii="Times New Roman" w:hAnsi="Times New Roman"/>
                <w:u w:val="single"/>
              </w:rPr>
              <w:t>Major Lessons Learnt</w:t>
            </w:r>
            <w:r w:rsidR="005F6261" w:rsidRPr="006A58E9">
              <w:rPr>
                <w:rFonts w:ascii="Times New Roman" w:hAnsi="Times New Roman"/>
              </w:rPr>
              <w:t>:</w:t>
            </w:r>
            <w:r w:rsidR="006A58E9" w:rsidRPr="006A58E9">
              <w:rPr>
                <w:rFonts w:ascii="Times New Roman" w:hAnsi="Times New Roman"/>
                <w:color w:val="000000"/>
              </w:rPr>
              <w:t xml:space="preserve"> The main lesson learned </w:t>
            </w:r>
            <w:r w:rsidR="009F07B8">
              <w:rPr>
                <w:rFonts w:ascii="Times New Roman" w:hAnsi="Times New Roman"/>
                <w:color w:val="000000"/>
              </w:rPr>
              <w:t xml:space="preserve">from evaluations conducted to date is the </w:t>
            </w:r>
            <w:r w:rsidR="006A58E9" w:rsidRPr="006A58E9">
              <w:rPr>
                <w:rFonts w:ascii="Times New Roman" w:hAnsi="Times New Roman"/>
                <w:color w:val="000000"/>
              </w:rPr>
              <w:t xml:space="preserve">necessity of </w:t>
            </w:r>
            <w:r w:rsidR="009F07B8">
              <w:rPr>
                <w:rFonts w:ascii="Times New Roman" w:hAnsi="Times New Roman"/>
                <w:color w:val="000000"/>
              </w:rPr>
              <w:t xml:space="preserve">systematically </w:t>
            </w:r>
            <w:r w:rsidR="006A58E9" w:rsidRPr="006A58E9">
              <w:rPr>
                <w:rFonts w:ascii="Times New Roman" w:hAnsi="Times New Roman"/>
                <w:color w:val="000000"/>
              </w:rPr>
              <w:t>transferring</w:t>
            </w:r>
            <w:r w:rsidR="009F07B8">
              <w:rPr>
                <w:rFonts w:ascii="Times New Roman" w:hAnsi="Times New Roman"/>
                <w:color w:val="000000"/>
              </w:rPr>
              <w:t xml:space="preserve"> knowledge and capacities to</w:t>
            </w:r>
            <w:r w:rsidR="006A58E9" w:rsidRPr="006A58E9">
              <w:rPr>
                <w:rFonts w:ascii="Times New Roman" w:hAnsi="Times New Roman"/>
                <w:color w:val="000000"/>
              </w:rPr>
              <w:t xml:space="preserve"> </w:t>
            </w:r>
            <w:r w:rsidR="00077FE5">
              <w:rPr>
                <w:rFonts w:ascii="Times New Roman" w:hAnsi="Times New Roman"/>
                <w:color w:val="000000"/>
              </w:rPr>
              <w:t xml:space="preserve">the </w:t>
            </w:r>
            <w:r w:rsidR="006A58E9" w:rsidRPr="006A58E9">
              <w:rPr>
                <w:rFonts w:ascii="Times New Roman" w:hAnsi="Times New Roman"/>
                <w:color w:val="000000"/>
              </w:rPr>
              <w:t>national and local partners, both government</w:t>
            </w:r>
            <w:r w:rsidR="002E3928">
              <w:rPr>
                <w:rFonts w:ascii="Times New Roman" w:hAnsi="Times New Roman"/>
                <w:color w:val="000000"/>
              </w:rPr>
              <w:t>al</w:t>
            </w:r>
            <w:r w:rsidR="006A58E9" w:rsidRPr="006A58E9">
              <w:rPr>
                <w:rFonts w:ascii="Times New Roman" w:hAnsi="Times New Roman"/>
                <w:color w:val="000000"/>
              </w:rPr>
              <w:t xml:space="preserve"> and non-government</w:t>
            </w:r>
            <w:r w:rsidR="002E3928">
              <w:rPr>
                <w:rFonts w:ascii="Times New Roman" w:hAnsi="Times New Roman"/>
                <w:color w:val="000000"/>
              </w:rPr>
              <w:t>al</w:t>
            </w:r>
            <w:r w:rsidR="006A58E9" w:rsidRPr="006A58E9">
              <w:rPr>
                <w:rFonts w:ascii="Times New Roman" w:hAnsi="Times New Roman"/>
                <w:color w:val="000000"/>
              </w:rPr>
              <w:t>, in order to achieve scaling</w:t>
            </w:r>
            <w:r w:rsidR="002E3928">
              <w:rPr>
                <w:rFonts w:ascii="Times New Roman" w:hAnsi="Times New Roman"/>
                <w:color w:val="000000"/>
              </w:rPr>
              <w:t>-</w:t>
            </w:r>
            <w:r w:rsidR="006A58E9" w:rsidRPr="006A58E9">
              <w:rPr>
                <w:rFonts w:ascii="Times New Roman" w:hAnsi="Times New Roman"/>
                <w:color w:val="000000"/>
              </w:rPr>
              <w:t>up and sustainability.</w:t>
            </w:r>
            <w:r w:rsidR="009F07B8">
              <w:rPr>
                <w:rFonts w:ascii="Times New Roman" w:hAnsi="Times New Roman"/>
                <w:color w:val="000000"/>
              </w:rPr>
              <w:t xml:space="preserve"> This requires re-evaluation </w:t>
            </w:r>
            <w:r w:rsidR="002E3928">
              <w:rPr>
                <w:rFonts w:ascii="Times New Roman" w:hAnsi="Times New Roman"/>
                <w:color w:val="000000"/>
              </w:rPr>
              <w:t xml:space="preserve">of </w:t>
            </w:r>
            <w:r w:rsidR="009F07B8">
              <w:rPr>
                <w:rFonts w:ascii="Times New Roman" w:hAnsi="Times New Roman"/>
                <w:color w:val="000000"/>
              </w:rPr>
              <w:t>UNDP</w:t>
            </w:r>
            <w:r w:rsidR="002E3928">
              <w:rPr>
                <w:rFonts w:ascii="Times New Roman" w:hAnsi="Times New Roman"/>
                <w:color w:val="000000"/>
              </w:rPr>
              <w:t>’s</w:t>
            </w:r>
            <w:r w:rsidR="009F07B8">
              <w:rPr>
                <w:rFonts w:ascii="Times New Roman" w:hAnsi="Times New Roman"/>
                <w:color w:val="000000"/>
              </w:rPr>
              <w:t xml:space="preserve"> approach to c</w:t>
            </w:r>
            <w:r w:rsidR="00C5019B">
              <w:rPr>
                <w:rFonts w:ascii="Times New Roman" w:hAnsi="Times New Roman"/>
                <w:color w:val="000000"/>
              </w:rPr>
              <w:t xml:space="preserve">apacity development and coordination in general: a broader, institutional approach to capacity development is needed. </w:t>
            </w:r>
            <w:r w:rsidR="009F07B8">
              <w:rPr>
                <w:rFonts w:ascii="Times New Roman" w:hAnsi="Times New Roman"/>
                <w:color w:val="000000"/>
              </w:rPr>
              <w:t xml:space="preserve">Also, evaluations point to the necessity of significantly improving an evidence-based approach for all of UNDP projects and programmes, throughout the project cycle. In this regard, UNDP should work with national and local Statistical Committees and NGOs/CBOs to systematically collect and monitor relevant disaggregated data (by target groups). This will be crucial from 2015 onwards, when the national bodies will need to generate a new set of data related to the implementation of the SDG targets. </w:t>
            </w:r>
          </w:p>
        </w:tc>
      </w:tr>
    </w:tbl>
    <w:p w14:paraId="6E18CD3A" w14:textId="77777777" w:rsidR="004B3911" w:rsidRDefault="004B3911" w:rsidP="00CB4203">
      <w:pPr>
        <w:pStyle w:val="BodyText2"/>
        <w:rPr>
          <w:rFonts w:ascii="Times New Roman" w:hAnsi="Times New Roman"/>
          <w:sz w:val="24"/>
        </w:rPr>
      </w:pPr>
    </w:p>
    <w:p w14:paraId="48861811" w14:textId="77777777" w:rsidR="00E37E7A" w:rsidRPr="005474ED" w:rsidRDefault="00EA7740" w:rsidP="00CB4203">
      <w:pPr>
        <w:pStyle w:val="BodyText2"/>
        <w:jc w:val="center"/>
        <w:rPr>
          <w:rFonts w:asciiTheme="minorHAnsi" w:hAnsiTheme="minorHAnsi"/>
          <w:sz w:val="24"/>
        </w:rPr>
      </w:pPr>
      <w:r>
        <w:rPr>
          <w:rFonts w:asciiTheme="minorHAnsi" w:hAnsiTheme="minorHAnsi"/>
          <w:sz w:val="24"/>
        </w:rPr>
        <w:t xml:space="preserve">III. </w:t>
      </w:r>
      <w:r w:rsidR="00673710" w:rsidRPr="005474ED">
        <w:rPr>
          <w:rFonts w:asciiTheme="minorHAnsi" w:hAnsiTheme="minorHAnsi"/>
          <w:sz w:val="24"/>
        </w:rPr>
        <w:t xml:space="preserve">Country Programme </w:t>
      </w:r>
      <w:r w:rsidR="00E37E7A" w:rsidRPr="005474ED">
        <w:rPr>
          <w:rFonts w:asciiTheme="minorHAnsi" w:hAnsiTheme="minorHAnsi"/>
          <w:sz w:val="24"/>
        </w:rPr>
        <w:t>Resources</w:t>
      </w:r>
    </w:p>
    <w:tbl>
      <w:tblPr>
        <w:tblStyle w:val="TableGrid"/>
        <w:tblW w:w="0" w:type="auto"/>
        <w:tblLook w:val="04A0" w:firstRow="1" w:lastRow="0" w:firstColumn="1" w:lastColumn="0" w:noHBand="0" w:noVBand="1"/>
      </w:tblPr>
      <w:tblGrid>
        <w:gridCol w:w="6103"/>
        <w:gridCol w:w="1868"/>
        <w:gridCol w:w="2046"/>
        <w:gridCol w:w="1958"/>
        <w:gridCol w:w="1975"/>
      </w:tblGrid>
      <w:tr w:rsidR="0015409F" w:rsidRPr="006900FE" w14:paraId="01F28D2F" w14:textId="77777777" w:rsidTr="000D6DE5">
        <w:tc>
          <w:tcPr>
            <w:tcW w:w="6228" w:type="dxa"/>
            <w:shd w:val="clear" w:color="auto" w:fill="000000" w:themeFill="text1"/>
          </w:tcPr>
          <w:p w14:paraId="5B561087" w14:textId="77777777" w:rsidR="0015409F" w:rsidRPr="006900FE" w:rsidRDefault="0015409F" w:rsidP="00CB4203">
            <w:pPr>
              <w:pStyle w:val="BodyText2"/>
              <w:jc w:val="center"/>
              <w:rPr>
                <w:rFonts w:asciiTheme="minorHAnsi" w:hAnsiTheme="minorHAnsi"/>
                <w:b/>
                <w:color w:val="FFFFFF" w:themeColor="background1"/>
                <w:sz w:val="24"/>
              </w:rPr>
            </w:pPr>
            <w:r w:rsidRPr="006900FE">
              <w:rPr>
                <w:rFonts w:asciiTheme="minorHAnsi" w:hAnsiTheme="minorHAnsi"/>
                <w:b/>
                <w:color w:val="FFFFFF" w:themeColor="background1"/>
                <w:sz w:val="24"/>
              </w:rPr>
              <w:t>Focus Area</w:t>
            </w:r>
          </w:p>
        </w:tc>
        <w:tc>
          <w:tcPr>
            <w:tcW w:w="5940" w:type="dxa"/>
            <w:gridSpan w:val="3"/>
            <w:shd w:val="clear" w:color="auto" w:fill="000000" w:themeFill="text1"/>
          </w:tcPr>
          <w:p w14:paraId="0FC4E868" w14:textId="77777777" w:rsidR="0015409F" w:rsidRPr="006900FE" w:rsidRDefault="000D6DE5" w:rsidP="00CB4203">
            <w:pPr>
              <w:pStyle w:val="BodyText2"/>
              <w:jc w:val="center"/>
              <w:rPr>
                <w:rFonts w:asciiTheme="minorHAnsi" w:hAnsiTheme="minorHAnsi"/>
                <w:b/>
                <w:color w:val="FFFFFF" w:themeColor="background1"/>
                <w:sz w:val="24"/>
              </w:rPr>
            </w:pPr>
            <w:r w:rsidRPr="006900FE">
              <w:rPr>
                <w:rFonts w:asciiTheme="minorHAnsi" w:hAnsiTheme="minorHAnsi"/>
                <w:b/>
                <w:color w:val="FFFFFF" w:themeColor="background1"/>
                <w:sz w:val="24"/>
              </w:rPr>
              <w:t xml:space="preserve">Programme </w:t>
            </w:r>
            <w:r w:rsidR="0015409F" w:rsidRPr="006900FE">
              <w:rPr>
                <w:rFonts w:asciiTheme="minorHAnsi" w:hAnsiTheme="minorHAnsi"/>
                <w:b/>
                <w:color w:val="FFFFFF" w:themeColor="background1"/>
                <w:sz w:val="24"/>
              </w:rPr>
              <w:t>Expenditure ($)</w:t>
            </w:r>
          </w:p>
        </w:tc>
        <w:tc>
          <w:tcPr>
            <w:tcW w:w="2008" w:type="dxa"/>
            <w:shd w:val="clear" w:color="auto" w:fill="000000" w:themeFill="text1"/>
          </w:tcPr>
          <w:p w14:paraId="10149DB3" w14:textId="77777777" w:rsidR="0015409F" w:rsidRPr="006900FE" w:rsidRDefault="0015409F" w:rsidP="00CB4203">
            <w:pPr>
              <w:pStyle w:val="BodyText2"/>
              <w:jc w:val="center"/>
              <w:rPr>
                <w:rFonts w:asciiTheme="minorHAnsi" w:hAnsiTheme="minorHAnsi"/>
                <w:b/>
                <w:color w:val="FFFFFF" w:themeColor="background1"/>
                <w:sz w:val="24"/>
              </w:rPr>
            </w:pPr>
            <w:r w:rsidRPr="006900FE">
              <w:rPr>
                <w:rFonts w:asciiTheme="minorHAnsi" w:hAnsiTheme="minorHAnsi"/>
                <w:b/>
                <w:color w:val="FFFFFF" w:themeColor="background1"/>
                <w:sz w:val="24"/>
              </w:rPr>
              <w:t>% of Total</w:t>
            </w:r>
          </w:p>
        </w:tc>
      </w:tr>
      <w:tr w:rsidR="000D6DE5" w:rsidRPr="006900FE" w14:paraId="5821C54E" w14:textId="77777777" w:rsidTr="000D6DE5">
        <w:tc>
          <w:tcPr>
            <w:tcW w:w="6228" w:type="dxa"/>
          </w:tcPr>
          <w:p w14:paraId="511EFD8B" w14:textId="77777777" w:rsidR="000D6DE5" w:rsidRPr="006900FE" w:rsidRDefault="000D6DE5" w:rsidP="00CB4203">
            <w:pPr>
              <w:pStyle w:val="BodyText2"/>
              <w:rPr>
                <w:rFonts w:asciiTheme="minorHAnsi" w:hAnsiTheme="minorHAnsi"/>
              </w:rPr>
            </w:pPr>
          </w:p>
        </w:tc>
        <w:tc>
          <w:tcPr>
            <w:tcW w:w="1890" w:type="dxa"/>
          </w:tcPr>
          <w:p w14:paraId="2CF1A38D" w14:textId="77777777" w:rsidR="000D6DE5" w:rsidRPr="006900FE" w:rsidRDefault="000D6DE5" w:rsidP="00CB4203">
            <w:pPr>
              <w:pStyle w:val="BodyText2"/>
              <w:jc w:val="center"/>
              <w:rPr>
                <w:rFonts w:asciiTheme="minorHAnsi" w:hAnsiTheme="minorHAnsi"/>
              </w:rPr>
            </w:pPr>
            <w:r w:rsidRPr="006900FE">
              <w:rPr>
                <w:rFonts w:asciiTheme="minorHAnsi" w:hAnsiTheme="minorHAnsi"/>
              </w:rPr>
              <w:t>Regular (TRAC)</w:t>
            </w:r>
          </w:p>
        </w:tc>
        <w:tc>
          <w:tcPr>
            <w:tcW w:w="2070" w:type="dxa"/>
          </w:tcPr>
          <w:p w14:paraId="4D1C31D6" w14:textId="77777777" w:rsidR="000D6DE5" w:rsidRPr="006900FE" w:rsidRDefault="000D6DE5" w:rsidP="00CB4203">
            <w:pPr>
              <w:pStyle w:val="BodyText2"/>
              <w:jc w:val="center"/>
              <w:rPr>
                <w:rFonts w:asciiTheme="minorHAnsi" w:hAnsiTheme="minorHAnsi"/>
              </w:rPr>
            </w:pPr>
            <w:r w:rsidRPr="006900FE">
              <w:rPr>
                <w:rFonts w:asciiTheme="minorHAnsi" w:hAnsiTheme="minorHAnsi"/>
              </w:rPr>
              <w:t>Other</w:t>
            </w:r>
          </w:p>
        </w:tc>
        <w:tc>
          <w:tcPr>
            <w:tcW w:w="1980" w:type="dxa"/>
          </w:tcPr>
          <w:p w14:paraId="4DB0C1DF" w14:textId="77777777" w:rsidR="000D6DE5" w:rsidRPr="006900FE" w:rsidRDefault="000D6DE5" w:rsidP="00CB4203">
            <w:pPr>
              <w:pStyle w:val="BodyText2"/>
              <w:jc w:val="center"/>
              <w:rPr>
                <w:rFonts w:asciiTheme="minorHAnsi" w:hAnsiTheme="minorHAnsi"/>
              </w:rPr>
            </w:pPr>
            <w:r w:rsidRPr="006900FE">
              <w:rPr>
                <w:rFonts w:asciiTheme="minorHAnsi" w:hAnsiTheme="minorHAnsi"/>
              </w:rPr>
              <w:t>Total</w:t>
            </w:r>
          </w:p>
        </w:tc>
        <w:tc>
          <w:tcPr>
            <w:tcW w:w="2008" w:type="dxa"/>
          </w:tcPr>
          <w:p w14:paraId="110A6DC4" w14:textId="77777777" w:rsidR="000D6DE5" w:rsidRPr="006900FE" w:rsidRDefault="000D6DE5" w:rsidP="00CB4203">
            <w:pPr>
              <w:pStyle w:val="BodyText2"/>
              <w:jc w:val="center"/>
              <w:rPr>
                <w:rFonts w:asciiTheme="minorHAnsi" w:hAnsiTheme="minorHAnsi"/>
              </w:rPr>
            </w:pPr>
          </w:p>
        </w:tc>
      </w:tr>
      <w:tr w:rsidR="000D6DE5" w:rsidRPr="006900FE" w14:paraId="69BBC0EE" w14:textId="77777777" w:rsidTr="000D6DE5">
        <w:tc>
          <w:tcPr>
            <w:tcW w:w="6228" w:type="dxa"/>
          </w:tcPr>
          <w:p w14:paraId="229B17A8" w14:textId="77777777" w:rsidR="000D6DE5" w:rsidRPr="006900FE" w:rsidRDefault="000D6DE5" w:rsidP="00CB4203">
            <w:pPr>
              <w:pStyle w:val="BodyText2"/>
              <w:rPr>
                <w:rFonts w:asciiTheme="minorHAnsi" w:hAnsiTheme="minorHAnsi"/>
              </w:rPr>
            </w:pPr>
            <w:r w:rsidRPr="006900FE">
              <w:rPr>
                <w:rFonts w:asciiTheme="minorHAnsi" w:hAnsiTheme="minorHAnsi"/>
              </w:rPr>
              <w:t>Poverty and MDGs</w:t>
            </w:r>
          </w:p>
        </w:tc>
        <w:tc>
          <w:tcPr>
            <w:tcW w:w="1890" w:type="dxa"/>
          </w:tcPr>
          <w:p w14:paraId="32E74519" w14:textId="77777777" w:rsidR="000D6DE5" w:rsidRPr="006900FE" w:rsidRDefault="00645D3B" w:rsidP="00CB4203">
            <w:pPr>
              <w:pStyle w:val="BodyText2"/>
              <w:jc w:val="center"/>
              <w:rPr>
                <w:rFonts w:asciiTheme="minorHAnsi" w:hAnsiTheme="minorHAnsi"/>
              </w:rPr>
            </w:pPr>
            <w:r>
              <w:rPr>
                <w:rFonts w:asciiTheme="minorHAnsi" w:hAnsiTheme="minorHAnsi"/>
              </w:rPr>
              <w:t>850,000</w:t>
            </w:r>
          </w:p>
        </w:tc>
        <w:tc>
          <w:tcPr>
            <w:tcW w:w="2070" w:type="dxa"/>
          </w:tcPr>
          <w:p w14:paraId="6D52AB58" w14:textId="77777777" w:rsidR="000D6DE5" w:rsidRPr="006900FE" w:rsidRDefault="00D57349" w:rsidP="003D7FA5">
            <w:pPr>
              <w:pStyle w:val="BodyText2"/>
              <w:jc w:val="center"/>
              <w:rPr>
                <w:rFonts w:asciiTheme="minorHAnsi" w:hAnsiTheme="minorHAnsi"/>
              </w:rPr>
            </w:pPr>
            <w:r>
              <w:rPr>
                <w:rFonts w:asciiTheme="minorHAnsi" w:hAnsiTheme="minorHAnsi"/>
              </w:rPr>
              <w:t>18,</w:t>
            </w:r>
            <w:r w:rsidR="003D7FA5">
              <w:rPr>
                <w:rFonts w:asciiTheme="minorHAnsi" w:hAnsiTheme="minorHAnsi"/>
              </w:rPr>
              <w:t>2</w:t>
            </w:r>
            <w:r>
              <w:rPr>
                <w:rFonts w:asciiTheme="minorHAnsi" w:hAnsiTheme="minorHAnsi"/>
              </w:rPr>
              <w:t>70,000</w:t>
            </w:r>
          </w:p>
        </w:tc>
        <w:tc>
          <w:tcPr>
            <w:tcW w:w="1980" w:type="dxa"/>
          </w:tcPr>
          <w:p w14:paraId="178431F4" w14:textId="77777777" w:rsidR="000D6DE5" w:rsidRPr="006900FE" w:rsidRDefault="003D7FA5" w:rsidP="00CB4203">
            <w:pPr>
              <w:pStyle w:val="BodyText2"/>
              <w:jc w:val="center"/>
              <w:rPr>
                <w:rFonts w:asciiTheme="minorHAnsi" w:hAnsiTheme="minorHAnsi"/>
              </w:rPr>
            </w:pPr>
            <w:r>
              <w:rPr>
                <w:rFonts w:asciiTheme="minorHAnsi" w:hAnsiTheme="minorHAnsi"/>
              </w:rPr>
              <w:t>19,120,000</w:t>
            </w:r>
          </w:p>
        </w:tc>
        <w:tc>
          <w:tcPr>
            <w:tcW w:w="2008" w:type="dxa"/>
          </w:tcPr>
          <w:p w14:paraId="457D0F2B" w14:textId="77777777" w:rsidR="000D6DE5" w:rsidRPr="006900FE" w:rsidRDefault="003D7FA5" w:rsidP="00CB4203">
            <w:pPr>
              <w:pStyle w:val="BodyText2"/>
              <w:jc w:val="center"/>
              <w:rPr>
                <w:rFonts w:asciiTheme="minorHAnsi" w:hAnsiTheme="minorHAnsi"/>
              </w:rPr>
            </w:pPr>
            <w:r>
              <w:rPr>
                <w:rFonts w:asciiTheme="minorHAnsi" w:hAnsiTheme="minorHAnsi"/>
              </w:rPr>
              <w:t>26.4</w:t>
            </w:r>
          </w:p>
        </w:tc>
      </w:tr>
      <w:tr w:rsidR="000D6DE5" w:rsidRPr="006900FE" w14:paraId="62E346F0" w14:textId="77777777" w:rsidTr="000D6DE5">
        <w:tc>
          <w:tcPr>
            <w:tcW w:w="6228" w:type="dxa"/>
          </w:tcPr>
          <w:p w14:paraId="62E56245" w14:textId="77777777" w:rsidR="000D6DE5" w:rsidRPr="006900FE" w:rsidRDefault="000D6DE5" w:rsidP="00CB4203">
            <w:pPr>
              <w:pStyle w:val="BodyText2"/>
              <w:rPr>
                <w:rFonts w:asciiTheme="minorHAnsi" w:hAnsiTheme="minorHAnsi"/>
              </w:rPr>
            </w:pPr>
            <w:r w:rsidRPr="006900FE">
              <w:rPr>
                <w:rFonts w:asciiTheme="minorHAnsi" w:hAnsiTheme="minorHAnsi"/>
              </w:rPr>
              <w:t>Democratic Governance</w:t>
            </w:r>
          </w:p>
        </w:tc>
        <w:tc>
          <w:tcPr>
            <w:tcW w:w="1890" w:type="dxa"/>
          </w:tcPr>
          <w:p w14:paraId="14F7DBEB" w14:textId="77777777" w:rsidR="000D6DE5" w:rsidRPr="006900FE" w:rsidRDefault="00D57349" w:rsidP="00CB4203">
            <w:pPr>
              <w:pStyle w:val="BodyText2"/>
              <w:jc w:val="center"/>
              <w:rPr>
                <w:rFonts w:asciiTheme="minorHAnsi" w:hAnsiTheme="minorHAnsi"/>
              </w:rPr>
            </w:pPr>
            <w:r>
              <w:rPr>
                <w:rFonts w:asciiTheme="minorHAnsi" w:hAnsiTheme="minorHAnsi"/>
              </w:rPr>
              <w:t>1,137,000</w:t>
            </w:r>
          </w:p>
        </w:tc>
        <w:tc>
          <w:tcPr>
            <w:tcW w:w="2070" w:type="dxa"/>
          </w:tcPr>
          <w:p w14:paraId="03BC7A9A" w14:textId="77777777" w:rsidR="000D6DE5" w:rsidRPr="006900FE" w:rsidRDefault="003D7FA5" w:rsidP="003D7FA5">
            <w:pPr>
              <w:pStyle w:val="BodyText2"/>
              <w:jc w:val="center"/>
              <w:rPr>
                <w:rFonts w:asciiTheme="minorHAnsi" w:hAnsiTheme="minorHAnsi"/>
              </w:rPr>
            </w:pPr>
            <w:r>
              <w:rPr>
                <w:rFonts w:asciiTheme="minorHAnsi" w:hAnsiTheme="minorHAnsi"/>
              </w:rPr>
              <w:t>11,337,000</w:t>
            </w:r>
          </w:p>
        </w:tc>
        <w:tc>
          <w:tcPr>
            <w:tcW w:w="1980" w:type="dxa"/>
          </w:tcPr>
          <w:p w14:paraId="70B80A35" w14:textId="77777777" w:rsidR="000D6DE5" w:rsidRPr="006900FE" w:rsidRDefault="003D7FA5" w:rsidP="00CB4203">
            <w:pPr>
              <w:pStyle w:val="BodyText2"/>
              <w:jc w:val="center"/>
              <w:rPr>
                <w:rFonts w:asciiTheme="minorHAnsi" w:hAnsiTheme="minorHAnsi"/>
              </w:rPr>
            </w:pPr>
            <w:r>
              <w:rPr>
                <w:rFonts w:asciiTheme="minorHAnsi" w:hAnsiTheme="minorHAnsi"/>
              </w:rPr>
              <w:t>12,474,000</w:t>
            </w:r>
          </w:p>
        </w:tc>
        <w:tc>
          <w:tcPr>
            <w:tcW w:w="2008" w:type="dxa"/>
          </w:tcPr>
          <w:p w14:paraId="5F6C9028" w14:textId="77777777" w:rsidR="000D6DE5" w:rsidRPr="006900FE" w:rsidRDefault="003D7FA5" w:rsidP="00CB4203">
            <w:pPr>
              <w:pStyle w:val="BodyText2"/>
              <w:jc w:val="center"/>
              <w:rPr>
                <w:rFonts w:asciiTheme="minorHAnsi" w:hAnsiTheme="minorHAnsi"/>
              </w:rPr>
            </w:pPr>
            <w:r>
              <w:rPr>
                <w:rFonts w:asciiTheme="minorHAnsi" w:hAnsiTheme="minorHAnsi"/>
              </w:rPr>
              <w:t>17.3</w:t>
            </w:r>
          </w:p>
        </w:tc>
      </w:tr>
      <w:tr w:rsidR="000D6DE5" w:rsidRPr="006900FE" w14:paraId="3B3C68B1" w14:textId="77777777" w:rsidTr="000D6DE5">
        <w:tc>
          <w:tcPr>
            <w:tcW w:w="6228" w:type="dxa"/>
          </w:tcPr>
          <w:p w14:paraId="4425616B" w14:textId="77777777" w:rsidR="000D6DE5" w:rsidRPr="006900FE" w:rsidRDefault="000D6DE5" w:rsidP="00CB4203">
            <w:pPr>
              <w:pStyle w:val="BodyText2"/>
              <w:rPr>
                <w:rFonts w:asciiTheme="minorHAnsi" w:hAnsiTheme="minorHAnsi"/>
              </w:rPr>
            </w:pPr>
            <w:r w:rsidRPr="006900FE">
              <w:rPr>
                <w:rFonts w:asciiTheme="minorHAnsi" w:hAnsiTheme="minorHAnsi"/>
              </w:rPr>
              <w:t>Crisis Prevention and Recovery</w:t>
            </w:r>
          </w:p>
        </w:tc>
        <w:tc>
          <w:tcPr>
            <w:tcW w:w="1890" w:type="dxa"/>
          </w:tcPr>
          <w:p w14:paraId="691725DA" w14:textId="77777777" w:rsidR="000D6DE5" w:rsidRPr="006900FE" w:rsidRDefault="00645D3B" w:rsidP="00CB4203">
            <w:pPr>
              <w:pStyle w:val="BodyText2"/>
              <w:jc w:val="center"/>
              <w:rPr>
                <w:rFonts w:asciiTheme="minorHAnsi" w:hAnsiTheme="minorHAnsi"/>
              </w:rPr>
            </w:pPr>
            <w:r>
              <w:rPr>
                <w:rFonts w:asciiTheme="minorHAnsi" w:hAnsiTheme="minorHAnsi"/>
              </w:rPr>
              <w:t>250,000</w:t>
            </w:r>
          </w:p>
        </w:tc>
        <w:tc>
          <w:tcPr>
            <w:tcW w:w="2070" w:type="dxa"/>
          </w:tcPr>
          <w:p w14:paraId="3814102F" w14:textId="77777777" w:rsidR="000D6DE5" w:rsidRPr="006900FE" w:rsidRDefault="00D57349" w:rsidP="00CB4203">
            <w:pPr>
              <w:pStyle w:val="BodyText2"/>
              <w:jc w:val="center"/>
              <w:rPr>
                <w:rFonts w:asciiTheme="minorHAnsi" w:hAnsiTheme="minorHAnsi"/>
              </w:rPr>
            </w:pPr>
            <w:r>
              <w:rPr>
                <w:rFonts w:asciiTheme="minorHAnsi" w:hAnsiTheme="minorHAnsi"/>
              </w:rPr>
              <w:t>9,620,000</w:t>
            </w:r>
          </w:p>
        </w:tc>
        <w:tc>
          <w:tcPr>
            <w:tcW w:w="1980" w:type="dxa"/>
          </w:tcPr>
          <w:p w14:paraId="74BDBBCE" w14:textId="77777777" w:rsidR="000D6DE5" w:rsidRPr="006900FE" w:rsidRDefault="003D7FA5" w:rsidP="00CB4203">
            <w:pPr>
              <w:pStyle w:val="BodyText2"/>
              <w:jc w:val="center"/>
              <w:rPr>
                <w:rFonts w:asciiTheme="minorHAnsi" w:hAnsiTheme="minorHAnsi"/>
              </w:rPr>
            </w:pPr>
            <w:r>
              <w:rPr>
                <w:rFonts w:asciiTheme="minorHAnsi" w:hAnsiTheme="minorHAnsi"/>
              </w:rPr>
              <w:t>9,870,000</w:t>
            </w:r>
          </w:p>
        </w:tc>
        <w:tc>
          <w:tcPr>
            <w:tcW w:w="2008" w:type="dxa"/>
          </w:tcPr>
          <w:p w14:paraId="2DDABAC8" w14:textId="77777777" w:rsidR="000D6DE5" w:rsidRPr="006900FE" w:rsidRDefault="003D7FA5" w:rsidP="00CB4203">
            <w:pPr>
              <w:pStyle w:val="BodyText2"/>
              <w:jc w:val="center"/>
              <w:rPr>
                <w:rFonts w:asciiTheme="minorHAnsi" w:hAnsiTheme="minorHAnsi"/>
              </w:rPr>
            </w:pPr>
            <w:r>
              <w:rPr>
                <w:rFonts w:asciiTheme="minorHAnsi" w:hAnsiTheme="minorHAnsi"/>
              </w:rPr>
              <w:t>13.6</w:t>
            </w:r>
          </w:p>
        </w:tc>
      </w:tr>
      <w:tr w:rsidR="000D6DE5" w:rsidRPr="006900FE" w14:paraId="5CE51172" w14:textId="77777777" w:rsidTr="000D6DE5">
        <w:tc>
          <w:tcPr>
            <w:tcW w:w="6228" w:type="dxa"/>
          </w:tcPr>
          <w:p w14:paraId="17892692" w14:textId="77777777" w:rsidR="000D6DE5" w:rsidRPr="006900FE" w:rsidRDefault="000D6DE5" w:rsidP="00CB4203">
            <w:pPr>
              <w:pStyle w:val="BodyText2"/>
              <w:rPr>
                <w:rFonts w:asciiTheme="minorHAnsi" w:hAnsiTheme="minorHAnsi"/>
              </w:rPr>
            </w:pPr>
            <w:r w:rsidRPr="006900FE">
              <w:rPr>
                <w:rFonts w:asciiTheme="minorHAnsi" w:hAnsiTheme="minorHAnsi"/>
              </w:rPr>
              <w:t>Environment and Sustainable Development</w:t>
            </w:r>
          </w:p>
        </w:tc>
        <w:tc>
          <w:tcPr>
            <w:tcW w:w="1890" w:type="dxa"/>
          </w:tcPr>
          <w:p w14:paraId="03996178" w14:textId="77777777" w:rsidR="000D6DE5" w:rsidRPr="006900FE" w:rsidRDefault="00645D3B" w:rsidP="00CB4203">
            <w:pPr>
              <w:pStyle w:val="BodyText2"/>
              <w:jc w:val="center"/>
              <w:rPr>
                <w:rFonts w:asciiTheme="minorHAnsi" w:hAnsiTheme="minorHAnsi"/>
              </w:rPr>
            </w:pPr>
            <w:r>
              <w:rPr>
                <w:rFonts w:asciiTheme="minorHAnsi" w:hAnsiTheme="minorHAnsi"/>
              </w:rPr>
              <w:t>655,000</w:t>
            </w:r>
          </w:p>
        </w:tc>
        <w:tc>
          <w:tcPr>
            <w:tcW w:w="2070" w:type="dxa"/>
          </w:tcPr>
          <w:p w14:paraId="2E3CF570" w14:textId="77777777" w:rsidR="000D6DE5" w:rsidRPr="006900FE" w:rsidRDefault="00D57349" w:rsidP="00D57349">
            <w:pPr>
              <w:pStyle w:val="BodyText2"/>
              <w:jc w:val="center"/>
              <w:rPr>
                <w:rFonts w:asciiTheme="minorHAnsi" w:hAnsiTheme="minorHAnsi"/>
              </w:rPr>
            </w:pPr>
            <w:r>
              <w:rPr>
                <w:rFonts w:asciiTheme="minorHAnsi" w:hAnsiTheme="minorHAnsi"/>
              </w:rPr>
              <w:t>30,300,000</w:t>
            </w:r>
          </w:p>
        </w:tc>
        <w:tc>
          <w:tcPr>
            <w:tcW w:w="1980" w:type="dxa"/>
          </w:tcPr>
          <w:p w14:paraId="73A0900B" w14:textId="77777777" w:rsidR="000D6DE5" w:rsidRPr="006900FE" w:rsidRDefault="003D7FA5" w:rsidP="00CB4203">
            <w:pPr>
              <w:pStyle w:val="BodyText2"/>
              <w:jc w:val="center"/>
              <w:rPr>
                <w:rFonts w:asciiTheme="minorHAnsi" w:hAnsiTheme="minorHAnsi"/>
              </w:rPr>
            </w:pPr>
            <w:r>
              <w:rPr>
                <w:rFonts w:asciiTheme="minorHAnsi" w:hAnsiTheme="minorHAnsi"/>
              </w:rPr>
              <w:t>30,955,000</w:t>
            </w:r>
          </w:p>
        </w:tc>
        <w:tc>
          <w:tcPr>
            <w:tcW w:w="2008" w:type="dxa"/>
          </w:tcPr>
          <w:p w14:paraId="71C2E556" w14:textId="77777777" w:rsidR="000D6DE5" w:rsidRPr="006900FE" w:rsidRDefault="003D7FA5" w:rsidP="00CB4203">
            <w:pPr>
              <w:pStyle w:val="BodyText2"/>
              <w:jc w:val="center"/>
              <w:rPr>
                <w:rFonts w:asciiTheme="minorHAnsi" w:hAnsiTheme="minorHAnsi"/>
              </w:rPr>
            </w:pPr>
            <w:r>
              <w:rPr>
                <w:rFonts w:asciiTheme="minorHAnsi" w:hAnsiTheme="minorHAnsi"/>
              </w:rPr>
              <w:t>42.7</w:t>
            </w:r>
          </w:p>
        </w:tc>
      </w:tr>
      <w:tr w:rsidR="000D6DE5" w:rsidRPr="006900FE" w14:paraId="6330E41B" w14:textId="77777777" w:rsidTr="000D6DE5">
        <w:tc>
          <w:tcPr>
            <w:tcW w:w="6228" w:type="dxa"/>
            <w:shd w:val="clear" w:color="auto" w:fill="00B0F0"/>
          </w:tcPr>
          <w:p w14:paraId="5ADB3055" w14:textId="77777777" w:rsidR="000D6DE5" w:rsidRPr="006900FE" w:rsidRDefault="000D6DE5" w:rsidP="00CB4203">
            <w:pPr>
              <w:pStyle w:val="BodyText2"/>
              <w:jc w:val="center"/>
              <w:rPr>
                <w:rFonts w:asciiTheme="minorHAnsi" w:hAnsiTheme="minorHAnsi"/>
              </w:rPr>
            </w:pPr>
            <w:r w:rsidRPr="006900FE">
              <w:rPr>
                <w:rFonts w:asciiTheme="minorHAnsi" w:hAnsiTheme="minorHAnsi"/>
              </w:rPr>
              <w:t>Total</w:t>
            </w:r>
          </w:p>
        </w:tc>
        <w:tc>
          <w:tcPr>
            <w:tcW w:w="1890" w:type="dxa"/>
            <w:shd w:val="clear" w:color="auto" w:fill="00B0F0"/>
          </w:tcPr>
          <w:p w14:paraId="25DA18A1" w14:textId="77777777" w:rsidR="000D6DE5" w:rsidRPr="006900FE" w:rsidRDefault="00D57349" w:rsidP="00CB4203">
            <w:pPr>
              <w:pStyle w:val="BodyText2"/>
              <w:jc w:val="center"/>
              <w:rPr>
                <w:rFonts w:asciiTheme="minorHAnsi" w:hAnsiTheme="minorHAnsi"/>
              </w:rPr>
            </w:pPr>
            <w:r>
              <w:rPr>
                <w:rFonts w:asciiTheme="minorHAnsi" w:hAnsiTheme="minorHAnsi"/>
              </w:rPr>
              <w:t>2,892,000</w:t>
            </w:r>
          </w:p>
        </w:tc>
        <w:tc>
          <w:tcPr>
            <w:tcW w:w="2070" w:type="dxa"/>
            <w:shd w:val="clear" w:color="auto" w:fill="00B0F0"/>
          </w:tcPr>
          <w:p w14:paraId="3AEF939B" w14:textId="77777777" w:rsidR="000D6DE5" w:rsidRPr="006900FE" w:rsidRDefault="003D7FA5" w:rsidP="00CB4203">
            <w:pPr>
              <w:pStyle w:val="BodyText2"/>
              <w:jc w:val="center"/>
              <w:rPr>
                <w:rFonts w:asciiTheme="minorHAnsi" w:hAnsiTheme="minorHAnsi"/>
              </w:rPr>
            </w:pPr>
            <w:r>
              <w:rPr>
                <w:rFonts w:asciiTheme="minorHAnsi" w:hAnsiTheme="minorHAnsi"/>
              </w:rPr>
              <w:t>69,527,000</w:t>
            </w:r>
          </w:p>
        </w:tc>
        <w:tc>
          <w:tcPr>
            <w:tcW w:w="1980" w:type="dxa"/>
            <w:shd w:val="clear" w:color="auto" w:fill="00B0F0"/>
          </w:tcPr>
          <w:p w14:paraId="13FE8737" w14:textId="77777777" w:rsidR="000D6DE5" w:rsidRPr="006900FE" w:rsidRDefault="003D7FA5" w:rsidP="00CB4203">
            <w:pPr>
              <w:pStyle w:val="BodyText2"/>
              <w:jc w:val="center"/>
              <w:rPr>
                <w:rFonts w:asciiTheme="minorHAnsi" w:hAnsiTheme="minorHAnsi"/>
              </w:rPr>
            </w:pPr>
            <w:r>
              <w:rPr>
                <w:rFonts w:asciiTheme="minorHAnsi" w:hAnsiTheme="minorHAnsi"/>
              </w:rPr>
              <w:t>72,419,000</w:t>
            </w:r>
          </w:p>
        </w:tc>
        <w:tc>
          <w:tcPr>
            <w:tcW w:w="2008" w:type="dxa"/>
            <w:shd w:val="clear" w:color="auto" w:fill="00B0F0"/>
          </w:tcPr>
          <w:p w14:paraId="2695FDA8" w14:textId="77777777" w:rsidR="000D6DE5" w:rsidRPr="006900FE" w:rsidRDefault="003D7FA5" w:rsidP="00CB4203">
            <w:pPr>
              <w:pStyle w:val="BodyText2"/>
              <w:jc w:val="center"/>
              <w:rPr>
                <w:rFonts w:asciiTheme="minorHAnsi" w:hAnsiTheme="minorHAnsi"/>
              </w:rPr>
            </w:pPr>
            <w:r>
              <w:rPr>
                <w:rFonts w:asciiTheme="minorHAnsi" w:hAnsiTheme="minorHAnsi"/>
              </w:rPr>
              <w:t>100</w:t>
            </w:r>
          </w:p>
        </w:tc>
      </w:tr>
    </w:tbl>
    <w:p w14:paraId="65ABC3FC" w14:textId="77777777" w:rsidR="00635929" w:rsidRPr="006900FE" w:rsidRDefault="00635929" w:rsidP="00CB4203">
      <w:pPr>
        <w:pStyle w:val="BodyText2"/>
        <w:rPr>
          <w:rFonts w:asciiTheme="minorHAnsi" w:hAnsiTheme="minorHAnsi"/>
          <w:sz w:val="24"/>
        </w:rPr>
      </w:pPr>
    </w:p>
    <w:tbl>
      <w:tblPr>
        <w:tblStyle w:val="TableGrid"/>
        <w:tblW w:w="0" w:type="auto"/>
        <w:tblLook w:val="04A0" w:firstRow="1" w:lastRow="0" w:firstColumn="1" w:lastColumn="0" w:noHBand="0" w:noVBand="1"/>
      </w:tblPr>
      <w:tblGrid>
        <w:gridCol w:w="13950"/>
      </w:tblGrid>
      <w:tr w:rsidR="002547CF" w:rsidRPr="006900FE" w14:paraId="2487F320" w14:textId="77777777" w:rsidTr="00B64ACA">
        <w:tc>
          <w:tcPr>
            <w:tcW w:w="14176" w:type="dxa"/>
          </w:tcPr>
          <w:p w14:paraId="098A9522" w14:textId="77777777" w:rsidR="002547CF" w:rsidRPr="006900FE" w:rsidRDefault="002547CF" w:rsidP="00CB4203">
            <w:pPr>
              <w:pStyle w:val="BodyText2"/>
              <w:rPr>
                <w:rFonts w:asciiTheme="minorHAnsi" w:hAnsiTheme="minorHAnsi"/>
                <w:b/>
              </w:rPr>
            </w:pPr>
            <w:r w:rsidRPr="006900FE">
              <w:rPr>
                <w:rFonts w:asciiTheme="minorHAnsi" w:hAnsiTheme="minorHAnsi"/>
                <w:b/>
              </w:rPr>
              <w:t xml:space="preserve">Data sources:  (please indicate the main sources from which data were obtained for this report.) </w:t>
            </w:r>
          </w:p>
        </w:tc>
      </w:tr>
      <w:tr w:rsidR="00B64ACA" w:rsidRPr="006900FE" w14:paraId="38972E3B" w14:textId="77777777" w:rsidTr="00B64ACA">
        <w:tc>
          <w:tcPr>
            <w:tcW w:w="14176" w:type="dxa"/>
          </w:tcPr>
          <w:p w14:paraId="0E86C7D4" w14:textId="77777777" w:rsidR="00D76EEE" w:rsidRDefault="00D76EEE" w:rsidP="00CB4203">
            <w:pPr>
              <w:pStyle w:val="BodyText2"/>
              <w:rPr>
                <w:rFonts w:asciiTheme="minorHAnsi" w:hAnsiTheme="minorHAnsi"/>
                <w:b/>
              </w:rPr>
            </w:pPr>
            <w:r>
              <w:rPr>
                <w:rFonts w:asciiTheme="minorHAnsi" w:hAnsiTheme="minorHAnsi"/>
                <w:b/>
              </w:rPr>
              <w:t>UNDP Evaluations (2011-2014)</w:t>
            </w:r>
          </w:p>
          <w:p w14:paraId="63ACC224" w14:textId="77777777" w:rsidR="00D76EEE" w:rsidRDefault="00D76EEE" w:rsidP="00CB4203">
            <w:pPr>
              <w:pStyle w:val="BodyText2"/>
              <w:rPr>
                <w:rFonts w:asciiTheme="minorHAnsi" w:hAnsiTheme="minorHAnsi"/>
                <w:b/>
              </w:rPr>
            </w:pPr>
            <w:r>
              <w:rPr>
                <w:rFonts w:asciiTheme="minorHAnsi" w:hAnsiTheme="minorHAnsi"/>
                <w:b/>
              </w:rPr>
              <w:t xml:space="preserve">ROAR reports </w:t>
            </w:r>
            <w:r w:rsidR="008B6DB2">
              <w:rPr>
                <w:rFonts w:asciiTheme="minorHAnsi" w:hAnsiTheme="minorHAnsi"/>
                <w:b/>
              </w:rPr>
              <w:t>(</w:t>
            </w:r>
            <w:r>
              <w:rPr>
                <w:rFonts w:asciiTheme="minorHAnsi" w:hAnsiTheme="minorHAnsi"/>
                <w:b/>
              </w:rPr>
              <w:t>2011-2014</w:t>
            </w:r>
            <w:r w:rsidR="008B6DB2">
              <w:rPr>
                <w:rFonts w:asciiTheme="minorHAnsi" w:hAnsiTheme="minorHAnsi"/>
                <w:b/>
              </w:rPr>
              <w:t>)</w:t>
            </w:r>
          </w:p>
          <w:p w14:paraId="75A0CCC5" w14:textId="77777777" w:rsidR="00D76EEE" w:rsidRDefault="00D76EEE" w:rsidP="00CB4203">
            <w:pPr>
              <w:pStyle w:val="BodyText2"/>
              <w:rPr>
                <w:rFonts w:asciiTheme="minorHAnsi" w:hAnsiTheme="minorHAnsi"/>
                <w:b/>
              </w:rPr>
            </w:pPr>
            <w:r>
              <w:rPr>
                <w:rFonts w:asciiTheme="minorHAnsi" w:hAnsiTheme="minorHAnsi"/>
                <w:b/>
              </w:rPr>
              <w:t>Ministries’/NGO websites and portals (</w:t>
            </w:r>
            <w:hyperlink r:id="rId14" w:history="1">
              <w:r w:rsidRPr="00926171">
                <w:rPr>
                  <w:rStyle w:val="Hyperlink"/>
                  <w:rFonts w:asciiTheme="minorHAnsi" w:hAnsiTheme="minorHAnsi"/>
                  <w:b/>
                </w:rPr>
                <w:t>http://adilet.zan.kz/eng</w:t>
              </w:r>
            </w:hyperlink>
            <w:r>
              <w:rPr>
                <w:rFonts w:asciiTheme="minorHAnsi" w:hAnsiTheme="minorHAnsi"/>
                <w:b/>
              </w:rPr>
              <w:t xml:space="preserve">; </w:t>
            </w:r>
            <w:hyperlink r:id="rId15" w:history="1">
              <w:r w:rsidRPr="00926171">
                <w:rPr>
                  <w:rStyle w:val="Hyperlink"/>
                  <w:rFonts w:asciiTheme="minorHAnsi" w:hAnsiTheme="minorHAnsi"/>
                  <w:b/>
                </w:rPr>
                <w:t>http://www.damu.kz/273</w:t>
              </w:r>
            </w:hyperlink>
            <w:r>
              <w:rPr>
                <w:rFonts w:asciiTheme="minorHAnsi" w:hAnsiTheme="minorHAnsi"/>
                <w:b/>
              </w:rPr>
              <w:t xml:space="preserve">; </w:t>
            </w:r>
            <w:hyperlink r:id="rId16" w:history="1">
              <w:r w:rsidRPr="00926171">
                <w:rPr>
                  <w:rStyle w:val="Hyperlink"/>
                  <w:rFonts w:asciiTheme="minorHAnsi" w:hAnsiTheme="minorHAnsi"/>
                  <w:b/>
                </w:rPr>
                <w:t>http://www.unmultimedia.org/radio/russian/archives/117964/</w:t>
              </w:r>
            </w:hyperlink>
            <w:r>
              <w:rPr>
                <w:rFonts w:asciiTheme="minorHAnsi" w:hAnsiTheme="minorHAnsi"/>
                <w:b/>
              </w:rPr>
              <w:t>)</w:t>
            </w:r>
          </w:p>
          <w:p w14:paraId="34DC9EC6" w14:textId="77777777" w:rsidR="008B6DB2" w:rsidRDefault="008B6DB2" w:rsidP="00CB4203">
            <w:pPr>
              <w:pStyle w:val="BodyText2"/>
              <w:rPr>
                <w:rFonts w:asciiTheme="minorHAnsi" w:hAnsiTheme="minorHAnsi"/>
                <w:b/>
              </w:rPr>
            </w:pPr>
            <w:r>
              <w:rPr>
                <w:rFonts w:asciiTheme="minorHAnsi" w:hAnsiTheme="minorHAnsi"/>
                <w:b/>
              </w:rPr>
              <w:t>National Statistics Committee</w:t>
            </w:r>
          </w:p>
          <w:p w14:paraId="0EC3D97D" w14:textId="77777777" w:rsidR="008D791F" w:rsidRDefault="00D76EEE" w:rsidP="00CB4203">
            <w:pPr>
              <w:pStyle w:val="BodyText2"/>
              <w:rPr>
                <w:rFonts w:asciiTheme="minorHAnsi" w:hAnsiTheme="minorHAnsi"/>
                <w:b/>
              </w:rPr>
            </w:pPr>
            <w:r>
              <w:rPr>
                <w:rFonts w:asciiTheme="minorHAnsi" w:hAnsiTheme="minorHAnsi"/>
                <w:b/>
              </w:rPr>
              <w:lastRenderedPageBreak/>
              <w:t>Central Election Committee</w:t>
            </w:r>
          </w:p>
          <w:p w14:paraId="0A7B55CC" w14:textId="77777777" w:rsidR="008B0D81" w:rsidRPr="006900FE" w:rsidRDefault="008B0D81" w:rsidP="00CB4203">
            <w:pPr>
              <w:pStyle w:val="BodyText2"/>
              <w:rPr>
                <w:rFonts w:asciiTheme="minorHAnsi" w:hAnsiTheme="minorHAnsi"/>
                <w:b/>
              </w:rPr>
            </w:pPr>
            <w:r>
              <w:rPr>
                <w:rFonts w:asciiTheme="minorHAnsi" w:hAnsiTheme="minorHAnsi"/>
                <w:b/>
              </w:rPr>
              <w:t xml:space="preserve">Atlas CDR 2010, 2011, 2012, 2013, 2014/UNDP project results and reports 2010, 2011, 2012, 2013. </w:t>
            </w:r>
          </w:p>
        </w:tc>
      </w:tr>
    </w:tbl>
    <w:p w14:paraId="1AD54CFA" w14:textId="77777777" w:rsidR="00635929" w:rsidRDefault="00635929" w:rsidP="00CB4203">
      <w:pPr>
        <w:pStyle w:val="BodyText2"/>
        <w:rPr>
          <w:rFonts w:ascii="Times New Roman" w:hAnsi="Times New Roman"/>
          <w:sz w:val="24"/>
        </w:rPr>
      </w:pPr>
    </w:p>
    <w:sectPr w:rsidR="00635929" w:rsidSect="0037523B">
      <w:endnotePr>
        <w:numFmt w:val="decimal"/>
      </w:endnotePr>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81A1F" w14:textId="77777777" w:rsidR="00C426B0" w:rsidRDefault="00C426B0">
      <w:r>
        <w:separator/>
      </w:r>
    </w:p>
  </w:endnote>
  <w:endnote w:type="continuationSeparator" w:id="0">
    <w:p w14:paraId="18A22718" w14:textId="77777777" w:rsidR="00C426B0" w:rsidRDefault="00C426B0">
      <w:r>
        <w:continuationSeparator/>
      </w:r>
    </w:p>
  </w:endnote>
  <w:endnote w:type="continuationNotice" w:id="1">
    <w:p w14:paraId="0509EC52" w14:textId="77777777" w:rsidR="00C426B0" w:rsidRDefault="00C42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339385"/>
      <w:docPartObj>
        <w:docPartGallery w:val="Page Numbers (Bottom of Page)"/>
        <w:docPartUnique/>
      </w:docPartObj>
    </w:sdtPr>
    <w:sdtEndPr/>
    <w:sdtContent>
      <w:p w14:paraId="7616F8CB" w14:textId="77777777" w:rsidR="006F2560" w:rsidRDefault="006F2560">
        <w:pPr>
          <w:pStyle w:val="Footer"/>
          <w:jc w:val="center"/>
        </w:pPr>
        <w:r>
          <w:fldChar w:fldCharType="begin"/>
        </w:r>
        <w:r>
          <w:instrText xml:space="preserve"> PAGE   \* MERGEFORMAT </w:instrText>
        </w:r>
        <w:r>
          <w:fldChar w:fldCharType="separate"/>
        </w:r>
        <w:r w:rsidR="00105919">
          <w:rPr>
            <w:noProof/>
          </w:rPr>
          <w:t>2</w:t>
        </w:r>
        <w:r>
          <w:rPr>
            <w:noProof/>
          </w:rPr>
          <w:fldChar w:fldCharType="end"/>
        </w:r>
      </w:p>
    </w:sdtContent>
  </w:sdt>
  <w:p w14:paraId="6A537E54" w14:textId="77777777" w:rsidR="006F2560" w:rsidRDefault="006F2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7CA03" w14:textId="77777777" w:rsidR="00C426B0" w:rsidRDefault="00C426B0">
      <w:r>
        <w:separator/>
      </w:r>
    </w:p>
  </w:footnote>
  <w:footnote w:type="continuationSeparator" w:id="0">
    <w:p w14:paraId="56ED285C" w14:textId="77777777" w:rsidR="00C426B0" w:rsidRDefault="00C426B0">
      <w:r>
        <w:continuationSeparator/>
      </w:r>
    </w:p>
  </w:footnote>
  <w:footnote w:type="continuationNotice" w:id="1">
    <w:p w14:paraId="185EC7BF" w14:textId="77777777" w:rsidR="00C426B0" w:rsidRDefault="00C426B0"/>
  </w:footnote>
  <w:footnote w:id="2">
    <w:p w14:paraId="362A01C5" w14:textId="5F15B216" w:rsidR="000E2BEA" w:rsidRDefault="000E2BEA">
      <w:pPr>
        <w:pStyle w:val="FootnoteText"/>
      </w:pPr>
      <w:r>
        <w:rPr>
          <w:rStyle w:val="FootnoteReference"/>
        </w:rPr>
        <w:footnoteRef/>
      </w:r>
      <w:r>
        <w:t xml:space="preserve"> E</w:t>
      </w:r>
      <w:r w:rsidRPr="000E2BEA">
        <w:t>thnic Kazakhs who have immigrated to Kazakhstan since its independence in 1991</w:t>
      </w:r>
      <w:r>
        <w:t xml:space="preserve">. </w:t>
      </w:r>
    </w:p>
  </w:footnote>
  <w:footnote w:id="3">
    <w:p w14:paraId="687EC96C" w14:textId="3FC9F320" w:rsidR="002F279A" w:rsidRDefault="002F279A">
      <w:pPr>
        <w:pStyle w:val="FootnoteText"/>
      </w:pPr>
      <w:r>
        <w:rPr>
          <w:rStyle w:val="FootnoteReference"/>
        </w:rPr>
        <w:footnoteRef/>
      </w:r>
      <w:r>
        <w:t xml:space="preserve"> </w:t>
      </w:r>
      <w:r w:rsidRPr="00BE6042">
        <w:rPr>
          <w:i/>
        </w:rPr>
        <w:t>Nurly Zhol</w:t>
      </w:r>
      <w:r>
        <w:t xml:space="preserve"> is a</w:t>
      </w:r>
      <w:r w:rsidRPr="002F279A">
        <w:t xml:space="preserve"> new counter-cyclical economic policy </w:t>
      </w:r>
      <w:r>
        <w:t xml:space="preserve">of Kazakhstan </w:t>
      </w:r>
      <w:r w:rsidR="002A7E8D">
        <w:t xml:space="preserve">aimed at continuing structural reforms in the country.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A39EF"/>
    <w:multiLevelType w:val="hybridMultilevel"/>
    <w:tmpl w:val="2E34CBA8"/>
    <w:lvl w:ilvl="0" w:tplc="89B6A30A">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AA47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C2A6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5120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5C30BE2"/>
    <w:multiLevelType w:val="hybridMultilevel"/>
    <w:tmpl w:val="FF4C982A"/>
    <w:lvl w:ilvl="0" w:tplc="F6FE1EFC">
      <w:numFmt w:val="bullet"/>
      <w:lvlText w:val="-"/>
      <w:lvlJc w:val="left"/>
      <w:pPr>
        <w:tabs>
          <w:tab w:val="num" w:pos="572"/>
        </w:tabs>
        <w:ind w:left="572" w:hanging="360"/>
      </w:pPr>
      <w:rPr>
        <w:rFonts w:ascii="Arial" w:hAnsi="Ari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3A04C0"/>
    <w:multiLevelType w:val="hybridMultilevel"/>
    <w:tmpl w:val="227EA030"/>
    <w:lvl w:ilvl="0" w:tplc="13C82F2C">
      <w:start w:val="1"/>
      <w:numFmt w:val="decimal"/>
      <w:lvlText w:val="%1."/>
      <w:lvlJc w:val="left"/>
      <w:pPr>
        <w:ind w:left="1987" w:hanging="360"/>
      </w:pPr>
      <w:rPr>
        <w:rFonts w:hint="default"/>
      </w:r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nsid w:val="20F17D22"/>
    <w:multiLevelType w:val="hybridMultilevel"/>
    <w:tmpl w:val="88662526"/>
    <w:lvl w:ilvl="0" w:tplc="FF3C23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3B69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4284809"/>
    <w:multiLevelType w:val="hybridMultilevel"/>
    <w:tmpl w:val="5BCC15D6"/>
    <w:lvl w:ilvl="0" w:tplc="08260F98">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6910CB"/>
    <w:multiLevelType w:val="hybridMultilevel"/>
    <w:tmpl w:val="227EA030"/>
    <w:lvl w:ilvl="0" w:tplc="13C82F2C">
      <w:start w:val="1"/>
      <w:numFmt w:val="decimal"/>
      <w:lvlText w:val="%1."/>
      <w:lvlJc w:val="left"/>
      <w:pPr>
        <w:ind w:left="1987" w:hanging="360"/>
      </w:pPr>
      <w:rPr>
        <w:rFonts w:hint="default"/>
      </w:r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0">
    <w:nsid w:val="34305E1E"/>
    <w:multiLevelType w:val="hybridMultilevel"/>
    <w:tmpl w:val="B5284E0E"/>
    <w:lvl w:ilvl="0" w:tplc="E7EABBF2">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F7638F"/>
    <w:multiLevelType w:val="hybridMultilevel"/>
    <w:tmpl w:val="449A2D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1136F1"/>
    <w:multiLevelType w:val="hybridMultilevel"/>
    <w:tmpl w:val="A26CA1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E91BBE"/>
    <w:multiLevelType w:val="hybridMultilevel"/>
    <w:tmpl w:val="06C04FAC"/>
    <w:lvl w:ilvl="0" w:tplc="F6FE1EFC">
      <w:numFmt w:val="bullet"/>
      <w:lvlText w:val="-"/>
      <w:lvlJc w:val="left"/>
      <w:pPr>
        <w:tabs>
          <w:tab w:val="num" w:pos="1112"/>
        </w:tabs>
        <w:ind w:left="1112" w:hanging="360"/>
      </w:pPr>
      <w:rPr>
        <w:rFonts w:ascii="Arial" w:hAnsi="Aria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3E4B7DAA"/>
    <w:multiLevelType w:val="hybridMultilevel"/>
    <w:tmpl w:val="B1BC2630"/>
    <w:lvl w:ilvl="0" w:tplc="637AB9C8">
      <w:start w:val="1"/>
      <w:numFmt w:val="decimal"/>
      <w:lvlText w:val="%1)"/>
      <w:lvlJc w:val="left"/>
      <w:pPr>
        <w:tabs>
          <w:tab w:val="num" w:pos="1440"/>
        </w:tabs>
        <w:ind w:left="1440" w:hanging="360"/>
      </w:pPr>
      <w:rPr>
        <w:rFonts w:cs="Times New Roman" w:hint="default"/>
      </w:rPr>
    </w:lvl>
    <w:lvl w:ilvl="1" w:tplc="C2CCC016" w:tentative="1">
      <w:start w:val="1"/>
      <w:numFmt w:val="lowerLetter"/>
      <w:lvlText w:val="%2."/>
      <w:lvlJc w:val="left"/>
      <w:pPr>
        <w:tabs>
          <w:tab w:val="num" w:pos="2160"/>
        </w:tabs>
        <w:ind w:left="2160" w:hanging="360"/>
      </w:pPr>
    </w:lvl>
    <w:lvl w:ilvl="2" w:tplc="7F520C4C" w:tentative="1">
      <w:start w:val="1"/>
      <w:numFmt w:val="lowerRoman"/>
      <w:lvlText w:val="%3."/>
      <w:lvlJc w:val="right"/>
      <w:pPr>
        <w:tabs>
          <w:tab w:val="num" w:pos="2880"/>
        </w:tabs>
        <w:ind w:left="2880" w:hanging="180"/>
      </w:pPr>
    </w:lvl>
    <w:lvl w:ilvl="3" w:tplc="FEA22EFE" w:tentative="1">
      <w:start w:val="1"/>
      <w:numFmt w:val="decimal"/>
      <w:lvlText w:val="%4."/>
      <w:lvlJc w:val="left"/>
      <w:pPr>
        <w:tabs>
          <w:tab w:val="num" w:pos="3600"/>
        </w:tabs>
        <w:ind w:left="3600" w:hanging="360"/>
      </w:pPr>
    </w:lvl>
    <w:lvl w:ilvl="4" w:tplc="16E80030" w:tentative="1">
      <w:start w:val="1"/>
      <w:numFmt w:val="lowerLetter"/>
      <w:lvlText w:val="%5."/>
      <w:lvlJc w:val="left"/>
      <w:pPr>
        <w:tabs>
          <w:tab w:val="num" w:pos="4320"/>
        </w:tabs>
        <w:ind w:left="4320" w:hanging="360"/>
      </w:pPr>
    </w:lvl>
    <w:lvl w:ilvl="5" w:tplc="B0F6687C" w:tentative="1">
      <w:start w:val="1"/>
      <w:numFmt w:val="lowerRoman"/>
      <w:lvlText w:val="%6."/>
      <w:lvlJc w:val="right"/>
      <w:pPr>
        <w:tabs>
          <w:tab w:val="num" w:pos="5040"/>
        </w:tabs>
        <w:ind w:left="5040" w:hanging="180"/>
      </w:pPr>
    </w:lvl>
    <w:lvl w:ilvl="6" w:tplc="EE283A6C" w:tentative="1">
      <w:start w:val="1"/>
      <w:numFmt w:val="decimal"/>
      <w:lvlText w:val="%7."/>
      <w:lvlJc w:val="left"/>
      <w:pPr>
        <w:tabs>
          <w:tab w:val="num" w:pos="5760"/>
        </w:tabs>
        <w:ind w:left="5760" w:hanging="360"/>
      </w:pPr>
    </w:lvl>
    <w:lvl w:ilvl="7" w:tplc="C4B860EC" w:tentative="1">
      <w:start w:val="1"/>
      <w:numFmt w:val="lowerLetter"/>
      <w:lvlText w:val="%8."/>
      <w:lvlJc w:val="left"/>
      <w:pPr>
        <w:tabs>
          <w:tab w:val="num" w:pos="6480"/>
        </w:tabs>
        <w:ind w:left="6480" w:hanging="360"/>
      </w:pPr>
    </w:lvl>
    <w:lvl w:ilvl="8" w:tplc="B75AACE8" w:tentative="1">
      <w:start w:val="1"/>
      <w:numFmt w:val="lowerRoman"/>
      <w:lvlText w:val="%9."/>
      <w:lvlJc w:val="right"/>
      <w:pPr>
        <w:tabs>
          <w:tab w:val="num" w:pos="7200"/>
        </w:tabs>
        <w:ind w:left="7200" w:hanging="180"/>
      </w:pPr>
    </w:lvl>
  </w:abstractNum>
  <w:abstractNum w:abstractNumId="15">
    <w:nsid w:val="3FBC58FD"/>
    <w:multiLevelType w:val="hybridMultilevel"/>
    <w:tmpl w:val="FFFAA9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3569F9"/>
    <w:multiLevelType w:val="hybridMultilevel"/>
    <w:tmpl w:val="24509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3185F"/>
    <w:multiLevelType w:val="hybridMultilevel"/>
    <w:tmpl w:val="6EF29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5E591D"/>
    <w:multiLevelType w:val="hybridMultilevel"/>
    <w:tmpl w:val="D054D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557F3D"/>
    <w:multiLevelType w:val="hybridMultilevel"/>
    <w:tmpl w:val="AB926C66"/>
    <w:lvl w:ilvl="0" w:tplc="1924D38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31A6343"/>
    <w:multiLevelType w:val="hybridMultilevel"/>
    <w:tmpl w:val="C0C28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39594C"/>
    <w:multiLevelType w:val="hybridMultilevel"/>
    <w:tmpl w:val="DE444F84"/>
    <w:lvl w:ilvl="0" w:tplc="E8A81F52">
      <w:start w:val="1"/>
      <w:numFmt w:val="lowerLetter"/>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4A5234"/>
    <w:multiLevelType w:val="hybridMultilevel"/>
    <w:tmpl w:val="227EA030"/>
    <w:lvl w:ilvl="0" w:tplc="13C82F2C">
      <w:start w:val="1"/>
      <w:numFmt w:val="decimal"/>
      <w:lvlText w:val="%1."/>
      <w:lvlJc w:val="left"/>
      <w:pPr>
        <w:ind w:left="1987" w:hanging="360"/>
      </w:pPr>
      <w:rPr>
        <w:rFonts w:hint="default"/>
      </w:r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3">
    <w:nsid w:val="54841FA1"/>
    <w:multiLevelType w:val="hybridMultilevel"/>
    <w:tmpl w:val="9C026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81A2718"/>
    <w:multiLevelType w:val="hybridMultilevel"/>
    <w:tmpl w:val="3814A724"/>
    <w:lvl w:ilvl="0" w:tplc="83F25AA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0321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A48589A"/>
    <w:multiLevelType w:val="hybridMultilevel"/>
    <w:tmpl w:val="227EA030"/>
    <w:lvl w:ilvl="0" w:tplc="13C82F2C">
      <w:start w:val="1"/>
      <w:numFmt w:val="decimal"/>
      <w:lvlText w:val="%1."/>
      <w:lvlJc w:val="left"/>
      <w:pPr>
        <w:ind w:left="1987" w:hanging="360"/>
      </w:pPr>
      <w:rPr>
        <w:rFonts w:hint="default"/>
      </w:r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8">
    <w:nsid w:val="5AE602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BA06570"/>
    <w:multiLevelType w:val="hybridMultilevel"/>
    <w:tmpl w:val="DE9E066E"/>
    <w:lvl w:ilvl="0" w:tplc="325AF8F2">
      <w:start w:val="1"/>
      <w:numFmt w:val="lowerLetter"/>
      <w:lvlText w:val="%1."/>
      <w:lvlJc w:val="left"/>
      <w:pPr>
        <w:ind w:left="-32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30">
    <w:nsid w:val="5D387FF6"/>
    <w:multiLevelType w:val="hybridMultilevel"/>
    <w:tmpl w:val="BB401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15B3E2B"/>
    <w:multiLevelType w:val="hybridMultilevel"/>
    <w:tmpl w:val="85045DDA"/>
    <w:lvl w:ilvl="0" w:tplc="83F25AA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8708F8"/>
    <w:multiLevelType w:val="hybridMultilevel"/>
    <w:tmpl w:val="3CA02C6C"/>
    <w:lvl w:ilvl="0" w:tplc="B7AEFE4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ED24D64"/>
    <w:multiLevelType w:val="hybridMultilevel"/>
    <w:tmpl w:val="0F9E8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7653C3"/>
    <w:multiLevelType w:val="hybridMultilevel"/>
    <w:tmpl w:val="11761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C5050D"/>
    <w:multiLevelType w:val="hybridMultilevel"/>
    <w:tmpl w:val="FFFAA9E4"/>
    <w:lvl w:ilvl="0" w:tplc="04090019">
      <w:start w:val="1"/>
      <w:numFmt w:val="lowerLetter"/>
      <w:lvlText w:val="%1."/>
      <w:lvlJc w:val="left"/>
      <w:pPr>
        <w:ind w:left="391" w:hanging="360"/>
      </w:p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36">
    <w:nsid w:val="725F694C"/>
    <w:multiLevelType w:val="hybridMultilevel"/>
    <w:tmpl w:val="CEC4F0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3C07C6"/>
    <w:multiLevelType w:val="hybridMultilevel"/>
    <w:tmpl w:val="25325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D14FD5"/>
    <w:multiLevelType w:val="hybridMultilevel"/>
    <w:tmpl w:val="C526E486"/>
    <w:lvl w:ilvl="0" w:tplc="6A00F7F2">
      <w:start w:val="16"/>
      <w:numFmt w:val="bullet"/>
      <w:lvlText w:val=""/>
      <w:lvlJc w:val="left"/>
      <w:pPr>
        <w:tabs>
          <w:tab w:val="num" w:pos="1472"/>
        </w:tabs>
        <w:ind w:left="1472" w:hanging="720"/>
      </w:pPr>
      <w:rPr>
        <w:rFonts w:ascii="Symbol" w:eastAsia="Times New Roman" w:hAnsi="Symbo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9">
    <w:nsid w:val="7F3F69FB"/>
    <w:multiLevelType w:val="hybridMultilevel"/>
    <w:tmpl w:val="7966C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7"/>
  </w:num>
  <w:num w:numId="4">
    <w:abstractNumId w:val="3"/>
  </w:num>
  <w:num w:numId="5">
    <w:abstractNumId w:val="24"/>
  </w:num>
  <w:num w:numId="6">
    <w:abstractNumId w:val="28"/>
  </w:num>
  <w:num w:numId="7">
    <w:abstractNumId w:val="2"/>
  </w:num>
  <w:num w:numId="8">
    <w:abstractNumId w:val="26"/>
  </w:num>
  <w:num w:numId="9">
    <w:abstractNumId w:val="4"/>
  </w:num>
  <w:num w:numId="10">
    <w:abstractNumId w:val="13"/>
  </w:num>
  <w:num w:numId="11">
    <w:abstractNumId w:val="38"/>
  </w:num>
  <w:num w:numId="12">
    <w:abstractNumId w:val="16"/>
  </w:num>
  <w:num w:numId="13">
    <w:abstractNumId w:val="19"/>
  </w:num>
  <w:num w:numId="14">
    <w:abstractNumId w:val="8"/>
  </w:num>
  <w:num w:numId="15">
    <w:abstractNumId w:val="0"/>
  </w:num>
  <w:num w:numId="16">
    <w:abstractNumId w:val="32"/>
  </w:num>
  <w:num w:numId="17">
    <w:abstractNumId w:val="30"/>
  </w:num>
  <w:num w:numId="18">
    <w:abstractNumId w:val="9"/>
  </w:num>
  <w:num w:numId="19">
    <w:abstractNumId w:val="21"/>
  </w:num>
  <w:num w:numId="20">
    <w:abstractNumId w:val="27"/>
  </w:num>
  <w:num w:numId="21">
    <w:abstractNumId w:val="37"/>
  </w:num>
  <w:num w:numId="22">
    <w:abstractNumId w:val="23"/>
  </w:num>
  <w:num w:numId="23">
    <w:abstractNumId w:val="25"/>
  </w:num>
  <w:num w:numId="24">
    <w:abstractNumId w:val="20"/>
  </w:num>
  <w:num w:numId="25">
    <w:abstractNumId w:val="34"/>
  </w:num>
  <w:num w:numId="26">
    <w:abstractNumId w:val="29"/>
  </w:num>
  <w:num w:numId="27">
    <w:abstractNumId w:val="33"/>
  </w:num>
  <w:num w:numId="28">
    <w:abstractNumId w:val="11"/>
  </w:num>
  <w:num w:numId="29">
    <w:abstractNumId w:val="18"/>
  </w:num>
  <w:num w:numId="30">
    <w:abstractNumId w:val="6"/>
  </w:num>
  <w:num w:numId="31">
    <w:abstractNumId w:val="31"/>
  </w:num>
  <w:num w:numId="32">
    <w:abstractNumId w:val="36"/>
  </w:num>
  <w:num w:numId="33">
    <w:abstractNumId w:val="15"/>
  </w:num>
  <w:num w:numId="34">
    <w:abstractNumId w:val="35"/>
  </w:num>
  <w:num w:numId="35">
    <w:abstractNumId w:val="39"/>
  </w:num>
  <w:num w:numId="36">
    <w:abstractNumId w:val="17"/>
  </w:num>
  <w:num w:numId="37">
    <w:abstractNumId w:val="22"/>
  </w:num>
  <w:num w:numId="38">
    <w:abstractNumId w:val="5"/>
  </w:num>
  <w:num w:numId="39">
    <w:abstractNumId w:val="1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68"/>
    <w:rsid w:val="000055E5"/>
    <w:rsid w:val="00007461"/>
    <w:rsid w:val="000079CC"/>
    <w:rsid w:val="00011A63"/>
    <w:rsid w:val="00035FB6"/>
    <w:rsid w:val="00046C24"/>
    <w:rsid w:val="000502AD"/>
    <w:rsid w:val="000765E9"/>
    <w:rsid w:val="00077FE5"/>
    <w:rsid w:val="000823AC"/>
    <w:rsid w:val="00092F5C"/>
    <w:rsid w:val="0009648F"/>
    <w:rsid w:val="000A049E"/>
    <w:rsid w:val="000A2E2D"/>
    <w:rsid w:val="000B6914"/>
    <w:rsid w:val="000C09B4"/>
    <w:rsid w:val="000C4457"/>
    <w:rsid w:val="000D6DE5"/>
    <w:rsid w:val="000E2BEA"/>
    <w:rsid w:val="000F77FD"/>
    <w:rsid w:val="00105919"/>
    <w:rsid w:val="00106F9F"/>
    <w:rsid w:val="00151247"/>
    <w:rsid w:val="0015409F"/>
    <w:rsid w:val="00157815"/>
    <w:rsid w:val="001663A4"/>
    <w:rsid w:val="00167DA9"/>
    <w:rsid w:val="0017025C"/>
    <w:rsid w:val="00176076"/>
    <w:rsid w:val="00187C98"/>
    <w:rsid w:val="00191D9D"/>
    <w:rsid w:val="001956C7"/>
    <w:rsid w:val="001A2C02"/>
    <w:rsid w:val="001A4D75"/>
    <w:rsid w:val="001B6FE3"/>
    <w:rsid w:val="001B721D"/>
    <w:rsid w:val="001D5B7A"/>
    <w:rsid w:val="001D760F"/>
    <w:rsid w:val="001F3524"/>
    <w:rsid w:val="001F60A6"/>
    <w:rsid w:val="00230A0E"/>
    <w:rsid w:val="002315A5"/>
    <w:rsid w:val="00232597"/>
    <w:rsid w:val="00240410"/>
    <w:rsid w:val="00252170"/>
    <w:rsid w:val="002547CF"/>
    <w:rsid w:val="0026303E"/>
    <w:rsid w:val="0026321D"/>
    <w:rsid w:val="002725C6"/>
    <w:rsid w:val="00280274"/>
    <w:rsid w:val="002A7E8D"/>
    <w:rsid w:val="002C4B80"/>
    <w:rsid w:val="002E3928"/>
    <w:rsid w:val="002F279A"/>
    <w:rsid w:val="002F7E65"/>
    <w:rsid w:val="00310DAA"/>
    <w:rsid w:val="003179FD"/>
    <w:rsid w:val="0032175A"/>
    <w:rsid w:val="00322235"/>
    <w:rsid w:val="00322DEA"/>
    <w:rsid w:val="0033643A"/>
    <w:rsid w:val="00346615"/>
    <w:rsid w:val="00354CB5"/>
    <w:rsid w:val="00357B0E"/>
    <w:rsid w:val="00360187"/>
    <w:rsid w:val="00363EC5"/>
    <w:rsid w:val="00364C8E"/>
    <w:rsid w:val="003659EF"/>
    <w:rsid w:val="00366AD1"/>
    <w:rsid w:val="0037523B"/>
    <w:rsid w:val="00380856"/>
    <w:rsid w:val="003833BB"/>
    <w:rsid w:val="00387EE7"/>
    <w:rsid w:val="003B037A"/>
    <w:rsid w:val="003B4059"/>
    <w:rsid w:val="003B422F"/>
    <w:rsid w:val="003D0752"/>
    <w:rsid w:val="003D0AD9"/>
    <w:rsid w:val="003D653B"/>
    <w:rsid w:val="003D7FA5"/>
    <w:rsid w:val="003E10C6"/>
    <w:rsid w:val="003F5933"/>
    <w:rsid w:val="004004FC"/>
    <w:rsid w:val="00404C62"/>
    <w:rsid w:val="00417008"/>
    <w:rsid w:val="00424E4F"/>
    <w:rsid w:val="004403C5"/>
    <w:rsid w:val="00447D73"/>
    <w:rsid w:val="00453FA6"/>
    <w:rsid w:val="00461D62"/>
    <w:rsid w:val="004B3911"/>
    <w:rsid w:val="004C4B9C"/>
    <w:rsid w:val="004C595C"/>
    <w:rsid w:val="004D3DBE"/>
    <w:rsid w:val="004E09DB"/>
    <w:rsid w:val="005144B6"/>
    <w:rsid w:val="00516AC8"/>
    <w:rsid w:val="00517955"/>
    <w:rsid w:val="00520E30"/>
    <w:rsid w:val="00530FDE"/>
    <w:rsid w:val="00532D25"/>
    <w:rsid w:val="00545B9A"/>
    <w:rsid w:val="005474ED"/>
    <w:rsid w:val="00561471"/>
    <w:rsid w:val="0056399D"/>
    <w:rsid w:val="00575B82"/>
    <w:rsid w:val="00576472"/>
    <w:rsid w:val="005A3F69"/>
    <w:rsid w:val="005A7B65"/>
    <w:rsid w:val="005C6168"/>
    <w:rsid w:val="005E0C05"/>
    <w:rsid w:val="005F1BD3"/>
    <w:rsid w:val="005F2E08"/>
    <w:rsid w:val="005F6261"/>
    <w:rsid w:val="00612159"/>
    <w:rsid w:val="00635929"/>
    <w:rsid w:val="00645D3B"/>
    <w:rsid w:val="0064623F"/>
    <w:rsid w:val="0064746F"/>
    <w:rsid w:val="006527DB"/>
    <w:rsid w:val="006710DF"/>
    <w:rsid w:val="00673710"/>
    <w:rsid w:val="00674B1A"/>
    <w:rsid w:val="006900FE"/>
    <w:rsid w:val="006A4AA5"/>
    <w:rsid w:val="006A58E9"/>
    <w:rsid w:val="006B3222"/>
    <w:rsid w:val="006C651F"/>
    <w:rsid w:val="006F24FB"/>
    <w:rsid w:val="006F2560"/>
    <w:rsid w:val="006F2F9A"/>
    <w:rsid w:val="006F4C53"/>
    <w:rsid w:val="006F5846"/>
    <w:rsid w:val="00700521"/>
    <w:rsid w:val="00711B6B"/>
    <w:rsid w:val="007165B2"/>
    <w:rsid w:val="00733D39"/>
    <w:rsid w:val="00760E32"/>
    <w:rsid w:val="00763E7F"/>
    <w:rsid w:val="00764E41"/>
    <w:rsid w:val="00765120"/>
    <w:rsid w:val="00770E43"/>
    <w:rsid w:val="00771515"/>
    <w:rsid w:val="007752F4"/>
    <w:rsid w:val="00776056"/>
    <w:rsid w:val="007813C4"/>
    <w:rsid w:val="00787B31"/>
    <w:rsid w:val="00790C12"/>
    <w:rsid w:val="007A04EF"/>
    <w:rsid w:val="007A15B6"/>
    <w:rsid w:val="007B446C"/>
    <w:rsid w:val="007C1B15"/>
    <w:rsid w:val="007D2225"/>
    <w:rsid w:val="007D2BBE"/>
    <w:rsid w:val="007E1663"/>
    <w:rsid w:val="007E23FD"/>
    <w:rsid w:val="007E6CE3"/>
    <w:rsid w:val="008018C5"/>
    <w:rsid w:val="00813F1E"/>
    <w:rsid w:val="0081403B"/>
    <w:rsid w:val="00822C8B"/>
    <w:rsid w:val="00825B0B"/>
    <w:rsid w:val="00837C4B"/>
    <w:rsid w:val="00842737"/>
    <w:rsid w:val="00842B92"/>
    <w:rsid w:val="00843006"/>
    <w:rsid w:val="008440D9"/>
    <w:rsid w:val="00845340"/>
    <w:rsid w:val="00852B3C"/>
    <w:rsid w:val="00867AAC"/>
    <w:rsid w:val="00882ECA"/>
    <w:rsid w:val="008873ED"/>
    <w:rsid w:val="0089573E"/>
    <w:rsid w:val="008B06DD"/>
    <w:rsid w:val="008B0D81"/>
    <w:rsid w:val="008B6830"/>
    <w:rsid w:val="008B6DB2"/>
    <w:rsid w:val="008D4556"/>
    <w:rsid w:val="008D77EB"/>
    <w:rsid w:val="008D791F"/>
    <w:rsid w:val="008E492B"/>
    <w:rsid w:val="008F0A97"/>
    <w:rsid w:val="00920DBC"/>
    <w:rsid w:val="009273B3"/>
    <w:rsid w:val="00934A6B"/>
    <w:rsid w:val="009353D7"/>
    <w:rsid w:val="00942B3B"/>
    <w:rsid w:val="0094693B"/>
    <w:rsid w:val="00962A8F"/>
    <w:rsid w:val="0097197E"/>
    <w:rsid w:val="00975566"/>
    <w:rsid w:val="00990CED"/>
    <w:rsid w:val="009B76A1"/>
    <w:rsid w:val="009E159B"/>
    <w:rsid w:val="009E7526"/>
    <w:rsid w:val="009F07B8"/>
    <w:rsid w:val="009F21FD"/>
    <w:rsid w:val="00A0001A"/>
    <w:rsid w:val="00A03C0E"/>
    <w:rsid w:val="00A07739"/>
    <w:rsid w:val="00A1786A"/>
    <w:rsid w:val="00A210CD"/>
    <w:rsid w:val="00A30EBB"/>
    <w:rsid w:val="00A335C0"/>
    <w:rsid w:val="00A40130"/>
    <w:rsid w:val="00A44F24"/>
    <w:rsid w:val="00A45528"/>
    <w:rsid w:val="00A5258A"/>
    <w:rsid w:val="00A57912"/>
    <w:rsid w:val="00A73071"/>
    <w:rsid w:val="00A74149"/>
    <w:rsid w:val="00A761A8"/>
    <w:rsid w:val="00A85E34"/>
    <w:rsid w:val="00A86E34"/>
    <w:rsid w:val="00AA51E9"/>
    <w:rsid w:val="00AF17F3"/>
    <w:rsid w:val="00AF35B4"/>
    <w:rsid w:val="00AF4ACA"/>
    <w:rsid w:val="00B00E5C"/>
    <w:rsid w:val="00B04F6F"/>
    <w:rsid w:val="00B053BE"/>
    <w:rsid w:val="00B2050D"/>
    <w:rsid w:val="00B25B8C"/>
    <w:rsid w:val="00B32ADA"/>
    <w:rsid w:val="00B42A1B"/>
    <w:rsid w:val="00B64ACA"/>
    <w:rsid w:val="00B70C40"/>
    <w:rsid w:val="00B82BC5"/>
    <w:rsid w:val="00B91AFD"/>
    <w:rsid w:val="00BA0CCD"/>
    <w:rsid w:val="00BA26AD"/>
    <w:rsid w:val="00BC38E0"/>
    <w:rsid w:val="00BD09CE"/>
    <w:rsid w:val="00BE1C37"/>
    <w:rsid w:val="00BE2925"/>
    <w:rsid w:val="00BE6042"/>
    <w:rsid w:val="00C0165A"/>
    <w:rsid w:val="00C40DAF"/>
    <w:rsid w:val="00C426B0"/>
    <w:rsid w:val="00C5019B"/>
    <w:rsid w:val="00C648DA"/>
    <w:rsid w:val="00C66DE1"/>
    <w:rsid w:val="00C7539A"/>
    <w:rsid w:val="00C95D29"/>
    <w:rsid w:val="00C97E31"/>
    <w:rsid w:val="00CB4203"/>
    <w:rsid w:val="00CB647D"/>
    <w:rsid w:val="00CD539D"/>
    <w:rsid w:val="00CF24BA"/>
    <w:rsid w:val="00CF4977"/>
    <w:rsid w:val="00CF4E87"/>
    <w:rsid w:val="00CF57CD"/>
    <w:rsid w:val="00D10D5F"/>
    <w:rsid w:val="00D14342"/>
    <w:rsid w:val="00D16577"/>
    <w:rsid w:val="00D26B13"/>
    <w:rsid w:val="00D30BE3"/>
    <w:rsid w:val="00D404DA"/>
    <w:rsid w:val="00D40E6F"/>
    <w:rsid w:val="00D42B3A"/>
    <w:rsid w:val="00D57349"/>
    <w:rsid w:val="00D67552"/>
    <w:rsid w:val="00D72761"/>
    <w:rsid w:val="00D76EEE"/>
    <w:rsid w:val="00D775B5"/>
    <w:rsid w:val="00D80A4F"/>
    <w:rsid w:val="00D86255"/>
    <w:rsid w:val="00D90423"/>
    <w:rsid w:val="00D9192E"/>
    <w:rsid w:val="00DC4D86"/>
    <w:rsid w:val="00DC6E97"/>
    <w:rsid w:val="00DC7354"/>
    <w:rsid w:val="00DD4368"/>
    <w:rsid w:val="00DD44A1"/>
    <w:rsid w:val="00DF0357"/>
    <w:rsid w:val="00DF0A19"/>
    <w:rsid w:val="00E06A4E"/>
    <w:rsid w:val="00E07EFD"/>
    <w:rsid w:val="00E133C9"/>
    <w:rsid w:val="00E1547F"/>
    <w:rsid w:val="00E203AA"/>
    <w:rsid w:val="00E31BB3"/>
    <w:rsid w:val="00E32ACA"/>
    <w:rsid w:val="00E37E7A"/>
    <w:rsid w:val="00E671EB"/>
    <w:rsid w:val="00E770DC"/>
    <w:rsid w:val="00E77E89"/>
    <w:rsid w:val="00E836B5"/>
    <w:rsid w:val="00E93F87"/>
    <w:rsid w:val="00EA75C6"/>
    <w:rsid w:val="00EA7740"/>
    <w:rsid w:val="00EB276F"/>
    <w:rsid w:val="00EC68F4"/>
    <w:rsid w:val="00EC7BBC"/>
    <w:rsid w:val="00ED0C4F"/>
    <w:rsid w:val="00EE1D60"/>
    <w:rsid w:val="00EF6A48"/>
    <w:rsid w:val="00F01FDE"/>
    <w:rsid w:val="00F05F1F"/>
    <w:rsid w:val="00F16195"/>
    <w:rsid w:val="00F17816"/>
    <w:rsid w:val="00F31949"/>
    <w:rsid w:val="00F37FA7"/>
    <w:rsid w:val="00F40F44"/>
    <w:rsid w:val="00F44BF6"/>
    <w:rsid w:val="00F4575E"/>
    <w:rsid w:val="00F64213"/>
    <w:rsid w:val="00F826EC"/>
    <w:rsid w:val="00F84FD4"/>
    <w:rsid w:val="00F869BA"/>
    <w:rsid w:val="00F92CF3"/>
    <w:rsid w:val="00FB2C4C"/>
    <w:rsid w:val="00FB3DB2"/>
    <w:rsid w:val="00FB3E13"/>
    <w:rsid w:val="00FD6C51"/>
    <w:rsid w:val="00FE3711"/>
    <w:rsid w:val="00FE6B3A"/>
    <w:rsid w:val="00FF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D259F5-0E5E-4B32-9AA8-19344A80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C4"/>
    <w:pPr>
      <w:widowControl w:val="0"/>
    </w:pPr>
    <w:rPr>
      <w:sz w:val="24"/>
    </w:rPr>
  </w:style>
  <w:style w:type="paragraph" w:styleId="Heading1">
    <w:name w:val="heading 1"/>
    <w:basedOn w:val="Normal"/>
    <w:next w:val="Normal"/>
    <w:link w:val="Heading1Char"/>
    <w:qFormat/>
    <w:rsid w:val="00DC73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FF5BC4"/>
    <w:pPr>
      <w:keepNext/>
      <w:shd w:val="pct15" w:color="auto" w:fill="FFFFFF"/>
      <w:jc w:val="center"/>
      <w:outlineLvl w:val="2"/>
    </w:pPr>
    <w:rPr>
      <w:rFonts w:ascii="Arial" w:hAnsi="Arial"/>
      <w:bCs/>
    </w:rPr>
  </w:style>
  <w:style w:type="paragraph" w:styleId="Heading4">
    <w:name w:val="heading 4"/>
    <w:basedOn w:val="Normal"/>
    <w:next w:val="Normal"/>
    <w:qFormat/>
    <w:rsid w:val="00FF5BC4"/>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5BC4"/>
    <w:pPr>
      <w:widowControl/>
    </w:pPr>
    <w:rPr>
      <w:rFonts w:ascii="Univers" w:hAnsi="Univers"/>
      <w:sz w:val="22"/>
    </w:rPr>
  </w:style>
  <w:style w:type="paragraph" w:styleId="BodyText2">
    <w:name w:val="Body Text 2"/>
    <w:basedOn w:val="Normal"/>
    <w:rsid w:val="00FF5BC4"/>
    <w:pPr>
      <w:widowControl/>
    </w:pPr>
    <w:rPr>
      <w:rFonts w:ascii="Arial" w:hAnsi="Arial"/>
      <w:sz w:val="20"/>
    </w:rPr>
  </w:style>
  <w:style w:type="paragraph" w:styleId="BodyText3">
    <w:name w:val="Body Text 3"/>
    <w:basedOn w:val="Normal"/>
    <w:rsid w:val="00FF5BC4"/>
    <w:pPr>
      <w:jc w:val="both"/>
    </w:pPr>
    <w:rPr>
      <w:szCs w:val="24"/>
    </w:rPr>
  </w:style>
  <w:style w:type="paragraph" w:styleId="Header">
    <w:name w:val="header"/>
    <w:basedOn w:val="Normal"/>
    <w:rsid w:val="00FF5BC4"/>
    <w:pPr>
      <w:tabs>
        <w:tab w:val="center" w:pos="4320"/>
        <w:tab w:val="right" w:pos="8640"/>
      </w:tabs>
    </w:pPr>
  </w:style>
  <w:style w:type="paragraph" w:styleId="Footer">
    <w:name w:val="footer"/>
    <w:basedOn w:val="Normal"/>
    <w:link w:val="FooterChar"/>
    <w:uiPriority w:val="99"/>
    <w:rsid w:val="00FF5BC4"/>
    <w:pPr>
      <w:tabs>
        <w:tab w:val="center" w:pos="4320"/>
        <w:tab w:val="right" w:pos="8640"/>
      </w:tabs>
    </w:pPr>
  </w:style>
  <w:style w:type="table" w:styleId="TableGrid">
    <w:name w:val="Table Grid"/>
    <w:basedOn w:val="TableNormal"/>
    <w:rsid w:val="008018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C7354"/>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A210CD"/>
    <w:rPr>
      <w:sz w:val="24"/>
    </w:rPr>
  </w:style>
  <w:style w:type="paragraph" w:styleId="FootnoteText">
    <w:name w:val="footnote text"/>
    <w:basedOn w:val="Normal"/>
    <w:link w:val="FootnoteTextChar"/>
    <w:rsid w:val="001F3524"/>
    <w:rPr>
      <w:sz w:val="20"/>
    </w:rPr>
  </w:style>
  <w:style w:type="character" w:customStyle="1" w:styleId="FootnoteTextChar">
    <w:name w:val="Footnote Text Char"/>
    <w:basedOn w:val="DefaultParagraphFont"/>
    <w:link w:val="FootnoteText"/>
    <w:rsid w:val="001F3524"/>
  </w:style>
  <w:style w:type="character" w:styleId="FootnoteReference">
    <w:name w:val="footnote reference"/>
    <w:basedOn w:val="DefaultParagraphFont"/>
    <w:rsid w:val="001F3524"/>
    <w:rPr>
      <w:vertAlign w:val="superscript"/>
    </w:rPr>
  </w:style>
  <w:style w:type="paragraph" w:styleId="ListParagraph">
    <w:name w:val="List Paragraph"/>
    <w:aliases w:val="List Paragraph (numbered (a)),List Paragraph1,WB Para,List Square"/>
    <w:basedOn w:val="Normal"/>
    <w:link w:val="ListParagraphChar"/>
    <w:uiPriority w:val="34"/>
    <w:qFormat/>
    <w:rsid w:val="0089573E"/>
    <w:pPr>
      <w:widowControl/>
      <w:ind w:left="720"/>
    </w:pPr>
    <w:rPr>
      <w:sz w:val="20"/>
    </w:rPr>
  </w:style>
  <w:style w:type="character" w:customStyle="1" w:styleId="ListParagraphChar">
    <w:name w:val="List Paragraph Char"/>
    <w:aliases w:val="List Paragraph (numbered (a)) Char,List Paragraph1 Char,WB Para Char,List Square Char"/>
    <w:link w:val="ListParagraph"/>
    <w:uiPriority w:val="34"/>
    <w:locked/>
    <w:rsid w:val="0089573E"/>
  </w:style>
  <w:style w:type="character" w:customStyle="1" w:styleId="roarquestion">
    <w:name w:val="roar_question"/>
    <w:basedOn w:val="DefaultParagraphFont"/>
    <w:rsid w:val="00FB3E13"/>
  </w:style>
  <w:style w:type="character" w:styleId="Hyperlink">
    <w:name w:val="Hyperlink"/>
    <w:basedOn w:val="DefaultParagraphFont"/>
    <w:unhideWhenUsed/>
    <w:rsid w:val="00733D39"/>
    <w:rPr>
      <w:color w:val="0000FF" w:themeColor="hyperlink"/>
      <w:u w:val="single"/>
    </w:rPr>
  </w:style>
  <w:style w:type="paragraph" w:customStyle="1" w:styleId="Default">
    <w:name w:val="Default"/>
    <w:rsid w:val="00733D39"/>
    <w:pPr>
      <w:autoSpaceDE w:val="0"/>
      <w:autoSpaceDN w:val="0"/>
      <w:adjustRightInd w:val="0"/>
    </w:pPr>
    <w:rPr>
      <w:rFonts w:eastAsia="Calibri"/>
      <w:color w:val="000000"/>
      <w:sz w:val="24"/>
      <w:szCs w:val="24"/>
      <w:lang w:val="ru-RU"/>
    </w:rPr>
  </w:style>
  <w:style w:type="paragraph" w:styleId="NoSpacing">
    <w:name w:val="No Spacing"/>
    <w:uiPriority w:val="1"/>
    <w:qFormat/>
    <w:rsid w:val="00733D39"/>
    <w:rPr>
      <w:rFonts w:ascii="Calibri" w:eastAsia="Calibri" w:hAnsi="Calibri"/>
      <w:sz w:val="22"/>
      <w:szCs w:val="22"/>
    </w:rPr>
  </w:style>
  <w:style w:type="paragraph" w:styleId="BalloonText">
    <w:name w:val="Balloon Text"/>
    <w:basedOn w:val="Normal"/>
    <w:link w:val="BalloonTextChar"/>
    <w:semiHidden/>
    <w:unhideWhenUsed/>
    <w:rsid w:val="001B6FE3"/>
    <w:rPr>
      <w:rFonts w:ascii="Segoe UI" w:hAnsi="Segoe UI" w:cs="Segoe UI"/>
      <w:sz w:val="18"/>
      <w:szCs w:val="18"/>
    </w:rPr>
  </w:style>
  <w:style w:type="character" w:customStyle="1" w:styleId="BalloonTextChar">
    <w:name w:val="Balloon Text Char"/>
    <w:basedOn w:val="DefaultParagraphFont"/>
    <w:link w:val="BalloonText"/>
    <w:semiHidden/>
    <w:rsid w:val="001B6F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033388">
      <w:bodyDiv w:val="1"/>
      <w:marLeft w:val="0"/>
      <w:marRight w:val="0"/>
      <w:marTop w:val="0"/>
      <w:marBottom w:val="0"/>
      <w:divBdr>
        <w:top w:val="none" w:sz="0" w:space="0" w:color="auto"/>
        <w:left w:val="none" w:sz="0" w:space="0" w:color="auto"/>
        <w:bottom w:val="none" w:sz="0" w:space="0" w:color="auto"/>
        <w:right w:val="none" w:sz="0" w:space="0" w:color="auto"/>
      </w:divBdr>
      <w:divsChild>
        <w:div w:id="1873882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multimedia.org/radio/russian/archives/11796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amu.kz/273"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adilet.zan.kz/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PlannedReviewDate xmlns="83ed2304-0f0e-45ba-b0cc-7d360cbc1769"/>
    <UNDPEffectiveDate xmlns="83ed2304-0f0e-45ba-b0cc-7d360cbc1769"/>
    <UNDPResponsibleUnit xmlns="83ed2304-0f0e-45ba-b0cc-7d360cbc1769"/>
    <UNDPCreator xmlns="83ed2304-0f0e-45ba-b0cc-7d360cbc1769">
      <UserInfo>
        <DisplayName/>
        <AccountId/>
        <AccountType/>
      </UserInfo>
    </UNDPCreator>
    <UNDPApplicability xmlns="83ed2304-0f0e-45ba-b0cc-7d360cbc1769"/>
    <UNDPActualReviewDate xmlns="83ed2304-0f0e-45ba-b0cc-7d360cbc1769" xsi:nil="true"/>
    <UNDPPOPPFunctionalArea xmlns="83ed2304-0f0e-45ba-b0cc-7d360cbc1769">Programme and Project</UNDPPOPPFunctionalArea>
    <UNDPPOPPSubprocess xmlns="83ed2304-0f0e-45ba-b0cc-7d360cbc1769">Programme Completion and Transition</UNDPPOPPSubprocess>
    <UNDPPublishedDate xmlns="83ed2304-0f0e-45ba-b0cc-7d360cbc1769"/>
    <UNDPPOPPProcess xmlns="83ed2304-0f0e-45ba-b0cc-7d360cbc1769">Programme Management</UNDPPOPPProcess>
    <UNDPPOPPSubsubprocess xmlns="83ed2304-0f0e-45ba-b0cc-7d360cbc1769" xsi:nil="true"/>
    <UNDPIssuanceDate xmlns="83ed2304-0f0e-45ba-b0cc-7d360cbc1769"/>
    <UNDPSummary xmlns="83ed2304-0f0e-45ba-b0cc-7d360cbc1769" xsi:nil="true"/>
    <UNDPFocalpoint xmlns="83ed2304-0f0e-45ba-b0cc-7d360cbc1769">
      <UserInfo>
        <DisplayName/>
        <AccountId/>
        <AccountType/>
      </UserInfo>
    </UNDPFocalpoint>
    <UNDPPOPPKeywordsTaxHTField0 xmlns="83ed2304-0f0e-45ba-b0cc-7d360cbc1769">
      <Terms xmlns="http://schemas.microsoft.com/office/infopath/2007/PartnerControls"/>
    </UNDPPOPPKeywordsTaxHTField0>
    <UNDPPOPPSubsubsubprocess xmlns="83ed2304-0f0e-45ba-b0cc-7d360cbc1769" xsi:nil="true"/>
    <UNDPPOPPPrescriptiveContentSelection xmlns="83ed2304-0f0e-45ba-b0cc-7d360cbc1769"/>
  </documentManagement>
</p:properties>
</file>

<file path=customXml/item2.xml><?xml version="1.0" encoding="utf-8"?>
<ct:contentTypeSchema xmlns:ct="http://schemas.microsoft.com/office/2006/metadata/contentType" xmlns:ma="http://schemas.microsoft.com/office/2006/metadata/properties/metaAttributes" ct:_="" ma:_="" ma:contentTypeName="POPP Deliverable" ma:contentTypeID="0x01010023A92725C93E4830A7421C44D384B7FC00AA2C51EDC20547BE9D8059E930612AF900BB1DAF2B020D674E95D024E21C9B8446" ma:contentTypeVersion="271" ma:contentTypeDescription="Create a new POPP Deliverable document" ma:contentTypeScope="" ma:versionID="8f51a9bb55ccdb67ad49e9de7ce83471">
  <xsd:schema xmlns:xsd="http://www.w3.org/2001/XMLSchema" xmlns:xs="http://www.w3.org/2001/XMLSchema" xmlns:p="http://schemas.microsoft.com/office/2006/metadata/properties" xmlns:ns2="83ed2304-0f0e-45ba-b0cc-7d360cbc1769" targetNamespace="http://schemas.microsoft.com/office/2006/metadata/properties" ma:root="true" ma:fieldsID="d37ea4175c3e3aa15f908f44740efddf" ns2:_="">
    <xsd:import namespace="83ed2304-0f0e-45ba-b0cc-7d360cbc1769"/>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OPPKeywordsTaxHTField0" minOccurs="0"/>
                <xsd:element ref="ns2:UNDPFocalpoint"/>
                <xsd:element ref="ns2:UNDPPublishedDate"/>
                <xsd:element ref="ns2:UNDPEffectiveDate"/>
                <xsd:element ref="ns2:UNDPResponsibleUnit"/>
                <xsd:element ref="ns2:UNDPCreator"/>
                <xsd:element ref="ns2:UNDPIssuanceDate"/>
                <xsd:element ref="ns2:UNDPPlannedReviewDate"/>
                <xsd:element ref="ns2:UNDPActualReviewDate" minOccurs="0"/>
                <xsd:element ref="ns2:UNDPSummary" minOccurs="0"/>
                <xsd:element ref="ns2:UNDPApplicabil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ma:readOnly="false">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dexed="true"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OPPKeywordsTaxHTField0" ma:index="15"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Focalpoint" ma:index="16" ma:displayName="Focalpoint" ma:SearchPeopleOnly="false" ma:SharePointGroup="0" ma:internalName="Focalpoin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PPublishedDate" ma:index="17" ma:displayName="Published Date" ma:description="The date the document was published" ma:format="DateOnly" ma:internalName="UNDPPublishedDate">
      <xsd:simpleType>
        <xsd:restriction base="dms:DateTime"/>
      </xsd:simpleType>
    </xsd:element>
    <xsd:element name="UNDPEffectiveDate" ma:index="18" ma:displayName="Effective Date" ma:format="DateOnly" ma:internalName="UNDPEffectiveDate">
      <xsd:simpleType>
        <xsd:restriction base="dms:DateTime"/>
      </xsd:simpleType>
    </xsd:element>
    <xsd:element name="UNDPResponsibleUnit" ma:index="19" ma:displayName="Responsible Unit" ma:internalName="UNDPResponsibleUnit">
      <xsd:simpleType>
        <xsd:restriction base="dms:Text"/>
      </xsd:simpleType>
    </xsd:element>
    <xsd:element name="UNDPCreator" ma:index="20"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PIssuanceDate" ma:index="21" ma:displayName="Approval Date" ma:format="DateOnly" ma:internalName="UNDPIssuanceDate">
      <xsd:simpleType>
        <xsd:restriction base="dms:DateTime"/>
      </xsd:simpleType>
    </xsd:element>
    <xsd:element name="UNDPPlannedReviewDate" ma:index="22" ma:displayName="Planned Review Date" ma:format="DateOnly" ma:internalName="UNDPPlannedReviewDate">
      <xsd:simpleType>
        <xsd:restriction base="dms:DateTime"/>
      </xsd:simpleType>
    </xsd:element>
    <xsd:element name="UNDPActualReviewDate" ma:index="23" nillable="true" ma:displayName="Actual Review Date" ma:format="DateOnly" ma:internalName="UNDPActualReviewDate">
      <xsd:simpleType>
        <xsd:restriction base="dms:DateTime"/>
      </xsd:simpleType>
    </xsd:element>
    <xsd:element name="UNDPSummary" ma:index="24"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5" ma:displayName="Applicability" ma:internalName="UNDPApplicabilit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23A92725C93E4830A7421C44D384B7FC00AA2C51EDC20547BE9D8059E930612AF9"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F30E3-F037-4347-A061-0F786D120BC7}">
  <ds:schemaRefs>
    <ds:schemaRef ds:uri="http://schemas.microsoft.com/office/2006/metadata/properties"/>
    <ds:schemaRef ds:uri="http://schemas.microsoft.com/office/infopath/2007/PartnerControls"/>
    <ds:schemaRef ds:uri="83ed2304-0f0e-45ba-b0cc-7d360cbc1769"/>
  </ds:schemaRefs>
</ds:datastoreItem>
</file>

<file path=customXml/itemProps2.xml><?xml version="1.0" encoding="utf-8"?>
<ds:datastoreItem xmlns:ds="http://schemas.openxmlformats.org/officeDocument/2006/customXml" ds:itemID="{0D982BBA-3E97-4EE8-9D3B-0DAE4F36B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BF1EB-6965-48EE-990A-C332F8C77939}">
  <ds:schemaRefs>
    <ds:schemaRef ds:uri="Microsoft.SharePoint.Taxonomy.ContentTypeSync"/>
  </ds:schemaRefs>
</ds:datastoreItem>
</file>

<file path=customXml/itemProps4.xml><?xml version="1.0" encoding="utf-8"?>
<ds:datastoreItem xmlns:ds="http://schemas.openxmlformats.org/officeDocument/2006/customXml" ds:itemID="{780500B2-D380-49CC-890B-C8F8A14A95BC}">
  <ds:schemaRefs>
    <ds:schemaRef ds:uri="http://schemas.microsoft.com/sharepoint/events"/>
  </ds:schemaRefs>
</ds:datastoreItem>
</file>

<file path=customXml/itemProps5.xml><?xml version="1.0" encoding="utf-8"?>
<ds:datastoreItem xmlns:ds="http://schemas.openxmlformats.org/officeDocument/2006/customXml" ds:itemID="{05E776AA-53A5-40ED-AB02-F651111B29B6}">
  <ds:schemaRefs>
    <ds:schemaRef ds:uri="http://schemas.microsoft.com/sharepoint/v3/contenttype/forms"/>
  </ds:schemaRefs>
</ds:datastoreItem>
</file>

<file path=customXml/itemProps6.xml><?xml version="1.0" encoding="utf-8"?>
<ds:datastoreItem xmlns:ds="http://schemas.openxmlformats.org/officeDocument/2006/customXml" ds:itemID="{366F7F8B-462D-4E7D-B29A-A5B92C4D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4937</Words>
  <Characters>28142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CP results summary</vt:lpstr>
    </vt:vector>
  </TitlesOfParts>
  <Company>UNDP</Company>
  <LinksUpToDate>false</LinksUpToDate>
  <CharactersWithSpaces>33013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results summary</dc:title>
  <dc:creator>DGO</dc:creator>
  <cp:lastModifiedBy>Svetlana Iazykova</cp:lastModifiedBy>
  <cp:revision>2</cp:revision>
  <cp:lastPrinted>2008-06-06T15:39:00Z</cp:lastPrinted>
  <dcterms:created xsi:type="dcterms:W3CDTF">2015-05-12T14:48:00Z</dcterms:created>
  <dcterms:modified xsi:type="dcterms:W3CDTF">2015-05-12T14:48:00Z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0x01010023A92725C93E4830A7421C44D384B7FC00AA2C51EDC20547BE9D8059E930612AF900BB1DAF2B020D674E95D024E21C9B8446</vt:lpwstr>
  </property>
  <property fmtid="{D5CDD505-2E9C-101B-9397-08002B2CF9AE}" pid="3" name="_dlc_DocIdItemGuid">
    <vt:lpwstr>d1e13303-6ece-4102-9f8f-5a459fba30ed</vt:lpwstr>
  </property>
  <property fmtid="{D5CDD505-2E9C-101B-9397-08002B2CF9AE}" pid="4" name="UNDPPOPPKeywords">
    <vt:lpwstr/>
  </property>
  <property fmtid="{D5CDD505-2E9C-101B-9397-08002B2CF9AE}" pid="5" name="TaxCatchAll">
    <vt:lpwstr/>
  </property>
  <property fmtid="{D5CDD505-2E9C-101B-9397-08002B2CF9AE}" pid="6" name="UNDPAuthor">
    <vt:lpwstr/>
  </property>
  <property fmtid="{D5CDD505-2E9C-101B-9397-08002B2CF9AE}" pid="7" name="Order">
    <vt:r8>9200</vt:r8>
  </property>
  <property fmtid="{D5CDD505-2E9C-101B-9397-08002B2CF9AE}" pid="8" name="_dlc_DocId">
    <vt:lpwstr>UNDPGBL-229-92</vt:lpwstr>
  </property>
  <property fmtid="{D5CDD505-2E9C-101B-9397-08002B2CF9AE}" pid="9" name="_dlc_DocIdUrl">
    <vt:lpwstr>https://intranet.undp.org/global/documents/_layouts/DocIdRedir.aspx?ID=UNDPGBL-229-92, UNDPGBL-229-92</vt:lpwstr>
  </property>
</Properties>
</file>