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97" w:rsidRPr="00982F09" w:rsidRDefault="008C3791" w:rsidP="00125F97">
      <w:pPr>
        <w:rPr>
          <w:rFonts w:ascii="Times" w:hAnsi="Times"/>
          <w:b/>
          <w:i/>
          <w:sz w:val="24"/>
        </w:rPr>
      </w:pPr>
      <w:r>
        <w:rPr>
          <w:rFonts w:ascii="Times" w:hAnsi="Times"/>
          <w:b/>
          <w:bCs/>
          <w:sz w:val="24"/>
          <w:lang w:bidi="en-US"/>
        </w:rPr>
        <w:t>APPENDIX</w:t>
      </w:r>
      <w:r w:rsidR="00125F97" w:rsidRPr="009F0FBC">
        <w:rPr>
          <w:rFonts w:ascii="Times" w:hAnsi="Times"/>
          <w:b/>
          <w:bCs/>
          <w:sz w:val="24"/>
          <w:lang w:bidi="en-US"/>
        </w:rPr>
        <w:t>:</w:t>
      </w:r>
      <w:r w:rsidR="00125F97" w:rsidRPr="009F0FBC">
        <w:rPr>
          <w:rFonts w:ascii="Times" w:hAnsi="Times"/>
          <w:b/>
          <w:sz w:val="24"/>
          <w:lang w:bidi="en-US"/>
        </w:rPr>
        <w:t xml:space="preserve"> </w:t>
      </w:r>
      <w:r w:rsidR="00125F97" w:rsidRPr="009F0FBC">
        <w:rPr>
          <w:rFonts w:ascii="Times" w:hAnsi="Times"/>
          <w:b/>
          <w:bCs/>
          <w:sz w:val="24"/>
          <w:lang w:bidi="en-US"/>
        </w:rPr>
        <w:t>EVALUATION PLAN WITH COSTS DETAILS</w:t>
      </w:r>
    </w:p>
    <w:p w:rsidR="00125F97" w:rsidRDefault="00125F97" w:rsidP="00125F97">
      <w:pPr>
        <w:rPr>
          <w:rFonts w:ascii="Times" w:hAnsi="Times"/>
        </w:rPr>
      </w:pPr>
    </w:p>
    <w:tbl>
      <w:tblPr>
        <w:tblpPr w:leftFromText="180" w:rightFromText="180" w:vertAnchor="text" w:horzAnchor="margin" w:tblpXSpec="center" w:tblpY="143"/>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2371"/>
        <w:gridCol w:w="1804"/>
        <w:gridCol w:w="1526"/>
        <w:gridCol w:w="1250"/>
        <w:gridCol w:w="1111"/>
        <w:gridCol w:w="972"/>
        <w:gridCol w:w="1031"/>
        <w:gridCol w:w="1059"/>
      </w:tblGrid>
      <w:tr w:rsidR="00125F97" w:rsidRPr="0006166F" w:rsidTr="00DF1422">
        <w:trPr>
          <w:trHeight w:val="703"/>
        </w:trPr>
        <w:tc>
          <w:tcPr>
            <w:tcW w:w="684" w:type="pct"/>
            <w:tcBorders>
              <w:top w:val="single" w:sz="4" w:space="0" w:color="auto"/>
              <w:left w:val="single" w:sz="4" w:space="0" w:color="auto"/>
              <w:bottom w:val="single" w:sz="4" w:space="0" w:color="auto"/>
              <w:right w:val="single" w:sz="4" w:space="0" w:color="auto"/>
            </w:tcBorders>
            <w:shd w:val="clear" w:color="auto" w:fill="B4C6E7"/>
            <w:vAlign w:val="center"/>
          </w:tcPr>
          <w:p w:rsidR="00125F97" w:rsidRPr="0006166F" w:rsidRDefault="00125F97" w:rsidP="00DF1422">
            <w:pPr>
              <w:rPr>
                <w:b/>
                <w:bCs/>
                <w:sz w:val="16"/>
                <w:szCs w:val="16"/>
              </w:rPr>
            </w:pPr>
            <w:r w:rsidRPr="0006166F">
              <w:rPr>
                <w:b/>
                <w:bCs/>
                <w:sz w:val="16"/>
                <w:szCs w:val="16"/>
                <w:lang w:bidi="en-US"/>
              </w:rPr>
              <w:t xml:space="preserve">UNDAF Effect (or equivalent) </w:t>
            </w:r>
          </w:p>
        </w:tc>
        <w:tc>
          <w:tcPr>
            <w:tcW w:w="920" w:type="pct"/>
            <w:tcBorders>
              <w:top w:val="single" w:sz="4" w:space="0" w:color="auto"/>
              <w:left w:val="single" w:sz="4" w:space="0" w:color="auto"/>
              <w:bottom w:val="single" w:sz="4" w:space="0" w:color="auto"/>
              <w:right w:val="single" w:sz="4" w:space="0" w:color="auto"/>
            </w:tcBorders>
            <w:shd w:val="clear" w:color="auto" w:fill="B4C6E7"/>
            <w:vAlign w:val="center"/>
          </w:tcPr>
          <w:p w:rsidR="00125F97" w:rsidRPr="0006166F" w:rsidRDefault="00125F97" w:rsidP="00DF1422">
            <w:pPr>
              <w:rPr>
                <w:b/>
                <w:bCs/>
                <w:sz w:val="16"/>
                <w:szCs w:val="16"/>
              </w:rPr>
            </w:pPr>
            <w:r w:rsidRPr="0006166F">
              <w:rPr>
                <w:b/>
                <w:bCs/>
                <w:sz w:val="16"/>
                <w:szCs w:val="16"/>
                <w:lang w:bidi="en-US"/>
              </w:rPr>
              <w:t xml:space="preserve">Effect of the UNDP Strategic Plan </w:t>
            </w:r>
          </w:p>
        </w:tc>
        <w:tc>
          <w:tcPr>
            <w:tcW w:w="700" w:type="pct"/>
            <w:tcBorders>
              <w:top w:val="single" w:sz="4" w:space="0" w:color="auto"/>
              <w:left w:val="single" w:sz="4" w:space="0" w:color="auto"/>
              <w:bottom w:val="single" w:sz="4" w:space="0" w:color="auto"/>
              <w:right w:val="single" w:sz="4" w:space="0" w:color="auto"/>
            </w:tcBorders>
            <w:shd w:val="clear" w:color="auto" w:fill="B4C6E7"/>
            <w:vAlign w:val="center"/>
          </w:tcPr>
          <w:p w:rsidR="00125F97" w:rsidRPr="0006166F" w:rsidRDefault="00125F97" w:rsidP="00DF1422">
            <w:pPr>
              <w:rPr>
                <w:b/>
                <w:bCs/>
                <w:sz w:val="16"/>
                <w:szCs w:val="16"/>
              </w:rPr>
            </w:pPr>
            <w:r w:rsidRPr="0006166F">
              <w:rPr>
                <w:b/>
                <w:bCs/>
                <w:sz w:val="16"/>
                <w:szCs w:val="16"/>
                <w:lang w:bidi="en-US"/>
              </w:rPr>
              <w:t xml:space="preserve">Evaluation Titles </w:t>
            </w:r>
          </w:p>
        </w:tc>
        <w:tc>
          <w:tcPr>
            <w:tcW w:w="592" w:type="pct"/>
            <w:tcBorders>
              <w:top w:val="single" w:sz="4" w:space="0" w:color="auto"/>
              <w:left w:val="single" w:sz="4" w:space="0" w:color="auto"/>
              <w:bottom w:val="single" w:sz="4" w:space="0" w:color="auto"/>
              <w:right w:val="single" w:sz="4" w:space="0" w:color="auto"/>
            </w:tcBorders>
            <w:shd w:val="clear" w:color="auto" w:fill="B4C6E7"/>
            <w:vAlign w:val="center"/>
          </w:tcPr>
          <w:p w:rsidR="00125F97" w:rsidRPr="0006166F" w:rsidRDefault="00125F97" w:rsidP="00DF1422">
            <w:pPr>
              <w:rPr>
                <w:b/>
                <w:bCs/>
                <w:sz w:val="16"/>
                <w:szCs w:val="16"/>
              </w:rPr>
            </w:pPr>
            <w:r w:rsidRPr="0006166F">
              <w:rPr>
                <w:b/>
                <w:bCs/>
                <w:sz w:val="16"/>
                <w:szCs w:val="16"/>
                <w:lang w:bidi="en-US"/>
              </w:rPr>
              <w:t>Associates (Joint Evaluation)</w:t>
            </w:r>
          </w:p>
        </w:tc>
        <w:tc>
          <w:tcPr>
            <w:tcW w:w="485" w:type="pct"/>
            <w:tcBorders>
              <w:top w:val="single" w:sz="4" w:space="0" w:color="auto"/>
              <w:left w:val="single" w:sz="4" w:space="0" w:color="auto"/>
              <w:bottom w:val="single" w:sz="4" w:space="0" w:color="auto"/>
              <w:right w:val="single" w:sz="4" w:space="0" w:color="auto"/>
            </w:tcBorders>
            <w:shd w:val="clear" w:color="auto" w:fill="B4C6E7"/>
            <w:vAlign w:val="center"/>
          </w:tcPr>
          <w:p w:rsidR="00125F97" w:rsidRPr="0006166F" w:rsidRDefault="00125F97" w:rsidP="00DF1422">
            <w:pPr>
              <w:rPr>
                <w:b/>
                <w:bCs/>
                <w:sz w:val="16"/>
                <w:szCs w:val="16"/>
              </w:rPr>
            </w:pPr>
            <w:r w:rsidRPr="0006166F">
              <w:rPr>
                <w:b/>
                <w:bCs/>
                <w:sz w:val="16"/>
                <w:szCs w:val="16"/>
                <w:lang w:bidi="en-US"/>
              </w:rPr>
              <w:t>Evaluation Headed by (If Not the UNDP)</w:t>
            </w:r>
          </w:p>
        </w:tc>
        <w:tc>
          <w:tcPr>
            <w:tcW w:w="431" w:type="pct"/>
            <w:tcBorders>
              <w:top w:val="single" w:sz="4" w:space="0" w:color="auto"/>
              <w:left w:val="single" w:sz="4" w:space="0" w:color="auto"/>
              <w:bottom w:val="single" w:sz="4" w:space="0" w:color="auto"/>
              <w:right w:val="single" w:sz="4" w:space="0" w:color="auto"/>
            </w:tcBorders>
            <w:shd w:val="clear" w:color="auto" w:fill="B4C6E7"/>
            <w:vAlign w:val="center"/>
          </w:tcPr>
          <w:p w:rsidR="00125F97" w:rsidRPr="0006166F" w:rsidRDefault="00125F97" w:rsidP="00DF1422">
            <w:pPr>
              <w:rPr>
                <w:b/>
                <w:bCs/>
                <w:sz w:val="16"/>
                <w:szCs w:val="16"/>
              </w:rPr>
            </w:pPr>
            <w:r w:rsidRPr="0006166F">
              <w:rPr>
                <w:b/>
                <w:bCs/>
                <w:sz w:val="16"/>
                <w:szCs w:val="16"/>
                <w:lang w:bidi="en-US"/>
              </w:rPr>
              <w:t>Evaluation Type</w:t>
            </w:r>
          </w:p>
        </w:tc>
        <w:tc>
          <w:tcPr>
            <w:tcW w:w="377" w:type="pct"/>
            <w:tcBorders>
              <w:top w:val="single" w:sz="4" w:space="0" w:color="auto"/>
              <w:left w:val="single" w:sz="4" w:space="0" w:color="auto"/>
              <w:bottom w:val="single" w:sz="4" w:space="0" w:color="auto"/>
              <w:right w:val="single" w:sz="4" w:space="0" w:color="auto"/>
            </w:tcBorders>
            <w:shd w:val="clear" w:color="auto" w:fill="B4C6E7"/>
            <w:vAlign w:val="center"/>
          </w:tcPr>
          <w:p w:rsidR="00125F97" w:rsidRPr="0006166F" w:rsidRDefault="00125F97" w:rsidP="00DF1422">
            <w:pPr>
              <w:rPr>
                <w:b/>
                <w:bCs/>
                <w:sz w:val="16"/>
                <w:szCs w:val="16"/>
              </w:rPr>
            </w:pPr>
            <w:r w:rsidRPr="0006166F">
              <w:rPr>
                <w:b/>
                <w:bCs/>
                <w:sz w:val="16"/>
                <w:szCs w:val="16"/>
                <w:lang w:bidi="en-US"/>
              </w:rPr>
              <w:t xml:space="preserve">Planned Evaluation Finalization Date </w:t>
            </w:r>
          </w:p>
        </w:tc>
        <w:tc>
          <w:tcPr>
            <w:tcW w:w="400" w:type="pct"/>
            <w:tcBorders>
              <w:top w:val="single" w:sz="4" w:space="0" w:color="auto"/>
              <w:left w:val="single" w:sz="4" w:space="0" w:color="auto"/>
              <w:bottom w:val="single" w:sz="4" w:space="0" w:color="auto"/>
              <w:right w:val="single" w:sz="4" w:space="0" w:color="auto"/>
            </w:tcBorders>
            <w:shd w:val="clear" w:color="auto" w:fill="B4C6E7"/>
            <w:vAlign w:val="center"/>
          </w:tcPr>
          <w:p w:rsidR="00125F97" w:rsidRPr="0006166F" w:rsidRDefault="00125F97" w:rsidP="00DF1422">
            <w:pPr>
              <w:rPr>
                <w:b/>
                <w:bCs/>
                <w:sz w:val="16"/>
                <w:szCs w:val="16"/>
              </w:rPr>
            </w:pPr>
            <w:r w:rsidRPr="0006166F">
              <w:rPr>
                <w:b/>
                <w:bCs/>
                <w:sz w:val="16"/>
                <w:szCs w:val="16"/>
                <w:lang w:bidi="en-US"/>
              </w:rPr>
              <w:t>Estimated Cost</w:t>
            </w:r>
          </w:p>
        </w:tc>
        <w:tc>
          <w:tcPr>
            <w:tcW w:w="411" w:type="pct"/>
            <w:tcBorders>
              <w:top w:val="single" w:sz="4" w:space="0" w:color="auto"/>
              <w:left w:val="single" w:sz="4" w:space="0" w:color="auto"/>
              <w:bottom w:val="single" w:sz="4" w:space="0" w:color="auto"/>
              <w:right w:val="single" w:sz="4" w:space="0" w:color="auto"/>
            </w:tcBorders>
            <w:shd w:val="clear" w:color="auto" w:fill="B4C6E7"/>
            <w:vAlign w:val="center"/>
          </w:tcPr>
          <w:p w:rsidR="00125F97" w:rsidRPr="0006166F" w:rsidRDefault="00125F97" w:rsidP="00DF1422">
            <w:pPr>
              <w:rPr>
                <w:b/>
                <w:bCs/>
                <w:sz w:val="16"/>
                <w:szCs w:val="16"/>
              </w:rPr>
            </w:pPr>
            <w:r w:rsidRPr="0006166F">
              <w:rPr>
                <w:b/>
                <w:bCs/>
                <w:sz w:val="16"/>
                <w:szCs w:val="16"/>
                <w:lang w:bidi="en-US"/>
              </w:rPr>
              <w:t>Provisional Source of Financing</w:t>
            </w:r>
          </w:p>
        </w:tc>
      </w:tr>
      <w:tr w:rsidR="00125F97" w:rsidRPr="0006166F" w:rsidTr="00DF1422">
        <w:trPr>
          <w:trHeight w:val="562"/>
        </w:trPr>
        <w:tc>
          <w:tcPr>
            <w:tcW w:w="684"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 xml:space="preserve">Related to all the UNDAF </w:t>
            </w:r>
            <w:r>
              <w:rPr>
                <w:sz w:val="16"/>
                <w:szCs w:val="16"/>
                <w:lang w:bidi="en-US"/>
              </w:rPr>
              <w:t>outcomes</w:t>
            </w:r>
            <w:r w:rsidRPr="0006166F">
              <w:rPr>
                <w:sz w:val="16"/>
                <w:szCs w:val="16"/>
                <w:lang w:bidi="en-US"/>
              </w:rPr>
              <w:t>.</w:t>
            </w:r>
          </w:p>
        </w:tc>
        <w:tc>
          <w:tcPr>
            <w:tcW w:w="920"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 xml:space="preserve">Related to all Strategic Plan </w:t>
            </w:r>
            <w:r>
              <w:rPr>
                <w:sz w:val="16"/>
                <w:szCs w:val="16"/>
                <w:lang w:bidi="en-US"/>
              </w:rPr>
              <w:t>outcomes</w:t>
            </w:r>
          </w:p>
        </w:tc>
        <w:tc>
          <w:tcPr>
            <w:tcW w:w="700"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Mid-Term Evaluation of the Country Program Document (CPD)</w:t>
            </w:r>
          </w:p>
        </w:tc>
        <w:tc>
          <w:tcPr>
            <w:tcW w:w="592"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UNDP</w:t>
            </w:r>
          </w:p>
        </w:tc>
        <w:tc>
          <w:tcPr>
            <w:tcW w:w="485"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N/A</w:t>
            </w:r>
          </w:p>
        </w:tc>
        <w:tc>
          <w:tcPr>
            <w:tcW w:w="431"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Pr>
                <w:sz w:val="16"/>
                <w:szCs w:val="16"/>
                <w:lang w:bidi="en-US"/>
              </w:rPr>
              <w:t>Outcome</w:t>
            </w:r>
          </w:p>
          <w:p w:rsidR="00125F97" w:rsidRPr="0006166F" w:rsidRDefault="00125F97" w:rsidP="00DF1422">
            <w:pPr>
              <w:rPr>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spacing w:before="40" w:after="40"/>
              <w:rPr>
                <w:sz w:val="16"/>
                <w:szCs w:val="16"/>
              </w:rPr>
            </w:pPr>
            <w:r>
              <w:rPr>
                <w:sz w:val="16"/>
                <w:szCs w:val="16"/>
                <w:lang w:bidi="en-US"/>
              </w:rPr>
              <w:t xml:space="preserve"> October 2017</w:t>
            </w:r>
          </w:p>
        </w:tc>
        <w:tc>
          <w:tcPr>
            <w:tcW w:w="400"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US</w:t>
            </w:r>
            <w:r>
              <w:rPr>
                <w:sz w:val="16"/>
                <w:szCs w:val="16"/>
                <w:lang w:bidi="en-US"/>
              </w:rPr>
              <w:t>D</w:t>
            </w:r>
            <w:r w:rsidRPr="0006166F">
              <w:rPr>
                <w:sz w:val="16"/>
                <w:szCs w:val="16"/>
                <w:lang w:bidi="en-US"/>
              </w:rPr>
              <w:t>35,000</w:t>
            </w:r>
          </w:p>
        </w:tc>
        <w:tc>
          <w:tcPr>
            <w:tcW w:w="411"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Budget Evaluations</w:t>
            </w:r>
          </w:p>
        </w:tc>
      </w:tr>
      <w:tr w:rsidR="00125F97" w:rsidRPr="0006166F" w:rsidTr="00DF1422">
        <w:trPr>
          <w:trHeight w:val="935"/>
        </w:trPr>
        <w:tc>
          <w:tcPr>
            <w:tcW w:w="684"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 xml:space="preserve">Related to all the UNDAF </w:t>
            </w:r>
            <w:r>
              <w:rPr>
                <w:sz w:val="16"/>
                <w:szCs w:val="16"/>
                <w:lang w:bidi="en-US"/>
              </w:rPr>
              <w:t>outcomes</w:t>
            </w:r>
            <w:r w:rsidRPr="0006166F">
              <w:rPr>
                <w:sz w:val="16"/>
                <w:szCs w:val="16"/>
                <w:lang w:bidi="en-US"/>
              </w:rPr>
              <w:t>.</w:t>
            </w:r>
          </w:p>
        </w:tc>
        <w:tc>
          <w:tcPr>
            <w:tcW w:w="92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 xml:space="preserve">Related to all Strategic Plan </w:t>
            </w:r>
            <w:r>
              <w:rPr>
                <w:sz w:val="16"/>
                <w:szCs w:val="16"/>
                <w:lang w:bidi="en-US"/>
              </w:rPr>
              <w:t>outcomes</w:t>
            </w:r>
          </w:p>
        </w:tc>
        <w:tc>
          <w:tcPr>
            <w:tcW w:w="70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Pr>
                <w:sz w:val="16"/>
                <w:szCs w:val="16"/>
                <w:lang w:bidi="en-US"/>
              </w:rPr>
              <w:t xml:space="preserve">Final </w:t>
            </w:r>
            <w:r w:rsidRPr="0006166F">
              <w:rPr>
                <w:sz w:val="16"/>
                <w:szCs w:val="16"/>
                <w:lang w:bidi="en-US"/>
              </w:rPr>
              <w:t>Evaluation of the Country Program Document (CPD)</w:t>
            </w:r>
          </w:p>
        </w:tc>
        <w:tc>
          <w:tcPr>
            <w:tcW w:w="592" w:type="pct"/>
            <w:tcBorders>
              <w:top w:val="single" w:sz="4" w:space="0" w:color="auto"/>
              <w:left w:val="single" w:sz="4" w:space="0" w:color="auto"/>
              <w:right w:val="single" w:sz="4" w:space="0" w:color="auto"/>
            </w:tcBorders>
            <w:vAlign w:val="center"/>
          </w:tcPr>
          <w:p w:rsidR="00125F97" w:rsidRDefault="00125F97" w:rsidP="00DF1422">
            <w:pPr>
              <w:rPr>
                <w:sz w:val="16"/>
                <w:szCs w:val="16"/>
                <w:lang w:bidi="en-US"/>
              </w:rPr>
            </w:pPr>
            <w:r w:rsidRPr="0006166F">
              <w:rPr>
                <w:sz w:val="16"/>
                <w:szCs w:val="16"/>
                <w:lang w:bidi="en-US"/>
              </w:rPr>
              <w:t>UNDP</w:t>
            </w:r>
          </w:p>
          <w:p w:rsidR="00125F97" w:rsidRPr="0006166F" w:rsidRDefault="00125F97" w:rsidP="00DF1422">
            <w:pPr>
              <w:rPr>
                <w:sz w:val="16"/>
                <w:szCs w:val="16"/>
              </w:rPr>
            </w:pPr>
            <w:r>
              <w:rPr>
                <w:sz w:val="16"/>
                <w:szCs w:val="16"/>
                <w:lang w:bidi="en-US"/>
              </w:rPr>
              <w:t>Ministry of Foreign Affairs</w:t>
            </w:r>
          </w:p>
        </w:tc>
        <w:tc>
          <w:tcPr>
            <w:tcW w:w="485"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N/A</w:t>
            </w:r>
          </w:p>
        </w:tc>
        <w:tc>
          <w:tcPr>
            <w:tcW w:w="431"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Pr>
                <w:sz w:val="16"/>
                <w:szCs w:val="16"/>
                <w:lang w:bidi="en-US"/>
              </w:rPr>
              <w:t>Outcome</w:t>
            </w:r>
          </w:p>
          <w:p w:rsidR="00125F97" w:rsidRPr="0006166F" w:rsidRDefault="00125F97" w:rsidP="00DF1422">
            <w:pPr>
              <w:rPr>
                <w:sz w:val="16"/>
                <w:szCs w:val="16"/>
              </w:rPr>
            </w:pPr>
          </w:p>
        </w:tc>
        <w:tc>
          <w:tcPr>
            <w:tcW w:w="377" w:type="pct"/>
            <w:tcBorders>
              <w:top w:val="single" w:sz="4" w:space="0" w:color="auto"/>
              <w:left w:val="single" w:sz="4" w:space="0" w:color="auto"/>
              <w:right w:val="single" w:sz="4" w:space="0" w:color="auto"/>
            </w:tcBorders>
            <w:vAlign w:val="center"/>
          </w:tcPr>
          <w:p w:rsidR="00125F97" w:rsidRPr="0006166F" w:rsidRDefault="00125F97" w:rsidP="00DF1422">
            <w:pPr>
              <w:spacing w:before="40" w:after="40"/>
              <w:rPr>
                <w:sz w:val="16"/>
                <w:szCs w:val="16"/>
              </w:rPr>
            </w:pPr>
            <w:r>
              <w:rPr>
                <w:sz w:val="16"/>
                <w:szCs w:val="16"/>
                <w:lang w:bidi="en-US"/>
              </w:rPr>
              <w:t>December</w:t>
            </w:r>
            <w:r w:rsidRPr="0006166F">
              <w:rPr>
                <w:sz w:val="16"/>
                <w:szCs w:val="16"/>
                <w:lang w:bidi="en-US"/>
              </w:rPr>
              <w:t xml:space="preserve"> 201</w:t>
            </w:r>
            <w:r>
              <w:rPr>
                <w:sz w:val="16"/>
                <w:szCs w:val="16"/>
                <w:lang w:bidi="en-US"/>
              </w:rPr>
              <w:t>8</w:t>
            </w:r>
          </w:p>
        </w:tc>
        <w:tc>
          <w:tcPr>
            <w:tcW w:w="40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US</w:t>
            </w:r>
            <w:r>
              <w:rPr>
                <w:sz w:val="16"/>
                <w:szCs w:val="16"/>
                <w:lang w:bidi="en-US"/>
              </w:rPr>
              <w:t>D</w:t>
            </w:r>
            <w:r w:rsidRPr="0006166F">
              <w:rPr>
                <w:sz w:val="16"/>
                <w:szCs w:val="16"/>
                <w:lang w:bidi="en-US"/>
              </w:rPr>
              <w:t>35,000</w:t>
            </w:r>
          </w:p>
        </w:tc>
        <w:tc>
          <w:tcPr>
            <w:tcW w:w="411"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Budget Evaluations</w:t>
            </w:r>
          </w:p>
        </w:tc>
      </w:tr>
      <w:tr w:rsidR="00125F97" w:rsidRPr="0006166F" w:rsidTr="00DF1422">
        <w:trPr>
          <w:trHeight w:val="935"/>
        </w:trPr>
        <w:tc>
          <w:tcPr>
            <w:tcW w:w="684"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 xml:space="preserve">(1.3) Strengthening national and territorial capacities to transition toward peace.  </w:t>
            </w:r>
          </w:p>
        </w:tc>
        <w:tc>
          <w:tcPr>
            <w:tcW w:w="92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Outcome 6</w:t>
            </w:r>
            <w:r>
              <w:rPr>
                <w:sz w:val="16"/>
                <w:szCs w:val="16"/>
                <w:lang w:bidi="en-US"/>
              </w:rPr>
              <w:t>:</w:t>
            </w:r>
            <w:r w:rsidRPr="0006166F">
              <w:rPr>
                <w:lang w:bidi="en-US"/>
              </w:rPr>
              <w:t xml:space="preserve"> </w:t>
            </w:r>
            <w:r w:rsidRPr="003E4611">
              <w:rPr>
                <w:sz w:val="16"/>
                <w:szCs w:val="16"/>
              </w:rPr>
              <w:t>Early recovery and rapid return to sustainable development pathways are achieved in post-conflict and post-disaster situations</w:t>
            </w:r>
          </w:p>
        </w:tc>
        <w:tc>
          <w:tcPr>
            <w:tcW w:w="70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Evaluation of "Peace Building and Development Strategy"</w:t>
            </w:r>
          </w:p>
        </w:tc>
        <w:tc>
          <w:tcPr>
            <w:tcW w:w="592"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UNW, OHCHR, Sweden, Norway, EU, Spain, OACP, DNP, APC, Min Post Conflict.</w:t>
            </w:r>
          </w:p>
        </w:tc>
        <w:tc>
          <w:tcPr>
            <w:tcW w:w="485"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N/A</w:t>
            </w:r>
          </w:p>
        </w:tc>
        <w:tc>
          <w:tcPr>
            <w:tcW w:w="431"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Pr>
                <w:sz w:val="16"/>
                <w:szCs w:val="16"/>
                <w:lang w:bidi="en-US"/>
              </w:rPr>
              <w:t>Outcome</w:t>
            </w:r>
          </w:p>
        </w:tc>
        <w:tc>
          <w:tcPr>
            <w:tcW w:w="377" w:type="pct"/>
            <w:tcBorders>
              <w:top w:val="single" w:sz="4" w:space="0" w:color="auto"/>
              <w:left w:val="single" w:sz="4" w:space="0" w:color="auto"/>
              <w:right w:val="single" w:sz="4" w:space="0" w:color="auto"/>
            </w:tcBorders>
            <w:vAlign w:val="center"/>
          </w:tcPr>
          <w:p w:rsidR="00125F97" w:rsidRPr="0006166F" w:rsidRDefault="00125F97" w:rsidP="00DF1422">
            <w:pPr>
              <w:spacing w:before="40" w:after="40"/>
              <w:rPr>
                <w:sz w:val="16"/>
                <w:szCs w:val="16"/>
              </w:rPr>
            </w:pPr>
            <w:r w:rsidRPr="0006166F">
              <w:rPr>
                <w:sz w:val="16"/>
                <w:szCs w:val="16"/>
                <w:lang w:bidi="en-US"/>
              </w:rPr>
              <w:t>December 2016</w:t>
            </w:r>
          </w:p>
        </w:tc>
        <w:tc>
          <w:tcPr>
            <w:tcW w:w="40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US</w:t>
            </w:r>
            <w:r>
              <w:rPr>
                <w:sz w:val="16"/>
                <w:szCs w:val="16"/>
                <w:lang w:bidi="en-US"/>
              </w:rPr>
              <w:t>D</w:t>
            </w:r>
            <w:r w:rsidRPr="0006166F">
              <w:rPr>
                <w:sz w:val="16"/>
                <w:szCs w:val="16"/>
                <w:lang w:bidi="en-US"/>
              </w:rPr>
              <w:t>60,000</w:t>
            </w:r>
          </w:p>
        </w:tc>
        <w:tc>
          <w:tcPr>
            <w:tcW w:w="411"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Project</w:t>
            </w:r>
            <w:r>
              <w:rPr>
                <w:sz w:val="16"/>
                <w:szCs w:val="16"/>
                <w:lang w:bidi="en-US"/>
              </w:rPr>
              <w:t>s</w:t>
            </w:r>
            <w:r w:rsidRPr="0006166F">
              <w:rPr>
                <w:sz w:val="16"/>
                <w:szCs w:val="16"/>
                <w:lang w:bidi="en-US"/>
              </w:rPr>
              <w:t xml:space="preserve"> Budget</w:t>
            </w:r>
            <w:r>
              <w:rPr>
                <w:sz w:val="16"/>
                <w:szCs w:val="16"/>
                <w:lang w:bidi="en-US"/>
              </w:rPr>
              <w:t>s</w:t>
            </w:r>
          </w:p>
        </w:tc>
      </w:tr>
      <w:tr w:rsidR="00125F97" w:rsidRPr="0006166F" w:rsidTr="00DF1422">
        <w:trPr>
          <w:trHeight w:val="1267"/>
        </w:trPr>
        <w:tc>
          <w:tcPr>
            <w:tcW w:w="684"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 xml:space="preserve">(1.3) Strengthening national and territorial capacities to transition toward peace.  </w:t>
            </w:r>
          </w:p>
        </w:tc>
        <w:tc>
          <w:tcPr>
            <w:tcW w:w="920"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Outcome 6</w:t>
            </w:r>
            <w:r>
              <w:rPr>
                <w:sz w:val="16"/>
                <w:szCs w:val="16"/>
                <w:lang w:bidi="en-US"/>
              </w:rPr>
              <w:t>:</w:t>
            </w:r>
            <w:r w:rsidRPr="0006166F">
              <w:rPr>
                <w:lang w:bidi="en-US"/>
              </w:rPr>
              <w:t xml:space="preserve"> </w:t>
            </w:r>
            <w:r w:rsidRPr="003E4611">
              <w:rPr>
                <w:sz w:val="16"/>
                <w:szCs w:val="16"/>
              </w:rPr>
              <w:t>Early recovery and rapid return to sustainable development pathways are achieved in post-conflict and post-disaster situations</w:t>
            </w:r>
          </w:p>
        </w:tc>
        <w:tc>
          <w:tcPr>
            <w:tcW w:w="700"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Final Project Evaluation "Transitional Justice Fund"</w:t>
            </w:r>
          </w:p>
        </w:tc>
        <w:tc>
          <w:tcPr>
            <w:tcW w:w="592"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Sweden, Spain, EU, Switzerland, Holland, Canada,  Ministry of Justice,  Presidential Agency on International Cooperation</w:t>
            </w:r>
          </w:p>
        </w:tc>
        <w:tc>
          <w:tcPr>
            <w:tcW w:w="485"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N/A</w:t>
            </w:r>
          </w:p>
        </w:tc>
        <w:tc>
          <w:tcPr>
            <w:tcW w:w="431"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Project</w:t>
            </w:r>
          </w:p>
        </w:tc>
        <w:tc>
          <w:tcPr>
            <w:tcW w:w="377"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spacing w:before="40" w:after="40"/>
              <w:rPr>
                <w:sz w:val="16"/>
                <w:szCs w:val="16"/>
              </w:rPr>
            </w:pPr>
            <w:r w:rsidRPr="0006166F">
              <w:rPr>
                <w:sz w:val="16"/>
                <w:szCs w:val="16"/>
                <w:lang w:bidi="en-US"/>
              </w:rPr>
              <w:t>June 2016</w:t>
            </w:r>
          </w:p>
        </w:tc>
        <w:tc>
          <w:tcPr>
            <w:tcW w:w="400"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US</w:t>
            </w:r>
            <w:r>
              <w:rPr>
                <w:sz w:val="16"/>
                <w:szCs w:val="16"/>
                <w:lang w:bidi="en-US"/>
              </w:rPr>
              <w:t>D</w:t>
            </w:r>
            <w:r w:rsidRPr="0006166F">
              <w:rPr>
                <w:sz w:val="16"/>
                <w:szCs w:val="16"/>
                <w:lang w:bidi="en-US"/>
              </w:rPr>
              <w:t>120,000</w:t>
            </w:r>
          </w:p>
        </w:tc>
        <w:tc>
          <w:tcPr>
            <w:tcW w:w="411"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 xml:space="preserve">Project Budget </w:t>
            </w:r>
          </w:p>
        </w:tc>
      </w:tr>
      <w:tr w:rsidR="00125F97" w:rsidRPr="0006166F" w:rsidTr="00DF1422">
        <w:trPr>
          <w:trHeight w:val="1255"/>
        </w:trPr>
        <w:tc>
          <w:tcPr>
            <w:tcW w:w="684"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(2.1) Strengthening the State's capacity to decrease population and territorial gaps with a differential approach</w:t>
            </w:r>
          </w:p>
        </w:tc>
        <w:tc>
          <w:tcPr>
            <w:tcW w:w="920"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8E3D13">
              <w:rPr>
                <w:sz w:val="16"/>
                <w:szCs w:val="16"/>
                <w:lang w:bidi="en-US"/>
              </w:rPr>
              <w:t>Outcome 1</w:t>
            </w:r>
            <w:r>
              <w:rPr>
                <w:sz w:val="16"/>
                <w:szCs w:val="16"/>
                <w:lang w:bidi="en-US"/>
              </w:rPr>
              <w:t>:</w:t>
            </w:r>
            <w:r w:rsidRPr="008E3D13">
              <w:rPr>
                <w:lang w:bidi="en-US"/>
              </w:rPr>
              <w:t xml:space="preserve"> </w:t>
            </w:r>
            <w:r w:rsidRPr="008E3D13">
              <w:rPr>
                <w:rStyle w:val="Emphasis"/>
                <w:i w:val="0"/>
                <w:sz w:val="16"/>
                <w:szCs w:val="16"/>
              </w:rPr>
              <w:t>Growth is inclusive and sustainable, incorporating productive capacities that create employment and livelihoods for the poor and excluded</w:t>
            </w:r>
          </w:p>
        </w:tc>
        <w:tc>
          <w:tcPr>
            <w:tcW w:w="700"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Pr>
                <w:sz w:val="16"/>
                <w:szCs w:val="16"/>
                <w:lang w:bidi="en-US"/>
              </w:rPr>
              <w:t xml:space="preserve">Final </w:t>
            </w:r>
            <w:r w:rsidRPr="0006166F">
              <w:rPr>
                <w:sz w:val="16"/>
                <w:szCs w:val="16"/>
                <w:lang w:bidi="en-US"/>
              </w:rPr>
              <w:t>project evaluation "</w:t>
            </w:r>
            <w:r>
              <w:rPr>
                <w:sz w:val="16"/>
                <w:szCs w:val="16"/>
                <w:lang w:bidi="en-US"/>
              </w:rPr>
              <w:t xml:space="preserve">Risk and Vulnerability </w:t>
            </w:r>
            <w:r w:rsidRPr="0006166F">
              <w:rPr>
                <w:sz w:val="16"/>
                <w:szCs w:val="16"/>
                <w:lang w:bidi="en-US"/>
              </w:rPr>
              <w:t xml:space="preserve">Reduction Related to Climate Change in the </w:t>
            </w:r>
            <w:proofErr w:type="spellStart"/>
            <w:r w:rsidRPr="0006166F">
              <w:rPr>
                <w:sz w:val="16"/>
                <w:szCs w:val="16"/>
                <w:lang w:bidi="en-US"/>
              </w:rPr>
              <w:t>Momposina</w:t>
            </w:r>
            <w:r>
              <w:rPr>
                <w:sz w:val="16"/>
                <w:szCs w:val="16"/>
                <w:lang w:bidi="en-US"/>
              </w:rPr>
              <w:t>’s</w:t>
            </w:r>
            <w:proofErr w:type="spellEnd"/>
            <w:r w:rsidRPr="0006166F">
              <w:rPr>
                <w:sz w:val="16"/>
                <w:szCs w:val="16"/>
                <w:lang w:bidi="en-US"/>
              </w:rPr>
              <w:t xml:space="preserve"> Depression Region of Colombia"</w:t>
            </w:r>
          </w:p>
        </w:tc>
        <w:tc>
          <w:tcPr>
            <w:tcW w:w="592"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Ministry of the Environment and Sustainable Development, IDEAM, Kyoto Protocol Adaptation Fund</w:t>
            </w:r>
          </w:p>
        </w:tc>
        <w:tc>
          <w:tcPr>
            <w:tcW w:w="485"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Kyoto Protocol Adaptation Fund</w:t>
            </w:r>
          </w:p>
        </w:tc>
        <w:tc>
          <w:tcPr>
            <w:tcW w:w="431"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Kyoto Protocol Adaptation Fund Project</w:t>
            </w:r>
          </w:p>
        </w:tc>
        <w:tc>
          <w:tcPr>
            <w:tcW w:w="377"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spacing w:before="40" w:after="40"/>
              <w:rPr>
                <w:sz w:val="16"/>
                <w:szCs w:val="16"/>
              </w:rPr>
            </w:pPr>
            <w:r>
              <w:rPr>
                <w:sz w:val="16"/>
                <w:szCs w:val="16"/>
                <w:lang w:bidi="en-US"/>
              </w:rPr>
              <w:t>December 2017</w:t>
            </w:r>
          </w:p>
        </w:tc>
        <w:tc>
          <w:tcPr>
            <w:tcW w:w="400"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US</w:t>
            </w:r>
            <w:r>
              <w:rPr>
                <w:sz w:val="16"/>
                <w:szCs w:val="16"/>
                <w:lang w:bidi="en-US"/>
              </w:rPr>
              <w:t>D</w:t>
            </w:r>
            <w:r w:rsidRPr="0006166F">
              <w:rPr>
                <w:sz w:val="16"/>
                <w:szCs w:val="16"/>
                <w:lang w:bidi="en-US"/>
              </w:rPr>
              <w:t>30,000</w:t>
            </w:r>
          </w:p>
        </w:tc>
        <w:tc>
          <w:tcPr>
            <w:tcW w:w="411" w:type="pct"/>
            <w:tcBorders>
              <w:top w:val="single" w:sz="4" w:space="0" w:color="auto"/>
              <w:left w:val="single" w:sz="4" w:space="0" w:color="auto"/>
              <w:bottom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Project Budget</w:t>
            </w:r>
          </w:p>
        </w:tc>
      </w:tr>
      <w:tr w:rsidR="00125F97" w:rsidRPr="0006166F" w:rsidTr="00DF1422">
        <w:trPr>
          <w:trHeight w:val="942"/>
        </w:trPr>
        <w:tc>
          <w:tcPr>
            <w:tcW w:w="684"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(1.3) Strengthening national and territorial capacities to transition toward peace.</w:t>
            </w:r>
          </w:p>
        </w:tc>
        <w:tc>
          <w:tcPr>
            <w:tcW w:w="92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Outcome 6</w:t>
            </w:r>
            <w:r>
              <w:rPr>
                <w:sz w:val="16"/>
                <w:szCs w:val="16"/>
                <w:lang w:bidi="en-US"/>
              </w:rPr>
              <w:t>:</w:t>
            </w:r>
            <w:r w:rsidRPr="0006166F">
              <w:rPr>
                <w:sz w:val="16"/>
                <w:szCs w:val="16"/>
                <w:lang w:bidi="en-US"/>
              </w:rPr>
              <w:t xml:space="preserve"> </w:t>
            </w:r>
            <w:r w:rsidRPr="003E4611">
              <w:rPr>
                <w:sz w:val="16"/>
                <w:szCs w:val="16"/>
              </w:rPr>
              <w:t>Early recovery and rapid return to sustainable development pathways are achieved in post-conflict and post-disaster situations</w:t>
            </w:r>
          </w:p>
        </w:tc>
        <w:tc>
          <w:tcPr>
            <w:tcW w:w="70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Mid-term or final project evaluation "Territorial Hydrocarbon Strategy" -- National Hydrocarbon Agency</w:t>
            </w:r>
          </w:p>
        </w:tc>
        <w:tc>
          <w:tcPr>
            <w:tcW w:w="592"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UNDP</w:t>
            </w:r>
          </w:p>
        </w:tc>
        <w:tc>
          <w:tcPr>
            <w:tcW w:w="485"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N/A</w:t>
            </w:r>
          </w:p>
        </w:tc>
        <w:tc>
          <w:tcPr>
            <w:tcW w:w="431"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Program/</w:t>
            </w:r>
          </w:p>
          <w:p w:rsidR="00125F97" w:rsidRPr="0006166F" w:rsidRDefault="00125F97" w:rsidP="00DF1422">
            <w:pPr>
              <w:rPr>
                <w:sz w:val="16"/>
                <w:szCs w:val="16"/>
              </w:rPr>
            </w:pPr>
            <w:r w:rsidRPr="0006166F">
              <w:rPr>
                <w:sz w:val="16"/>
                <w:szCs w:val="16"/>
                <w:lang w:bidi="en-US"/>
              </w:rPr>
              <w:t>Project</w:t>
            </w:r>
          </w:p>
        </w:tc>
        <w:tc>
          <w:tcPr>
            <w:tcW w:w="377" w:type="pct"/>
            <w:tcBorders>
              <w:top w:val="single" w:sz="4" w:space="0" w:color="auto"/>
              <w:left w:val="single" w:sz="4" w:space="0" w:color="auto"/>
              <w:right w:val="single" w:sz="4" w:space="0" w:color="auto"/>
            </w:tcBorders>
            <w:vAlign w:val="center"/>
          </w:tcPr>
          <w:p w:rsidR="00125F97" w:rsidRPr="0006166F" w:rsidRDefault="00125F97" w:rsidP="00DF1422">
            <w:pPr>
              <w:spacing w:before="40" w:after="40"/>
              <w:rPr>
                <w:sz w:val="16"/>
                <w:szCs w:val="16"/>
              </w:rPr>
            </w:pPr>
            <w:r w:rsidRPr="0006166F">
              <w:rPr>
                <w:sz w:val="16"/>
                <w:szCs w:val="16"/>
                <w:lang w:bidi="en-US"/>
              </w:rPr>
              <w:t>March 2018</w:t>
            </w:r>
          </w:p>
        </w:tc>
        <w:tc>
          <w:tcPr>
            <w:tcW w:w="40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US</w:t>
            </w:r>
            <w:r>
              <w:rPr>
                <w:sz w:val="16"/>
                <w:szCs w:val="16"/>
                <w:lang w:bidi="en-US"/>
              </w:rPr>
              <w:t>D</w:t>
            </w:r>
            <w:r w:rsidRPr="0006166F">
              <w:rPr>
                <w:sz w:val="16"/>
                <w:szCs w:val="16"/>
                <w:lang w:bidi="en-US"/>
              </w:rPr>
              <w:t>20,000</w:t>
            </w:r>
          </w:p>
        </w:tc>
        <w:tc>
          <w:tcPr>
            <w:tcW w:w="411"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Project Budget</w:t>
            </w:r>
          </w:p>
        </w:tc>
      </w:tr>
      <w:tr w:rsidR="00125F97" w:rsidRPr="0006166F" w:rsidTr="00DF1422">
        <w:trPr>
          <w:trHeight w:val="1535"/>
        </w:trPr>
        <w:tc>
          <w:tcPr>
            <w:tcW w:w="684"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(1.2) Local and national mechanisms strengthened by citizen participation, local government capacities, and progress of a culture of human rights and peace</w:t>
            </w:r>
          </w:p>
        </w:tc>
        <w:tc>
          <w:tcPr>
            <w:tcW w:w="92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Outcome 3</w:t>
            </w:r>
            <w:r>
              <w:rPr>
                <w:sz w:val="16"/>
                <w:szCs w:val="16"/>
                <w:lang w:bidi="en-US"/>
              </w:rPr>
              <w:t xml:space="preserve">: </w:t>
            </w:r>
            <w:r w:rsidRPr="00B7055B">
              <w:rPr>
                <w:sz w:val="16"/>
                <w:szCs w:val="16"/>
              </w:rPr>
              <w:t>Countries have strengthened institutions to progressively deliver universal access to basic services</w:t>
            </w:r>
          </w:p>
        </w:tc>
        <w:tc>
          <w:tcPr>
            <w:tcW w:w="70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Pr>
                <w:sz w:val="16"/>
                <w:szCs w:val="16"/>
                <w:lang w:bidi="en-US"/>
              </w:rPr>
              <w:t>Outcome e</w:t>
            </w:r>
            <w:r w:rsidRPr="0006166F">
              <w:rPr>
                <w:sz w:val="16"/>
                <w:szCs w:val="16"/>
                <w:lang w:bidi="en-US"/>
              </w:rPr>
              <w:t xml:space="preserve">valuation with a local level institutional strengthening approach </w:t>
            </w:r>
          </w:p>
        </w:tc>
        <w:tc>
          <w:tcPr>
            <w:tcW w:w="592"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UNDP</w:t>
            </w:r>
          </w:p>
        </w:tc>
        <w:tc>
          <w:tcPr>
            <w:tcW w:w="485"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N/A</w:t>
            </w:r>
          </w:p>
        </w:tc>
        <w:tc>
          <w:tcPr>
            <w:tcW w:w="431"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Pr>
                <w:sz w:val="16"/>
                <w:szCs w:val="16"/>
                <w:lang w:bidi="en-US"/>
              </w:rPr>
              <w:t>Outcome</w:t>
            </w:r>
          </w:p>
        </w:tc>
        <w:tc>
          <w:tcPr>
            <w:tcW w:w="377" w:type="pct"/>
            <w:tcBorders>
              <w:top w:val="single" w:sz="4" w:space="0" w:color="auto"/>
              <w:left w:val="single" w:sz="4" w:space="0" w:color="auto"/>
              <w:right w:val="single" w:sz="4" w:space="0" w:color="auto"/>
            </w:tcBorders>
            <w:vAlign w:val="center"/>
          </w:tcPr>
          <w:p w:rsidR="00125F97" w:rsidRPr="0006166F" w:rsidRDefault="00125F97" w:rsidP="00DF1422">
            <w:pPr>
              <w:spacing w:before="40" w:after="40"/>
              <w:rPr>
                <w:sz w:val="16"/>
                <w:szCs w:val="16"/>
              </w:rPr>
            </w:pPr>
            <w:r w:rsidRPr="0006166F">
              <w:rPr>
                <w:sz w:val="16"/>
                <w:szCs w:val="16"/>
                <w:lang w:bidi="en-US"/>
              </w:rPr>
              <w:t>June 2017</w:t>
            </w:r>
          </w:p>
        </w:tc>
        <w:tc>
          <w:tcPr>
            <w:tcW w:w="40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US</w:t>
            </w:r>
            <w:r>
              <w:rPr>
                <w:sz w:val="16"/>
                <w:szCs w:val="16"/>
                <w:lang w:bidi="en-US"/>
              </w:rPr>
              <w:t>D</w:t>
            </w:r>
            <w:r w:rsidRPr="0006166F">
              <w:rPr>
                <w:sz w:val="16"/>
                <w:szCs w:val="16"/>
                <w:lang w:bidi="en-US"/>
              </w:rPr>
              <w:t>35,000</w:t>
            </w:r>
          </w:p>
        </w:tc>
        <w:tc>
          <w:tcPr>
            <w:tcW w:w="411" w:type="pct"/>
            <w:tcBorders>
              <w:top w:val="single" w:sz="4" w:space="0" w:color="auto"/>
              <w:left w:val="single" w:sz="4" w:space="0" w:color="auto"/>
              <w:right w:val="single" w:sz="4" w:space="0" w:color="auto"/>
            </w:tcBorders>
            <w:vAlign w:val="center"/>
          </w:tcPr>
          <w:p w:rsidR="00125F97" w:rsidRPr="0006166F" w:rsidRDefault="00125F97" w:rsidP="00DF1422">
            <w:pPr>
              <w:rPr>
                <w:rStyle w:val="CommentReference"/>
                <w:sz w:val="16"/>
                <w:szCs w:val="16"/>
                <w:lang w:eastAsia="uk-UA"/>
              </w:rPr>
            </w:pPr>
            <w:r w:rsidRPr="0006166F">
              <w:rPr>
                <w:rStyle w:val="CommentReference"/>
                <w:sz w:val="16"/>
                <w:szCs w:val="16"/>
                <w:lang w:eastAsia="uk-UA" w:bidi="en-US"/>
              </w:rPr>
              <w:t>Project</w:t>
            </w:r>
            <w:r>
              <w:rPr>
                <w:rStyle w:val="CommentReference"/>
                <w:sz w:val="16"/>
                <w:szCs w:val="16"/>
                <w:lang w:eastAsia="uk-UA" w:bidi="en-US"/>
              </w:rPr>
              <w:t>s</w:t>
            </w:r>
            <w:r w:rsidRPr="0006166F">
              <w:rPr>
                <w:rStyle w:val="CommentReference"/>
                <w:sz w:val="16"/>
                <w:szCs w:val="16"/>
                <w:lang w:eastAsia="uk-UA" w:bidi="en-US"/>
              </w:rPr>
              <w:t xml:space="preserve"> Budget</w:t>
            </w:r>
            <w:r>
              <w:rPr>
                <w:rStyle w:val="CommentReference"/>
                <w:sz w:val="16"/>
                <w:szCs w:val="16"/>
                <w:lang w:eastAsia="uk-UA" w:bidi="en-US"/>
              </w:rPr>
              <w:t>s</w:t>
            </w:r>
          </w:p>
        </w:tc>
      </w:tr>
      <w:tr w:rsidR="00125F97" w:rsidRPr="0006166F" w:rsidTr="00DF1422">
        <w:trPr>
          <w:trHeight w:val="1123"/>
        </w:trPr>
        <w:tc>
          <w:tcPr>
            <w:tcW w:w="684"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lastRenderedPageBreak/>
              <w:t>(2.1) Strengthening the State's capacity to decrease population and territorial gaps with a differential approach</w:t>
            </w:r>
          </w:p>
        </w:tc>
        <w:tc>
          <w:tcPr>
            <w:tcW w:w="92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 xml:space="preserve">Outcome 1.  </w:t>
            </w:r>
            <w:r w:rsidRPr="008E3D13">
              <w:rPr>
                <w:rStyle w:val="Emphasis"/>
                <w:i w:val="0"/>
                <w:sz w:val="16"/>
                <w:szCs w:val="16"/>
              </w:rPr>
              <w:t xml:space="preserve"> Growth is inclusive and sustainable, incorporating productive capacities</w:t>
            </w:r>
            <w:r w:rsidRPr="008E3D13">
              <w:rPr>
                <w:rStyle w:val="FootnoteReference"/>
                <w:i/>
                <w:iCs/>
                <w:sz w:val="16"/>
                <w:szCs w:val="16"/>
              </w:rPr>
              <w:footnoteReference w:id="1"/>
            </w:r>
            <w:r w:rsidRPr="008E3D13">
              <w:rPr>
                <w:rStyle w:val="Emphasis"/>
                <w:i w:val="0"/>
                <w:sz w:val="16"/>
                <w:szCs w:val="16"/>
              </w:rPr>
              <w:t xml:space="preserve"> that create employment and livelihoods for the poor and excluded</w:t>
            </w:r>
          </w:p>
        </w:tc>
        <w:tc>
          <w:tcPr>
            <w:tcW w:w="70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Evaluation of the inclusive economic development strategy</w:t>
            </w:r>
          </w:p>
        </w:tc>
        <w:tc>
          <w:tcPr>
            <w:tcW w:w="592"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UNDP</w:t>
            </w:r>
          </w:p>
        </w:tc>
        <w:tc>
          <w:tcPr>
            <w:tcW w:w="485"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N/A</w:t>
            </w:r>
          </w:p>
        </w:tc>
        <w:tc>
          <w:tcPr>
            <w:tcW w:w="431"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Pr>
                <w:sz w:val="16"/>
                <w:szCs w:val="16"/>
                <w:lang w:bidi="en-US"/>
              </w:rPr>
              <w:t>Outcome</w:t>
            </w:r>
          </w:p>
        </w:tc>
        <w:tc>
          <w:tcPr>
            <w:tcW w:w="377" w:type="pct"/>
            <w:tcBorders>
              <w:top w:val="single" w:sz="4" w:space="0" w:color="auto"/>
              <w:left w:val="single" w:sz="4" w:space="0" w:color="auto"/>
              <w:right w:val="single" w:sz="4" w:space="0" w:color="auto"/>
            </w:tcBorders>
            <w:vAlign w:val="center"/>
          </w:tcPr>
          <w:p w:rsidR="00125F97" w:rsidRPr="0006166F" w:rsidRDefault="00125F97" w:rsidP="00DF1422">
            <w:pPr>
              <w:spacing w:before="40" w:after="40"/>
              <w:rPr>
                <w:sz w:val="16"/>
                <w:szCs w:val="16"/>
              </w:rPr>
            </w:pPr>
            <w:r w:rsidRPr="0006166F">
              <w:rPr>
                <w:sz w:val="16"/>
                <w:szCs w:val="16"/>
                <w:lang w:bidi="en-US"/>
              </w:rPr>
              <w:t>May 2017</w:t>
            </w:r>
          </w:p>
        </w:tc>
        <w:tc>
          <w:tcPr>
            <w:tcW w:w="40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US</w:t>
            </w:r>
            <w:r>
              <w:rPr>
                <w:sz w:val="16"/>
                <w:szCs w:val="16"/>
                <w:lang w:bidi="en-US"/>
              </w:rPr>
              <w:t>D</w:t>
            </w:r>
            <w:r w:rsidRPr="0006166F">
              <w:rPr>
                <w:sz w:val="16"/>
                <w:szCs w:val="16"/>
                <w:lang w:bidi="en-US"/>
              </w:rPr>
              <w:t>40,000</w:t>
            </w:r>
          </w:p>
        </w:tc>
        <w:tc>
          <w:tcPr>
            <w:tcW w:w="411" w:type="pct"/>
            <w:tcBorders>
              <w:top w:val="single" w:sz="4" w:space="0" w:color="auto"/>
              <w:left w:val="single" w:sz="4" w:space="0" w:color="auto"/>
              <w:right w:val="single" w:sz="4" w:space="0" w:color="auto"/>
            </w:tcBorders>
            <w:vAlign w:val="center"/>
          </w:tcPr>
          <w:p w:rsidR="00125F97" w:rsidRPr="0006166F" w:rsidRDefault="00125F97" w:rsidP="00DF1422">
            <w:pPr>
              <w:rPr>
                <w:rStyle w:val="CommentReference"/>
                <w:sz w:val="16"/>
                <w:szCs w:val="16"/>
                <w:lang w:eastAsia="uk-UA"/>
              </w:rPr>
            </w:pPr>
            <w:r w:rsidRPr="0006166F">
              <w:rPr>
                <w:rStyle w:val="CommentReference"/>
                <w:sz w:val="16"/>
                <w:szCs w:val="16"/>
                <w:lang w:eastAsia="uk-UA" w:bidi="en-US"/>
              </w:rPr>
              <w:t>Project</w:t>
            </w:r>
            <w:r>
              <w:rPr>
                <w:rStyle w:val="CommentReference"/>
                <w:sz w:val="16"/>
                <w:szCs w:val="16"/>
                <w:lang w:eastAsia="uk-UA" w:bidi="en-US"/>
              </w:rPr>
              <w:t>s</w:t>
            </w:r>
            <w:r w:rsidRPr="0006166F">
              <w:rPr>
                <w:rStyle w:val="CommentReference"/>
                <w:sz w:val="16"/>
                <w:szCs w:val="16"/>
                <w:lang w:eastAsia="uk-UA" w:bidi="en-US"/>
              </w:rPr>
              <w:t xml:space="preserve"> Budget</w:t>
            </w:r>
            <w:r>
              <w:rPr>
                <w:rStyle w:val="CommentReference"/>
                <w:sz w:val="16"/>
                <w:szCs w:val="16"/>
                <w:lang w:eastAsia="uk-UA" w:bidi="en-US"/>
              </w:rPr>
              <w:t>s</w:t>
            </w:r>
          </w:p>
        </w:tc>
      </w:tr>
      <w:tr w:rsidR="00125F97" w:rsidRPr="00335718" w:rsidTr="00DF1422">
        <w:trPr>
          <w:trHeight w:val="1549"/>
        </w:trPr>
        <w:tc>
          <w:tcPr>
            <w:tcW w:w="684" w:type="pct"/>
            <w:tcBorders>
              <w:top w:val="single" w:sz="4" w:space="0" w:color="auto"/>
              <w:left w:val="single" w:sz="4" w:space="0" w:color="auto"/>
              <w:bottom w:val="single" w:sz="4" w:space="0" w:color="auto"/>
              <w:right w:val="single" w:sz="4" w:space="0" w:color="auto"/>
            </w:tcBorders>
            <w:vAlign w:val="center"/>
          </w:tcPr>
          <w:p w:rsidR="00125F97" w:rsidRPr="00C544A3" w:rsidRDefault="00125F97" w:rsidP="00DF1422">
            <w:pPr>
              <w:rPr>
                <w:sz w:val="16"/>
                <w:szCs w:val="16"/>
              </w:rPr>
            </w:pPr>
            <w:r w:rsidRPr="0006166F">
              <w:rPr>
                <w:sz w:val="16"/>
                <w:szCs w:val="16"/>
                <w:lang w:bidi="en-US"/>
              </w:rPr>
              <w:t>(2.1) Strengthening the State's capacity to decrease population and territorial gaps with a differential approach</w:t>
            </w:r>
          </w:p>
        </w:tc>
        <w:tc>
          <w:tcPr>
            <w:tcW w:w="920" w:type="pct"/>
            <w:tcBorders>
              <w:top w:val="single" w:sz="4" w:space="0" w:color="auto"/>
              <w:left w:val="single" w:sz="4" w:space="0" w:color="auto"/>
              <w:bottom w:val="single" w:sz="4" w:space="0" w:color="auto"/>
              <w:right w:val="single" w:sz="4" w:space="0" w:color="auto"/>
            </w:tcBorders>
            <w:vAlign w:val="center"/>
          </w:tcPr>
          <w:p w:rsidR="00125F97" w:rsidRPr="00C544A3" w:rsidRDefault="00125F97" w:rsidP="00DF1422">
            <w:pPr>
              <w:rPr>
                <w:sz w:val="16"/>
                <w:szCs w:val="16"/>
              </w:rPr>
            </w:pPr>
            <w:r w:rsidRPr="0006166F">
              <w:rPr>
                <w:sz w:val="16"/>
                <w:szCs w:val="16"/>
                <w:lang w:bidi="en-US"/>
              </w:rPr>
              <w:t xml:space="preserve">Outcome 1.  </w:t>
            </w:r>
            <w:r w:rsidRPr="008E3D13">
              <w:rPr>
                <w:rStyle w:val="Emphasis"/>
                <w:i w:val="0"/>
                <w:sz w:val="16"/>
                <w:szCs w:val="16"/>
              </w:rPr>
              <w:t xml:space="preserve"> Growth is inclusive and sustainable, incorporating productive capacities</w:t>
            </w:r>
            <w:r w:rsidRPr="008E3D13">
              <w:rPr>
                <w:rStyle w:val="FootnoteReference"/>
                <w:i/>
                <w:iCs/>
                <w:sz w:val="16"/>
                <w:szCs w:val="16"/>
              </w:rPr>
              <w:footnoteReference w:id="2"/>
            </w:r>
            <w:r w:rsidRPr="008E3D13">
              <w:rPr>
                <w:rStyle w:val="Emphasis"/>
                <w:i w:val="0"/>
                <w:sz w:val="16"/>
                <w:szCs w:val="16"/>
              </w:rPr>
              <w:t xml:space="preserve"> that create employment and livelihoods for the poor and excluded</w:t>
            </w:r>
          </w:p>
        </w:tc>
        <w:tc>
          <w:tcPr>
            <w:tcW w:w="700" w:type="pct"/>
            <w:tcBorders>
              <w:top w:val="single" w:sz="4" w:space="0" w:color="auto"/>
              <w:left w:val="single" w:sz="4" w:space="0" w:color="auto"/>
              <w:bottom w:val="single" w:sz="4" w:space="0" w:color="auto"/>
              <w:right w:val="single" w:sz="4" w:space="0" w:color="auto"/>
            </w:tcBorders>
            <w:vAlign w:val="center"/>
          </w:tcPr>
          <w:p w:rsidR="00125F97" w:rsidRPr="00475090" w:rsidRDefault="00125F97" w:rsidP="00DF1422">
            <w:pPr>
              <w:rPr>
                <w:sz w:val="16"/>
                <w:szCs w:val="16"/>
                <w:lang w:val="es-CO"/>
              </w:rPr>
            </w:pPr>
            <w:r>
              <w:rPr>
                <w:sz w:val="16"/>
                <w:szCs w:val="16"/>
                <w:lang w:val="es-CO"/>
              </w:rPr>
              <w:t>F</w:t>
            </w:r>
            <w:r w:rsidRPr="00475090">
              <w:rPr>
                <w:sz w:val="16"/>
                <w:szCs w:val="16"/>
                <w:lang w:val="es-CO"/>
              </w:rPr>
              <w:t>inal</w:t>
            </w:r>
            <w:r>
              <w:rPr>
                <w:sz w:val="16"/>
                <w:szCs w:val="16"/>
                <w:lang w:val="es-CO"/>
              </w:rPr>
              <w:t xml:space="preserve"> Project </w:t>
            </w:r>
            <w:proofErr w:type="spellStart"/>
            <w:r>
              <w:rPr>
                <w:sz w:val="16"/>
                <w:szCs w:val="16"/>
                <w:lang w:val="es-CO"/>
              </w:rPr>
              <w:t>evaluation</w:t>
            </w:r>
            <w:proofErr w:type="spellEnd"/>
            <w:r w:rsidRPr="00475090">
              <w:rPr>
                <w:sz w:val="16"/>
                <w:szCs w:val="16"/>
                <w:lang w:val="es-CO"/>
              </w:rPr>
              <w:t xml:space="preserve"> “Conservación de la biodiversidad en paisajes impactados por la minería en la Región del Chocó Biogeográfico”</w:t>
            </w:r>
          </w:p>
        </w:tc>
        <w:tc>
          <w:tcPr>
            <w:tcW w:w="592" w:type="pct"/>
            <w:tcBorders>
              <w:top w:val="single" w:sz="4" w:space="0" w:color="auto"/>
              <w:left w:val="single" w:sz="4" w:space="0" w:color="auto"/>
              <w:bottom w:val="single" w:sz="4" w:space="0" w:color="auto"/>
              <w:right w:val="single" w:sz="4" w:space="0" w:color="auto"/>
            </w:tcBorders>
            <w:vAlign w:val="center"/>
          </w:tcPr>
          <w:p w:rsidR="00125F97" w:rsidRPr="00C544A3" w:rsidRDefault="00125F97" w:rsidP="00DF1422">
            <w:pPr>
              <w:rPr>
                <w:sz w:val="16"/>
                <w:szCs w:val="16"/>
              </w:rPr>
            </w:pPr>
            <w:r w:rsidRPr="0006166F">
              <w:rPr>
                <w:sz w:val="16"/>
                <w:szCs w:val="16"/>
                <w:lang w:bidi="en-US"/>
              </w:rPr>
              <w:t>Ministry of the Environment and Sustainable Development</w:t>
            </w:r>
            <w:r w:rsidRPr="00C544A3">
              <w:rPr>
                <w:sz w:val="16"/>
                <w:szCs w:val="16"/>
              </w:rPr>
              <w:t>, WWF, GEF</w:t>
            </w:r>
          </w:p>
        </w:tc>
        <w:tc>
          <w:tcPr>
            <w:tcW w:w="485" w:type="pct"/>
            <w:tcBorders>
              <w:top w:val="single" w:sz="4" w:space="0" w:color="auto"/>
              <w:left w:val="single" w:sz="4" w:space="0" w:color="auto"/>
              <w:bottom w:val="single" w:sz="4" w:space="0" w:color="auto"/>
              <w:right w:val="single" w:sz="4" w:space="0" w:color="auto"/>
            </w:tcBorders>
            <w:vAlign w:val="center"/>
          </w:tcPr>
          <w:p w:rsidR="00125F97" w:rsidRPr="00475090" w:rsidRDefault="00125F97" w:rsidP="00DF1422">
            <w:pPr>
              <w:rPr>
                <w:sz w:val="16"/>
                <w:szCs w:val="16"/>
                <w:lang w:val="es-CO"/>
              </w:rPr>
            </w:pPr>
            <w:r w:rsidRPr="00475090">
              <w:rPr>
                <w:sz w:val="16"/>
                <w:szCs w:val="16"/>
                <w:lang w:val="es-CO"/>
              </w:rPr>
              <w:t>GEF</w:t>
            </w:r>
          </w:p>
        </w:tc>
        <w:tc>
          <w:tcPr>
            <w:tcW w:w="431" w:type="pct"/>
            <w:tcBorders>
              <w:top w:val="single" w:sz="4" w:space="0" w:color="auto"/>
              <w:left w:val="single" w:sz="4" w:space="0" w:color="auto"/>
              <w:bottom w:val="single" w:sz="4" w:space="0" w:color="auto"/>
              <w:right w:val="single" w:sz="4" w:space="0" w:color="auto"/>
            </w:tcBorders>
            <w:vAlign w:val="center"/>
          </w:tcPr>
          <w:p w:rsidR="00125F97" w:rsidRPr="00475090" w:rsidRDefault="00125F97" w:rsidP="00DF1422">
            <w:pPr>
              <w:rPr>
                <w:sz w:val="16"/>
                <w:szCs w:val="16"/>
                <w:lang w:val="es-CO"/>
              </w:rPr>
            </w:pPr>
            <w:r w:rsidRPr="00475090">
              <w:rPr>
                <w:sz w:val="16"/>
                <w:szCs w:val="16"/>
                <w:lang w:val="es-CO"/>
              </w:rPr>
              <w:t>GEF</w:t>
            </w:r>
            <w:r>
              <w:rPr>
                <w:sz w:val="16"/>
                <w:szCs w:val="16"/>
                <w:lang w:val="es-CO"/>
              </w:rPr>
              <w:t xml:space="preserve"> Project</w:t>
            </w:r>
          </w:p>
        </w:tc>
        <w:tc>
          <w:tcPr>
            <w:tcW w:w="377" w:type="pct"/>
            <w:tcBorders>
              <w:top w:val="single" w:sz="4" w:space="0" w:color="auto"/>
              <w:left w:val="single" w:sz="4" w:space="0" w:color="auto"/>
              <w:bottom w:val="single" w:sz="4" w:space="0" w:color="auto"/>
              <w:right w:val="single" w:sz="4" w:space="0" w:color="auto"/>
            </w:tcBorders>
            <w:vAlign w:val="center"/>
          </w:tcPr>
          <w:p w:rsidR="00125F97" w:rsidRPr="00475090" w:rsidRDefault="00125F97" w:rsidP="00DF1422">
            <w:pPr>
              <w:spacing w:before="40" w:after="40"/>
              <w:rPr>
                <w:sz w:val="16"/>
                <w:szCs w:val="16"/>
                <w:lang w:val="es-CO"/>
              </w:rPr>
            </w:pPr>
            <w:proofErr w:type="spellStart"/>
            <w:r>
              <w:rPr>
                <w:sz w:val="16"/>
                <w:szCs w:val="16"/>
                <w:lang w:val="es-CO"/>
              </w:rPr>
              <w:t>December</w:t>
            </w:r>
            <w:proofErr w:type="spellEnd"/>
            <w:r w:rsidRPr="00475090">
              <w:rPr>
                <w:sz w:val="16"/>
                <w:szCs w:val="16"/>
                <w:lang w:val="es-CO"/>
              </w:rPr>
              <w:t xml:space="preserve"> 2018</w:t>
            </w:r>
          </w:p>
        </w:tc>
        <w:tc>
          <w:tcPr>
            <w:tcW w:w="400" w:type="pct"/>
            <w:tcBorders>
              <w:top w:val="single" w:sz="4" w:space="0" w:color="auto"/>
              <w:left w:val="single" w:sz="4" w:space="0" w:color="auto"/>
              <w:bottom w:val="single" w:sz="4" w:space="0" w:color="auto"/>
              <w:right w:val="single" w:sz="4" w:space="0" w:color="auto"/>
            </w:tcBorders>
            <w:vAlign w:val="center"/>
          </w:tcPr>
          <w:p w:rsidR="00125F97" w:rsidRPr="00475090" w:rsidRDefault="00125F97" w:rsidP="00DF1422">
            <w:pPr>
              <w:rPr>
                <w:sz w:val="16"/>
                <w:szCs w:val="16"/>
                <w:lang w:val="es-CO"/>
              </w:rPr>
            </w:pPr>
            <w:r w:rsidRPr="00475090">
              <w:rPr>
                <w:sz w:val="16"/>
                <w:szCs w:val="16"/>
                <w:lang w:val="es-CO"/>
              </w:rPr>
              <w:t>USD 54.500</w:t>
            </w:r>
          </w:p>
        </w:tc>
        <w:tc>
          <w:tcPr>
            <w:tcW w:w="411" w:type="pct"/>
            <w:tcBorders>
              <w:top w:val="single" w:sz="4" w:space="0" w:color="auto"/>
              <w:left w:val="single" w:sz="4" w:space="0" w:color="auto"/>
              <w:bottom w:val="single" w:sz="4" w:space="0" w:color="auto"/>
              <w:right w:val="single" w:sz="4" w:space="0" w:color="auto"/>
            </w:tcBorders>
            <w:vAlign w:val="center"/>
          </w:tcPr>
          <w:p w:rsidR="00125F97" w:rsidRPr="00335718" w:rsidRDefault="00125F97" w:rsidP="00DF1422">
            <w:pPr>
              <w:rPr>
                <w:sz w:val="16"/>
                <w:szCs w:val="16"/>
                <w:lang w:val="es-CO"/>
              </w:rPr>
            </w:pPr>
            <w:r w:rsidRPr="0006166F">
              <w:rPr>
                <w:sz w:val="16"/>
                <w:szCs w:val="16"/>
                <w:lang w:bidi="en-US"/>
              </w:rPr>
              <w:t>Project Budge</w:t>
            </w:r>
            <w:r>
              <w:rPr>
                <w:sz w:val="16"/>
                <w:szCs w:val="16"/>
                <w:lang w:bidi="en-US"/>
              </w:rPr>
              <w:t>t</w:t>
            </w:r>
          </w:p>
        </w:tc>
      </w:tr>
      <w:tr w:rsidR="00125F97" w:rsidRPr="00335718" w:rsidTr="00DF1422">
        <w:trPr>
          <w:trHeight w:val="1262"/>
        </w:trPr>
        <w:tc>
          <w:tcPr>
            <w:tcW w:w="684"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lang w:bidi="en-US"/>
              </w:rPr>
            </w:pPr>
            <w:r w:rsidRPr="0006166F">
              <w:rPr>
                <w:sz w:val="16"/>
                <w:szCs w:val="16"/>
                <w:lang w:bidi="en-US"/>
              </w:rPr>
              <w:t>(1.3) Strengthening national and territorial capacities to transition toward peace.</w:t>
            </w:r>
          </w:p>
        </w:tc>
        <w:tc>
          <w:tcPr>
            <w:tcW w:w="920"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lang w:bidi="en-US"/>
              </w:rPr>
            </w:pPr>
            <w:r w:rsidRPr="0006166F">
              <w:rPr>
                <w:sz w:val="16"/>
                <w:szCs w:val="16"/>
                <w:lang w:bidi="en-US"/>
              </w:rPr>
              <w:t>Outcome 6</w:t>
            </w:r>
            <w:r>
              <w:rPr>
                <w:sz w:val="16"/>
                <w:szCs w:val="16"/>
                <w:lang w:bidi="en-US"/>
              </w:rPr>
              <w:t>:</w:t>
            </w:r>
            <w:r w:rsidRPr="0006166F">
              <w:rPr>
                <w:sz w:val="16"/>
                <w:szCs w:val="16"/>
                <w:lang w:bidi="en-US"/>
              </w:rPr>
              <w:t xml:space="preserve"> </w:t>
            </w:r>
            <w:r w:rsidRPr="003E4611">
              <w:rPr>
                <w:sz w:val="16"/>
                <w:szCs w:val="16"/>
                <w:lang w:bidi="en-US"/>
              </w:rPr>
              <w:t>Early recovery and rapid return to sustainable development pathways are achieved in post-conflict and post-disaster situations</w:t>
            </w:r>
          </w:p>
        </w:tc>
        <w:tc>
          <w:tcPr>
            <w:tcW w:w="700" w:type="pct"/>
            <w:tcBorders>
              <w:top w:val="single" w:sz="4" w:space="0" w:color="auto"/>
              <w:left w:val="single" w:sz="4" w:space="0" w:color="auto"/>
              <w:right w:val="single" w:sz="4" w:space="0" w:color="auto"/>
            </w:tcBorders>
            <w:vAlign w:val="center"/>
          </w:tcPr>
          <w:p w:rsidR="00125F97" w:rsidRPr="009B6BC8" w:rsidRDefault="00125F97" w:rsidP="00DF1422">
            <w:pPr>
              <w:rPr>
                <w:sz w:val="16"/>
                <w:szCs w:val="16"/>
                <w:lang w:bidi="en-US"/>
              </w:rPr>
            </w:pPr>
            <w:r>
              <w:rPr>
                <w:sz w:val="16"/>
                <w:szCs w:val="16"/>
                <w:lang w:bidi="en-US"/>
              </w:rPr>
              <w:t>F</w:t>
            </w:r>
            <w:r w:rsidRPr="009B6BC8">
              <w:rPr>
                <w:sz w:val="16"/>
                <w:szCs w:val="16"/>
                <w:lang w:bidi="en-US"/>
              </w:rPr>
              <w:t xml:space="preserve">inal evaluation of the project “Strategy for Extractive industries in Guajira” </w:t>
            </w:r>
          </w:p>
        </w:tc>
        <w:tc>
          <w:tcPr>
            <w:tcW w:w="592" w:type="pct"/>
            <w:tcBorders>
              <w:top w:val="single" w:sz="4" w:space="0" w:color="auto"/>
              <w:left w:val="single" w:sz="4" w:space="0" w:color="auto"/>
              <w:right w:val="single" w:sz="4" w:space="0" w:color="auto"/>
            </w:tcBorders>
            <w:vAlign w:val="center"/>
          </w:tcPr>
          <w:p w:rsidR="00125F97" w:rsidRPr="008600D4" w:rsidRDefault="00125F97" w:rsidP="00DF1422">
            <w:pPr>
              <w:rPr>
                <w:sz w:val="16"/>
                <w:szCs w:val="16"/>
                <w:lang w:bidi="en-US"/>
              </w:rPr>
            </w:pPr>
            <w:r>
              <w:rPr>
                <w:sz w:val="16"/>
                <w:szCs w:val="16"/>
                <w:lang w:bidi="en-US"/>
              </w:rPr>
              <w:t>UNDP</w:t>
            </w:r>
          </w:p>
        </w:tc>
        <w:tc>
          <w:tcPr>
            <w:tcW w:w="485" w:type="pct"/>
            <w:tcBorders>
              <w:top w:val="single" w:sz="4" w:space="0" w:color="auto"/>
              <w:left w:val="single" w:sz="4" w:space="0" w:color="auto"/>
              <w:right w:val="single" w:sz="4" w:space="0" w:color="auto"/>
            </w:tcBorders>
            <w:vAlign w:val="center"/>
          </w:tcPr>
          <w:p w:rsidR="00125F97" w:rsidRPr="008600D4" w:rsidRDefault="00125F97" w:rsidP="00DF1422">
            <w:pPr>
              <w:rPr>
                <w:sz w:val="16"/>
                <w:szCs w:val="16"/>
                <w:lang w:bidi="en-US"/>
              </w:rPr>
            </w:pPr>
            <w:r w:rsidRPr="008600D4">
              <w:rPr>
                <w:sz w:val="16"/>
                <w:szCs w:val="16"/>
                <w:lang w:bidi="en-US"/>
              </w:rPr>
              <w:t>N/A</w:t>
            </w:r>
          </w:p>
        </w:tc>
        <w:tc>
          <w:tcPr>
            <w:tcW w:w="431" w:type="pct"/>
            <w:tcBorders>
              <w:top w:val="single" w:sz="4" w:space="0" w:color="auto"/>
              <w:left w:val="single" w:sz="4" w:space="0" w:color="auto"/>
              <w:right w:val="single" w:sz="4" w:space="0" w:color="auto"/>
            </w:tcBorders>
            <w:vAlign w:val="center"/>
          </w:tcPr>
          <w:p w:rsidR="00125F97" w:rsidRPr="0006166F" w:rsidRDefault="00125F97" w:rsidP="00DF1422">
            <w:pPr>
              <w:rPr>
                <w:sz w:val="16"/>
                <w:szCs w:val="16"/>
              </w:rPr>
            </w:pPr>
            <w:r w:rsidRPr="0006166F">
              <w:rPr>
                <w:sz w:val="16"/>
                <w:szCs w:val="16"/>
                <w:lang w:bidi="en-US"/>
              </w:rPr>
              <w:t>Program/</w:t>
            </w:r>
          </w:p>
          <w:p w:rsidR="00125F97" w:rsidRPr="008600D4" w:rsidRDefault="00125F97" w:rsidP="00DF1422">
            <w:pPr>
              <w:rPr>
                <w:sz w:val="16"/>
                <w:szCs w:val="16"/>
                <w:lang w:bidi="en-US"/>
              </w:rPr>
            </w:pPr>
            <w:r w:rsidRPr="0006166F">
              <w:rPr>
                <w:sz w:val="16"/>
                <w:szCs w:val="16"/>
                <w:lang w:bidi="en-US"/>
              </w:rPr>
              <w:t>Project</w:t>
            </w:r>
          </w:p>
        </w:tc>
        <w:tc>
          <w:tcPr>
            <w:tcW w:w="377" w:type="pct"/>
            <w:tcBorders>
              <w:top w:val="single" w:sz="4" w:space="0" w:color="auto"/>
              <w:left w:val="single" w:sz="4" w:space="0" w:color="auto"/>
              <w:right w:val="single" w:sz="4" w:space="0" w:color="auto"/>
            </w:tcBorders>
            <w:vAlign w:val="center"/>
          </w:tcPr>
          <w:p w:rsidR="00125F97" w:rsidRPr="008600D4" w:rsidRDefault="00125F97" w:rsidP="00DF1422">
            <w:pPr>
              <w:spacing w:before="40" w:after="40"/>
              <w:rPr>
                <w:sz w:val="16"/>
                <w:szCs w:val="16"/>
                <w:lang w:bidi="en-US"/>
              </w:rPr>
            </w:pPr>
            <w:r>
              <w:rPr>
                <w:sz w:val="16"/>
                <w:szCs w:val="16"/>
                <w:lang w:bidi="en-US"/>
              </w:rPr>
              <w:t>March</w:t>
            </w:r>
            <w:r w:rsidRPr="008600D4">
              <w:rPr>
                <w:sz w:val="16"/>
                <w:szCs w:val="16"/>
                <w:lang w:bidi="en-US"/>
              </w:rPr>
              <w:t xml:space="preserve"> 2018</w:t>
            </w:r>
          </w:p>
        </w:tc>
        <w:tc>
          <w:tcPr>
            <w:tcW w:w="400" w:type="pct"/>
            <w:tcBorders>
              <w:top w:val="single" w:sz="4" w:space="0" w:color="auto"/>
              <w:left w:val="single" w:sz="4" w:space="0" w:color="auto"/>
              <w:right w:val="single" w:sz="4" w:space="0" w:color="auto"/>
            </w:tcBorders>
            <w:vAlign w:val="center"/>
          </w:tcPr>
          <w:p w:rsidR="00125F97" w:rsidRPr="008600D4" w:rsidRDefault="00125F97" w:rsidP="00DF1422">
            <w:pPr>
              <w:rPr>
                <w:sz w:val="16"/>
                <w:szCs w:val="16"/>
                <w:lang w:bidi="en-US"/>
              </w:rPr>
            </w:pPr>
            <w:r>
              <w:rPr>
                <w:sz w:val="16"/>
                <w:szCs w:val="16"/>
                <w:lang w:bidi="en-US"/>
              </w:rPr>
              <w:t xml:space="preserve">USD </w:t>
            </w:r>
            <w:r w:rsidRPr="008600D4">
              <w:rPr>
                <w:sz w:val="16"/>
                <w:szCs w:val="16"/>
                <w:lang w:bidi="en-US"/>
              </w:rPr>
              <w:t>20.000</w:t>
            </w:r>
          </w:p>
        </w:tc>
        <w:tc>
          <w:tcPr>
            <w:tcW w:w="411" w:type="pct"/>
            <w:tcBorders>
              <w:top w:val="single" w:sz="4" w:space="0" w:color="auto"/>
              <w:left w:val="single" w:sz="4" w:space="0" w:color="auto"/>
              <w:right w:val="single" w:sz="4" w:space="0" w:color="auto"/>
            </w:tcBorders>
            <w:vAlign w:val="center"/>
          </w:tcPr>
          <w:p w:rsidR="00125F97" w:rsidRPr="008600D4" w:rsidRDefault="00125F97" w:rsidP="00DF1422">
            <w:pPr>
              <w:rPr>
                <w:sz w:val="16"/>
                <w:szCs w:val="16"/>
                <w:lang w:bidi="en-US"/>
              </w:rPr>
            </w:pPr>
            <w:r w:rsidRPr="0006166F">
              <w:rPr>
                <w:sz w:val="16"/>
                <w:szCs w:val="16"/>
                <w:lang w:bidi="en-US"/>
              </w:rPr>
              <w:t>Project Budge</w:t>
            </w:r>
            <w:r>
              <w:rPr>
                <w:sz w:val="16"/>
                <w:szCs w:val="16"/>
                <w:lang w:bidi="en-US"/>
              </w:rPr>
              <w:t>t</w:t>
            </w:r>
          </w:p>
        </w:tc>
      </w:tr>
    </w:tbl>
    <w:p w:rsidR="00125F97" w:rsidRDefault="00125F97" w:rsidP="00125F97">
      <w:pPr>
        <w:rPr>
          <w:rFonts w:ascii="Times" w:hAnsi="Times"/>
        </w:rPr>
      </w:pPr>
      <w:bookmarkStart w:id="0" w:name="_GoBack"/>
      <w:bookmarkEnd w:id="0"/>
    </w:p>
    <w:sectPr w:rsidR="00125F97" w:rsidSect="00125F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AD8" w:rsidRDefault="00D05AD8" w:rsidP="00125F97">
      <w:r>
        <w:separator/>
      </w:r>
    </w:p>
  </w:endnote>
  <w:endnote w:type="continuationSeparator" w:id="0">
    <w:p w:rsidR="00D05AD8" w:rsidRDefault="00D05AD8" w:rsidP="0012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AD8" w:rsidRDefault="00D05AD8" w:rsidP="00125F97">
      <w:r>
        <w:separator/>
      </w:r>
    </w:p>
  </w:footnote>
  <w:footnote w:type="continuationSeparator" w:id="0">
    <w:p w:rsidR="00D05AD8" w:rsidRDefault="00D05AD8" w:rsidP="00125F97">
      <w:r>
        <w:continuationSeparator/>
      </w:r>
    </w:p>
  </w:footnote>
  <w:footnote w:id="1">
    <w:p w:rsidR="00125F97" w:rsidRPr="009040C6" w:rsidRDefault="00125F97" w:rsidP="00125F97">
      <w:pPr>
        <w:pStyle w:val="FootnoteText"/>
        <w:jc w:val="both"/>
        <w:rPr>
          <w:sz w:val="16"/>
          <w:szCs w:val="16"/>
        </w:rPr>
      </w:pPr>
    </w:p>
  </w:footnote>
  <w:footnote w:id="2">
    <w:p w:rsidR="00125F97" w:rsidRPr="009040C6" w:rsidRDefault="00125F97" w:rsidP="00125F97">
      <w:pPr>
        <w:pStyle w:val="FootnoteText"/>
        <w:jc w:val="both"/>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97"/>
    <w:rsid w:val="000623DB"/>
    <w:rsid w:val="000D295E"/>
    <w:rsid w:val="00107524"/>
    <w:rsid w:val="00125F97"/>
    <w:rsid w:val="002044AD"/>
    <w:rsid w:val="008C3791"/>
    <w:rsid w:val="00D0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9C1-A972-4AB7-9634-E049ADC6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9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o nota pie Mach1,FA Fu,Footnote Text Char Char Char Char Char,Footnote Text Char Char Char Char Char Char Char Char Char Char,Footnote Text Char Char Char Char Char Char Char Char Char Char Char Char,Footnote Text2,ft,footnote text,f"/>
    <w:basedOn w:val="Normal"/>
    <w:link w:val="FootnoteTextChar"/>
    <w:uiPriority w:val="99"/>
    <w:rsid w:val="00125F97"/>
    <w:pPr>
      <w:widowControl w:val="0"/>
    </w:pPr>
    <w:rPr>
      <w:rFonts w:ascii="Courier" w:hAnsi="Courier"/>
    </w:rPr>
  </w:style>
  <w:style w:type="character" w:customStyle="1" w:styleId="FootnoteTextChar">
    <w:name w:val="Footnote Text Char"/>
    <w:aliases w:val="Texto nota pie Mach1 Char,FA Fu Char,Footnote Text Char Char Char Char Char Char,Footnote Text Char Char Char Char Char Char Char Char Char Char Char,Footnote Text Char Char Char Char Char Char Char Char Char Char Char Char Char"/>
    <w:basedOn w:val="DefaultParagraphFont"/>
    <w:link w:val="FootnoteText"/>
    <w:uiPriority w:val="99"/>
    <w:rsid w:val="00125F97"/>
    <w:rPr>
      <w:rFonts w:ascii="Courier" w:eastAsia="Times New Roman" w:hAnsi="Courier" w:cs="Times New Roman"/>
      <w:sz w:val="20"/>
      <w:szCs w:val="20"/>
    </w:rPr>
  </w:style>
  <w:style w:type="character" w:styleId="FootnoteReference">
    <w:name w:val="footnote reference"/>
    <w:aliases w:val="ftref,16 Point,Superscript 6 Point,BVI fnr,Appel note de bas de p,Footnote Reference1,Ref,de nota al pie,BVI fnr Car Car,BVI fnr Car,BVI fnr Car Car Car Car,BVI fnr Car Car Car Car Char,Texto de nota al pie,4_G,referencia nota al pie"/>
    <w:uiPriority w:val="99"/>
    <w:rsid w:val="00125F97"/>
    <w:rPr>
      <w:rFonts w:cs="Times New Roman"/>
      <w:vertAlign w:val="superscript"/>
    </w:rPr>
  </w:style>
  <w:style w:type="character" w:styleId="CommentReference">
    <w:name w:val="annotation reference"/>
    <w:semiHidden/>
    <w:rsid w:val="00125F97"/>
    <w:rPr>
      <w:rFonts w:cs="Times New Roman"/>
      <w:sz w:val="6"/>
      <w:szCs w:val="6"/>
    </w:rPr>
  </w:style>
  <w:style w:type="character" w:styleId="Emphasis">
    <w:name w:val="Emphasis"/>
    <w:qFormat/>
    <w:rsid w:val="00125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Murray</dc:creator>
  <cp:keywords/>
  <dc:description/>
  <cp:lastModifiedBy>Svetlana Iazykova</cp:lastModifiedBy>
  <cp:revision>3</cp:revision>
  <dcterms:created xsi:type="dcterms:W3CDTF">2015-06-03T19:38:00Z</dcterms:created>
  <dcterms:modified xsi:type="dcterms:W3CDTF">2015-06-03T19:38:00Z</dcterms:modified>
</cp:coreProperties>
</file>