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DFAA1" w14:textId="77777777" w:rsidR="000D4845" w:rsidRDefault="000D4845">
      <w:pPr>
        <w:rPr>
          <w:rFonts w:asciiTheme="minorHAnsi" w:hAnsiTheme="minorHAnsi"/>
          <w:b/>
          <w:color w:val="auto"/>
          <w:sz w:val="32"/>
          <w:szCs w:val="32"/>
          <w:lang w:val="en-US"/>
        </w:rPr>
      </w:pPr>
      <w:bookmarkStart w:id="0" w:name="_GoBack"/>
      <w:bookmarkEnd w:id="0"/>
    </w:p>
    <w:p w14:paraId="3D64D937" w14:textId="77777777" w:rsidR="000D4845" w:rsidRPr="00E61194" w:rsidRDefault="000D4845" w:rsidP="000D4845">
      <w:pPr>
        <w:spacing w:after="0" w:line="240" w:lineRule="auto"/>
        <w:jc w:val="center"/>
        <w:rPr>
          <w:rFonts w:asciiTheme="minorHAnsi" w:hAnsiTheme="minorHAnsi"/>
          <w:b/>
          <w:color w:val="auto"/>
          <w:sz w:val="32"/>
          <w:szCs w:val="32"/>
          <w:lang w:val="en-US"/>
        </w:rPr>
      </w:pPr>
      <w:r>
        <w:rPr>
          <w:rFonts w:asciiTheme="minorHAnsi" w:hAnsiTheme="minorHAnsi"/>
          <w:b/>
          <w:color w:val="auto"/>
          <w:sz w:val="32"/>
          <w:szCs w:val="32"/>
          <w:lang w:val="en-US"/>
        </w:rPr>
        <w:t xml:space="preserve">UNCDF </w:t>
      </w:r>
      <w:r w:rsidRPr="00E61194">
        <w:rPr>
          <w:rFonts w:asciiTheme="minorHAnsi" w:hAnsiTheme="minorHAnsi"/>
          <w:b/>
          <w:color w:val="auto"/>
          <w:sz w:val="32"/>
          <w:szCs w:val="32"/>
          <w:lang w:val="en-US"/>
        </w:rPr>
        <w:t>STRATEGIC FRAMEWORK: 2014-2017</w:t>
      </w:r>
    </w:p>
    <w:p w14:paraId="60EDEE04" w14:textId="77777777" w:rsidR="000D4845" w:rsidRDefault="000D4845" w:rsidP="000D4845">
      <w:pPr>
        <w:spacing w:after="0" w:line="240" w:lineRule="auto"/>
        <w:jc w:val="center"/>
        <w:rPr>
          <w:rFonts w:asciiTheme="minorHAnsi" w:hAnsiTheme="minorHAnsi"/>
          <w:b/>
          <w:color w:val="auto"/>
          <w:sz w:val="32"/>
          <w:szCs w:val="32"/>
          <w:lang w:val="en-US"/>
        </w:rPr>
      </w:pPr>
      <w:r w:rsidRPr="00E61194">
        <w:rPr>
          <w:rFonts w:asciiTheme="minorHAnsi" w:hAnsiTheme="minorHAnsi"/>
          <w:b/>
          <w:color w:val="auto"/>
          <w:sz w:val="32"/>
          <w:szCs w:val="32"/>
          <w:lang w:val="en-US"/>
        </w:rPr>
        <w:t>Integrated Results and Resources Matrix</w:t>
      </w:r>
    </w:p>
    <w:p w14:paraId="22D103E5" w14:textId="77777777" w:rsidR="000D4845" w:rsidRPr="00E61194" w:rsidRDefault="000D4845" w:rsidP="000D4845">
      <w:pPr>
        <w:spacing w:after="0" w:line="240" w:lineRule="auto"/>
        <w:jc w:val="both"/>
        <w:rPr>
          <w:lang w:val="en-US"/>
        </w:rPr>
      </w:pPr>
    </w:p>
    <w:p w14:paraId="478F2602" w14:textId="77777777" w:rsidR="000D4845" w:rsidRPr="00E61194" w:rsidRDefault="000D4845" w:rsidP="000D4845">
      <w:pPr>
        <w:shd w:val="clear" w:color="auto" w:fill="A6A6A6" w:themeFill="background1" w:themeFillShade="A6"/>
        <w:spacing w:after="0" w:line="240" w:lineRule="auto"/>
        <w:rPr>
          <w:b/>
          <w:sz w:val="24"/>
          <w:szCs w:val="24"/>
          <w:lang w:val="en-US"/>
        </w:rPr>
      </w:pPr>
      <w:r w:rsidRPr="00E61194">
        <w:rPr>
          <w:rFonts w:asciiTheme="minorHAnsi" w:hAnsiTheme="minorHAnsi"/>
          <w:b/>
          <w:sz w:val="24"/>
          <w:szCs w:val="24"/>
          <w:lang w:val="en-US"/>
        </w:rPr>
        <w:t>I.</w:t>
      </w:r>
      <w:r w:rsidRPr="00E61194">
        <w:rPr>
          <w:rFonts w:asciiTheme="minorHAnsi" w:hAnsiTheme="minorHAnsi"/>
          <w:b/>
          <w:sz w:val="24"/>
          <w:szCs w:val="24"/>
          <w:lang w:val="en-US"/>
        </w:rPr>
        <w:tab/>
        <w:t>Introduction</w:t>
      </w:r>
    </w:p>
    <w:p w14:paraId="59B1EEF2" w14:textId="77777777" w:rsidR="000D4845" w:rsidRPr="00E61194" w:rsidRDefault="000D4845" w:rsidP="000D4845">
      <w:pPr>
        <w:spacing w:after="0" w:line="240" w:lineRule="auto"/>
        <w:rPr>
          <w:rFonts w:asciiTheme="minorHAnsi" w:hAnsiTheme="minorHAnsi"/>
          <w:b/>
          <w:color w:val="auto"/>
          <w:lang w:val="en-US"/>
        </w:rPr>
      </w:pPr>
    </w:p>
    <w:p w14:paraId="1A289A0D" w14:textId="77777777" w:rsidR="000D4845" w:rsidRPr="00E61194" w:rsidRDefault="000D4845" w:rsidP="000D4845">
      <w:pPr>
        <w:spacing w:after="0" w:line="240" w:lineRule="auto"/>
        <w:jc w:val="both"/>
        <w:rPr>
          <w:rFonts w:asciiTheme="minorHAnsi" w:hAnsiTheme="minorHAnsi"/>
          <w:color w:val="auto"/>
          <w:lang w:val="en-US"/>
        </w:rPr>
      </w:pPr>
      <w:r w:rsidRPr="00E61194">
        <w:rPr>
          <w:rFonts w:asciiTheme="minorHAnsi" w:hAnsiTheme="minorHAnsi"/>
          <w:color w:val="auto"/>
          <w:lang w:val="en-US"/>
        </w:rPr>
        <w:t>The Integrated Results and Resources Matrix (IRRM) translates UN</w:t>
      </w:r>
      <w:r>
        <w:rPr>
          <w:rFonts w:asciiTheme="minorHAnsi" w:hAnsiTheme="minorHAnsi"/>
          <w:color w:val="auto"/>
          <w:lang w:val="en-US"/>
        </w:rPr>
        <w:t>CDF</w:t>
      </w:r>
      <w:r w:rsidR="00153752">
        <w:rPr>
          <w:rFonts w:asciiTheme="minorHAnsi" w:hAnsiTheme="minorHAnsi"/>
          <w:color w:val="auto"/>
          <w:lang w:val="en-US"/>
        </w:rPr>
        <w:t>’s</w:t>
      </w:r>
      <w:r w:rsidRPr="00E61194">
        <w:rPr>
          <w:rFonts w:asciiTheme="minorHAnsi" w:hAnsiTheme="minorHAnsi"/>
          <w:color w:val="auto"/>
          <w:lang w:val="en-US"/>
        </w:rPr>
        <w:t xml:space="preserve"> Strategic Framework 2014-2017 into results that allow UN</w:t>
      </w:r>
      <w:r>
        <w:rPr>
          <w:rFonts w:asciiTheme="minorHAnsi" w:hAnsiTheme="minorHAnsi"/>
          <w:color w:val="auto"/>
          <w:lang w:val="en-US"/>
        </w:rPr>
        <w:t>CDF</w:t>
      </w:r>
      <w:r w:rsidRPr="00E61194">
        <w:rPr>
          <w:rFonts w:asciiTheme="minorHAnsi" w:hAnsiTheme="minorHAnsi"/>
          <w:color w:val="auto"/>
          <w:lang w:val="en-US"/>
        </w:rPr>
        <w:t xml:space="preserve"> and stakeholders to monitor </w:t>
      </w:r>
      <w:r>
        <w:rPr>
          <w:rFonts w:asciiTheme="minorHAnsi" w:hAnsiTheme="minorHAnsi"/>
          <w:color w:val="auto"/>
          <w:lang w:val="en-US"/>
        </w:rPr>
        <w:t xml:space="preserve">and evaluate </w:t>
      </w:r>
      <w:r w:rsidRPr="00E61194">
        <w:rPr>
          <w:rFonts w:asciiTheme="minorHAnsi" w:hAnsiTheme="minorHAnsi"/>
          <w:color w:val="auto"/>
          <w:lang w:val="en-US"/>
        </w:rPr>
        <w:t xml:space="preserve">achievements, learn lessons, and hold the organization accountable for the funds </w:t>
      </w:r>
      <w:r>
        <w:rPr>
          <w:rFonts w:asciiTheme="minorHAnsi" w:hAnsiTheme="minorHAnsi"/>
          <w:color w:val="auto"/>
          <w:lang w:val="en-US"/>
        </w:rPr>
        <w:t xml:space="preserve">given </w:t>
      </w:r>
      <w:r w:rsidRPr="00E61194">
        <w:rPr>
          <w:rFonts w:asciiTheme="minorHAnsi" w:hAnsiTheme="minorHAnsi"/>
          <w:color w:val="auto"/>
          <w:lang w:val="en-US"/>
        </w:rPr>
        <w:t>to it.</w:t>
      </w:r>
    </w:p>
    <w:p w14:paraId="22AA99ED" w14:textId="77777777" w:rsidR="000D4845" w:rsidRDefault="000D4845" w:rsidP="000D4845">
      <w:pPr>
        <w:spacing w:after="0" w:line="240" w:lineRule="auto"/>
        <w:jc w:val="both"/>
        <w:rPr>
          <w:rFonts w:asciiTheme="minorHAnsi" w:hAnsiTheme="minorHAnsi"/>
          <w:color w:val="auto"/>
          <w:lang w:val="en-US"/>
        </w:rPr>
      </w:pPr>
    </w:p>
    <w:p w14:paraId="05DFCB3B" w14:textId="77777777" w:rsidR="000D4845" w:rsidRDefault="000D4845" w:rsidP="000D4845">
      <w:pPr>
        <w:spacing w:after="0" w:line="240" w:lineRule="auto"/>
        <w:jc w:val="both"/>
        <w:rPr>
          <w:rFonts w:asciiTheme="minorHAnsi" w:hAnsiTheme="minorHAnsi"/>
          <w:color w:val="auto"/>
          <w:lang w:val="en-US"/>
        </w:rPr>
      </w:pPr>
      <w:r>
        <w:rPr>
          <w:rFonts w:asciiTheme="minorHAnsi" w:hAnsiTheme="minorHAnsi"/>
          <w:color w:val="auto"/>
          <w:lang w:val="en-US"/>
        </w:rPr>
        <w:t>It is backed up by a results-focused monitoring and evaluation system which will enable regular internal assessment and external evaluation of progress towards results and allow informed, evidence-based management of the full range of UNCDF’s interventions.</w:t>
      </w:r>
    </w:p>
    <w:p w14:paraId="75843766" w14:textId="77777777" w:rsidR="000D4845" w:rsidRPr="00E61194" w:rsidRDefault="000D4845" w:rsidP="000D4845">
      <w:pPr>
        <w:spacing w:after="0" w:line="240" w:lineRule="auto"/>
        <w:jc w:val="both"/>
        <w:rPr>
          <w:rFonts w:asciiTheme="minorHAnsi" w:hAnsiTheme="minorHAnsi"/>
          <w:color w:val="auto"/>
          <w:lang w:val="en-US"/>
        </w:rPr>
      </w:pPr>
    </w:p>
    <w:p w14:paraId="6C4E4142" w14:textId="77777777" w:rsidR="000D4845" w:rsidRPr="00E61194" w:rsidRDefault="000D4845" w:rsidP="000D4845">
      <w:pPr>
        <w:spacing w:after="0" w:line="240" w:lineRule="auto"/>
        <w:jc w:val="both"/>
        <w:rPr>
          <w:rFonts w:asciiTheme="minorHAnsi" w:hAnsiTheme="minorHAnsi"/>
          <w:color w:val="auto"/>
          <w:lang w:val="en-US"/>
        </w:rPr>
      </w:pPr>
      <w:r w:rsidRPr="00E61194">
        <w:rPr>
          <w:rFonts w:asciiTheme="minorHAnsi" w:hAnsiTheme="minorHAnsi"/>
          <w:color w:val="auto"/>
          <w:lang w:val="en-US"/>
        </w:rPr>
        <w:t xml:space="preserve">The IRRM consists of </w:t>
      </w:r>
      <w:r>
        <w:rPr>
          <w:rFonts w:asciiTheme="minorHAnsi" w:hAnsiTheme="minorHAnsi"/>
          <w:color w:val="auto"/>
          <w:lang w:val="en-US"/>
        </w:rPr>
        <w:t>a detailed planning matrix covering two distinct categories of results</w:t>
      </w:r>
      <w:r w:rsidRPr="00E61194">
        <w:rPr>
          <w:rFonts w:asciiTheme="minorHAnsi" w:hAnsiTheme="minorHAnsi"/>
          <w:color w:val="auto"/>
          <w:lang w:val="en-US"/>
        </w:rPr>
        <w:t>:</w:t>
      </w:r>
    </w:p>
    <w:p w14:paraId="112A6EE6" w14:textId="77777777" w:rsidR="000D4845" w:rsidRPr="00E61194" w:rsidRDefault="000D4845" w:rsidP="000D4845">
      <w:pPr>
        <w:spacing w:after="0" w:line="240" w:lineRule="auto"/>
        <w:jc w:val="both"/>
        <w:rPr>
          <w:rFonts w:asciiTheme="minorHAnsi" w:hAnsiTheme="minorHAnsi"/>
          <w:color w:val="auto"/>
          <w:lang w:val="en-US"/>
        </w:rPr>
      </w:pPr>
    </w:p>
    <w:p w14:paraId="23ED3304" w14:textId="77777777" w:rsidR="000D4845" w:rsidRPr="00FE5B0A" w:rsidRDefault="000D4845" w:rsidP="000D4845">
      <w:pPr>
        <w:pStyle w:val="ListParagraph"/>
        <w:numPr>
          <w:ilvl w:val="0"/>
          <w:numId w:val="16"/>
        </w:numPr>
        <w:spacing w:after="0" w:line="240" w:lineRule="auto"/>
        <w:jc w:val="both"/>
      </w:pPr>
      <w:r w:rsidRPr="000D4845">
        <w:rPr>
          <w:u w:val="single"/>
        </w:rPr>
        <w:t>Planned development results</w:t>
      </w:r>
      <w:r>
        <w:t>, starting with three</w:t>
      </w:r>
      <w:r w:rsidRPr="00E61194">
        <w:t xml:space="preserve"> </w:t>
      </w:r>
      <w:proofErr w:type="spellStart"/>
      <w:r w:rsidRPr="00FE5B0A">
        <w:t>programm</w:t>
      </w:r>
      <w:r w:rsidR="00FE5B0A" w:rsidRPr="00FE5B0A">
        <w:t>e</w:t>
      </w:r>
      <w:proofErr w:type="spellEnd"/>
      <w:r w:rsidRPr="00FE5B0A">
        <w:t xml:space="preserve"> outcomes that UNCDF aims to contribute to, and the outputs that will lead to their achievement. </w:t>
      </w:r>
    </w:p>
    <w:p w14:paraId="5DCAE28A" w14:textId="77777777" w:rsidR="000D4845" w:rsidRPr="00FE5B0A" w:rsidRDefault="000D4845" w:rsidP="000D4845">
      <w:pPr>
        <w:pStyle w:val="ListParagraph"/>
        <w:spacing w:after="0" w:line="240" w:lineRule="auto"/>
        <w:jc w:val="both"/>
      </w:pPr>
    </w:p>
    <w:p w14:paraId="4B61A9EA" w14:textId="77777777" w:rsidR="00153752" w:rsidRDefault="000D4845" w:rsidP="000D4845">
      <w:pPr>
        <w:pStyle w:val="ListParagraph"/>
        <w:numPr>
          <w:ilvl w:val="0"/>
          <w:numId w:val="16"/>
        </w:numPr>
        <w:spacing w:after="0" w:line="240" w:lineRule="auto"/>
        <w:jc w:val="both"/>
      </w:pPr>
      <w:r w:rsidRPr="00FE5B0A">
        <w:t xml:space="preserve">Improvements in </w:t>
      </w:r>
      <w:r w:rsidRPr="00FE5B0A">
        <w:rPr>
          <w:u w:val="single"/>
        </w:rPr>
        <w:t>institutional effectiveness within UNCDF</w:t>
      </w:r>
      <w:r w:rsidRPr="00FE5B0A">
        <w:t xml:space="preserve">, which will support the achievement of the </w:t>
      </w:r>
      <w:proofErr w:type="spellStart"/>
      <w:r w:rsidRPr="00FE5B0A">
        <w:t>programm</w:t>
      </w:r>
      <w:r w:rsidR="00FE5B0A" w:rsidRPr="00FE5B0A">
        <w:t>e</w:t>
      </w:r>
      <w:proofErr w:type="spellEnd"/>
      <w:r w:rsidRPr="00FE5B0A">
        <w:t xml:space="preserve"> outcomes.</w:t>
      </w:r>
    </w:p>
    <w:p w14:paraId="7CC0516B" w14:textId="77777777" w:rsidR="00153752" w:rsidRDefault="00153752" w:rsidP="00153752">
      <w:pPr>
        <w:spacing w:after="0" w:line="240" w:lineRule="auto"/>
        <w:jc w:val="both"/>
      </w:pPr>
    </w:p>
    <w:p w14:paraId="790066C9" w14:textId="77777777" w:rsidR="000D4845" w:rsidRPr="00153752" w:rsidRDefault="000D4845" w:rsidP="00B46548">
      <w:pPr>
        <w:spacing w:after="0" w:line="240" w:lineRule="auto"/>
        <w:jc w:val="both"/>
        <w:rPr>
          <w:rFonts w:asciiTheme="minorHAnsi" w:hAnsiTheme="minorHAnsi"/>
        </w:rPr>
      </w:pPr>
      <w:r w:rsidRPr="00153752">
        <w:rPr>
          <w:rFonts w:asciiTheme="minorHAnsi" w:hAnsiTheme="minorHAnsi"/>
        </w:rPr>
        <w:t>These are all measured with indicators, which in turn will guide the development of activities to deliver the outputs.</w:t>
      </w:r>
    </w:p>
    <w:p w14:paraId="1F742309" w14:textId="77777777" w:rsidR="000D4845" w:rsidRPr="00153752" w:rsidRDefault="000D4845" w:rsidP="000D4845">
      <w:pPr>
        <w:spacing w:after="0" w:line="240" w:lineRule="auto"/>
        <w:jc w:val="both"/>
        <w:rPr>
          <w:rFonts w:asciiTheme="minorHAnsi" w:hAnsiTheme="minorHAnsi"/>
        </w:rPr>
      </w:pPr>
    </w:p>
    <w:p w14:paraId="4570C70B" w14:textId="77777777" w:rsidR="000D4845" w:rsidRPr="00153752" w:rsidRDefault="000D4845" w:rsidP="000D4845">
      <w:pPr>
        <w:spacing w:after="0" w:line="240" w:lineRule="auto"/>
        <w:jc w:val="both"/>
        <w:rPr>
          <w:rFonts w:asciiTheme="minorHAnsi" w:hAnsiTheme="minorHAnsi"/>
        </w:rPr>
      </w:pPr>
      <w:r w:rsidRPr="00153752">
        <w:rPr>
          <w:rFonts w:asciiTheme="minorHAnsi" w:hAnsiTheme="minorHAnsi"/>
        </w:rPr>
        <w:t>Both sets of results are also accompanied by a series of indicative budgets disaggregated by programm</w:t>
      </w:r>
      <w:r w:rsidR="00B46548" w:rsidRPr="00153752">
        <w:rPr>
          <w:rFonts w:asciiTheme="minorHAnsi" w:hAnsiTheme="minorHAnsi"/>
        </w:rPr>
        <w:t xml:space="preserve">e </w:t>
      </w:r>
      <w:r w:rsidRPr="00153752">
        <w:rPr>
          <w:rFonts w:asciiTheme="minorHAnsi" w:hAnsiTheme="minorHAnsi"/>
        </w:rPr>
        <w:t>outcome.</w:t>
      </w:r>
    </w:p>
    <w:p w14:paraId="1290C25F" w14:textId="77777777" w:rsidR="000D4845" w:rsidRPr="00E61194" w:rsidRDefault="000D4845" w:rsidP="000D4845">
      <w:pPr>
        <w:spacing w:after="0" w:line="240" w:lineRule="auto"/>
        <w:jc w:val="both"/>
        <w:rPr>
          <w:rFonts w:asciiTheme="minorHAnsi" w:hAnsiTheme="minorHAnsi"/>
          <w:color w:val="auto"/>
          <w:lang w:val="en-US"/>
        </w:rPr>
      </w:pPr>
    </w:p>
    <w:tbl>
      <w:tblPr>
        <w:tblStyle w:val="MediumGrid3-Accent1"/>
        <w:tblW w:w="0" w:type="auto"/>
        <w:tblInd w:w="468" w:type="dxa"/>
        <w:tblLook w:val="04A0" w:firstRow="1" w:lastRow="0" w:firstColumn="1" w:lastColumn="0" w:noHBand="0" w:noVBand="1"/>
      </w:tblPr>
      <w:tblGrid>
        <w:gridCol w:w="2070"/>
        <w:gridCol w:w="6210"/>
      </w:tblGrid>
      <w:tr w:rsidR="000D4845" w:rsidRPr="00E61194" w14:paraId="132AFADF" w14:textId="77777777" w:rsidTr="00E00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shd w:val="clear" w:color="auto" w:fill="FFFFFF" w:themeFill="background1"/>
          </w:tcPr>
          <w:p w14:paraId="567D7407" w14:textId="77777777" w:rsidR="000D4845" w:rsidRDefault="000D4845" w:rsidP="00532113">
            <w:pPr>
              <w:rPr>
                <w:rFonts w:asciiTheme="minorHAnsi" w:hAnsiTheme="minorHAnsi"/>
                <w:color w:val="auto"/>
                <w:sz w:val="20"/>
                <w:u w:val="single"/>
                <w:lang w:val="en-US"/>
              </w:rPr>
            </w:pPr>
            <w:r w:rsidRPr="00E61194">
              <w:rPr>
                <w:rFonts w:asciiTheme="minorHAnsi" w:hAnsiTheme="minorHAnsi"/>
                <w:color w:val="auto"/>
                <w:sz w:val="20"/>
                <w:u w:val="single"/>
                <w:lang w:val="en-US"/>
              </w:rPr>
              <w:t>UN</w:t>
            </w:r>
            <w:r>
              <w:rPr>
                <w:rFonts w:asciiTheme="minorHAnsi" w:hAnsiTheme="minorHAnsi"/>
                <w:color w:val="auto"/>
                <w:sz w:val="20"/>
                <w:u w:val="single"/>
                <w:lang w:val="en-US"/>
              </w:rPr>
              <w:t xml:space="preserve">CDF </w:t>
            </w:r>
            <w:r w:rsidRPr="00E61194">
              <w:rPr>
                <w:rFonts w:asciiTheme="minorHAnsi" w:hAnsiTheme="minorHAnsi"/>
                <w:color w:val="auto"/>
                <w:sz w:val="20"/>
                <w:u w:val="single"/>
                <w:lang w:val="en-US"/>
              </w:rPr>
              <w:t>Strategic Framework Integrated Results and Resources Matrix Architecture</w:t>
            </w:r>
          </w:p>
          <w:p w14:paraId="25D90F41" w14:textId="77777777" w:rsidR="000D4845" w:rsidRPr="00E61194" w:rsidRDefault="000D4845" w:rsidP="00E0056F">
            <w:pPr>
              <w:jc w:val="center"/>
              <w:rPr>
                <w:rFonts w:asciiTheme="minorHAnsi" w:hAnsiTheme="minorHAnsi"/>
                <w:color w:val="auto"/>
                <w:sz w:val="20"/>
                <w:u w:val="single"/>
                <w:lang w:val="en-US"/>
              </w:rPr>
            </w:pPr>
          </w:p>
        </w:tc>
      </w:tr>
      <w:tr w:rsidR="000D4845" w:rsidRPr="00E61194" w14:paraId="1D806686" w14:textId="77777777" w:rsidTr="00E00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72E6F0B6" w14:textId="77777777" w:rsidR="000D4845" w:rsidRPr="00E61194" w:rsidRDefault="000D4845" w:rsidP="00E0056F">
            <w:pPr>
              <w:rPr>
                <w:rFonts w:asciiTheme="minorHAnsi" w:hAnsiTheme="minorHAnsi"/>
                <w:color w:val="FFFFFF" w:themeColor="background1"/>
                <w:sz w:val="20"/>
                <w:u w:val="single"/>
                <w:lang w:val="en-US"/>
              </w:rPr>
            </w:pPr>
            <w:r w:rsidRPr="00E61194">
              <w:rPr>
                <w:rFonts w:asciiTheme="minorHAnsi" w:hAnsiTheme="minorHAnsi"/>
                <w:color w:val="FFFFFF" w:themeColor="background1"/>
                <w:sz w:val="20"/>
                <w:u w:val="single"/>
                <w:lang w:val="en-US"/>
              </w:rPr>
              <w:t>Impact</w:t>
            </w:r>
          </w:p>
          <w:p w14:paraId="20AD5CB2" w14:textId="77777777" w:rsidR="000D4845" w:rsidRPr="00E61194" w:rsidRDefault="000D4845" w:rsidP="00E0056F">
            <w:pPr>
              <w:rPr>
                <w:rFonts w:asciiTheme="minorHAnsi" w:hAnsiTheme="minorHAnsi"/>
                <w:color w:val="FFFFFF" w:themeColor="background1"/>
                <w:sz w:val="20"/>
                <w:lang w:val="en-US"/>
              </w:rPr>
            </w:pPr>
          </w:p>
        </w:tc>
        <w:tc>
          <w:tcPr>
            <w:tcW w:w="6210" w:type="dxa"/>
            <w:shd w:val="clear" w:color="auto" w:fill="4F81BD" w:themeFill="accent1"/>
            <w:vAlign w:val="center"/>
          </w:tcPr>
          <w:p w14:paraId="35C9E5C4" w14:textId="77777777" w:rsidR="000D4845" w:rsidRPr="00E61194" w:rsidRDefault="00153752" w:rsidP="00E0056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20"/>
                <w:lang w:val="en-US"/>
              </w:rPr>
            </w:pPr>
            <w:r>
              <w:rPr>
                <w:rFonts w:asciiTheme="minorHAnsi" w:hAnsiTheme="minorHAnsi"/>
                <w:b/>
                <w:color w:val="FFFFFF" w:themeColor="background1"/>
                <w:sz w:val="20"/>
                <w:lang w:val="en-US"/>
              </w:rPr>
              <w:t xml:space="preserve">Changes in the lives of people living  in LDCs thanks to UNCDF and its partner </w:t>
            </w:r>
            <w:proofErr w:type="spellStart"/>
            <w:r>
              <w:rPr>
                <w:rFonts w:asciiTheme="minorHAnsi" w:hAnsiTheme="minorHAnsi"/>
                <w:b/>
                <w:color w:val="FFFFFF" w:themeColor="background1"/>
                <w:sz w:val="20"/>
                <w:lang w:val="en-US"/>
              </w:rPr>
              <w:t>organisations</w:t>
            </w:r>
            <w:proofErr w:type="spellEnd"/>
          </w:p>
        </w:tc>
      </w:tr>
      <w:tr w:rsidR="000D4845" w:rsidRPr="00E61194" w14:paraId="782DC455" w14:textId="77777777" w:rsidTr="00E0056F">
        <w:tc>
          <w:tcPr>
            <w:cnfStyle w:val="001000000000" w:firstRow="0" w:lastRow="0" w:firstColumn="1" w:lastColumn="0" w:oddVBand="0" w:evenVBand="0" w:oddHBand="0" w:evenHBand="0" w:firstRowFirstColumn="0" w:firstRowLastColumn="0" w:lastRowFirstColumn="0" w:lastRowLastColumn="0"/>
            <w:tcW w:w="2070" w:type="dxa"/>
            <w:vMerge w:val="restart"/>
            <w:vAlign w:val="center"/>
          </w:tcPr>
          <w:p w14:paraId="61E9DFBF" w14:textId="77777777" w:rsidR="000D4845" w:rsidRPr="00E61194" w:rsidRDefault="000D4845" w:rsidP="00E0056F">
            <w:pPr>
              <w:rPr>
                <w:rFonts w:asciiTheme="minorHAnsi" w:hAnsiTheme="minorHAnsi"/>
                <w:color w:val="FFFFFF" w:themeColor="background1"/>
                <w:sz w:val="20"/>
                <w:u w:val="single"/>
                <w:lang w:val="en-US"/>
              </w:rPr>
            </w:pPr>
            <w:r>
              <w:rPr>
                <w:rFonts w:asciiTheme="minorHAnsi" w:hAnsiTheme="minorHAnsi"/>
                <w:color w:val="FFFFFF" w:themeColor="background1"/>
                <w:sz w:val="20"/>
                <w:u w:val="single"/>
                <w:lang w:val="en-US"/>
              </w:rPr>
              <w:t xml:space="preserve">UNCDF contribution to broader development </w:t>
            </w:r>
            <w:r w:rsidRPr="00E61194">
              <w:rPr>
                <w:rFonts w:asciiTheme="minorHAnsi" w:hAnsiTheme="minorHAnsi"/>
                <w:color w:val="FFFFFF" w:themeColor="background1"/>
                <w:sz w:val="20"/>
                <w:u w:val="single"/>
                <w:lang w:val="en-US"/>
              </w:rPr>
              <w:t>Outcomes</w:t>
            </w:r>
          </w:p>
          <w:p w14:paraId="64397DA6" w14:textId="77777777" w:rsidR="000D4845" w:rsidRPr="00E61194" w:rsidRDefault="000D4845" w:rsidP="00E0056F">
            <w:pPr>
              <w:rPr>
                <w:rFonts w:asciiTheme="minorHAnsi" w:hAnsiTheme="minorHAnsi"/>
                <w:color w:val="FFFFFF" w:themeColor="background1"/>
                <w:sz w:val="20"/>
                <w:lang w:val="en-US"/>
              </w:rPr>
            </w:pPr>
          </w:p>
        </w:tc>
        <w:tc>
          <w:tcPr>
            <w:tcW w:w="6210" w:type="dxa"/>
            <w:vAlign w:val="center"/>
          </w:tcPr>
          <w:p w14:paraId="0C962C4A" w14:textId="5C7782DD" w:rsidR="000D4845" w:rsidRPr="00B55510" w:rsidRDefault="000D4845" w:rsidP="00E0056F">
            <w:pPr>
              <w:cnfStyle w:val="000000000000" w:firstRow="0" w:lastRow="0" w:firstColumn="0" w:lastColumn="0" w:oddVBand="0" w:evenVBand="0" w:oddHBand="0" w:evenHBand="0" w:firstRowFirstColumn="0" w:firstRowLastColumn="0" w:lastRowFirstColumn="0" w:lastRowLastColumn="0"/>
              <w:rPr>
                <w:sz w:val="20"/>
              </w:rPr>
            </w:pPr>
            <w:r>
              <w:rPr>
                <w:sz w:val="20"/>
              </w:rPr>
              <w:t>Increased financing for basic services and inclusive growth</w:t>
            </w:r>
            <w:r w:rsidR="00D066D9">
              <w:rPr>
                <w:sz w:val="20"/>
              </w:rPr>
              <w:t xml:space="preserve"> / local economic development</w:t>
            </w:r>
          </w:p>
        </w:tc>
      </w:tr>
      <w:tr w:rsidR="000D4845" w:rsidRPr="00E61194" w14:paraId="66D465CA" w14:textId="77777777" w:rsidTr="00E00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vAlign w:val="center"/>
          </w:tcPr>
          <w:p w14:paraId="0ED1EC97" w14:textId="77777777" w:rsidR="000D4845" w:rsidRDefault="000D4845" w:rsidP="00E0056F">
            <w:pPr>
              <w:rPr>
                <w:rFonts w:asciiTheme="minorHAnsi" w:hAnsiTheme="minorHAnsi"/>
                <w:color w:val="FFFFFF" w:themeColor="background1"/>
                <w:sz w:val="20"/>
                <w:u w:val="single"/>
                <w:lang w:val="en-US"/>
              </w:rPr>
            </w:pPr>
          </w:p>
        </w:tc>
        <w:tc>
          <w:tcPr>
            <w:tcW w:w="6210" w:type="dxa"/>
            <w:vAlign w:val="center"/>
          </w:tcPr>
          <w:p w14:paraId="266E0C23" w14:textId="77777777" w:rsidR="000D4845" w:rsidRPr="00B55510" w:rsidRDefault="000D4845" w:rsidP="00E0056F">
            <w:pP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Financing mechanisms established to increase resilience to economic and environmental shocks</w:t>
            </w:r>
          </w:p>
        </w:tc>
      </w:tr>
      <w:tr w:rsidR="000D4845" w:rsidRPr="00E61194" w14:paraId="02B2BA6F" w14:textId="77777777" w:rsidTr="00E0056F">
        <w:tc>
          <w:tcPr>
            <w:cnfStyle w:val="001000000000" w:firstRow="0" w:lastRow="0" w:firstColumn="1" w:lastColumn="0" w:oddVBand="0" w:evenVBand="0" w:oddHBand="0" w:evenHBand="0" w:firstRowFirstColumn="0" w:firstRowLastColumn="0" w:lastRowFirstColumn="0" w:lastRowLastColumn="0"/>
            <w:tcW w:w="2070" w:type="dxa"/>
            <w:vMerge/>
            <w:vAlign w:val="center"/>
          </w:tcPr>
          <w:p w14:paraId="7D51F6BB" w14:textId="77777777" w:rsidR="000D4845" w:rsidRPr="00E61194" w:rsidRDefault="000D4845" w:rsidP="00E0056F">
            <w:pPr>
              <w:rPr>
                <w:rFonts w:asciiTheme="minorHAnsi" w:hAnsiTheme="minorHAnsi"/>
                <w:color w:val="FFFFFF" w:themeColor="background1"/>
                <w:sz w:val="20"/>
                <w:lang w:val="en-US"/>
              </w:rPr>
            </w:pPr>
          </w:p>
        </w:tc>
        <w:tc>
          <w:tcPr>
            <w:tcW w:w="6210" w:type="dxa"/>
            <w:vAlign w:val="center"/>
          </w:tcPr>
          <w:p w14:paraId="4C7369E8" w14:textId="77777777" w:rsidR="000D4845" w:rsidRPr="00C51C22" w:rsidRDefault="000D4845" w:rsidP="00E0056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lang w:val="en-US"/>
              </w:rPr>
            </w:pPr>
            <w:r w:rsidRPr="00C51C22">
              <w:rPr>
                <w:rFonts w:asciiTheme="minorHAnsi" w:hAnsiTheme="minorHAnsi"/>
                <w:color w:val="auto"/>
                <w:sz w:val="20"/>
                <w:lang w:val="en-US"/>
              </w:rPr>
              <w:t>Policy environment that is conducive to sustainable financing for sustainable development</w:t>
            </w:r>
          </w:p>
        </w:tc>
      </w:tr>
      <w:tr w:rsidR="000D4845" w:rsidRPr="00E61194" w14:paraId="1EB7F581" w14:textId="77777777" w:rsidTr="00E0056F">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1DA6DCF0" w14:textId="77777777" w:rsidR="000D4845" w:rsidRPr="00E61194" w:rsidRDefault="000D4845" w:rsidP="00E0056F">
            <w:pPr>
              <w:rPr>
                <w:rFonts w:asciiTheme="minorHAnsi" w:hAnsiTheme="minorHAnsi"/>
                <w:color w:val="FFFFFF" w:themeColor="background1"/>
                <w:sz w:val="20"/>
                <w:u w:val="single"/>
                <w:lang w:val="en-US"/>
              </w:rPr>
            </w:pPr>
            <w:r>
              <w:rPr>
                <w:rFonts w:asciiTheme="minorHAnsi" w:hAnsiTheme="minorHAnsi"/>
                <w:color w:val="FFFFFF" w:themeColor="background1"/>
                <w:sz w:val="20"/>
                <w:u w:val="single"/>
                <w:lang w:val="en-US"/>
              </w:rPr>
              <w:t xml:space="preserve">Immediate outcomes </w:t>
            </w:r>
          </w:p>
        </w:tc>
        <w:tc>
          <w:tcPr>
            <w:tcW w:w="6210" w:type="dxa"/>
            <w:vAlign w:val="center"/>
          </w:tcPr>
          <w:p w14:paraId="2576A7E7" w14:textId="77777777" w:rsidR="001774F2" w:rsidRPr="00C51C22" w:rsidRDefault="001774F2" w:rsidP="001774F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lang w:val="en-US"/>
              </w:rPr>
            </w:pPr>
            <w:r w:rsidRPr="00C51C22">
              <w:rPr>
                <w:rFonts w:asciiTheme="minorHAnsi" w:hAnsiTheme="minorHAnsi"/>
                <w:color w:val="auto"/>
                <w:sz w:val="20"/>
                <w:lang w:val="en-US"/>
              </w:rPr>
              <w:t xml:space="preserve">(LDF) Effective local institutions for public and private finance of local development </w:t>
            </w:r>
            <w:r w:rsidRPr="00C51C22">
              <w:rPr>
                <w:rFonts w:asciiTheme="minorHAnsi" w:hAnsiTheme="minorHAnsi"/>
                <w:i/>
                <w:color w:val="auto"/>
                <w:sz w:val="20"/>
                <w:lang w:val="en-US"/>
              </w:rPr>
              <w:t>(measured via the mobilizing, investing, accounting for results framework)</w:t>
            </w:r>
            <w:r w:rsidRPr="00C51C22">
              <w:rPr>
                <w:rStyle w:val="FootnoteReference"/>
                <w:rFonts w:asciiTheme="minorHAnsi" w:hAnsiTheme="minorHAnsi"/>
                <w:i/>
                <w:color w:val="auto"/>
                <w:sz w:val="20"/>
                <w:lang w:val="en-US"/>
              </w:rPr>
              <w:footnoteReference w:id="2"/>
            </w:r>
          </w:p>
          <w:p w14:paraId="541402B0" w14:textId="77777777" w:rsidR="000D4845" w:rsidRPr="00C51C22" w:rsidRDefault="000D4845" w:rsidP="001774F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lang w:val="en-US"/>
              </w:rPr>
            </w:pPr>
          </w:p>
        </w:tc>
      </w:tr>
      <w:tr w:rsidR="000D4845" w:rsidRPr="00E61194" w14:paraId="1E23AAF5" w14:textId="77777777" w:rsidTr="00E0056F">
        <w:tc>
          <w:tcPr>
            <w:cnfStyle w:val="001000000000" w:firstRow="0" w:lastRow="0" w:firstColumn="1" w:lastColumn="0" w:oddVBand="0" w:evenVBand="0" w:oddHBand="0" w:evenHBand="0" w:firstRowFirstColumn="0" w:firstRowLastColumn="0" w:lastRowFirstColumn="0" w:lastRowLastColumn="0"/>
            <w:tcW w:w="2070" w:type="dxa"/>
            <w:vAlign w:val="center"/>
          </w:tcPr>
          <w:p w14:paraId="125207FE" w14:textId="77777777" w:rsidR="000D4845" w:rsidRDefault="000D4845" w:rsidP="00E0056F">
            <w:pPr>
              <w:rPr>
                <w:rFonts w:asciiTheme="minorHAnsi" w:hAnsiTheme="minorHAnsi"/>
                <w:color w:val="FFFFFF" w:themeColor="background1"/>
                <w:sz w:val="20"/>
                <w:u w:val="single"/>
                <w:lang w:val="en-US"/>
              </w:rPr>
            </w:pPr>
          </w:p>
        </w:tc>
        <w:tc>
          <w:tcPr>
            <w:tcW w:w="6210" w:type="dxa"/>
            <w:vAlign w:val="center"/>
          </w:tcPr>
          <w:p w14:paraId="7009629A" w14:textId="77777777" w:rsidR="000D4845" w:rsidRDefault="000D4845" w:rsidP="00E0056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lang w:val="en-US"/>
              </w:rPr>
            </w:pPr>
            <w:r>
              <w:rPr>
                <w:rFonts w:asciiTheme="minorHAnsi" w:hAnsiTheme="minorHAnsi"/>
                <w:color w:val="auto"/>
                <w:sz w:val="20"/>
                <w:lang w:val="en-US"/>
              </w:rPr>
              <w:t>(FIPA) Sustainable, healthy FSPs leveraging UNCDF funds</w:t>
            </w:r>
          </w:p>
          <w:p w14:paraId="3318AB27" w14:textId="77777777" w:rsidR="000D4845" w:rsidRPr="00112EE0" w:rsidRDefault="000D4845" w:rsidP="00E0056F">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20"/>
                <w:lang w:val="en-US"/>
              </w:rPr>
            </w:pPr>
            <w:r w:rsidRPr="00112EE0">
              <w:rPr>
                <w:rFonts w:asciiTheme="minorHAnsi" w:hAnsiTheme="minorHAnsi"/>
                <w:i/>
                <w:color w:val="auto"/>
                <w:sz w:val="20"/>
                <w:lang w:val="en-US"/>
              </w:rPr>
              <w:t>(measured via range of MIX market indicators</w:t>
            </w:r>
            <w:r w:rsidR="00037DF1">
              <w:rPr>
                <w:rStyle w:val="FootnoteReference"/>
                <w:rFonts w:asciiTheme="minorHAnsi" w:hAnsiTheme="minorHAnsi"/>
                <w:i/>
                <w:color w:val="auto"/>
                <w:sz w:val="20"/>
                <w:lang w:val="en-US"/>
              </w:rPr>
              <w:footnoteReference w:id="3"/>
            </w:r>
            <w:r w:rsidRPr="00112EE0">
              <w:rPr>
                <w:rFonts w:asciiTheme="minorHAnsi" w:hAnsiTheme="minorHAnsi"/>
                <w:i/>
                <w:color w:val="auto"/>
                <w:sz w:val="20"/>
                <w:lang w:val="en-US"/>
              </w:rPr>
              <w:t>)</w:t>
            </w:r>
          </w:p>
          <w:p w14:paraId="546ABEB9" w14:textId="77777777" w:rsidR="000D4845" w:rsidRDefault="000D4845" w:rsidP="00E0056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lang w:val="en-US"/>
              </w:rPr>
            </w:pPr>
          </w:p>
        </w:tc>
      </w:tr>
      <w:tr w:rsidR="000D4845" w:rsidRPr="00E61194" w14:paraId="0593794D" w14:textId="77777777" w:rsidTr="00E00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5962341F" w14:textId="77777777" w:rsidR="000D4845" w:rsidRDefault="000D4845" w:rsidP="00E0056F">
            <w:pPr>
              <w:rPr>
                <w:rFonts w:asciiTheme="minorHAnsi" w:hAnsiTheme="minorHAnsi"/>
                <w:color w:val="FFFFFF" w:themeColor="background1"/>
                <w:sz w:val="20"/>
                <w:u w:val="single"/>
                <w:lang w:val="en-US"/>
              </w:rPr>
            </w:pPr>
            <w:r>
              <w:rPr>
                <w:rFonts w:asciiTheme="minorHAnsi" w:hAnsiTheme="minorHAnsi"/>
                <w:color w:val="FFFFFF" w:themeColor="background1"/>
                <w:sz w:val="20"/>
                <w:u w:val="single"/>
                <w:lang w:val="en-US"/>
              </w:rPr>
              <w:t>Outputs</w:t>
            </w:r>
          </w:p>
        </w:tc>
        <w:tc>
          <w:tcPr>
            <w:tcW w:w="6210" w:type="dxa"/>
            <w:vAlign w:val="center"/>
          </w:tcPr>
          <w:p w14:paraId="27766F2B" w14:textId="77777777" w:rsidR="000D4845" w:rsidRDefault="000D4845" w:rsidP="00FE5B0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lang w:val="en-US"/>
              </w:rPr>
            </w:pPr>
            <w:r>
              <w:rPr>
                <w:rFonts w:asciiTheme="minorHAnsi" w:hAnsiTheme="minorHAnsi"/>
                <w:color w:val="auto"/>
                <w:sz w:val="20"/>
                <w:lang w:val="en-US"/>
              </w:rPr>
              <w:t xml:space="preserve">Completed technical assistance and provision of grants and </w:t>
            </w:r>
            <w:r w:rsidR="00FE5B0A">
              <w:rPr>
                <w:rFonts w:asciiTheme="minorHAnsi" w:hAnsiTheme="minorHAnsi"/>
                <w:color w:val="auto"/>
                <w:sz w:val="20"/>
                <w:lang w:val="en-US"/>
              </w:rPr>
              <w:t xml:space="preserve">loans </w:t>
            </w:r>
            <w:r>
              <w:rPr>
                <w:rFonts w:asciiTheme="minorHAnsi" w:hAnsiTheme="minorHAnsi"/>
                <w:color w:val="auto"/>
                <w:sz w:val="20"/>
                <w:lang w:val="en-US"/>
              </w:rPr>
              <w:t xml:space="preserve">to UNCDF’s partner </w:t>
            </w:r>
            <w:proofErr w:type="spellStart"/>
            <w:r>
              <w:rPr>
                <w:rFonts w:asciiTheme="minorHAnsi" w:hAnsiTheme="minorHAnsi"/>
                <w:color w:val="auto"/>
                <w:sz w:val="20"/>
                <w:lang w:val="en-US"/>
              </w:rPr>
              <w:t>organisations</w:t>
            </w:r>
            <w:proofErr w:type="spellEnd"/>
            <w:r>
              <w:rPr>
                <w:rFonts w:asciiTheme="minorHAnsi" w:hAnsiTheme="minorHAnsi"/>
                <w:color w:val="auto"/>
                <w:sz w:val="20"/>
                <w:lang w:val="en-US"/>
              </w:rPr>
              <w:t xml:space="preserve"> in both the public and private sectors in the Least Developed Countries</w:t>
            </w:r>
          </w:p>
        </w:tc>
      </w:tr>
      <w:tr w:rsidR="000D4845" w:rsidRPr="00E61194" w14:paraId="05421F56" w14:textId="77777777" w:rsidTr="00E0056F">
        <w:tc>
          <w:tcPr>
            <w:cnfStyle w:val="001000000000" w:firstRow="0" w:lastRow="0" w:firstColumn="1" w:lastColumn="0" w:oddVBand="0" w:evenVBand="0" w:oddHBand="0" w:evenHBand="0" w:firstRowFirstColumn="0" w:firstRowLastColumn="0" w:lastRowFirstColumn="0" w:lastRowLastColumn="0"/>
            <w:tcW w:w="2070" w:type="dxa"/>
            <w:vAlign w:val="center"/>
          </w:tcPr>
          <w:p w14:paraId="05A126B0" w14:textId="77777777" w:rsidR="000D4845" w:rsidRPr="00E61194" w:rsidRDefault="000D4845" w:rsidP="00E0056F">
            <w:pPr>
              <w:rPr>
                <w:rFonts w:asciiTheme="minorHAnsi" w:hAnsiTheme="minorHAnsi"/>
                <w:color w:val="FFFFFF" w:themeColor="background1"/>
                <w:sz w:val="20"/>
                <w:u w:val="single"/>
                <w:lang w:val="en-US"/>
              </w:rPr>
            </w:pPr>
            <w:r w:rsidRPr="00E61194">
              <w:rPr>
                <w:rFonts w:asciiTheme="minorHAnsi" w:hAnsiTheme="minorHAnsi"/>
                <w:color w:val="FFFFFF" w:themeColor="background1"/>
                <w:sz w:val="20"/>
                <w:u w:val="single"/>
                <w:lang w:val="en-US"/>
              </w:rPr>
              <w:t>Institutional Effectiveness</w:t>
            </w:r>
          </w:p>
        </w:tc>
        <w:tc>
          <w:tcPr>
            <w:tcW w:w="6210" w:type="dxa"/>
            <w:vAlign w:val="center"/>
          </w:tcPr>
          <w:p w14:paraId="1255EBC2" w14:textId="77777777" w:rsidR="000D4845" w:rsidRPr="00E61194" w:rsidRDefault="000D4845" w:rsidP="00E0056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lang w:val="en-US"/>
              </w:rPr>
            </w:pPr>
            <w:r>
              <w:rPr>
                <w:rFonts w:asciiTheme="minorHAnsi" w:hAnsiTheme="minorHAnsi"/>
                <w:color w:val="auto"/>
                <w:sz w:val="20"/>
                <w:lang w:val="en-US"/>
              </w:rPr>
              <w:t>UNCDF</w:t>
            </w:r>
            <w:r w:rsidRPr="00E61194">
              <w:rPr>
                <w:rFonts w:asciiTheme="minorHAnsi" w:hAnsiTheme="minorHAnsi"/>
                <w:color w:val="auto"/>
                <w:sz w:val="20"/>
                <w:lang w:val="en-US"/>
              </w:rPr>
              <w:t xml:space="preserve"> is a more effective and efficient organization, with improved systems and business practices and processes,  well-managed resources and  engaged personnel</w:t>
            </w:r>
          </w:p>
        </w:tc>
      </w:tr>
    </w:tbl>
    <w:p w14:paraId="54B8E003" w14:textId="77777777" w:rsidR="000D4845" w:rsidRPr="00E61194" w:rsidRDefault="000D4845" w:rsidP="000D4845">
      <w:pPr>
        <w:spacing w:after="0" w:line="240" w:lineRule="auto"/>
        <w:jc w:val="both"/>
        <w:rPr>
          <w:rFonts w:asciiTheme="minorHAnsi" w:hAnsiTheme="minorHAnsi"/>
          <w:color w:val="auto"/>
          <w:lang w:val="en-US"/>
        </w:rPr>
      </w:pPr>
    </w:p>
    <w:p w14:paraId="5376AEA7" w14:textId="77777777" w:rsidR="000D4845" w:rsidRPr="00E61194" w:rsidRDefault="000D4845" w:rsidP="000D4845">
      <w:pPr>
        <w:spacing w:after="0" w:line="240" w:lineRule="auto"/>
        <w:jc w:val="both"/>
        <w:rPr>
          <w:rFonts w:asciiTheme="minorHAnsi" w:hAnsiTheme="minorHAnsi"/>
          <w:color w:val="auto"/>
          <w:lang w:val="en-US"/>
        </w:rPr>
      </w:pPr>
      <w:r w:rsidRPr="00E61194">
        <w:rPr>
          <w:rFonts w:asciiTheme="minorHAnsi" w:hAnsiTheme="minorHAnsi"/>
          <w:lang w:val="en-US"/>
        </w:rPr>
        <w:t>The foundation on which the IRR</w:t>
      </w:r>
      <w:r>
        <w:rPr>
          <w:rFonts w:asciiTheme="minorHAnsi" w:hAnsiTheme="minorHAnsi"/>
          <w:lang w:val="en-US"/>
        </w:rPr>
        <w:t>M</w:t>
      </w:r>
      <w:r w:rsidRPr="00E61194">
        <w:rPr>
          <w:rFonts w:asciiTheme="minorHAnsi" w:hAnsiTheme="minorHAnsi"/>
          <w:lang w:val="en-US"/>
        </w:rPr>
        <w:t xml:space="preserve"> is built has the following core elements:</w:t>
      </w:r>
    </w:p>
    <w:p w14:paraId="0B171529" w14:textId="77777777" w:rsidR="000D4845" w:rsidRPr="00E61194" w:rsidRDefault="000D4845" w:rsidP="000D4845">
      <w:pPr>
        <w:spacing w:after="0" w:line="240" w:lineRule="auto"/>
        <w:jc w:val="both"/>
        <w:rPr>
          <w:rFonts w:asciiTheme="minorHAnsi" w:hAnsiTheme="minorHAnsi"/>
          <w:color w:val="auto"/>
          <w:sz w:val="20"/>
          <w:lang w:val="en-US"/>
        </w:rPr>
      </w:pPr>
    </w:p>
    <w:p w14:paraId="0F938D3B" w14:textId="77777777" w:rsidR="009F727A" w:rsidRDefault="000D4845" w:rsidP="00C6409D">
      <w:pPr>
        <w:pStyle w:val="ListParagraph"/>
        <w:numPr>
          <w:ilvl w:val="0"/>
          <w:numId w:val="30"/>
        </w:numPr>
        <w:spacing w:after="0" w:line="240" w:lineRule="auto"/>
        <w:jc w:val="both"/>
      </w:pPr>
      <w:r w:rsidRPr="00E61194">
        <w:t>Based on UN</w:t>
      </w:r>
      <w:r>
        <w:t xml:space="preserve">CDF’s </w:t>
      </w:r>
      <w:r w:rsidR="00BA3E86">
        <w:t>broader theory of change set out in the Strategic Framework</w:t>
      </w:r>
      <w:r w:rsidR="005B385B">
        <w:t>, the results in the IRRM</w:t>
      </w:r>
      <w:r>
        <w:t xml:space="preserve"> are intended to capture elements of development change that are most relevant to UNCDF’s work across its two </w:t>
      </w:r>
      <w:proofErr w:type="spellStart"/>
      <w:r>
        <w:t>Programme</w:t>
      </w:r>
      <w:proofErr w:type="spellEnd"/>
      <w:r>
        <w:t xml:space="preserve"> Areas as well as intended changes in the </w:t>
      </w:r>
      <w:proofErr w:type="spellStart"/>
      <w:r>
        <w:t>organisation’s</w:t>
      </w:r>
      <w:proofErr w:type="spellEnd"/>
      <w:r>
        <w:t xml:space="preserve"> internal capacity to allow UNCDF to deliver on its programmatic commitments.</w:t>
      </w:r>
      <w:r w:rsidR="005B385B">
        <w:t xml:space="preserve"> </w:t>
      </w:r>
    </w:p>
    <w:p w14:paraId="2A9DC0EA" w14:textId="77777777" w:rsidR="000D4845" w:rsidRDefault="000D4845" w:rsidP="009F727A">
      <w:pPr>
        <w:pStyle w:val="ListParagraph"/>
        <w:spacing w:after="0" w:line="240" w:lineRule="auto"/>
        <w:jc w:val="both"/>
      </w:pPr>
      <w:r>
        <w:t xml:space="preserve">  </w:t>
      </w:r>
    </w:p>
    <w:p w14:paraId="00FE987E" w14:textId="77777777" w:rsidR="000D4845" w:rsidRDefault="005B385B" w:rsidP="000D4845">
      <w:pPr>
        <w:pStyle w:val="ListParagraph"/>
        <w:numPr>
          <w:ilvl w:val="0"/>
          <w:numId w:val="30"/>
        </w:numPr>
        <w:spacing w:after="0" w:line="240" w:lineRule="auto"/>
        <w:jc w:val="both"/>
      </w:pPr>
      <w:r>
        <w:t>The IRRM</w:t>
      </w:r>
      <w:r w:rsidR="000D4845">
        <w:t xml:space="preserve"> is organized according to three levels of intended development results: i) UNCDF’s outputs in terms of completed technical assistance and grants and credits to UNCDF’s partner </w:t>
      </w:r>
      <w:proofErr w:type="spellStart"/>
      <w:r w:rsidR="000D4845">
        <w:t>organisations</w:t>
      </w:r>
      <w:proofErr w:type="spellEnd"/>
      <w:r w:rsidR="000D4845">
        <w:t xml:space="preserve"> in the least developed countries; ii) the immediate results of this assistance in terms of more effectively-functioning local institutions for local and public private finance as well as sustainable financial service providers leveraging UNCDF funds and iii) UNCDF’s contribution </w:t>
      </w:r>
      <w:r w:rsidR="00532113">
        <w:t xml:space="preserve">together with relevant partner </w:t>
      </w:r>
      <w:proofErr w:type="spellStart"/>
      <w:r w:rsidR="00532113">
        <w:t>organisations</w:t>
      </w:r>
      <w:proofErr w:type="spellEnd"/>
      <w:r w:rsidR="00532113">
        <w:t xml:space="preserve"> </w:t>
      </w:r>
      <w:r w:rsidR="000D4845">
        <w:t>to three broader development objectives: i) increased financing for basic services and sustainable inclusive growth; ii) new financing mechanisms to increase resilience to economic and environmental shocks and iii) an improved policy environment which is conducive to sustainable financing for sustainable development.</w:t>
      </w:r>
    </w:p>
    <w:p w14:paraId="422CD830" w14:textId="77777777" w:rsidR="000D4845" w:rsidRDefault="000D4845" w:rsidP="00C6409D">
      <w:pPr>
        <w:pStyle w:val="ListParagraph"/>
        <w:jc w:val="both"/>
      </w:pPr>
    </w:p>
    <w:p w14:paraId="4D6E8F0A" w14:textId="77777777" w:rsidR="000D4845" w:rsidRDefault="000D4845" w:rsidP="00C6409D">
      <w:pPr>
        <w:pStyle w:val="ListParagraph"/>
        <w:jc w:val="both"/>
      </w:pPr>
      <w:r>
        <w:t xml:space="preserve">In addition, the IRRM is intended to show clearly </w:t>
      </w:r>
      <w:r w:rsidRPr="00E61194">
        <w:t xml:space="preserve">how strengthened internal capacity and capability will </w:t>
      </w:r>
      <w:r>
        <w:t xml:space="preserve">allow </w:t>
      </w:r>
      <w:r w:rsidRPr="00E61194">
        <w:t>UN</w:t>
      </w:r>
      <w:r>
        <w:t>CDF</w:t>
      </w:r>
      <w:r w:rsidRPr="00E61194">
        <w:t xml:space="preserve"> to deliver on its programmatic commitments; how the commitments will be achieved and how these will contribute to </w:t>
      </w:r>
      <w:r w:rsidR="00BA3E86">
        <w:t xml:space="preserve">the </w:t>
      </w:r>
      <w:r w:rsidRPr="00E61194">
        <w:t>work of partner UN entities as wel</w:t>
      </w:r>
      <w:r w:rsidR="00153752">
        <w:t>l as to overall internationally-</w:t>
      </w:r>
      <w:r w:rsidRPr="00E61194">
        <w:t>agreed development goals.</w:t>
      </w:r>
    </w:p>
    <w:p w14:paraId="257263A0" w14:textId="77777777" w:rsidR="000D4845" w:rsidRPr="00E61194" w:rsidRDefault="000D4845" w:rsidP="000D4845">
      <w:pPr>
        <w:pStyle w:val="ListParagraph"/>
        <w:spacing w:after="0" w:line="240" w:lineRule="auto"/>
        <w:jc w:val="both"/>
        <w:rPr>
          <w:sz w:val="20"/>
        </w:rPr>
      </w:pPr>
    </w:p>
    <w:p w14:paraId="3064C7AB" w14:textId="77777777" w:rsidR="000D4845" w:rsidRDefault="000D4845" w:rsidP="000D4845">
      <w:pPr>
        <w:pStyle w:val="ListParagraph"/>
        <w:numPr>
          <w:ilvl w:val="0"/>
          <w:numId w:val="30"/>
        </w:numPr>
        <w:spacing w:after="0" w:line="240" w:lineRule="auto"/>
        <w:jc w:val="both"/>
      </w:pPr>
      <w:r w:rsidRPr="00E61194">
        <w:t>The IRRM will assist UN</w:t>
      </w:r>
      <w:r>
        <w:t xml:space="preserve">CDF </w:t>
      </w:r>
      <w:r w:rsidRPr="00E61194">
        <w:t xml:space="preserve">in monitoring </w:t>
      </w:r>
      <w:r>
        <w:t>and evaluating the results of its interventions at different points in the results chain</w:t>
      </w:r>
      <w:r w:rsidRPr="00E61194">
        <w:t xml:space="preserve">, allowing partners to understand the breadth, scope and resource requirements of the work of the organization.   In turn, it enables Member States </w:t>
      </w:r>
      <w:r w:rsidR="00BA3E86">
        <w:t xml:space="preserve">and other partners </w:t>
      </w:r>
      <w:r w:rsidRPr="00E61194">
        <w:t>to see what outcomes and impact the organization is ultimately contributing to.</w:t>
      </w:r>
    </w:p>
    <w:p w14:paraId="254CBD18" w14:textId="77777777" w:rsidR="000D4845" w:rsidRDefault="000D4845" w:rsidP="000D4845">
      <w:pPr>
        <w:pStyle w:val="ListParagraph"/>
        <w:spacing w:after="0" w:line="240" w:lineRule="auto"/>
        <w:jc w:val="both"/>
      </w:pPr>
      <w:r>
        <w:t xml:space="preserve"> </w:t>
      </w:r>
    </w:p>
    <w:p w14:paraId="0BFF109F" w14:textId="77777777" w:rsidR="000D4845" w:rsidRPr="00112EE0" w:rsidRDefault="000D4845" w:rsidP="000D4845">
      <w:pPr>
        <w:pStyle w:val="ListParagraph"/>
        <w:numPr>
          <w:ilvl w:val="0"/>
          <w:numId w:val="30"/>
        </w:numPr>
        <w:spacing w:after="0" w:line="240" w:lineRule="auto"/>
        <w:jc w:val="both"/>
        <w:rPr>
          <w:sz w:val="20"/>
        </w:rPr>
      </w:pPr>
      <w:r>
        <w:lastRenderedPageBreak/>
        <w:t xml:space="preserve">The performance indicators capture to the extent possible data points that are already collected and are </w:t>
      </w:r>
      <w:proofErr w:type="gramStart"/>
      <w:r>
        <w:t>based  on</w:t>
      </w:r>
      <w:proofErr w:type="gramEnd"/>
      <w:r>
        <w:t xml:space="preserve"> years of good development practice and/or best available knowledge. This is the case for example of indicators measuring changes in performance of financial service providers which are collected externally by the MicroFinance Information Exchange.</w:t>
      </w:r>
    </w:p>
    <w:p w14:paraId="532D6180" w14:textId="77777777" w:rsidR="000D4845" w:rsidRPr="00112EE0" w:rsidRDefault="000D4845" w:rsidP="000D4845">
      <w:pPr>
        <w:pStyle w:val="ListParagraph"/>
        <w:spacing w:after="0" w:line="240" w:lineRule="auto"/>
        <w:jc w:val="both"/>
        <w:rPr>
          <w:sz w:val="20"/>
        </w:rPr>
      </w:pPr>
      <w:r>
        <w:t xml:space="preserve"> </w:t>
      </w:r>
    </w:p>
    <w:p w14:paraId="0F025F1E" w14:textId="77777777" w:rsidR="000D4845" w:rsidRPr="00E61194" w:rsidRDefault="007177FD" w:rsidP="000D4845">
      <w:pPr>
        <w:pStyle w:val="ListParagraph"/>
        <w:numPr>
          <w:ilvl w:val="0"/>
          <w:numId w:val="30"/>
        </w:numPr>
        <w:spacing w:after="0" w:line="240" w:lineRule="auto"/>
        <w:jc w:val="both"/>
      </w:pPr>
      <w:r>
        <w:t xml:space="preserve">The projected results depend on the </w:t>
      </w:r>
      <w:proofErr w:type="spellStart"/>
      <w:r>
        <w:t>organisation</w:t>
      </w:r>
      <w:proofErr w:type="spellEnd"/>
      <w:r>
        <w:t xml:space="preserve"> receiving the resources set out in the sections below. These projected </w:t>
      </w:r>
      <w:r w:rsidR="000D4845" w:rsidRPr="00E61194">
        <w:t xml:space="preserve">resources </w:t>
      </w:r>
      <w:r>
        <w:t xml:space="preserve">are </w:t>
      </w:r>
      <w:r w:rsidR="000D4845" w:rsidRPr="00E61194">
        <w:t xml:space="preserve">estimated based on projected future demand by </w:t>
      </w:r>
      <w:proofErr w:type="spellStart"/>
      <w:r w:rsidR="000D4845" w:rsidRPr="00E61194">
        <w:t>programme</w:t>
      </w:r>
      <w:proofErr w:type="spellEnd"/>
      <w:r w:rsidR="000D4845" w:rsidRPr="00E61194">
        <w:t xml:space="preserve"> countries and partners (using past expenditure as a guide) for products and services provided by UN</w:t>
      </w:r>
      <w:r w:rsidR="000D4845">
        <w:t>CDF</w:t>
      </w:r>
      <w:r w:rsidR="000D4845" w:rsidRPr="00E61194">
        <w:t xml:space="preserve"> and income projections for the period of 2014-2017. The amounts are indicative only. </w:t>
      </w:r>
    </w:p>
    <w:p w14:paraId="6907BFC9" w14:textId="77777777" w:rsidR="000D4845" w:rsidRPr="00E61194" w:rsidRDefault="000D4845" w:rsidP="000D4845">
      <w:pPr>
        <w:pStyle w:val="ListParagraph"/>
        <w:rPr>
          <w:sz w:val="20"/>
        </w:rPr>
      </w:pPr>
    </w:p>
    <w:p w14:paraId="69558391" w14:textId="77777777" w:rsidR="00532113" w:rsidRDefault="00E1798B" w:rsidP="00532113">
      <w:pPr>
        <w:pStyle w:val="ListParagraph"/>
        <w:numPr>
          <w:ilvl w:val="0"/>
          <w:numId w:val="30"/>
        </w:numPr>
        <w:spacing w:after="0" w:line="240" w:lineRule="auto"/>
        <w:jc w:val="both"/>
      </w:pPr>
      <w:r>
        <w:t>An accompanying methodological note to the IRR</w:t>
      </w:r>
      <w:r w:rsidR="00532113">
        <w:t>M has been produced and and</w:t>
      </w:r>
      <w:r>
        <w:t xml:space="preserve"> explain</w:t>
      </w:r>
      <w:r w:rsidR="00532113">
        <w:t>s</w:t>
      </w:r>
      <w:r>
        <w:t xml:space="preserve"> how each group of indicators will be measured against baseline and projected targets for 2017. In doing so, UNCDF will attempt where possible to disaggregate data by different variables of interest (for example: gender, geographical region, type of intervention etc)</w:t>
      </w:r>
      <w:r w:rsidR="000D4845" w:rsidRPr="00E61194">
        <w:t xml:space="preserve">. </w:t>
      </w:r>
      <w:r w:rsidR="00532113">
        <w:t>In some cases where indicators are new</w:t>
      </w:r>
      <w:r>
        <w:t xml:space="preserve">, </w:t>
      </w:r>
      <w:r w:rsidR="00532113">
        <w:t xml:space="preserve">baseline figures ares still to be defined. These will be added in the coming months. </w:t>
      </w:r>
    </w:p>
    <w:p w14:paraId="10A5540E" w14:textId="77777777" w:rsidR="00532113" w:rsidRDefault="00532113" w:rsidP="00532113">
      <w:pPr>
        <w:pStyle w:val="ListParagraph"/>
        <w:spacing w:after="0" w:line="240" w:lineRule="auto"/>
        <w:jc w:val="both"/>
      </w:pPr>
    </w:p>
    <w:p w14:paraId="319652A9" w14:textId="77777777" w:rsidR="000D4845" w:rsidRDefault="00532113" w:rsidP="00E1798B">
      <w:pPr>
        <w:pStyle w:val="ListParagraph"/>
        <w:numPr>
          <w:ilvl w:val="0"/>
          <w:numId w:val="30"/>
        </w:numPr>
        <w:spacing w:after="0" w:line="240" w:lineRule="auto"/>
        <w:jc w:val="both"/>
      </w:pPr>
      <w:r>
        <w:t xml:space="preserve">Monitoring and reporting against </w:t>
      </w:r>
      <w:r w:rsidR="000D4845" w:rsidRPr="00E61194">
        <w:t>indicators will be supported by</w:t>
      </w:r>
      <w:r w:rsidR="000D4845">
        <w:t xml:space="preserve"> a range of </w:t>
      </w:r>
      <w:r w:rsidR="000D4845" w:rsidRPr="00E61194">
        <w:t xml:space="preserve">data sources and evidence, </w:t>
      </w:r>
      <w:r w:rsidR="00E1798B">
        <w:t>using a mixed-</w:t>
      </w:r>
      <w:r w:rsidR="000D4845">
        <w:t xml:space="preserve">methods approach of </w:t>
      </w:r>
      <w:r w:rsidR="000D4845" w:rsidRPr="00E61194">
        <w:t xml:space="preserve">quantitative </w:t>
      </w:r>
      <w:r w:rsidR="000D4845">
        <w:t xml:space="preserve">and </w:t>
      </w:r>
      <w:r w:rsidR="000D4845" w:rsidRPr="00E61194">
        <w:t>qualitative</w:t>
      </w:r>
      <w:r w:rsidR="000D4845">
        <w:t xml:space="preserve"> measurement</w:t>
      </w:r>
      <w:r w:rsidR="000D4845" w:rsidRPr="00E61194">
        <w:t xml:space="preserve">. </w:t>
      </w:r>
      <w:r w:rsidR="000D4845">
        <w:t xml:space="preserve">Internal monitoring will be complemented and validated by a results-focused system of </w:t>
      </w:r>
      <w:r w:rsidR="00B46548">
        <w:t xml:space="preserve">qualitative </w:t>
      </w:r>
      <w:r w:rsidR="000D4845">
        <w:t xml:space="preserve">internal self-evaluation and external </w:t>
      </w:r>
      <w:proofErr w:type="spellStart"/>
      <w:r w:rsidR="000D4845">
        <w:t>programme</w:t>
      </w:r>
      <w:proofErr w:type="spellEnd"/>
      <w:r w:rsidR="000D4845">
        <w:t xml:space="preserve"> and outcome evaluation. This integrated system of performance measurement will allow regular update on progress towards results and allow informed and evidence-based management of the full range of UNCDF’s interventions. </w:t>
      </w:r>
    </w:p>
    <w:p w14:paraId="6EEDF25C" w14:textId="77777777" w:rsidR="000D4845" w:rsidRDefault="000D4845" w:rsidP="000D4845">
      <w:pPr>
        <w:pStyle w:val="ListParagraph"/>
      </w:pPr>
    </w:p>
    <w:p w14:paraId="3977B2E0" w14:textId="77777777" w:rsidR="005B2D3D" w:rsidRDefault="000D4845" w:rsidP="000D4845">
      <w:pPr>
        <w:pStyle w:val="ListParagraph"/>
        <w:numPr>
          <w:ilvl w:val="0"/>
          <w:numId w:val="30"/>
        </w:numPr>
        <w:spacing w:after="0" w:line="240" w:lineRule="auto"/>
        <w:jc w:val="both"/>
      </w:pPr>
      <w:r>
        <w:t xml:space="preserve">Finally in line with UNCDF’s commitment to continuous improvement, the Strategic Framework itself will be subject to a formal mid-term review halfway through its implementation and an independent evaluation will be carried out at the end of the period to provide lessons learned and to inform strategic decision making ahead of the next programming improvement. </w:t>
      </w:r>
    </w:p>
    <w:p w14:paraId="4016142A" w14:textId="77777777" w:rsidR="003B6360" w:rsidRPr="005B2D3D" w:rsidRDefault="003B6360" w:rsidP="005B2D3D">
      <w:pPr>
        <w:rPr>
          <w:rFonts w:asciiTheme="minorHAnsi" w:eastAsiaTheme="minorHAnsi" w:hAnsiTheme="minorHAnsi" w:cstheme="minorBidi"/>
          <w:color w:val="auto"/>
          <w:lang w:val="en-US" w:eastAsia="en-US"/>
        </w:rPr>
        <w:sectPr w:rsidR="003B6360" w:rsidRPr="005B2D3D" w:rsidSect="00404170">
          <w:headerReference w:type="default" r:id="rId14"/>
          <w:footerReference w:type="default" r:id="rId15"/>
          <w:headerReference w:type="first" r:id="rId16"/>
          <w:pgSz w:w="11907" w:h="16839" w:code="9"/>
          <w:pgMar w:top="1440" w:right="1584" w:bottom="1440" w:left="1152" w:header="720" w:footer="720" w:gutter="0"/>
          <w:cols w:space="720"/>
          <w:titlePg/>
          <w:docGrid w:linePitch="360"/>
        </w:sectPr>
      </w:pPr>
    </w:p>
    <w:tbl>
      <w:tblPr>
        <w:tblStyle w:val="TableGrid"/>
        <w:tblpPr w:leftFromText="187" w:rightFromText="187" w:vertAnchor="page" w:horzAnchor="margin" w:tblpX="-301" w:tblpY="1686"/>
        <w:tblW w:w="15228" w:type="dxa"/>
        <w:tblLook w:val="0600" w:firstRow="0" w:lastRow="0" w:firstColumn="0" w:lastColumn="0" w:noHBand="1" w:noVBand="1"/>
      </w:tblPr>
      <w:tblGrid>
        <w:gridCol w:w="10045"/>
        <w:gridCol w:w="1853"/>
        <w:gridCol w:w="1440"/>
        <w:gridCol w:w="1890"/>
      </w:tblGrid>
      <w:tr w:rsidR="001E480D" w:rsidRPr="00C75689" w14:paraId="6278FA6F" w14:textId="77777777" w:rsidTr="001E480D">
        <w:trPr>
          <w:trHeight w:val="304"/>
        </w:trPr>
        <w:tc>
          <w:tcPr>
            <w:tcW w:w="11898" w:type="dxa"/>
            <w:gridSpan w:val="2"/>
            <w:tcBorders>
              <w:top w:val="nil"/>
              <w:left w:val="nil"/>
              <w:bottom w:val="single" w:sz="4" w:space="0" w:color="auto"/>
              <w:right w:val="nil"/>
            </w:tcBorders>
            <w:shd w:val="clear" w:color="auto" w:fill="auto"/>
          </w:tcPr>
          <w:p w14:paraId="2A107277" w14:textId="77777777" w:rsidR="001E480D" w:rsidRDefault="001E480D" w:rsidP="00967A65">
            <w:pPr>
              <w:spacing w:after="18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lastRenderedPageBreak/>
              <w:t>II.         Outcomes and Outputs</w:t>
            </w:r>
            <w:r>
              <w:rPr>
                <w:rFonts w:asciiTheme="minorHAnsi" w:eastAsiaTheme="minorHAnsi" w:hAnsiTheme="minorHAnsi" w:cstheme="minorBidi"/>
                <w:b/>
                <w:color w:val="auto"/>
                <w:lang w:val="en-US" w:eastAsia="en-US"/>
              </w:rPr>
              <w:t xml:space="preserve"> </w:t>
            </w:r>
            <w:r>
              <w:rPr>
                <w:rStyle w:val="FootnoteReference"/>
                <w:rFonts w:asciiTheme="minorHAnsi" w:eastAsiaTheme="minorHAnsi" w:hAnsiTheme="minorHAnsi" w:cstheme="minorBidi"/>
                <w:b/>
                <w:color w:val="auto"/>
                <w:lang w:val="en-US" w:eastAsia="en-US"/>
              </w:rPr>
              <w:footnoteReference w:id="4"/>
            </w:r>
          </w:p>
          <w:p w14:paraId="54040596" w14:textId="77777777" w:rsidR="001E480D" w:rsidRPr="00C75689" w:rsidRDefault="001E480D" w:rsidP="00967A65">
            <w:pPr>
              <w:spacing w:after="180" w:line="276" w:lineRule="auto"/>
              <w:rPr>
                <w:rFonts w:asciiTheme="minorHAnsi" w:eastAsiaTheme="minorHAnsi" w:hAnsiTheme="minorHAnsi" w:cstheme="minorBidi"/>
                <w:b/>
                <w:color w:val="auto"/>
                <w:lang w:val="en-US" w:eastAsia="en-US"/>
              </w:rPr>
            </w:pPr>
            <w:r>
              <w:rPr>
                <w:rFonts w:asciiTheme="minorHAnsi" w:eastAsiaTheme="minorHAnsi" w:hAnsiTheme="minorHAnsi" w:cstheme="minorBidi"/>
                <w:b/>
                <w:color w:val="auto"/>
                <w:lang w:val="en-US" w:eastAsia="en-US"/>
              </w:rPr>
              <w:t>Part A - Development Effectiveness</w:t>
            </w:r>
          </w:p>
        </w:tc>
        <w:tc>
          <w:tcPr>
            <w:tcW w:w="1440" w:type="dxa"/>
            <w:tcBorders>
              <w:top w:val="nil"/>
              <w:left w:val="nil"/>
              <w:bottom w:val="single" w:sz="4" w:space="0" w:color="auto"/>
              <w:right w:val="nil"/>
            </w:tcBorders>
          </w:tcPr>
          <w:p w14:paraId="4DF12CF1" w14:textId="77777777" w:rsidR="001E480D" w:rsidRPr="00C75689" w:rsidRDefault="001E480D" w:rsidP="00967A65">
            <w:pPr>
              <w:spacing w:after="180"/>
              <w:rPr>
                <w:rFonts w:asciiTheme="minorHAnsi" w:eastAsiaTheme="minorHAnsi" w:hAnsiTheme="minorHAnsi" w:cstheme="minorBidi"/>
                <w:b/>
                <w:color w:val="auto"/>
                <w:lang w:val="en-US" w:eastAsia="en-US"/>
              </w:rPr>
            </w:pPr>
          </w:p>
        </w:tc>
        <w:tc>
          <w:tcPr>
            <w:tcW w:w="1890" w:type="dxa"/>
            <w:tcBorders>
              <w:top w:val="nil"/>
              <w:left w:val="nil"/>
              <w:bottom w:val="single" w:sz="4" w:space="0" w:color="auto"/>
              <w:right w:val="nil"/>
            </w:tcBorders>
            <w:shd w:val="clear" w:color="auto" w:fill="auto"/>
          </w:tcPr>
          <w:p w14:paraId="39573AD6" w14:textId="2ECB726B" w:rsidR="001E480D" w:rsidRPr="00C75689" w:rsidRDefault="001E480D" w:rsidP="00967A65">
            <w:pPr>
              <w:spacing w:after="180" w:line="276" w:lineRule="auto"/>
              <w:rPr>
                <w:rFonts w:asciiTheme="minorHAnsi" w:eastAsiaTheme="minorHAnsi" w:hAnsiTheme="minorHAnsi" w:cstheme="minorBidi"/>
                <w:b/>
                <w:color w:val="auto"/>
                <w:lang w:val="en-US" w:eastAsia="en-US"/>
              </w:rPr>
            </w:pPr>
          </w:p>
        </w:tc>
      </w:tr>
      <w:tr w:rsidR="001E480D" w:rsidRPr="00C75689" w14:paraId="11DEF2FF" w14:textId="77777777" w:rsidTr="007D7A2E">
        <w:trPr>
          <w:trHeight w:val="304"/>
        </w:trPr>
        <w:tc>
          <w:tcPr>
            <w:tcW w:w="13338" w:type="dxa"/>
            <w:gridSpan w:val="3"/>
            <w:tcBorders>
              <w:top w:val="single" w:sz="4" w:space="0" w:color="auto"/>
            </w:tcBorders>
            <w:shd w:val="clear" w:color="auto" w:fill="0070C0"/>
          </w:tcPr>
          <w:p w14:paraId="5316C421" w14:textId="329456D3" w:rsidR="001E480D" w:rsidRDefault="001E480D" w:rsidP="00967A65">
            <w:pPr>
              <w:spacing w:after="180"/>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Outcome 1: Financing increased for basic services and inclusive growth/local economic development</w:t>
            </w:r>
          </w:p>
        </w:tc>
        <w:tc>
          <w:tcPr>
            <w:tcW w:w="1890" w:type="dxa"/>
            <w:tcBorders>
              <w:top w:val="single" w:sz="4" w:space="0" w:color="auto"/>
            </w:tcBorders>
            <w:shd w:val="clear" w:color="auto" w:fill="A6A6A6" w:themeFill="background1" w:themeFillShade="A6"/>
          </w:tcPr>
          <w:p w14:paraId="7DA84873" w14:textId="3855EAA0" w:rsidR="001E480D" w:rsidRPr="00C75689" w:rsidRDefault="001E480D" w:rsidP="00967A65">
            <w:pPr>
              <w:spacing w:after="180" w:line="276" w:lineRule="auto"/>
              <w:rPr>
                <w:rFonts w:asciiTheme="minorHAnsi" w:eastAsiaTheme="minorHAnsi" w:hAnsiTheme="minorHAnsi" w:cstheme="minorBidi"/>
                <w:b/>
                <w:color w:val="auto"/>
                <w:lang w:val="en-US" w:eastAsia="en-US"/>
              </w:rPr>
            </w:pPr>
            <w:r>
              <w:rPr>
                <w:rFonts w:asciiTheme="minorHAnsi" w:eastAsiaTheme="minorHAnsi" w:hAnsiTheme="minorHAnsi" w:cstheme="minorBidi"/>
                <w:b/>
                <w:color w:val="auto"/>
                <w:lang w:val="en-US" w:eastAsia="en-US"/>
              </w:rPr>
              <w:t>Indicative r</w:t>
            </w:r>
            <w:r w:rsidRPr="00C75689">
              <w:rPr>
                <w:rFonts w:asciiTheme="minorHAnsi" w:eastAsiaTheme="minorHAnsi" w:hAnsiTheme="minorHAnsi" w:cstheme="minorBidi"/>
                <w:b/>
                <w:color w:val="auto"/>
                <w:lang w:val="en-US" w:eastAsia="en-US"/>
              </w:rPr>
              <w:t>esources</w:t>
            </w:r>
            <w:r>
              <w:rPr>
                <w:rStyle w:val="FootnoteReference"/>
                <w:rFonts w:asciiTheme="minorHAnsi" w:eastAsiaTheme="minorHAnsi" w:hAnsiTheme="minorHAnsi" w:cstheme="minorBidi"/>
                <w:b/>
                <w:color w:val="auto"/>
                <w:lang w:val="en-US" w:eastAsia="en-US"/>
              </w:rPr>
              <w:footnoteReference w:id="5"/>
            </w:r>
            <w:r w:rsidRPr="00C75689">
              <w:rPr>
                <w:rFonts w:asciiTheme="minorHAnsi" w:eastAsiaTheme="minorHAnsi" w:hAnsiTheme="minorHAnsi" w:cstheme="minorBidi"/>
                <w:b/>
                <w:color w:val="auto"/>
                <w:lang w:val="en-US" w:eastAsia="en-US"/>
              </w:rPr>
              <w:t>:</w:t>
            </w:r>
          </w:p>
          <w:p w14:paraId="3BF06EFF" w14:textId="77777777" w:rsidR="001E480D" w:rsidRPr="00C75689" w:rsidRDefault="001E480D" w:rsidP="00681322">
            <w:pPr>
              <w:spacing w:after="18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 </w:t>
            </w:r>
            <w:r>
              <w:rPr>
                <w:rFonts w:asciiTheme="minorHAnsi" w:eastAsiaTheme="minorHAnsi" w:hAnsiTheme="minorHAnsi" w:cstheme="minorBidi"/>
                <w:b/>
                <w:color w:val="auto"/>
                <w:lang w:val="en-US" w:eastAsia="en-US"/>
              </w:rPr>
              <w:t>117 million</w:t>
            </w:r>
          </w:p>
        </w:tc>
      </w:tr>
      <w:tr w:rsidR="001E480D" w:rsidRPr="00C75689" w14:paraId="33E8F25D" w14:textId="77777777" w:rsidTr="001E480D">
        <w:trPr>
          <w:trHeight w:val="620"/>
        </w:trPr>
        <w:tc>
          <w:tcPr>
            <w:tcW w:w="0" w:type="auto"/>
            <w:shd w:val="clear" w:color="auto" w:fill="D9D9D9" w:themeFill="background1" w:themeFillShade="D9"/>
          </w:tcPr>
          <w:p w14:paraId="311CE99E" w14:textId="77777777" w:rsidR="001E480D" w:rsidRPr="00C75689" w:rsidRDefault="001E480D" w:rsidP="00967A65">
            <w:pPr>
              <w:spacing w:after="18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Outcome Indicators: </w:t>
            </w:r>
            <w:r w:rsidRPr="00C75689">
              <w:rPr>
                <w:rFonts w:asciiTheme="minorHAnsi" w:eastAsiaTheme="minorHAnsi" w:hAnsiTheme="minorHAnsi" w:cstheme="minorBidi"/>
                <w:color w:val="auto"/>
                <w:lang w:val="en-US" w:eastAsia="en-US"/>
              </w:rPr>
              <w:t xml:space="preserve"> </w:t>
            </w:r>
            <w:r w:rsidRPr="00C75689">
              <w:rPr>
                <w:rFonts w:asciiTheme="minorHAnsi" w:eastAsiaTheme="minorHAnsi" w:hAnsiTheme="minorHAnsi" w:cstheme="minorBidi"/>
                <w:i/>
                <w:color w:val="auto"/>
                <w:lang w:val="en-US" w:eastAsia="en-US"/>
              </w:rPr>
              <w:t>(assess progress against specified outcomes;  they help verify that the intended positive change in the development situation has actually taken place)</w:t>
            </w:r>
          </w:p>
        </w:tc>
        <w:tc>
          <w:tcPr>
            <w:tcW w:w="1853" w:type="dxa"/>
            <w:shd w:val="clear" w:color="auto" w:fill="D9D9D9" w:themeFill="background1" w:themeFillShade="D9"/>
          </w:tcPr>
          <w:p w14:paraId="3D3B2917" w14:textId="77777777" w:rsidR="001E480D" w:rsidRPr="00C75689" w:rsidRDefault="001E480D" w:rsidP="00967A65">
            <w:pPr>
              <w:spacing w:after="18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Baselines </w:t>
            </w:r>
            <w:r w:rsidRPr="00C75689">
              <w:rPr>
                <w:rFonts w:asciiTheme="minorHAnsi" w:eastAsiaTheme="minorHAnsi" w:hAnsiTheme="minorHAnsi" w:cstheme="minorBidi"/>
                <w:i/>
                <w:color w:val="auto"/>
                <w:lang w:val="en-US" w:eastAsia="en-US"/>
              </w:rPr>
              <w:t>(2013, unless noted)</w:t>
            </w:r>
          </w:p>
        </w:tc>
        <w:tc>
          <w:tcPr>
            <w:tcW w:w="1440" w:type="dxa"/>
            <w:shd w:val="clear" w:color="auto" w:fill="D9D9D9" w:themeFill="background1" w:themeFillShade="D9"/>
          </w:tcPr>
          <w:p w14:paraId="5F8C74D4" w14:textId="22D45D36" w:rsidR="001E480D" w:rsidRPr="00ED4D99" w:rsidRDefault="001E480D" w:rsidP="00967A65">
            <w:pPr>
              <w:spacing w:after="180"/>
              <w:rPr>
                <w:rFonts w:asciiTheme="minorHAnsi" w:eastAsiaTheme="minorHAnsi" w:hAnsiTheme="minorHAnsi" w:cstheme="minorBidi"/>
                <w:b/>
                <w:color w:val="244061" w:themeColor="accent1" w:themeShade="80"/>
                <w:lang w:val="en-US" w:eastAsia="en-US"/>
              </w:rPr>
            </w:pPr>
            <w:r w:rsidRPr="00ED4D99">
              <w:rPr>
                <w:rFonts w:asciiTheme="minorHAnsi" w:eastAsiaTheme="minorHAnsi" w:hAnsiTheme="minorHAnsi" w:cstheme="minorBidi"/>
                <w:b/>
                <w:color w:val="244061" w:themeColor="accent1" w:themeShade="80"/>
                <w:lang w:val="en-US" w:eastAsia="en-US"/>
              </w:rPr>
              <w:t>Results for 2014</w:t>
            </w:r>
          </w:p>
        </w:tc>
        <w:tc>
          <w:tcPr>
            <w:tcW w:w="1890" w:type="dxa"/>
            <w:shd w:val="clear" w:color="auto" w:fill="D9D9D9" w:themeFill="background1" w:themeFillShade="D9"/>
          </w:tcPr>
          <w:p w14:paraId="21A43744" w14:textId="2B6F152F" w:rsidR="001E480D" w:rsidRPr="00C75689" w:rsidRDefault="001E480D" w:rsidP="00967A65">
            <w:pPr>
              <w:spacing w:after="18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Targets </w:t>
            </w:r>
            <w:r>
              <w:rPr>
                <w:rFonts w:asciiTheme="minorHAnsi" w:eastAsiaTheme="minorHAnsi" w:hAnsiTheme="minorHAnsi" w:cstheme="minorBidi"/>
                <w:i/>
                <w:color w:val="auto"/>
                <w:lang w:val="en-US" w:eastAsia="en-US"/>
              </w:rPr>
              <w:t>(2017, unless noted)</w:t>
            </w:r>
          </w:p>
        </w:tc>
      </w:tr>
      <w:tr w:rsidR="001E480D" w:rsidRPr="00C75689" w14:paraId="355F42A4" w14:textId="77777777" w:rsidTr="001E480D">
        <w:trPr>
          <w:trHeight w:val="944"/>
        </w:trPr>
        <w:tc>
          <w:tcPr>
            <w:tcW w:w="0" w:type="auto"/>
            <w:shd w:val="clear" w:color="auto" w:fill="FFFFFF" w:themeFill="background1"/>
          </w:tcPr>
          <w:p w14:paraId="0AA69847" w14:textId="77777777" w:rsidR="001E480D" w:rsidRPr="00C75689" w:rsidRDefault="001E480D" w:rsidP="00967A65">
            <w:pPr>
              <w:spacing w:after="180" w:line="276" w:lineRule="auto"/>
              <w:rPr>
                <w:rFonts w:asciiTheme="minorHAnsi" w:eastAsiaTheme="minorHAnsi" w:hAnsiTheme="minorHAnsi" w:cstheme="minorBidi"/>
                <w:b/>
                <w:color w:val="auto"/>
                <w:u w:val="single"/>
                <w:lang w:eastAsia="en-US"/>
              </w:rPr>
            </w:pPr>
            <w:r w:rsidRPr="00C75689">
              <w:rPr>
                <w:rFonts w:asciiTheme="minorHAnsi" w:eastAsiaTheme="minorHAnsi" w:hAnsiTheme="minorHAnsi" w:cstheme="minorBidi"/>
                <w:b/>
                <w:color w:val="auto"/>
                <w:u w:val="single"/>
                <w:lang w:eastAsia="en-US"/>
              </w:rPr>
              <w:t xml:space="preserve">Inclusive finance </w:t>
            </w:r>
          </w:p>
          <w:p w14:paraId="342CA200" w14:textId="77777777" w:rsidR="001E480D" w:rsidRPr="00C75689" w:rsidRDefault="001E480D" w:rsidP="00967A65">
            <w:pPr>
              <w:spacing w:after="18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eastAsia="en-US"/>
              </w:rPr>
              <w:t>1.a. Net change of domestic savings mobilized by UNCDF-supported Financial Service Providers (FSPs)</w:t>
            </w:r>
            <w:r w:rsidRPr="00C75689">
              <w:rPr>
                <w:rFonts w:asciiTheme="minorHAnsi" w:eastAsiaTheme="minorHAnsi" w:hAnsiTheme="minorHAnsi" w:cstheme="minorBidi"/>
                <w:color w:val="auto"/>
                <w:vertAlign w:val="superscript"/>
                <w:lang w:eastAsia="en-US"/>
              </w:rPr>
              <w:footnoteReference w:id="6"/>
            </w:r>
            <w:r w:rsidRPr="00C75689">
              <w:rPr>
                <w:rFonts w:asciiTheme="minorHAnsi" w:eastAsiaTheme="minorHAnsi" w:hAnsiTheme="minorHAnsi" w:cstheme="minorBidi"/>
                <w:color w:val="auto"/>
                <w:lang w:eastAsia="en-US"/>
              </w:rPr>
              <w:t xml:space="preserve"> </w:t>
            </w:r>
          </w:p>
        </w:tc>
        <w:tc>
          <w:tcPr>
            <w:tcW w:w="1853" w:type="dxa"/>
            <w:shd w:val="clear" w:color="auto" w:fill="FFFFFF" w:themeFill="background1"/>
          </w:tcPr>
          <w:p w14:paraId="2F4FBB68" w14:textId="77777777" w:rsidR="001E480D" w:rsidRPr="00C75689" w:rsidRDefault="001E480D" w:rsidP="00967A65">
            <w:pPr>
              <w:spacing w:after="18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10 to 1 leverage of UNCDF’s core resources</w:t>
            </w:r>
          </w:p>
        </w:tc>
        <w:tc>
          <w:tcPr>
            <w:tcW w:w="1440" w:type="dxa"/>
          </w:tcPr>
          <w:p w14:paraId="0E851982" w14:textId="77777777" w:rsidR="001E480D" w:rsidRDefault="001E480D" w:rsidP="00967A65">
            <w:pPr>
              <w:spacing w:after="180"/>
              <w:rPr>
                <w:rFonts w:asciiTheme="minorHAnsi" w:eastAsiaTheme="minorHAnsi" w:hAnsiTheme="minorHAnsi" w:cstheme="minorBidi"/>
                <w:color w:val="auto"/>
                <w:lang w:val="en-US" w:eastAsia="en-US"/>
              </w:rPr>
            </w:pPr>
          </w:p>
          <w:p w14:paraId="5EE72487" w14:textId="03092AAB" w:rsidR="0095088B" w:rsidRPr="00ED4D99" w:rsidRDefault="0095088B" w:rsidP="00967A65">
            <w:pPr>
              <w:spacing w:after="180"/>
              <w:rPr>
                <w:rFonts w:asciiTheme="minorHAnsi" w:eastAsiaTheme="minorHAnsi" w:hAnsiTheme="minorHAnsi" w:cstheme="minorBidi"/>
                <w:color w:val="244061" w:themeColor="accent1" w:themeShade="80"/>
                <w:lang w:val="en-US" w:eastAsia="en-US"/>
              </w:rPr>
            </w:pPr>
            <w:r w:rsidRPr="00ED4D99">
              <w:rPr>
                <w:rFonts w:asciiTheme="minorHAnsi" w:eastAsiaTheme="minorHAnsi" w:hAnsiTheme="minorHAnsi" w:cstheme="minorBidi"/>
                <w:color w:val="244061" w:themeColor="accent1" w:themeShade="80"/>
                <w:lang w:val="en-US" w:eastAsia="en-US"/>
              </w:rPr>
              <w:t>36 to 1</w:t>
            </w:r>
          </w:p>
        </w:tc>
        <w:tc>
          <w:tcPr>
            <w:tcW w:w="1890" w:type="dxa"/>
            <w:shd w:val="clear" w:color="auto" w:fill="auto"/>
          </w:tcPr>
          <w:p w14:paraId="20D563B8" w14:textId="2A6AD12B" w:rsidR="001E480D" w:rsidRPr="00C75689" w:rsidRDefault="001E480D" w:rsidP="00967A65">
            <w:pPr>
              <w:spacing w:after="18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10 to 1 leverage of UNCDF’s core resources</w:t>
            </w:r>
          </w:p>
        </w:tc>
      </w:tr>
      <w:tr w:rsidR="001E480D" w:rsidRPr="00C75689" w14:paraId="4BAB6025" w14:textId="77777777" w:rsidTr="001E480D">
        <w:trPr>
          <w:trHeight w:val="1169"/>
        </w:trPr>
        <w:tc>
          <w:tcPr>
            <w:tcW w:w="0" w:type="auto"/>
            <w:shd w:val="clear" w:color="auto" w:fill="FFFFFF" w:themeFill="background1"/>
          </w:tcPr>
          <w:p w14:paraId="228C5B48" w14:textId="77777777" w:rsidR="001E480D" w:rsidRPr="00C75689" w:rsidRDefault="001E480D" w:rsidP="00967A65">
            <w:pPr>
              <w:spacing w:after="180" w:line="276" w:lineRule="auto"/>
              <w:rPr>
                <w:rFonts w:asciiTheme="minorHAnsi" w:eastAsiaTheme="minorHAnsi" w:hAnsiTheme="minorHAnsi" w:cstheme="minorBidi"/>
                <w:b/>
                <w:color w:val="auto"/>
                <w:lang w:eastAsia="en-US"/>
              </w:rPr>
            </w:pPr>
            <w:r>
              <w:rPr>
                <w:rFonts w:asciiTheme="minorHAnsi" w:eastAsiaTheme="minorHAnsi" w:hAnsiTheme="minorHAnsi" w:cstheme="minorBidi"/>
                <w:b/>
                <w:color w:val="auto"/>
                <w:u w:val="single"/>
                <w:lang w:eastAsia="en-US"/>
              </w:rPr>
              <w:lastRenderedPageBreak/>
              <w:t>Lo</w:t>
            </w:r>
            <w:r w:rsidRPr="00C75689">
              <w:rPr>
                <w:rFonts w:asciiTheme="minorHAnsi" w:eastAsiaTheme="minorHAnsi" w:hAnsiTheme="minorHAnsi" w:cstheme="minorBidi"/>
                <w:b/>
                <w:color w:val="auto"/>
                <w:u w:val="single"/>
                <w:lang w:eastAsia="en-US"/>
              </w:rPr>
              <w:t>cal Development Finance</w:t>
            </w:r>
          </w:p>
          <w:p w14:paraId="7D969A7E" w14:textId="77777777" w:rsidR="001E480D" w:rsidRPr="00C75689" w:rsidRDefault="001E480D" w:rsidP="00967A65">
            <w:pPr>
              <w:spacing w:after="180" w:line="276" w:lineRule="auto"/>
              <w:rPr>
                <w:rFonts w:asciiTheme="minorHAnsi" w:eastAsiaTheme="minorHAnsi" w:hAnsiTheme="minorHAnsi" w:cstheme="minorBidi"/>
                <w:b/>
                <w:color w:val="auto"/>
                <w:u w:val="single"/>
                <w:lang w:eastAsia="en-US"/>
              </w:rPr>
            </w:pPr>
            <w:r w:rsidRPr="00C75689">
              <w:rPr>
                <w:rFonts w:asciiTheme="minorHAnsi" w:eastAsiaTheme="minorHAnsi" w:hAnsiTheme="minorHAnsi" w:cstheme="minorBidi"/>
                <w:color w:val="auto"/>
                <w:lang w:eastAsia="en-US"/>
              </w:rPr>
              <w:t>1.b. Net increase in local fiscal space</w:t>
            </w:r>
            <w:r w:rsidRPr="00C75689">
              <w:rPr>
                <w:rFonts w:asciiTheme="minorHAnsi" w:eastAsiaTheme="minorHAnsi" w:hAnsiTheme="minorHAnsi" w:cstheme="minorBidi"/>
                <w:color w:val="auto"/>
                <w:vertAlign w:val="superscript"/>
                <w:lang w:eastAsia="en-US"/>
              </w:rPr>
              <w:footnoteReference w:id="7"/>
            </w:r>
            <w:r w:rsidRPr="00C75689">
              <w:rPr>
                <w:rFonts w:asciiTheme="minorHAnsi" w:eastAsiaTheme="minorHAnsi" w:hAnsiTheme="minorHAnsi" w:cstheme="minorBidi"/>
                <w:color w:val="auto"/>
                <w:lang w:eastAsia="en-US"/>
              </w:rPr>
              <w:t xml:space="preserve"> available for local development in sub-national territorial jurisdictions supported by UNCDF</w:t>
            </w:r>
          </w:p>
        </w:tc>
        <w:tc>
          <w:tcPr>
            <w:tcW w:w="1853" w:type="dxa"/>
            <w:shd w:val="clear" w:color="auto" w:fill="FFFFFF" w:themeFill="background1"/>
          </w:tcPr>
          <w:p w14:paraId="15B1BC9A" w14:textId="77777777" w:rsidR="001E480D" w:rsidRPr="00C75689" w:rsidRDefault="001E480D" w:rsidP="00967A65">
            <w:pPr>
              <w:spacing w:after="18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TBA</w:t>
            </w:r>
            <w:r w:rsidRPr="00C75689">
              <w:rPr>
                <w:rFonts w:asciiTheme="minorHAnsi" w:eastAsiaTheme="minorHAnsi" w:hAnsiTheme="minorHAnsi" w:cstheme="minorBidi"/>
                <w:color w:val="auto"/>
                <w:vertAlign w:val="superscript"/>
                <w:lang w:val="en-US" w:eastAsia="en-US"/>
              </w:rPr>
              <w:footnoteReference w:id="8"/>
            </w:r>
          </w:p>
        </w:tc>
        <w:tc>
          <w:tcPr>
            <w:tcW w:w="1440" w:type="dxa"/>
          </w:tcPr>
          <w:p w14:paraId="66EEF89B" w14:textId="77777777" w:rsidR="001E480D" w:rsidRPr="00C75689" w:rsidRDefault="001E480D" w:rsidP="00967A65">
            <w:pPr>
              <w:spacing w:after="180"/>
              <w:rPr>
                <w:rFonts w:asciiTheme="minorHAnsi" w:eastAsiaTheme="minorHAnsi" w:hAnsiTheme="minorHAnsi" w:cstheme="minorBidi"/>
                <w:color w:val="auto"/>
                <w:lang w:val="en-US" w:eastAsia="en-US"/>
              </w:rPr>
            </w:pPr>
          </w:p>
        </w:tc>
        <w:tc>
          <w:tcPr>
            <w:tcW w:w="1890" w:type="dxa"/>
            <w:shd w:val="clear" w:color="auto" w:fill="auto"/>
          </w:tcPr>
          <w:p w14:paraId="5E9D17EA" w14:textId="64713AF0" w:rsidR="001E480D" w:rsidRPr="00C75689" w:rsidRDefault="001E480D" w:rsidP="00967A65">
            <w:pPr>
              <w:spacing w:after="18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75% of UNCDF-supported institutions indicating an increase in fiscal space of over 25%</w:t>
            </w:r>
          </w:p>
        </w:tc>
      </w:tr>
      <w:tr w:rsidR="001E480D" w:rsidRPr="00C75689" w14:paraId="08EAB710" w14:textId="77777777" w:rsidTr="001E480D">
        <w:trPr>
          <w:trHeight w:val="1158"/>
        </w:trPr>
        <w:tc>
          <w:tcPr>
            <w:tcW w:w="0" w:type="auto"/>
            <w:shd w:val="clear" w:color="auto" w:fill="FFFFFF" w:themeFill="background1"/>
          </w:tcPr>
          <w:p w14:paraId="7FD39837" w14:textId="77777777" w:rsidR="001E480D" w:rsidRDefault="001E480D" w:rsidP="00967A65">
            <w:pPr>
              <w:spacing w:after="18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1.c. Gross increase in fixed capital formation</w:t>
            </w:r>
            <w:r w:rsidRPr="00C75689">
              <w:rPr>
                <w:rFonts w:asciiTheme="minorHAnsi" w:eastAsiaTheme="minorHAnsi" w:hAnsiTheme="minorHAnsi" w:cstheme="minorBidi"/>
                <w:color w:val="auto"/>
                <w:vertAlign w:val="superscript"/>
                <w:lang w:eastAsia="en-US"/>
              </w:rPr>
              <w:footnoteReference w:id="9"/>
            </w:r>
            <w:r w:rsidRPr="00C75689">
              <w:rPr>
                <w:rFonts w:asciiTheme="minorHAnsi" w:eastAsiaTheme="minorHAnsi" w:hAnsiTheme="minorHAnsi" w:cstheme="minorBidi"/>
                <w:color w:val="auto"/>
                <w:lang w:eastAsia="en-US"/>
              </w:rPr>
              <w:t xml:space="preserve"> comprised of individual projects/investments under $20m  located within sub-national territorial j</w:t>
            </w:r>
            <w:r>
              <w:rPr>
                <w:rFonts w:asciiTheme="minorHAnsi" w:eastAsiaTheme="minorHAnsi" w:hAnsiTheme="minorHAnsi" w:cstheme="minorBidi"/>
                <w:color w:val="auto"/>
                <w:lang w:eastAsia="en-US"/>
              </w:rPr>
              <w:t>urisdictions supported by UNCDF</w:t>
            </w:r>
          </w:p>
          <w:p w14:paraId="738385B1" w14:textId="77777777" w:rsidR="001E480D" w:rsidRDefault="001E480D" w:rsidP="00967A65">
            <w:pPr>
              <w:spacing w:after="180" w:line="276" w:lineRule="auto"/>
              <w:rPr>
                <w:rFonts w:asciiTheme="minorHAnsi" w:eastAsiaTheme="minorHAnsi" w:hAnsiTheme="minorHAnsi" w:cstheme="minorBidi"/>
                <w:color w:val="auto"/>
                <w:lang w:eastAsia="en-US"/>
              </w:rPr>
            </w:pPr>
          </w:p>
          <w:p w14:paraId="17ACC021" w14:textId="77777777" w:rsidR="001E480D" w:rsidRDefault="001E480D" w:rsidP="00967A65">
            <w:pPr>
              <w:spacing w:after="180" w:line="276" w:lineRule="auto"/>
              <w:rPr>
                <w:rFonts w:asciiTheme="minorHAnsi" w:eastAsiaTheme="minorHAnsi" w:hAnsiTheme="minorHAnsi" w:cstheme="minorBidi"/>
                <w:color w:val="auto"/>
                <w:lang w:eastAsia="en-US"/>
              </w:rPr>
            </w:pPr>
          </w:p>
          <w:p w14:paraId="595369F5" w14:textId="77777777" w:rsidR="001E480D" w:rsidRDefault="001E480D" w:rsidP="00967A65">
            <w:pPr>
              <w:spacing w:after="180" w:line="276" w:lineRule="auto"/>
              <w:rPr>
                <w:rFonts w:asciiTheme="minorHAnsi" w:eastAsiaTheme="minorHAnsi" w:hAnsiTheme="minorHAnsi" w:cstheme="minorBidi"/>
                <w:color w:val="auto"/>
                <w:lang w:eastAsia="en-US"/>
              </w:rPr>
            </w:pPr>
          </w:p>
          <w:p w14:paraId="7014D024" w14:textId="77777777" w:rsidR="001E480D" w:rsidRDefault="001E480D" w:rsidP="00967A65">
            <w:pPr>
              <w:spacing w:after="180" w:line="276" w:lineRule="auto"/>
              <w:rPr>
                <w:rFonts w:asciiTheme="minorHAnsi" w:eastAsiaTheme="minorHAnsi" w:hAnsiTheme="minorHAnsi" w:cstheme="minorBidi"/>
                <w:color w:val="auto"/>
                <w:lang w:eastAsia="en-US"/>
              </w:rPr>
            </w:pPr>
          </w:p>
          <w:p w14:paraId="6981E3BF" w14:textId="77777777" w:rsidR="001E480D" w:rsidRDefault="001E480D" w:rsidP="00967A65">
            <w:pPr>
              <w:spacing w:after="180" w:line="276" w:lineRule="auto"/>
              <w:rPr>
                <w:rFonts w:asciiTheme="minorHAnsi" w:eastAsiaTheme="minorHAnsi" w:hAnsiTheme="minorHAnsi" w:cstheme="minorBidi"/>
                <w:color w:val="auto"/>
                <w:lang w:eastAsia="en-US"/>
              </w:rPr>
            </w:pPr>
          </w:p>
          <w:p w14:paraId="370AFB2B" w14:textId="77777777" w:rsidR="001E480D" w:rsidRDefault="001E480D" w:rsidP="00967A65">
            <w:pPr>
              <w:spacing w:after="180" w:line="276" w:lineRule="auto"/>
              <w:rPr>
                <w:rFonts w:asciiTheme="minorHAnsi" w:eastAsiaTheme="minorHAnsi" w:hAnsiTheme="minorHAnsi" w:cstheme="minorBidi"/>
                <w:color w:val="auto"/>
                <w:lang w:eastAsia="en-US"/>
              </w:rPr>
            </w:pPr>
          </w:p>
          <w:p w14:paraId="3B525FDC" w14:textId="77777777" w:rsidR="001E480D" w:rsidRDefault="001E480D" w:rsidP="00967A65">
            <w:pPr>
              <w:spacing w:after="180" w:line="276" w:lineRule="auto"/>
              <w:rPr>
                <w:rFonts w:asciiTheme="minorHAnsi" w:eastAsiaTheme="minorHAnsi" w:hAnsiTheme="minorHAnsi" w:cstheme="minorBidi"/>
                <w:color w:val="auto"/>
                <w:lang w:eastAsia="en-US"/>
              </w:rPr>
            </w:pPr>
          </w:p>
          <w:p w14:paraId="08945A1D" w14:textId="77777777" w:rsidR="001E480D" w:rsidRPr="00C75689" w:rsidRDefault="001E480D" w:rsidP="00967A65">
            <w:pPr>
              <w:spacing w:after="180" w:line="276" w:lineRule="auto"/>
              <w:rPr>
                <w:rFonts w:asciiTheme="minorHAnsi" w:eastAsiaTheme="minorHAnsi" w:hAnsiTheme="minorHAnsi" w:cstheme="minorBidi"/>
                <w:color w:val="auto"/>
                <w:lang w:eastAsia="en-US"/>
              </w:rPr>
            </w:pPr>
          </w:p>
        </w:tc>
        <w:tc>
          <w:tcPr>
            <w:tcW w:w="1853" w:type="dxa"/>
            <w:shd w:val="clear" w:color="auto" w:fill="FFFFFF" w:themeFill="background1"/>
          </w:tcPr>
          <w:p w14:paraId="3E51C8E0" w14:textId="77777777" w:rsidR="001E480D" w:rsidRPr="00C75689" w:rsidRDefault="001E480D" w:rsidP="00967A65">
            <w:pPr>
              <w:spacing w:after="18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TBA</w:t>
            </w:r>
            <w:r w:rsidRPr="00C75689">
              <w:rPr>
                <w:rFonts w:asciiTheme="minorHAnsi" w:eastAsiaTheme="minorHAnsi" w:hAnsiTheme="minorHAnsi" w:cstheme="minorBidi"/>
                <w:color w:val="auto"/>
                <w:vertAlign w:val="superscript"/>
                <w:lang w:val="en-US" w:eastAsia="en-US"/>
              </w:rPr>
              <w:footnoteReference w:id="10"/>
            </w:r>
          </w:p>
          <w:p w14:paraId="62941802" w14:textId="77777777" w:rsidR="001E480D" w:rsidRPr="00C75689" w:rsidRDefault="001E480D" w:rsidP="00967A65">
            <w:pPr>
              <w:spacing w:after="180" w:line="276" w:lineRule="auto"/>
              <w:rPr>
                <w:rFonts w:asciiTheme="minorHAnsi" w:eastAsiaTheme="minorHAnsi" w:hAnsiTheme="minorHAnsi" w:cstheme="minorBidi"/>
                <w:color w:val="auto"/>
                <w:lang w:val="en-US" w:eastAsia="en-US"/>
              </w:rPr>
            </w:pPr>
          </w:p>
        </w:tc>
        <w:tc>
          <w:tcPr>
            <w:tcW w:w="1440" w:type="dxa"/>
          </w:tcPr>
          <w:p w14:paraId="197118E2" w14:textId="77777777" w:rsidR="001E480D" w:rsidRPr="00C75689" w:rsidRDefault="001E480D" w:rsidP="00967A65">
            <w:pPr>
              <w:spacing w:after="180"/>
              <w:rPr>
                <w:rFonts w:asciiTheme="minorHAnsi" w:eastAsiaTheme="minorHAnsi" w:hAnsiTheme="minorHAnsi" w:cstheme="minorBidi"/>
                <w:color w:val="auto"/>
                <w:lang w:val="en-US" w:eastAsia="en-US"/>
              </w:rPr>
            </w:pPr>
          </w:p>
        </w:tc>
        <w:tc>
          <w:tcPr>
            <w:tcW w:w="1890" w:type="dxa"/>
            <w:shd w:val="clear" w:color="auto" w:fill="auto"/>
          </w:tcPr>
          <w:p w14:paraId="6669EE60" w14:textId="78C42FF7" w:rsidR="001E480D" w:rsidRPr="00C75689" w:rsidRDefault="001E480D" w:rsidP="00967A65">
            <w:pPr>
              <w:spacing w:after="18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30% increase in fixed capital formation in UNCDF-supported jurisdictions by 2017</w:t>
            </w:r>
          </w:p>
        </w:tc>
      </w:tr>
    </w:tbl>
    <w:p w14:paraId="2F7DA0A7" w14:textId="77777777" w:rsidR="00C75689" w:rsidRPr="00C75689" w:rsidRDefault="00C75689" w:rsidP="00C75689">
      <w:pPr>
        <w:rPr>
          <w:rFonts w:asciiTheme="minorHAnsi" w:eastAsiaTheme="minorHAnsi" w:hAnsiTheme="minorHAnsi" w:cstheme="minorBidi"/>
          <w:color w:val="auto"/>
          <w:lang w:val="en-US" w:eastAsia="en-US"/>
        </w:rPr>
      </w:pPr>
    </w:p>
    <w:tbl>
      <w:tblPr>
        <w:tblStyle w:val="TableGrid"/>
        <w:tblpPr w:leftFromText="187" w:rightFromText="187" w:vertAnchor="page" w:horzAnchor="margin" w:tblpY="2170"/>
        <w:tblW w:w="15096" w:type="dxa"/>
        <w:tblLook w:val="0600" w:firstRow="0" w:lastRow="0" w:firstColumn="0" w:lastColumn="0" w:noHBand="1" w:noVBand="1"/>
      </w:tblPr>
      <w:tblGrid>
        <w:gridCol w:w="4185"/>
        <w:gridCol w:w="5711"/>
        <w:gridCol w:w="1675"/>
        <w:gridCol w:w="1792"/>
        <w:gridCol w:w="1733"/>
      </w:tblGrid>
      <w:tr w:rsidR="001E480D" w:rsidRPr="00C75689" w14:paraId="4D774107" w14:textId="77777777" w:rsidTr="0096788E">
        <w:trPr>
          <w:trHeight w:val="416"/>
        </w:trPr>
        <w:tc>
          <w:tcPr>
            <w:tcW w:w="4185" w:type="dxa"/>
            <w:tcBorders>
              <w:bottom w:val="single" w:sz="4" w:space="0" w:color="auto"/>
            </w:tcBorders>
            <w:shd w:val="clear" w:color="auto" w:fill="F2F2F2" w:themeFill="background1" w:themeFillShade="F2"/>
            <w:hideMark/>
          </w:tcPr>
          <w:p w14:paraId="0188F738" w14:textId="77777777" w:rsidR="001E480D" w:rsidRPr="00C75689" w:rsidRDefault="001E480D" w:rsidP="003844B1">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Outputs</w:t>
            </w:r>
            <w:r w:rsidRPr="00C75689">
              <w:rPr>
                <w:rFonts w:asciiTheme="minorHAnsi" w:eastAsiaTheme="minorHAnsi" w:hAnsiTheme="minorHAnsi" w:cstheme="minorBidi"/>
                <w:i/>
                <w:color w:val="auto"/>
                <w:lang w:val="en-US" w:eastAsia="en-US"/>
              </w:rPr>
              <w:t xml:space="preserve"> (UNCDF provides specific support for the following results)</w:t>
            </w:r>
          </w:p>
        </w:tc>
        <w:tc>
          <w:tcPr>
            <w:tcW w:w="5711" w:type="dxa"/>
            <w:shd w:val="clear" w:color="auto" w:fill="F2F2F2" w:themeFill="background1" w:themeFillShade="F2"/>
            <w:hideMark/>
          </w:tcPr>
          <w:p w14:paraId="7E80DCEE" w14:textId="77777777" w:rsidR="001E480D" w:rsidRPr="00C75689" w:rsidRDefault="001E480D" w:rsidP="003844B1">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b/>
                <w:color w:val="auto"/>
                <w:lang w:val="en-US" w:eastAsia="en-US"/>
              </w:rPr>
              <w:t xml:space="preserve">Output Indicators </w:t>
            </w:r>
            <w:r w:rsidRPr="00C75689">
              <w:rPr>
                <w:rFonts w:asciiTheme="minorHAnsi" w:eastAsiaTheme="minorHAnsi" w:hAnsiTheme="minorHAnsi" w:cstheme="minorBidi"/>
                <w:i/>
                <w:color w:val="auto"/>
                <w:lang w:val="en-US" w:eastAsia="en-US"/>
              </w:rPr>
              <w:t xml:space="preserve">(output indicators measure only those results from schemes, services, plans, actions, etc., which are specifically </w:t>
            </w:r>
            <w:r w:rsidRPr="00C75689">
              <w:rPr>
                <w:rFonts w:asciiTheme="minorHAnsi" w:eastAsiaTheme="minorHAnsi" w:hAnsiTheme="minorHAnsi" w:cstheme="minorBidi"/>
                <w:i/>
                <w:color w:val="auto"/>
                <w:u w:val="single"/>
                <w:lang w:val="en-US" w:eastAsia="en-US"/>
              </w:rPr>
              <w:t>supported</w:t>
            </w:r>
            <w:r w:rsidRPr="00C75689">
              <w:rPr>
                <w:rFonts w:asciiTheme="minorHAnsi" w:eastAsiaTheme="minorHAnsi" w:hAnsiTheme="minorHAnsi" w:cstheme="minorBidi"/>
                <w:i/>
                <w:color w:val="auto"/>
                <w:lang w:val="en-US" w:eastAsia="en-US"/>
              </w:rPr>
              <w:t xml:space="preserve"> by UNCDF.)</w:t>
            </w:r>
          </w:p>
        </w:tc>
        <w:tc>
          <w:tcPr>
            <w:tcW w:w="1675" w:type="dxa"/>
            <w:shd w:val="clear" w:color="auto" w:fill="F2F2F2" w:themeFill="background1" w:themeFillShade="F2"/>
          </w:tcPr>
          <w:p w14:paraId="30A8A281" w14:textId="77777777" w:rsidR="001E480D" w:rsidRPr="00C75689" w:rsidRDefault="001E480D" w:rsidP="003844B1">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Baselines </w:t>
            </w:r>
            <w:r w:rsidRPr="00C75689">
              <w:rPr>
                <w:rFonts w:asciiTheme="minorHAnsi" w:eastAsiaTheme="minorHAnsi" w:hAnsiTheme="minorHAnsi" w:cstheme="minorBidi"/>
                <w:i/>
                <w:color w:val="auto"/>
                <w:lang w:val="en-US" w:eastAsia="en-US"/>
              </w:rPr>
              <w:t>(2013, unless noted)</w:t>
            </w:r>
          </w:p>
        </w:tc>
        <w:tc>
          <w:tcPr>
            <w:tcW w:w="1792" w:type="dxa"/>
            <w:shd w:val="clear" w:color="auto" w:fill="F2F2F2" w:themeFill="background1" w:themeFillShade="F2"/>
          </w:tcPr>
          <w:p w14:paraId="59F86F53" w14:textId="4A3B0DF1" w:rsidR="001E480D" w:rsidRPr="00ED4D99" w:rsidRDefault="001E480D" w:rsidP="00BA3E86">
            <w:pPr>
              <w:rPr>
                <w:rFonts w:asciiTheme="minorHAnsi" w:eastAsiaTheme="minorHAnsi" w:hAnsiTheme="minorHAnsi" w:cstheme="minorBidi"/>
                <w:b/>
                <w:color w:val="244061" w:themeColor="accent1" w:themeShade="80"/>
                <w:lang w:val="en-US" w:eastAsia="en-US"/>
              </w:rPr>
            </w:pPr>
            <w:r w:rsidRPr="00ED4D99">
              <w:rPr>
                <w:rFonts w:asciiTheme="minorHAnsi" w:eastAsiaTheme="minorHAnsi" w:hAnsiTheme="minorHAnsi" w:cstheme="minorBidi"/>
                <w:b/>
                <w:color w:val="244061" w:themeColor="accent1" w:themeShade="80"/>
                <w:lang w:val="en-US" w:eastAsia="en-US"/>
              </w:rPr>
              <w:t>Results for 2014</w:t>
            </w:r>
          </w:p>
        </w:tc>
        <w:tc>
          <w:tcPr>
            <w:tcW w:w="1733" w:type="dxa"/>
            <w:shd w:val="clear" w:color="auto" w:fill="F2F2F2" w:themeFill="background1" w:themeFillShade="F2"/>
            <w:hideMark/>
          </w:tcPr>
          <w:p w14:paraId="506F009C" w14:textId="182837FC" w:rsidR="001E480D" w:rsidRPr="00C75689" w:rsidRDefault="001E480D" w:rsidP="00BA3E86">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Targets </w:t>
            </w:r>
            <w:r>
              <w:rPr>
                <w:rFonts w:asciiTheme="minorHAnsi" w:eastAsiaTheme="minorHAnsi" w:hAnsiTheme="minorHAnsi" w:cstheme="minorBidi"/>
                <w:i/>
                <w:color w:val="auto"/>
                <w:lang w:val="en-US" w:eastAsia="en-US"/>
              </w:rPr>
              <w:t>(2017, unless noted)</w:t>
            </w:r>
          </w:p>
        </w:tc>
      </w:tr>
      <w:tr w:rsidR="001E480D" w:rsidRPr="00C75689" w14:paraId="1B29DF1E" w14:textId="77777777" w:rsidTr="0096788E">
        <w:trPr>
          <w:trHeight w:val="647"/>
        </w:trPr>
        <w:tc>
          <w:tcPr>
            <w:tcW w:w="4185" w:type="dxa"/>
            <w:vMerge w:val="restart"/>
            <w:shd w:val="clear" w:color="auto" w:fill="FFFFFF" w:themeFill="background1"/>
          </w:tcPr>
          <w:p w14:paraId="73069A02" w14:textId="77777777" w:rsidR="001E480D" w:rsidRPr="00C75689" w:rsidRDefault="001E480D" w:rsidP="003844B1">
            <w:pPr>
              <w:spacing w:after="200" w:line="276" w:lineRule="auto"/>
              <w:rPr>
                <w:rFonts w:asciiTheme="minorHAnsi" w:eastAsiaTheme="minorHAnsi" w:hAnsiTheme="minorHAnsi" w:cstheme="minorBidi"/>
                <w:b/>
                <w:color w:val="auto"/>
                <w:u w:val="single"/>
                <w:lang w:val="en-US" w:eastAsia="en-US"/>
              </w:rPr>
            </w:pPr>
            <w:r w:rsidRPr="00C75689">
              <w:rPr>
                <w:rFonts w:asciiTheme="minorHAnsi" w:eastAsiaTheme="minorHAnsi" w:hAnsiTheme="minorHAnsi" w:cstheme="minorBidi"/>
                <w:b/>
                <w:color w:val="auto"/>
                <w:u w:val="single"/>
                <w:lang w:val="en-US" w:eastAsia="en-US"/>
              </w:rPr>
              <w:t xml:space="preserve">Inclusive finance </w:t>
            </w:r>
          </w:p>
          <w:p w14:paraId="5F4F3137" w14:textId="77777777" w:rsidR="001E480D" w:rsidRPr="00C75689" w:rsidRDefault="001E480D" w:rsidP="003844B1">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Output 1.1</w:t>
            </w:r>
          </w:p>
          <w:p w14:paraId="7C1FF9CC" w14:textId="77777777" w:rsidR="001E480D" w:rsidRPr="00C75689" w:rsidRDefault="001E480D" w:rsidP="003844B1">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Improved performance of sustainable, healthy, responsible FSPs leveraging UNCDF funds  (to be measured in terms of sustainability, portfolio quality, outreach,  responsible provision of financial services))</w:t>
            </w:r>
          </w:p>
        </w:tc>
        <w:tc>
          <w:tcPr>
            <w:tcW w:w="5711" w:type="dxa"/>
            <w:shd w:val="clear" w:color="auto" w:fill="FFFFFF" w:themeFill="background1"/>
            <w:hideMark/>
          </w:tcPr>
          <w:p w14:paraId="71BEF9BF" w14:textId="77777777" w:rsidR="001E480D" w:rsidRPr="00C75689" w:rsidRDefault="001E480D" w:rsidP="001E36DB">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b/>
                <w:color w:val="auto"/>
                <w:lang w:eastAsia="en-US"/>
              </w:rPr>
              <w:t xml:space="preserve">Financing for development: </w:t>
            </w:r>
            <w:r>
              <w:rPr>
                <w:rFonts w:asciiTheme="minorHAnsi" w:eastAsiaTheme="minorHAnsi" w:hAnsiTheme="minorHAnsi" w:cstheme="minorBidi"/>
                <w:b/>
                <w:color w:val="auto"/>
                <w:lang w:eastAsia="en-US"/>
              </w:rPr>
              <w:t xml:space="preserve"> effect of UNCDF core funding on resources for inclusive finance</w:t>
            </w:r>
          </w:p>
        </w:tc>
        <w:tc>
          <w:tcPr>
            <w:tcW w:w="1675" w:type="dxa"/>
            <w:shd w:val="clear" w:color="auto" w:fill="FFFFFF" w:themeFill="background1"/>
          </w:tcPr>
          <w:p w14:paraId="4680114B" w14:textId="77777777" w:rsidR="001E480D" w:rsidRPr="00C75689" w:rsidRDefault="001E480D" w:rsidP="003844B1">
            <w:pPr>
              <w:spacing w:after="200" w:line="276" w:lineRule="auto"/>
              <w:rPr>
                <w:rFonts w:asciiTheme="minorHAnsi" w:eastAsiaTheme="minorHAnsi" w:hAnsiTheme="minorHAnsi" w:cstheme="minorBidi"/>
                <w:color w:val="auto"/>
                <w:lang w:val="en-US" w:eastAsia="en-US"/>
              </w:rPr>
            </w:pPr>
          </w:p>
        </w:tc>
        <w:tc>
          <w:tcPr>
            <w:tcW w:w="1792" w:type="dxa"/>
          </w:tcPr>
          <w:p w14:paraId="14A79D86" w14:textId="77777777" w:rsidR="001E480D" w:rsidRPr="00ED4D99" w:rsidRDefault="001E480D" w:rsidP="003844B1">
            <w:pPr>
              <w:rPr>
                <w:rFonts w:asciiTheme="minorHAnsi" w:eastAsiaTheme="minorHAnsi" w:hAnsiTheme="minorHAnsi" w:cstheme="minorBidi"/>
                <w:color w:val="244061" w:themeColor="accent1" w:themeShade="80"/>
                <w:lang w:val="en-US" w:eastAsia="en-US"/>
              </w:rPr>
            </w:pPr>
          </w:p>
        </w:tc>
        <w:tc>
          <w:tcPr>
            <w:tcW w:w="1733" w:type="dxa"/>
            <w:shd w:val="clear" w:color="auto" w:fill="auto"/>
          </w:tcPr>
          <w:p w14:paraId="3A243C4B" w14:textId="2AD3A682" w:rsidR="001E480D" w:rsidRPr="00C75689" w:rsidRDefault="001E480D" w:rsidP="003844B1">
            <w:pPr>
              <w:spacing w:after="200" w:line="276" w:lineRule="auto"/>
              <w:rPr>
                <w:rFonts w:asciiTheme="minorHAnsi" w:eastAsiaTheme="minorHAnsi" w:hAnsiTheme="minorHAnsi" w:cstheme="minorBidi"/>
                <w:color w:val="auto"/>
                <w:lang w:val="en-US" w:eastAsia="en-US"/>
              </w:rPr>
            </w:pPr>
          </w:p>
        </w:tc>
      </w:tr>
      <w:tr w:rsidR="001E480D" w:rsidRPr="00C75689" w14:paraId="628E4D35" w14:textId="77777777" w:rsidTr="0096788E">
        <w:trPr>
          <w:trHeight w:val="135"/>
        </w:trPr>
        <w:tc>
          <w:tcPr>
            <w:tcW w:w="4185" w:type="dxa"/>
            <w:vMerge/>
            <w:shd w:val="clear" w:color="auto" w:fill="FFFFFF" w:themeFill="background1"/>
          </w:tcPr>
          <w:p w14:paraId="30613B85" w14:textId="77777777" w:rsidR="001E480D" w:rsidRPr="00C75689" w:rsidRDefault="001E480D" w:rsidP="003844B1">
            <w:pPr>
              <w:spacing w:after="200" w:line="276" w:lineRule="auto"/>
              <w:rPr>
                <w:rFonts w:asciiTheme="minorHAnsi" w:eastAsiaTheme="minorHAnsi" w:hAnsiTheme="minorHAnsi" w:cstheme="minorBidi"/>
                <w:b/>
                <w:color w:val="auto"/>
                <w:u w:val="single"/>
                <w:lang w:val="en-US" w:eastAsia="en-US"/>
              </w:rPr>
            </w:pPr>
          </w:p>
        </w:tc>
        <w:tc>
          <w:tcPr>
            <w:tcW w:w="5711" w:type="dxa"/>
            <w:shd w:val="clear" w:color="auto" w:fill="FFFFFF" w:themeFill="background1"/>
          </w:tcPr>
          <w:p w14:paraId="1D352AF2" w14:textId="77777777" w:rsidR="001E480D" w:rsidRPr="00C75689" w:rsidRDefault="001E480D" w:rsidP="003844B1">
            <w:pPr>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1.1.1 Change from baseline in value of loan portfolio of FSPs (numerator) leveraged by UNCDF core contribution (denominator).</w:t>
            </w:r>
          </w:p>
          <w:p w14:paraId="1BBD4049" w14:textId="77777777" w:rsidR="001E480D" w:rsidRPr="00C75689" w:rsidRDefault="001E480D" w:rsidP="003844B1">
            <w:pPr>
              <w:rPr>
                <w:rFonts w:asciiTheme="minorHAnsi" w:eastAsiaTheme="minorHAnsi" w:hAnsiTheme="minorHAnsi" w:cstheme="minorBidi"/>
                <w:color w:val="auto"/>
                <w:lang w:val="en-US" w:eastAsia="en-US"/>
              </w:rPr>
            </w:pPr>
          </w:p>
        </w:tc>
        <w:tc>
          <w:tcPr>
            <w:tcW w:w="1675" w:type="dxa"/>
            <w:shd w:val="clear" w:color="auto" w:fill="FFFFFF" w:themeFill="background1"/>
          </w:tcPr>
          <w:p w14:paraId="4657F71A" w14:textId="77777777" w:rsidR="001E480D" w:rsidRPr="00C75689" w:rsidRDefault="001E480D" w:rsidP="003844B1">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Leverage UNCDF core resources by a factor of 10</w:t>
            </w:r>
          </w:p>
        </w:tc>
        <w:tc>
          <w:tcPr>
            <w:tcW w:w="1792" w:type="dxa"/>
          </w:tcPr>
          <w:p w14:paraId="198289F1" w14:textId="77777777" w:rsidR="001E480D" w:rsidRPr="00ED4D99" w:rsidRDefault="001E480D" w:rsidP="003844B1">
            <w:pPr>
              <w:rPr>
                <w:rFonts w:asciiTheme="minorHAnsi" w:eastAsiaTheme="minorHAnsi" w:hAnsiTheme="minorHAnsi" w:cstheme="minorBidi"/>
                <w:color w:val="244061" w:themeColor="accent1" w:themeShade="80"/>
                <w:lang w:val="en-US" w:eastAsia="en-US"/>
              </w:rPr>
            </w:pPr>
          </w:p>
          <w:p w14:paraId="6F2B864F" w14:textId="12281A5C" w:rsidR="0095088B" w:rsidRPr="00ED4D99" w:rsidRDefault="0095088B" w:rsidP="003844B1">
            <w:pPr>
              <w:rPr>
                <w:rFonts w:asciiTheme="minorHAnsi" w:eastAsiaTheme="minorHAnsi" w:hAnsiTheme="minorHAnsi" w:cstheme="minorBidi"/>
                <w:color w:val="244061" w:themeColor="accent1" w:themeShade="80"/>
                <w:lang w:val="en-US" w:eastAsia="en-US"/>
              </w:rPr>
            </w:pPr>
            <w:r w:rsidRPr="00ED4D99">
              <w:rPr>
                <w:rFonts w:asciiTheme="minorHAnsi" w:eastAsiaTheme="minorHAnsi" w:hAnsiTheme="minorHAnsi" w:cstheme="minorBidi"/>
                <w:color w:val="244061" w:themeColor="accent1" w:themeShade="80"/>
                <w:lang w:val="en-US" w:eastAsia="en-US"/>
              </w:rPr>
              <w:t>56 to 1</w:t>
            </w:r>
          </w:p>
        </w:tc>
        <w:tc>
          <w:tcPr>
            <w:tcW w:w="1733" w:type="dxa"/>
            <w:shd w:val="clear" w:color="auto" w:fill="auto"/>
          </w:tcPr>
          <w:p w14:paraId="37AF7E55" w14:textId="7D52DE6A" w:rsidR="001E480D" w:rsidRPr="00C75689" w:rsidRDefault="001E480D" w:rsidP="003844B1">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Leverage UNCDF core resources by a factor of 10</w:t>
            </w:r>
          </w:p>
        </w:tc>
      </w:tr>
      <w:tr w:rsidR="001E480D" w:rsidRPr="00C75689" w14:paraId="59A1B196" w14:textId="77777777" w:rsidTr="0096788E">
        <w:trPr>
          <w:trHeight w:val="135"/>
        </w:trPr>
        <w:tc>
          <w:tcPr>
            <w:tcW w:w="4185" w:type="dxa"/>
            <w:vMerge/>
            <w:shd w:val="clear" w:color="auto" w:fill="FFFFFF" w:themeFill="background1"/>
          </w:tcPr>
          <w:p w14:paraId="0834CB4A" w14:textId="77777777" w:rsidR="001E480D" w:rsidRPr="00C75689" w:rsidRDefault="001E480D" w:rsidP="003844B1">
            <w:pPr>
              <w:spacing w:after="200" w:line="276" w:lineRule="auto"/>
              <w:rPr>
                <w:rFonts w:asciiTheme="minorHAnsi" w:eastAsiaTheme="minorHAnsi" w:hAnsiTheme="minorHAnsi" w:cstheme="minorBidi"/>
                <w:b/>
                <w:color w:val="auto"/>
                <w:u w:val="single"/>
                <w:lang w:val="en-US" w:eastAsia="en-US"/>
              </w:rPr>
            </w:pPr>
          </w:p>
        </w:tc>
        <w:tc>
          <w:tcPr>
            <w:tcW w:w="5711" w:type="dxa"/>
            <w:shd w:val="clear" w:color="auto" w:fill="FFFFFF" w:themeFill="background1"/>
          </w:tcPr>
          <w:p w14:paraId="6C6791F9" w14:textId="77777777" w:rsidR="001E480D" w:rsidRPr="00C75689" w:rsidRDefault="001E480D" w:rsidP="003844B1">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val="en-US" w:eastAsia="en-US"/>
              </w:rPr>
              <w:t xml:space="preserve">1.1.2 </w:t>
            </w:r>
            <w:r w:rsidRPr="00C75689">
              <w:rPr>
                <w:rFonts w:asciiTheme="minorHAnsi" w:eastAsiaTheme="minorHAnsi" w:hAnsiTheme="minorHAnsi" w:cstheme="minorBidi"/>
                <w:color w:val="auto"/>
                <w:lang w:eastAsia="en-US"/>
              </w:rPr>
              <w:t xml:space="preserve">Change from baseline in value of savings portfolio of FSPs (numerator) leveraged </w:t>
            </w:r>
            <w:proofErr w:type="gramStart"/>
            <w:r w:rsidRPr="00C75689">
              <w:rPr>
                <w:rFonts w:asciiTheme="minorHAnsi" w:eastAsiaTheme="minorHAnsi" w:hAnsiTheme="minorHAnsi" w:cstheme="minorBidi"/>
                <w:color w:val="auto"/>
                <w:lang w:eastAsia="en-US"/>
              </w:rPr>
              <w:t>by  total</w:t>
            </w:r>
            <w:proofErr w:type="gramEnd"/>
            <w:r w:rsidRPr="00C75689">
              <w:rPr>
                <w:rFonts w:asciiTheme="minorHAnsi" w:eastAsiaTheme="minorHAnsi" w:hAnsiTheme="minorHAnsi" w:cstheme="minorBidi"/>
                <w:color w:val="auto"/>
                <w:lang w:eastAsia="en-US"/>
              </w:rPr>
              <w:t xml:space="preserve"> UNCDF core contribution (denominator). </w:t>
            </w:r>
          </w:p>
        </w:tc>
        <w:tc>
          <w:tcPr>
            <w:tcW w:w="1675" w:type="dxa"/>
            <w:shd w:val="clear" w:color="auto" w:fill="FFFFFF" w:themeFill="background1"/>
          </w:tcPr>
          <w:p w14:paraId="5C57F138" w14:textId="77777777" w:rsidR="001E480D" w:rsidRPr="00C75689" w:rsidRDefault="001E480D" w:rsidP="003844B1">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Leverage UNCDF core resources by a factor of 10</w:t>
            </w:r>
          </w:p>
        </w:tc>
        <w:tc>
          <w:tcPr>
            <w:tcW w:w="1792" w:type="dxa"/>
          </w:tcPr>
          <w:p w14:paraId="3B1D5B97" w14:textId="77777777" w:rsidR="001E480D" w:rsidRPr="00ED4D99" w:rsidRDefault="001E480D" w:rsidP="003844B1">
            <w:pPr>
              <w:rPr>
                <w:rFonts w:asciiTheme="minorHAnsi" w:eastAsiaTheme="minorHAnsi" w:hAnsiTheme="minorHAnsi" w:cstheme="minorBidi"/>
                <w:color w:val="244061" w:themeColor="accent1" w:themeShade="80"/>
                <w:lang w:val="en-US" w:eastAsia="en-US"/>
              </w:rPr>
            </w:pPr>
          </w:p>
          <w:p w14:paraId="07F0E538" w14:textId="704F710B" w:rsidR="0095088B" w:rsidRPr="00ED4D99" w:rsidRDefault="0095088B" w:rsidP="003844B1">
            <w:pPr>
              <w:rPr>
                <w:rFonts w:asciiTheme="minorHAnsi" w:eastAsiaTheme="minorHAnsi" w:hAnsiTheme="minorHAnsi" w:cstheme="minorBidi"/>
                <w:color w:val="244061" w:themeColor="accent1" w:themeShade="80"/>
                <w:lang w:val="en-US" w:eastAsia="en-US"/>
              </w:rPr>
            </w:pPr>
            <w:r w:rsidRPr="00ED4D99">
              <w:rPr>
                <w:rFonts w:asciiTheme="minorHAnsi" w:eastAsiaTheme="minorHAnsi" w:hAnsiTheme="minorHAnsi" w:cstheme="minorBidi"/>
                <w:color w:val="244061" w:themeColor="accent1" w:themeShade="80"/>
                <w:lang w:val="en-US" w:eastAsia="en-US"/>
              </w:rPr>
              <w:t>36 to 1</w:t>
            </w:r>
          </w:p>
        </w:tc>
        <w:tc>
          <w:tcPr>
            <w:tcW w:w="1733" w:type="dxa"/>
            <w:shd w:val="clear" w:color="auto" w:fill="auto"/>
          </w:tcPr>
          <w:p w14:paraId="34CDE39C" w14:textId="73CC8400" w:rsidR="001E480D" w:rsidRPr="00C75689" w:rsidRDefault="001E480D" w:rsidP="003844B1">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Leverage UNCDF core resources by a factor of 10</w:t>
            </w:r>
          </w:p>
        </w:tc>
      </w:tr>
      <w:tr w:rsidR="001E480D" w:rsidRPr="00C75689" w14:paraId="48D9C230" w14:textId="77777777" w:rsidTr="0096788E">
        <w:trPr>
          <w:trHeight w:val="135"/>
        </w:trPr>
        <w:tc>
          <w:tcPr>
            <w:tcW w:w="4185" w:type="dxa"/>
            <w:vMerge/>
            <w:shd w:val="clear" w:color="auto" w:fill="FFFFFF" w:themeFill="background1"/>
          </w:tcPr>
          <w:p w14:paraId="2B26A022" w14:textId="77777777" w:rsidR="001E480D" w:rsidRPr="00C75689" w:rsidRDefault="001E480D" w:rsidP="003844B1">
            <w:pPr>
              <w:spacing w:after="200" w:line="276" w:lineRule="auto"/>
              <w:rPr>
                <w:rFonts w:asciiTheme="minorHAnsi" w:eastAsiaTheme="minorHAnsi" w:hAnsiTheme="minorHAnsi" w:cstheme="minorBidi"/>
                <w:b/>
                <w:color w:val="auto"/>
                <w:u w:val="single"/>
                <w:lang w:val="en-US" w:eastAsia="en-US"/>
              </w:rPr>
            </w:pPr>
          </w:p>
        </w:tc>
        <w:tc>
          <w:tcPr>
            <w:tcW w:w="5711" w:type="dxa"/>
            <w:shd w:val="clear" w:color="auto" w:fill="FFFFFF" w:themeFill="background1"/>
          </w:tcPr>
          <w:p w14:paraId="03DA0DA0" w14:textId="77777777" w:rsidR="001E480D" w:rsidRPr="00C75689" w:rsidRDefault="001E480D" w:rsidP="003844B1">
            <w:pPr>
              <w:spacing w:after="200" w:line="276" w:lineRule="auto"/>
              <w:rPr>
                <w:rFonts w:asciiTheme="minorHAnsi" w:eastAsiaTheme="minorHAnsi" w:hAnsiTheme="minorHAnsi" w:cstheme="minorBidi"/>
                <w:b/>
                <w:color w:val="auto"/>
                <w:lang w:eastAsia="en-US"/>
              </w:rPr>
            </w:pPr>
            <w:r w:rsidRPr="00C75689">
              <w:rPr>
                <w:rFonts w:asciiTheme="minorHAnsi" w:eastAsiaTheme="minorHAnsi" w:hAnsiTheme="minorHAnsi" w:cstheme="minorBidi"/>
                <w:b/>
                <w:color w:val="auto"/>
                <w:lang w:eastAsia="en-US"/>
              </w:rPr>
              <w:t>Sustainability: Improvements in FSP profitability/sustainability. Improvements in portfolio quality</w:t>
            </w:r>
          </w:p>
        </w:tc>
        <w:tc>
          <w:tcPr>
            <w:tcW w:w="1675" w:type="dxa"/>
            <w:shd w:val="clear" w:color="auto" w:fill="FFFFFF" w:themeFill="background1"/>
          </w:tcPr>
          <w:p w14:paraId="5F495B5C" w14:textId="77777777" w:rsidR="001E480D" w:rsidRPr="00C75689" w:rsidRDefault="001E480D" w:rsidP="003844B1">
            <w:pPr>
              <w:spacing w:after="200" w:line="276" w:lineRule="auto"/>
              <w:rPr>
                <w:rFonts w:asciiTheme="minorHAnsi" w:eastAsiaTheme="minorHAnsi" w:hAnsiTheme="minorHAnsi" w:cstheme="minorBidi"/>
                <w:color w:val="auto"/>
                <w:lang w:val="en-US" w:eastAsia="en-US"/>
              </w:rPr>
            </w:pPr>
          </w:p>
        </w:tc>
        <w:tc>
          <w:tcPr>
            <w:tcW w:w="1792" w:type="dxa"/>
          </w:tcPr>
          <w:p w14:paraId="061AD372" w14:textId="77777777" w:rsidR="001E480D" w:rsidRPr="00C75689" w:rsidRDefault="001E480D" w:rsidP="003844B1">
            <w:pPr>
              <w:rPr>
                <w:rFonts w:asciiTheme="minorHAnsi" w:eastAsiaTheme="minorHAnsi" w:hAnsiTheme="minorHAnsi" w:cstheme="minorBidi"/>
                <w:color w:val="auto"/>
                <w:lang w:val="en-US" w:eastAsia="en-US"/>
              </w:rPr>
            </w:pPr>
          </w:p>
        </w:tc>
        <w:tc>
          <w:tcPr>
            <w:tcW w:w="1733" w:type="dxa"/>
            <w:shd w:val="clear" w:color="auto" w:fill="auto"/>
          </w:tcPr>
          <w:p w14:paraId="1C42C705" w14:textId="3F965A81" w:rsidR="001E480D" w:rsidRPr="00C75689" w:rsidRDefault="001E480D" w:rsidP="003844B1">
            <w:pPr>
              <w:spacing w:after="200" w:line="276" w:lineRule="auto"/>
              <w:rPr>
                <w:rFonts w:asciiTheme="minorHAnsi" w:eastAsiaTheme="minorHAnsi" w:hAnsiTheme="minorHAnsi" w:cstheme="minorBidi"/>
                <w:color w:val="auto"/>
                <w:lang w:val="en-US" w:eastAsia="en-US"/>
              </w:rPr>
            </w:pPr>
          </w:p>
        </w:tc>
      </w:tr>
      <w:tr w:rsidR="001E480D" w:rsidRPr="00C75689" w14:paraId="4D6FCB93" w14:textId="77777777" w:rsidTr="0096788E">
        <w:trPr>
          <w:trHeight w:val="135"/>
        </w:trPr>
        <w:tc>
          <w:tcPr>
            <w:tcW w:w="4185" w:type="dxa"/>
            <w:vMerge/>
            <w:tcBorders>
              <w:bottom w:val="nil"/>
            </w:tcBorders>
            <w:shd w:val="clear" w:color="auto" w:fill="FFFFFF" w:themeFill="background1"/>
          </w:tcPr>
          <w:p w14:paraId="64FB8E31" w14:textId="77777777" w:rsidR="001E480D" w:rsidRPr="00C75689" w:rsidRDefault="001E480D" w:rsidP="003844B1">
            <w:pPr>
              <w:spacing w:after="200" w:line="276" w:lineRule="auto"/>
              <w:rPr>
                <w:rFonts w:asciiTheme="minorHAnsi" w:eastAsiaTheme="minorHAnsi" w:hAnsiTheme="minorHAnsi" w:cstheme="minorBidi"/>
                <w:b/>
                <w:color w:val="auto"/>
                <w:u w:val="single"/>
                <w:lang w:val="en-US" w:eastAsia="en-US"/>
              </w:rPr>
            </w:pPr>
          </w:p>
        </w:tc>
        <w:tc>
          <w:tcPr>
            <w:tcW w:w="5711" w:type="dxa"/>
            <w:shd w:val="clear" w:color="auto" w:fill="FFFFFF" w:themeFill="background1"/>
          </w:tcPr>
          <w:p w14:paraId="218AD714" w14:textId="77777777" w:rsidR="001E480D" w:rsidRPr="00C75689" w:rsidRDefault="001E480D" w:rsidP="003844B1">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1.1.3 - % of FSPs that have audited financial statements</w:t>
            </w:r>
          </w:p>
        </w:tc>
        <w:tc>
          <w:tcPr>
            <w:tcW w:w="1675" w:type="dxa"/>
            <w:shd w:val="clear" w:color="auto" w:fill="FFFFFF" w:themeFill="background1"/>
          </w:tcPr>
          <w:p w14:paraId="6669D59B" w14:textId="77777777" w:rsidR="001E480D" w:rsidRPr="00C75689" w:rsidRDefault="001E480D" w:rsidP="003844B1">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81%</w:t>
            </w:r>
          </w:p>
        </w:tc>
        <w:tc>
          <w:tcPr>
            <w:tcW w:w="1792" w:type="dxa"/>
          </w:tcPr>
          <w:p w14:paraId="6470A78D" w14:textId="32B09959" w:rsidR="001E480D" w:rsidRPr="00ED4D99" w:rsidRDefault="0095088B" w:rsidP="003844B1">
            <w:pPr>
              <w:rPr>
                <w:rFonts w:asciiTheme="minorHAnsi" w:eastAsiaTheme="minorHAnsi" w:hAnsiTheme="minorHAnsi" w:cstheme="minorBidi"/>
                <w:color w:val="244061" w:themeColor="accent1" w:themeShade="80"/>
                <w:lang w:val="en-US" w:eastAsia="en-US"/>
              </w:rPr>
            </w:pPr>
            <w:r w:rsidRPr="00ED4D99">
              <w:rPr>
                <w:rFonts w:asciiTheme="minorHAnsi" w:eastAsiaTheme="minorHAnsi" w:hAnsiTheme="minorHAnsi" w:cstheme="minorBidi"/>
                <w:color w:val="244061" w:themeColor="accent1" w:themeShade="80"/>
                <w:lang w:val="en-US" w:eastAsia="en-US"/>
              </w:rPr>
              <w:t>90%</w:t>
            </w:r>
          </w:p>
        </w:tc>
        <w:tc>
          <w:tcPr>
            <w:tcW w:w="1733" w:type="dxa"/>
            <w:shd w:val="clear" w:color="auto" w:fill="auto"/>
          </w:tcPr>
          <w:p w14:paraId="0534961F" w14:textId="4E2E61F4" w:rsidR="001E480D" w:rsidRPr="00C75689" w:rsidRDefault="001E480D" w:rsidP="003844B1">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90%</w:t>
            </w:r>
          </w:p>
        </w:tc>
      </w:tr>
      <w:tr w:rsidR="001E480D" w:rsidRPr="00C75689" w14:paraId="7D8C7CC9" w14:textId="77777777" w:rsidTr="0096788E">
        <w:trPr>
          <w:trHeight w:val="135"/>
        </w:trPr>
        <w:tc>
          <w:tcPr>
            <w:tcW w:w="4185" w:type="dxa"/>
            <w:tcBorders>
              <w:top w:val="nil"/>
              <w:bottom w:val="nil"/>
            </w:tcBorders>
            <w:shd w:val="clear" w:color="auto" w:fill="FFFFFF" w:themeFill="background1"/>
          </w:tcPr>
          <w:p w14:paraId="54E1959A" w14:textId="77777777" w:rsidR="001E480D" w:rsidRPr="00C75689" w:rsidRDefault="001E480D" w:rsidP="003844B1">
            <w:pPr>
              <w:spacing w:after="200" w:line="276" w:lineRule="auto"/>
              <w:rPr>
                <w:rFonts w:asciiTheme="minorHAnsi" w:eastAsiaTheme="minorHAnsi" w:hAnsiTheme="minorHAnsi" w:cstheme="minorBidi"/>
                <w:b/>
                <w:color w:val="auto"/>
                <w:u w:val="single"/>
                <w:lang w:val="en-US" w:eastAsia="en-US"/>
              </w:rPr>
            </w:pPr>
          </w:p>
        </w:tc>
        <w:tc>
          <w:tcPr>
            <w:tcW w:w="5711" w:type="dxa"/>
            <w:shd w:val="clear" w:color="auto" w:fill="FFFFFF" w:themeFill="background1"/>
          </w:tcPr>
          <w:p w14:paraId="6D350E8F" w14:textId="77777777" w:rsidR="001E480D" w:rsidRPr="00C75689" w:rsidRDefault="001E480D" w:rsidP="003844B1">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1.1.4 - % of FSPs making progress toward profitability (return on assets)</w:t>
            </w:r>
          </w:p>
        </w:tc>
        <w:tc>
          <w:tcPr>
            <w:tcW w:w="1675" w:type="dxa"/>
            <w:shd w:val="clear" w:color="auto" w:fill="FFFFFF" w:themeFill="background1"/>
          </w:tcPr>
          <w:p w14:paraId="277C6715" w14:textId="77777777" w:rsidR="001E480D" w:rsidRPr="00C75689" w:rsidRDefault="001E480D" w:rsidP="003844B1">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73%</w:t>
            </w:r>
          </w:p>
        </w:tc>
        <w:tc>
          <w:tcPr>
            <w:tcW w:w="1792" w:type="dxa"/>
          </w:tcPr>
          <w:p w14:paraId="27F94557" w14:textId="3BF7C9F8" w:rsidR="001E480D" w:rsidRPr="00ED4D99" w:rsidRDefault="0095088B" w:rsidP="003844B1">
            <w:pPr>
              <w:rPr>
                <w:rFonts w:asciiTheme="minorHAnsi" w:eastAsiaTheme="minorHAnsi" w:hAnsiTheme="minorHAnsi" w:cstheme="minorBidi"/>
                <w:color w:val="244061" w:themeColor="accent1" w:themeShade="80"/>
                <w:lang w:val="en-US" w:eastAsia="en-US"/>
              </w:rPr>
            </w:pPr>
            <w:r w:rsidRPr="00ED4D99">
              <w:rPr>
                <w:rFonts w:asciiTheme="minorHAnsi" w:eastAsiaTheme="minorHAnsi" w:hAnsiTheme="minorHAnsi" w:cstheme="minorBidi"/>
                <w:color w:val="244061" w:themeColor="accent1" w:themeShade="80"/>
                <w:lang w:val="en-US" w:eastAsia="en-US"/>
              </w:rPr>
              <w:t>75%</w:t>
            </w:r>
          </w:p>
        </w:tc>
        <w:tc>
          <w:tcPr>
            <w:tcW w:w="1733" w:type="dxa"/>
            <w:shd w:val="clear" w:color="auto" w:fill="auto"/>
          </w:tcPr>
          <w:p w14:paraId="6A8B5017" w14:textId="50D8CB3A" w:rsidR="001E480D" w:rsidRPr="00C75689" w:rsidRDefault="001E480D" w:rsidP="003844B1">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80%</w:t>
            </w:r>
          </w:p>
        </w:tc>
      </w:tr>
      <w:tr w:rsidR="001E480D" w:rsidRPr="00C75689" w14:paraId="110E07CD" w14:textId="77777777" w:rsidTr="0096788E">
        <w:trPr>
          <w:trHeight w:val="135"/>
        </w:trPr>
        <w:tc>
          <w:tcPr>
            <w:tcW w:w="4185" w:type="dxa"/>
            <w:tcBorders>
              <w:top w:val="nil"/>
              <w:bottom w:val="nil"/>
            </w:tcBorders>
            <w:shd w:val="clear" w:color="auto" w:fill="FFFFFF" w:themeFill="background1"/>
          </w:tcPr>
          <w:p w14:paraId="119C2395" w14:textId="77777777" w:rsidR="001E480D" w:rsidRPr="00C75689" w:rsidRDefault="001E480D" w:rsidP="003844B1">
            <w:pPr>
              <w:spacing w:after="200" w:line="276" w:lineRule="auto"/>
              <w:rPr>
                <w:rFonts w:asciiTheme="minorHAnsi" w:eastAsiaTheme="minorHAnsi" w:hAnsiTheme="minorHAnsi" w:cstheme="minorBidi"/>
                <w:b/>
                <w:color w:val="auto"/>
                <w:u w:val="single"/>
                <w:lang w:val="en-US" w:eastAsia="en-US"/>
              </w:rPr>
            </w:pPr>
          </w:p>
        </w:tc>
        <w:tc>
          <w:tcPr>
            <w:tcW w:w="5711" w:type="dxa"/>
            <w:shd w:val="clear" w:color="auto" w:fill="FFFFFF" w:themeFill="background1"/>
          </w:tcPr>
          <w:p w14:paraId="2E0DC8A5" w14:textId="77777777" w:rsidR="001E480D" w:rsidRPr="00C75689" w:rsidRDefault="001E480D" w:rsidP="003844B1">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1.1.5 - % of FSPs meeting portfolio quality targets (PAR 30 days)</w:t>
            </w:r>
          </w:p>
        </w:tc>
        <w:tc>
          <w:tcPr>
            <w:tcW w:w="1675" w:type="dxa"/>
            <w:shd w:val="clear" w:color="auto" w:fill="FFFFFF" w:themeFill="background1"/>
          </w:tcPr>
          <w:p w14:paraId="61D740A6" w14:textId="77777777" w:rsidR="001E480D" w:rsidRPr="00C75689" w:rsidRDefault="001E480D" w:rsidP="003844B1">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55%</w:t>
            </w:r>
          </w:p>
        </w:tc>
        <w:tc>
          <w:tcPr>
            <w:tcW w:w="1792" w:type="dxa"/>
          </w:tcPr>
          <w:p w14:paraId="2F305E7C" w14:textId="2C0BF262" w:rsidR="001E480D" w:rsidRPr="00ED4D99" w:rsidRDefault="0095088B" w:rsidP="003844B1">
            <w:pPr>
              <w:rPr>
                <w:rFonts w:asciiTheme="minorHAnsi" w:eastAsiaTheme="minorHAnsi" w:hAnsiTheme="minorHAnsi" w:cstheme="minorBidi"/>
                <w:color w:val="244061" w:themeColor="accent1" w:themeShade="80"/>
                <w:lang w:val="en-US" w:eastAsia="en-US"/>
              </w:rPr>
            </w:pPr>
            <w:r w:rsidRPr="00ED4D99">
              <w:rPr>
                <w:rFonts w:asciiTheme="minorHAnsi" w:eastAsiaTheme="minorHAnsi" w:hAnsiTheme="minorHAnsi" w:cstheme="minorBidi"/>
                <w:color w:val="244061" w:themeColor="accent1" w:themeShade="80"/>
                <w:lang w:val="en-US" w:eastAsia="en-US"/>
              </w:rPr>
              <w:t>59%</w:t>
            </w:r>
          </w:p>
        </w:tc>
        <w:tc>
          <w:tcPr>
            <w:tcW w:w="1733" w:type="dxa"/>
            <w:shd w:val="clear" w:color="auto" w:fill="auto"/>
          </w:tcPr>
          <w:p w14:paraId="19D810ED" w14:textId="20E5E935" w:rsidR="001E480D" w:rsidRPr="00C75689" w:rsidRDefault="001E480D" w:rsidP="003844B1">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80%</w:t>
            </w:r>
          </w:p>
        </w:tc>
      </w:tr>
      <w:tr w:rsidR="001E480D" w:rsidRPr="00C75689" w14:paraId="36734145" w14:textId="77777777" w:rsidTr="0096788E">
        <w:trPr>
          <w:trHeight w:val="365"/>
        </w:trPr>
        <w:tc>
          <w:tcPr>
            <w:tcW w:w="4185" w:type="dxa"/>
            <w:tcBorders>
              <w:top w:val="nil"/>
            </w:tcBorders>
            <w:shd w:val="clear" w:color="auto" w:fill="FFFFFF" w:themeFill="background1"/>
          </w:tcPr>
          <w:p w14:paraId="624E03AF" w14:textId="77777777" w:rsidR="001E480D" w:rsidRPr="00C75689" w:rsidRDefault="001E480D" w:rsidP="003844B1">
            <w:pPr>
              <w:spacing w:after="200" w:line="276" w:lineRule="auto"/>
              <w:rPr>
                <w:rFonts w:asciiTheme="minorHAnsi" w:eastAsiaTheme="minorHAnsi" w:hAnsiTheme="minorHAnsi" w:cstheme="minorBidi"/>
                <w:b/>
                <w:color w:val="auto"/>
                <w:u w:val="single"/>
                <w:lang w:val="en-US" w:eastAsia="en-US"/>
              </w:rPr>
            </w:pPr>
          </w:p>
        </w:tc>
        <w:tc>
          <w:tcPr>
            <w:tcW w:w="5711" w:type="dxa"/>
            <w:shd w:val="clear" w:color="auto" w:fill="FFFFFF" w:themeFill="background1"/>
          </w:tcPr>
          <w:p w14:paraId="65F043F6" w14:textId="77777777" w:rsidR="001E480D" w:rsidRPr="00C75689" w:rsidRDefault="001E480D" w:rsidP="003844B1">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b/>
                <w:color w:val="auto"/>
                <w:lang w:eastAsia="en-US"/>
              </w:rPr>
              <w:t>Responsibly-provided services:</w:t>
            </w:r>
            <w:r w:rsidRPr="00C75689">
              <w:rPr>
                <w:rFonts w:asciiTheme="minorHAnsi" w:eastAsiaTheme="minorHAnsi" w:hAnsiTheme="minorHAnsi" w:cstheme="minorBidi"/>
                <w:color w:val="auto"/>
                <w:lang w:eastAsia="en-US"/>
              </w:rPr>
              <w:t xml:space="preserve"> </w:t>
            </w:r>
          </w:p>
          <w:p w14:paraId="4D6C2A14" w14:textId="77777777" w:rsidR="001E480D" w:rsidRPr="00C75689" w:rsidRDefault="001E480D" w:rsidP="004F04C0">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lastRenderedPageBreak/>
              <w:t>1.1.6. - % of FSPs that endorse SMART Campaign Client Protection Principles (CPPs) or equivalent</w:t>
            </w:r>
          </w:p>
        </w:tc>
        <w:tc>
          <w:tcPr>
            <w:tcW w:w="1675" w:type="dxa"/>
            <w:shd w:val="clear" w:color="auto" w:fill="FFFFFF" w:themeFill="background1"/>
          </w:tcPr>
          <w:p w14:paraId="499728D1" w14:textId="77777777" w:rsidR="001E480D" w:rsidRPr="00C75689" w:rsidRDefault="001E480D" w:rsidP="003844B1">
            <w:pPr>
              <w:spacing w:after="200" w:line="276" w:lineRule="auto"/>
              <w:rPr>
                <w:rFonts w:asciiTheme="minorHAnsi" w:eastAsiaTheme="minorHAnsi" w:hAnsiTheme="minorHAnsi" w:cstheme="minorBidi"/>
                <w:color w:val="auto"/>
                <w:lang w:val="en-US" w:eastAsia="en-US"/>
              </w:rPr>
            </w:pPr>
          </w:p>
          <w:p w14:paraId="4705B4D0" w14:textId="77777777" w:rsidR="001E480D" w:rsidRPr="00C75689" w:rsidRDefault="001E480D" w:rsidP="003844B1">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lastRenderedPageBreak/>
              <w:t>82%</w:t>
            </w:r>
          </w:p>
        </w:tc>
        <w:tc>
          <w:tcPr>
            <w:tcW w:w="1792" w:type="dxa"/>
          </w:tcPr>
          <w:p w14:paraId="615E516C" w14:textId="77777777" w:rsidR="001E480D" w:rsidRDefault="001E480D" w:rsidP="003844B1">
            <w:pPr>
              <w:rPr>
                <w:rFonts w:asciiTheme="minorHAnsi" w:eastAsiaTheme="minorHAnsi" w:hAnsiTheme="minorHAnsi" w:cstheme="minorBidi"/>
                <w:color w:val="auto"/>
                <w:lang w:val="en-US" w:eastAsia="en-US"/>
              </w:rPr>
            </w:pPr>
          </w:p>
          <w:p w14:paraId="7A66826F" w14:textId="77777777" w:rsidR="0095088B" w:rsidRDefault="0095088B" w:rsidP="003844B1">
            <w:pPr>
              <w:rPr>
                <w:rFonts w:asciiTheme="minorHAnsi" w:eastAsiaTheme="minorHAnsi" w:hAnsiTheme="minorHAnsi" w:cstheme="minorBidi"/>
                <w:color w:val="auto"/>
                <w:lang w:val="en-US" w:eastAsia="en-US"/>
              </w:rPr>
            </w:pPr>
          </w:p>
          <w:p w14:paraId="04E3136A" w14:textId="49A6D33C" w:rsidR="0095088B" w:rsidRPr="00ED4D99" w:rsidRDefault="0095088B" w:rsidP="003844B1">
            <w:pPr>
              <w:rPr>
                <w:rFonts w:asciiTheme="minorHAnsi" w:eastAsiaTheme="minorHAnsi" w:hAnsiTheme="minorHAnsi" w:cstheme="minorBidi"/>
                <w:color w:val="244061" w:themeColor="accent1" w:themeShade="80"/>
                <w:lang w:val="en-US" w:eastAsia="en-US"/>
              </w:rPr>
            </w:pPr>
            <w:r w:rsidRPr="00ED4D99">
              <w:rPr>
                <w:rFonts w:asciiTheme="minorHAnsi" w:eastAsiaTheme="minorHAnsi" w:hAnsiTheme="minorHAnsi" w:cstheme="minorBidi"/>
                <w:color w:val="244061" w:themeColor="accent1" w:themeShade="80"/>
                <w:lang w:val="en-US" w:eastAsia="en-US"/>
              </w:rPr>
              <w:lastRenderedPageBreak/>
              <w:t>74%</w:t>
            </w:r>
          </w:p>
        </w:tc>
        <w:tc>
          <w:tcPr>
            <w:tcW w:w="1733" w:type="dxa"/>
            <w:shd w:val="clear" w:color="auto" w:fill="auto"/>
          </w:tcPr>
          <w:p w14:paraId="40F67611" w14:textId="6DA598C8" w:rsidR="001E480D" w:rsidRPr="00C75689" w:rsidRDefault="001E480D" w:rsidP="003844B1">
            <w:pPr>
              <w:spacing w:after="200" w:line="276" w:lineRule="auto"/>
              <w:rPr>
                <w:rFonts w:asciiTheme="minorHAnsi" w:eastAsiaTheme="minorHAnsi" w:hAnsiTheme="minorHAnsi" w:cstheme="minorBidi"/>
                <w:color w:val="auto"/>
                <w:lang w:val="en-US" w:eastAsia="en-US"/>
              </w:rPr>
            </w:pPr>
          </w:p>
          <w:p w14:paraId="4A1C303C" w14:textId="77777777" w:rsidR="001E480D" w:rsidRPr="00C75689" w:rsidRDefault="001E480D" w:rsidP="003844B1">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lastRenderedPageBreak/>
              <w:t>90%</w:t>
            </w:r>
          </w:p>
        </w:tc>
      </w:tr>
      <w:tr w:rsidR="001E480D" w:rsidRPr="00C75689" w14:paraId="64CBF050" w14:textId="77777777" w:rsidTr="0096788E">
        <w:trPr>
          <w:trHeight w:val="56"/>
        </w:trPr>
        <w:tc>
          <w:tcPr>
            <w:tcW w:w="4185" w:type="dxa"/>
            <w:vMerge w:val="restart"/>
          </w:tcPr>
          <w:p w14:paraId="7E9BB4E0" w14:textId="77777777" w:rsidR="001E480D" w:rsidRPr="00C75689" w:rsidRDefault="001E480D" w:rsidP="003844B1">
            <w:pPr>
              <w:spacing w:after="200" w:line="276" w:lineRule="auto"/>
              <w:rPr>
                <w:rFonts w:asciiTheme="minorHAnsi" w:eastAsiaTheme="minorHAnsi" w:hAnsiTheme="minorHAnsi" w:cstheme="minorBidi"/>
                <w:b/>
                <w:color w:val="auto"/>
                <w:u w:val="single"/>
                <w:lang w:val="en-US" w:eastAsia="en-US"/>
              </w:rPr>
            </w:pPr>
            <w:r w:rsidRPr="00C75689">
              <w:rPr>
                <w:rFonts w:asciiTheme="minorHAnsi" w:eastAsiaTheme="minorHAnsi" w:hAnsiTheme="minorHAnsi" w:cstheme="minorBidi"/>
                <w:b/>
                <w:color w:val="auto"/>
                <w:u w:val="single"/>
                <w:lang w:val="en-US" w:eastAsia="en-US"/>
              </w:rPr>
              <w:lastRenderedPageBreak/>
              <w:t>Local Development finance</w:t>
            </w:r>
          </w:p>
          <w:p w14:paraId="3676FA26" w14:textId="77777777" w:rsidR="001E480D" w:rsidRPr="00C75689" w:rsidRDefault="001E480D" w:rsidP="003844B1">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Output 1.2</w:t>
            </w:r>
          </w:p>
          <w:p w14:paraId="0D67588D" w14:textId="1CE4C631" w:rsidR="001E480D" w:rsidRPr="00404170" w:rsidRDefault="001E480D" w:rsidP="00D93620">
            <w:pPr>
              <w:spacing w:after="200" w:line="276" w:lineRule="auto"/>
              <w:rPr>
                <w:rFonts w:asciiTheme="minorHAnsi" w:eastAsiaTheme="minorHAnsi" w:hAnsiTheme="minorHAnsi" w:cstheme="minorBidi"/>
                <w:color w:val="auto"/>
                <w:lang w:val="en-US" w:eastAsia="en-US"/>
              </w:rPr>
            </w:pPr>
            <w:r w:rsidRPr="00404170">
              <w:rPr>
                <w:rFonts w:asciiTheme="minorHAnsi" w:eastAsiaTheme="minorHAnsi" w:hAnsiTheme="minorHAnsi" w:cstheme="minorBidi"/>
                <w:color w:val="auto"/>
                <w:lang w:val="en-US" w:eastAsia="en-US"/>
              </w:rPr>
              <w:t>Improved performance of sustainable, accountable local governments and improved performance of revenue-generating projects</w:t>
            </w:r>
            <w:r w:rsidR="00011594">
              <w:rPr>
                <w:rFonts w:asciiTheme="minorHAnsi" w:eastAsiaTheme="minorHAnsi" w:hAnsiTheme="minorHAnsi" w:cstheme="minorBidi"/>
                <w:color w:val="auto"/>
                <w:lang w:val="en-US" w:eastAsia="en-US"/>
              </w:rPr>
              <w:t>. M</w:t>
            </w:r>
            <w:r w:rsidRPr="00404170">
              <w:rPr>
                <w:rFonts w:asciiTheme="minorHAnsi" w:eastAsiaTheme="minorHAnsi" w:hAnsiTheme="minorHAnsi" w:cstheme="minorBidi"/>
                <w:color w:val="auto"/>
                <w:lang w:val="en-US" w:eastAsia="en-US"/>
              </w:rPr>
              <w:t xml:space="preserve">easured in terms of </w:t>
            </w:r>
            <w:r w:rsidR="00D93620">
              <w:rPr>
                <w:rFonts w:asciiTheme="minorHAnsi" w:eastAsiaTheme="minorHAnsi" w:hAnsiTheme="minorHAnsi" w:cstheme="minorBidi"/>
                <w:color w:val="auto"/>
                <w:lang w:val="en-US" w:eastAsia="en-US"/>
              </w:rPr>
              <w:t xml:space="preserve">how UNCDF supports capacity to </w:t>
            </w:r>
            <w:r w:rsidR="00D93620" w:rsidRPr="009838A9">
              <w:rPr>
                <w:rFonts w:asciiTheme="minorHAnsi" w:eastAsiaTheme="minorHAnsi" w:hAnsiTheme="minorHAnsi" w:cstheme="minorBidi"/>
                <w:b/>
                <w:color w:val="auto"/>
                <w:lang w:val="en-US" w:eastAsia="en-US"/>
              </w:rPr>
              <w:t>mobilize</w:t>
            </w:r>
            <w:r w:rsidR="003B2205">
              <w:rPr>
                <w:rFonts w:asciiTheme="minorHAnsi" w:eastAsiaTheme="minorHAnsi" w:hAnsiTheme="minorHAnsi" w:cstheme="minorBidi"/>
                <w:color w:val="auto"/>
                <w:lang w:val="en-US" w:eastAsia="en-US"/>
              </w:rPr>
              <w:t xml:space="preserve">, </w:t>
            </w:r>
            <w:r w:rsidR="003B2205" w:rsidRPr="009838A9">
              <w:rPr>
                <w:rFonts w:asciiTheme="minorHAnsi" w:eastAsiaTheme="minorHAnsi" w:hAnsiTheme="minorHAnsi" w:cstheme="minorBidi"/>
                <w:b/>
                <w:color w:val="auto"/>
                <w:lang w:val="en-US" w:eastAsia="en-US"/>
              </w:rPr>
              <w:t>allocate, invest and make accountable</w:t>
            </w:r>
            <w:r w:rsidR="003B2205">
              <w:rPr>
                <w:rFonts w:asciiTheme="minorHAnsi" w:eastAsiaTheme="minorHAnsi" w:hAnsiTheme="minorHAnsi" w:cstheme="minorBidi"/>
                <w:color w:val="auto"/>
                <w:lang w:val="en-US" w:eastAsia="en-US"/>
              </w:rPr>
              <w:t xml:space="preserve"> </w:t>
            </w:r>
            <w:r w:rsidR="00D93620">
              <w:rPr>
                <w:rFonts w:asciiTheme="minorHAnsi" w:eastAsiaTheme="minorHAnsi" w:hAnsiTheme="minorHAnsi" w:cstheme="minorBidi"/>
                <w:color w:val="auto"/>
                <w:lang w:val="en-US" w:eastAsia="en-US"/>
              </w:rPr>
              <w:t xml:space="preserve">resources for effective local development. </w:t>
            </w:r>
          </w:p>
        </w:tc>
        <w:tc>
          <w:tcPr>
            <w:tcW w:w="5711" w:type="dxa"/>
            <w:shd w:val="clear" w:color="auto" w:fill="FFFFFF" w:themeFill="background1"/>
          </w:tcPr>
          <w:p w14:paraId="50BCDD68" w14:textId="0AA46D50" w:rsidR="001E480D" w:rsidRPr="00C75689" w:rsidRDefault="003B2205" w:rsidP="003B2205">
            <w:pPr>
              <w:spacing w:after="200" w:line="276" w:lineRule="auto"/>
              <w:rPr>
                <w:rFonts w:asciiTheme="minorHAnsi" w:eastAsiaTheme="minorHAnsi" w:hAnsiTheme="minorHAnsi" w:cstheme="minorBidi"/>
                <w:b/>
                <w:color w:val="auto"/>
                <w:lang w:eastAsia="en-US"/>
              </w:rPr>
            </w:pPr>
            <w:r w:rsidRPr="000111F5">
              <w:rPr>
                <w:b/>
                <w:sz w:val="20"/>
                <w:szCs w:val="20"/>
              </w:rPr>
              <w:t xml:space="preserve">Improved performance of sustainable, accountable </w:t>
            </w:r>
            <w:r>
              <w:rPr>
                <w:b/>
                <w:sz w:val="20"/>
                <w:szCs w:val="20"/>
              </w:rPr>
              <w:t>local governments</w:t>
            </w:r>
            <w:r w:rsidRPr="000111F5">
              <w:rPr>
                <w:b/>
                <w:sz w:val="20"/>
                <w:szCs w:val="20"/>
              </w:rPr>
              <w:t xml:space="preserve">, and improved performance of revenue generating projects. Measured in terms of how UNCDF supports capacity to </w:t>
            </w:r>
            <w:r w:rsidRPr="009838A9">
              <w:rPr>
                <w:b/>
                <w:color w:val="000090"/>
                <w:sz w:val="20"/>
                <w:szCs w:val="20"/>
                <w:u w:val="single"/>
              </w:rPr>
              <w:t>mobilize</w:t>
            </w:r>
            <w:r w:rsidRPr="000111F5">
              <w:rPr>
                <w:b/>
                <w:sz w:val="20"/>
                <w:szCs w:val="20"/>
              </w:rPr>
              <w:t xml:space="preserve"> resources for effective local development.  </w:t>
            </w:r>
          </w:p>
        </w:tc>
        <w:tc>
          <w:tcPr>
            <w:tcW w:w="1675" w:type="dxa"/>
            <w:tcBorders>
              <w:bottom w:val="single" w:sz="4" w:space="0" w:color="auto"/>
            </w:tcBorders>
            <w:shd w:val="clear" w:color="auto" w:fill="FFFFFF" w:themeFill="background1"/>
          </w:tcPr>
          <w:p w14:paraId="7886C3DB" w14:textId="77777777" w:rsidR="001E480D" w:rsidRPr="00C75689" w:rsidRDefault="001E480D" w:rsidP="003844B1">
            <w:pPr>
              <w:spacing w:after="200" w:line="276" w:lineRule="auto"/>
              <w:rPr>
                <w:rFonts w:asciiTheme="minorHAnsi" w:eastAsiaTheme="minorHAnsi" w:hAnsiTheme="minorHAnsi" w:cstheme="minorBidi"/>
                <w:color w:val="auto"/>
                <w:lang w:val="en-US" w:eastAsia="en-US"/>
              </w:rPr>
            </w:pPr>
          </w:p>
        </w:tc>
        <w:tc>
          <w:tcPr>
            <w:tcW w:w="1792" w:type="dxa"/>
          </w:tcPr>
          <w:p w14:paraId="5D598651" w14:textId="77777777" w:rsidR="001E480D" w:rsidRPr="00C75689" w:rsidRDefault="001E480D" w:rsidP="003844B1">
            <w:pPr>
              <w:rPr>
                <w:rFonts w:asciiTheme="minorHAnsi" w:eastAsiaTheme="minorHAnsi" w:hAnsiTheme="minorHAnsi" w:cstheme="minorBidi"/>
                <w:b/>
                <w:color w:val="auto"/>
                <w:lang w:val="en-US" w:eastAsia="en-US"/>
              </w:rPr>
            </w:pPr>
          </w:p>
        </w:tc>
        <w:tc>
          <w:tcPr>
            <w:tcW w:w="1733" w:type="dxa"/>
            <w:shd w:val="clear" w:color="auto" w:fill="auto"/>
          </w:tcPr>
          <w:p w14:paraId="6514AA08" w14:textId="166C8C92" w:rsidR="001E480D" w:rsidRPr="00C75689" w:rsidRDefault="001E480D" w:rsidP="003844B1">
            <w:pPr>
              <w:spacing w:after="200" w:line="276" w:lineRule="auto"/>
              <w:rPr>
                <w:rFonts w:asciiTheme="minorHAnsi" w:eastAsiaTheme="minorHAnsi" w:hAnsiTheme="minorHAnsi" w:cstheme="minorBidi"/>
                <w:b/>
                <w:color w:val="auto"/>
                <w:lang w:val="en-US" w:eastAsia="en-US"/>
              </w:rPr>
            </w:pPr>
          </w:p>
        </w:tc>
      </w:tr>
      <w:tr w:rsidR="006C436A" w:rsidRPr="00C75689" w14:paraId="7FEC1FCD" w14:textId="77777777" w:rsidTr="0096788E">
        <w:trPr>
          <w:trHeight w:val="790"/>
        </w:trPr>
        <w:tc>
          <w:tcPr>
            <w:tcW w:w="4185" w:type="dxa"/>
            <w:vMerge/>
          </w:tcPr>
          <w:p w14:paraId="7ECF0D1E" w14:textId="77777777" w:rsidR="006C436A" w:rsidRPr="00C75689" w:rsidRDefault="006C436A" w:rsidP="006C436A">
            <w:pPr>
              <w:spacing w:after="200" w:line="276" w:lineRule="auto"/>
              <w:rPr>
                <w:rFonts w:asciiTheme="minorHAnsi" w:eastAsiaTheme="minorHAnsi" w:hAnsiTheme="minorHAnsi" w:cstheme="minorBidi"/>
                <w:b/>
                <w:color w:val="auto"/>
                <w:u w:val="single"/>
                <w:lang w:val="en-US" w:eastAsia="en-US"/>
              </w:rPr>
            </w:pPr>
          </w:p>
        </w:tc>
        <w:tc>
          <w:tcPr>
            <w:tcW w:w="5711" w:type="dxa"/>
            <w:shd w:val="clear" w:color="auto" w:fill="FFFFFF" w:themeFill="background1"/>
          </w:tcPr>
          <w:p w14:paraId="683732DB" w14:textId="1F35C6F7" w:rsidR="006C436A" w:rsidRPr="00C75689" w:rsidRDefault="006C436A" w:rsidP="00D93620">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1.2.1</w:t>
            </w:r>
            <w:r w:rsidR="00045A7A">
              <w:rPr>
                <w:rFonts w:asciiTheme="minorHAnsi" w:eastAsiaTheme="minorHAnsi" w:hAnsiTheme="minorHAnsi" w:cstheme="minorBidi"/>
                <w:color w:val="auto"/>
                <w:lang w:eastAsia="en-US"/>
              </w:rPr>
              <w:t xml:space="preserve"> -</w:t>
            </w:r>
            <w:r w:rsidR="00D93620">
              <w:rPr>
                <w:rFonts w:asciiTheme="minorHAnsi" w:eastAsiaTheme="minorHAnsi" w:hAnsiTheme="minorHAnsi" w:cstheme="minorBidi"/>
                <w:color w:val="auto"/>
                <w:lang w:eastAsia="en-US"/>
              </w:rPr>
              <w:t>a</w:t>
            </w:r>
            <w:r w:rsidRPr="00C75689">
              <w:rPr>
                <w:rFonts w:asciiTheme="minorHAnsi" w:eastAsiaTheme="minorHAnsi" w:hAnsiTheme="minorHAnsi" w:cstheme="minorBidi"/>
                <w:color w:val="auto"/>
                <w:lang w:eastAsia="en-US"/>
              </w:rPr>
              <w:t xml:space="preserve">  </w:t>
            </w:r>
            <w:r w:rsidR="00D93620">
              <w:rPr>
                <w:rFonts w:asciiTheme="minorHAnsi" w:eastAsiaTheme="minorHAnsi" w:hAnsiTheme="minorHAnsi" w:cstheme="minorBidi"/>
                <w:color w:val="auto"/>
                <w:lang w:eastAsia="en-US"/>
              </w:rPr>
              <w:t xml:space="preserve">Change from baseline in value of total national budget allocated to local governments (leveraged by UNCDF contribution) </w:t>
            </w:r>
          </w:p>
        </w:tc>
        <w:tc>
          <w:tcPr>
            <w:tcW w:w="1675" w:type="dxa"/>
            <w:tcBorders>
              <w:bottom w:val="nil"/>
            </w:tcBorders>
            <w:shd w:val="clear" w:color="auto" w:fill="FFFFFF" w:themeFill="background1"/>
          </w:tcPr>
          <w:p w14:paraId="28A6D83F" w14:textId="3B40A33B" w:rsidR="006C436A" w:rsidRPr="00C75689" w:rsidRDefault="00D93620" w:rsidP="00045A7A">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5</w:t>
            </w:r>
            <w:r w:rsidR="00045A7A">
              <w:rPr>
                <w:rFonts w:asciiTheme="minorHAnsi" w:eastAsiaTheme="minorHAnsi" w:hAnsiTheme="minorHAnsi" w:cstheme="minorBidi"/>
                <w:color w:val="auto"/>
                <w:lang w:val="en-US" w:eastAsia="en-US"/>
              </w:rPr>
              <w:t>%</w:t>
            </w:r>
          </w:p>
        </w:tc>
        <w:tc>
          <w:tcPr>
            <w:tcW w:w="1792" w:type="dxa"/>
          </w:tcPr>
          <w:p w14:paraId="09A5B6B3" w14:textId="4FBF855E" w:rsidR="006C436A" w:rsidRPr="006C436A" w:rsidRDefault="00045A7A" w:rsidP="009838A9">
            <w:pPr>
              <w:spacing w:line="360" w:lineRule="auto"/>
              <w:ind w:left="720" w:hanging="720"/>
              <w:rPr>
                <w:rFonts w:asciiTheme="minorHAnsi" w:eastAsiaTheme="minorHAnsi" w:hAnsiTheme="minorHAnsi" w:cstheme="minorBidi"/>
                <w:color w:val="244061" w:themeColor="accent1" w:themeShade="80"/>
                <w:lang w:val="en-US" w:eastAsia="en-US"/>
              </w:rPr>
            </w:pPr>
            <w:r>
              <w:rPr>
                <w:rFonts w:asciiTheme="minorHAnsi" w:eastAsiaTheme="minorHAnsi" w:hAnsiTheme="minorHAnsi" w:cstheme="minorBidi"/>
                <w:color w:val="244061" w:themeColor="accent1" w:themeShade="80"/>
                <w:lang w:val="en-US" w:eastAsia="en-US"/>
              </w:rPr>
              <w:t>12.2%</w:t>
            </w:r>
            <w:r>
              <w:rPr>
                <w:rStyle w:val="FootnoteReference"/>
                <w:rFonts w:asciiTheme="minorHAnsi" w:eastAsiaTheme="minorHAnsi" w:hAnsiTheme="minorHAnsi" w:cstheme="minorBidi"/>
                <w:color w:val="244061" w:themeColor="accent1" w:themeShade="80"/>
                <w:lang w:val="en-US" w:eastAsia="en-US"/>
              </w:rPr>
              <w:footnoteReference w:id="11"/>
            </w:r>
          </w:p>
        </w:tc>
        <w:tc>
          <w:tcPr>
            <w:tcW w:w="1733" w:type="dxa"/>
            <w:shd w:val="clear" w:color="auto" w:fill="auto"/>
          </w:tcPr>
          <w:p w14:paraId="23C2B6D0" w14:textId="4E82C3FE" w:rsidR="006C436A" w:rsidRPr="00C75689" w:rsidRDefault="006C436A" w:rsidP="006C436A">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Leverage UNCDF core resources by a factor of 10</w:t>
            </w:r>
          </w:p>
        </w:tc>
      </w:tr>
      <w:tr w:rsidR="006C436A" w:rsidRPr="00C75689" w14:paraId="5F667441" w14:textId="77777777" w:rsidTr="0096788E">
        <w:trPr>
          <w:trHeight w:val="817"/>
        </w:trPr>
        <w:tc>
          <w:tcPr>
            <w:tcW w:w="4185" w:type="dxa"/>
            <w:vMerge/>
          </w:tcPr>
          <w:p w14:paraId="208CFE4D" w14:textId="77777777" w:rsidR="006C436A" w:rsidRPr="00C75689" w:rsidRDefault="006C436A" w:rsidP="006C436A">
            <w:pPr>
              <w:spacing w:after="200" w:line="276" w:lineRule="auto"/>
              <w:rPr>
                <w:rFonts w:asciiTheme="minorHAnsi" w:eastAsiaTheme="minorHAnsi" w:hAnsiTheme="minorHAnsi" w:cstheme="minorBidi"/>
                <w:b/>
                <w:color w:val="auto"/>
                <w:u w:val="single"/>
                <w:lang w:val="en-US" w:eastAsia="en-US"/>
              </w:rPr>
            </w:pPr>
          </w:p>
        </w:tc>
        <w:tc>
          <w:tcPr>
            <w:tcW w:w="5711" w:type="dxa"/>
            <w:shd w:val="clear" w:color="auto" w:fill="FFFFFF" w:themeFill="background1"/>
          </w:tcPr>
          <w:p w14:paraId="5C048924" w14:textId="6EBE5CF3" w:rsidR="006C436A" w:rsidRPr="00C75689" w:rsidRDefault="006C436A" w:rsidP="0076444F">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1.2.</w:t>
            </w:r>
            <w:r w:rsidR="00045A7A">
              <w:rPr>
                <w:rFonts w:asciiTheme="minorHAnsi" w:eastAsiaTheme="minorHAnsi" w:hAnsiTheme="minorHAnsi" w:cstheme="minorBidi"/>
                <w:color w:val="auto"/>
                <w:lang w:eastAsia="en-US"/>
              </w:rPr>
              <w:t>1 -b</w:t>
            </w:r>
            <w:r w:rsidRPr="00C75689">
              <w:rPr>
                <w:rFonts w:asciiTheme="minorHAnsi" w:eastAsiaTheme="minorHAnsi" w:hAnsiTheme="minorHAnsi" w:cstheme="minorBidi"/>
                <w:color w:val="auto"/>
                <w:lang w:eastAsia="en-US"/>
              </w:rPr>
              <w:t xml:space="preserve">  </w:t>
            </w:r>
            <w:r w:rsidR="00045A7A">
              <w:rPr>
                <w:rFonts w:asciiTheme="minorHAnsi" w:eastAsiaTheme="minorHAnsi" w:hAnsiTheme="minorHAnsi" w:cstheme="minorBidi"/>
                <w:color w:val="auto"/>
                <w:lang w:eastAsia="en-US"/>
              </w:rPr>
              <w:t>Change from baseline in own revenue mobilised by local governments leveraged by UNCDF contribution</w:t>
            </w:r>
            <w:r w:rsidRPr="00C75689">
              <w:rPr>
                <w:rFonts w:asciiTheme="minorHAnsi" w:eastAsiaTheme="minorHAnsi" w:hAnsiTheme="minorHAnsi" w:cstheme="minorBidi"/>
                <w:color w:val="auto"/>
                <w:lang w:eastAsia="en-US"/>
              </w:rPr>
              <w:t xml:space="preserve"> </w:t>
            </w:r>
          </w:p>
        </w:tc>
        <w:tc>
          <w:tcPr>
            <w:tcW w:w="1675" w:type="dxa"/>
            <w:tcBorders>
              <w:top w:val="nil"/>
              <w:bottom w:val="nil"/>
            </w:tcBorders>
            <w:shd w:val="clear" w:color="auto" w:fill="FFFFFF" w:themeFill="background1"/>
          </w:tcPr>
          <w:p w14:paraId="350E1A9F" w14:textId="6E57364C" w:rsidR="006C436A" w:rsidRPr="00C75689" w:rsidRDefault="00045A7A" w:rsidP="00045A7A">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5</w:t>
            </w:r>
            <w:r w:rsidR="0076444F">
              <w:rPr>
                <w:rFonts w:asciiTheme="minorHAnsi" w:eastAsiaTheme="minorHAnsi" w:hAnsiTheme="minorHAnsi" w:cstheme="minorBidi"/>
                <w:color w:val="auto"/>
                <w:lang w:val="en-US" w:eastAsia="en-US"/>
              </w:rPr>
              <w:t>%</w:t>
            </w:r>
          </w:p>
        </w:tc>
        <w:tc>
          <w:tcPr>
            <w:tcW w:w="1792" w:type="dxa"/>
          </w:tcPr>
          <w:p w14:paraId="0DF316D8" w14:textId="22CAF18E" w:rsidR="006C436A" w:rsidRPr="006C436A" w:rsidRDefault="0076444F" w:rsidP="006C436A">
            <w:pPr>
              <w:rPr>
                <w:rFonts w:asciiTheme="minorHAnsi" w:eastAsiaTheme="minorHAnsi" w:hAnsiTheme="minorHAnsi" w:cstheme="minorBidi"/>
                <w:color w:val="244061" w:themeColor="accent1" w:themeShade="80"/>
                <w:lang w:val="en-US" w:eastAsia="en-US"/>
              </w:rPr>
            </w:pPr>
            <w:r>
              <w:rPr>
                <w:rFonts w:asciiTheme="minorHAnsi" w:eastAsiaTheme="minorHAnsi" w:hAnsiTheme="minorHAnsi" w:cstheme="minorBidi"/>
                <w:color w:val="244061" w:themeColor="accent1" w:themeShade="80"/>
                <w:lang w:val="en-US" w:eastAsia="en-US"/>
              </w:rPr>
              <w:t>0.65</w:t>
            </w:r>
            <w:r w:rsidRPr="00C75689">
              <w:rPr>
                <w:rFonts w:asciiTheme="minorHAnsi" w:eastAsiaTheme="minorHAnsi" w:hAnsiTheme="minorHAnsi" w:cstheme="minorBidi"/>
                <w:color w:val="auto"/>
                <w:vertAlign w:val="superscript"/>
                <w:lang w:eastAsia="en-US"/>
              </w:rPr>
              <w:footnoteReference w:id="12"/>
            </w:r>
            <w:r w:rsidRPr="00C75689">
              <w:rPr>
                <w:rFonts w:asciiTheme="minorHAnsi" w:eastAsiaTheme="minorHAnsi" w:hAnsiTheme="minorHAnsi" w:cstheme="minorBidi"/>
                <w:color w:val="auto"/>
                <w:lang w:eastAsia="en-US"/>
              </w:rPr>
              <w:t xml:space="preserve"> </w:t>
            </w:r>
          </w:p>
        </w:tc>
        <w:tc>
          <w:tcPr>
            <w:tcW w:w="1733" w:type="dxa"/>
            <w:shd w:val="clear" w:color="auto" w:fill="auto"/>
          </w:tcPr>
          <w:p w14:paraId="792018DB" w14:textId="355EB92F" w:rsidR="006C436A" w:rsidRPr="00C75689" w:rsidRDefault="006C436A" w:rsidP="006C436A">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Leverage UNCDF core resources by a factor of 10</w:t>
            </w:r>
          </w:p>
        </w:tc>
      </w:tr>
      <w:tr w:rsidR="006C436A" w:rsidRPr="00C75689" w14:paraId="53E6842A" w14:textId="77777777" w:rsidTr="0096788E">
        <w:trPr>
          <w:trHeight w:val="601"/>
        </w:trPr>
        <w:tc>
          <w:tcPr>
            <w:tcW w:w="4185" w:type="dxa"/>
            <w:vMerge/>
          </w:tcPr>
          <w:p w14:paraId="7886D4A0" w14:textId="77777777" w:rsidR="006C436A" w:rsidRPr="00C75689" w:rsidRDefault="006C436A" w:rsidP="006C436A">
            <w:pPr>
              <w:spacing w:after="200" w:line="276" w:lineRule="auto"/>
              <w:rPr>
                <w:rFonts w:asciiTheme="minorHAnsi" w:eastAsiaTheme="minorHAnsi" w:hAnsiTheme="minorHAnsi" w:cstheme="minorBidi"/>
                <w:b/>
                <w:color w:val="auto"/>
                <w:u w:val="single"/>
                <w:lang w:val="en-US" w:eastAsia="en-US"/>
              </w:rPr>
            </w:pPr>
          </w:p>
        </w:tc>
        <w:tc>
          <w:tcPr>
            <w:tcW w:w="5711" w:type="dxa"/>
            <w:shd w:val="clear" w:color="auto" w:fill="FFFFFF" w:themeFill="background1"/>
          </w:tcPr>
          <w:p w14:paraId="6797F75B" w14:textId="63DC1F86" w:rsidR="006C436A" w:rsidRPr="00C75689" w:rsidRDefault="006C436A" w:rsidP="0076444F">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1.2.</w:t>
            </w:r>
            <w:r w:rsidR="0076444F">
              <w:rPr>
                <w:rFonts w:asciiTheme="minorHAnsi" w:eastAsiaTheme="minorHAnsi" w:hAnsiTheme="minorHAnsi" w:cstheme="minorBidi"/>
                <w:color w:val="auto"/>
                <w:lang w:eastAsia="en-US"/>
              </w:rPr>
              <w:t>2</w:t>
            </w:r>
            <w:r w:rsidRPr="00C75689">
              <w:rPr>
                <w:rFonts w:asciiTheme="minorHAnsi" w:eastAsiaTheme="minorHAnsi" w:hAnsiTheme="minorHAnsi" w:cstheme="minorBidi"/>
                <w:color w:val="auto"/>
                <w:lang w:eastAsia="en-US"/>
              </w:rPr>
              <w:t xml:space="preserve">. </w:t>
            </w:r>
            <w:r w:rsidR="0076444F">
              <w:rPr>
                <w:rFonts w:asciiTheme="minorHAnsi" w:eastAsiaTheme="minorHAnsi" w:hAnsiTheme="minorHAnsi" w:cstheme="minorBidi"/>
                <w:color w:val="auto"/>
                <w:lang w:eastAsia="en-US"/>
              </w:rPr>
              <w:t>Change from baseline in value of domestic capital mobilized to the local level (leveraged by UNCDF contribution)</w:t>
            </w:r>
          </w:p>
        </w:tc>
        <w:tc>
          <w:tcPr>
            <w:tcW w:w="1675" w:type="dxa"/>
            <w:tcBorders>
              <w:top w:val="nil"/>
            </w:tcBorders>
            <w:shd w:val="clear" w:color="auto" w:fill="FFFFFF" w:themeFill="background1"/>
          </w:tcPr>
          <w:p w14:paraId="4BF95A5D" w14:textId="3AAA8136" w:rsidR="006C436A" w:rsidRPr="00C75689" w:rsidRDefault="0076444F" w:rsidP="006C436A">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10%</w:t>
            </w:r>
          </w:p>
        </w:tc>
        <w:tc>
          <w:tcPr>
            <w:tcW w:w="1792" w:type="dxa"/>
          </w:tcPr>
          <w:p w14:paraId="0224B216" w14:textId="0EB249F3" w:rsidR="006C436A" w:rsidRPr="006C436A" w:rsidRDefault="0076444F" w:rsidP="006C436A">
            <w:pPr>
              <w:rPr>
                <w:rFonts w:asciiTheme="minorHAnsi" w:eastAsiaTheme="minorHAnsi" w:hAnsiTheme="minorHAnsi" w:cstheme="minorBidi"/>
                <w:color w:val="244061" w:themeColor="accent1" w:themeShade="80"/>
                <w:lang w:val="en-US" w:eastAsia="en-US"/>
              </w:rPr>
            </w:pPr>
            <w:r>
              <w:rPr>
                <w:rFonts w:asciiTheme="minorHAnsi" w:eastAsiaTheme="minorHAnsi" w:hAnsiTheme="minorHAnsi" w:cstheme="minorBidi"/>
                <w:color w:val="244061" w:themeColor="accent1" w:themeShade="80"/>
                <w:lang w:val="en-US" w:eastAsia="en-US"/>
              </w:rPr>
              <w:t>8.5%</w:t>
            </w:r>
          </w:p>
        </w:tc>
        <w:tc>
          <w:tcPr>
            <w:tcW w:w="1733" w:type="dxa"/>
            <w:shd w:val="clear" w:color="auto" w:fill="auto"/>
          </w:tcPr>
          <w:p w14:paraId="380C88BD" w14:textId="41C01CFB" w:rsidR="006C436A" w:rsidRPr="00C75689" w:rsidRDefault="006C436A" w:rsidP="006C436A">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Leverage UNCDF core resources by a</w:t>
            </w:r>
            <w:r>
              <w:rPr>
                <w:rFonts w:asciiTheme="minorHAnsi" w:eastAsiaTheme="minorHAnsi" w:hAnsiTheme="minorHAnsi" w:cstheme="minorBidi"/>
                <w:color w:val="auto"/>
                <w:lang w:val="en-US" w:eastAsia="en-US"/>
              </w:rPr>
              <w:t xml:space="preserve"> f</w:t>
            </w:r>
            <w:r w:rsidRPr="00C75689">
              <w:rPr>
                <w:rFonts w:asciiTheme="minorHAnsi" w:eastAsiaTheme="minorHAnsi" w:hAnsiTheme="minorHAnsi" w:cstheme="minorBidi"/>
                <w:color w:val="auto"/>
                <w:lang w:val="en-US" w:eastAsia="en-US"/>
              </w:rPr>
              <w:t>actor of 10</w:t>
            </w:r>
          </w:p>
        </w:tc>
      </w:tr>
      <w:tr w:rsidR="006C436A" w:rsidRPr="00C75689" w14:paraId="26CC75E7" w14:textId="77777777" w:rsidTr="0096788E">
        <w:trPr>
          <w:trHeight w:val="56"/>
        </w:trPr>
        <w:tc>
          <w:tcPr>
            <w:tcW w:w="4185" w:type="dxa"/>
            <w:vMerge/>
          </w:tcPr>
          <w:p w14:paraId="4D69205D" w14:textId="77777777" w:rsidR="006C436A" w:rsidRPr="00C75689" w:rsidRDefault="006C436A" w:rsidP="006C436A">
            <w:pPr>
              <w:spacing w:after="200" w:line="276" w:lineRule="auto"/>
              <w:rPr>
                <w:rFonts w:asciiTheme="minorHAnsi" w:eastAsiaTheme="minorHAnsi" w:hAnsiTheme="minorHAnsi" w:cstheme="minorBidi"/>
                <w:b/>
                <w:color w:val="auto"/>
                <w:u w:val="single"/>
                <w:lang w:val="en-US" w:eastAsia="en-US"/>
              </w:rPr>
            </w:pPr>
          </w:p>
        </w:tc>
        <w:tc>
          <w:tcPr>
            <w:tcW w:w="5711" w:type="dxa"/>
            <w:shd w:val="clear" w:color="auto" w:fill="FFFFFF" w:themeFill="background1"/>
          </w:tcPr>
          <w:p w14:paraId="550B7935" w14:textId="2DAD8193" w:rsidR="006C436A" w:rsidRPr="00C75689" w:rsidRDefault="003B2205" w:rsidP="006C436A">
            <w:pPr>
              <w:spacing w:after="200" w:line="276" w:lineRule="auto"/>
              <w:rPr>
                <w:rFonts w:asciiTheme="minorHAnsi" w:eastAsiaTheme="minorHAnsi" w:hAnsiTheme="minorHAnsi" w:cstheme="minorBidi"/>
                <w:b/>
                <w:color w:val="auto"/>
                <w:lang w:eastAsia="en-US"/>
              </w:rPr>
            </w:pPr>
            <w:r w:rsidRPr="000111F5">
              <w:rPr>
                <w:b/>
                <w:sz w:val="20"/>
                <w:szCs w:val="20"/>
              </w:rPr>
              <w:t xml:space="preserve">Improved performance of sustainable, accountable </w:t>
            </w:r>
            <w:r>
              <w:rPr>
                <w:b/>
                <w:sz w:val="20"/>
                <w:szCs w:val="20"/>
              </w:rPr>
              <w:t>local governments</w:t>
            </w:r>
            <w:r w:rsidRPr="000111F5">
              <w:rPr>
                <w:b/>
                <w:sz w:val="20"/>
                <w:szCs w:val="20"/>
              </w:rPr>
              <w:t xml:space="preserve">, and improved performance of revenue generating projects. Measured in terms of how UNCDF supports capacity to </w:t>
            </w:r>
            <w:r w:rsidRPr="009838A9">
              <w:rPr>
                <w:b/>
                <w:color w:val="000090"/>
                <w:sz w:val="20"/>
                <w:szCs w:val="20"/>
                <w:u w:val="single"/>
              </w:rPr>
              <w:t>allocate</w:t>
            </w:r>
            <w:r w:rsidRPr="000111F5">
              <w:rPr>
                <w:b/>
                <w:sz w:val="20"/>
                <w:szCs w:val="20"/>
              </w:rPr>
              <w:t xml:space="preserve"> resources for effective local development.  </w:t>
            </w:r>
          </w:p>
        </w:tc>
        <w:tc>
          <w:tcPr>
            <w:tcW w:w="1675" w:type="dxa"/>
            <w:tcBorders>
              <w:bottom w:val="single" w:sz="4" w:space="0" w:color="auto"/>
            </w:tcBorders>
            <w:shd w:val="clear" w:color="auto" w:fill="FFFFFF" w:themeFill="background1"/>
          </w:tcPr>
          <w:p w14:paraId="3435D5E6" w14:textId="77777777" w:rsidR="006C436A" w:rsidRPr="00C75689" w:rsidRDefault="006C436A" w:rsidP="006C436A">
            <w:pPr>
              <w:spacing w:after="200" w:line="276" w:lineRule="auto"/>
              <w:rPr>
                <w:rFonts w:asciiTheme="minorHAnsi" w:eastAsiaTheme="minorHAnsi" w:hAnsiTheme="minorHAnsi" w:cstheme="minorBidi"/>
                <w:color w:val="auto"/>
                <w:lang w:val="en-US" w:eastAsia="en-US"/>
              </w:rPr>
            </w:pPr>
          </w:p>
        </w:tc>
        <w:tc>
          <w:tcPr>
            <w:tcW w:w="1792" w:type="dxa"/>
          </w:tcPr>
          <w:p w14:paraId="65B71E9C" w14:textId="77777777" w:rsidR="006C436A" w:rsidRPr="00C75689" w:rsidRDefault="006C436A" w:rsidP="006C436A">
            <w:pPr>
              <w:rPr>
                <w:rFonts w:asciiTheme="minorHAnsi" w:eastAsiaTheme="minorHAnsi" w:hAnsiTheme="minorHAnsi" w:cstheme="minorBidi"/>
                <w:b/>
                <w:color w:val="auto"/>
                <w:lang w:val="en-US" w:eastAsia="en-US"/>
              </w:rPr>
            </w:pPr>
          </w:p>
        </w:tc>
        <w:tc>
          <w:tcPr>
            <w:tcW w:w="1733" w:type="dxa"/>
            <w:shd w:val="clear" w:color="auto" w:fill="auto"/>
          </w:tcPr>
          <w:p w14:paraId="105BA4C3" w14:textId="54D0B4DB" w:rsidR="006C436A" w:rsidRPr="00C75689" w:rsidRDefault="006C436A" w:rsidP="006C436A">
            <w:pPr>
              <w:spacing w:after="200" w:line="276" w:lineRule="auto"/>
              <w:rPr>
                <w:rFonts w:asciiTheme="minorHAnsi" w:eastAsiaTheme="minorHAnsi" w:hAnsiTheme="minorHAnsi" w:cstheme="minorBidi"/>
                <w:b/>
                <w:color w:val="auto"/>
                <w:lang w:val="en-US" w:eastAsia="en-US"/>
              </w:rPr>
            </w:pPr>
          </w:p>
        </w:tc>
      </w:tr>
      <w:tr w:rsidR="00A80B1F" w:rsidRPr="00C75689" w14:paraId="11543C50" w14:textId="77777777" w:rsidTr="009838A9">
        <w:trPr>
          <w:trHeight w:val="1445"/>
        </w:trPr>
        <w:tc>
          <w:tcPr>
            <w:tcW w:w="4185" w:type="dxa"/>
            <w:vMerge/>
          </w:tcPr>
          <w:p w14:paraId="520F5615" w14:textId="77777777" w:rsidR="00A80B1F" w:rsidRPr="00C75689" w:rsidRDefault="00A80B1F" w:rsidP="00A80B1F">
            <w:pPr>
              <w:rPr>
                <w:rFonts w:asciiTheme="minorHAnsi" w:eastAsiaTheme="minorHAnsi" w:hAnsiTheme="minorHAnsi" w:cstheme="minorBidi"/>
                <w:b/>
                <w:color w:val="auto"/>
                <w:u w:val="single"/>
                <w:lang w:val="en-US" w:eastAsia="en-US"/>
              </w:rPr>
            </w:pPr>
          </w:p>
        </w:tc>
        <w:tc>
          <w:tcPr>
            <w:tcW w:w="5711" w:type="dxa"/>
            <w:tcBorders>
              <w:bottom w:val="single" w:sz="4" w:space="0" w:color="auto"/>
            </w:tcBorders>
            <w:shd w:val="clear" w:color="auto" w:fill="FFFFFF" w:themeFill="background1"/>
          </w:tcPr>
          <w:p w14:paraId="772DE595" w14:textId="77777777" w:rsidR="00A80B1F" w:rsidRDefault="00A80B1F" w:rsidP="00A80B1F">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1.2.</w:t>
            </w:r>
            <w:r>
              <w:rPr>
                <w:rFonts w:asciiTheme="minorHAnsi" w:eastAsiaTheme="minorHAnsi" w:hAnsiTheme="minorHAnsi" w:cstheme="minorBidi"/>
                <w:color w:val="auto"/>
                <w:lang w:eastAsia="en-US"/>
              </w:rPr>
              <w:t>3</w:t>
            </w:r>
            <w:r w:rsidRPr="00C75689">
              <w:rPr>
                <w:rFonts w:asciiTheme="minorHAnsi" w:eastAsiaTheme="minorHAnsi" w:hAnsiTheme="minorHAnsi" w:cstheme="minorBidi"/>
                <w:color w:val="auto"/>
                <w:lang w:eastAsia="en-US"/>
              </w:rPr>
              <w:t xml:space="preserve">. </w:t>
            </w:r>
            <w:r>
              <w:rPr>
                <w:rFonts w:ascii="Times New Roman" w:hAnsi="Times New Roman" w:cs="Times New Roman"/>
                <w:sz w:val="20"/>
                <w:szCs w:val="20"/>
              </w:rPr>
              <w:t xml:space="preserve"> Number of local i</w:t>
            </w:r>
            <w:r w:rsidRPr="000111F5">
              <w:rPr>
                <w:rFonts w:ascii="Times New Roman" w:hAnsi="Times New Roman" w:cs="Times New Roman"/>
                <w:sz w:val="20"/>
                <w:szCs w:val="20"/>
              </w:rPr>
              <w:t>nstitutions that improve performance against selected PFM Indicators</w:t>
            </w:r>
            <w:r w:rsidRPr="00C75689" w:rsidDel="00A80B1F">
              <w:rPr>
                <w:rFonts w:asciiTheme="minorHAnsi" w:eastAsiaTheme="minorHAnsi" w:hAnsiTheme="minorHAnsi" w:cstheme="minorBidi"/>
                <w:color w:val="auto"/>
                <w:lang w:eastAsia="en-US"/>
              </w:rPr>
              <w:t xml:space="preserve"> </w:t>
            </w:r>
            <w:r w:rsidRPr="00C75689">
              <w:rPr>
                <w:rFonts w:asciiTheme="minorHAnsi" w:eastAsiaTheme="minorHAnsi" w:hAnsiTheme="minorHAnsi" w:cstheme="minorBidi"/>
                <w:color w:val="auto"/>
                <w:vertAlign w:val="superscript"/>
                <w:lang w:eastAsia="en-US"/>
              </w:rPr>
              <w:footnoteReference w:id="13"/>
            </w:r>
          </w:p>
          <w:p w14:paraId="31664CD4" w14:textId="77777777" w:rsidR="00A80B1F" w:rsidRPr="00C75689" w:rsidRDefault="00A80B1F" w:rsidP="00A80B1F">
            <w:pPr>
              <w:rPr>
                <w:rFonts w:asciiTheme="minorHAnsi" w:eastAsiaTheme="minorHAnsi" w:hAnsiTheme="minorHAnsi" w:cstheme="minorBidi"/>
                <w:color w:val="auto"/>
                <w:lang w:eastAsia="en-US"/>
              </w:rPr>
            </w:pPr>
          </w:p>
        </w:tc>
        <w:tc>
          <w:tcPr>
            <w:tcW w:w="1675" w:type="dxa"/>
            <w:tcBorders>
              <w:bottom w:val="single" w:sz="4" w:space="0" w:color="auto"/>
            </w:tcBorders>
            <w:shd w:val="clear" w:color="auto" w:fill="FFFFFF" w:themeFill="background1"/>
          </w:tcPr>
          <w:p w14:paraId="3C9E3BC1" w14:textId="77777777" w:rsidR="00A80B1F" w:rsidRPr="00C75689" w:rsidRDefault="00A80B1F" w:rsidP="00A80B1F">
            <w:pPr>
              <w:rPr>
                <w:rFonts w:asciiTheme="minorHAnsi" w:eastAsiaTheme="minorHAnsi" w:hAnsiTheme="minorHAnsi" w:cstheme="minorBidi"/>
                <w:color w:val="auto"/>
                <w:lang w:val="en-US" w:eastAsia="en-US"/>
              </w:rPr>
            </w:pPr>
          </w:p>
        </w:tc>
        <w:tc>
          <w:tcPr>
            <w:tcW w:w="1792" w:type="dxa"/>
            <w:tcBorders>
              <w:bottom w:val="single" w:sz="4" w:space="0" w:color="auto"/>
            </w:tcBorders>
          </w:tcPr>
          <w:p w14:paraId="1D6733AE" w14:textId="6E37286A" w:rsidR="00A80B1F" w:rsidRPr="004D6D17" w:rsidRDefault="00A80B1F" w:rsidP="00A80B1F">
            <w:pPr>
              <w:rPr>
                <w:rFonts w:asciiTheme="minorHAnsi" w:eastAsiaTheme="minorHAnsi" w:hAnsiTheme="minorHAnsi" w:cstheme="minorBidi"/>
                <w:color w:val="244061" w:themeColor="accent1" w:themeShade="80"/>
                <w:lang w:val="en-US" w:eastAsia="en-US"/>
              </w:rPr>
            </w:pPr>
          </w:p>
        </w:tc>
        <w:tc>
          <w:tcPr>
            <w:tcW w:w="1733" w:type="dxa"/>
            <w:tcBorders>
              <w:bottom w:val="single" w:sz="4" w:space="0" w:color="auto"/>
            </w:tcBorders>
            <w:shd w:val="clear" w:color="auto" w:fill="auto"/>
          </w:tcPr>
          <w:p w14:paraId="1B366883" w14:textId="55164C23" w:rsidR="00A80B1F" w:rsidRPr="00C75689" w:rsidRDefault="00A80B1F" w:rsidP="00A80B1F">
            <w:pPr>
              <w:rPr>
                <w:rFonts w:asciiTheme="minorHAnsi" w:eastAsiaTheme="minorHAnsi" w:hAnsiTheme="minorHAnsi" w:cstheme="minorBidi"/>
                <w:color w:val="auto"/>
                <w:lang w:val="en-US" w:eastAsia="en-US"/>
              </w:rPr>
            </w:pPr>
          </w:p>
        </w:tc>
      </w:tr>
      <w:tr w:rsidR="00A80B1F" w:rsidRPr="00C75689" w14:paraId="3DB5EF1C" w14:textId="77777777" w:rsidTr="009838A9">
        <w:trPr>
          <w:trHeight w:val="1445"/>
        </w:trPr>
        <w:tc>
          <w:tcPr>
            <w:tcW w:w="4185" w:type="dxa"/>
            <w:vMerge/>
            <w:tcBorders>
              <w:right w:val="single" w:sz="4" w:space="0" w:color="auto"/>
            </w:tcBorders>
          </w:tcPr>
          <w:p w14:paraId="5749AF50" w14:textId="77777777" w:rsidR="00A80B1F" w:rsidRPr="00C75689" w:rsidRDefault="00A80B1F" w:rsidP="004D6D17">
            <w:pPr>
              <w:rPr>
                <w:rFonts w:asciiTheme="minorHAnsi" w:eastAsiaTheme="minorHAnsi" w:hAnsiTheme="minorHAnsi" w:cstheme="minorBidi"/>
                <w:b/>
                <w:color w:val="auto"/>
                <w:u w:val="single"/>
                <w:lang w:val="en-US" w:eastAsia="en-US"/>
              </w:rPr>
            </w:pPr>
          </w:p>
        </w:tc>
        <w:tc>
          <w:tcPr>
            <w:tcW w:w="5711" w:type="dxa"/>
            <w:tcBorders>
              <w:top w:val="single" w:sz="4" w:space="0" w:color="auto"/>
              <w:left w:val="single" w:sz="4" w:space="0" w:color="auto"/>
              <w:bottom w:val="single" w:sz="4" w:space="0" w:color="auto"/>
              <w:right w:val="single" w:sz="4" w:space="0" w:color="auto"/>
            </w:tcBorders>
            <w:shd w:val="clear" w:color="auto" w:fill="FFFFFF" w:themeFill="background1"/>
          </w:tcPr>
          <w:p w14:paraId="40D77BBC" w14:textId="162DACFB" w:rsidR="00A80B1F" w:rsidRPr="00C75689" w:rsidRDefault="00A80B1F" w:rsidP="004D6D17">
            <w:pPr>
              <w:rPr>
                <w:rFonts w:asciiTheme="minorHAnsi" w:eastAsiaTheme="minorHAnsi" w:hAnsiTheme="minorHAnsi" w:cstheme="minorBidi"/>
                <w:color w:val="auto"/>
                <w:lang w:eastAsia="en-US"/>
              </w:rPr>
            </w:pPr>
            <w:r w:rsidRPr="000111F5">
              <w:rPr>
                <w:rFonts w:ascii="Times New Roman" w:hAnsi="Times New Roman" w:cs="Times New Roman"/>
                <w:bCs/>
                <w:i/>
                <w:color w:val="000000"/>
                <w:sz w:val="20"/>
                <w:szCs w:val="20"/>
                <w:lang w:eastAsia="en-ZA"/>
              </w:rPr>
              <w:t>PI</w:t>
            </w:r>
            <w:r w:rsidRPr="000111F5">
              <w:rPr>
                <w:rStyle w:val="FootnoteReference"/>
                <w:rFonts w:ascii="Times New Roman" w:hAnsi="Times New Roman" w:cs="Times New Roman"/>
                <w:bCs/>
                <w:i/>
                <w:color w:val="000000"/>
                <w:sz w:val="20"/>
                <w:szCs w:val="20"/>
                <w:lang w:eastAsia="en-ZA"/>
              </w:rPr>
              <w:footnoteReference w:id="14"/>
            </w:r>
            <w:r>
              <w:rPr>
                <w:rFonts w:ascii="Times New Roman" w:hAnsi="Times New Roman" w:cs="Times New Roman"/>
                <w:bCs/>
                <w:i/>
                <w:color w:val="000000"/>
                <w:sz w:val="20"/>
                <w:szCs w:val="20"/>
                <w:lang w:eastAsia="en-ZA"/>
              </w:rPr>
              <w:t>-8: Transparency of inter-governmental f</w:t>
            </w:r>
            <w:r w:rsidRPr="000111F5">
              <w:rPr>
                <w:rFonts w:ascii="Times New Roman" w:hAnsi="Times New Roman" w:cs="Times New Roman"/>
                <w:bCs/>
                <w:i/>
                <w:color w:val="000000"/>
                <w:sz w:val="20"/>
                <w:szCs w:val="20"/>
                <w:lang w:eastAsia="en-ZA"/>
              </w:rPr>
              <w:t xml:space="preserve">iscal relations at the </w:t>
            </w:r>
            <w:r>
              <w:rPr>
                <w:rFonts w:ascii="Times New Roman" w:hAnsi="Times New Roman" w:cs="Times New Roman"/>
                <w:bCs/>
                <w:i/>
                <w:color w:val="000000"/>
                <w:sz w:val="20"/>
                <w:szCs w:val="20"/>
                <w:lang w:eastAsia="en-ZA"/>
              </w:rPr>
              <w:t>sub-national</w:t>
            </w:r>
            <w:r w:rsidRPr="000111F5">
              <w:rPr>
                <w:rFonts w:ascii="Times New Roman" w:hAnsi="Times New Roman" w:cs="Times New Roman"/>
                <w:bCs/>
                <w:i/>
                <w:color w:val="000000"/>
                <w:sz w:val="20"/>
                <w:szCs w:val="20"/>
                <w:lang w:eastAsia="en-ZA"/>
              </w:rPr>
              <w:t xml:space="preserve"> level</w:t>
            </w: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2B5D0" w14:textId="6A8CD369" w:rsidR="00A80B1F" w:rsidRPr="00C75689" w:rsidRDefault="00A80B1F" w:rsidP="004D6D17">
            <w:pPr>
              <w:rPr>
                <w:rFonts w:asciiTheme="minorHAnsi" w:eastAsiaTheme="minorHAnsi" w:hAnsiTheme="minorHAnsi" w:cstheme="minorBidi"/>
                <w:color w:val="auto"/>
                <w:lang w:val="en-US" w:eastAsia="en-US"/>
              </w:rPr>
            </w:pPr>
            <w:r>
              <w:rPr>
                <w:rFonts w:ascii="Times New Roman" w:hAnsi="Times New Roman" w:cs="Times New Roman"/>
                <w:sz w:val="20"/>
                <w:szCs w:val="20"/>
              </w:rPr>
              <w:t>57</w:t>
            </w:r>
          </w:p>
        </w:tc>
        <w:tc>
          <w:tcPr>
            <w:tcW w:w="1792" w:type="dxa"/>
            <w:tcBorders>
              <w:top w:val="single" w:sz="4" w:space="0" w:color="auto"/>
              <w:left w:val="single" w:sz="4" w:space="0" w:color="auto"/>
              <w:bottom w:val="single" w:sz="4" w:space="0" w:color="auto"/>
              <w:right w:val="single" w:sz="4" w:space="0" w:color="auto"/>
            </w:tcBorders>
            <w:vAlign w:val="center"/>
          </w:tcPr>
          <w:p w14:paraId="53F5B039" w14:textId="37975F00" w:rsidR="00A80B1F" w:rsidRPr="004D6D17" w:rsidRDefault="00A80B1F" w:rsidP="004D6D17">
            <w:pPr>
              <w:rPr>
                <w:rFonts w:asciiTheme="minorHAnsi" w:eastAsiaTheme="minorHAnsi" w:hAnsiTheme="minorHAnsi" w:cstheme="minorBidi"/>
                <w:color w:val="244061" w:themeColor="accent1" w:themeShade="80"/>
                <w:lang w:val="en-US" w:eastAsia="en-US"/>
              </w:rPr>
            </w:pPr>
            <w:r w:rsidRPr="000111F5">
              <w:rPr>
                <w:rFonts w:ascii="Times New Roman" w:hAnsi="Times New Roman" w:cs="Times New Roman"/>
                <w:sz w:val="20"/>
                <w:szCs w:val="20"/>
              </w:rPr>
              <w:t>57</w:t>
            </w:r>
            <w:r>
              <w:rPr>
                <w:rStyle w:val="FootnoteReference"/>
                <w:rFonts w:ascii="Times New Roman" w:hAnsi="Times New Roman" w:cs="Times New Roman"/>
                <w:sz w:val="20"/>
                <w:szCs w:val="20"/>
              </w:rPr>
              <w:footnoteReference w:id="15"/>
            </w:r>
          </w:p>
        </w:tc>
        <w:tc>
          <w:tcPr>
            <w:tcW w:w="1733" w:type="dxa"/>
            <w:tcBorders>
              <w:top w:val="single" w:sz="4" w:space="0" w:color="auto"/>
              <w:left w:val="single" w:sz="4" w:space="0" w:color="auto"/>
              <w:bottom w:val="single" w:sz="4" w:space="0" w:color="auto"/>
            </w:tcBorders>
            <w:shd w:val="clear" w:color="auto" w:fill="auto"/>
            <w:vAlign w:val="center"/>
          </w:tcPr>
          <w:p w14:paraId="13765560" w14:textId="30CA7765" w:rsidR="00A80B1F" w:rsidRPr="00C75689" w:rsidRDefault="000955F2" w:rsidP="009838A9">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70%</w:t>
            </w:r>
            <w:r w:rsidR="00BF77C8">
              <w:rPr>
                <w:rFonts w:asciiTheme="minorHAnsi" w:eastAsiaTheme="minorHAnsi" w:hAnsiTheme="minorHAnsi" w:cstheme="minorBidi"/>
                <w:color w:val="auto"/>
                <w:lang w:val="en-US" w:eastAsia="en-US"/>
              </w:rPr>
              <w:t xml:space="preserve"> - % of LGs covered by the UNCDF </w:t>
            </w:r>
            <w:proofErr w:type="spellStart"/>
            <w:r w:rsidR="00BF77C8">
              <w:rPr>
                <w:rFonts w:asciiTheme="minorHAnsi" w:eastAsiaTheme="minorHAnsi" w:hAnsiTheme="minorHAnsi" w:cstheme="minorBidi"/>
                <w:color w:val="auto"/>
                <w:lang w:val="en-US" w:eastAsia="en-US"/>
              </w:rPr>
              <w:t>programme</w:t>
            </w:r>
            <w:proofErr w:type="spellEnd"/>
          </w:p>
        </w:tc>
      </w:tr>
      <w:tr w:rsidR="00A80B1F" w:rsidRPr="00C75689" w14:paraId="04AE07D5" w14:textId="77777777" w:rsidTr="009838A9">
        <w:trPr>
          <w:trHeight w:val="1445"/>
        </w:trPr>
        <w:tc>
          <w:tcPr>
            <w:tcW w:w="4185" w:type="dxa"/>
            <w:vMerge/>
            <w:tcBorders>
              <w:right w:val="single" w:sz="4" w:space="0" w:color="auto"/>
            </w:tcBorders>
          </w:tcPr>
          <w:p w14:paraId="6268BF0B" w14:textId="77777777" w:rsidR="00A80B1F" w:rsidRPr="00C75689" w:rsidRDefault="00A80B1F" w:rsidP="004D6D17">
            <w:pPr>
              <w:rPr>
                <w:rFonts w:asciiTheme="minorHAnsi" w:eastAsiaTheme="minorHAnsi" w:hAnsiTheme="minorHAnsi" w:cstheme="minorBidi"/>
                <w:b/>
                <w:color w:val="auto"/>
                <w:u w:val="single"/>
                <w:lang w:val="en-US" w:eastAsia="en-US"/>
              </w:rPr>
            </w:pPr>
          </w:p>
        </w:tc>
        <w:tc>
          <w:tcPr>
            <w:tcW w:w="5711" w:type="dxa"/>
            <w:tcBorders>
              <w:top w:val="single" w:sz="4" w:space="0" w:color="auto"/>
              <w:left w:val="single" w:sz="4" w:space="0" w:color="auto"/>
              <w:bottom w:val="single" w:sz="4" w:space="0" w:color="auto"/>
              <w:right w:val="single" w:sz="4" w:space="0" w:color="auto"/>
            </w:tcBorders>
            <w:shd w:val="clear" w:color="auto" w:fill="FFFFFF" w:themeFill="background1"/>
          </w:tcPr>
          <w:p w14:paraId="6775F052" w14:textId="00D08895" w:rsidR="00A80B1F" w:rsidRPr="00C75689" w:rsidRDefault="00A80B1F" w:rsidP="004D6D17">
            <w:pPr>
              <w:rPr>
                <w:rFonts w:asciiTheme="minorHAnsi" w:eastAsiaTheme="minorHAnsi" w:hAnsiTheme="minorHAnsi" w:cstheme="minorBidi"/>
                <w:color w:val="auto"/>
                <w:lang w:eastAsia="en-US"/>
              </w:rPr>
            </w:pPr>
            <w:r w:rsidRPr="000111F5">
              <w:rPr>
                <w:bCs/>
                <w:i/>
                <w:color w:val="000000"/>
                <w:lang w:eastAsia="en-ZA"/>
              </w:rPr>
              <w:t>PI-12: Multi-year perspective in fiscal planning, expenditure policy and budgeting</w:t>
            </w: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16623" w14:textId="5B146DF4" w:rsidR="00A80B1F" w:rsidRPr="00C75689" w:rsidRDefault="00A80B1F" w:rsidP="004D6D17">
            <w:pPr>
              <w:rPr>
                <w:rFonts w:asciiTheme="minorHAnsi" w:eastAsiaTheme="minorHAnsi" w:hAnsiTheme="minorHAnsi" w:cstheme="minorBidi"/>
                <w:color w:val="auto"/>
                <w:lang w:val="en-US" w:eastAsia="en-US"/>
              </w:rPr>
            </w:pPr>
            <w:r>
              <w:rPr>
                <w:rFonts w:ascii="Times New Roman" w:eastAsia="Calibri" w:hAnsi="Times New Roman" w:cs="Times New Roman"/>
                <w:sz w:val="20"/>
                <w:szCs w:val="20"/>
              </w:rPr>
              <w:t>31</w:t>
            </w:r>
          </w:p>
        </w:tc>
        <w:tc>
          <w:tcPr>
            <w:tcW w:w="1792" w:type="dxa"/>
            <w:tcBorders>
              <w:top w:val="single" w:sz="4" w:space="0" w:color="auto"/>
              <w:left w:val="single" w:sz="4" w:space="0" w:color="auto"/>
              <w:bottom w:val="single" w:sz="4" w:space="0" w:color="auto"/>
              <w:right w:val="single" w:sz="4" w:space="0" w:color="auto"/>
            </w:tcBorders>
            <w:vAlign w:val="center"/>
          </w:tcPr>
          <w:p w14:paraId="0F081938" w14:textId="39CB21D4" w:rsidR="00A80B1F" w:rsidRPr="004D6D17" w:rsidRDefault="00A80B1F" w:rsidP="004D6D17">
            <w:pPr>
              <w:rPr>
                <w:rFonts w:asciiTheme="minorHAnsi" w:eastAsiaTheme="minorHAnsi" w:hAnsiTheme="minorHAnsi" w:cstheme="minorBidi"/>
                <w:color w:val="244061" w:themeColor="accent1" w:themeShade="80"/>
                <w:lang w:val="en-US" w:eastAsia="en-US"/>
              </w:rPr>
            </w:pPr>
            <w:r w:rsidRPr="000111F5">
              <w:rPr>
                <w:rFonts w:ascii="Times New Roman" w:eastAsia="Calibri" w:hAnsi="Times New Roman" w:cs="Times New Roman"/>
                <w:sz w:val="20"/>
                <w:szCs w:val="20"/>
              </w:rPr>
              <w:t>12</w:t>
            </w:r>
          </w:p>
        </w:tc>
        <w:tc>
          <w:tcPr>
            <w:tcW w:w="1733" w:type="dxa"/>
            <w:tcBorders>
              <w:top w:val="single" w:sz="4" w:space="0" w:color="auto"/>
              <w:left w:val="single" w:sz="4" w:space="0" w:color="auto"/>
              <w:bottom w:val="single" w:sz="4" w:space="0" w:color="auto"/>
            </w:tcBorders>
            <w:shd w:val="clear" w:color="auto" w:fill="auto"/>
            <w:vAlign w:val="center"/>
          </w:tcPr>
          <w:p w14:paraId="44BC3E47" w14:textId="62533522" w:rsidR="00A80B1F" w:rsidRPr="00C75689" w:rsidRDefault="00BF77C8" w:rsidP="009838A9">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 xml:space="preserve">70% - % of LGs covered by the UNCDF </w:t>
            </w:r>
            <w:proofErr w:type="spellStart"/>
            <w:r>
              <w:rPr>
                <w:rFonts w:asciiTheme="minorHAnsi" w:eastAsiaTheme="minorHAnsi" w:hAnsiTheme="minorHAnsi" w:cstheme="minorBidi"/>
                <w:color w:val="auto"/>
                <w:lang w:val="en-US" w:eastAsia="en-US"/>
              </w:rPr>
              <w:t>programme</w:t>
            </w:r>
            <w:proofErr w:type="spellEnd"/>
          </w:p>
        </w:tc>
      </w:tr>
      <w:tr w:rsidR="00A80B1F" w:rsidRPr="00C75689" w14:paraId="6F71E7FF" w14:textId="77777777" w:rsidTr="009838A9">
        <w:trPr>
          <w:trHeight w:val="1445"/>
        </w:trPr>
        <w:tc>
          <w:tcPr>
            <w:tcW w:w="4185" w:type="dxa"/>
            <w:vMerge/>
            <w:tcBorders>
              <w:right w:val="single" w:sz="4" w:space="0" w:color="auto"/>
            </w:tcBorders>
          </w:tcPr>
          <w:p w14:paraId="0CD3E714" w14:textId="77777777" w:rsidR="00A80B1F" w:rsidRPr="00C75689" w:rsidRDefault="00A80B1F" w:rsidP="004D6D17">
            <w:pPr>
              <w:spacing w:after="200" w:line="276" w:lineRule="auto"/>
              <w:rPr>
                <w:rFonts w:asciiTheme="minorHAnsi" w:eastAsiaTheme="minorHAnsi" w:hAnsiTheme="minorHAnsi" w:cstheme="minorBidi"/>
                <w:b/>
                <w:color w:val="auto"/>
                <w:u w:val="single"/>
                <w:lang w:val="en-US" w:eastAsia="en-US"/>
              </w:rPr>
            </w:pPr>
          </w:p>
        </w:tc>
        <w:tc>
          <w:tcPr>
            <w:tcW w:w="571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49AAC" w14:textId="222B477E" w:rsidR="00A80B1F" w:rsidRPr="00C75689" w:rsidRDefault="00A80B1F" w:rsidP="004D6D17">
            <w:pPr>
              <w:spacing w:after="200" w:line="276" w:lineRule="auto"/>
              <w:rPr>
                <w:rFonts w:asciiTheme="minorHAnsi" w:eastAsiaTheme="minorHAnsi" w:hAnsiTheme="minorHAnsi" w:cstheme="minorBidi"/>
                <w:color w:val="auto"/>
                <w:lang w:eastAsia="en-US"/>
              </w:rPr>
            </w:pPr>
            <w:r w:rsidRPr="000111F5">
              <w:rPr>
                <w:bCs/>
                <w:i/>
                <w:color w:val="000000"/>
                <w:lang w:eastAsia="en-ZA"/>
              </w:rPr>
              <w:t>PI-19: Competition, value for money and controls in public procurement</w:t>
            </w:r>
          </w:p>
        </w:tc>
        <w:tc>
          <w:tcPr>
            <w:tcW w:w="1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E7900" w14:textId="540D9065" w:rsidR="00A80B1F" w:rsidRPr="00C75689" w:rsidRDefault="00A80B1F" w:rsidP="004D6D17">
            <w:pPr>
              <w:spacing w:after="200" w:line="276" w:lineRule="auto"/>
              <w:rPr>
                <w:rFonts w:asciiTheme="minorHAnsi" w:eastAsiaTheme="minorHAnsi" w:hAnsiTheme="minorHAnsi" w:cstheme="minorBidi"/>
                <w:color w:val="auto"/>
                <w:lang w:val="en-US" w:eastAsia="en-US"/>
              </w:rPr>
            </w:pPr>
            <w:r>
              <w:rPr>
                <w:rFonts w:ascii="Times New Roman" w:eastAsia="Calibri" w:hAnsi="Times New Roman" w:cs="Times New Roman"/>
                <w:sz w:val="20"/>
                <w:szCs w:val="20"/>
              </w:rPr>
              <w:t>23</w:t>
            </w:r>
          </w:p>
        </w:tc>
        <w:tc>
          <w:tcPr>
            <w:tcW w:w="1792" w:type="dxa"/>
            <w:tcBorders>
              <w:top w:val="single" w:sz="4" w:space="0" w:color="auto"/>
              <w:left w:val="single" w:sz="4" w:space="0" w:color="auto"/>
              <w:bottom w:val="single" w:sz="4" w:space="0" w:color="auto"/>
              <w:right w:val="single" w:sz="4" w:space="0" w:color="auto"/>
            </w:tcBorders>
            <w:vAlign w:val="center"/>
          </w:tcPr>
          <w:p w14:paraId="49506210" w14:textId="6B126F5F" w:rsidR="00A80B1F" w:rsidRPr="004D6D17" w:rsidRDefault="00A80B1F" w:rsidP="004D6D17">
            <w:pPr>
              <w:rPr>
                <w:rFonts w:asciiTheme="minorHAnsi" w:eastAsiaTheme="minorHAnsi" w:hAnsiTheme="minorHAnsi" w:cstheme="minorBidi"/>
                <w:color w:val="244061" w:themeColor="accent1" w:themeShade="80"/>
                <w:lang w:val="en-US" w:eastAsia="en-US"/>
              </w:rPr>
            </w:pPr>
            <w:r w:rsidRPr="000111F5">
              <w:rPr>
                <w:rFonts w:ascii="Times New Roman" w:eastAsia="Calibri" w:hAnsi="Times New Roman" w:cs="Times New Roman"/>
                <w:sz w:val="20"/>
                <w:szCs w:val="20"/>
              </w:rPr>
              <w:t xml:space="preserve">10 </w:t>
            </w:r>
          </w:p>
        </w:tc>
        <w:tc>
          <w:tcPr>
            <w:tcW w:w="1733" w:type="dxa"/>
            <w:tcBorders>
              <w:top w:val="single" w:sz="4" w:space="0" w:color="auto"/>
              <w:left w:val="single" w:sz="4" w:space="0" w:color="auto"/>
              <w:bottom w:val="single" w:sz="4" w:space="0" w:color="auto"/>
            </w:tcBorders>
            <w:shd w:val="clear" w:color="auto" w:fill="auto"/>
            <w:vAlign w:val="center"/>
          </w:tcPr>
          <w:p w14:paraId="4634B789" w14:textId="2D2A3238" w:rsidR="00A80B1F" w:rsidRPr="00C75689" w:rsidRDefault="00BF77C8" w:rsidP="009838A9">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 xml:space="preserve">70% - % of LGs covered by the UNCDF </w:t>
            </w:r>
            <w:proofErr w:type="spellStart"/>
            <w:r>
              <w:rPr>
                <w:rFonts w:asciiTheme="minorHAnsi" w:eastAsiaTheme="minorHAnsi" w:hAnsiTheme="minorHAnsi" w:cstheme="minorBidi"/>
                <w:color w:val="auto"/>
                <w:lang w:val="en-US" w:eastAsia="en-US"/>
              </w:rPr>
              <w:t>programme</w:t>
            </w:r>
            <w:proofErr w:type="spellEnd"/>
            <w:r w:rsidRPr="00C75689" w:rsidDel="00A80B1F">
              <w:rPr>
                <w:rFonts w:asciiTheme="minorHAnsi" w:eastAsiaTheme="minorHAnsi" w:hAnsiTheme="minorHAnsi" w:cstheme="minorBidi"/>
                <w:color w:val="auto"/>
                <w:lang w:val="en-US" w:eastAsia="en-US"/>
              </w:rPr>
              <w:t xml:space="preserve"> </w:t>
            </w:r>
          </w:p>
        </w:tc>
      </w:tr>
      <w:tr w:rsidR="00A80B1F" w:rsidRPr="00C75689" w14:paraId="27668581" w14:textId="77777777" w:rsidTr="009838A9">
        <w:trPr>
          <w:trHeight w:val="56"/>
        </w:trPr>
        <w:tc>
          <w:tcPr>
            <w:tcW w:w="4185" w:type="dxa"/>
            <w:vMerge/>
          </w:tcPr>
          <w:p w14:paraId="7FDE0AAF" w14:textId="77777777" w:rsidR="00A80B1F" w:rsidRPr="00C75689" w:rsidRDefault="00A80B1F" w:rsidP="004D6D17">
            <w:pPr>
              <w:spacing w:after="200" w:line="276" w:lineRule="auto"/>
              <w:rPr>
                <w:rFonts w:asciiTheme="minorHAnsi" w:eastAsiaTheme="minorHAnsi" w:hAnsiTheme="minorHAnsi" w:cstheme="minorBidi"/>
                <w:b/>
                <w:color w:val="auto"/>
                <w:u w:val="single"/>
                <w:lang w:val="en-US" w:eastAsia="en-US"/>
              </w:rPr>
            </w:pPr>
          </w:p>
        </w:tc>
        <w:tc>
          <w:tcPr>
            <w:tcW w:w="5711" w:type="dxa"/>
            <w:tcBorders>
              <w:top w:val="single" w:sz="4" w:space="0" w:color="auto"/>
              <w:bottom w:val="single" w:sz="4" w:space="0" w:color="auto"/>
            </w:tcBorders>
            <w:shd w:val="clear" w:color="auto" w:fill="FFFFFF" w:themeFill="background1"/>
          </w:tcPr>
          <w:p w14:paraId="044CCEE5" w14:textId="623E4BE9" w:rsidR="00A80B1F" w:rsidRPr="00C75689" w:rsidRDefault="00A80B1F" w:rsidP="004D6D17">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1.2.</w:t>
            </w:r>
            <w:r>
              <w:rPr>
                <w:rFonts w:asciiTheme="minorHAnsi" w:eastAsiaTheme="minorHAnsi" w:hAnsiTheme="minorHAnsi" w:cstheme="minorBidi"/>
                <w:color w:val="auto"/>
                <w:lang w:eastAsia="en-US"/>
              </w:rPr>
              <w:t>4</w:t>
            </w:r>
            <w:r w:rsidRPr="00C75689">
              <w:rPr>
                <w:rFonts w:asciiTheme="minorHAnsi" w:eastAsiaTheme="minorHAnsi" w:hAnsiTheme="minorHAnsi" w:cstheme="minorBidi"/>
                <w:color w:val="auto"/>
                <w:lang w:eastAsia="en-US"/>
              </w:rPr>
              <w:t xml:space="preserve">. Number of investment projects </w:t>
            </w:r>
            <w:r>
              <w:rPr>
                <w:rFonts w:asciiTheme="minorHAnsi" w:eastAsiaTheme="minorHAnsi" w:hAnsiTheme="minorHAnsi" w:cstheme="minorBidi"/>
                <w:color w:val="auto"/>
                <w:lang w:eastAsia="en-US"/>
              </w:rPr>
              <w:t xml:space="preserve">reaching financial closure following effective investment </w:t>
            </w:r>
            <w:r w:rsidRPr="00C75689">
              <w:rPr>
                <w:rFonts w:asciiTheme="minorHAnsi" w:eastAsiaTheme="minorHAnsi" w:hAnsiTheme="minorHAnsi" w:cstheme="minorBidi"/>
                <w:color w:val="auto"/>
                <w:lang w:eastAsia="en-US"/>
              </w:rPr>
              <w:t>apprais</w:t>
            </w:r>
            <w:r>
              <w:rPr>
                <w:rFonts w:asciiTheme="minorHAnsi" w:eastAsiaTheme="minorHAnsi" w:hAnsiTheme="minorHAnsi" w:cstheme="minorBidi"/>
                <w:color w:val="auto"/>
                <w:lang w:eastAsia="en-US"/>
              </w:rPr>
              <w:t>al (LFI)</w:t>
            </w:r>
            <w:r w:rsidRPr="00C75689">
              <w:rPr>
                <w:rFonts w:asciiTheme="minorHAnsi" w:eastAsiaTheme="minorHAnsi" w:hAnsiTheme="minorHAnsi" w:cstheme="minorBidi"/>
                <w:color w:val="auto"/>
                <w:vertAlign w:val="superscript"/>
                <w:lang w:eastAsia="en-US"/>
              </w:rPr>
              <w:footnoteReference w:id="16"/>
            </w:r>
          </w:p>
        </w:tc>
        <w:tc>
          <w:tcPr>
            <w:tcW w:w="1675" w:type="dxa"/>
            <w:tcBorders>
              <w:top w:val="single" w:sz="4" w:space="0" w:color="auto"/>
              <w:bottom w:val="single" w:sz="4" w:space="0" w:color="auto"/>
            </w:tcBorders>
            <w:shd w:val="clear" w:color="auto" w:fill="FFFFFF" w:themeFill="background1"/>
          </w:tcPr>
          <w:p w14:paraId="11A9C949" w14:textId="2AE75A8B" w:rsidR="00A80B1F" w:rsidRPr="00C75689" w:rsidRDefault="008E065D" w:rsidP="004D6D17">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0</w:t>
            </w:r>
          </w:p>
        </w:tc>
        <w:tc>
          <w:tcPr>
            <w:tcW w:w="1792" w:type="dxa"/>
            <w:tcBorders>
              <w:top w:val="single" w:sz="4" w:space="0" w:color="auto"/>
              <w:bottom w:val="single" w:sz="4" w:space="0" w:color="auto"/>
            </w:tcBorders>
          </w:tcPr>
          <w:p w14:paraId="37C8E121" w14:textId="0889577F" w:rsidR="00A80B1F" w:rsidRPr="004D6D17" w:rsidRDefault="008E065D" w:rsidP="004D6D17">
            <w:pPr>
              <w:rPr>
                <w:rFonts w:asciiTheme="minorHAnsi" w:eastAsiaTheme="minorHAnsi" w:hAnsiTheme="minorHAnsi" w:cstheme="minorBidi"/>
                <w:color w:val="244061" w:themeColor="accent1" w:themeShade="80"/>
                <w:lang w:val="en-US" w:eastAsia="en-US"/>
              </w:rPr>
            </w:pPr>
            <w:r>
              <w:rPr>
                <w:rFonts w:asciiTheme="minorHAnsi" w:eastAsiaTheme="minorHAnsi" w:hAnsiTheme="minorHAnsi" w:cstheme="minorBidi"/>
                <w:color w:val="244061" w:themeColor="accent1" w:themeShade="80"/>
                <w:lang w:val="en-US" w:eastAsia="en-US"/>
              </w:rPr>
              <w:t>1</w:t>
            </w:r>
          </w:p>
        </w:tc>
        <w:tc>
          <w:tcPr>
            <w:tcW w:w="1733" w:type="dxa"/>
            <w:tcBorders>
              <w:top w:val="single" w:sz="4" w:space="0" w:color="auto"/>
            </w:tcBorders>
            <w:shd w:val="clear" w:color="auto" w:fill="auto"/>
          </w:tcPr>
          <w:p w14:paraId="399BC1CC" w14:textId="2F85DF4D" w:rsidR="00A80B1F" w:rsidRPr="00532113" w:rsidRDefault="000955F2" w:rsidP="000955F2">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 xml:space="preserve">At least 15 per country following three years of </w:t>
            </w:r>
            <w:r>
              <w:rPr>
                <w:rFonts w:asciiTheme="minorHAnsi" w:eastAsiaTheme="minorHAnsi" w:hAnsiTheme="minorHAnsi" w:cstheme="minorBidi"/>
                <w:color w:val="auto"/>
                <w:lang w:val="en-US" w:eastAsia="en-US"/>
              </w:rPr>
              <w:lastRenderedPageBreak/>
              <w:t>operation</w:t>
            </w:r>
            <w:r>
              <w:rPr>
                <w:rStyle w:val="FootnoteReference"/>
                <w:rFonts w:asciiTheme="minorHAnsi" w:eastAsiaTheme="minorHAnsi" w:hAnsiTheme="minorHAnsi" w:cstheme="minorBidi"/>
                <w:color w:val="auto"/>
                <w:lang w:val="en-US" w:eastAsia="en-US"/>
              </w:rPr>
              <w:footnoteReference w:id="17"/>
            </w:r>
          </w:p>
        </w:tc>
      </w:tr>
      <w:tr w:rsidR="00A80B1F" w:rsidRPr="00C75689" w14:paraId="5F446928" w14:textId="77777777" w:rsidTr="009838A9">
        <w:trPr>
          <w:trHeight w:val="56"/>
        </w:trPr>
        <w:tc>
          <w:tcPr>
            <w:tcW w:w="4185" w:type="dxa"/>
            <w:vMerge/>
          </w:tcPr>
          <w:p w14:paraId="214B53E1" w14:textId="77777777" w:rsidR="00A80B1F" w:rsidRPr="00C75689" w:rsidRDefault="00A80B1F" w:rsidP="004D6D17">
            <w:pPr>
              <w:spacing w:after="200" w:line="276" w:lineRule="auto"/>
              <w:rPr>
                <w:rFonts w:asciiTheme="minorHAnsi" w:eastAsiaTheme="minorHAnsi" w:hAnsiTheme="minorHAnsi" w:cstheme="minorBidi"/>
                <w:b/>
                <w:color w:val="auto"/>
                <w:u w:val="single"/>
                <w:lang w:val="en-US" w:eastAsia="en-US"/>
              </w:rPr>
            </w:pPr>
          </w:p>
        </w:tc>
        <w:tc>
          <w:tcPr>
            <w:tcW w:w="5711" w:type="dxa"/>
            <w:tcBorders>
              <w:top w:val="single" w:sz="4" w:space="0" w:color="auto"/>
            </w:tcBorders>
            <w:shd w:val="clear" w:color="auto" w:fill="FFFFFF" w:themeFill="background1"/>
          </w:tcPr>
          <w:p w14:paraId="61DDA28C" w14:textId="3DD4555B" w:rsidR="00A80B1F" w:rsidRPr="00C75689" w:rsidRDefault="00A80B1F" w:rsidP="003B2205">
            <w:pPr>
              <w:spacing w:after="200" w:line="276" w:lineRule="auto"/>
              <w:rPr>
                <w:rFonts w:asciiTheme="minorHAnsi" w:eastAsiaTheme="minorHAnsi" w:hAnsiTheme="minorHAnsi" w:cstheme="minorBidi"/>
                <w:b/>
                <w:color w:val="auto"/>
                <w:lang w:eastAsia="en-US"/>
              </w:rPr>
            </w:pPr>
            <w:r w:rsidRPr="000111F5">
              <w:rPr>
                <w:b/>
                <w:sz w:val="20"/>
                <w:szCs w:val="20"/>
              </w:rPr>
              <w:t xml:space="preserve">Output 1.2 Improved performance of sustainable, accountable </w:t>
            </w:r>
            <w:r>
              <w:rPr>
                <w:b/>
                <w:sz w:val="20"/>
                <w:szCs w:val="20"/>
              </w:rPr>
              <w:t>local governments</w:t>
            </w:r>
            <w:r w:rsidRPr="000111F5">
              <w:rPr>
                <w:b/>
                <w:sz w:val="20"/>
                <w:szCs w:val="20"/>
              </w:rPr>
              <w:t xml:space="preserve">, and improved performance of revenue generating projects. Measured in terms of how UNCDF supports capacity to </w:t>
            </w:r>
            <w:r w:rsidRPr="009838A9">
              <w:rPr>
                <w:b/>
                <w:color w:val="000090"/>
                <w:sz w:val="20"/>
                <w:szCs w:val="20"/>
                <w:u w:val="single"/>
              </w:rPr>
              <w:t>invest</w:t>
            </w:r>
            <w:r w:rsidRPr="000111F5">
              <w:rPr>
                <w:b/>
                <w:sz w:val="20"/>
                <w:szCs w:val="20"/>
              </w:rPr>
              <w:t xml:space="preserve"> resources for effective local development.  </w:t>
            </w:r>
          </w:p>
        </w:tc>
        <w:tc>
          <w:tcPr>
            <w:tcW w:w="1675" w:type="dxa"/>
            <w:tcBorders>
              <w:top w:val="single" w:sz="4" w:space="0" w:color="auto"/>
              <w:bottom w:val="single" w:sz="4" w:space="0" w:color="auto"/>
            </w:tcBorders>
            <w:shd w:val="clear" w:color="auto" w:fill="FFFFFF" w:themeFill="background1"/>
          </w:tcPr>
          <w:p w14:paraId="0EB1C8F7" w14:textId="77777777" w:rsidR="00A80B1F" w:rsidRPr="00C75689" w:rsidRDefault="00A80B1F" w:rsidP="004D6D17">
            <w:pPr>
              <w:spacing w:after="200" w:line="276" w:lineRule="auto"/>
              <w:rPr>
                <w:rFonts w:asciiTheme="minorHAnsi" w:eastAsiaTheme="minorHAnsi" w:hAnsiTheme="minorHAnsi" w:cstheme="minorBidi"/>
                <w:color w:val="auto"/>
                <w:lang w:val="en-US" w:eastAsia="en-US"/>
              </w:rPr>
            </w:pPr>
          </w:p>
        </w:tc>
        <w:tc>
          <w:tcPr>
            <w:tcW w:w="1792" w:type="dxa"/>
            <w:tcBorders>
              <w:top w:val="single" w:sz="4" w:space="0" w:color="auto"/>
              <w:bottom w:val="single" w:sz="4" w:space="0" w:color="auto"/>
            </w:tcBorders>
          </w:tcPr>
          <w:p w14:paraId="65161BEC" w14:textId="77777777" w:rsidR="00A80B1F" w:rsidRPr="00C75689" w:rsidRDefault="00A80B1F" w:rsidP="004D6D17">
            <w:pPr>
              <w:rPr>
                <w:rFonts w:asciiTheme="minorHAnsi" w:eastAsiaTheme="minorHAnsi" w:hAnsiTheme="minorHAnsi" w:cstheme="minorBidi"/>
                <w:b/>
                <w:color w:val="auto"/>
                <w:lang w:val="en-US" w:eastAsia="en-US"/>
              </w:rPr>
            </w:pPr>
          </w:p>
        </w:tc>
        <w:tc>
          <w:tcPr>
            <w:tcW w:w="1733" w:type="dxa"/>
            <w:tcBorders>
              <w:bottom w:val="single" w:sz="4" w:space="0" w:color="auto"/>
            </w:tcBorders>
            <w:shd w:val="clear" w:color="auto" w:fill="auto"/>
          </w:tcPr>
          <w:p w14:paraId="55775D55" w14:textId="58057995" w:rsidR="00A80B1F" w:rsidRPr="00C75689" w:rsidRDefault="00A80B1F" w:rsidP="004D6D17">
            <w:pPr>
              <w:spacing w:after="200" w:line="276" w:lineRule="auto"/>
              <w:rPr>
                <w:rFonts w:asciiTheme="minorHAnsi" w:eastAsiaTheme="minorHAnsi" w:hAnsiTheme="minorHAnsi" w:cstheme="minorBidi"/>
                <w:b/>
                <w:color w:val="auto"/>
                <w:lang w:val="en-US" w:eastAsia="en-US"/>
              </w:rPr>
            </w:pPr>
          </w:p>
        </w:tc>
      </w:tr>
      <w:tr w:rsidR="00A80B1F" w:rsidRPr="00C75689" w14:paraId="2F58A090" w14:textId="77777777" w:rsidTr="0096788E">
        <w:trPr>
          <w:trHeight w:val="56"/>
        </w:trPr>
        <w:tc>
          <w:tcPr>
            <w:tcW w:w="4185" w:type="dxa"/>
            <w:vMerge/>
          </w:tcPr>
          <w:p w14:paraId="5E831738" w14:textId="77777777" w:rsidR="00A80B1F" w:rsidRPr="00C75689" w:rsidRDefault="00A80B1F" w:rsidP="00B63EF4">
            <w:pPr>
              <w:spacing w:after="200" w:line="276" w:lineRule="auto"/>
              <w:rPr>
                <w:rFonts w:asciiTheme="minorHAnsi" w:eastAsiaTheme="minorHAnsi" w:hAnsiTheme="minorHAnsi" w:cstheme="minorBidi"/>
                <w:b/>
                <w:color w:val="auto"/>
                <w:u w:val="single"/>
                <w:lang w:val="en-US" w:eastAsia="en-US"/>
              </w:rPr>
            </w:pPr>
          </w:p>
        </w:tc>
        <w:tc>
          <w:tcPr>
            <w:tcW w:w="5711" w:type="dxa"/>
            <w:tcBorders>
              <w:bottom w:val="single" w:sz="4" w:space="0" w:color="auto"/>
            </w:tcBorders>
            <w:shd w:val="clear" w:color="auto" w:fill="FFFFFF" w:themeFill="background1"/>
          </w:tcPr>
          <w:p w14:paraId="661EAA90" w14:textId="78A0BE6A" w:rsidR="00A80B1F" w:rsidRPr="00C75689" w:rsidRDefault="00A80B1F" w:rsidP="008E065D">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1.2.</w:t>
            </w:r>
            <w:r w:rsidR="008E065D">
              <w:rPr>
                <w:rFonts w:asciiTheme="minorHAnsi" w:eastAsiaTheme="minorHAnsi" w:hAnsiTheme="minorHAnsi" w:cstheme="minorBidi"/>
                <w:color w:val="auto"/>
                <w:lang w:eastAsia="en-US"/>
              </w:rPr>
              <w:t>6</w:t>
            </w:r>
            <w:r w:rsidRPr="00C75689">
              <w:rPr>
                <w:rFonts w:asciiTheme="minorHAnsi" w:eastAsiaTheme="minorHAnsi" w:hAnsiTheme="minorHAnsi" w:cstheme="minorBidi"/>
                <w:color w:val="auto"/>
                <w:lang w:eastAsia="en-US"/>
              </w:rPr>
              <w:t xml:space="preserve">. Number </w:t>
            </w:r>
            <w:r w:rsidR="008E065D">
              <w:rPr>
                <w:rFonts w:asciiTheme="minorHAnsi" w:eastAsiaTheme="minorHAnsi" w:hAnsiTheme="minorHAnsi" w:cstheme="minorBidi"/>
                <w:color w:val="auto"/>
                <w:lang w:eastAsia="en-US"/>
              </w:rPr>
              <w:t>and type of local investments in infrastructure and services completed.</w:t>
            </w:r>
          </w:p>
        </w:tc>
        <w:tc>
          <w:tcPr>
            <w:tcW w:w="1675" w:type="dxa"/>
            <w:tcBorders>
              <w:bottom w:val="single" w:sz="4" w:space="0" w:color="auto"/>
            </w:tcBorders>
            <w:shd w:val="clear" w:color="auto" w:fill="FFFFFF" w:themeFill="background1"/>
          </w:tcPr>
          <w:p w14:paraId="418253BE" w14:textId="7D91A7A7" w:rsidR="00A80B1F" w:rsidRPr="00C75689" w:rsidRDefault="008E065D" w:rsidP="00B63EF4">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1500</w:t>
            </w:r>
          </w:p>
        </w:tc>
        <w:tc>
          <w:tcPr>
            <w:tcW w:w="1792" w:type="dxa"/>
            <w:tcBorders>
              <w:bottom w:val="single" w:sz="4" w:space="0" w:color="auto"/>
            </w:tcBorders>
          </w:tcPr>
          <w:p w14:paraId="7D3437DE" w14:textId="49B5E989" w:rsidR="00A80B1F" w:rsidRPr="00B63EF4" w:rsidRDefault="00D8525B" w:rsidP="00BF77C8">
            <w:pPr>
              <w:rPr>
                <w:rFonts w:asciiTheme="minorHAnsi" w:eastAsiaTheme="minorHAnsi" w:hAnsiTheme="minorHAnsi" w:cstheme="minorBidi"/>
                <w:color w:val="244061" w:themeColor="accent1" w:themeShade="80"/>
                <w:lang w:val="en-US" w:eastAsia="en-US"/>
              </w:rPr>
            </w:pPr>
            <w:r>
              <w:rPr>
                <w:rFonts w:asciiTheme="minorHAnsi" w:eastAsiaTheme="minorHAnsi" w:hAnsiTheme="minorHAnsi" w:cstheme="minorBidi"/>
                <w:color w:val="244061" w:themeColor="accent1" w:themeShade="80"/>
                <w:lang w:val="en-US" w:eastAsia="en-US"/>
              </w:rPr>
              <w:t>1880</w:t>
            </w:r>
            <w:r w:rsidR="00BF77C8">
              <w:rPr>
                <w:rFonts w:asciiTheme="minorHAnsi" w:eastAsiaTheme="minorHAnsi" w:hAnsiTheme="minorHAnsi" w:cstheme="minorBidi"/>
                <w:color w:val="244061" w:themeColor="accent1" w:themeShade="80"/>
                <w:lang w:val="en-US" w:eastAsia="en-US"/>
              </w:rPr>
              <w:t xml:space="preserve">, </w:t>
            </w:r>
          </w:p>
        </w:tc>
        <w:tc>
          <w:tcPr>
            <w:tcW w:w="1733" w:type="dxa"/>
            <w:tcBorders>
              <w:bottom w:val="single" w:sz="4" w:space="0" w:color="auto"/>
            </w:tcBorders>
            <w:shd w:val="clear" w:color="auto" w:fill="auto"/>
          </w:tcPr>
          <w:p w14:paraId="3FD37C69" w14:textId="6D4CEE4F" w:rsidR="00A80B1F" w:rsidRPr="00C75689" w:rsidRDefault="00BF77C8" w:rsidP="0096788E">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 xml:space="preserve">Over 10,000 </w:t>
            </w:r>
            <w:r w:rsidR="0096788E">
              <w:rPr>
                <w:rStyle w:val="FootnoteReference"/>
                <w:rFonts w:asciiTheme="minorHAnsi" w:eastAsiaTheme="minorHAnsi" w:hAnsiTheme="minorHAnsi" w:cstheme="minorBidi"/>
                <w:color w:val="auto"/>
                <w:lang w:val="en-US" w:eastAsia="en-US"/>
              </w:rPr>
              <w:footnoteReference w:id="18"/>
            </w:r>
          </w:p>
        </w:tc>
      </w:tr>
      <w:tr w:rsidR="00A80B1F" w:rsidRPr="00C75689" w14:paraId="5B9CD7DC" w14:textId="77777777" w:rsidTr="0096788E">
        <w:trPr>
          <w:trHeight w:val="56"/>
        </w:trPr>
        <w:tc>
          <w:tcPr>
            <w:tcW w:w="4185" w:type="dxa"/>
            <w:vMerge/>
          </w:tcPr>
          <w:p w14:paraId="761474AC" w14:textId="77777777" w:rsidR="00A80B1F" w:rsidRPr="00C75689" w:rsidRDefault="00A80B1F" w:rsidP="00B63EF4">
            <w:pPr>
              <w:spacing w:after="200" w:line="276" w:lineRule="auto"/>
              <w:rPr>
                <w:rFonts w:asciiTheme="minorHAnsi" w:eastAsiaTheme="minorHAnsi" w:hAnsiTheme="minorHAnsi" w:cstheme="minorBidi"/>
                <w:b/>
                <w:color w:val="auto"/>
                <w:u w:val="single"/>
                <w:lang w:val="en-US" w:eastAsia="en-US"/>
              </w:rPr>
            </w:pPr>
          </w:p>
        </w:tc>
        <w:tc>
          <w:tcPr>
            <w:tcW w:w="5711" w:type="dxa"/>
            <w:tcBorders>
              <w:top w:val="single" w:sz="4" w:space="0" w:color="auto"/>
            </w:tcBorders>
            <w:shd w:val="clear" w:color="auto" w:fill="FFFFFF" w:themeFill="background1"/>
          </w:tcPr>
          <w:p w14:paraId="09CCEBD0" w14:textId="632FD36B" w:rsidR="00A80B1F" w:rsidRPr="00C75689" w:rsidRDefault="00A80B1F" w:rsidP="0096788E">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color w:val="auto"/>
                <w:lang w:val="en-US" w:eastAsia="en-US"/>
              </w:rPr>
              <w:t>1.2.</w:t>
            </w:r>
            <w:r w:rsidR="0096788E">
              <w:rPr>
                <w:rFonts w:asciiTheme="minorHAnsi" w:eastAsiaTheme="minorHAnsi" w:hAnsiTheme="minorHAnsi" w:cstheme="minorBidi"/>
                <w:color w:val="auto"/>
                <w:lang w:val="en-US" w:eastAsia="en-US"/>
              </w:rPr>
              <w:t>7</w:t>
            </w:r>
            <w:proofErr w:type="gramStart"/>
            <w:r w:rsidRPr="00C75689">
              <w:rPr>
                <w:rFonts w:asciiTheme="minorHAnsi" w:eastAsiaTheme="minorHAnsi" w:hAnsiTheme="minorHAnsi" w:cstheme="minorBidi"/>
                <w:color w:val="auto"/>
                <w:lang w:val="en-US" w:eastAsia="en-US"/>
              </w:rPr>
              <w:t>.  Number</w:t>
            </w:r>
            <w:proofErr w:type="gramEnd"/>
            <w:r w:rsidRPr="00C75689">
              <w:rPr>
                <w:rFonts w:asciiTheme="minorHAnsi" w:eastAsiaTheme="minorHAnsi" w:hAnsiTheme="minorHAnsi" w:cstheme="minorBidi"/>
                <w:color w:val="auto"/>
                <w:lang w:val="en-US" w:eastAsia="en-US"/>
              </w:rPr>
              <w:t xml:space="preserve"> of UNCDF</w:t>
            </w:r>
            <w:r w:rsidR="0096788E">
              <w:rPr>
                <w:rFonts w:asciiTheme="minorHAnsi" w:eastAsiaTheme="minorHAnsi" w:hAnsiTheme="minorHAnsi" w:cstheme="minorBidi"/>
                <w:color w:val="auto"/>
                <w:lang w:val="en-US" w:eastAsia="en-US"/>
              </w:rPr>
              <w:t xml:space="preserve"> and / or local government investments in supported revenue generating private and public / private infrastructure and services complying with financial projections. </w:t>
            </w:r>
          </w:p>
        </w:tc>
        <w:tc>
          <w:tcPr>
            <w:tcW w:w="1675" w:type="dxa"/>
            <w:tcBorders>
              <w:top w:val="single" w:sz="4" w:space="0" w:color="auto"/>
              <w:bottom w:val="nil"/>
            </w:tcBorders>
            <w:shd w:val="clear" w:color="auto" w:fill="FFFFFF" w:themeFill="background1"/>
          </w:tcPr>
          <w:p w14:paraId="157F51D2" w14:textId="5FCFBFE0" w:rsidR="00A80B1F" w:rsidRPr="00C75689" w:rsidRDefault="0096788E" w:rsidP="00B63EF4">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7</w:t>
            </w:r>
          </w:p>
        </w:tc>
        <w:tc>
          <w:tcPr>
            <w:tcW w:w="1792" w:type="dxa"/>
            <w:tcBorders>
              <w:top w:val="single" w:sz="4" w:space="0" w:color="auto"/>
            </w:tcBorders>
          </w:tcPr>
          <w:p w14:paraId="3B698EA2" w14:textId="4000DD46" w:rsidR="00A80B1F" w:rsidRPr="00B63EF4" w:rsidRDefault="0096788E" w:rsidP="00B63EF4">
            <w:pPr>
              <w:rPr>
                <w:rFonts w:asciiTheme="minorHAnsi" w:eastAsiaTheme="minorHAnsi" w:hAnsiTheme="minorHAnsi" w:cstheme="minorBidi"/>
                <w:color w:val="244061" w:themeColor="accent1" w:themeShade="80"/>
                <w:lang w:val="en-US" w:eastAsia="en-US"/>
              </w:rPr>
            </w:pPr>
            <w:r>
              <w:rPr>
                <w:rFonts w:asciiTheme="minorHAnsi" w:eastAsiaTheme="minorHAnsi" w:hAnsiTheme="minorHAnsi" w:cstheme="minorBidi"/>
                <w:color w:val="244061" w:themeColor="accent1" w:themeShade="80"/>
                <w:lang w:val="en-US" w:eastAsia="en-US"/>
              </w:rPr>
              <w:t>3 (including LFI)</w:t>
            </w:r>
          </w:p>
        </w:tc>
        <w:tc>
          <w:tcPr>
            <w:tcW w:w="1733" w:type="dxa"/>
            <w:tcBorders>
              <w:top w:val="single" w:sz="4" w:space="0" w:color="auto"/>
            </w:tcBorders>
            <w:shd w:val="clear" w:color="auto" w:fill="auto"/>
          </w:tcPr>
          <w:p w14:paraId="5072B529" w14:textId="32073515" w:rsidR="00A80B1F" w:rsidRPr="00532113" w:rsidRDefault="0096788E" w:rsidP="00B63EF4">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 xml:space="preserve">70% of projects </w:t>
            </w:r>
          </w:p>
        </w:tc>
      </w:tr>
      <w:tr w:rsidR="00A80B1F" w:rsidRPr="00C75689" w14:paraId="3A4CD762" w14:textId="77777777" w:rsidTr="0096788E">
        <w:trPr>
          <w:trHeight w:val="56"/>
        </w:trPr>
        <w:tc>
          <w:tcPr>
            <w:tcW w:w="4185" w:type="dxa"/>
            <w:vMerge/>
          </w:tcPr>
          <w:p w14:paraId="133D0720" w14:textId="77777777" w:rsidR="00A80B1F" w:rsidRPr="00C75689" w:rsidRDefault="00A80B1F" w:rsidP="00B63EF4">
            <w:pPr>
              <w:spacing w:after="200" w:line="276" w:lineRule="auto"/>
              <w:rPr>
                <w:rFonts w:asciiTheme="minorHAnsi" w:eastAsiaTheme="minorHAnsi" w:hAnsiTheme="minorHAnsi" w:cstheme="minorBidi"/>
                <w:b/>
                <w:color w:val="auto"/>
                <w:u w:val="single"/>
                <w:lang w:val="en-US" w:eastAsia="en-US"/>
              </w:rPr>
            </w:pPr>
          </w:p>
        </w:tc>
        <w:tc>
          <w:tcPr>
            <w:tcW w:w="5711" w:type="dxa"/>
            <w:shd w:val="clear" w:color="auto" w:fill="FFFFFF" w:themeFill="background1"/>
          </w:tcPr>
          <w:p w14:paraId="27470D79" w14:textId="598C3394" w:rsidR="00A80B1F" w:rsidRPr="00C75689" w:rsidRDefault="00A80B1F" w:rsidP="003B2205">
            <w:pPr>
              <w:spacing w:after="200" w:line="276" w:lineRule="auto"/>
              <w:rPr>
                <w:rFonts w:asciiTheme="minorHAnsi" w:eastAsiaTheme="minorHAnsi" w:hAnsiTheme="minorHAnsi" w:cstheme="minorBidi"/>
                <w:b/>
                <w:color w:val="auto"/>
                <w:lang w:eastAsia="en-US"/>
              </w:rPr>
            </w:pPr>
            <w:r w:rsidRPr="000111F5">
              <w:rPr>
                <w:b/>
                <w:sz w:val="20"/>
                <w:szCs w:val="20"/>
              </w:rPr>
              <w:t xml:space="preserve">Output 1.2 Improved performance of sustainable, accountable </w:t>
            </w:r>
            <w:r>
              <w:rPr>
                <w:b/>
                <w:sz w:val="20"/>
                <w:szCs w:val="20"/>
              </w:rPr>
              <w:t>local governments</w:t>
            </w:r>
            <w:r w:rsidRPr="000111F5">
              <w:rPr>
                <w:b/>
                <w:sz w:val="20"/>
                <w:szCs w:val="20"/>
              </w:rPr>
              <w:t xml:space="preserve">, and improved performance of revenue generating projects. Measured in terms of how UNCDF supports capacity to </w:t>
            </w:r>
            <w:r>
              <w:rPr>
                <w:b/>
                <w:sz w:val="20"/>
                <w:szCs w:val="20"/>
              </w:rPr>
              <w:t>make accountable the resources that are invested in local development</w:t>
            </w:r>
            <w:r>
              <w:rPr>
                <w:b/>
                <w:color w:val="000090"/>
                <w:sz w:val="20"/>
                <w:szCs w:val="20"/>
              </w:rPr>
              <w:t>.</w:t>
            </w:r>
            <w:r w:rsidRPr="00C75689">
              <w:rPr>
                <w:rFonts w:asciiTheme="minorHAnsi" w:eastAsiaTheme="minorHAnsi" w:hAnsiTheme="minorHAnsi" w:cstheme="minorBidi"/>
                <w:b/>
                <w:color w:val="auto"/>
                <w:vertAlign w:val="superscript"/>
                <w:lang w:eastAsia="en-US"/>
              </w:rPr>
              <w:footnoteReference w:id="19"/>
            </w:r>
          </w:p>
        </w:tc>
        <w:tc>
          <w:tcPr>
            <w:tcW w:w="1675" w:type="dxa"/>
            <w:tcBorders>
              <w:bottom w:val="single" w:sz="4" w:space="0" w:color="auto"/>
            </w:tcBorders>
            <w:shd w:val="clear" w:color="auto" w:fill="FFFFFF" w:themeFill="background1"/>
          </w:tcPr>
          <w:p w14:paraId="6BDCB34C" w14:textId="77777777" w:rsidR="00A80B1F" w:rsidRPr="00C75689" w:rsidRDefault="00A80B1F" w:rsidP="00B63EF4">
            <w:pPr>
              <w:spacing w:after="200" w:line="276" w:lineRule="auto"/>
              <w:rPr>
                <w:rFonts w:asciiTheme="minorHAnsi" w:eastAsiaTheme="minorHAnsi" w:hAnsiTheme="minorHAnsi" w:cstheme="minorBidi"/>
                <w:color w:val="auto"/>
                <w:lang w:val="en-US" w:eastAsia="en-US"/>
              </w:rPr>
            </w:pPr>
          </w:p>
        </w:tc>
        <w:tc>
          <w:tcPr>
            <w:tcW w:w="1792" w:type="dxa"/>
          </w:tcPr>
          <w:p w14:paraId="79D55022" w14:textId="77777777" w:rsidR="00A80B1F" w:rsidRPr="00C75689" w:rsidRDefault="00A80B1F" w:rsidP="00B63EF4">
            <w:pPr>
              <w:rPr>
                <w:rFonts w:asciiTheme="minorHAnsi" w:eastAsiaTheme="minorHAnsi" w:hAnsiTheme="minorHAnsi" w:cstheme="minorBidi"/>
                <w:b/>
                <w:color w:val="auto"/>
                <w:lang w:val="en-US" w:eastAsia="en-US"/>
              </w:rPr>
            </w:pPr>
          </w:p>
        </w:tc>
        <w:tc>
          <w:tcPr>
            <w:tcW w:w="1733" w:type="dxa"/>
            <w:shd w:val="clear" w:color="auto" w:fill="auto"/>
          </w:tcPr>
          <w:p w14:paraId="0CD74A5F" w14:textId="2462B563" w:rsidR="00A80B1F" w:rsidRPr="00C75689" w:rsidRDefault="00A80B1F" w:rsidP="00B63EF4">
            <w:pPr>
              <w:spacing w:after="200" w:line="276" w:lineRule="auto"/>
              <w:rPr>
                <w:rFonts w:asciiTheme="minorHAnsi" w:eastAsiaTheme="minorHAnsi" w:hAnsiTheme="minorHAnsi" w:cstheme="minorBidi"/>
                <w:b/>
                <w:color w:val="auto"/>
                <w:lang w:val="en-US" w:eastAsia="en-US"/>
              </w:rPr>
            </w:pPr>
          </w:p>
        </w:tc>
      </w:tr>
      <w:tr w:rsidR="00A80B1F" w:rsidRPr="00C75689" w14:paraId="1468F97E" w14:textId="77777777" w:rsidTr="0096788E">
        <w:trPr>
          <w:trHeight w:val="56"/>
        </w:trPr>
        <w:tc>
          <w:tcPr>
            <w:tcW w:w="4185" w:type="dxa"/>
            <w:vMerge/>
          </w:tcPr>
          <w:p w14:paraId="30EF9F46" w14:textId="77777777" w:rsidR="00A80B1F" w:rsidRPr="00C75689" w:rsidRDefault="00A80B1F" w:rsidP="005A65C1">
            <w:pPr>
              <w:spacing w:after="200" w:line="276" w:lineRule="auto"/>
              <w:rPr>
                <w:rFonts w:asciiTheme="minorHAnsi" w:eastAsiaTheme="minorHAnsi" w:hAnsiTheme="minorHAnsi" w:cstheme="minorBidi"/>
                <w:b/>
                <w:color w:val="auto"/>
                <w:u w:val="single"/>
                <w:lang w:val="en-US" w:eastAsia="en-US"/>
              </w:rPr>
            </w:pPr>
          </w:p>
        </w:tc>
        <w:tc>
          <w:tcPr>
            <w:tcW w:w="5711" w:type="dxa"/>
            <w:shd w:val="clear" w:color="auto" w:fill="FFFFFF" w:themeFill="background1"/>
          </w:tcPr>
          <w:p w14:paraId="73BDFDA5" w14:textId="33EA5B25" w:rsidR="00A80B1F" w:rsidRPr="00C75689" w:rsidRDefault="00A80B1F" w:rsidP="0096788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1.2.</w:t>
            </w:r>
            <w:r w:rsidR="0096788E">
              <w:rPr>
                <w:rFonts w:asciiTheme="minorHAnsi" w:eastAsiaTheme="minorHAnsi" w:hAnsiTheme="minorHAnsi" w:cstheme="minorBidi"/>
                <w:color w:val="auto"/>
                <w:lang w:val="en-US" w:eastAsia="en-US"/>
              </w:rPr>
              <w:t>8</w:t>
            </w:r>
            <w:r w:rsidRPr="00C75689">
              <w:rPr>
                <w:rFonts w:asciiTheme="minorHAnsi" w:eastAsiaTheme="minorHAnsi" w:hAnsiTheme="minorHAnsi" w:cstheme="minorBidi"/>
                <w:color w:val="auto"/>
                <w:lang w:val="en-US" w:eastAsia="en-US"/>
              </w:rPr>
              <w:t>. Number of local institutions that improve performance against accountability- related</w:t>
            </w:r>
            <w:r w:rsidR="0096788E">
              <w:rPr>
                <w:rFonts w:asciiTheme="minorHAnsi" w:eastAsiaTheme="minorHAnsi" w:hAnsiTheme="minorHAnsi" w:cstheme="minorBidi"/>
                <w:color w:val="auto"/>
                <w:lang w:val="en-US" w:eastAsia="en-US"/>
              </w:rPr>
              <w:t xml:space="preserve"> public financial management indicators (</w:t>
            </w:r>
            <w:r w:rsidRPr="00C75689">
              <w:rPr>
                <w:rFonts w:asciiTheme="minorHAnsi" w:eastAsiaTheme="minorHAnsi" w:hAnsiTheme="minorHAnsi" w:cstheme="minorBidi"/>
                <w:color w:val="auto"/>
                <w:lang w:val="en-US" w:eastAsia="en-US"/>
              </w:rPr>
              <w:t>PEFA</w:t>
            </w:r>
            <w:r w:rsidR="0096788E">
              <w:rPr>
                <w:rFonts w:asciiTheme="minorHAnsi" w:eastAsiaTheme="minorHAnsi" w:hAnsiTheme="minorHAnsi" w:cstheme="minorBidi"/>
                <w:color w:val="auto"/>
                <w:lang w:val="en-US" w:eastAsia="en-US"/>
              </w:rPr>
              <w:t xml:space="preserve">) </w:t>
            </w:r>
          </w:p>
        </w:tc>
        <w:tc>
          <w:tcPr>
            <w:tcW w:w="1675" w:type="dxa"/>
            <w:tcBorders>
              <w:bottom w:val="nil"/>
            </w:tcBorders>
            <w:shd w:val="clear" w:color="auto" w:fill="FFFFFF" w:themeFill="background1"/>
          </w:tcPr>
          <w:p w14:paraId="5AB88C24" w14:textId="77777777" w:rsidR="00A80B1F" w:rsidRPr="00C75689" w:rsidRDefault="00A80B1F" w:rsidP="005A65C1">
            <w:pPr>
              <w:spacing w:after="200" w:line="276" w:lineRule="auto"/>
              <w:rPr>
                <w:rFonts w:asciiTheme="minorHAnsi" w:eastAsiaTheme="minorHAnsi" w:hAnsiTheme="minorHAnsi" w:cstheme="minorBidi"/>
                <w:color w:val="auto"/>
                <w:lang w:val="en-US" w:eastAsia="en-US"/>
              </w:rPr>
            </w:pPr>
          </w:p>
        </w:tc>
        <w:tc>
          <w:tcPr>
            <w:tcW w:w="1792" w:type="dxa"/>
          </w:tcPr>
          <w:p w14:paraId="7277DC6F" w14:textId="35A77F7D" w:rsidR="00A80B1F" w:rsidRPr="005A65C1" w:rsidRDefault="00A80B1F" w:rsidP="005A65C1">
            <w:pPr>
              <w:rPr>
                <w:rFonts w:asciiTheme="minorHAnsi" w:eastAsiaTheme="minorHAnsi" w:hAnsiTheme="minorHAnsi" w:cstheme="minorBidi"/>
                <w:color w:val="244061" w:themeColor="accent1" w:themeShade="80"/>
                <w:lang w:val="en-US" w:eastAsia="en-US"/>
              </w:rPr>
            </w:pPr>
            <w:r w:rsidRPr="005A65C1">
              <w:rPr>
                <w:rFonts w:asciiTheme="minorHAnsi" w:eastAsiaTheme="minorHAnsi" w:hAnsiTheme="minorHAnsi" w:cstheme="minorBidi"/>
                <w:color w:val="244061" w:themeColor="accent1" w:themeShade="80"/>
                <w:lang w:val="en-US" w:eastAsia="en-US"/>
              </w:rPr>
              <w:t>100%</w:t>
            </w:r>
            <w:r w:rsidRPr="005A65C1">
              <w:rPr>
                <w:rStyle w:val="FootnoteReference"/>
                <w:rFonts w:asciiTheme="minorHAnsi" w:eastAsiaTheme="minorHAnsi" w:hAnsiTheme="minorHAnsi" w:cstheme="minorBidi"/>
                <w:color w:val="244061" w:themeColor="accent1" w:themeShade="80"/>
                <w:lang w:val="en-US" w:eastAsia="en-US"/>
              </w:rPr>
              <w:footnoteReference w:id="20"/>
            </w:r>
          </w:p>
        </w:tc>
        <w:tc>
          <w:tcPr>
            <w:tcW w:w="1733" w:type="dxa"/>
            <w:shd w:val="clear" w:color="auto" w:fill="auto"/>
          </w:tcPr>
          <w:p w14:paraId="74E51BD0" w14:textId="077018E6" w:rsidR="00A80B1F" w:rsidRPr="00C75689" w:rsidRDefault="00A80B1F" w:rsidP="005A65C1">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 xml:space="preserve">75% of institutions supported </w:t>
            </w:r>
            <w:r w:rsidRPr="00C75689">
              <w:rPr>
                <w:rFonts w:asciiTheme="minorHAnsi" w:eastAsiaTheme="minorHAnsi" w:hAnsiTheme="minorHAnsi" w:cstheme="minorBidi"/>
                <w:color w:val="auto"/>
                <w:lang w:val="en-US" w:eastAsia="en-US"/>
              </w:rPr>
              <w:lastRenderedPageBreak/>
              <w:t>demonstrating sustainable improvements in accountability</w:t>
            </w:r>
          </w:p>
        </w:tc>
      </w:tr>
      <w:tr w:rsidR="00A80B1F" w:rsidRPr="00C75689" w14:paraId="4E6629A8" w14:textId="77777777" w:rsidTr="0096788E">
        <w:trPr>
          <w:trHeight w:val="56"/>
        </w:trPr>
        <w:tc>
          <w:tcPr>
            <w:tcW w:w="4185" w:type="dxa"/>
            <w:vMerge/>
          </w:tcPr>
          <w:p w14:paraId="1A38253A" w14:textId="77777777" w:rsidR="00A80B1F" w:rsidRPr="00C75689" w:rsidRDefault="00A80B1F" w:rsidP="005A65C1">
            <w:pPr>
              <w:spacing w:after="200" w:line="276" w:lineRule="auto"/>
              <w:rPr>
                <w:rFonts w:asciiTheme="minorHAnsi" w:eastAsiaTheme="minorHAnsi" w:hAnsiTheme="minorHAnsi" w:cstheme="minorBidi"/>
                <w:b/>
                <w:color w:val="auto"/>
                <w:u w:val="single"/>
                <w:lang w:val="en-US" w:eastAsia="en-US"/>
              </w:rPr>
            </w:pPr>
          </w:p>
        </w:tc>
        <w:tc>
          <w:tcPr>
            <w:tcW w:w="5711" w:type="dxa"/>
            <w:shd w:val="clear" w:color="auto" w:fill="FFFFFF" w:themeFill="background1"/>
          </w:tcPr>
          <w:p w14:paraId="76F8DC5D" w14:textId="56AD3A15" w:rsidR="00A80B1F" w:rsidRPr="009838A9" w:rsidRDefault="0096788E" w:rsidP="005A65C1">
            <w:pPr>
              <w:spacing w:after="200" w:line="276" w:lineRule="auto"/>
              <w:rPr>
                <w:rFonts w:asciiTheme="minorHAnsi" w:eastAsiaTheme="minorHAnsi" w:hAnsiTheme="minorHAnsi" w:cstheme="minorBidi"/>
                <w:i/>
                <w:color w:val="auto"/>
                <w:lang w:val="en-US" w:eastAsia="en-US"/>
              </w:rPr>
            </w:pPr>
            <w:r w:rsidRPr="009838A9">
              <w:rPr>
                <w:rFonts w:asciiTheme="minorHAnsi" w:eastAsiaTheme="minorHAnsi" w:hAnsiTheme="minorHAnsi" w:cstheme="minorBidi"/>
                <w:i/>
                <w:color w:val="auto"/>
                <w:lang w:val="en-US" w:eastAsia="en-US"/>
              </w:rPr>
              <w:t xml:space="preserve">PI-10 Access to key fiscal information at the sub national level refers to access of the general public at the location (‘local’ public access) or at least the </w:t>
            </w:r>
            <w:proofErr w:type="spellStart"/>
            <w:r w:rsidRPr="009838A9">
              <w:rPr>
                <w:rFonts w:asciiTheme="minorHAnsi" w:eastAsiaTheme="minorHAnsi" w:hAnsiTheme="minorHAnsi" w:cstheme="minorBidi"/>
                <w:i/>
                <w:color w:val="auto"/>
                <w:lang w:val="en-US" w:eastAsia="en-US"/>
              </w:rPr>
              <w:t>relecant</w:t>
            </w:r>
            <w:proofErr w:type="spellEnd"/>
            <w:r w:rsidRPr="009838A9">
              <w:rPr>
                <w:rFonts w:asciiTheme="minorHAnsi" w:eastAsiaTheme="minorHAnsi" w:hAnsiTheme="minorHAnsi" w:cstheme="minorBidi"/>
                <w:i/>
                <w:color w:val="auto"/>
                <w:lang w:val="en-US" w:eastAsia="en-US"/>
              </w:rPr>
              <w:t xml:space="preserve"> interest group</w:t>
            </w:r>
          </w:p>
        </w:tc>
        <w:tc>
          <w:tcPr>
            <w:tcW w:w="1675" w:type="dxa"/>
            <w:tcBorders>
              <w:top w:val="nil"/>
              <w:bottom w:val="single" w:sz="4" w:space="0" w:color="auto"/>
            </w:tcBorders>
            <w:shd w:val="clear" w:color="auto" w:fill="FFFFFF" w:themeFill="background1"/>
          </w:tcPr>
          <w:p w14:paraId="442AC1C3" w14:textId="066F27D9" w:rsidR="00A80B1F" w:rsidRPr="00C75689" w:rsidRDefault="00921A7A" w:rsidP="005A65C1">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30</w:t>
            </w:r>
          </w:p>
        </w:tc>
        <w:tc>
          <w:tcPr>
            <w:tcW w:w="1792" w:type="dxa"/>
            <w:tcBorders>
              <w:bottom w:val="single" w:sz="4" w:space="0" w:color="auto"/>
            </w:tcBorders>
          </w:tcPr>
          <w:p w14:paraId="5B564FED" w14:textId="71586D92" w:rsidR="00A80B1F" w:rsidRPr="005A65C1" w:rsidRDefault="00921A7A" w:rsidP="005A65C1">
            <w:pPr>
              <w:rPr>
                <w:rFonts w:asciiTheme="minorHAnsi" w:eastAsiaTheme="minorHAnsi" w:hAnsiTheme="minorHAnsi" w:cstheme="minorBidi"/>
                <w:color w:val="244061" w:themeColor="accent1" w:themeShade="80"/>
                <w:lang w:val="en-US" w:eastAsia="en-US"/>
              </w:rPr>
            </w:pPr>
            <w:r>
              <w:rPr>
                <w:rFonts w:asciiTheme="minorHAnsi" w:eastAsiaTheme="minorHAnsi" w:hAnsiTheme="minorHAnsi" w:cstheme="minorBidi"/>
                <w:color w:val="244061" w:themeColor="accent1" w:themeShade="80"/>
                <w:lang w:val="en-US" w:eastAsia="en-US"/>
              </w:rPr>
              <w:t>30</w:t>
            </w:r>
          </w:p>
        </w:tc>
        <w:tc>
          <w:tcPr>
            <w:tcW w:w="1733" w:type="dxa"/>
            <w:tcBorders>
              <w:bottom w:val="single" w:sz="4" w:space="0" w:color="auto"/>
            </w:tcBorders>
            <w:shd w:val="clear" w:color="auto" w:fill="auto"/>
          </w:tcPr>
          <w:p w14:paraId="375837EC" w14:textId="46D55227" w:rsidR="00A80B1F" w:rsidRPr="00532113" w:rsidRDefault="00921A7A" w:rsidP="005A65C1">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80%</w:t>
            </w:r>
            <w:r w:rsidR="009838A9">
              <w:rPr>
                <w:rFonts w:asciiTheme="minorHAnsi" w:eastAsiaTheme="minorHAnsi" w:hAnsiTheme="minorHAnsi" w:cstheme="minorBidi"/>
                <w:color w:val="auto"/>
                <w:lang w:val="en-US" w:eastAsia="en-US"/>
              </w:rPr>
              <w:t xml:space="preserve"> of LGs supported by UNCDF </w:t>
            </w:r>
            <w:proofErr w:type="spellStart"/>
            <w:r w:rsidR="009838A9">
              <w:rPr>
                <w:rFonts w:asciiTheme="minorHAnsi" w:eastAsiaTheme="minorHAnsi" w:hAnsiTheme="minorHAnsi" w:cstheme="minorBidi"/>
                <w:color w:val="auto"/>
                <w:lang w:val="en-US" w:eastAsia="en-US"/>
              </w:rPr>
              <w:t>programme</w:t>
            </w:r>
            <w:proofErr w:type="spellEnd"/>
          </w:p>
        </w:tc>
      </w:tr>
      <w:tr w:rsidR="00A80B1F" w:rsidRPr="00C75689" w14:paraId="0A7DA13B" w14:textId="77777777" w:rsidTr="009838A9">
        <w:trPr>
          <w:trHeight w:val="455"/>
        </w:trPr>
        <w:tc>
          <w:tcPr>
            <w:tcW w:w="4185" w:type="dxa"/>
            <w:vMerge/>
            <w:tcBorders>
              <w:bottom w:val="single" w:sz="4" w:space="0" w:color="auto"/>
            </w:tcBorders>
          </w:tcPr>
          <w:p w14:paraId="4058F277" w14:textId="77777777" w:rsidR="00A80B1F" w:rsidRPr="00C75689" w:rsidRDefault="00A80B1F" w:rsidP="005A65C1">
            <w:pPr>
              <w:spacing w:after="200" w:line="276" w:lineRule="auto"/>
              <w:rPr>
                <w:rFonts w:asciiTheme="minorHAnsi" w:eastAsiaTheme="minorHAnsi" w:hAnsiTheme="minorHAnsi" w:cstheme="minorBidi"/>
                <w:b/>
                <w:color w:val="auto"/>
                <w:u w:val="single"/>
                <w:lang w:val="en-US" w:eastAsia="en-US"/>
              </w:rPr>
            </w:pPr>
          </w:p>
        </w:tc>
        <w:tc>
          <w:tcPr>
            <w:tcW w:w="5711" w:type="dxa"/>
            <w:tcBorders>
              <w:bottom w:val="single" w:sz="4" w:space="0" w:color="auto"/>
            </w:tcBorders>
            <w:shd w:val="clear" w:color="auto" w:fill="FFFFFF" w:themeFill="background1"/>
          </w:tcPr>
          <w:p w14:paraId="2F5A904E" w14:textId="2D2BD6A3" w:rsidR="00A80B1F" w:rsidRPr="009838A9" w:rsidRDefault="0096788E" w:rsidP="005A65C1">
            <w:pPr>
              <w:spacing w:after="200" w:line="276" w:lineRule="auto"/>
              <w:rPr>
                <w:rFonts w:asciiTheme="minorHAnsi" w:eastAsiaTheme="minorHAnsi" w:hAnsiTheme="minorHAnsi" w:cstheme="minorBidi"/>
                <w:b/>
                <w:i/>
                <w:color w:val="auto"/>
                <w:lang w:eastAsia="en-US"/>
              </w:rPr>
            </w:pPr>
            <w:r w:rsidRPr="009838A9">
              <w:rPr>
                <w:rFonts w:asciiTheme="minorHAnsi" w:eastAsiaTheme="minorHAnsi" w:hAnsiTheme="minorHAnsi" w:cstheme="minorBidi"/>
                <w:i/>
                <w:color w:val="auto"/>
                <w:lang w:eastAsia="en-US"/>
              </w:rPr>
              <w:t>PI-11 Orderliness and participation in the annual budget process</w:t>
            </w:r>
          </w:p>
        </w:tc>
        <w:tc>
          <w:tcPr>
            <w:tcW w:w="1675" w:type="dxa"/>
            <w:tcBorders>
              <w:top w:val="single" w:sz="4" w:space="0" w:color="auto"/>
              <w:bottom w:val="single" w:sz="4" w:space="0" w:color="auto"/>
            </w:tcBorders>
            <w:shd w:val="clear" w:color="auto" w:fill="FFFFFF" w:themeFill="background1"/>
          </w:tcPr>
          <w:p w14:paraId="405EC858" w14:textId="68D5D7A1" w:rsidR="00A80B1F" w:rsidRPr="00C75689" w:rsidRDefault="00921A7A" w:rsidP="005A65C1">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126</w:t>
            </w:r>
          </w:p>
        </w:tc>
        <w:tc>
          <w:tcPr>
            <w:tcW w:w="1792" w:type="dxa"/>
            <w:tcBorders>
              <w:top w:val="single" w:sz="4" w:space="0" w:color="auto"/>
              <w:bottom w:val="single" w:sz="4" w:space="0" w:color="auto"/>
            </w:tcBorders>
          </w:tcPr>
          <w:p w14:paraId="0AD28B6A" w14:textId="05D6079B" w:rsidR="00A80B1F" w:rsidRPr="005A65C1" w:rsidRDefault="00921A7A" w:rsidP="005A65C1">
            <w:pPr>
              <w:rPr>
                <w:rFonts w:asciiTheme="minorHAnsi" w:eastAsiaTheme="minorHAnsi" w:hAnsiTheme="minorHAnsi" w:cstheme="minorBidi"/>
                <w:color w:val="244061" w:themeColor="accent1" w:themeShade="80"/>
                <w:lang w:val="en-US" w:eastAsia="en-US"/>
              </w:rPr>
            </w:pPr>
            <w:r>
              <w:rPr>
                <w:rFonts w:asciiTheme="minorHAnsi" w:eastAsiaTheme="minorHAnsi" w:hAnsiTheme="minorHAnsi" w:cstheme="minorBidi"/>
                <w:color w:val="244061" w:themeColor="accent1" w:themeShade="80"/>
                <w:lang w:val="en-US" w:eastAsia="en-US"/>
              </w:rPr>
              <w:t>13 out of 126</w:t>
            </w:r>
          </w:p>
        </w:tc>
        <w:tc>
          <w:tcPr>
            <w:tcW w:w="1733" w:type="dxa"/>
            <w:tcBorders>
              <w:top w:val="single" w:sz="4" w:space="0" w:color="auto"/>
              <w:bottom w:val="single" w:sz="4" w:space="0" w:color="auto"/>
            </w:tcBorders>
            <w:shd w:val="clear" w:color="auto" w:fill="auto"/>
          </w:tcPr>
          <w:p w14:paraId="0F38A0CD" w14:textId="00BD8AC6" w:rsidR="00A80B1F" w:rsidRPr="00532113" w:rsidRDefault="00921A7A" w:rsidP="005A65C1">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80%</w:t>
            </w:r>
            <w:r w:rsidR="009838A9">
              <w:rPr>
                <w:rFonts w:asciiTheme="minorHAnsi" w:eastAsiaTheme="minorHAnsi" w:hAnsiTheme="minorHAnsi" w:cstheme="minorBidi"/>
                <w:color w:val="auto"/>
                <w:lang w:val="en-US" w:eastAsia="en-US"/>
              </w:rPr>
              <w:t xml:space="preserve"> of LGs supported by UNCDF </w:t>
            </w:r>
            <w:proofErr w:type="spellStart"/>
            <w:r w:rsidR="009838A9">
              <w:rPr>
                <w:rFonts w:asciiTheme="minorHAnsi" w:eastAsiaTheme="minorHAnsi" w:hAnsiTheme="minorHAnsi" w:cstheme="minorBidi"/>
                <w:color w:val="auto"/>
                <w:lang w:val="en-US" w:eastAsia="en-US"/>
              </w:rPr>
              <w:t>programme</w:t>
            </w:r>
            <w:proofErr w:type="spellEnd"/>
          </w:p>
        </w:tc>
      </w:tr>
      <w:tr w:rsidR="00921A7A" w:rsidRPr="00C75689" w14:paraId="78DB9DCA" w14:textId="77777777" w:rsidTr="009838A9">
        <w:trPr>
          <w:trHeight w:val="455"/>
        </w:trPr>
        <w:tc>
          <w:tcPr>
            <w:tcW w:w="4185" w:type="dxa"/>
            <w:shd w:val="clear" w:color="auto" w:fill="FFFFFF"/>
          </w:tcPr>
          <w:p w14:paraId="3323733D" w14:textId="77777777" w:rsidR="00921A7A" w:rsidRPr="00C75689" w:rsidRDefault="00921A7A" w:rsidP="005A65C1">
            <w:pPr>
              <w:rPr>
                <w:rFonts w:asciiTheme="minorHAnsi" w:eastAsiaTheme="minorHAnsi" w:hAnsiTheme="minorHAnsi" w:cstheme="minorBidi"/>
                <w:b/>
                <w:color w:val="auto"/>
                <w:u w:val="single"/>
                <w:lang w:val="en-US" w:eastAsia="en-US"/>
              </w:rPr>
            </w:pPr>
          </w:p>
        </w:tc>
        <w:tc>
          <w:tcPr>
            <w:tcW w:w="5711" w:type="dxa"/>
            <w:shd w:val="clear" w:color="auto" w:fill="FFFFFF"/>
          </w:tcPr>
          <w:p w14:paraId="7208C406" w14:textId="153E274C" w:rsidR="00921A7A" w:rsidRPr="00921A7A" w:rsidDel="0096788E" w:rsidRDefault="00921A7A" w:rsidP="005A65C1">
            <w:pPr>
              <w:rPr>
                <w:rFonts w:asciiTheme="minorHAnsi" w:eastAsiaTheme="minorHAnsi" w:hAnsiTheme="minorHAnsi" w:cstheme="minorBidi"/>
                <w:i/>
                <w:color w:val="auto"/>
                <w:lang w:eastAsia="en-US"/>
              </w:rPr>
            </w:pPr>
            <w:r>
              <w:rPr>
                <w:rFonts w:asciiTheme="minorHAnsi" w:eastAsiaTheme="minorHAnsi" w:hAnsiTheme="minorHAnsi" w:cstheme="minorBidi"/>
                <w:i/>
                <w:color w:val="auto"/>
                <w:lang w:eastAsia="en-US"/>
              </w:rPr>
              <w:t>1.2.9 Number of revenue generating projects with multi stakeholder boards</w:t>
            </w:r>
          </w:p>
        </w:tc>
        <w:tc>
          <w:tcPr>
            <w:tcW w:w="1675" w:type="dxa"/>
            <w:tcBorders>
              <w:top w:val="single" w:sz="4" w:space="0" w:color="auto"/>
            </w:tcBorders>
            <w:shd w:val="clear" w:color="auto" w:fill="FFFFFF"/>
          </w:tcPr>
          <w:p w14:paraId="5555045A" w14:textId="0C763D85" w:rsidR="00921A7A" w:rsidRDefault="00921A7A" w:rsidP="005A65C1">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7</w:t>
            </w:r>
          </w:p>
        </w:tc>
        <w:tc>
          <w:tcPr>
            <w:tcW w:w="1792" w:type="dxa"/>
            <w:tcBorders>
              <w:top w:val="single" w:sz="4" w:space="0" w:color="auto"/>
            </w:tcBorders>
            <w:shd w:val="clear" w:color="auto" w:fill="FFFFFF"/>
          </w:tcPr>
          <w:p w14:paraId="3994D95F" w14:textId="2F22BF8E" w:rsidR="00921A7A" w:rsidRPr="005A65C1" w:rsidDel="00921A7A" w:rsidRDefault="00921A7A" w:rsidP="005A65C1">
            <w:pPr>
              <w:rPr>
                <w:rFonts w:asciiTheme="minorHAnsi" w:eastAsiaTheme="minorHAnsi" w:hAnsiTheme="minorHAnsi" w:cstheme="minorBidi"/>
                <w:color w:val="244061" w:themeColor="accent1" w:themeShade="80"/>
                <w:lang w:val="en-US" w:eastAsia="en-US"/>
              </w:rPr>
            </w:pPr>
            <w:r>
              <w:rPr>
                <w:rFonts w:asciiTheme="minorHAnsi" w:eastAsiaTheme="minorHAnsi" w:hAnsiTheme="minorHAnsi" w:cstheme="minorBidi"/>
                <w:color w:val="244061" w:themeColor="accent1" w:themeShade="80"/>
                <w:lang w:val="en-US" w:eastAsia="en-US"/>
              </w:rPr>
              <w:t>7</w:t>
            </w:r>
          </w:p>
        </w:tc>
        <w:tc>
          <w:tcPr>
            <w:tcW w:w="1733" w:type="dxa"/>
            <w:tcBorders>
              <w:top w:val="single" w:sz="4" w:space="0" w:color="auto"/>
            </w:tcBorders>
            <w:shd w:val="clear" w:color="auto" w:fill="FFFFFF"/>
          </w:tcPr>
          <w:p w14:paraId="1E63E1D6" w14:textId="631B72D1" w:rsidR="00921A7A" w:rsidDel="00921A7A" w:rsidRDefault="00921A7A" w:rsidP="005A65C1">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Over 60%</w:t>
            </w:r>
          </w:p>
        </w:tc>
      </w:tr>
    </w:tbl>
    <w:p w14:paraId="109F1639" w14:textId="77777777" w:rsidR="00C75689" w:rsidRPr="00C75689" w:rsidRDefault="00C75689" w:rsidP="00C75689">
      <w:pPr>
        <w:rPr>
          <w:rFonts w:asciiTheme="minorHAnsi" w:eastAsiaTheme="minorHAnsi" w:hAnsiTheme="minorHAnsi" w:cstheme="minorBidi"/>
          <w:b/>
          <w:i/>
          <w:color w:val="auto"/>
          <w:lang w:val="en-US" w:eastAsia="en-US"/>
        </w:rPr>
      </w:pPr>
    </w:p>
    <w:p w14:paraId="42244E9E" w14:textId="77777777" w:rsidR="00C75689" w:rsidRPr="00C75689" w:rsidRDefault="00C75689" w:rsidP="00C75689">
      <w:pPr>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br w:type="page"/>
      </w:r>
    </w:p>
    <w:p w14:paraId="05E8C8F0" w14:textId="77777777" w:rsidR="00C75689" w:rsidRPr="00C75689" w:rsidRDefault="00C75689" w:rsidP="00C75689">
      <w:pPr>
        <w:rPr>
          <w:rFonts w:asciiTheme="minorHAnsi" w:eastAsiaTheme="minorHAnsi" w:hAnsiTheme="minorHAnsi" w:cstheme="minorBidi"/>
          <w:color w:val="auto"/>
          <w:lang w:val="en-US" w:eastAsia="en-US"/>
        </w:rPr>
      </w:pPr>
    </w:p>
    <w:tbl>
      <w:tblPr>
        <w:tblStyle w:val="TableGrid"/>
        <w:tblpPr w:leftFromText="180" w:rightFromText="180" w:vertAnchor="text" w:horzAnchor="margin" w:tblpX="-342" w:tblpY="245"/>
        <w:tblW w:w="15408" w:type="dxa"/>
        <w:tblLayout w:type="fixed"/>
        <w:tblLook w:val="04A0" w:firstRow="1" w:lastRow="0" w:firstColumn="1" w:lastColumn="0" w:noHBand="0" w:noVBand="1"/>
      </w:tblPr>
      <w:tblGrid>
        <w:gridCol w:w="2848"/>
        <w:gridCol w:w="7250"/>
        <w:gridCol w:w="1800"/>
        <w:gridCol w:w="1620"/>
        <w:gridCol w:w="1890"/>
      </w:tblGrid>
      <w:tr w:rsidR="00A4270A" w:rsidRPr="00C75689" w14:paraId="1E507B81" w14:textId="77777777" w:rsidTr="007D7A2E">
        <w:trPr>
          <w:trHeight w:val="594"/>
        </w:trPr>
        <w:tc>
          <w:tcPr>
            <w:tcW w:w="13518" w:type="dxa"/>
            <w:gridSpan w:val="4"/>
            <w:shd w:val="clear" w:color="auto" w:fill="0070C0"/>
          </w:tcPr>
          <w:p w14:paraId="30CD9A33" w14:textId="6FCBF1E6" w:rsidR="00A4270A" w:rsidRDefault="00A4270A" w:rsidP="00C75689">
            <w:pPr>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Outcome 2:  Effective financing mechanisms  established to increase resilience to economic and environmental shocks</w:t>
            </w:r>
          </w:p>
        </w:tc>
        <w:tc>
          <w:tcPr>
            <w:tcW w:w="1890" w:type="dxa"/>
            <w:shd w:val="clear" w:color="auto" w:fill="A6A6A6" w:themeFill="background1" w:themeFillShade="A6"/>
          </w:tcPr>
          <w:p w14:paraId="69F93265" w14:textId="3CD775C3" w:rsidR="00A4270A" w:rsidRDefault="00A4270A" w:rsidP="00C75689">
            <w:pPr>
              <w:spacing w:after="200" w:line="276" w:lineRule="auto"/>
              <w:rPr>
                <w:rFonts w:asciiTheme="minorHAnsi" w:eastAsiaTheme="minorHAnsi" w:hAnsiTheme="minorHAnsi" w:cstheme="minorBidi"/>
                <w:b/>
                <w:color w:val="auto"/>
                <w:lang w:val="en-US" w:eastAsia="en-US"/>
              </w:rPr>
            </w:pPr>
            <w:r>
              <w:rPr>
                <w:rFonts w:asciiTheme="minorHAnsi" w:eastAsiaTheme="minorHAnsi" w:hAnsiTheme="minorHAnsi" w:cstheme="minorBidi"/>
                <w:b/>
                <w:color w:val="auto"/>
                <w:lang w:val="en-US" w:eastAsia="en-US"/>
              </w:rPr>
              <w:t>Indicative r</w:t>
            </w:r>
            <w:r w:rsidRPr="00C75689">
              <w:rPr>
                <w:rFonts w:asciiTheme="minorHAnsi" w:eastAsiaTheme="minorHAnsi" w:hAnsiTheme="minorHAnsi" w:cstheme="minorBidi"/>
                <w:b/>
                <w:color w:val="auto"/>
                <w:lang w:val="en-US" w:eastAsia="en-US"/>
              </w:rPr>
              <w:t>esources:</w:t>
            </w:r>
          </w:p>
          <w:p w14:paraId="180F4ED8"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Pr>
                <w:rFonts w:asciiTheme="minorHAnsi" w:eastAsiaTheme="minorHAnsi" w:hAnsiTheme="minorHAnsi" w:cstheme="minorBidi"/>
                <w:b/>
                <w:color w:val="auto"/>
                <w:lang w:val="en-US" w:eastAsia="en-US"/>
              </w:rPr>
              <w:t>$117 million</w:t>
            </w:r>
            <w:r w:rsidRPr="00C75689">
              <w:rPr>
                <w:rFonts w:asciiTheme="minorHAnsi" w:eastAsiaTheme="minorHAnsi" w:hAnsiTheme="minorHAnsi" w:cstheme="minorBidi"/>
                <w:b/>
                <w:color w:val="auto"/>
                <w:lang w:val="en-US" w:eastAsia="en-US"/>
              </w:rPr>
              <w:t xml:space="preserve"> </w:t>
            </w:r>
          </w:p>
        </w:tc>
      </w:tr>
      <w:tr w:rsidR="00A4270A" w:rsidRPr="00C75689" w14:paraId="23071C94" w14:textId="77777777" w:rsidTr="00A4270A">
        <w:trPr>
          <w:trHeight w:val="594"/>
        </w:trPr>
        <w:tc>
          <w:tcPr>
            <w:tcW w:w="10098" w:type="dxa"/>
            <w:gridSpan w:val="2"/>
            <w:shd w:val="clear" w:color="auto" w:fill="D9D9D9" w:themeFill="background1" w:themeFillShade="D9"/>
          </w:tcPr>
          <w:p w14:paraId="109EBED6"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Outcome Indicators </w:t>
            </w:r>
            <w:r w:rsidRPr="00C75689">
              <w:rPr>
                <w:rFonts w:asciiTheme="minorHAnsi" w:eastAsiaTheme="minorHAnsi" w:hAnsiTheme="minorHAnsi" w:cstheme="minorBidi"/>
                <w:color w:val="auto"/>
                <w:lang w:val="en-US" w:eastAsia="en-US"/>
              </w:rPr>
              <w:t xml:space="preserve"> </w:t>
            </w:r>
          </w:p>
        </w:tc>
        <w:tc>
          <w:tcPr>
            <w:tcW w:w="1800" w:type="dxa"/>
            <w:shd w:val="clear" w:color="auto" w:fill="D9D9D9" w:themeFill="background1" w:themeFillShade="D9"/>
          </w:tcPr>
          <w:p w14:paraId="350BC959"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Baselines </w:t>
            </w:r>
            <w:r w:rsidRPr="00C75689">
              <w:rPr>
                <w:rFonts w:asciiTheme="minorHAnsi" w:eastAsiaTheme="minorHAnsi" w:hAnsiTheme="minorHAnsi" w:cstheme="minorBidi"/>
                <w:i/>
                <w:color w:val="auto"/>
                <w:lang w:val="en-US" w:eastAsia="en-US"/>
              </w:rPr>
              <w:t>(2013, unless noted)</w:t>
            </w:r>
          </w:p>
        </w:tc>
        <w:tc>
          <w:tcPr>
            <w:tcW w:w="1620" w:type="dxa"/>
            <w:shd w:val="clear" w:color="auto" w:fill="D9D9D9" w:themeFill="background1" w:themeFillShade="D9"/>
          </w:tcPr>
          <w:p w14:paraId="7C04F2FA" w14:textId="7E0BFCD0" w:rsidR="00A4270A" w:rsidRPr="00ED4D99" w:rsidRDefault="00A4270A" w:rsidP="00C75689">
            <w:pPr>
              <w:rPr>
                <w:rFonts w:asciiTheme="minorHAnsi" w:eastAsiaTheme="minorHAnsi" w:hAnsiTheme="minorHAnsi" w:cstheme="minorBidi"/>
                <w:b/>
                <w:color w:val="244061" w:themeColor="accent1" w:themeShade="80"/>
                <w:lang w:val="en-US" w:eastAsia="en-US"/>
              </w:rPr>
            </w:pPr>
            <w:r w:rsidRPr="00ED4D99">
              <w:rPr>
                <w:rFonts w:asciiTheme="minorHAnsi" w:eastAsiaTheme="minorHAnsi" w:hAnsiTheme="minorHAnsi" w:cstheme="minorBidi"/>
                <w:b/>
                <w:color w:val="244061" w:themeColor="accent1" w:themeShade="80"/>
                <w:lang w:val="en-US" w:eastAsia="en-US"/>
              </w:rPr>
              <w:t>Results for 2014</w:t>
            </w:r>
          </w:p>
        </w:tc>
        <w:tc>
          <w:tcPr>
            <w:tcW w:w="1890" w:type="dxa"/>
            <w:shd w:val="clear" w:color="auto" w:fill="D9D9D9" w:themeFill="background1" w:themeFillShade="D9"/>
          </w:tcPr>
          <w:p w14:paraId="20381840" w14:textId="5AA160A1"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Targets </w:t>
            </w:r>
            <w:r w:rsidRPr="00C75689">
              <w:rPr>
                <w:rFonts w:asciiTheme="minorHAnsi" w:eastAsiaTheme="minorHAnsi" w:hAnsiTheme="minorHAnsi" w:cstheme="minorBidi"/>
                <w:i/>
                <w:color w:val="auto"/>
                <w:lang w:val="en-US" w:eastAsia="en-US"/>
              </w:rPr>
              <w:t>(2017</w:t>
            </w:r>
            <w:r>
              <w:rPr>
                <w:rFonts w:asciiTheme="minorHAnsi" w:eastAsiaTheme="minorHAnsi" w:hAnsiTheme="minorHAnsi" w:cstheme="minorBidi"/>
                <w:i/>
                <w:color w:val="auto"/>
                <w:lang w:val="en-US" w:eastAsia="en-US"/>
              </w:rPr>
              <w:t>, unless noted</w:t>
            </w:r>
            <w:r w:rsidRPr="00C75689">
              <w:rPr>
                <w:rFonts w:asciiTheme="minorHAnsi" w:eastAsiaTheme="minorHAnsi" w:hAnsiTheme="minorHAnsi" w:cstheme="minorBidi"/>
                <w:i/>
                <w:color w:val="auto"/>
                <w:lang w:val="en-US" w:eastAsia="en-US"/>
              </w:rPr>
              <w:t>)</w:t>
            </w:r>
          </w:p>
        </w:tc>
      </w:tr>
      <w:tr w:rsidR="00A4270A" w:rsidRPr="00C75689" w14:paraId="327AD723" w14:textId="77777777" w:rsidTr="00A4270A">
        <w:trPr>
          <w:trHeight w:val="117"/>
        </w:trPr>
        <w:tc>
          <w:tcPr>
            <w:tcW w:w="10098" w:type="dxa"/>
            <w:gridSpan w:val="2"/>
            <w:shd w:val="clear" w:color="auto" w:fill="FFFFFF" w:themeFill="background1"/>
          </w:tcPr>
          <w:p w14:paraId="62E01E9F" w14:textId="77777777" w:rsidR="00A4270A" w:rsidRPr="00C75689" w:rsidRDefault="00A4270A" w:rsidP="00C75689">
            <w:pPr>
              <w:spacing w:after="200" w:line="276" w:lineRule="auto"/>
              <w:rPr>
                <w:rFonts w:asciiTheme="minorHAnsi" w:eastAsiaTheme="minorHAnsi" w:hAnsiTheme="minorHAnsi" w:cstheme="minorBidi"/>
                <w:b/>
                <w:color w:val="auto"/>
                <w:lang w:eastAsia="en-US"/>
              </w:rPr>
            </w:pPr>
            <w:r w:rsidRPr="00C75689">
              <w:rPr>
                <w:rFonts w:asciiTheme="minorHAnsi" w:eastAsiaTheme="minorHAnsi" w:hAnsiTheme="minorHAnsi" w:cstheme="minorBidi"/>
                <w:b/>
                <w:color w:val="auto"/>
                <w:lang w:eastAsia="en-US"/>
              </w:rPr>
              <w:t>Inclusive Finance Programme Area</w:t>
            </w:r>
          </w:p>
          <w:p w14:paraId="4B03B731" w14:textId="77777777" w:rsidR="00A4270A" w:rsidRPr="00C75689" w:rsidRDefault="00A4270A" w:rsidP="00C75689">
            <w:pPr>
              <w:spacing w:after="200" w:line="276" w:lineRule="auto"/>
              <w:rPr>
                <w:rFonts w:asciiTheme="minorHAnsi" w:eastAsiaTheme="minorHAnsi" w:hAnsiTheme="minorHAnsi" w:cstheme="minorBidi"/>
                <w:color w:val="auto"/>
                <w:lang w:eastAsia="en-US"/>
              </w:rPr>
            </w:pPr>
            <w:proofErr w:type="gramStart"/>
            <w:r w:rsidRPr="00C75689">
              <w:rPr>
                <w:rFonts w:asciiTheme="minorHAnsi" w:eastAsiaTheme="minorHAnsi" w:hAnsiTheme="minorHAnsi" w:cstheme="minorBidi"/>
                <w:color w:val="auto"/>
                <w:lang w:eastAsia="en-US"/>
              </w:rPr>
              <w:t>2.a</w:t>
            </w:r>
            <w:proofErr w:type="gramEnd"/>
            <w:r w:rsidRPr="00C75689">
              <w:rPr>
                <w:rFonts w:asciiTheme="minorHAnsi" w:eastAsiaTheme="minorHAnsi" w:hAnsiTheme="minorHAnsi" w:cstheme="minorBidi"/>
                <w:color w:val="auto"/>
                <w:lang w:eastAsia="en-US"/>
              </w:rPr>
              <w:t>.  Number of new products to improve client security, resilience against shocks, and extend the frontiers of inclusive finance</w:t>
            </w:r>
          </w:p>
        </w:tc>
        <w:tc>
          <w:tcPr>
            <w:tcW w:w="1800" w:type="dxa"/>
            <w:shd w:val="clear" w:color="auto" w:fill="FFFFFF" w:themeFill="background1"/>
          </w:tcPr>
          <w:p w14:paraId="6897AF2F"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p>
          <w:p w14:paraId="1E289CDB"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45</w:t>
            </w:r>
          </w:p>
        </w:tc>
        <w:tc>
          <w:tcPr>
            <w:tcW w:w="1620" w:type="dxa"/>
            <w:shd w:val="clear" w:color="auto" w:fill="FFFFFF" w:themeFill="background1"/>
          </w:tcPr>
          <w:p w14:paraId="09604544" w14:textId="77777777" w:rsidR="007D7A2E" w:rsidRPr="00ED4D99" w:rsidRDefault="007D7A2E" w:rsidP="00C75689">
            <w:pPr>
              <w:rPr>
                <w:rFonts w:asciiTheme="minorHAnsi" w:eastAsiaTheme="minorHAnsi" w:hAnsiTheme="minorHAnsi" w:cstheme="minorBidi"/>
                <w:color w:val="244061" w:themeColor="accent1" w:themeShade="80"/>
                <w:lang w:val="en-US" w:eastAsia="en-US"/>
              </w:rPr>
            </w:pPr>
          </w:p>
          <w:p w14:paraId="4D4DF901" w14:textId="77777777" w:rsidR="007D7A2E" w:rsidRPr="00ED4D99" w:rsidRDefault="007D7A2E" w:rsidP="00C75689">
            <w:pPr>
              <w:rPr>
                <w:rFonts w:asciiTheme="minorHAnsi" w:eastAsiaTheme="minorHAnsi" w:hAnsiTheme="minorHAnsi" w:cstheme="minorBidi"/>
                <w:color w:val="244061" w:themeColor="accent1" w:themeShade="80"/>
                <w:lang w:val="en-US" w:eastAsia="en-US"/>
              </w:rPr>
            </w:pPr>
          </w:p>
          <w:p w14:paraId="0BFE12EF" w14:textId="01B49FBA" w:rsidR="00A4270A" w:rsidRPr="00ED4D99" w:rsidRDefault="007D7A2E" w:rsidP="00C75689">
            <w:pPr>
              <w:rPr>
                <w:rFonts w:asciiTheme="minorHAnsi" w:eastAsiaTheme="minorHAnsi" w:hAnsiTheme="minorHAnsi" w:cstheme="minorBidi"/>
                <w:color w:val="244061" w:themeColor="accent1" w:themeShade="80"/>
                <w:lang w:val="en-US" w:eastAsia="en-US"/>
              </w:rPr>
            </w:pPr>
            <w:r w:rsidRPr="00ED4D99">
              <w:rPr>
                <w:rFonts w:asciiTheme="minorHAnsi" w:eastAsiaTheme="minorHAnsi" w:hAnsiTheme="minorHAnsi" w:cstheme="minorBidi"/>
                <w:color w:val="244061" w:themeColor="accent1" w:themeShade="80"/>
                <w:lang w:val="en-US" w:eastAsia="en-US"/>
              </w:rPr>
              <w:t>48</w:t>
            </w:r>
          </w:p>
        </w:tc>
        <w:tc>
          <w:tcPr>
            <w:tcW w:w="1890" w:type="dxa"/>
            <w:shd w:val="clear" w:color="auto" w:fill="FFFFFF" w:themeFill="background1"/>
          </w:tcPr>
          <w:p w14:paraId="17163DED" w14:textId="64EA4FA3" w:rsidR="00A4270A" w:rsidRPr="00C75689" w:rsidRDefault="00A4270A" w:rsidP="00C75689">
            <w:pPr>
              <w:spacing w:after="200" w:line="276" w:lineRule="auto"/>
              <w:rPr>
                <w:rFonts w:asciiTheme="minorHAnsi" w:eastAsiaTheme="minorHAnsi" w:hAnsiTheme="minorHAnsi" w:cstheme="minorBidi"/>
                <w:color w:val="auto"/>
                <w:lang w:val="en-US" w:eastAsia="en-US"/>
              </w:rPr>
            </w:pPr>
          </w:p>
          <w:p w14:paraId="4B5261B2"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155 new products (cumulative 2014 – 2017)</w:t>
            </w:r>
          </w:p>
        </w:tc>
      </w:tr>
      <w:tr w:rsidR="00A4270A" w:rsidRPr="00C75689" w14:paraId="4C733CB1" w14:textId="77777777" w:rsidTr="00A4270A">
        <w:trPr>
          <w:trHeight w:val="117"/>
        </w:trPr>
        <w:tc>
          <w:tcPr>
            <w:tcW w:w="10098" w:type="dxa"/>
            <w:gridSpan w:val="2"/>
            <w:shd w:val="clear" w:color="auto" w:fill="FFFFFF" w:themeFill="background1"/>
          </w:tcPr>
          <w:p w14:paraId="2D9C1BA7" w14:textId="77777777" w:rsidR="00A4270A" w:rsidRPr="00C75689" w:rsidRDefault="00A4270A" w:rsidP="00C75689">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2.b. Number of clients served by these new products (see Outputs 2.1.1 – 2.1.4 for details)</w:t>
            </w:r>
          </w:p>
        </w:tc>
        <w:tc>
          <w:tcPr>
            <w:tcW w:w="1800" w:type="dxa"/>
            <w:shd w:val="clear" w:color="auto" w:fill="FFFFFF" w:themeFill="background1"/>
          </w:tcPr>
          <w:p w14:paraId="58DDA983"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0 (for new products)</w:t>
            </w:r>
          </w:p>
        </w:tc>
        <w:tc>
          <w:tcPr>
            <w:tcW w:w="1620" w:type="dxa"/>
            <w:shd w:val="clear" w:color="auto" w:fill="FFFFFF" w:themeFill="background1"/>
          </w:tcPr>
          <w:p w14:paraId="1B9D8B92" w14:textId="24C6C4C5" w:rsidR="00A4270A" w:rsidRPr="00ED4D99" w:rsidRDefault="007D7A2E" w:rsidP="00C75689">
            <w:pPr>
              <w:rPr>
                <w:rFonts w:asciiTheme="minorHAnsi" w:eastAsiaTheme="minorHAnsi" w:hAnsiTheme="minorHAnsi" w:cstheme="minorBidi"/>
                <w:color w:val="244061" w:themeColor="accent1" w:themeShade="80"/>
                <w:lang w:val="en-US" w:eastAsia="en-US"/>
              </w:rPr>
            </w:pPr>
            <w:r w:rsidRPr="00ED4D99">
              <w:rPr>
                <w:rFonts w:asciiTheme="minorHAnsi" w:eastAsiaTheme="minorHAnsi" w:hAnsiTheme="minorHAnsi" w:cstheme="minorBidi"/>
                <w:color w:val="244061" w:themeColor="accent1" w:themeShade="80"/>
                <w:lang w:val="en-US" w:eastAsia="en-US"/>
              </w:rPr>
              <w:t>1,031,167 served by new products out of total 4,982,232 clients reached</w:t>
            </w:r>
          </w:p>
        </w:tc>
        <w:tc>
          <w:tcPr>
            <w:tcW w:w="1890" w:type="dxa"/>
            <w:shd w:val="clear" w:color="auto" w:fill="FFFFFF" w:themeFill="background1"/>
          </w:tcPr>
          <w:p w14:paraId="4ABCEA3F" w14:textId="2D2911D3"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6,400,000</w:t>
            </w:r>
          </w:p>
        </w:tc>
      </w:tr>
      <w:tr w:rsidR="00A4270A" w:rsidRPr="00C75689" w14:paraId="19A9111D" w14:textId="77777777" w:rsidTr="00A4270A">
        <w:trPr>
          <w:trHeight w:val="977"/>
        </w:trPr>
        <w:tc>
          <w:tcPr>
            <w:tcW w:w="10098" w:type="dxa"/>
            <w:gridSpan w:val="2"/>
            <w:shd w:val="clear" w:color="auto" w:fill="FFFFFF" w:themeFill="background1"/>
          </w:tcPr>
          <w:p w14:paraId="7BEC28EA"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Local Development Financing </w:t>
            </w:r>
            <w:proofErr w:type="spellStart"/>
            <w:r w:rsidRPr="00C75689">
              <w:rPr>
                <w:rFonts w:asciiTheme="minorHAnsi" w:eastAsiaTheme="minorHAnsi" w:hAnsiTheme="minorHAnsi" w:cstheme="minorBidi"/>
                <w:b/>
                <w:color w:val="auto"/>
                <w:lang w:val="en-US" w:eastAsia="en-US"/>
              </w:rPr>
              <w:t>Programme</w:t>
            </w:r>
            <w:proofErr w:type="spellEnd"/>
            <w:r w:rsidRPr="00C75689">
              <w:rPr>
                <w:rFonts w:asciiTheme="minorHAnsi" w:eastAsiaTheme="minorHAnsi" w:hAnsiTheme="minorHAnsi" w:cstheme="minorBidi"/>
                <w:b/>
                <w:color w:val="auto"/>
                <w:lang w:val="en-US" w:eastAsia="en-US"/>
              </w:rPr>
              <w:t xml:space="preserve"> Area</w:t>
            </w:r>
          </w:p>
          <w:p w14:paraId="2DEA9850" w14:textId="77777777" w:rsidR="00A4270A" w:rsidRPr="00C75689" w:rsidRDefault="00A4270A" w:rsidP="00C75689">
            <w:pPr>
              <w:spacing w:after="200" w:line="276" w:lineRule="auto"/>
              <w:rPr>
                <w:rFonts w:asciiTheme="minorHAnsi" w:eastAsiaTheme="minorHAnsi" w:hAnsiTheme="minorHAnsi" w:cstheme="minorBidi"/>
                <w:color w:val="auto"/>
                <w:lang w:eastAsia="en-US"/>
              </w:rPr>
            </w:pPr>
            <w:proofErr w:type="gramStart"/>
            <w:r w:rsidRPr="00C75689">
              <w:rPr>
                <w:rFonts w:asciiTheme="minorHAnsi" w:eastAsiaTheme="minorHAnsi" w:hAnsiTheme="minorHAnsi" w:cstheme="minorBidi"/>
                <w:color w:val="auto"/>
                <w:lang w:eastAsia="en-US"/>
              </w:rPr>
              <w:t>2.c</w:t>
            </w:r>
            <w:proofErr w:type="gramEnd"/>
            <w:r w:rsidRPr="00C75689">
              <w:rPr>
                <w:rFonts w:asciiTheme="minorHAnsi" w:eastAsiaTheme="minorHAnsi" w:hAnsiTheme="minorHAnsi" w:cstheme="minorBidi"/>
                <w:color w:val="auto"/>
                <w:lang w:eastAsia="en-US"/>
              </w:rPr>
              <w:t>.  Number of public and private financing systems (designed and piloted) for local infrastructure and services that improves resilience of local governments and their populations to shocks (increasing resilience of populations, environment, built environment, productive systems)</w:t>
            </w:r>
            <w:r>
              <w:rPr>
                <w:rStyle w:val="FootnoteReference"/>
                <w:rFonts w:asciiTheme="minorHAnsi" w:eastAsiaTheme="minorHAnsi" w:hAnsiTheme="minorHAnsi" w:cstheme="minorBidi"/>
                <w:color w:val="auto"/>
                <w:lang w:eastAsia="en-US"/>
              </w:rPr>
              <w:footnoteReference w:id="21"/>
            </w:r>
          </w:p>
        </w:tc>
        <w:tc>
          <w:tcPr>
            <w:tcW w:w="1800" w:type="dxa"/>
            <w:shd w:val="clear" w:color="auto" w:fill="FFFFFF" w:themeFill="background1"/>
          </w:tcPr>
          <w:p w14:paraId="1BE1FFEB" w14:textId="77777777" w:rsidR="00A4270A" w:rsidRPr="00C75689" w:rsidRDefault="00A4270A" w:rsidP="00BC6C36">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0 (b</w:t>
            </w:r>
            <w:r w:rsidRPr="00C75689">
              <w:rPr>
                <w:rFonts w:asciiTheme="minorHAnsi" w:eastAsiaTheme="minorHAnsi" w:hAnsiTheme="minorHAnsi" w:cstheme="minorBidi"/>
                <w:color w:val="auto"/>
                <w:lang w:val="en-US" w:eastAsia="en-US"/>
              </w:rPr>
              <w:t>aseline is</w:t>
            </w:r>
            <w:r>
              <w:rPr>
                <w:rFonts w:asciiTheme="minorHAnsi" w:eastAsiaTheme="minorHAnsi" w:hAnsiTheme="minorHAnsi" w:cstheme="minorBidi"/>
                <w:color w:val="auto"/>
                <w:lang w:val="en-US" w:eastAsia="en-US"/>
              </w:rPr>
              <w:t xml:space="preserve"> zero as the measure starts being counted at the beginning of 2014 under </w:t>
            </w:r>
            <w:r w:rsidRPr="00C75689">
              <w:rPr>
                <w:rFonts w:asciiTheme="minorHAnsi" w:eastAsiaTheme="minorHAnsi" w:hAnsiTheme="minorHAnsi" w:cstheme="minorBidi"/>
                <w:color w:val="auto"/>
                <w:lang w:val="en-US" w:eastAsia="en-US"/>
              </w:rPr>
              <w:t>the</w:t>
            </w:r>
            <w:r>
              <w:rPr>
                <w:rFonts w:asciiTheme="minorHAnsi" w:eastAsiaTheme="minorHAnsi" w:hAnsiTheme="minorHAnsi" w:cstheme="minorBidi"/>
                <w:color w:val="auto"/>
                <w:lang w:val="en-US" w:eastAsia="en-US"/>
              </w:rPr>
              <w:t xml:space="preserve"> new</w:t>
            </w:r>
            <w:r w:rsidRPr="00C75689">
              <w:rPr>
                <w:rFonts w:asciiTheme="minorHAnsi" w:eastAsiaTheme="minorHAnsi" w:hAnsiTheme="minorHAnsi" w:cstheme="minorBidi"/>
                <w:color w:val="auto"/>
                <w:lang w:val="en-US" w:eastAsia="en-US"/>
              </w:rPr>
              <w:t xml:space="preserve"> Strategic </w:t>
            </w:r>
            <w:r w:rsidRPr="00C75689">
              <w:rPr>
                <w:rFonts w:asciiTheme="minorHAnsi" w:eastAsiaTheme="minorHAnsi" w:hAnsiTheme="minorHAnsi" w:cstheme="minorBidi"/>
                <w:color w:val="auto"/>
                <w:lang w:val="en-US" w:eastAsia="en-US"/>
              </w:rPr>
              <w:lastRenderedPageBreak/>
              <w:t>Framework</w:t>
            </w:r>
            <w:r>
              <w:rPr>
                <w:rFonts w:asciiTheme="minorHAnsi" w:eastAsiaTheme="minorHAnsi" w:hAnsiTheme="minorHAnsi" w:cstheme="minorBidi"/>
                <w:color w:val="auto"/>
                <w:lang w:val="en-US" w:eastAsia="en-US"/>
              </w:rPr>
              <w:t>)</w:t>
            </w:r>
            <w:r w:rsidRPr="00C75689">
              <w:rPr>
                <w:rFonts w:asciiTheme="minorHAnsi" w:eastAsiaTheme="minorHAnsi" w:hAnsiTheme="minorHAnsi" w:cstheme="minorBidi"/>
                <w:color w:val="auto"/>
                <w:lang w:val="en-US" w:eastAsia="en-US"/>
              </w:rPr>
              <w:t xml:space="preserve"> </w:t>
            </w:r>
          </w:p>
        </w:tc>
        <w:tc>
          <w:tcPr>
            <w:tcW w:w="1620" w:type="dxa"/>
            <w:shd w:val="clear" w:color="auto" w:fill="FFFFFF" w:themeFill="background1"/>
          </w:tcPr>
          <w:p w14:paraId="4BA064A2" w14:textId="22D5B9F6" w:rsidR="00A4270A" w:rsidRDefault="002C2EF1" w:rsidP="004653D6">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lastRenderedPageBreak/>
              <w:t>3 systems being piloted for Climate Change, Food Security and Cross Border local development</w:t>
            </w:r>
          </w:p>
        </w:tc>
        <w:tc>
          <w:tcPr>
            <w:tcW w:w="1890" w:type="dxa"/>
            <w:shd w:val="clear" w:color="auto" w:fill="FFFFFF" w:themeFill="background1"/>
          </w:tcPr>
          <w:p w14:paraId="48239F74" w14:textId="06001132" w:rsidR="00A4270A" w:rsidRPr="00C75689" w:rsidRDefault="00A4270A" w:rsidP="004653D6">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4</w:t>
            </w:r>
            <w:r w:rsidRPr="00C75689">
              <w:rPr>
                <w:rFonts w:asciiTheme="minorHAnsi" w:eastAsiaTheme="minorHAnsi" w:hAnsiTheme="minorHAnsi" w:cstheme="minorBidi"/>
                <w:color w:val="auto"/>
                <w:lang w:val="en-US" w:eastAsia="en-US"/>
              </w:rPr>
              <w:t xml:space="preserve"> global facilities/systems in place for LDC financing of climate resilience, food security and two other issues (to be decided) </w:t>
            </w:r>
            <w:r w:rsidRPr="00C75689">
              <w:rPr>
                <w:rFonts w:asciiTheme="minorHAnsi" w:eastAsiaTheme="minorHAnsi" w:hAnsiTheme="minorHAnsi" w:cstheme="minorBidi"/>
                <w:color w:val="auto"/>
                <w:lang w:val="en-US" w:eastAsia="en-US"/>
              </w:rPr>
              <w:lastRenderedPageBreak/>
              <w:t>through local governments and local institutions</w:t>
            </w:r>
            <w:r>
              <w:rPr>
                <w:rFonts w:asciiTheme="minorHAnsi" w:eastAsiaTheme="minorHAnsi" w:hAnsiTheme="minorHAnsi" w:cstheme="minorBidi"/>
                <w:color w:val="auto"/>
                <w:lang w:val="en-US" w:eastAsia="en-US"/>
              </w:rPr>
              <w:t xml:space="preserve"> (cumulative total 2014 - 2017)</w:t>
            </w:r>
          </w:p>
        </w:tc>
      </w:tr>
      <w:tr w:rsidR="00A4270A" w:rsidRPr="00C75689" w14:paraId="3ACF0DEA" w14:textId="77777777" w:rsidTr="00A4270A">
        <w:trPr>
          <w:trHeight w:val="117"/>
        </w:trPr>
        <w:tc>
          <w:tcPr>
            <w:tcW w:w="10098" w:type="dxa"/>
            <w:gridSpan w:val="2"/>
            <w:shd w:val="clear" w:color="auto" w:fill="FFFFFF" w:themeFill="background1"/>
          </w:tcPr>
          <w:p w14:paraId="06025590" w14:textId="5A368B8B" w:rsidR="00A4270A" w:rsidRPr="00C75689" w:rsidRDefault="00A4270A" w:rsidP="00C75689">
            <w:pPr>
              <w:spacing w:after="200" w:line="276" w:lineRule="auto"/>
              <w:rPr>
                <w:rFonts w:asciiTheme="minorHAnsi" w:eastAsiaTheme="minorHAnsi" w:hAnsiTheme="minorHAnsi" w:cstheme="minorBidi"/>
                <w:color w:val="auto"/>
                <w:lang w:eastAsia="en-US"/>
              </w:rPr>
            </w:pPr>
          </w:p>
        </w:tc>
        <w:tc>
          <w:tcPr>
            <w:tcW w:w="1800" w:type="dxa"/>
            <w:shd w:val="clear" w:color="auto" w:fill="FFFFFF" w:themeFill="background1"/>
          </w:tcPr>
          <w:p w14:paraId="2299287E" w14:textId="799437AC" w:rsidR="00A4270A" w:rsidRPr="00C75689" w:rsidRDefault="00A4270A" w:rsidP="00C75689">
            <w:pPr>
              <w:spacing w:after="200" w:line="276" w:lineRule="auto"/>
              <w:rPr>
                <w:rFonts w:asciiTheme="minorHAnsi" w:eastAsiaTheme="minorHAnsi" w:hAnsiTheme="minorHAnsi" w:cstheme="minorBidi"/>
                <w:color w:val="auto"/>
                <w:lang w:val="en-US" w:eastAsia="en-US"/>
              </w:rPr>
            </w:pPr>
          </w:p>
        </w:tc>
        <w:tc>
          <w:tcPr>
            <w:tcW w:w="1620" w:type="dxa"/>
            <w:shd w:val="clear" w:color="auto" w:fill="FFFFFF" w:themeFill="background1"/>
          </w:tcPr>
          <w:p w14:paraId="62FB06E4" w14:textId="338E5F97" w:rsidR="00A4270A" w:rsidRDefault="00A4270A" w:rsidP="00C75689">
            <w:pPr>
              <w:rPr>
                <w:rFonts w:asciiTheme="minorHAnsi" w:eastAsiaTheme="minorHAnsi" w:hAnsiTheme="minorHAnsi" w:cstheme="minorBidi"/>
                <w:color w:val="auto"/>
                <w:lang w:val="en-US" w:eastAsia="en-US"/>
              </w:rPr>
            </w:pPr>
          </w:p>
        </w:tc>
        <w:tc>
          <w:tcPr>
            <w:tcW w:w="1890" w:type="dxa"/>
            <w:shd w:val="clear" w:color="auto" w:fill="FFFFFF" w:themeFill="background1"/>
          </w:tcPr>
          <w:p w14:paraId="68B31F92" w14:textId="4628BC11" w:rsidR="00A4270A" w:rsidRPr="00C75689" w:rsidRDefault="00A4270A" w:rsidP="00C75689">
            <w:pPr>
              <w:spacing w:after="200" w:line="276" w:lineRule="auto"/>
              <w:rPr>
                <w:rFonts w:asciiTheme="minorHAnsi" w:eastAsiaTheme="minorHAnsi" w:hAnsiTheme="minorHAnsi" w:cstheme="minorBidi"/>
                <w:color w:val="auto"/>
                <w:lang w:val="en-US" w:eastAsia="en-US"/>
              </w:rPr>
            </w:pPr>
          </w:p>
        </w:tc>
      </w:tr>
      <w:tr w:rsidR="00A4270A" w:rsidRPr="00C75689" w14:paraId="06D8284A" w14:textId="77777777" w:rsidTr="00A4270A">
        <w:trPr>
          <w:trHeight w:val="865"/>
        </w:trPr>
        <w:tc>
          <w:tcPr>
            <w:tcW w:w="2848" w:type="dxa"/>
            <w:tcBorders>
              <w:bottom w:val="single" w:sz="4" w:space="0" w:color="auto"/>
            </w:tcBorders>
            <w:shd w:val="clear" w:color="auto" w:fill="F2F2F2" w:themeFill="background1" w:themeFillShade="F2"/>
            <w:hideMark/>
          </w:tcPr>
          <w:p w14:paraId="345596BC"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Outputs </w:t>
            </w:r>
            <w:r w:rsidRPr="00C75689">
              <w:rPr>
                <w:rFonts w:asciiTheme="minorHAnsi" w:eastAsiaTheme="minorHAnsi" w:hAnsiTheme="minorHAnsi" w:cstheme="minorBidi"/>
                <w:i/>
                <w:color w:val="auto"/>
                <w:lang w:val="en-US" w:eastAsia="en-US"/>
              </w:rPr>
              <w:t xml:space="preserve"> (UNCDF provides specific support for the following results)</w:t>
            </w:r>
          </w:p>
        </w:tc>
        <w:tc>
          <w:tcPr>
            <w:tcW w:w="7250" w:type="dxa"/>
            <w:shd w:val="clear" w:color="auto" w:fill="F2F2F2" w:themeFill="background1" w:themeFillShade="F2"/>
            <w:hideMark/>
          </w:tcPr>
          <w:p w14:paraId="52848423"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b/>
                <w:color w:val="auto"/>
                <w:lang w:val="en-US" w:eastAsia="en-US"/>
              </w:rPr>
              <w:t xml:space="preserve">Output Indicators </w:t>
            </w:r>
            <w:r w:rsidRPr="00C75689">
              <w:rPr>
                <w:rFonts w:asciiTheme="minorHAnsi" w:eastAsiaTheme="minorHAnsi" w:hAnsiTheme="minorHAnsi" w:cstheme="minorBidi"/>
                <w:i/>
                <w:color w:val="auto"/>
                <w:lang w:val="en-US" w:eastAsia="en-US"/>
              </w:rPr>
              <w:t xml:space="preserve">(output indicators measure only those results from schemes, services, plans, </w:t>
            </w:r>
            <w:proofErr w:type="gramStart"/>
            <w:r w:rsidRPr="00C75689">
              <w:rPr>
                <w:rFonts w:asciiTheme="minorHAnsi" w:eastAsiaTheme="minorHAnsi" w:hAnsiTheme="minorHAnsi" w:cstheme="minorBidi"/>
                <w:i/>
                <w:color w:val="auto"/>
                <w:lang w:val="en-US" w:eastAsia="en-US"/>
              </w:rPr>
              <w:t>actions</w:t>
            </w:r>
            <w:proofErr w:type="gramEnd"/>
            <w:r w:rsidRPr="00C75689">
              <w:rPr>
                <w:rFonts w:asciiTheme="minorHAnsi" w:eastAsiaTheme="minorHAnsi" w:hAnsiTheme="minorHAnsi" w:cstheme="minorBidi"/>
                <w:i/>
                <w:color w:val="auto"/>
                <w:lang w:val="en-US" w:eastAsia="en-US"/>
              </w:rPr>
              <w:t xml:space="preserve"> etc. which are specifically </w:t>
            </w:r>
            <w:r w:rsidRPr="00C75689">
              <w:rPr>
                <w:rFonts w:asciiTheme="minorHAnsi" w:eastAsiaTheme="minorHAnsi" w:hAnsiTheme="minorHAnsi" w:cstheme="minorBidi"/>
                <w:i/>
                <w:color w:val="auto"/>
                <w:u w:val="single"/>
                <w:lang w:val="en-US" w:eastAsia="en-US"/>
              </w:rPr>
              <w:t>supported</w:t>
            </w:r>
            <w:r w:rsidRPr="00C75689">
              <w:rPr>
                <w:rFonts w:asciiTheme="minorHAnsi" w:eastAsiaTheme="minorHAnsi" w:hAnsiTheme="minorHAnsi" w:cstheme="minorBidi"/>
                <w:i/>
                <w:color w:val="auto"/>
                <w:lang w:val="en-US" w:eastAsia="en-US"/>
              </w:rPr>
              <w:t xml:space="preserve"> by UNCDF.</w:t>
            </w:r>
          </w:p>
        </w:tc>
        <w:tc>
          <w:tcPr>
            <w:tcW w:w="1800" w:type="dxa"/>
            <w:shd w:val="clear" w:color="auto" w:fill="F2F2F2" w:themeFill="background1" w:themeFillShade="F2"/>
          </w:tcPr>
          <w:p w14:paraId="40CE0463"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Baselines </w:t>
            </w:r>
            <w:r w:rsidRPr="00C75689">
              <w:rPr>
                <w:rFonts w:asciiTheme="minorHAnsi" w:eastAsiaTheme="minorHAnsi" w:hAnsiTheme="minorHAnsi" w:cstheme="minorBidi"/>
                <w:i/>
                <w:color w:val="auto"/>
                <w:lang w:val="en-US" w:eastAsia="en-US"/>
              </w:rPr>
              <w:t>(2013, unless noted)</w:t>
            </w:r>
          </w:p>
        </w:tc>
        <w:tc>
          <w:tcPr>
            <w:tcW w:w="1620" w:type="dxa"/>
            <w:shd w:val="clear" w:color="auto" w:fill="F2F2F2" w:themeFill="background1" w:themeFillShade="F2"/>
          </w:tcPr>
          <w:p w14:paraId="7D18DC1B" w14:textId="2CEEA5EF" w:rsidR="00A4270A" w:rsidRPr="00ED4D99" w:rsidRDefault="00A4270A" w:rsidP="00C75689">
            <w:pPr>
              <w:rPr>
                <w:rFonts w:asciiTheme="minorHAnsi" w:eastAsiaTheme="minorHAnsi" w:hAnsiTheme="minorHAnsi" w:cstheme="minorBidi"/>
                <w:b/>
                <w:color w:val="244061" w:themeColor="accent1" w:themeShade="80"/>
                <w:lang w:val="en-US" w:eastAsia="en-US"/>
              </w:rPr>
            </w:pPr>
            <w:r w:rsidRPr="00ED4D99">
              <w:rPr>
                <w:rFonts w:asciiTheme="minorHAnsi" w:eastAsiaTheme="minorHAnsi" w:hAnsiTheme="minorHAnsi" w:cstheme="minorBidi"/>
                <w:b/>
                <w:color w:val="244061" w:themeColor="accent1" w:themeShade="80"/>
                <w:lang w:val="en-US" w:eastAsia="en-US"/>
              </w:rPr>
              <w:t>Results for 2014</w:t>
            </w:r>
          </w:p>
        </w:tc>
        <w:tc>
          <w:tcPr>
            <w:tcW w:w="1890" w:type="dxa"/>
            <w:shd w:val="clear" w:color="auto" w:fill="F2F2F2" w:themeFill="background1" w:themeFillShade="F2"/>
            <w:hideMark/>
          </w:tcPr>
          <w:p w14:paraId="3A8B235B" w14:textId="53444506"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Targets </w:t>
            </w:r>
            <w:r w:rsidRPr="00C75689">
              <w:rPr>
                <w:rFonts w:asciiTheme="minorHAnsi" w:eastAsiaTheme="minorHAnsi" w:hAnsiTheme="minorHAnsi" w:cstheme="minorBidi"/>
                <w:i/>
                <w:color w:val="auto"/>
                <w:lang w:val="en-US" w:eastAsia="en-US"/>
              </w:rPr>
              <w:t>(2017</w:t>
            </w:r>
            <w:r>
              <w:rPr>
                <w:rFonts w:asciiTheme="minorHAnsi" w:eastAsiaTheme="minorHAnsi" w:hAnsiTheme="minorHAnsi" w:cstheme="minorBidi"/>
                <w:i/>
                <w:color w:val="auto"/>
                <w:lang w:val="en-US" w:eastAsia="en-US"/>
              </w:rPr>
              <w:t>, unless noted</w:t>
            </w:r>
            <w:r w:rsidRPr="00C75689">
              <w:rPr>
                <w:rFonts w:asciiTheme="minorHAnsi" w:eastAsiaTheme="minorHAnsi" w:hAnsiTheme="minorHAnsi" w:cstheme="minorBidi"/>
                <w:i/>
                <w:color w:val="auto"/>
                <w:lang w:val="en-US" w:eastAsia="en-US"/>
              </w:rPr>
              <w:t>)</w:t>
            </w:r>
          </w:p>
        </w:tc>
      </w:tr>
      <w:tr w:rsidR="00A4270A" w:rsidRPr="00C75689" w14:paraId="3A08A1C4" w14:textId="77777777" w:rsidTr="00A4270A">
        <w:trPr>
          <w:trHeight w:val="1000"/>
        </w:trPr>
        <w:tc>
          <w:tcPr>
            <w:tcW w:w="2848" w:type="dxa"/>
            <w:tcBorders>
              <w:bottom w:val="nil"/>
            </w:tcBorders>
            <w:shd w:val="clear" w:color="auto" w:fill="FFFFFF" w:themeFill="background1"/>
          </w:tcPr>
          <w:p w14:paraId="2D8E4446" w14:textId="77777777" w:rsidR="00A4270A" w:rsidRPr="00C75689" w:rsidRDefault="00A4270A" w:rsidP="00C75689">
            <w:pPr>
              <w:spacing w:after="200" w:line="276" w:lineRule="auto"/>
              <w:rPr>
                <w:rFonts w:asciiTheme="minorHAnsi" w:eastAsiaTheme="minorHAnsi" w:hAnsiTheme="minorHAnsi" w:cstheme="minorBidi"/>
                <w:b/>
                <w:color w:val="auto"/>
                <w:u w:val="single"/>
                <w:lang w:val="en-US" w:eastAsia="en-US"/>
              </w:rPr>
            </w:pPr>
            <w:r w:rsidRPr="00C75689">
              <w:rPr>
                <w:rFonts w:asciiTheme="minorHAnsi" w:eastAsiaTheme="minorHAnsi" w:hAnsiTheme="minorHAnsi" w:cstheme="minorBidi"/>
                <w:b/>
                <w:color w:val="auto"/>
                <w:u w:val="single"/>
                <w:lang w:val="en-US" w:eastAsia="en-US"/>
              </w:rPr>
              <w:t xml:space="preserve">Inclusive finance </w:t>
            </w:r>
          </w:p>
          <w:p w14:paraId="45DDFD68" w14:textId="77777777" w:rsidR="00A4270A" w:rsidRPr="00C75689" w:rsidRDefault="00A4270A" w:rsidP="00C75689">
            <w:pPr>
              <w:numPr>
                <w:ilvl w:val="1"/>
                <w:numId w:val="32"/>
              </w:num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 xml:space="preserve">Improved access to and usage of basic financial services as an effective way to reduce vulnerability and shocks  </w:t>
            </w:r>
          </w:p>
        </w:tc>
        <w:tc>
          <w:tcPr>
            <w:tcW w:w="7250" w:type="dxa"/>
            <w:shd w:val="clear" w:color="auto" w:fill="FFFFFF" w:themeFill="background1"/>
            <w:hideMark/>
          </w:tcPr>
          <w:p w14:paraId="704F5FA9" w14:textId="23C3B850" w:rsidR="00A4270A" w:rsidRPr="00C75689" w:rsidRDefault="00A4270A" w:rsidP="00BC6C36">
            <w:pPr>
              <w:spacing w:after="200" w:line="276" w:lineRule="auto"/>
              <w:rPr>
                <w:rFonts w:asciiTheme="minorHAnsi" w:eastAsiaTheme="minorHAnsi" w:hAnsiTheme="minorHAnsi" w:cstheme="minorBidi"/>
                <w:color w:val="auto"/>
                <w:lang w:val="en-US" w:eastAsia="en-US"/>
              </w:rPr>
            </w:pPr>
            <w:r w:rsidRPr="002375DC">
              <w:rPr>
                <w:rFonts w:asciiTheme="minorHAnsi" w:eastAsiaTheme="minorHAnsi" w:hAnsiTheme="minorHAnsi" w:cstheme="minorBidi"/>
                <w:color w:val="auto"/>
                <w:lang w:eastAsia="en-US"/>
              </w:rPr>
              <w:t>Indicator 2.</w:t>
            </w:r>
            <w:r w:rsidR="006D10E0">
              <w:rPr>
                <w:rFonts w:asciiTheme="minorHAnsi" w:eastAsiaTheme="minorHAnsi" w:hAnsiTheme="minorHAnsi" w:cstheme="minorBidi"/>
                <w:color w:val="auto"/>
                <w:lang w:eastAsia="en-US"/>
              </w:rPr>
              <w:t>2</w:t>
            </w:r>
            <w:r w:rsidRPr="002375DC">
              <w:rPr>
                <w:rFonts w:asciiTheme="minorHAnsi" w:eastAsiaTheme="minorHAnsi" w:hAnsiTheme="minorHAnsi" w:cstheme="minorBidi"/>
                <w:color w:val="auto"/>
                <w:lang w:eastAsia="en-US"/>
              </w:rPr>
              <w:t>.1 - Total numbers of active clients served via products that strengthen client resilience</w:t>
            </w:r>
            <w:r w:rsidRPr="00C75689">
              <w:rPr>
                <w:rFonts w:asciiTheme="minorHAnsi" w:eastAsiaTheme="minorHAnsi" w:hAnsiTheme="minorHAnsi" w:cstheme="minorBidi"/>
                <w:b/>
                <w:color w:val="auto"/>
                <w:lang w:eastAsia="en-US"/>
              </w:rPr>
              <w:t xml:space="preserve"> </w:t>
            </w:r>
            <w:r w:rsidRPr="00C75689">
              <w:rPr>
                <w:rFonts w:asciiTheme="minorHAnsi" w:eastAsiaTheme="minorHAnsi" w:hAnsiTheme="minorHAnsi" w:cstheme="minorBidi"/>
                <w:color w:val="auto"/>
                <w:lang w:eastAsia="en-US"/>
              </w:rPr>
              <w:t xml:space="preserve">to shocks in areas such as client savings, </w:t>
            </w:r>
            <w:r>
              <w:rPr>
                <w:rFonts w:asciiTheme="minorHAnsi" w:eastAsiaTheme="minorHAnsi" w:hAnsiTheme="minorHAnsi" w:cstheme="minorBidi"/>
                <w:color w:val="auto"/>
                <w:lang w:eastAsia="en-US"/>
              </w:rPr>
              <w:t>Mobile Money for the Poor (</w:t>
            </w:r>
            <w:r w:rsidRPr="00C75689">
              <w:rPr>
                <w:rFonts w:asciiTheme="minorHAnsi" w:eastAsiaTheme="minorHAnsi" w:hAnsiTheme="minorHAnsi" w:cstheme="minorBidi"/>
                <w:color w:val="auto"/>
                <w:lang w:eastAsia="en-US"/>
              </w:rPr>
              <w:t>MM4P</w:t>
            </w:r>
            <w:r>
              <w:rPr>
                <w:rFonts w:asciiTheme="minorHAnsi" w:eastAsiaTheme="minorHAnsi" w:hAnsiTheme="minorHAnsi" w:cstheme="minorBidi"/>
                <w:color w:val="auto"/>
                <w:lang w:eastAsia="en-US"/>
              </w:rPr>
              <w:t>)</w:t>
            </w:r>
            <w:r w:rsidRPr="00C75689">
              <w:rPr>
                <w:rFonts w:asciiTheme="minorHAnsi" w:eastAsiaTheme="minorHAnsi" w:hAnsiTheme="minorHAnsi" w:cstheme="minorBidi"/>
                <w:color w:val="auto"/>
                <w:lang w:eastAsia="en-US"/>
              </w:rPr>
              <w:t xml:space="preserve">, </w:t>
            </w:r>
            <w:r>
              <w:rPr>
                <w:rFonts w:asciiTheme="minorHAnsi" w:eastAsiaTheme="minorHAnsi" w:hAnsiTheme="minorHAnsi" w:cstheme="minorBidi"/>
                <w:color w:val="auto"/>
                <w:lang w:eastAsia="en-US"/>
              </w:rPr>
              <w:t>Better Than Cash Alliance (</w:t>
            </w:r>
            <w:r w:rsidRPr="00C75689">
              <w:rPr>
                <w:rFonts w:asciiTheme="minorHAnsi" w:eastAsiaTheme="minorHAnsi" w:hAnsiTheme="minorHAnsi" w:cstheme="minorBidi"/>
                <w:color w:val="auto"/>
                <w:lang w:eastAsia="en-US"/>
              </w:rPr>
              <w:t>BTCA</w:t>
            </w:r>
            <w:r>
              <w:rPr>
                <w:rFonts w:asciiTheme="minorHAnsi" w:eastAsiaTheme="minorHAnsi" w:hAnsiTheme="minorHAnsi" w:cstheme="minorBidi"/>
                <w:color w:val="auto"/>
                <w:lang w:eastAsia="en-US"/>
              </w:rPr>
              <w:t>)</w:t>
            </w:r>
            <w:r w:rsidRPr="00C75689">
              <w:rPr>
                <w:rFonts w:asciiTheme="minorHAnsi" w:eastAsiaTheme="minorHAnsi" w:hAnsiTheme="minorHAnsi" w:cstheme="minorBidi"/>
                <w:color w:val="auto"/>
                <w:lang w:eastAsia="en-US"/>
              </w:rPr>
              <w:t xml:space="preserve">, clean energy, micro-insurance </w:t>
            </w:r>
          </w:p>
        </w:tc>
        <w:tc>
          <w:tcPr>
            <w:tcW w:w="1800" w:type="dxa"/>
            <w:shd w:val="clear" w:color="auto" w:fill="FFFFFF" w:themeFill="background1"/>
          </w:tcPr>
          <w:p w14:paraId="3015D147"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0</w:t>
            </w:r>
          </w:p>
        </w:tc>
        <w:tc>
          <w:tcPr>
            <w:tcW w:w="1620" w:type="dxa"/>
          </w:tcPr>
          <w:p w14:paraId="2D1192C5" w14:textId="78DD061A" w:rsidR="00A4270A" w:rsidRPr="00ED4D99" w:rsidRDefault="007D7A2E" w:rsidP="009C1404">
            <w:pPr>
              <w:rPr>
                <w:rFonts w:asciiTheme="minorHAnsi" w:eastAsiaTheme="minorHAnsi" w:hAnsiTheme="minorHAnsi" w:cstheme="minorBidi"/>
                <w:color w:val="244061" w:themeColor="accent1" w:themeShade="80"/>
                <w:lang w:val="en-US" w:eastAsia="en-US"/>
              </w:rPr>
            </w:pPr>
            <w:r w:rsidRPr="00ED4D99">
              <w:rPr>
                <w:rFonts w:asciiTheme="minorHAnsi" w:eastAsiaTheme="minorHAnsi" w:hAnsiTheme="minorHAnsi" w:cstheme="minorBidi"/>
                <w:color w:val="244061" w:themeColor="accent1" w:themeShade="80"/>
                <w:lang w:val="en-US" w:eastAsia="en-US"/>
              </w:rPr>
              <w:t>total 4,982,232 active clients reached</w:t>
            </w:r>
          </w:p>
        </w:tc>
        <w:tc>
          <w:tcPr>
            <w:tcW w:w="1890" w:type="dxa"/>
            <w:shd w:val="clear" w:color="auto" w:fill="auto"/>
          </w:tcPr>
          <w:p w14:paraId="500A666F" w14:textId="3DC0EB59" w:rsidR="00A4270A" w:rsidRPr="00C75689" w:rsidRDefault="00A4270A" w:rsidP="009C1404">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 xml:space="preserve">6,400,000 new </w:t>
            </w:r>
            <w:r>
              <w:rPr>
                <w:rFonts w:asciiTheme="minorHAnsi" w:eastAsiaTheme="minorHAnsi" w:hAnsiTheme="minorHAnsi" w:cstheme="minorBidi"/>
                <w:color w:val="auto"/>
                <w:lang w:val="en-US" w:eastAsia="en-US"/>
              </w:rPr>
              <w:t xml:space="preserve">clients benefiting from resilient financial </w:t>
            </w:r>
            <w:r w:rsidRPr="00C75689">
              <w:rPr>
                <w:rFonts w:asciiTheme="minorHAnsi" w:eastAsiaTheme="minorHAnsi" w:hAnsiTheme="minorHAnsi" w:cstheme="minorBidi"/>
                <w:color w:val="auto"/>
                <w:lang w:val="en-US" w:eastAsia="en-US"/>
              </w:rPr>
              <w:t>products (50% women)</w:t>
            </w:r>
          </w:p>
        </w:tc>
      </w:tr>
      <w:tr w:rsidR="002C2EF1" w:rsidRPr="00C75689" w14:paraId="051B096C" w14:textId="77777777" w:rsidTr="00A4270A">
        <w:trPr>
          <w:trHeight w:val="1000"/>
        </w:trPr>
        <w:tc>
          <w:tcPr>
            <w:tcW w:w="2848" w:type="dxa"/>
            <w:tcBorders>
              <w:top w:val="nil"/>
            </w:tcBorders>
            <w:shd w:val="clear" w:color="auto" w:fill="FFFFFF" w:themeFill="background1"/>
          </w:tcPr>
          <w:p w14:paraId="7832B630" w14:textId="77777777" w:rsidR="002C2EF1" w:rsidRPr="00C75689" w:rsidRDefault="002C2EF1" w:rsidP="002C2EF1">
            <w:pPr>
              <w:spacing w:after="200" w:line="276" w:lineRule="auto"/>
              <w:rPr>
                <w:rFonts w:asciiTheme="minorHAnsi" w:eastAsiaTheme="minorHAnsi" w:hAnsiTheme="minorHAnsi" w:cstheme="minorBidi"/>
                <w:b/>
                <w:color w:val="auto"/>
                <w:u w:val="single"/>
                <w:lang w:val="en-US" w:eastAsia="en-US"/>
              </w:rPr>
            </w:pPr>
          </w:p>
        </w:tc>
        <w:tc>
          <w:tcPr>
            <w:tcW w:w="7250" w:type="dxa"/>
            <w:tcBorders>
              <w:bottom w:val="single" w:sz="4" w:space="0" w:color="auto"/>
            </w:tcBorders>
            <w:shd w:val="clear" w:color="auto" w:fill="FFFFFF" w:themeFill="background1"/>
          </w:tcPr>
          <w:p w14:paraId="4C845569" w14:textId="78FF04D4" w:rsidR="002C2EF1" w:rsidRPr="00C75689" w:rsidRDefault="002C2EF1" w:rsidP="002C2EF1">
            <w:pPr>
              <w:spacing w:after="200" w:line="276" w:lineRule="auto"/>
              <w:rPr>
                <w:rFonts w:asciiTheme="minorHAnsi" w:eastAsiaTheme="minorHAnsi" w:hAnsiTheme="minorHAnsi" w:cstheme="minorBidi"/>
                <w:b/>
                <w:color w:val="auto"/>
                <w:lang w:eastAsia="en-US"/>
              </w:rPr>
            </w:pPr>
          </w:p>
        </w:tc>
        <w:tc>
          <w:tcPr>
            <w:tcW w:w="1800" w:type="dxa"/>
            <w:tcBorders>
              <w:bottom w:val="single" w:sz="4" w:space="0" w:color="auto"/>
            </w:tcBorders>
            <w:shd w:val="clear" w:color="auto" w:fill="FFFFFF" w:themeFill="background1"/>
          </w:tcPr>
          <w:p w14:paraId="0BCD6E4C" w14:textId="7488A6D9" w:rsidR="002C2EF1" w:rsidRPr="00C75689" w:rsidRDefault="002C2EF1" w:rsidP="002C2EF1">
            <w:pPr>
              <w:spacing w:after="200" w:line="276" w:lineRule="auto"/>
              <w:rPr>
                <w:rFonts w:asciiTheme="minorHAnsi" w:eastAsiaTheme="minorHAnsi" w:hAnsiTheme="minorHAnsi" w:cstheme="minorBidi"/>
                <w:color w:val="auto"/>
                <w:lang w:val="en-US" w:eastAsia="en-US"/>
              </w:rPr>
            </w:pPr>
          </w:p>
        </w:tc>
        <w:tc>
          <w:tcPr>
            <w:tcW w:w="1620" w:type="dxa"/>
            <w:tcBorders>
              <w:bottom w:val="single" w:sz="4" w:space="0" w:color="auto"/>
            </w:tcBorders>
          </w:tcPr>
          <w:p w14:paraId="0A594D2D" w14:textId="3975B79C" w:rsidR="002C2EF1" w:rsidRPr="00ED4D99" w:rsidRDefault="002C2EF1" w:rsidP="002C2EF1">
            <w:pPr>
              <w:rPr>
                <w:rFonts w:asciiTheme="minorHAnsi" w:eastAsiaTheme="minorHAnsi" w:hAnsiTheme="minorHAnsi" w:cstheme="minorBidi"/>
                <w:color w:val="244061" w:themeColor="accent1" w:themeShade="80"/>
                <w:lang w:val="en-US" w:eastAsia="en-US"/>
              </w:rPr>
            </w:pPr>
          </w:p>
        </w:tc>
        <w:tc>
          <w:tcPr>
            <w:tcW w:w="1890" w:type="dxa"/>
            <w:tcBorders>
              <w:bottom w:val="single" w:sz="4" w:space="0" w:color="auto"/>
            </w:tcBorders>
            <w:shd w:val="clear" w:color="auto" w:fill="auto"/>
          </w:tcPr>
          <w:p w14:paraId="630D0238" w14:textId="7411C159" w:rsidR="002C2EF1" w:rsidRPr="00C75689" w:rsidRDefault="002C2EF1" w:rsidP="002C2EF1">
            <w:pPr>
              <w:spacing w:after="200" w:line="276" w:lineRule="auto"/>
              <w:rPr>
                <w:rFonts w:asciiTheme="minorHAnsi" w:eastAsiaTheme="minorHAnsi" w:hAnsiTheme="minorHAnsi" w:cstheme="minorBidi"/>
                <w:color w:val="auto"/>
                <w:lang w:val="en-US" w:eastAsia="en-US"/>
              </w:rPr>
            </w:pPr>
          </w:p>
        </w:tc>
      </w:tr>
      <w:tr w:rsidR="006D10E0" w:rsidRPr="00C75689" w14:paraId="2CF33DF2" w14:textId="77777777" w:rsidTr="00A4270A">
        <w:trPr>
          <w:trHeight w:val="1704"/>
        </w:trPr>
        <w:tc>
          <w:tcPr>
            <w:tcW w:w="2848" w:type="dxa"/>
            <w:shd w:val="clear" w:color="auto" w:fill="FFFFFF" w:themeFill="background1"/>
          </w:tcPr>
          <w:p w14:paraId="794516FF" w14:textId="77777777" w:rsidR="006D10E0" w:rsidRPr="00C75689" w:rsidRDefault="006D10E0" w:rsidP="006D10E0">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Local Development Finance</w:t>
            </w:r>
          </w:p>
          <w:p w14:paraId="6A903FA0" w14:textId="77777777" w:rsidR="006D10E0" w:rsidRPr="00C75689" w:rsidRDefault="006D10E0" w:rsidP="006D10E0">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b/>
                <w:color w:val="auto"/>
                <w:lang w:val="en-US" w:eastAsia="en-US"/>
              </w:rPr>
              <w:t xml:space="preserve">2.2 </w:t>
            </w:r>
            <w:r w:rsidRPr="00C75689">
              <w:rPr>
                <w:rFonts w:asciiTheme="minorHAnsi" w:eastAsiaTheme="minorHAnsi" w:hAnsiTheme="minorHAnsi" w:cstheme="minorBidi"/>
                <w:color w:val="auto"/>
                <w:lang w:eastAsia="en-US"/>
              </w:rPr>
              <w:t xml:space="preserve"> Improved access to and usage of public and private local investments as an effective way to reduce vulnerability and shocks</w:t>
            </w:r>
          </w:p>
          <w:p w14:paraId="3AE5DB3B" w14:textId="77777777" w:rsidR="006D10E0" w:rsidRPr="00C75689" w:rsidRDefault="006D10E0" w:rsidP="006D10E0">
            <w:pPr>
              <w:spacing w:after="200" w:line="276" w:lineRule="auto"/>
              <w:rPr>
                <w:rFonts w:asciiTheme="minorHAnsi" w:eastAsiaTheme="minorHAnsi" w:hAnsiTheme="minorHAnsi" w:cstheme="minorBidi"/>
                <w:color w:val="auto"/>
                <w:lang w:eastAsia="en-US"/>
              </w:rPr>
            </w:pPr>
          </w:p>
        </w:tc>
        <w:tc>
          <w:tcPr>
            <w:tcW w:w="7250" w:type="dxa"/>
            <w:tcBorders>
              <w:bottom w:val="single" w:sz="4" w:space="0" w:color="auto"/>
            </w:tcBorders>
            <w:shd w:val="clear" w:color="auto" w:fill="FFFFFF" w:themeFill="background1"/>
          </w:tcPr>
          <w:p w14:paraId="1F1834D0" w14:textId="53F61FF3" w:rsidR="006D10E0" w:rsidRPr="00C75689" w:rsidRDefault="006D10E0" w:rsidP="006D10E0">
            <w:pPr>
              <w:spacing w:after="200" w:line="276" w:lineRule="auto"/>
              <w:rPr>
                <w:rFonts w:asciiTheme="minorHAnsi" w:eastAsiaTheme="minorHAnsi" w:hAnsiTheme="minorHAnsi" w:cstheme="minorBidi"/>
                <w:b/>
                <w:color w:val="auto"/>
                <w:lang w:eastAsia="en-US"/>
              </w:rPr>
            </w:pPr>
            <w:r>
              <w:rPr>
                <w:rFonts w:asciiTheme="minorHAnsi" w:eastAsiaTheme="minorHAnsi" w:hAnsiTheme="minorHAnsi" w:cstheme="minorBidi"/>
                <w:color w:val="auto"/>
                <w:lang w:eastAsia="en-US"/>
              </w:rPr>
              <w:lastRenderedPageBreak/>
              <w:t>2.2.2</w:t>
            </w:r>
            <w:r w:rsidRPr="00C75689">
              <w:rPr>
                <w:rFonts w:asciiTheme="minorHAnsi" w:eastAsiaTheme="minorHAnsi" w:hAnsiTheme="minorHAnsi" w:cstheme="minorBidi"/>
                <w:color w:val="auto"/>
                <w:lang w:eastAsia="en-US"/>
              </w:rPr>
              <w:t xml:space="preserve">. Number of local government jurisdictions served by these new systems as they are </w:t>
            </w:r>
            <w:r>
              <w:rPr>
                <w:rFonts w:asciiTheme="minorHAnsi" w:eastAsiaTheme="minorHAnsi" w:hAnsiTheme="minorHAnsi" w:cstheme="minorBidi"/>
                <w:color w:val="auto"/>
                <w:lang w:eastAsia="en-US"/>
              </w:rPr>
              <w:t xml:space="preserve">piloted and </w:t>
            </w:r>
            <w:r w:rsidRPr="00C75689">
              <w:rPr>
                <w:rFonts w:asciiTheme="minorHAnsi" w:eastAsiaTheme="minorHAnsi" w:hAnsiTheme="minorHAnsi" w:cstheme="minorBidi"/>
                <w:color w:val="auto"/>
                <w:lang w:eastAsia="en-US"/>
              </w:rPr>
              <w:t>upscaled (see Outputs 2.1.1 – 2.1.4 for details)</w:t>
            </w:r>
          </w:p>
        </w:tc>
        <w:tc>
          <w:tcPr>
            <w:tcW w:w="1800" w:type="dxa"/>
            <w:tcBorders>
              <w:bottom w:val="single" w:sz="4" w:space="0" w:color="auto"/>
            </w:tcBorders>
            <w:shd w:val="clear" w:color="auto" w:fill="FFFFFF" w:themeFill="background1"/>
          </w:tcPr>
          <w:p w14:paraId="7EAEC2E3" w14:textId="24347E80" w:rsidR="006D10E0" w:rsidRPr="00C75689" w:rsidRDefault="006D10E0" w:rsidP="006D10E0">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0</w:t>
            </w:r>
          </w:p>
        </w:tc>
        <w:tc>
          <w:tcPr>
            <w:tcW w:w="1620" w:type="dxa"/>
            <w:tcBorders>
              <w:bottom w:val="single" w:sz="4" w:space="0" w:color="auto"/>
            </w:tcBorders>
          </w:tcPr>
          <w:p w14:paraId="55ED4755" w14:textId="66943800" w:rsidR="006D10E0" w:rsidRPr="00A41106" w:rsidRDefault="006D10E0" w:rsidP="006D10E0">
            <w:pPr>
              <w:rPr>
                <w:rFonts w:asciiTheme="minorHAnsi" w:eastAsiaTheme="minorHAnsi" w:hAnsiTheme="minorHAnsi" w:cstheme="minorBidi"/>
                <w:color w:val="244061" w:themeColor="accent1" w:themeShade="80"/>
                <w:lang w:val="en-US" w:eastAsia="en-US"/>
              </w:rPr>
            </w:pPr>
            <w:r>
              <w:rPr>
                <w:rFonts w:asciiTheme="minorHAnsi" w:eastAsiaTheme="minorHAnsi" w:hAnsiTheme="minorHAnsi" w:cstheme="minorBidi"/>
                <w:color w:val="auto"/>
                <w:lang w:val="en-US" w:eastAsia="en-US"/>
              </w:rPr>
              <w:t>Over 100 in piloting phase for LoCAL, Food Security and cross border collaboration</w:t>
            </w:r>
          </w:p>
        </w:tc>
        <w:tc>
          <w:tcPr>
            <w:tcW w:w="1890" w:type="dxa"/>
            <w:tcBorders>
              <w:bottom w:val="single" w:sz="4" w:space="0" w:color="auto"/>
            </w:tcBorders>
            <w:shd w:val="clear" w:color="auto" w:fill="auto"/>
          </w:tcPr>
          <w:p w14:paraId="11776891" w14:textId="5F3547DE" w:rsidR="006D10E0" w:rsidRPr="00C75689" w:rsidRDefault="006D10E0" w:rsidP="006D10E0">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 xml:space="preserve">60% of LGs in </w:t>
            </w:r>
            <w:proofErr w:type="spellStart"/>
            <w:r>
              <w:rPr>
                <w:rFonts w:asciiTheme="minorHAnsi" w:eastAsiaTheme="minorHAnsi" w:hAnsiTheme="minorHAnsi" w:cstheme="minorBidi"/>
                <w:color w:val="auto"/>
                <w:lang w:val="en-US" w:eastAsia="en-US"/>
              </w:rPr>
              <w:t>upscaled</w:t>
            </w:r>
            <w:proofErr w:type="spellEnd"/>
            <w:r>
              <w:rPr>
                <w:rFonts w:asciiTheme="minorHAnsi" w:eastAsiaTheme="minorHAnsi" w:hAnsiTheme="minorHAnsi" w:cstheme="minorBidi"/>
                <w:color w:val="auto"/>
                <w:lang w:val="en-US" w:eastAsia="en-US"/>
              </w:rPr>
              <w:t xml:space="preserve"> countries</w:t>
            </w:r>
          </w:p>
        </w:tc>
      </w:tr>
    </w:tbl>
    <w:p w14:paraId="436524FC" w14:textId="77777777" w:rsidR="00C75689" w:rsidRDefault="00C75689" w:rsidP="00C75689">
      <w:pPr>
        <w:rPr>
          <w:rFonts w:asciiTheme="minorHAnsi" w:eastAsiaTheme="minorHAnsi" w:hAnsiTheme="minorHAnsi" w:cstheme="minorBidi"/>
          <w:b/>
          <w:i/>
          <w:color w:val="auto"/>
          <w:lang w:eastAsia="en-US"/>
        </w:rPr>
      </w:pPr>
    </w:p>
    <w:p w14:paraId="5A608ABA" w14:textId="77777777" w:rsidR="00A4270A" w:rsidRDefault="00A4270A" w:rsidP="00C75689">
      <w:pPr>
        <w:rPr>
          <w:rFonts w:asciiTheme="minorHAnsi" w:eastAsiaTheme="minorHAnsi" w:hAnsiTheme="minorHAnsi" w:cstheme="minorBidi"/>
          <w:b/>
          <w:i/>
          <w:color w:val="auto"/>
          <w:lang w:eastAsia="en-US"/>
        </w:rPr>
      </w:pPr>
    </w:p>
    <w:p w14:paraId="44B6F7A8" w14:textId="77777777" w:rsidR="00A4270A" w:rsidRDefault="00A4270A" w:rsidP="00C75689">
      <w:pPr>
        <w:rPr>
          <w:rFonts w:asciiTheme="minorHAnsi" w:eastAsiaTheme="minorHAnsi" w:hAnsiTheme="minorHAnsi" w:cstheme="minorBidi"/>
          <w:b/>
          <w:i/>
          <w:color w:val="auto"/>
          <w:lang w:eastAsia="en-US"/>
        </w:rPr>
      </w:pPr>
    </w:p>
    <w:p w14:paraId="3A47CC10" w14:textId="77777777" w:rsidR="00A4270A" w:rsidRDefault="00A4270A" w:rsidP="00C75689">
      <w:pPr>
        <w:rPr>
          <w:rFonts w:asciiTheme="minorHAnsi" w:eastAsiaTheme="minorHAnsi" w:hAnsiTheme="minorHAnsi" w:cstheme="minorBidi"/>
          <w:b/>
          <w:i/>
          <w:color w:val="auto"/>
          <w:lang w:eastAsia="en-US"/>
        </w:rPr>
      </w:pPr>
    </w:p>
    <w:p w14:paraId="6F6C4818" w14:textId="77777777" w:rsidR="00A4270A" w:rsidRPr="00C75689" w:rsidRDefault="00A4270A" w:rsidP="00C75689">
      <w:pPr>
        <w:rPr>
          <w:rFonts w:asciiTheme="minorHAnsi" w:eastAsiaTheme="minorHAnsi" w:hAnsiTheme="minorHAnsi" w:cstheme="minorBidi"/>
          <w:b/>
          <w:i/>
          <w:color w:val="auto"/>
          <w:lang w:eastAsia="en-US"/>
        </w:rPr>
      </w:pPr>
    </w:p>
    <w:tbl>
      <w:tblPr>
        <w:tblStyle w:val="TableGrid"/>
        <w:tblpPr w:leftFromText="180" w:rightFromText="180" w:vertAnchor="text" w:horzAnchor="margin" w:tblpX="-342" w:tblpY="245"/>
        <w:tblW w:w="15498" w:type="dxa"/>
        <w:tblLook w:val="04A0" w:firstRow="1" w:lastRow="0" w:firstColumn="1" w:lastColumn="0" w:noHBand="0" w:noVBand="1"/>
      </w:tblPr>
      <w:tblGrid>
        <w:gridCol w:w="4554"/>
        <w:gridCol w:w="4374"/>
        <w:gridCol w:w="1530"/>
        <w:gridCol w:w="1530"/>
        <w:gridCol w:w="3510"/>
      </w:tblGrid>
      <w:tr w:rsidR="00A4270A" w:rsidRPr="00C75689" w14:paraId="1D3901EA" w14:textId="77777777" w:rsidTr="00FC2BD0">
        <w:trPr>
          <w:trHeight w:val="304"/>
        </w:trPr>
        <w:tc>
          <w:tcPr>
            <w:tcW w:w="11988" w:type="dxa"/>
            <w:gridSpan w:val="4"/>
            <w:shd w:val="clear" w:color="auto" w:fill="0070C0"/>
          </w:tcPr>
          <w:p w14:paraId="4F95A866" w14:textId="3818682B" w:rsidR="00A4270A" w:rsidRDefault="00A4270A" w:rsidP="00C75689">
            <w:pPr>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Outcome 3:  Policy environments fostered that enable sustainable financing for development </w:t>
            </w:r>
          </w:p>
        </w:tc>
        <w:tc>
          <w:tcPr>
            <w:tcW w:w="3510" w:type="dxa"/>
            <w:shd w:val="clear" w:color="auto" w:fill="A6A6A6" w:themeFill="background1" w:themeFillShade="A6"/>
          </w:tcPr>
          <w:p w14:paraId="703786BD" w14:textId="19BF00FD"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Pr>
                <w:rFonts w:asciiTheme="minorHAnsi" w:eastAsiaTheme="minorHAnsi" w:hAnsiTheme="minorHAnsi" w:cstheme="minorBidi"/>
                <w:b/>
                <w:color w:val="auto"/>
                <w:lang w:val="en-US" w:eastAsia="en-US"/>
              </w:rPr>
              <w:t>Indicative r</w:t>
            </w:r>
            <w:r w:rsidRPr="00C75689">
              <w:rPr>
                <w:rFonts w:asciiTheme="minorHAnsi" w:eastAsiaTheme="minorHAnsi" w:hAnsiTheme="minorHAnsi" w:cstheme="minorBidi"/>
                <w:b/>
                <w:color w:val="auto"/>
                <w:lang w:val="en-US" w:eastAsia="en-US"/>
              </w:rPr>
              <w:t xml:space="preserve">esources: </w:t>
            </w:r>
            <w:r>
              <w:rPr>
                <w:rFonts w:asciiTheme="minorHAnsi" w:eastAsiaTheme="minorHAnsi" w:hAnsiTheme="minorHAnsi" w:cstheme="minorBidi"/>
                <w:b/>
                <w:color w:val="auto"/>
                <w:lang w:val="en-US" w:eastAsia="en-US"/>
              </w:rPr>
              <w:t>$ 48 million</w:t>
            </w:r>
          </w:p>
        </w:tc>
      </w:tr>
      <w:tr w:rsidR="00FC2BD0" w:rsidRPr="00C75689" w14:paraId="0D6F057F" w14:textId="77777777" w:rsidTr="00FC2BD0">
        <w:trPr>
          <w:trHeight w:val="304"/>
        </w:trPr>
        <w:tc>
          <w:tcPr>
            <w:tcW w:w="0" w:type="auto"/>
            <w:gridSpan w:val="2"/>
            <w:shd w:val="clear" w:color="auto" w:fill="D9D9D9" w:themeFill="background1" w:themeFillShade="D9"/>
          </w:tcPr>
          <w:p w14:paraId="2F0B2E39"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Outcome Indicators </w:t>
            </w:r>
            <w:r w:rsidRPr="00C75689">
              <w:rPr>
                <w:rFonts w:asciiTheme="minorHAnsi" w:eastAsiaTheme="minorHAnsi" w:hAnsiTheme="minorHAnsi" w:cstheme="minorBidi"/>
                <w:color w:val="auto"/>
                <w:lang w:val="en-US" w:eastAsia="en-US"/>
              </w:rPr>
              <w:t xml:space="preserve"> </w:t>
            </w:r>
          </w:p>
        </w:tc>
        <w:tc>
          <w:tcPr>
            <w:tcW w:w="1530" w:type="dxa"/>
            <w:shd w:val="clear" w:color="auto" w:fill="D9D9D9" w:themeFill="background1" w:themeFillShade="D9"/>
          </w:tcPr>
          <w:p w14:paraId="5AF90DBB"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Baselines </w:t>
            </w:r>
            <w:r w:rsidRPr="00C75689">
              <w:rPr>
                <w:rFonts w:asciiTheme="minorHAnsi" w:eastAsiaTheme="minorHAnsi" w:hAnsiTheme="minorHAnsi" w:cstheme="minorBidi"/>
                <w:i/>
                <w:color w:val="auto"/>
                <w:lang w:val="en-US" w:eastAsia="en-US"/>
              </w:rPr>
              <w:t>(2013, unless noted)</w:t>
            </w:r>
          </w:p>
        </w:tc>
        <w:tc>
          <w:tcPr>
            <w:tcW w:w="1530" w:type="dxa"/>
            <w:shd w:val="clear" w:color="auto" w:fill="D9D9D9" w:themeFill="background1" w:themeFillShade="D9"/>
          </w:tcPr>
          <w:p w14:paraId="75CB0487" w14:textId="5B91F9C7" w:rsidR="00A4270A" w:rsidRPr="00ED4D99" w:rsidRDefault="00A4270A" w:rsidP="00C75689">
            <w:pPr>
              <w:rPr>
                <w:rFonts w:asciiTheme="minorHAnsi" w:eastAsiaTheme="minorHAnsi" w:hAnsiTheme="minorHAnsi" w:cstheme="minorBidi"/>
                <w:b/>
                <w:color w:val="244061" w:themeColor="accent1" w:themeShade="80"/>
                <w:lang w:val="en-US" w:eastAsia="en-US"/>
              </w:rPr>
            </w:pPr>
            <w:r w:rsidRPr="00ED4D99">
              <w:rPr>
                <w:rFonts w:asciiTheme="minorHAnsi" w:eastAsiaTheme="minorHAnsi" w:hAnsiTheme="minorHAnsi" w:cstheme="minorBidi"/>
                <w:b/>
                <w:color w:val="244061" w:themeColor="accent1" w:themeShade="80"/>
                <w:lang w:val="en-US" w:eastAsia="en-US"/>
              </w:rPr>
              <w:t>Results for 2014</w:t>
            </w:r>
          </w:p>
        </w:tc>
        <w:tc>
          <w:tcPr>
            <w:tcW w:w="3510" w:type="dxa"/>
            <w:shd w:val="clear" w:color="auto" w:fill="D9D9D9" w:themeFill="background1" w:themeFillShade="D9"/>
          </w:tcPr>
          <w:p w14:paraId="1F90B4A6" w14:textId="3B6A3DA0"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Targets </w:t>
            </w:r>
            <w:r w:rsidRPr="00C75689">
              <w:rPr>
                <w:rFonts w:asciiTheme="minorHAnsi" w:eastAsiaTheme="minorHAnsi" w:hAnsiTheme="minorHAnsi" w:cstheme="minorBidi"/>
                <w:i/>
                <w:color w:val="auto"/>
                <w:lang w:val="en-US" w:eastAsia="en-US"/>
              </w:rPr>
              <w:t>(2017</w:t>
            </w:r>
            <w:r>
              <w:rPr>
                <w:rFonts w:asciiTheme="minorHAnsi" w:eastAsiaTheme="minorHAnsi" w:hAnsiTheme="minorHAnsi" w:cstheme="minorBidi"/>
                <w:i/>
                <w:color w:val="auto"/>
                <w:lang w:val="en-US" w:eastAsia="en-US"/>
              </w:rPr>
              <w:t>, unless noted</w:t>
            </w:r>
            <w:r w:rsidRPr="00C75689">
              <w:rPr>
                <w:rFonts w:asciiTheme="minorHAnsi" w:eastAsiaTheme="minorHAnsi" w:hAnsiTheme="minorHAnsi" w:cstheme="minorBidi"/>
                <w:i/>
                <w:color w:val="auto"/>
                <w:lang w:val="en-US" w:eastAsia="en-US"/>
              </w:rPr>
              <w:t>)</w:t>
            </w:r>
          </w:p>
        </w:tc>
      </w:tr>
      <w:tr w:rsidR="00FC2BD0" w:rsidRPr="00C75689" w14:paraId="46B5D5BD" w14:textId="77777777" w:rsidTr="00FC2BD0">
        <w:trPr>
          <w:trHeight w:val="1490"/>
        </w:trPr>
        <w:tc>
          <w:tcPr>
            <w:tcW w:w="0" w:type="auto"/>
            <w:gridSpan w:val="2"/>
            <w:shd w:val="clear" w:color="auto" w:fill="FFFFFF" w:themeFill="background1"/>
          </w:tcPr>
          <w:p w14:paraId="77328DA9"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Inclusive Finance</w:t>
            </w:r>
          </w:p>
          <w:p w14:paraId="697172E5"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eastAsia="en-US"/>
              </w:rPr>
              <w:t>3. a. Number of improvements to the policy environment and enabling ecosystem, including client protection, resulting from UNCDF advocacy and support.</w:t>
            </w:r>
          </w:p>
        </w:tc>
        <w:tc>
          <w:tcPr>
            <w:tcW w:w="1530" w:type="dxa"/>
            <w:shd w:val="clear" w:color="auto" w:fill="FFFFFF" w:themeFill="background1"/>
          </w:tcPr>
          <w:p w14:paraId="4051A79D"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p>
          <w:p w14:paraId="17980582"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11</w:t>
            </w:r>
          </w:p>
        </w:tc>
        <w:tc>
          <w:tcPr>
            <w:tcW w:w="1530" w:type="dxa"/>
            <w:shd w:val="clear" w:color="auto" w:fill="FFFFFF" w:themeFill="background1"/>
          </w:tcPr>
          <w:p w14:paraId="7E9220CF" w14:textId="77777777" w:rsidR="00A4270A" w:rsidRPr="00A41106" w:rsidRDefault="00A4270A" w:rsidP="00C75689">
            <w:pPr>
              <w:rPr>
                <w:rFonts w:asciiTheme="minorHAnsi" w:eastAsiaTheme="minorHAnsi" w:hAnsiTheme="minorHAnsi" w:cstheme="minorBidi"/>
                <w:color w:val="244061" w:themeColor="accent1" w:themeShade="80"/>
                <w:lang w:val="en-US" w:eastAsia="en-US"/>
              </w:rPr>
            </w:pPr>
          </w:p>
          <w:p w14:paraId="40084CD7" w14:textId="470196A4" w:rsidR="007D7A2E" w:rsidRPr="00A41106" w:rsidRDefault="007D7A2E" w:rsidP="00C75689">
            <w:pPr>
              <w:rPr>
                <w:rFonts w:asciiTheme="minorHAnsi" w:eastAsiaTheme="minorHAnsi" w:hAnsiTheme="minorHAnsi" w:cstheme="minorBidi"/>
                <w:color w:val="244061" w:themeColor="accent1" w:themeShade="80"/>
                <w:lang w:val="en-US" w:eastAsia="en-US"/>
              </w:rPr>
            </w:pPr>
            <w:r w:rsidRPr="00A41106">
              <w:rPr>
                <w:rFonts w:asciiTheme="minorHAnsi" w:eastAsiaTheme="minorHAnsi" w:hAnsiTheme="minorHAnsi" w:cstheme="minorBidi"/>
                <w:color w:val="244061" w:themeColor="accent1" w:themeShade="80"/>
                <w:lang w:val="en-US" w:eastAsia="en-US"/>
              </w:rPr>
              <w:t>15</w:t>
            </w:r>
          </w:p>
        </w:tc>
        <w:tc>
          <w:tcPr>
            <w:tcW w:w="3510" w:type="dxa"/>
            <w:shd w:val="clear" w:color="auto" w:fill="FFFFFF" w:themeFill="background1"/>
          </w:tcPr>
          <w:p w14:paraId="3E180D0A" w14:textId="0879B458" w:rsidR="00A4270A" w:rsidRPr="00C75689" w:rsidRDefault="00A4270A" w:rsidP="00C75689">
            <w:pPr>
              <w:spacing w:after="200" w:line="276" w:lineRule="auto"/>
              <w:rPr>
                <w:rFonts w:asciiTheme="minorHAnsi" w:eastAsiaTheme="minorHAnsi" w:hAnsiTheme="minorHAnsi" w:cstheme="minorBidi"/>
                <w:color w:val="auto"/>
                <w:lang w:val="en-US" w:eastAsia="en-US"/>
              </w:rPr>
            </w:pPr>
          </w:p>
          <w:p w14:paraId="3BB9170B"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85 (cumulative 2014 – 2017)</w:t>
            </w:r>
          </w:p>
        </w:tc>
      </w:tr>
      <w:tr w:rsidR="00FC2BD0" w:rsidRPr="00C75689" w14:paraId="06393C31" w14:textId="77777777" w:rsidTr="00FC2BD0">
        <w:trPr>
          <w:trHeight w:val="60"/>
        </w:trPr>
        <w:tc>
          <w:tcPr>
            <w:tcW w:w="0" w:type="auto"/>
            <w:gridSpan w:val="2"/>
            <w:shd w:val="clear" w:color="auto" w:fill="FFFFFF" w:themeFill="background1"/>
          </w:tcPr>
          <w:p w14:paraId="48D59E35"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Local Development Finance</w:t>
            </w:r>
          </w:p>
          <w:p w14:paraId="46233C55" w14:textId="77777777" w:rsidR="00A4270A" w:rsidRPr="00C75689" w:rsidRDefault="00A4270A" w:rsidP="0005436C">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color w:val="auto"/>
                <w:lang w:val="en-US" w:eastAsia="en-US"/>
              </w:rPr>
              <w:t>3. b. Policy environment</w:t>
            </w:r>
            <w:r>
              <w:rPr>
                <w:rFonts w:asciiTheme="minorHAnsi" w:eastAsiaTheme="minorHAnsi" w:hAnsiTheme="minorHAnsi" w:cstheme="minorBidi"/>
                <w:color w:val="auto"/>
                <w:lang w:val="en-US" w:eastAsia="en-US"/>
              </w:rPr>
              <w:t>s</w:t>
            </w:r>
            <w:r w:rsidRPr="00C75689">
              <w:rPr>
                <w:rFonts w:asciiTheme="minorHAnsi" w:eastAsiaTheme="minorHAnsi" w:hAnsiTheme="minorHAnsi" w:cstheme="minorBidi"/>
                <w:color w:val="auto"/>
                <w:lang w:val="en-US" w:eastAsia="en-US"/>
              </w:rPr>
              <w:t xml:space="preserve"> fostered that enable increased financing for local development (public </w:t>
            </w:r>
            <w:r w:rsidRPr="00C75689">
              <w:rPr>
                <w:rFonts w:asciiTheme="minorHAnsi" w:eastAsiaTheme="minorHAnsi" w:hAnsiTheme="minorHAnsi" w:cstheme="minorBidi"/>
                <w:color w:val="auto"/>
                <w:lang w:val="en-US" w:eastAsia="en-US"/>
              </w:rPr>
              <w:lastRenderedPageBreak/>
              <w:t>and private)</w:t>
            </w:r>
          </w:p>
        </w:tc>
        <w:tc>
          <w:tcPr>
            <w:tcW w:w="1530" w:type="dxa"/>
            <w:shd w:val="clear" w:color="auto" w:fill="FFFFFF" w:themeFill="background1"/>
          </w:tcPr>
          <w:p w14:paraId="50CE63FE"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p>
          <w:p w14:paraId="18DEDC52" w14:textId="0661DF37" w:rsidR="00A4270A" w:rsidRPr="00C75689" w:rsidRDefault="009838A9" w:rsidP="00C75689">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lastRenderedPageBreak/>
              <w:t>0</w:t>
            </w:r>
          </w:p>
        </w:tc>
        <w:tc>
          <w:tcPr>
            <w:tcW w:w="1530" w:type="dxa"/>
            <w:shd w:val="clear" w:color="auto" w:fill="FFFFFF" w:themeFill="background1"/>
          </w:tcPr>
          <w:p w14:paraId="77651E73" w14:textId="77777777" w:rsidR="00A41106" w:rsidRPr="00A41106" w:rsidRDefault="00A41106" w:rsidP="00C75689">
            <w:pPr>
              <w:rPr>
                <w:rFonts w:asciiTheme="minorHAnsi" w:eastAsiaTheme="minorHAnsi" w:hAnsiTheme="minorHAnsi" w:cstheme="minorBidi"/>
                <w:color w:val="244061" w:themeColor="accent1" w:themeShade="80"/>
                <w:lang w:val="en-US" w:eastAsia="en-US"/>
              </w:rPr>
            </w:pPr>
          </w:p>
          <w:p w14:paraId="7D4E2C3E" w14:textId="77777777" w:rsidR="00A41106" w:rsidRPr="00A41106" w:rsidRDefault="00A41106" w:rsidP="00C75689">
            <w:pPr>
              <w:rPr>
                <w:rFonts w:asciiTheme="minorHAnsi" w:eastAsiaTheme="minorHAnsi" w:hAnsiTheme="minorHAnsi" w:cstheme="minorBidi"/>
                <w:color w:val="244061" w:themeColor="accent1" w:themeShade="80"/>
                <w:lang w:val="en-US" w:eastAsia="en-US"/>
              </w:rPr>
            </w:pPr>
          </w:p>
          <w:p w14:paraId="44EF9782" w14:textId="4A1E99D1" w:rsidR="00A4270A" w:rsidRPr="00A41106" w:rsidRDefault="00A41106" w:rsidP="00C75689">
            <w:pPr>
              <w:rPr>
                <w:rFonts w:asciiTheme="minorHAnsi" w:eastAsiaTheme="minorHAnsi" w:hAnsiTheme="minorHAnsi" w:cstheme="minorBidi"/>
                <w:color w:val="244061" w:themeColor="accent1" w:themeShade="80"/>
                <w:lang w:val="en-US" w:eastAsia="en-US"/>
              </w:rPr>
            </w:pPr>
            <w:r w:rsidRPr="00A41106">
              <w:rPr>
                <w:rFonts w:asciiTheme="minorHAnsi" w:eastAsiaTheme="minorHAnsi" w:hAnsiTheme="minorHAnsi" w:cstheme="minorBidi"/>
                <w:color w:val="244061" w:themeColor="accent1" w:themeShade="80"/>
                <w:lang w:val="en-US" w:eastAsia="en-US"/>
              </w:rPr>
              <w:t>4</w:t>
            </w:r>
            <w:r w:rsidRPr="00A41106">
              <w:rPr>
                <w:rStyle w:val="FootnoteReference"/>
                <w:rFonts w:asciiTheme="minorHAnsi" w:eastAsiaTheme="minorHAnsi" w:hAnsiTheme="minorHAnsi" w:cstheme="minorBidi"/>
                <w:color w:val="244061" w:themeColor="accent1" w:themeShade="80"/>
                <w:lang w:val="en-US" w:eastAsia="en-US"/>
              </w:rPr>
              <w:footnoteReference w:id="22"/>
            </w:r>
          </w:p>
        </w:tc>
        <w:tc>
          <w:tcPr>
            <w:tcW w:w="3510" w:type="dxa"/>
            <w:shd w:val="clear" w:color="auto" w:fill="FFFFFF" w:themeFill="background1"/>
          </w:tcPr>
          <w:p w14:paraId="38B6EF7C" w14:textId="5ADF9417" w:rsidR="00A4270A" w:rsidRPr="00C75689" w:rsidRDefault="006D10E0" w:rsidP="00C75689">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 xml:space="preserve">75% of LDCs adopting enabling policy environments for local </w:t>
            </w:r>
            <w:r>
              <w:rPr>
                <w:rFonts w:asciiTheme="minorHAnsi" w:eastAsiaTheme="minorHAnsi" w:hAnsiTheme="minorHAnsi" w:cstheme="minorBidi"/>
                <w:color w:val="auto"/>
                <w:lang w:val="en-US" w:eastAsia="en-US"/>
              </w:rPr>
              <w:lastRenderedPageBreak/>
              <w:t>development</w:t>
            </w:r>
          </w:p>
          <w:p w14:paraId="5D0E3CA4" w14:textId="73BCE5D8" w:rsidR="00A4270A" w:rsidRPr="00C75689" w:rsidRDefault="00A4270A" w:rsidP="00C75689">
            <w:pPr>
              <w:spacing w:after="200" w:line="276" w:lineRule="auto"/>
              <w:rPr>
                <w:rFonts w:asciiTheme="minorHAnsi" w:eastAsiaTheme="minorHAnsi" w:hAnsiTheme="minorHAnsi" w:cstheme="minorBidi"/>
                <w:color w:val="auto"/>
                <w:lang w:val="en-US" w:eastAsia="en-US"/>
              </w:rPr>
            </w:pPr>
          </w:p>
        </w:tc>
      </w:tr>
      <w:tr w:rsidR="00FC2BD0" w:rsidRPr="00C75689" w14:paraId="4F025C9A" w14:textId="77777777" w:rsidTr="00FC2BD0">
        <w:trPr>
          <w:trHeight w:val="443"/>
        </w:trPr>
        <w:tc>
          <w:tcPr>
            <w:tcW w:w="0" w:type="auto"/>
            <w:tcBorders>
              <w:bottom w:val="single" w:sz="4" w:space="0" w:color="auto"/>
            </w:tcBorders>
            <w:shd w:val="clear" w:color="auto" w:fill="F2F2F2" w:themeFill="background1" w:themeFillShade="F2"/>
            <w:hideMark/>
          </w:tcPr>
          <w:p w14:paraId="5CC6EAC2"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lastRenderedPageBreak/>
              <w:t xml:space="preserve">Outputs </w:t>
            </w:r>
            <w:r w:rsidRPr="00C75689">
              <w:rPr>
                <w:rFonts w:asciiTheme="minorHAnsi" w:eastAsiaTheme="minorHAnsi" w:hAnsiTheme="minorHAnsi" w:cstheme="minorBidi"/>
                <w:i/>
                <w:color w:val="auto"/>
                <w:lang w:val="en-US" w:eastAsia="en-US"/>
              </w:rPr>
              <w:t xml:space="preserve"> (UNCDF provides specific support for the following results)</w:t>
            </w:r>
          </w:p>
        </w:tc>
        <w:tc>
          <w:tcPr>
            <w:tcW w:w="0" w:type="auto"/>
            <w:shd w:val="clear" w:color="auto" w:fill="F2F2F2" w:themeFill="background1" w:themeFillShade="F2"/>
            <w:hideMark/>
          </w:tcPr>
          <w:p w14:paraId="5628EED7"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b/>
                <w:color w:val="auto"/>
                <w:lang w:val="en-US" w:eastAsia="en-US"/>
              </w:rPr>
              <w:t xml:space="preserve">Output Indicators </w:t>
            </w:r>
            <w:r w:rsidRPr="00C75689">
              <w:rPr>
                <w:rFonts w:asciiTheme="minorHAnsi" w:eastAsiaTheme="minorHAnsi" w:hAnsiTheme="minorHAnsi" w:cstheme="minorBidi"/>
                <w:i/>
                <w:color w:val="auto"/>
                <w:lang w:val="en-US" w:eastAsia="en-US"/>
              </w:rPr>
              <w:t xml:space="preserve">(output indicators measure only those results from schemes, services, plans, </w:t>
            </w:r>
            <w:proofErr w:type="gramStart"/>
            <w:r w:rsidRPr="00C75689">
              <w:rPr>
                <w:rFonts w:asciiTheme="minorHAnsi" w:eastAsiaTheme="minorHAnsi" w:hAnsiTheme="minorHAnsi" w:cstheme="minorBidi"/>
                <w:i/>
                <w:color w:val="auto"/>
                <w:lang w:val="en-US" w:eastAsia="en-US"/>
              </w:rPr>
              <w:t>actions</w:t>
            </w:r>
            <w:proofErr w:type="gramEnd"/>
            <w:r w:rsidRPr="00C75689">
              <w:rPr>
                <w:rFonts w:asciiTheme="minorHAnsi" w:eastAsiaTheme="minorHAnsi" w:hAnsiTheme="minorHAnsi" w:cstheme="minorBidi"/>
                <w:i/>
                <w:color w:val="auto"/>
                <w:lang w:val="en-US" w:eastAsia="en-US"/>
              </w:rPr>
              <w:t xml:space="preserve"> etc. which are specifically </w:t>
            </w:r>
            <w:r w:rsidRPr="00C75689">
              <w:rPr>
                <w:rFonts w:asciiTheme="minorHAnsi" w:eastAsiaTheme="minorHAnsi" w:hAnsiTheme="minorHAnsi" w:cstheme="minorBidi"/>
                <w:i/>
                <w:color w:val="auto"/>
                <w:u w:val="single"/>
                <w:lang w:val="en-US" w:eastAsia="en-US"/>
              </w:rPr>
              <w:t>supported</w:t>
            </w:r>
            <w:r w:rsidRPr="00C75689">
              <w:rPr>
                <w:rFonts w:asciiTheme="minorHAnsi" w:eastAsiaTheme="minorHAnsi" w:hAnsiTheme="minorHAnsi" w:cstheme="minorBidi"/>
                <w:i/>
                <w:color w:val="auto"/>
                <w:lang w:val="en-US" w:eastAsia="en-US"/>
              </w:rPr>
              <w:t xml:space="preserve"> by UNCDF).  </w:t>
            </w:r>
          </w:p>
        </w:tc>
        <w:tc>
          <w:tcPr>
            <w:tcW w:w="1530" w:type="dxa"/>
            <w:shd w:val="clear" w:color="auto" w:fill="F2F2F2" w:themeFill="background1" w:themeFillShade="F2"/>
          </w:tcPr>
          <w:p w14:paraId="7B5F8A30"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Baselines </w:t>
            </w:r>
            <w:r w:rsidRPr="00C75689">
              <w:rPr>
                <w:rFonts w:asciiTheme="minorHAnsi" w:eastAsiaTheme="minorHAnsi" w:hAnsiTheme="minorHAnsi" w:cstheme="minorBidi"/>
                <w:i/>
                <w:color w:val="auto"/>
                <w:lang w:val="en-US" w:eastAsia="en-US"/>
              </w:rPr>
              <w:t>(2013, unless noted)</w:t>
            </w:r>
          </w:p>
        </w:tc>
        <w:tc>
          <w:tcPr>
            <w:tcW w:w="1530" w:type="dxa"/>
            <w:shd w:val="clear" w:color="auto" w:fill="F2F2F2" w:themeFill="background1" w:themeFillShade="F2"/>
          </w:tcPr>
          <w:p w14:paraId="70521355" w14:textId="7E3F5DCD" w:rsidR="00A4270A" w:rsidRPr="00ED4D99" w:rsidRDefault="00FC2BD0" w:rsidP="00C75689">
            <w:pPr>
              <w:rPr>
                <w:rFonts w:asciiTheme="minorHAnsi" w:eastAsiaTheme="minorHAnsi" w:hAnsiTheme="minorHAnsi" w:cstheme="minorBidi"/>
                <w:b/>
                <w:color w:val="244061" w:themeColor="accent1" w:themeShade="80"/>
                <w:lang w:val="en-US" w:eastAsia="en-US"/>
              </w:rPr>
            </w:pPr>
            <w:r w:rsidRPr="00ED4D99">
              <w:rPr>
                <w:rFonts w:asciiTheme="minorHAnsi" w:eastAsiaTheme="minorHAnsi" w:hAnsiTheme="minorHAnsi" w:cstheme="minorBidi"/>
                <w:b/>
                <w:color w:val="244061" w:themeColor="accent1" w:themeShade="80"/>
                <w:lang w:val="en-US" w:eastAsia="en-US"/>
              </w:rPr>
              <w:t>Results for 2014</w:t>
            </w:r>
          </w:p>
        </w:tc>
        <w:tc>
          <w:tcPr>
            <w:tcW w:w="3510" w:type="dxa"/>
            <w:shd w:val="clear" w:color="auto" w:fill="F2F2F2" w:themeFill="background1" w:themeFillShade="F2"/>
            <w:hideMark/>
          </w:tcPr>
          <w:p w14:paraId="1B455CB5" w14:textId="36943F6D"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Targets </w:t>
            </w:r>
            <w:r w:rsidRPr="00C75689">
              <w:rPr>
                <w:rFonts w:asciiTheme="minorHAnsi" w:eastAsiaTheme="minorHAnsi" w:hAnsiTheme="minorHAnsi" w:cstheme="minorBidi"/>
                <w:i/>
                <w:color w:val="auto"/>
                <w:lang w:val="en-US" w:eastAsia="en-US"/>
              </w:rPr>
              <w:t>(2017</w:t>
            </w:r>
            <w:r>
              <w:rPr>
                <w:rFonts w:asciiTheme="minorHAnsi" w:eastAsiaTheme="minorHAnsi" w:hAnsiTheme="minorHAnsi" w:cstheme="minorBidi"/>
                <w:i/>
                <w:color w:val="auto"/>
                <w:lang w:val="en-US" w:eastAsia="en-US"/>
              </w:rPr>
              <w:t>, unless noted</w:t>
            </w:r>
            <w:r w:rsidRPr="00C75689">
              <w:rPr>
                <w:rFonts w:asciiTheme="minorHAnsi" w:eastAsiaTheme="minorHAnsi" w:hAnsiTheme="minorHAnsi" w:cstheme="minorBidi"/>
                <w:i/>
                <w:color w:val="auto"/>
                <w:lang w:val="en-US" w:eastAsia="en-US"/>
              </w:rPr>
              <w:t>)</w:t>
            </w:r>
          </w:p>
        </w:tc>
      </w:tr>
      <w:tr w:rsidR="00FC2BD0" w:rsidRPr="00C75689" w14:paraId="3562C0BD" w14:textId="77777777" w:rsidTr="00FC2BD0">
        <w:trPr>
          <w:trHeight w:val="512"/>
        </w:trPr>
        <w:tc>
          <w:tcPr>
            <w:tcW w:w="0" w:type="auto"/>
            <w:vMerge w:val="restart"/>
            <w:shd w:val="clear" w:color="auto" w:fill="FFFFFF" w:themeFill="background1"/>
          </w:tcPr>
          <w:p w14:paraId="28A75969"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b/>
                <w:color w:val="auto"/>
                <w:lang w:val="en-US" w:eastAsia="en-US"/>
              </w:rPr>
              <w:t>Output 3.1</w:t>
            </w:r>
            <w:r w:rsidRPr="00C75689">
              <w:rPr>
                <w:rFonts w:asciiTheme="minorHAnsi" w:eastAsiaTheme="minorHAnsi" w:hAnsiTheme="minorHAnsi" w:cstheme="minorBidi"/>
                <w:color w:val="auto"/>
                <w:lang w:val="en-US" w:eastAsia="en-US"/>
              </w:rPr>
              <w:t xml:space="preserve"> UNCDF- funded diagnostic tools/advocacy </w:t>
            </w:r>
            <w:proofErr w:type="spellStart"/>
            <w:r w:rsidRPr="00C75689">
              <w:rPr>
                <w:rFonts w:asciiTheme="minorHAnsi" w:eastAsiaTheme="minorHAnsi" w:hAnsiTheme="minorHAnsi" w:cstheme="minorBidi"/>
                <w:color w:val="auto"/>
                <w:lang w:val="en-US" w:eastAsia="en-US"/>
              </w:rPr>
              <w:t>initatitives</w:t>
            </w:r>
            <w:proofErr w:type="spellEnd"/>
            <w:r w:rsidRPr="00C75689">
              <w:rPr>
                <w:rFonts w:asciiTheme="minorHAnsi" w:eastAsiaTheme="minorHAnsi" w:hAnsiTheme="minorHAnsi" w:cstheme="minorBidi"/>
                <w:color w:val="auto"/>
                <w:lang w:val="en-US" w:eastAsia="en-US"/>
              </w:rPr>
              <w:t xml:space="preserve"> provide a key contribution to shaping national governments’ agendas on financial inclusion </w:t>
            </w:r>
          </w:p>
        </w:tc>
        <w:tc>
          <w:tcPr>
            <w:tcW w:w="0" w:type="auto"/>
            <w:shd w:val="clear" w:color="auto" w:fill="FFFFFF" w:themeFill="background1"/>
            <w:hideMark/>
          </w:tcPr>
          <w:p w14:paraId="371DE657" w14:textId="77777777" w:rsidR="00A4270A" w:rsidRPr="00C75689" w:rsidRDefault="00A4270A" w:rsidP="00C75689">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 xml:space="preserve">3.1.1 Number of diagnostics on financial inclusion completed </w:t>
            </w:r>
            <w:r w:rsidRPr="00C75689">
              <w:rPr>
                <w:rFonts w:asciiTheme="minorHAnsi" w:eastAsiaTheme="minorHAnsi" w:hAnsiTheme="minorHAnsi" w:cstheme="minorBidi"/>
                <w:color w:val="auto"/>
                <w:vertAlign w:val="superscript"/>
                <w:lang w:eastAsia="en-US"/>
              </w:rPr>
              <w:footnoteReference w:id="23"/>
            </w:r>
          </w:p>
        </w:tc>
        <w:tc>
          <w:tcPr>
            <w:tcW w:w="1530" w:type="dxa"/>
            <w:shd w:val="clear" w:color="auto" w:fill="FFFFFF" w:themeFill="background1"/>
          </w:tcPr>
          <w:p w14:paraId="111A5F3D"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p>
          <w:p w14:paraId="3BC47383"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p>
          <w:p w14:paraId="7A9045F2"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22</w:t>
            </w:r>
          </w:p>
        </w:tc>
        <w:tc>
          <w:tcPr>
            <w:tcW w:w="1530" w:type="dxa"/>
          </w:tcPr>
          <w:p w14:paraId="338E60FA" w14:textId="77777777" w:rsidR="00A4270A" w:rsidRDefault="00A4270A" w:rsidP="00C75689">
            <w:pPr>
              <w:rPr>
                <w:rFonts w:asciiTheme="minorHAnsi" w:eastAsiaTheme="minorHAnsi" w:hAnsiTheme="minorHAnsi" w:cstheme="minorBidi"/>
                <w:b/>
                <w:color w:val="auto"/>
                <w:lang w:val="en-US" w:eastAsia="en-US"/>
              </w:rPr>
            </w:pPr>
          </w:p>
          <w:p w14:paraId="782B1DC6" w14:textId="77777777" w:rsidR="00483FF4" w:rsidRDefault="00483FF4" w:rsidP="00C75689">
            <w:pPr>
              <w:rPr>
                <w:rFonts w:asciiTheme="minorHAnsi" w:eastAsiaTheme="minorHAnsi" w:hAnsiTheme="minorHAnsi" w:cstheme="minorBidi"/>
                <w:b/>
                <w:color w:val="auto"/>
                <w:lang w:val="en-US" w:eastAsia="en-US"/>
              </w:rPr>
            </w:pPr>
          </w:p>
          <w:p w14:paraId="292235A9" w14:textId="77777777" w:rsidR="00483FF4" w:rsidRDefault="00483FF4" w:rsidP="00C75689">
            <w:pPr>
              <w:rPr>
                <w:rFonts w:asciiTheme="minorHAnsi" w:eastAsiaTheme="minorHAnsi" w:hAnsiTheme="minorHAnsi" w:cstheme="minorBidi"/>
                <w:b/>
                <w:color w:val="auto"/>
                <w:lang w:val="en-US" w:eastAsia="en-US"/>
              </w:rPr>
            </w:pPr>
          </w:p>
          <w:p w14:paraId="20714A45" w14:textId="77777777" w:rsidR="00483FF4" w:rsidRDefault="00483FF4" w:rsidP="00C75689">
            <w:pPr>
              <w:rPr>
                <w:rFonts w:asciiTheme="minorHAnsi" w:eastAsiaTheme="minorHAnsi" w:hAnsiTheme="minorHAnsi" w:cstheme="minorBidi"/>
                <w:b/>
                <w:color w:val="auto"/>
                <w:lang w:val="en-US" w:eastAsia="en-US"/>
              </w:rPr>
            </w:pPr>
          </w:p>
          <w:p w14:paraId="3ABEADA6" w14:textId="54AB9DC8" w:rsidR="00483FF4" w:rsidRPr="00AF0DE9" w:rsidRDefault="00AF0DE9" w:rsidP="00C75689">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19</w:t>
            </w:r>
          </w:p>
        </w:tc>
        <w:tc>
          <w:tcPr>
            <w:tcW w:w="3510" w:type="dxa"/>
            <w:shd w:val="clear" w:color="auto" w:fill="auto"/>
          </w:tcPr>
          <w:p w14:paraId="0BD8618F" w14:textId="17BCA2CF" w:rsidR="00A4270A" w:rsidRPr="00C75689" w:rsidRDefault="00A4270A" w:rsidP="00C75689">
            <w:pPr>
              <w:spacing w:after="200" w:line="276" w:lineRule="auto"/>
              <w:rPr>
                <w:rFonts w:asciiTheme="minorHAnsi" w:eastAsiaTheme="minorHAnsi" w:hAnsiTheme="minorHAnsi" w:cstheme="minorBidi"/>
                <w:b/>
                <w:color w:val="auto"/>
                <w:lang w:val="en-US" w:eastAsia="en-US"/>
              </w:rPr>
            </w:pPr>
          </w:p>
          <w:p w14:paraId="07235C2E"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p>
          <w:p w14:paraId="72941126"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color w:val="auto"/>
                <w:lang w:val="en-US" w:eastAsia="en-US"/>
              </w:rPr>
              <w:t>55</w:t>
            </w:r>
            <w:r w:rsidRPr="00C75689">
              <w:rPr>
                <w:rFonts w:asciiTheme="minorHAnsi" w:eastAsiaTheme="minorHAnsi" w:hAnsiTheme="minorHAnsi" w:cstheme="minorBidi"/>
                <w:b/>
                <w:color w:val="auto"/>
                <w:lang w:val="en-US" w:eastAsia="en-US"/>
              </w:rPr>
              <w:t xml:space="preserve"> </w:t>
            </w:r>
            <w:r w:rsidRPr="00C75689">
              <w:rPr>
                <w:rFonts w:asciiTheme="minorHAnsi" w:eastAsiaTheme="minorHAnsi" w:hAnsiTheme="minorHAnsi" w:cstheme="minorBidi"/>
                <w:color w:val="auto"/>
                <w:lang w:val="en-US" w:eastAsia="en-US"/>
              </w:rPr>
              <w:t>(cumulative 2014 – 2017)</w:t>
            </w:r>
          </w:p>
        </w:tc>
      </w:tr>
      <w:tr w:rsidR="00FC2BD0" w:rsidRPr="00C75689" w14:paraId="375D73F3" w14:textId="77777777" w:rsidTr="00FC2BD0">
        <w:trPr>
          <w:trHeight w:val="512"/>
        </w:trPr>
        <w:tc>
          <w:tcPr>
            <w:tcW w:w="0" w:type="auto"/>
            <w:vMerge/>
            <w:shd w:val="clear" w:color="auto" w:fill="FFFFFF" w:themeFill="background1"/>
          </w:tcPr>
          <w:p w14:paraId="2888D5B9"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p>
        </w:tc>
        <w:tc>
          <w:tcPr>
            <w:tcW w:w="0" w:type="auto"/>
            <w:shd w:val="clear" w:color="auto" w:fill="FFFFFF" w:themeFill="background1"/>
          </w:tcPr>
          <w:p w14:paraId="247BE37D" w14:textId="77777777" w:rsidR="00A4270A" w:rsidRPr="00C75689" w:rsidRDefault="00A4270A" w:rsidP="00C75689">
            <w:pPr>
              <w:spacing w:after="200" w:line="276" w:lineRule="auto"/>
              <w:rPr>
                <w:rFonts w:asciiTheme="minorHAnsi" w:eastAsiaTheme="minorHAnsi" w:hAnsiTheme="minorHAnsi" w:cstheme="minorBidi"/>
                <w:color w:val="auto"/>
                <w:u w:val="single"/>
                <w:lang w:eastAsia="en-US"/>
              </w:rPr>
            </w:pPr>
            <w:r w:rsidRPr="00C75689">
              <w:rPr>
                <w:rFonts w:asciiTheme="minorHAnsi" w:eastAsiaTheme="minorHAnsi" w:hAnsiTheme="minorHAnsi" w:cstheme="minorBidi"/>
                <w:color w:val="auto"/>
                <w:lang w:eastAsia="en-US"/>
              </w:rPr>
              <w:t>3.1.2 Number of inclusive finance road maps, action plans or national strategies adopted</w:t>
            </w:r>
            <w:r w:rsidRPr="00C75689">
              <w:rPr>
                <w:rFonts w:asciiTheme="minorHAnsi" w:eastAsiaTheme="minorHAnsi" w:hAnsiTheme="minorHAnsi" w:cstheme="minorBidi"/>
                <w:color w:val="auto"/>
                <w:vertAlign w:val="superscript"/>
                <w:lang w:eastAsia="en-US"/>
              </w:rPr>
              <w:footnoteReference w:id="24"/>
            </w:r>
            <w:r w:rsidRPr="00C75689">
              <w:rPr>
                <w:rFonts w:asciiTheme="minorHAnsi" w:eastAsiaTheme="minorHAnsi" w:hAnsiTheme="minorHAnsi" w:cstheme="minorBidi"/>
                <w:color w:val="auto"/>
                <w:u w:val="single"/>
                <w:lang w:eastAsia="en-US"/>
              </w:rPr>
              <w:t xml:space="preserve"> </w:t>
            </w:r>
          </w:p>
          <w:p w14:paraId="3FD2FE9D" w14:textId="77777777" w:rsidR="00A4270A" w:rsidRPr="00C75689" w:rsidRDefault="00A4270A" w:rsidP="00C75689">
            <w:pPr>
              <w:spacing w:after="200" w:line="276" w:lineRule="auto"/>
              <w:rPr>
                <w:rFonts w:asciiTheme="minorHAnsi" w:eastAsiaTheme="minorHAnsi" w:hAnsiTheme="minorHAnsi" w:cstheme="minorBidi"/>
                <w:color w:val="auto"/>
                <w:lang w:eastAsia="en-US"/>
              </w:rPr>
            </w:pPr>
          </w:p>
        </w:tc>
        <w:tc>
          <w:tcPr>
            <w:tcW w:w="1530" w:type="dxa"/>
            <w:shd w:val="clear" w:color="auto" w:fill="FFFFFF" w:themeFill="background1"/>
          </w:tcPr>
          <w:p w14:paraId="1C7E9C76"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6</w:t>
            </w:r>
          </w:p>
        </w:tc>
        <w:tc>
          <w:tcPr>
            <w:tcW w:w="1530" w:type="dxa"/>
          </w:tcPr>
          <w:p w14:paraId="0AD75859" w14:textId="22FCEBB8" w:rsidR="00A4270A" w:rsidRPr="00A7247B" w:rsidRDefault="007D7A2E" w:rsidP="00C75689">
            <w:pPr>
              <w:rPr>
                <w:rFonts w:asciiTheme="minorHAnsi" w:eastAsiaTheme="minorHAnsi" w:hAnsiTheme="minorHAnsi" w:cstheme="minorBidi"/>
                <w:color w:val="244061" w:themeColor="accent1" w:themeShade="80"/>
                <w:lang w:val="en-US" w:eastAsia="en-US"/>
              </w:rPr>
            </w:pPr>
            <w:r w:rsidRPr="00A7247B">
              <w:rPr>
                <w:rFonts w:asciiTheme="minorHAnsi" w:eastAsiaTheme="minorHAnsi" w:hAnsiTheme="minorHAnsi" w:cstheme="minorBidi"/>
                <w:color w:val="244061" w:themeColor="accent1" w:themeShade="80"/>
                <w:lang w:val="en-US" w:eastAsia="en-US"/>
              </w:rPr>
              <w:t>8</w:t>
            </w:r>
          </w:p>
        </w:tc>
        <w:tc>
          <w:tcPr>
            <w:tcW w:w="3510" w:type="dxa"/>
            <w:shd w:val="clear" w:color="auto" w:fill="auto"/>
          </w:tcPr>
          <w:p w14:paraId="40452306" w14:textId="401899F6"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35 (cumulative 2014 – 2017)</w:t>
            </w:r>
          </w:p>
        </w:tc>
      </w:tr>
      <w:tr w:rsidR="00FC2BD0" w:rsidRPr="00C75689" w14:paraId="1FEDF167" w14:textId="77777777" w:rsidTr="00FC2BD0">
        <w:trPr>
          <w:trHeight w:val="512"/>
        </w:trPr>
        <w:tc>
          <w:tcPr>
            <w:tcW w:w="0" w:type="auto"/>
            <w:vMerge/>
            <w:tcBorders>
              <w:bottom w:val="nil"/>
            </w:tcBorders>
            <w:shd w:val="clear" w:color="auto" w:fill="FFFFFF" w:themeFill="background1"/>
          </w:tcPr>
          <w:p w14:paraId="1735F1CB"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p>
        </w:tc>
        <w:tc>
          <w:tcPr>
            <w:tcW w:w="0" w:type="auto"/>
            <w:shd w:val="clear" w:color="auto" w:fill="FFFFFF" w:themeFill="background1"/>
          </w:tcPr>
          <w:p w14:paraId="0B89BB49" w14:textId="77777777" w:rsidR="00A4270A" w:rsidRPr="00C75689" w:rsidRDefault="00A4270A" w:rsidP="00C75689">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3.1.3. Number of commitments to the Better than Cash Alliance</w:t>
            </w:r>
            <w:r w:rsidRPr="00C75689">
              <w:rPr>
                <w:rFonts w:asciiTheme="minorHAnsi" w:eastAsiaTheme="minorHAnsi" w:hAnsiTheme="minorHAnsi" w:cstheme="minorBidi"/>
                <w:color w:val="auto"/>
                <w:vertAlign w:val="superscript"/>
                <w:lang w:eastAsia="en-US"/>
              </w:rPr>
              <w:footnoteReference w:id="25"/>
            </w:r>
            <w:r w:rsidRPr="00C75689">
              <w:rPr>
                <w:rFonts w:asciiTheme="minorHAnsi" w:eastAsiaTheme="minorHAnsi" w:hAnsiTheme="minorHAnsi" w:cstheme="minorBidi"/>
                <w:color w:val="auto"/>
                <w:lang w:eastAsia="en-US"/>
              </w:rPr>
              <w:t xml:space="preserve"> to transition cash to electronic payments</w:t>
            </w:r>
          </w:p>
          <w:p w14:paraId="3DE29E63" w14:textId="77777777" w:rsidR="00A4270A" w:rsidRPr="00C75689" w:rsidRDefault="00A4270A" w:rsidP="00C75689">
            <w:pPr>
              <w:spacing w:after="200" w:line="276" w:lineRule="auto"/>
              <w:rPr>
                <w:rFonts w:asciiTheme="minorHAnsi" w:eastAsiaTheme="minorHAnsi" w:hAnsiTheme="minorHAnsi" w:cstheme="minorBidi"/>
                <w:color w:val="auto"/>
                <w:lang w:eastAsia="en-US"/>
              </w:rPr>
            </w:pPr>
          </w:p>
        </w:tc>
        <w:tc>
          <w:tcPr>
            <w:tcW w:w="1530" w:type="dxa"/>
            <w:shd w:val="clear" w:color="auto" w:fill="FFFFFF" w:themeFill="background1"/>
          </w:tcPr>
          <w:p w14:paraId="39E2FEA7"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lastRenderedPageBreak/>
              <w:t>4</w:t>
            </w:r>
          </w:p>
        </w:tc>
        <w:tc>
          <w:tcPr>
            <w:tcW w:w="1530" w:type="dxa"/>
          </w:tcPr>
          <w:p w14:paraId="793C85C5" w14:textId="5BEBB906" w:rsidR="00A4270A" w:rsidRPr="00A7247B" w:rsidRDefault="007D7A2E" w:rsidP="008A0540">
            <w:pPr>
              <w:rPr>
                <w:rFonts w:asciiTheme="minorHAnsi" w:eastAsiaTheme="minorHAnsi" w:hAnsiTheme="minorHAnsi" w:cstheme="minorBidi"/>
                <w:color w:val="244061" w:themeColor="accent1" w:themeShade="80"/>
                <w:lang w:val="en-US" w:eastAsia="en-US"/>
              </w:rPr>
            </w:pPr>
            <w:r w:rsidRPr="00A7247B">
              <w:rPr>
                <w:rFonts w:asciiTheme="minorHAnsi" w:eastAsiaTheme="minorHAnsi" w:hAnsiTheme="minorHAnsi" w:cstheme="minorBidi"/>
                <w:color w:val="244061" w:themeColor="accent1" w:themeShade="80"/>
                <w:lang w:val="en-US" w:eastAsia="en-US"/>
              </w:rPr>
              <w:t>35</w:t>
            </w:r>
          </w:p>
        </w:tc>
        <w:tc>
          <w:tcPr>
            <w:tcW w:w="3510" w:type="dxa"/>
            <w:shd w:val="clear" w:color="auto" w:fill="auto"/>
          </w:tcPr>
          <w:p w14:paraId="54501978" w14:textId="026509FB" w:rsidR="00A4270A" w:rsidRPr="00C75689" w:rsidRDefault="00A4270A" w:rsidP="008A0540">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color w:val="auto"/>
                <w:lang w:val="en-US" w:eastAsia="en-US"/>
              </w:rPr>
              <w:t>35</w:t>
            </w:r>
            <w:r w:rsidRPr="00C75689">
              <w:rPr>
                <w:rFonts w:asciiTheme="minorHAnsi" w:eastAsiaTheme="minorHAnsi" w:hAnsiTheme="minorHAnsi" w:cstheme="minorBidi"/>
                <w:b/>
                <w:color w:val="auto"/>
                <w:lang w:val="en-US" w:eastAsia="en-US"/>
              </w:rPr>
              <w:t xml:space="preserve"> </w:t>
            </w:r>
            <w:r w:rsidRPr="00C75689">
              <w:rPr>
                <w:rFonts w:asciiTheme="minorHAnsi" w:eastAsiaTheme="minorHAnsi" w:hAnsiTheme="minorHAnsi" w:cstheme="minorBidi"/>
                <w:color w:val="auto"/>
                <w:lang w:val="en-US" w:eastAsia="en-US"/>
              </w:rPr>
              <w:t>(Cumulative 2014 – 20</w:t>
            </w:r>
            <w:r>
              <w:rPr>
                <w:rFonts w:asciiTheme="minorHAnsi" w:eastAsiaTheme="minorHAnsi" w:hAnsiTheme="minorHAnsi" w:cstheme="minorBidi"/>
                <w:color w:val="auto"/>
                <w:lang w:val="en-US" w:eastAsia="en-US"/>
              </w:rPr>
              <w:t>1</w:t>
            </w:r>
            <w:r w:rsidRPr="00C75689">
              <w:rPr>
                <w:rFonts w:asciiTheme="minorHAnsi" w:eastAsiaTheme="minorHAnsi" w:hAnsiTheme="minorHAnsi" w:cstheme="minorBidi"/>
                <w:color w:val="auto"/>
                <w:lang w:val="en-US" w:eastAsia="en-US"/>
              </w:rPr>
              <w:t>7)</w:t>
            </w:r>
          </w:p>
        </w:tc>
      </w:tr>
      <w:tr w:rsidR="00FC2BD0" w:rsidRPr="00C75689" w14:paraId="0EBDEB74" w14:textId="77777777" w:rsidTr="00FC2BD0">
        <w:trPr>
          <w:trHeight w:val="512"/>
        </w:trPr>
        <w:tc>
          <w:tcPr>
            <w:tcW w:w="0" w:type="auto"/>
            <w:tcBorders>
              <w:top w:val="nil"/>
              <w:bottom w:val="nil"/>
            </w:tcBorders>
            <w:shd w:val="clear" w:color="auto" w:fill="FFFFFF" w:themeFill="background1"/>
          </w:tcPr>
          <w:p w14:paraId="0652C9F9"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p>
        </w:tc>
        <w:tc>
          <w:tcPr>
            <w:tcW w:w="0" w:type="auto"/>
            <w:shd w:val="clear" w:color="auto" w:fill="FFFFFF" w:themeFill="background1"/>
          </w:tcPr>
          <w:p w14:paraId="311B08DC" w14:textId="77777777" w:rsidR="00A4270A" w:rsidRPr="00C75689" w:rsidRDefault="00A4270A" w:rsidP="00C75689">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 xml:space="preserve">3.1.4 Number of capacity building activities completed to strengthen the capacity of regulators and supervisors, especially to </w:t>
            </w:r>
            <w:r>
              <w:rPr>
                <w:rFonts w:asciiTheme="minorHAnsi" w:eastAsiaTheme="minorHAnsi" w:hAnsiTheme="minorHAnsi" w:cstheme="minorBidi"/>
                <w:color w:val="auto"/>
                <w:lang w:eastAsia="en-US"/>
              </w:rPr>
              <w:t>safeguard poor people’s savings</w:t>
            </w:r>
            <w:r w:rsidRPr="00C75689">
              <w:rPr>
                <w:rFonts w:asciiTheme="minorHAnsi" w:eastAsiaTheme="minorHAnsi" w:hAnsiTheme="minorHAnsi" w:cstheme="minorBidi"/>
                <w:color w:val="auto"/>
                <w:lang w:eastAsia="en-US"/>
              </w:rPr>
              <w:t xml:space="preserve"> </w:t>
            </w:r>
          </w:p>
          <w:p w14:paraId="752FAA9F" w14:textId="77777777" w:rsidR="00A4270A" w:rsidRPr="00C75689" w:rsidRDefault="00A4270A" w:rsidP="00C75689">
            <w:pPr>
              <w:spacing w:after="200" w:line="276" w:lineRule="auto"/>
              <w:rPr>
                <w:rFonts w:asciiTheme="minorHAnsi" w:eastAsiaTheme="minorHAnsi" w:hAnsiTheme="minorHAnsi" w:cstheme="minorBidi"/>
                <w:color w:val="auto"/>
                <w:lang w:eastAsia="en-US"/>
              </w:rPr>
            </w:pPr>
          </w:p>
        </w:tc>
        <w:tc>
          <w:tcPr>
            <w:tcW w:w="1530" w:type="dxa"/>
            <w:shd w:val="clear" w:color="auto" w:fill="FFFFFF" w:themeFill="background1"/>
          </w:tcPr>
          <w:p w14:paraId="40B199A3"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15</w:t>
            </w:r>
          </w:p>
        </w:tc>
        <w:tc>
          <w:tcPr>
            <w:tcW w:w="1530" w:type="dxa"/>
          </w:tcPr>
          <w:p w14:paraId="64AB39D2" w14:textId="7D260A72" w:rsidR="00A4270A" w:rsidRPr="00A7247B" w:rsidRDefault="007D7A2E" w:rsidP="00C75689">
            <w:pPr>
              <w:rPr>
                <w:rFonts w:asciiTheme="minorHAnsi" w:eastAsiaTheme="minorHAnsi" w:hAnsiTheme="minorHAnsi" w:cstheme="minorBidi"/>
                <w:color w:val="244061" w:themeColor="accent1" w:themeShade="80"/>
                <w:lang w:val="en-US" w:eastAsia="en-US"/>
              </w:rPr>
            </w:pPr>
            <w:r w:rsidRPr="00A7247B">
              <w:rPr>
                <w:rFonts w:asciiTheme="minorHAnsi" w:eastAsiaTheme="minorHAnsi" w:hAnsiTheme="minorHAnsi" w:cstheme="minorBidi"/>
                <w:color w:val="244061" w:themeColor="accent1" w:themeShade="80"/>
                <w:lang w:val="en-US" w:eastAsia="en-US"/>
              </w:rPr>
              <w:t>52</w:t>
            </w:r>
          </w:p>
        </w:tc>
        <w:tc>
          <w:tcPr>
            <w:tcW w:w="3510" w:type="dxa"/>
            <w:shd w:val="clear" w:color="auto" w:fill="auto"/>
          </w:tcPr>
          <w:p w14:paraId="785FD010" w14:textId="21E4E17D"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115 (cumulative 2014- 2017)</w:t>
            </w:r>
          </w:p>
        </w:tc>
      </w:tr>
      <w:tr w:rsidR="00FC2BD0" w:rsidRPr="00C75689" w14:paraId="6B8A7BA3" w14:textId="77777777" w:rsidTr="00FC2BD0">
        <w:trPr>
          <w:trHeight w:val="70"/>
        </w:trPr>
        <w:tc>
          <w:tcPr>
            <w:tcW w:w="0" w:type="auto"/>
            <w:tcBorders>
              <w:top w:val="nil"/>
            </w:tcBorders>
            <w:shd w:val="clear" w:color="auto" w:fill="FFFFFF" w:themeFill="background1"/>
          </w:tcPr>
          <w:p w14:paraId="26FE7B83" w14:textId="77777777" w:rsidR="00A4270A" w:rsidRPr="00C75689" w:rsidRDefault="00A4270A" w:rsidP="00C75689">
            <w:pPr>
              <w:spacing w:after="200" w:line="276" w:lineRule="auto"/>
              <w:rPr>
                <w:rFonts w:asciiTheme="minorHAnsi" w:eastAsiaTheme="minorHAnsi" w:hAnsiTheme="minorHAnsi" w:cstheme="minorBidi"/>
                <w:b/>
                <w:color w:val="auto"/>
                <w:lang w:val="en-US" w:eastAsia="en-US"/>
              </w:rPr>
            </w:pPr>
          </w:p>
        </w:tc>
        <w:tc>
          <w:tcPr>
            <w:tcW w:w="0" w:type="auto"/>
            <w:shd w:val="clear" w:color="auto" w:fill="FFFFFF" w:themeFill="background1"/>
          </w:tcPr>
          <w:p w14:paraId="0BD5172D" w14:textId="77777777" w:rsidR="00A4270A" w:rsidRPr="00C75689" w:rsidRDefault="00A4270A" w:rsidP="00C75689">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3.1.5. Number and quality of approved UNCDF publications (inclusive finance)</w:t>
            </w:r>
          </w:p>
        </w:tc>
        <w:tc>
          <w:tcPr>
            <w:tcW w:w="1530" w:type="dxa"/>
            <w:shd w:val="clear" w:color="auto" w:fill="FFFFFF" w:themeFill="background1"/>
          </w:tcPr>
          <w:p w14:paraId="08E6D0E0" w14:textId="77777777"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19</w:t>
            </w:r>
          </w:p>
        </w:tc>
        <w:tc>
          <w:tcPr>
            <w:tcW w:w="1530" w:type="dxa"/>
          </w:tcPr>
          <w:p w14:paraId="0C2688C5" w14:textId="376BAD80" w:rsidR="00A4270A" w:rsidRPr="00A7247B" w:rsidRDefault="007D7A2E" w:rsidP="00C75689">
            <w:pPr>
              <w:rPr>
                <w:rFonts w:asciiTheme="minorHAnsi" w:eastAsiaTheme="minorHAnsi" w:hAnsiTheme="minorHAnsi" w:cstheme="minorBidi"/>
                <w:color w:val="244061" w:themeColor="accent1" w:themeShade="80"/>
                <w:lang w:val="en-US" w:eastAsia="en-US"/>
              </w:rPr>
            </w:pPr>
            <w:r w:rsidRPr="00A7247B">
              <w:rPr>
                <w:rFonts w:asciiTheme="minorHAnsi" w:eastAsiaTheme="minorHAnsi" w:hAnsiTheme="minorHAnsi" w:cstheme="minorBidi"/>
                <w:color w:val="244061" w:themeColor="accent1" w:themeShade="80"/>
                <w:lang w:val="en-US" w:eastAsia="en-US"/>
              </w:rPr>
              <w:t>62</w:t>
            </w:r>
          </w:p>
        </w:tc>
        <w:tc>
          <w:tcPr>
            <w:tcW w:w="3510" w:type="dxa"/>
            <w:shd w:val="clear" w:color="auto" w:fill="auto"/>
          </w:tcPr>
          <w:p w14:paraId="19E7C558" w14:textId="17D61D16" w:rsidR="00A4270A" w:rsidRPr="00C75689" w:rsidRDefault="00A4270A" w:rsidP="00C75689">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130 (cumulative 2014 – 2017)</w:t>
            </w:r>
          </w:p>
        </w:tc>
      </w:tr>
      <w:tr w:rsidR="00FA1C03" w:rsidRPr="00C75689" w14:paraId="13C598E1" w14:textId="77777777" w:rsidTr="00FC2BD0">
        <w:trPr>
          <w:trHeight w:val="1247"/>
        </w:trPr>
        <w:tc>
          <w:tcPr>
            <w:tcW w:w="0" w:type="auto"/>
            <w:vMerge w:val="restart"/>
            <w:shd w:val="clear" w:color="auto" w:fill="FFFFFF" w:themeFill="background1"/>
          </w:tcPr>
          <w:p w14:paraId="3AB5FEAC" w14:textId="77777777" w:rsidR="00FA1C03" w:rsidRPr="00C75689" w:rsidRDefault="00FA1C03" w:rsidP="00FA1C03">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b/>
                <w:color w:val="auto"/>
                <w:lang w:eastAsia="en-US"/>
              </w:rPr>
              <w:t xml:space="preserve">Output 3.2: </w:t>
            </w:r>
            <w:r w:rsidRPr="00C75689">
              <w:rPr>
                <w:rFonts w:asciiTheme="minorHAnsi" w:eastAsiaTheme="minorHAnsi" w:hAnsiTheme="minorHAnsi" w:cstheme="minorBidi"/>
                <w:color w:val="auto"/>
                <w:lang w:eastAsia="en-US"/>
              </w:rPr>
              <w:t>UNCDF-funded diagnostic tools/advocacy initiative provide a key contribution to shaping national governments’ agendas in local development finance</w:t>
            </w:r>
          </w:p>
        </w:tc>
        <w:tc>
          <w:tcPr>
            <w:tcW w:w="0" w:type="auto"/>
            <w:shd w:val="clear" w:color="auto" w:fill="FFFFFF" w:themeFill="background1"/>
            <w:hideMark/>
          </w:tcPr>
          <w:p w14:paraId="72F7DA08" w14:textId="77777777" w:rsidR="00FA1C03" w:rsidRPr="00C75689" w:rsidRDefault="00FA1C03" w:rsidP="00FA1C03">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3.2.1 Number of local development diagnostics completed</w:t>
            </w:r>
            <w:r w:rsidRPr="00C75689">
              <w:rPr>
                <w:rFonts w:asciiTheme="minorHAnsi" w:eastAsiaTheme="minorHAnsi" w:hAnsiTheme="minorHAnsi" w:cstheme="minorBidi"/>
                <w:color w:val="auto"/>
                <w:vertAlign w:val="superscript"/>
                <w:lang w:eastAsia="en-US"/>
              </w:rPr>
              <w:footnoteReference w:id="26"/>
            </w:r>
          </w:p>
        </w:tc>
        <w:tc>
          <w:tcPr>
            <w:tcW w:w="1530" w:type="dxa"/>
            <w:shd w:val="clear" w:color="auto" w:fill="FFFFFF" w:themeFill="background1"/>
          </w:tcPr>
          <w:p w14:paraId="29746509" w14:textId="77777777" w:rsidR="00FA1C03" w:rsidRPr="00C75689" w:rsidRDefault="00FA1C03" w:rsidP="00FA1C03">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2</w:t>
            </w:r>
          </w:p>
        </w:tc>
        <w:tc>
          <w:tcPr>
            <w:tcW w:w="1530" w:type="dxa"/>
          </w:tcPr>
          <w:p w14:paraId="3577F2A8" w14:textId="15CC5377" w:rsidR="00FA1C03" w:rsidRPr="00FA1C03" w:rsidRDefault="00FA1C03" w:rsidP="00FA1C03">
            <w:pPr>
              <w:rPr>
                <w:rFonts w:asciiTheme="minorHAnsi" w:eastAsiaTheme="minorHAnsi" w:hAnsiTheme="minorHAnsi" w:cstheme="minorBidi"/>
                <w:color w:val="244061" w:themeColor="accent1" w:themeShade="80"/>
                <w:lang w:val="en-US" w:eastAsia="en-US"/>
              </w:rPr>
            </w:pPr>
            <w:r w:rsidRPr="00FA1C03">
              <w:rPr>
                <w:rFonts w:asciiTheme="minorHAnsi" w:eastAsiaTheme="minorHAnsi" w:hAnsiTheme="minorHAnsi" w:cstheme="minorBidi"/>
                <w:color w:val="244061" w:themeColor="accent1" w:themeShade="80"/>
                <w:lang w:val="en-US" w:eastAsia="en-US"/>
              </w:rPr>
              <w:t>80</w:t>
            </w:r>
          </w:p>
        </w:tc>
        <w:tc>
          <w:tcPr>
            <w:tcW w:w="3510" w:type="dxa"/>
            <w:shd w:val="clear" w:color="auto" w:fill="auto"/>
            <w:hideMark/>
          </w:tcPr>
          <w:p w14:paraId="7154D51F" w14:textId="3D59B4C0" w:rsidR="00FA1C03" w:rsidRPr="00C75689" w:rsidRDefault="00FA1C03" w:rsidP="00FA1C03">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 xml:space="preserve">20 LOOKING diagnostics </w:t>
            </w:r>
            <w:r>
              <w:rPr>
                <w:rFonts w:asciiTheme="minorHAnsi" w:eastAsiaTheme="minorHAnsi" w:hAnsiTheme="minorHAnsi" w:cstheme="minorBidi"/>
                <w:color w:val="auto"/>
                <w:lang w:val="en-US" w:eastAsia="en-US"/>
              </w:rPr>
              <w:t>(cumulative 2014 – 2017)</w:t>
            </w:r>
          </w:p>
          <w:p w14:paraId="5E80F1B5" w14:textId="77777777" w:rsidR="00FA1C03" w:rsidRPr="00C75689" w:rsidRDefault="00FA1C03" w:rsidP="00FA1C03">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75% of LDCs adopting UNCDF-inspired strategies, plans and regulatory changes in 10 approved publications on local development</w:t>
            </w:r>
            <w:r>
              <w:rPr>
                <w:rFonts w:asciiTheme="minorHAnsi" w:eastAsiaTheme="minorHAnsi" w:hAnsiTheme="minorHAnsi" w:cstheme="minorBidi"/>
                <w:color w:val="auto"/>
                <w:lang w:val="en-US" w:eastAsia="en-US"/>
              </w:rPr>
              <w:t xml:space="preserve"> (cumulative 2014 – 2017)</w:t>
            </w:r>
          </w:p>
        </w:tc>
      </w:tr>
      <w:tr w:rsidR="00FA1C03" w:rsidRPr="00C75689" w14:paraId="4ED8F4E5" w14:textId="77777777" w:rsidTr="00FC2BD0">
        <w:trPr>
          <w:trHeight w:val="872"/>
        </w:trPr>
        <w:tc>
          <w:tcPr>
            <w:tcW w:w="0" w:type="auto"/>
            <w:vMerge/>
            <w:shd w:val="clear" w:color="auto" w:fill="FFFFFF" w:themeFill="background1"/>
          </w:tcPr>
          <w:p w14:paraId="1E86A756" w14:textId="77777777" w:rsidR="00FA1C03" w:rsidRPr="00C75689" w:rsidRDefault="00FA1C03" w:rsidP="00FA1C03">
            <w:pPr>
              <w:spacing w:after="200" w:line="276" w:lineRule="auto"/>
              <w:rPr>
                <w:rFonts w:asciiTheme="minorHAnsi" w:eastAsiaTheme="minorHAnsi" w:hAnsiTheme="minorHAnsi" w:cstheme="minorBidi"/>
                <w:b/>
                <w:color w:val="auto"/>
                <w:lang w:eastAsia="en-US"/>
              </w:rPr>
            </w:pPr>
          </w:p>
        </w:tc>
        <w:tc>
          <w:tcPr>
            <w:tcW w:w="0" w:type="auto"/>
            <w:shd w:val="clear" w:color="auto" w:fill="FFFFFF" w:themeFill="background1"/>
          </w:tcPr>
          <w:p w14:paraId="2ECE5F8A" w14:textId="77777777" w:rsidR="00FA1C03" w:rsidRPr="00C75689" w:rsidRDefault="00FA1C03" w:rsidP="00FA1C03">
            <w:pPr>
              <w:spacing w:after="200" w:line="276" w:lineRule="auto"/>
              <w:rPr>
                <w:rFonts w:asciiTheme="minorHAnsi" w:eastAsiaTheme="minorHAnsi" w:hAnsiTheme="minorHAnsi" w:cstheme="minorBidi"/>
                <w:color w:val="auto"/>
                <w:u w:val="single"/>
                <w:lang w:eastAsia="en-US"/>
              </w:rPr>
            </w:pPr>
            <w:r w:rsidRPr="00C75689">
              <w:rPr>
                <w:rFonts w:asciiTheme="minorHAnsi" w:eastAsiaTheme="minorHAnsi" w:hAnsiTheme="minorHAnsi" w:cstheme="minorBidi"/>
                <w:color w:val="auto"/>
                <w:lang w:eastAsia="en-US"/>
              </w:rPr>
              <w:t>3.2.2 Number of national strategies or action plans for local development adopted</w:t>
            </w:r>
            <w:r w:rsidRPr="00C75689">
              <w:rPr>
                <w:rFonts w:asciiTheme="minorHAnsi" w:eastAsiaTheme="minorHAnsi" w:hAnsiTheme="minorHAnsi" w:cstheme="minorBidi"/>
                <w:color w:val="auto"/>
                <w:vertAlign w:val="superscript"/>
                <w:lang w:eastAsia="en-US"/>
              </w:rPr>
              <w:footnoteReference w:id="27"/>
            </w:r>
            <w:r w:rsidRPr="00C75689">
              <w:rPr>
                <w:rFonts w:asciiTheme="minorHAnsi" w:eastAsiaTheme="minorHAnsi" w:hAnsiTheme="minorHAnsi" w:cstheme="minorBidi"/>
                <w:color w:val="auto"/>
                <w:u w:val="single"/>
                <w:lang w:eastAsia="en-US"/>
              </w:rPr>
              <w:t xml:space="preserve"> </w:t>
            </w:r>
          </w:p>
        </w:tc>
        <w:tc>
          <w:tcPr>
            <w:tcW w:w="1530" w:type="dxa"/>
            <w:shd w:val="clear" w:color="auto" w:fill="FFFFFF" w:themeFill="background1"/>
          </w:tcPr>
          <w:p w14:paraId="3E340E0B" w14:textId="77777777" w:rsidR="00FA1C03" w:rsidRPr="00C75689" w:rsidRDefault="00FA1C03" w:rsidP="00FA1C03">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2</w:t>
            </w:r>
          </w:p>
        </w:tc>
        <w:tc>
          <w:tcPr>
            <w:tcW w:w="1530" w:type="dxa"/>
          </w:tcPr>
          <w:p w14:paraId="32355E25" w14:textId="5AAAAD15" w:rsidR="00FA1C03" w:rsidRPr="00FA1C03" w:rsidRDefault="00FA1C03" w:rsidP="00FA1C03">
            <w:pPr>
              <w:rPr>
                <w:rFonts w:asciiTheme="minorHAnsi" w:eastAsiaTheme="minorHAnsi" w:hAnsiTheme="minorHAnsi" w:cstheme="minorBidi"/>
                <w:color w:val="244061" w:themeColor="accent1" w:themeShade="80"/>
                <w:lang w:val="en-US" w:eastAsia="en-US"/>
              </w:rPr>
            </w:pPr>
            <w:r w:rsidRPr="00FA1C03">
              <w:rPr>
                <w:rFonts w:asciiTheme="minorHAnsi" w:eastAsiaTheme="minorHAnsi" w:hAnsiTheme="minorHAnsi" w:cstheme="minorBidi"/>
                <w:color w:val="244061" w:themeColor="accent1" w:themeShade="80"/>
                <w:lang w:val="en-US" w:eastAsia="en-US"/>
              </w:rPr>
              <w:t>36</w:t>
            </w:r>
          </w:p>
        </w:tc>
        <w:tc>
          <w:tcPr>
            <w:tcW w:w="3510" w:type="dxa"/>
            <w:shd w:val="clear" w:color="auto" w:fill="auto"/>
          </w:tcPr>
          <w:p w14:paraId="6E0B9ED3" w14:textId="55A4E6C1" w:rsidR="00FA1C03" w:rsidRPr="00C75689" w:rsidRDefault="00FA1C03" w:rsidP="00FA1C03">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75% of LDCs adopting UNCDF-inspired strategies, plans and regulatory changes in 10 approved publications on local development</w:t>
            </w:r>
            <w:r>
              <w:rPr>
                <w:rFonts w:asciiTheme="minorHAnsi" w:eastAsiaTheme="minorHAnsi" w:hAnsiTheme="minorHAnsi" w:cstheme="minorBidi"/>
                <w:color w:val="auto"/>
                <w:lang w:val="en-US" w:eastAsia="en-US"/>
              </w:rPr>
              <w:t xml:space="preserve"> </w:t>
            </w:r>
            <w:r>
              <w:rPr>
                <w:rFonts w:asciiTheme="minorHAnsi" w:eastAsiaTheme="minorHAnsi" w:hAnsiTheme="minorHAnsi" w:cstheme="minorBidi"/>
                <w:color w:val="auto"/>
                <w:lang w:val="en-US" w:eastAsia="en-US"/>
              </w:rPr>
              <w:lastRenderedPageBreak/>
              <w:t>(cumulative 2014 – 2017)</w:t>
            </w:r>
          </w:p>
        </w:tc>
      </w:tr>
      <w:tr w:rsidR="00FA1C03" w:rsidRPr="00C75689" w14:paraId="50691F33" w14:textId="77777777" w:rsidTr="00FC2BD0">
        <w:trPr>
          <w:trHeight w:val="1697"/>
        </w:trPr>
        <w:tc>
          <w:tcPr>
            <w:tcW w:w="0" w:type="auto"/>
            <w:vMerge/>
            <w:shd w:val="clear" w:color="auto" w:fill="FFFFFF" w:themeFill="background1"/>
          </w:tcPr>
          <w:p w14:paraId="7437D2ED" w14:textId="77777777" w:rsidR="00FA1C03" w:rsidRPr="00C75689" w:rsidRDefault="00FA1C03" w:rsidP="00FA1C03">
            <w:pPr>
              <w:spacing w:after="200" w:line="276" w:lineRule="auto"/>
              <w:rPr>
                <w:rFonts w:asciiTheme="minorHAnsi" w:eastAsiaTheme="minorHAnsi" w:hAnsiTheme="minorHAnsi" w:cstheme="minorBidi"/>
                <w:b/>
                <w:color w:val="auto"/>
                <w:lang w:eastAsia="en-US"/>
              </w:rPr>
            </w:pPr>
          </w:p>
        </w:tc>
        <w:tc>
          <w:tcPr>
            <w:tcW w:w="0" w:type="auto"/>
            <w:shd w:val="clear" w:color="auto" w:fill="FFFFFF" w:themeFill="background1"/>
          </w:tcPr>
          <w:p w14:paraId="1CA3B0DB" w14:textId="77777777" w:rsidR="00FA1C03" w:rsidRPr="00C75689" w:rsidRDefault="00FA1C03" w:rsidP="00FA1C03">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3.2.3. Number of policy or regulatory changes on local development finance as a result of UNCDF advocacy on Local Development Finance</w:t>
            </w:r>
          </w:p>
        </w:tc>
        <w:tc>
          <w:tcPr>
            <w:tcW w:w="1530" w:type="dxa"/>
            <w:shd w:val="clear" w:color="auto" w:fill="FFFFFF" w:themeFill="background1"/>
          </w:tcPr>
          <w:p w14:paraId="4EC4849E" w14:textId="77777777" w:rsidR="00FA1C03" w:rsidRPr="00C75689" w:rsidRDefault="00FA1C03" w:rsidP="00FA1C03">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0</w:t>
            </w:r>
          </w:p>
        </w:tc>
        <w:tc>
          <w:tcPr>
            <w:tcW w:w="1530" w:type="dxa"/>
          </w:tcPr>
          <w:p w14:paraId="1D22DC96" w14:textId="1A12F0C2" w:rsidR="00FA1C03" w:rsidRPr="00FA1C03" w:rsidRDefault="006D10E0" w:rsidP="00FA1C03">
            <w:pPr>
              <w:rPr>
                <w:rFonts w:asciiTheme="minorHAnsi" w:eastAsiaTheme="minorHAnsi" w:hAnsiTheme="minorHAnsi" w:cstheme="minorBidi"/>
                <w:color w:val="244061" w:themeColor="accent1" w:themeShade="80"/>
                <w:lang w:val="en-US" w:eastAsia="en-US"/>
              </w:rPr>
            </w:pPr>
            <w:r>
              <w:rPr>
                <w:rFonts w:asciiTheme="minorHAnsi" w:eastAsiaTheme="minorHAnsi" w:hAnsiTheme="minorHAnsi" w:cstheme="minorBidi"/>
                <w:color w:val="244061" w:themeColor="accent1" w:themeShade="80"/>
                <w:lang w:val="en-US" w:eastAsia="en-US"/>
              </w:rPr>
              <w:t>5</w:t>
            </w:r>
          </w:p>
        </w:tc>
        <w:tc>
          <w:tcPr>
            <w:tcW w:w="3510" w:type="dxa"/>
            <w:shd w:val="clear" w:color="auto" w:fill="auto"/>
          </w:tcPr>
          <w:p w14:paraId="6420910A" w14:textId="446977B9" w:rsidR="00FA1C03" w:rsidRPr="00C75689" w:rsidRDefault="00FA1C03" w:rsidP="00FA1C03">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75% of LDCs adopting UNCDF-inspired strategies, plans and regulatory changes in 10 approved publications on local development</w:t>
            </w:r>
            <w:r>
              <w:rPr>
                <w:rFonts w:asciiTheme="minorHAnsi" w:eastAsiaTheme="minorHAnsi" w:hAnsiTheme="minorHAnsi" w:cstheme="minorBidi"/>
                <w:color w:val="auto"/>
                <w:lang w:val="en-US" w:eastAsia="en-US"/>
              </w:rPr>
              <w:t xml:space="preserve"> (cumulative 2014 – 2017)</w:t>
            </w:r>
          </w:p>
        </w:tc>
      </w:tr>
      <w:tr w:rsidR="00FA1C03" w:rsidRPr="00C75689" w14:paraId="50AE780A" w14:textId="77777777" w:rsidTr="00FC2BD0">
        <w:trPr>
          <w:trHeight w:val="752"/>
        </w:trPr>
        <w:tc>
          <w:tcPr>
            <w:tcW w:w="0" w:type="auto"/>
            <w:vMerge/>
            <w:shd w:val="clear" w:color="auto" w:fill="FFFFFF" w:themeFill="background1"/>
          </w:tcPr>
          <w:p w14:paraId="6BDEB6F3" w14:textId="77777777" w:rsidR="00FA1C03" w:rsidRPr="00C75689" w:rsidRDefault="00FA1C03" w:rsidP="00FA1C03">
            <w:pPr>
              <w:spacing w:after="200" w:line="276" w:lineRule="auto"/>
              <w:rPr>
                <w:rFonts w:asciiTheme="minorHAnsi" w:eastAsiaTheme="minorHAnsi" w:hAnsiTheme="minorHAnsi" w:cstheme="minorBidi"/>
                <w:b/>
                <w:color w:val="auto"/>
                <w:lang w:eastAsia="en-US"/>
              </w:rPr>
            </w:pPr>
          </w:p>
        </w:tc>
        <w:tc>
          <w:tcPr>
            <w:tcW w:w="0" w:type="auto"/>
            <w:shd w:val="clear" w:color="auto" w:fill="FFFFFF" w:themeFill="background1"/>
          </w:tcPr>
          <w:p w14:paraId="5A1D76CC" w14:textId="77777777" w:rsidR="00FA1C03" w:rsidRPr="00C75689" w:rsidRDefault="00FA1C03" w:rsidP="00FA1C03">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3.2.4. Number of initiatives to strengthen capacities of national and local actors (training, advocacy, peer to peer learning)</w:t>
            </w:r>
          </w:p>
        </w:tc>
        <w:tc>
          <w:tcPr>
            <w:tcW w:w="1530" w:type="dxa"/>
            <w:shd w:val="clear" w:color="auto" w:fill="FFFFFF" w:themeFill="background1"/>
          </w:tcPr>
          <w:p w14:paraId="376346F4" w14:textId="77777777" w:rsidR="00FA1C03" w:rsidRPr="00C75689" w:rsidRDefault="00FA1C03" w:rsidP="00FA1C03">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0</w:t>
            </w:r>
          </w:p>
        </w:tc>
        <w:tc>
          <w:tcPr>
            <w:tcW w:w="1530" w:type="dxa"/>
          </w:tcPr>
          <w:p w14:paraId="70976F15" w14:textId="48F0043C" w:rsidR="00FA1C03" w:rsidRPr="00FA1C03" w:rsidRDefault="00FA1C03" w:rsidP="00FA1C03">
            <w:pPr>
              <w:rPr>
                <w:rFonts w:asciiTheme="minorHAnsi" w:eastAsiaTheme="minorHAnsi" w:hAnsiTheme="minorHAnsi" w:cstheme="minorBidi"/>
                <w:color w:val="244061" w:themeColor="accent1" w:themeShade="80"/>
                <w:lang w:val="en-US" w:eastAsia="en-US"/>
              </w:rPr>
            </w:pPr>
            <w:r w:rsidRPr="00FA1C03">
              <w:rPr>
                <w:rFonts w:asciiTheme="minorHAnsi" w:eastAsiaTheme="minorHAnsi" w:hAnsiTheme="minorHAnsi" w:cstheme="minorBidi"/>
                <w:color w:val="244061" w:themeColor="accent1" w:themeShade="80"/>
                <w:lang w:val="en-US" w:eastAsia="en-US"/>
              </w:rPr>
              <w:t>25</w:t>
            </w:r>
          </w:p>
        </w:tc>
        <w:tc>
          <w:tcPr>
            <w:tcW w:w="3510" w:type="dxa"/>
            <w:shd w:val="clear" w:color="auto" w:fill="auto"/>
          </w:tcPr>
          <w:p w14:paraId="76A5C61F" w14:textId="235D98C7" w:rsidR="00FA1C03" w:rsidRPr="00C75689" w:rsidRDefault="00FA1C03" w:rsidP="00FA1C03">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20</w:t>
            </w:r>
            <w:r w:rsidR="006D10E0">
              <w:rPr>
                <w:rFonts w:asciiTheme="minorHAnsi" w:eastAsiaTheme="minorHAnsi" w:hAnsiTheme="minorHAnsi" w:cstheme="minorBidi"/>
                <w:color w:val="auto"/>
                <w:lang w:val="en-US" w:eastAsia="en-US"/>
              </w:rPr>
              <w:t>0</w:t>
            </w:r>
            <w:r>
              <w:rPr>
                <w:rFonts w:asciiTheme="minorHAnsi" w:eastAsiaTheme="minorHAnsi" w:hAnsiTheme="minorHAnsi" w:cstheme="minorBidi"/>
                <w:color w:val="auto"/>
                <w:lang w:val="en-US" w:eastAsia="en-US"/>
              </w:rPr>
              <w:t xml:space="preserve"> (cumulative 2014 – 2017)</w:t>
            </w:r>
          </w:p>
        </w:tc>
      </w:tr>
      <w:tr w:rsidR="00FA1C03" w:rsidRPr="00C75689" w14:paraId="39950DC9" w14:textId="77777777" w:rsidTr="00FC2BD0">
        <w:trPr>
          <w:trHeight w:val="872"/>
        </w:trPr>
        <w:tc>
          <w:tcPr>
            <w:tcW w:w="0" w:type="auto"/>
            <w:shd w:val="clear" w:color="auto" w:fill="FFFFFF" w:themeFill="background1"/>
          </w:tcPr>
          <w:p w14:paraId="503FFD4F" w14:textId="77777777" w:rsidR="00FA1C03" w:rsidRPr="00C75689" w:rsidRDefault="00FA1C03" w:rsidP="00FA1C03">
            <w:pPr>
              <w:spacing w:after="200" w:line="276" w:lineRule="auto"/>
              <w:rPr>
                <w:rFonts w:asciiTheme="minorHAnsi" w:eastAsiaTheme="minorHAnsi" w:hAnsiTheme="minorHAnsi" w:cstheme="minorBidi"/>
                <w:b/>
                <w:color w:val="auto"/>
                <w:lang w:eastAsia="en-US"/>
              </w:rPr>
            </w:pPr>
          </w:p>
        </w:tc>
        <w:tc>
          <w:tcPr>
            <w:tcW w:w="0" w:type="auto"/>
            <w:shd w:val="clear" w:color="auto" w:fill="FFFFFF" w:themeFill="background1"/>
          </w:tcPr>
          <w:p w14:paraId="41E5AC32" w14:textId="77777777" w:rsidR="00FA1C03" w:rsidRPr="00C75689" w:rsidRDefault="00FA1C03" w:rsidP="00FA1C03">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eastAsia="en-US"/>
              </w:rPr>
              <w:t>3.2.5 Number and quality of approved UNCDF publications (local development)</w:t>
            </w:r>
          </w:p>
        </w:tc>
        <w:tc>
          <w:tcPr>
            <w:tcW w:w="1530" w:type="dxa"/>
            <w:shd w:val="clear" w:color="auto" w:fill="FFFFFF" w:themeFill="background1"/>
          </w:tcPr>
          <w:p w14:paraId="230BD49B" w14:textId="77777777" w:rsidR="00FA1C03" w:rsidRPr="00C75689" w:rsidRDefault="00FA1C03" w:rsidP="00FA1C03">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0</w:t>
            </w:r>
          </w:p>
        </w:tc>
        <w:tc>
          <w:tcPr>
            <w:tcW w:w="1530" w:type="dxa"/>
          </w:tcPr>
          <w:p w14:paraId="5808903B" w14:textId="63AB0589" w:rsidR="00FA1C03" w:rsidRPr="00FA1C03" w:rsidRDefault="006D10E0" w:rsidP="00FA1C03">
            <w:pPr>
              <w:rPr>
                <w:rFonts w:asciiTheme="minorHAnsi" w:eastAsiaTheme="minorHAnsi" w:hAnsiTheme="minorHAnsi" w:cstheme="minorBidi"/>
                <w:color w:val="244061" w:themeColor="accent1" w:themeShade="80"/>
                <w:lang w:val="en-US" w:eastAsia="en-US"/>
              </w:rPr>
            </w:pPr>
            <w:r>
              <w:rPr>
                <w:rFonts w:asciiTheme="minorHAnsi" w:eastAsiaTheme="minorHAnsi" w:hAnsiTheme="minorHAnsi" w:cstheme="minorBidi"/>
                <w:color w:val="244061" w:themeColor="accent1" w:themeShade="80"/>
                <w:lang w:val="en-US" w:eastAsia="en-US"/>
              </w:rPr>
              <w:t>0</w:t>
            </w:r>
          </w:p>
        </w:tc>
        <w:tc>
          <w:tcPr>
            <w:tcW w:w="3510" w:type="dxa"/>
            <w:shd w:val="clear" w:color="auto" w:fill="auto"/>
          </w:tcPr>
          <w:p w14:paraId="17E7FB01" w14:textId="7C8D692B" w:rsidR="00FA1C03" w:rsidRPr="00C75689" w:rsidRDefault="00FA1C03" w:rsidP="00FA1C03">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12 (cumulative 2014 – 2017)</w:t>
            </w:r>
          </w:p>
        </w:tc>
      </w:tr>
    </w:tbl>
    <w:p w14:paraId="263EA93E" w14:textId="77777777" w:rsidR="00C75689" w:rsidRDefault="00C75689" w:rsidP="00C75689">
      <w:pPr>
        <w:rPr>
          <w:rFonts w:asciiTheme="minorHAnsi" w:eastAsiaTheme="minorHAnsi" w:hAnsiTheme="minorHAnsi" w:cstheme="minorBidi"/>
          <w:b/>
          <w:color w:val="auto"/>
          <w:lang w:val="en-US" w:eastAsia="en-US"/>
        </w:rPr>
      </w:pPr>
    </w:p>
    <w:p w14:paraId="4CEF8577" w14:textId="77777777" w:rsidR="00C75689" w:rsidRDefault="00C75689" w:rsidP="00C75689">
      <w:pPr>
        <w:rPr>
          <w:rFonts w:asciiTheme="minorHAnsi" w:eastAsiaTheme="minorHAnsi" w:hAnsiTheme="minorHAnsi" w:cstheme="minorBidi"/>
          <w:b/>
          <w:color w:val="auto"/>
          <w:lang w:val="en-US" w:eastAsia="en-US"/>
        </w:rPr>
      </w:pPr>
    </w:p>
    <w:p w14:paraId="1BE00D2F" w14:textId="77777777" w:rsidR="006C1FE9" w:rsidRDefault="006C1FE9">
      <w:pPr>
        <w:rPr>
          <w:rFonts w:asciiTheme="minorHAnsi" w:eastAsiaTheme="minorHAnsi" w:hAnsiTheme="minorHAnsi" w:cstheme="minorBidi"/>
          <w:b/>
          <w:color w:val="auto"/>
          <w:lang w:val="en-US" w:eastAsia="en-US"/>
        </w:rPr>
      </w:pPr>
      <w:r>
        <w:rPr>
          <w:rFonts w:asciiTheme="minorHAnsi" w:eastAsiaTheme="minorHAnsi" w:hAnsiTheme="minorHAnsi" w:cstheme="minorBidi"/>
          <w:b/>
          <w:color w:val="auto"/>
          <w:lang w:val="en-US" w:eastAsia="en-US"/>
        </w:rPr>
        <w:br w:type="page"/>
      </w:r>
    </w:p>
    <w:p w14:paraId="7D668D93" w14:textId="77777777" w:rsidR="00C75689" w:rsidRPr="00C75689" w:rsidRDefault="00C75689" w:rsidP="00C75689">
      <w:pPr>
        <w:rPr>
          <w:rFonts w:asciiTheme="minorHAnsi" w:eastAsiaTheme="minorHAnsi" w:hAnsiTheme="minorHAnsi" w:cstheme="minorBidi"/>
          <w:b/>
          <w:color w:val="auto"/>
          <w:lang w:val="en-US" w:eastAsia="en-US"/>
        </w:rPr>
      </w:pPr>
    </w:p>
    <w:p w14:paraId="625247DF" w14:textId="77777777" w:rsidR="007E0447" w:rsidRPr="00C75689" w:rsidRDefault="007E0447" w:rsidP="007E0447">
      <w:pPr>
        <w:rPr>
          <w:rFonts w:asciiTheme="minorHAnsi" w:eastAsiaTheme="minorHAnsi" w:hAnsiTheme="minorHAnsi" w:cstheme="minorBidi"/>
          <w:b/>
          <w:color w:val="auto"/>
          <w:lang w:val="en-US" w:eastAsia="en-US"/>
        </w:rPr>
      </w:pPr>
      <w:r>
        <w:rPr>
          <w:rFonts w:asciiTheme="minorHAnsi" w:eastAsiaTheme="minorHAnsi" w:hAnsiTheme="minorHAnsi" w:cstheme="minorBidi"/>
          <w:b/>
          <w:color w:val="auto"/>
          <w:lang w:val="en-US" w:eastAsia="en-US"/>
        </w:rPr>
        <w:t xml:space="preserve">Part B </w:t>
      </w:r>
      <w:proofErr w:type="gramStart"/>
      <w:r>
        <w:rPr>
          <w:rFonts w:asciiTheme="minorHAnsi" w:eastAsiaTheme="minorHAnsi" w:hAnsiTheme="minorHAnsi" w:cstheme="minorBidi"/>
          <w:b/>
          <w:color w:val="auto"/>
          <w:lang w:val="en-US" w:eastAsia="en-US"/>
        </w:rPr>
        <w:t xml:space="preserve">- </w:t>
      </w:r>
      <w:r w:rsidRPr="00C75689">
        <w:rPr>
          <w:rFonts w:asciiTheme="minorHAnsi" w:eastAsiaTheme="minorHAnsi" w:hAnsiTheme="minorHAnsi" w:cstheme="minorBidi"/>
          <w:b/>
          <w:color w:val="auto"/>
          <w:lang w:val="en-US" w:eastAsia="en-US"/>
        </w:rPr>
        <w:t xml:space="preserve"> Institutional</w:t>
      </w:r>
      <w:proofErr w:type="gramEnd"/>
      <w:r w:rsidRPr="00C75689">
        <w:rPr>
          <w:rFonts w:asciiTheme="minorHAnsi" w:eastAsiaTheme="minorHAnsi" w:hAnsiTheme="minorHAnsi" w:cstheme="minorBidi"/>
          <w:b/>
          <w:color w:val="auto"/>
          <w:lang w:val="en-US" w:eastAsia="en-US"/>
        </w:rPr>
        <w:t xml:space="preserve"> Effectiveness</w:t>
      </w:r>
    </w:p>
    <w:tbl>
      <w:tblPr>
        <w:tblStyle w:val="TableGrid"/>
        <w:tblW w:w="14760" w:type="dxa"/>
        <w:tblInd w:w="-342" w:type="dxa"/>
        <w:tblLayout w:type="fixed"/>
        <w:tblLook w:val="04A0" w:firstRow="1" w:lastRow="0" w:firstColumn="1" w:lastColumn="0" w:noHBand="0" w:noVBand="1"/>
      </w:tblPr>
      <w:tblGrid>
        <w:gridCol w:w="2790"/>
        <w:gridCol w:w="6750"/>
        <w:gridCol w:w="1800"/>
        <w:gridCol w:w="1620"/>
        <w:gridCol w:w="1800"/>
      </w:tblGrid>
      <w:tr w:rsidR="007E0447" w:rsidRPr="00C75689" w14:paraId="694B0508" w14:textId="77777777" w:rsidTr="007D7A2E">
        <w:trPr>
          <w:trHeight w:val="443"/>
        </w:trPr>
        <w:tc>
          <w:tcPr>
            <w:tcW w:w="12960" w:type="dxa"/>
            <w:gridSpan w:val="4"/>
            <w:shd w:val="clear" w:color="auto" w:fill="0070C0"/>
          </w:tcPr>
          <w:p w14:paraId="099C1F71" w14:textId="77777777" w:rsidR="007E0447" w:rsidRDefault="007E0447" w:rsidP="007D7A2E">
            <w:pPr>
              <w:rPr>
                <w:rFonts w:asciiTheme="minorHAnsi" w:eastAsiaTheme="minorHAnsi" w:hAnsiTheme="minorHAnsi" w:cstheme="minorBidi"/>
                <w:b/>
                <w:color w:val="auto"/>
                <w:lang w:val="en-US" w:eastAsia="en-US"/>
              </w:rPr>
            </w:pPr>
          </w:p>
        </w:tc>
        <w:tc>
          <w:tcPr>
            <w:tcW w:w="1800" w:type="dxa"/>
            <w:shd w:val="clear" w:color="auto" w:fill="7F7F7F" w:themeFill="text1" w:themeFillTint="80"/>
          </w:tcPr>
          <w:p w14:paraId="456ED4F8"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r>
              <w:rPr>
                <w:rFonts w:asciiTheme="minorHAnsi" w:eastAsiaTheme="minorHAnsi" w:hAnsiTheme="minorHAnsi" w:cstheme="minorBidi"/>
                <w:b/>
                <w:color w:val="auto"/>
                <w:lang w:val="en-US" w:eastAsia="en-US"/>
              </w:rPr>
              <w:t>Indicative r</w:t>
            </w:r>
            <w:r w:rsidRPr="00C75689">
              <w:rPr>
                <w:rFonts w:asciiTheme="minorHAnsi" w:eastAsiaTheme="minorHAnsi" w:hAnsiTheme="minorHAnsi" w:cstheme="minorBidi"/>
                <w:b/>
                <w:color w:val="auto"/>
                <w:lang w:val="en-US" w:eastAsia="en-US"/>
              </w:rPr>
              <w:t>esources:</w:t>
            </w:r>
          </w:p>
          <w:p w14:paraId="47ECFA4C"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w:t>
            </w:r>
            <w:r>
              <w:rPr>
                <w:rFonts w:asciiTheme="minorHAnsi" w:eastAsiaTheme="minorHAnsi" w:hAnsiTheme="minorHAnsi" w:cstheme="minorBidi"/>
                <w:b/>
                <w:color w:val="auto"/>
                <w:lang w:val="en-US" w:eastAsia="en-US"/>
              </w:rPr>
              <w:t>52 million</w:t>
            </w:r>
          </w:p>
        </w:tc>
      </w:tr>
      <w:tr w:rsidR="007E0447" w:rsidRPr="00C75689" w14:paraId="4DC84569" w14:textId="77777777" w:rsidTr="007D7A2E">
        <w:trPr>
          <w:trHeight w:val="980"/>
        </w:trPr>
        <w:tc>
          <w:tcPr>
            <w:tcW w:w="2790" w:type="dxa"/>
            <w:tcBorders>
              <w:bottom w:val="single" w:sz="4" w:space="0" w:color="auto"/>
            </w:tcBorders>
            <w:shd w:val="clear" w:color="auto" w:fill="D9D9D9" w:themeFill="background1" w:themeFillShade="D9"/>
            <w:hideMark/>
          </w:tcPr>
          <w:p w14:paraId="7E0CF26C"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Result Statements</w:t>
            </w:r>
          </w:p>
        </w:tc>
        <w:tc>
          <w:tcPr>
            <w:tcW w:w="6750" w:type="dxa"/>
            <w:shd w:val="clear" w:color="auto" w:fill="D9D9D9" w:themeFill="background1" w:themeFillShade="D9"/>
            <w:hideMark/>
          </w:tcPr>
          <w:p w14:paraId="51BD165D"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b/>
                <w:color w:val="auto"/>
                <w:lang w:val="en-US" w:eastAsia="en-US"/>
              </w:rPr>
              <w:t>Indicators</w:t>
            </w:r>
          </w:p>
        </w:tc>
        <w:tc>
          <w:tcPr>
            <w:tcW w:w="1800" w:type="dxa"/>
            <w:shd w:val="clear" w:color="auto" w:fill="D9D9D9" w:themeFill="background1" w:themeFillShade="D9"/>
          </w:tcPr>
          <w:p w14:paraId="5E0FD4CF"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Baselines </w:t>
            </w:r>
            <w:r w:rsidRPr="00C75689">
              <w:rPr>
                <w:rFonts w:asciiTheme="minorHAnsi" w:eastAsiaTheme="minorHAnsi" w:hAnsiTheme="minorHAnsi" w:cstheme="minorBidi"/>
                <w:i/>
                <w:color w:val="auto"/>
                <w:lang w:val="en-US" w:eastAsia="en-US"/>
              </w:rPr>
              <w:t>(2013, unless noted)</w:t>
            </w:r>
          </w:p>
        </w:tc>
        <w:tc>
          <w:tcPr>
            <w:tcW w:w="1620" w:type="dxa"/>
            <w:shd w:val="clear" w:color="auto" w:fill="D9D9D9" w:themeFill="background1" w:themeFillShade="D9"/>
          </w:tcPr>
          <w:p w14:paraId="2064000A" w14:textId="77777777" w:rsidR="007E0447" w:rsidRPr="00A7247B" w:rsidRDefault="007E0447" w:rsidP="007D7A2E">
            <w:pPr>
              <w:rPr>
                <w:rFonts w:asciiTheme="minorHAnsi" w:eastAsiaTheme="minorHAnsi" w:hAnsiTheme="minorHAnsi" w:cstheme="minorBidi"/>
                <w:b/>
                <w:color w:val="244061" w:themeColor="accent1" w:themeShade="80"/>
                <w:lang w:val="en-US" w:eastAsia="en-US"/>
              </w:rPr>
            </w:pPr>
            <w:r w:rsidRPr="00A7247B">
              <w:rPr>
                <w:rFonts w:asciiTheme="minorHAnsi" w:eastAsiaTheme="minorHAnsi" w:hAnsiTheme="minorHAnsi" w:cstheme="minorBidi"/>
                <w:b/>
                <w:color w:val="244061" w:themeColor="accent1" w:themeShade="80"/>
                <w:lang w:val="en-US" w:eastAsia="en-US"/>
              </w:rPr>
              <w:t>Results for 2014</w:t>
            </w:r>
          </w:p>
        </w:tc>
        <w:tc>
          <w:tcPr>
            <w:tcW w:w="1800" w:type="dxa"/>
            <w:shd w:val="clear" w:color="auto" w:fill="D9D9D9" w:themeFill="background1" w:themeFillShade="D9"/>
            <w:hideMark/>
          </w:tcPr>
          <w:p w14:paraId="37623642"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 xml:space="preserve">Targets </w:t>
            </w:r>
            <w:r w:rsidRPr="00C75689">
              <w:rPr>
                <w:rFonts w:asciiTheme="minorHAnsi" w:eastAsiaTheme="minorHAnsi" w:hAnsiTheme="minorHAnsi" w:cstheme="minorBidi"/>
                <w:i/>
                <w:color w:val="auto"/>
                <w:lang w:val="en-US" w:eastAsia="en-US"/>
              </w:rPr>
              <w:t>(2017</w:t>
            </w:r>
            <w:r>
              <w:rPr>
                <w:rFonts w:asciiTheme="minorHAnsi" w:eastAsiaTheme="minorHAnsi" w:hAnsiTheme="minorHAnsi" w:cstheme="minorBidi"/>
                <w:i/>
                <w:color w:val="auto"/>
                <w:lang w:val="en-US" w:eastAsia="en-US"/>
              </w:rPr>
              <w:t>, unless noted</w:t>
            </w:r>
            <w:r w:rsidRPr="00C75689">
              <w:rPr>
                <w:rFonts w:asciiTheme="minorHAnsi" w:eastAsiaTheme="minorHAnsi" w:hAnsiTheme="minorHAnsi" w:cstheme="minorBidi"/>
                <w:i/>
                <w:color w:val="auto"/>
                <w:lang w:val="en-US" w:eastAsia="en-US"/>
              </w:rPr>
              <w:t>)</w:t>
            </w:r>
          </w:p>
        </w:tc>
      </w:tr>
      <w:tr w:rsidR="007E0447" w:rsidRPr="00C75689" w14:paraId="0D56787B" w14:textId="77777777" w:rsidTr="007D7A2E">
        <w:trPr>
          <w:trHeight w:val="512"/>
        </w:trPr>
        <w:tc>
          <w:tcPr>
            <w:tcW w:w="2790" w:type="dxa"/>
            <w:vMerge w:val="restart"/>
            <w:shd w:val="clear" w:color="auto" w:fill="FFFFFF" w:themeFill="background1"/>
          </w:tcPr>
          <w:p w14:paraId="171BB945"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b/>
                <w:color w:val="auto"/>
                <w:lang w:val="en-US" w:eastAsia="en-US"/>
              </w:rPr>
              <w:t xml:space="preserve">Output 1.1 </w:t>
            </w:r>
            <w:r w:rsidRPr="00C75689">
              <w:rPr>
                <w:rFonts w:asciiTheme="minorHAnsi" w:eastAsiaTheme="minorHAnsi" w:hAnsiTheme="minorHAnsi" w:cstheme="minorBidi"/>
                <w:color w:val="auto"/>
                <w:lang w:val="en-US" w:eastAsia="en-US"/>
              </w:rPr>
              <w:t>Improved quality of programming and accountability for results</w:t>
            </w:r>
          </w:p>
        </w:tc>
        <w:tc>
          <w:tcPr>
            <w:tcW w:w="6750" w:type="dxa"/>
            <w:shd w:val="clear" w:color="auto" w:fill="FFFFFF" w:themeFill="background1"/>
            <w:hideMark/>
          </w:tcPr>
          <w:p w14:paraId="1D9F43AA" w14:textId="77777777" w:rsidR="007E0447" w:rsidRPr="00C75689" w:rsidRDefault="007E0447" w:rsidP="007D7A2E">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b/>
                <w:color w:val="auto"/>
                <w:lang w:val="en-US" w:eastAsia="en-US"/>
              </w:rPr>
              <w:t>Quality of Programming</w:t>
            </w:r>
          </w:p>
        </w:tc>
        <w:tc>
          <w:tcPr>
            <w:tcW w:w="1800" w:type="dxa"/>
            <w:shd w:val="clear" w:color="auto" w:fill="FFFFFF" w:themeFill="background1"/>
          </w:tcPr>
          <w:p w14:paraId="01F3A20F"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p>
        </w:tc>
        <w:tc>
          <w:tcPr>
            <w:tcW w:w="1620" w:type="dxa"/>
          </w:tcPr>
          <w:p w14:paraId="7A9CCFFE" w14:textId="77777777" w:rsidR="007E0447" w:rsidRPr="00A7247B" w:rsidRDefault="007E0447" w:rsidP="007D7A2E">
            <w:pPr>
              <w:rPr>
                <w:rFonts w:asciiTheme="minorHAnsi" w:eastAsiaTheme="minorHAnsi" w:hAnsiTheme="minorHAnsi" w:cstheme="minorBidi"/>
                <w:color w:val="244061" w:themeColor="accent1" w:themeShade="80"/>
                <w:lang w:val="en-US" w:eastAsia="en-US"/>
              </w:rPr>
            </w:pPr>
          </w:p>
        </w:tc>
        <w:tc>
          <w:tcPr>
            <w:tcW w:w="1800" w:type="dxa"/>
            <w:shd w:val="clear" w:color="auto" w:fill="auto"/>
            <w:hideMark/>
          </w:tcPr>
          <w:p w14:paraId="6CE44C78"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p>
        </w:tc>
      </w:tr>
      <w:tr w:rsidR="007E0447" w:rsidRPr="00C75689" w14:paraId="00676747" w14:textId="77777777" w:rsidTr="007D7A2E">
        <w:trPr>
          <w:trHeight w:val="331"/>
        </w:trPr>
        <w:tc>
          <w:tcPr>
            <w:tcW w:w="2790" w:type="dxa"/>
            <w:vMerge/>
            <w:shd w:val="clear" w:color="auto" w:fill="FFFFFF" w:themeFill="background1"/>
          </w:tcPr>
          <w:p w14:paraId="4958B4EA"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FFFFFF" w:themeFill="background1"/>
          </w:tcPr>
          <w:p w14:paraId="6B21519E"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 xml:space="preserve">1.1.1 Percentage of </w:t>
            </w:r>
            <w:proofErr w:type="spellStart"/>
            <w:r w:rsidRPr="00C75689">
              <w:rPr>
                <w:rFonts w:asciiTheme="minorHAnsi" w:eastAsiaTheme="minorHAnsi" w:hAnsiTheme="minorHAnsi" w:cstheme="minorBidi"/>
                <w:color w:val="auto"/>
                <w:lang w:val="en-US" w:eastAsia="en-US"/>
              </w:rPr>
              <w:t>programme</w:t>
            </w:r>
            <w:proofErr w:type="spellEnd"/>
            <w:r w:rsidRPr="00C75689">
              <w:rPr>
                <w:rFonts w:asciiTheme="minorHAnsi" w:eastAsiaTheme="minorHAnsi" w:hAnsiTheme="minorHAnsi" w:cstheme="minorBidi"/>
                <w:color w:val="auto"/>
                <w:lang w:val="en-US" w:eastAsia="en-US"/>
              </w:rPr>
              <w:t xml:space="preserve"> outcomes that are reported as on-track or achieved </w:t>
            </w:r>
          </w:p>
        </w:tc>
        <w:tc>
          <w:tcPr>
            <w:tcW w:w="1800" w:type="dxa"/>
            <w:shd w:val="clear" w:color="auto" w:fill="FFFFFF" w:themeFill="background1"/>
          </w:tcPr>
          <w:p w14:paraId="784507B7"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Not reported</w:t>
            </w:r>
          </w:p>
        </w:tc>
        <w:tc>
          <w:tcPr>
            <w:tcW w:w="1620" w:type="dxa"/>
          </w:tcPr>
          <w:p w14:paraId="0B45F849" w14:textId="4038C6F0" w:rsidR="007E0447" w:rsidRPr="00075DB5" w:rsidRDefault="005265EA" w:rsidP="007D7A2E">
            <w:pPr>
              <w:rPr>
                <w:rFonts w:asciiTheme="minorHAnsi" w:eastAsiaTheme="minorHAnsi" w:hAnsiTheme="minorHAnsi" w:cstheme="minorBidi"/>
                <w:color w:val="FF0000"/>
                <w:lang w:val="en-US" w:eastAsia="en-US"/>
              </w:rPr>
            </w:pPr>
            <w:r w:rsidRPr="003E4B9B">
              <w:rPr>
                <w:rFonts w:asciiTheme="minorHAnsi" w:eastAsiaTheme="minorHAnsi" w:hAnsiTheme="minorHAnsi" w:cstheme="minorBidi"/>
                <w:color w:val="1F497D" w:themeColor="text2"/>
                <w:lang w:val="en-US" w:eastAsia="en-US"/>
              </w:rPr>
              <w:t>70</w:t>
            </w:r>
            <w:r w:rsidR="003E4B9B" w:rsidRPr="003E4B9B">
              <w:rPr>
                <w:rFonts w:asciiTheme="minorHAnsi" w:eastAsiaTheme="minorHAnsi" w:hAnsiTheme="minorHAnsi" w:cstheme="minorBidi"/>
                <w:color w:val="1F497D" w:themeColor="text2"/>
                <w:lang w:val="en-US" w:eastAsia="en-US"/>
              </w:rPr>
              <w:t>%</w:t>
            </w:r>
          </w:p>
        </w:tc>
        <w:tc>
          <w:tcPr>
            <w:tcW w:w="1800" w:type="dxa"/>
            <w:shd w:val="clear" w:color="auto" w:fill="auto"/>
          </w:tcPr>
          <w:p w14:paraId="1652C54A"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80%</w:t>
            </w:r>
          </w:p>
        </w:tc>
      </w:tr>
      <w:tr w:rsidR="007E0447" w:rsidRPr="00C75689" w14:paraId="5CCFBA24" w14:textId="77777777" w:rsidTr="007D7A2E">
        <w:trPr>
          <w:trHeight w:val="331"/>
        </w:trPr>
        <w:tc>
          <w:tcPr>
            <w:tcW w:w="2790" w:type="dxa"/>
            <w:vMerge/>
            <w:shd w:val="clear" w:color="auto" w:fill="FFFFFF" w:themeFill="background1"/>
          </w:tcPr>
          <w:p w14:paraId="19F1B589"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FFFFFF" w:themeFill="background1"/>
          </w:tcPr>
          <w:p w14:paraId="68CDF8B9"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Evaluation and Accountability</w:t>
            </w:r>
          </w:p>
        </w:tc>
        <w:tc>
          <w:tcPr>
            <w:tcW w:w="1800" w:type="dxa"/>
            <w:shd w:val="clear" w:color="auto" w:fill="FFFFFF" w:themeFill="background1"/>
          </w:tcPr>
          <w:p w14:paraId="40CBC301"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p>
        </w:tc>
        <w:tc>
          <w:tcPr>
            <w:tcW w:w="1620" w:type="dxa"/>
          </w:tcPr>
          <w:p w14:paraId="6404DBB2" w14:textId="77777777" w:rsidR="007E0447" w:rsidRPr="00A7247B" w:rsidRDefault="007E0447" w:rsidP="007D7A2E">
            <w:pPr>
              <w:rPr>
                <w:rFonts w:asciiTheme="minorHAnsi" w:eastAsiaTheme="minorHAnsi" w:hAnsiTheme="minorHAnsi" w:cstheme="minorBidi"/>
                <w:color w:val="244061" w:themeColor="accent1" w:themeShade="80"/>
                <w:lang w:val="en-US" w:eastAsia="en-US"/>
              </w:rPr>
            </w:pPr>
          </w:p>
        </w:tc>
        <w:tc>
          <w:tcPr>
            <w:tcW w:w="1800" w:type="dxa"/>
            <w:shd w:val="clear" w:color="auto" w:fill="auto"/>
          </w:tcPr>
          <w:p w14:paraId="296D2FCE"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p>
        </w:tc>
      </w:tr>
      <w:tr w:rsidR="007E0447" w:rsidRPr="00C75689" w14:paraId="3D86B7F1" w14:textId="77777777" w:rsidTr="007D7A2E">
        <w:trPr>
          <w:trHeight w:val="331"/>
        </w:trPr>
        <w:tc>
          <w:tcPr>
            <w:tcW w:w="2790" w:type="dxa"/>
            <w:vMerge/>
            <w:shd w:val="clear" w:color="auto" w:fill="FFFFFF" w:themeFill="background1"/>
          </w:tcPr>
          <w:p w14:paraId="2824DBC9"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FFFFFF" w:themeFill="background1"/>
          </w:tcPr>
          <w:p w14:paraId="2910664B"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 xml:space="preserve">1.1.2 Annual number of results-based evaluations (project, </w:t>
            </w:r>
            <w:proofErr w:type="spellStart"/>
            <w:r w:rsidRPr="00C75689">
              <w:rPr>
                <w:rFonts w:asciiTheme="minorHAnsi" w:eastAsiaTheme="minorHAnsi" w:hAnsiTheme="minorHAnsi" w:cstheme="minorBidi"/>
                <w:color w:val="auto"/>
                <w:lang w:val="en-US" w:eastAsia="en-US"/>
              </w:rPr>
              <w:t>programme</w:t>
            </w:r>
            <w:proofErr w:type="spellEnd"/>
            <w:r w:rsidRPr="00C75689">
              <w:rPr>
                <w:rFonts w:asciiTheme="minorHAnsi" w:eastAsiaTheme="minorHAnsi" w:hAnsiTheme="minorHAnsi" w:cstheme="minorBidi"/>
                <w:color w:val="auto"/>
                <w:lang w:val="en-US" w:eastAsia="en-US"/>
              </w:rPr>
              <w:t xml:space="preserve"> and thematic)</w:t>
            </w:r>
          </w:p>
        </w:tc>
        <w:tc>
          <w:tcPr>
            <w:tcW w:w="1800" w:type="dxa"/>
            <w:shd w:val="clear" w:color="auto" w:fill="FFFFFF" w:themeFill="background1"/>
          </w:tcPr>
          <w:p w14:paraId="75310E87"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3</w:t>
            </w:r>
          </w:p>
        </w:tc>
        <w:tc>
          <w:tcPr>
            <w:tcW w:w="1620" w:type="dxa"/>
          </w:tcPr>
          <w:p w14:paraId="76075597" w14:textId="77777777" w:rsidR="007E0447" w:rsidRPr="00A7247B" w:rsidRDefault="007E0447" w:rsidP="007D7A2E">
            <w:pPr>
              <w:rPr>
                <w:rFonts w:asciiTheme="minorHAnsi" w:eastAsiaTheme="minorHAnsi" w:hAnsiTheme="minorHAnsi" w:cstheme="minorBidi"/>
                <w:color w:val="244061" w:themeColor="accent1" w:themeShade="80"/>
                <w:lang w:val="en-US" w:eastAsia="en-US"/>
              </w:rPr>
            </w:pPr>
            <w:r w:rsidRPr="00A7247B">
              <w:rPr>
                <w:rFonts w:asciiTheme="minorHAnsi" w:eastAsiaTheme="minorHAnsi" w:hAnsiTheme="minorHAnsi" w:cstheme="minorBidi"/>
                <w:color w:val="244061" w:themeColor="accent1" w:themeShade="80"/>
                <w:lang w:val="en-US" w:eastAsia="en-US"/>
              </w:rPr>
              <w:t>4</w:t>
            </w:r>
          </w:p>
        </w:tc>
        <w:tc>
          <w:tcPr>
            <w:tcW w:w="1800" w:type="dxa"/>
            <w:shd w:val="clear" w:color="auto" w:fill="auto"/>
          </w:tcPr>
          <w:p w14:paraId="126B6823"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6</w:t>
            </w:r>
          </w:p>
        </w:tc>
      </w:tr>
      <w:tr w:rsidR="007E0447" w:rsidRPr="00C75689" w14:paraId="0395D29B" w14:textId="77777777" w:rsidTr="007D7A2E">
        <w:trPr>
          <w:trHeight w:val="331"/>
        </w:trPr>
        <w:tc>
          <w:tcPr>
            <w:tcW w:w="2790" w:type="dxa"/>
            <w:vMerge/>
            <w:shd w:val="clear" w:color="auto" w:fill="FFFFFF" w:themeFill="background1"/>
          </w:tcPr>
          <w:p w14:paraId="744B7F59"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FFFFFF" w:themeFill="background1"/>
          </w:tcPr>
          <w:p w14:paraId="0F6181A1"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1.1.3 Implementation rate of agreed actions in evaluation management responses</w:t>
            </w:r>
          </w:p>
        </w:tc>
        <w:tc>
          <w:tcPr>
            <w:tcW w:w="1800" w:type="dxa"/>
            <w:shd w:val="clear" w:color="auto" w:fill="FFFFFF" w:themeFill="background1"/>
          </w:tcPr>
          <w:p w14:paraId="2AB6C08D"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70%</w:t>
            </w:r>
          </w:p>
        </w:tc>
        <w:tc>
          <w:tcPr>
            <w:tcW w:w="1620" w:type="dxa"/>
          </w:tcPr>
          <w:p w14:paraId="4005AA81" w14:textId="77777777" w:rsidR="007E0447" w:rsidRPr="00A7247B" w:rsidRDefault="007E0447" w:rsidP="007D7A2E">
            <w:pPr>
              <w:rPr>
                <w:rFonts w:asciiTheme="minorHAnsi" w:eastAsiaTheme="minorHAnsi" w:hAnsiTheme="minorHAnsi" w:cstheme="minorBidi"/>
                <w:color w:val="244061" w:themeColor="accent1" w:themeShade="80"/>
                <w:lang w:val="en-US" w:eastAsia="en-US"/>
              </w:rPr>
            </w:pPr>
            <w:r w:rsidRPr="00A7247B">
              <w:rPr>
                <w:rFonts w:ascii="Calibri" w:eastAsiaTheme="minorHAnsi" w:hAnsi="Calibri" w:cs="Calibri"/>
                <w:color w:val="244061" w:themeColor="accent1" w:themeShade="80"/>
                <w:lang w:val="en-US" w:eastAsia="en-US"/>
              </w:rPr>
              <w:t>85.4%</w:t>
            </w:r>
          </w:p>
        </w:tc>
        <w:tc>
          <w:tcPr>
            <w:tcW w:w="1800" w:type="dxa"/>
            <w:shd w:val="clear" w:color="auto" w:fill="auto"/>
          </w:tcPr>
          <w:p w14:paraId="346AE311"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80%</w:t>
            </w:r>
          </w:p>
        </w:tc>
      </w:tr>
      <w:tr w:rsidR="007E0447" w:rsidRPr="00C75689" w14:paraId="77D8882A" w14:textId="77777777" w:rsidTr="007D7A2E">
        <w:trPr>
          <w:trHeight w:val="331"/>
        </w:trPr>
        <w:tc>
          <w:tcPr>
            <w:tcW w:w="2790" w:type="dxa"/>
            <w:vMerge/>
            <w:shd w:val="clear" w:color="auto" w:fill="FFFFFF" w:themeFill="background1"/>
          </w:tcPr>
          <w:p w14:paraId="25BD261A"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FFFFFF" w:themeFill="background1"/>
          </w:tcPr>
          <w:p w14:paraId="646B8A36"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Audit</w:t>
            </w:r>
          </w:p>
        </w:tc>
        <w:tc>
          <w:tcPr>
            <w:tcW w:w="1800" w:type="dxa"/>
            <w:shd w:val="clear" w:color="auto" w:fill="FFFFFF" w:themeFill="background1"/>
          </w:tcPr>
          <w:p w14:paraId="0CA2207F"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p>
        </w:tc>
        <w:tc>
          <w:tcPr>
            <w:tcW w:w="1620" w:type="dxa"/>
          </w:tcPr>
          <w:p w14:paraId="42C56AAC" w14:textId="77777777" w:rsidR="007E0447" w:rsidRPr="00604BC9" w:rsidRDefault="007E0447" w:rsidP="007D7A2E">
            <w:pPr>
              <w:rPr>
                <w:rFonts w:asciiTheme="minorHAnsi" w:eastAsiaTheme="minorHAnsi" w:hAnsiTheme="minorHAnsi" w:cstheme="minorBidi"/>
                <w:color w:val="FF0000"/>
                <w:lang w:val="en-US" w:eastAsia="en-US"/>
              </w:rPr>
            </w:pPr>
          </w:p>
        </w:tc>
        <w:tc>
          <w:tcPr>
            <w:tcW w:w="1800" w:type="dxa"/>
            <w:shd w:val="clear" w:color="auto" w:fill="auto"/>
          </w:tcPr>
          <w:p w14:paraId="2A9A2DB7"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p>
        </w:tc>
      </w:tr>
      <w:tr w:rsidR="007E0447" w:rsidRPr="00C75689" w14:paraId="759C1EE4" w14:textId="77777777" w:rsidTr="007D7A2E">
        <w:trPr>
          <w:trHeight w:val="331"/>
        </w:trPr>
        <w:tc>
          <w:tcPr>
            <w:tcW w:w="2790" w:type="dxa"/>
            <w:vMerge/>
            <w:shd w:val="clear" w:color="auto" w:fill="FFFFFF" w:themeFill="background1"/>
          </w:tcPr>
          <w:p w14:paraId="48ECA66C"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FFFFFF" w:themeFill="background1"/>
          </w:tcPr>
          <w:p w14:paraId="39B95E1E"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color w:val="auto"/>
                <w:lang w:val="en-US" w:eastAsia="en-US"/>
              </w:rPr>
              <w:t xml:space="preserve">1.1.4 Percentage of UNCDF’s </w:t>
            </w:r>
            <w:proofErr w:type="spellStart"/>
            <w:r w:rsidRPr="00C75689">
              <w:rPr>
                <w:rFonts w:asciiTheme="minorHAnsi" w:eastAsiaTheme="minorHAnsi" w:hAnsiTheme="minorHAnsi" w:cstheme="minorBidi"/>
                <w:color w:val="auto"/>
                <w:lang w:val="en-US" w:eastAsia="en-US"/>
              </w:rPr>
              <w:t>programme</w:t>
            </w:r>
            <w:proofErr w:type="spellEnd"/>
            <w:r w:rsidRPr="00C75689">
              <w:rPr>
                <w:rFonts w:asciiTheme="minorHAnsi" w:eastAsiaTheme="minorHAnsi" w:hAnsiTheme="minorHAnsi" w:cstheme="minorBidi"/>
                <w:color w:val="auto"/>
                <w:lang w:val="en-US" w:eastAsia="en-US"/>
              </w:rPr>
              <w:t xml:space="preserve"> covered by Office and Audit Investigation (OAI)’s audit annually  </w:t>
            </w:r>
          </w:p>
        </w:tc>
        <w:tc>
          <w:tcPr>
            <w:tcW w:w="1800" w:type="dxa"/>
            <w:shd w:val="clear" w:color="auto" w:fill="FFFFFF" w:themeFill="background1"/>
          </w:tcPr>
          <w:p w14:paraId="175C796C"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40%</w:t>
            </w:r>
          </w:p>
        </w:tc>
        <w:tc>
          <w:tcPr>
            <w:tcW w:w="1620" w:type="dxa"/>
          </w:tcPr>
          <w:p w14:paraId="51AAD383" w14:textId="77777777" w:rsidR="007E0447" w:rsidRPr="00A7247B" w:rsidRDefault="007E0447" w:rsidP="007D7A2E">
            <w:pPr>
              <w:rPr>
                <w:rFonts w:asciiTheme="minorHAnsi" w:eastAsiaTheme="minorHAnsi" w:hAnsiTheme="minorHAnsi" w:cstheme="minorBidi"/>
                <w:color w:val="365F91" w:themeColor="accent1" w:themeShade="BF"/>
                <w:lang w:val="en-US" w:eastAsia="en-US"/>
              </w:rPr>
            </w:pPr>
            <w:r w:rsidRPr="00A7247B">
              <w:rPr>
                <w:rFonts w:asciiTheme="minorHAnsi" w:eastAsiaTheme="minorHAnsi" w:hAnsiTheme="minorHAnsi" w:cstheme="minorBidi"/>
                <w:color w:val="365F91" w:themeColor="accent1" w:themeShade="BF"/>
                <w:lang w:val="en-US" w:eastAsia="en-US"/>
              </w:rPr>
              <w:t>42%</w:t>
            </w:r>
          </w:p>
        </w:tc>
        <w:tc>
          <w:tcPr>
            <w:tcW w:w="1800" w:type="dxa"/>
            <w:shd w:val="clear" w:color="auto" w:fill="auto"/>
          </w:tcPr>
          <w:p w14:paraId="21813A09"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40%</w:t>
            </w:r>
            <w:r>
              <w:rPr>
                <w:rStyle w:val="FootnoteReference"/>
                <w:rFonts w:asciiTheme="minorHAnsi" w:eastAsiaTheme="minorHAnsi" w:hAnsiTheme="minorHAnsi" w:cstheme="minorBidi"/>
                <w:color w:val="auto"/>
                <w:lang w:val="en-US" w:eastAsia="en-US"/>
              </w:rPr>
              <w:footnoteReference w:id="28"/>
            </w:r>
          </w:p>
        </w:tc>
      </w:tr>
      <w:tr w:rsidR="007E0447" w:rsidRPr="00C75689" w14:paraId="7AD04C3D" w14:textId="77777777" w:rsidTr="007D7A2E">
        <w:trPr>
          <w:trHeight w:val="331"/>
        </w:trPr>
        <w:tc>
          <w:tcPr>
            <w:tcW w:w="2790" w:type="dxa"/>
            <w:vMerge/>
            <w:shd w:val="clear" w:color="auto" w:fill="FFFFFF" w:themeFill="background1"/>
          </w:tcPr>
          <w:p w14:paraId="015A16CE"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FFFFFF" w:themeFill="background1"/>
          </w:tcPr>
          <w:p w14:paraId="7829879E"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color w:val="auto"/>
                <w:lang w:val="en-US" w:eastAsia="en-US"/>
              </w:rPr>
              <w:t>1.1.5 Percentage of audits that are unqualified</w:t>
            </w:r>
          </w:p>
        </w:tc>
        <w:tc>
          <w:tcPr>
            <w:tcW w:w="1800" w:type="dxa"/>
            <w:shd w:val="clear" w:color="auto" w:fill="FFFFFF" w:themeFill="background1"/>
          </w:tcPr>
          <w:p w14:paraId="6C44ADBC"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100</w:t>
            </w:r>
            <w:r>
              <w:rPr>
                <w:rFonts w:asciiTheme="minorHAnsi" w:eastAsiaTheme="minorHAnsi" w:hAnsiTheme="minorHAnsi" w:cstheme="minorBidi"/>
                <w:color w:val="auto"/>
                <w:lang w:val="en-US" w:eastAsia="en-US"/>
              </w:rPr>
              <w:t>%</w:t>
            </w:r>
          </w:p>
        </w:tc>
        <w:tc>
          <w:tcPr>
            <w:tcW w:w="1620" w:type="dxa"/>
          </w:tcPr>
          <w:p w14:paraId="21C9FBE9" w14:textId="77777777" w:rsidR="007E0447" w:rsidRPr="00A7247B" w:rsidRDefault="007E0447" w:rsidP="007D7A2E">
            <w:pPr>
              <w:rPr>
                <w:rFonts w:asciiTheme="minorHAnsi" w:eastAsiaTheme="minorHAnsi" w:hAnsiTheme="minorHAnsi" w:cstheme="minorBidi"/>
                <w:color w:val="365F91" w:themeColor="accent1" w:themeShade="BF"/>
                <w:lang w:val="en-US" w:eastAsia="en-US"/>
              </w:rPr>
            </w:pPr>
            <w:r w:rsidRPr="00A7247B">
              <w:rPr>
                <w:rFonts w:asciiTheme="minorHAnsi" w:eastAsiaTheme="minorHAnsi" w:hAnsiTheme="minorHAnsi" w:cstheme="minorBidi"/>
                <w:color w:val="365F91" w:themeColor="accent1" w:themeShade="BF"/>
                <w:lang w:val="en-US" w:eastAsia="en-US"/>
              </w:rPr>
              <w:t>100%</w:t>
            </w:r>
          </w:p>
        </w:tc>
        <w:tc>
          <w:tcPr>
            <w:tcW w:w="1800" w:type="dxa"/>
            <w:shd w:val="clear" w:color="auto" w:fill="auto"/>
          </w:tcPr>
          <w:p w14:paraId="5CD1E1CD"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100</w:t>
            </w:r>
            <w:r>
              <w:rPr>
                <w:rFonts w:asciiTheme="minorHAnsi" w:eastAsiaTheme="minorHAnsi" w:hAnsiTheme="minorHAnsi" w:cstheme="minorBidi"/>
                <w:color w:val="auto"/>
                <w:lang w:val="en-US" w:eastAsia="en-US"/>
              </w:rPr>
              <w:t>%</w:t>
            </w:r>
          </w:p>
        </w:tc>
      </w:tr>
      <w:tr w:rsidR="007E0447" w:rsidRPr="00C75689" w14:paraId="2F79D818" w14:textId="77777777" w:rsidTr="007D7A2E">
        <w:trPr>
          <w:trHeight w:val="331"/>
        </w:trPr>
        <w:tc>
          <w:tcPr>
            <w:tcW w:w="2790" w:type="dxa"/>
            <w:vMerge/>
            <w:shd w:val="clear" w:color="auto" w:fill="FFFFFF" w:themeFill="background1"/>
          </w:tcPr>
          <w:p w14:paraId="2409A70A"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FFFFFF" w:themeFill="background1"/>
          </w:tcPr>
          <w:p w14:paraId="2159ED3F"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color w:val="auto"/>
                <w:lang w:val="en-US" w:eastAsia="en-US"/>
              </w:rPr>
              <w:t>1.1.6 Implementation rate of agreed-upon audit recommendations</w:t>
            </w:r>
          </w:p>
        </w:tc>
        <w:tc>
          <w:tcPr>
            <w:tcW w:w="1800" w:type="dxa"/>
            <w:shd w:val="clear" w:color="auto" w:fill="FFFFFF" w:themeFill="background1"/>
          </w:tcPr>
          <w:p w14:paraId="11EF4FB9"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85%</w:t>
            </w:r>
          </w:p>
        </w:tc>
        <w:tc>
          <w:tcPr>
            <w:tcW w:w="1620" w:type="dxa"/>
          </w:tcPr>
          <w:p w14:paraId="24D22AC6" w14:textId="145DB39F" w:rsidR="007E0447" w:rsidRPr="00A7247B" w:rsidRDefault="007E0447" w:rsidP="007D7A2E">
            <w:pPr>
              <w:rPr>
                <w:rFonts w:asciiTheme="minorHAnsi" w:eastAsiaTheme="minorHAnsi" w:hAnsiTheme="minorHAnsi" w:cstheme="minorBidi"/>
                <w:color w:val="365F91" w:themeColor="accent1" w:themeShade="BF"/>
                <w:lang w:val="en-US" w:eastAsia="en-US"/>
              </w:rPr>
            </w:pPr>
            <w:r w:rsidRPr="00A7247B">
              <w:rPr>
                <w:rFonts w:asciiTheme="minorHAnsi" w:eastAsiaTheme="minorHAnsi" w:hAnsiTheme="minorHAnsi" w:cstheme="minorBidi"/>
                <w:color w:val="365F91" w:themeColor="accent1" w:themeShade="BF"/>
                <w:lang w:val="en-US" w:eastAsia="en-US"/>
              </w:rPr>
              <w:t>56%</w:t>
            </w:r>
            <w:r w:rsidR="00221BC7">
              <w:rPr>
                <w:rStyle w:val="FootnoteReference"/>
                <w:rFonts w:asciiTheme="minorHAnsi" w:eastAsiaTheme="minorHAnsi" w:hAnsiTheme="minorHAnsi" w:cstheme="minorBidi"/>
                <w:color w:val="365F91" w:themeColor="accent1" w:themeShade="BF"/>
                <w:lang w:val="en-US" w:eastAsia="en-US"/>
              </w:rPr>
              <w:footnoteReference w:id="29"/>
            </w:r>
          </w:p>
        </w:tc>
        <w:tc>
          <w:tcPr>
            <w:tcW w:w="1800" w:type="dxa"/>
            <w:shd w:val="clear" w:color="auto" w:fill="auto"/>
          </w:tcPr>
          <w:p w14:paraId="2DBFBB1B"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100%</w:t>
            </w:r>
          </w:p>
        </w:tc>
      </w:tr>
      <w:tr w:rsidR="007E0447" w:rsidRPr="00C75689" w14:paraId="351337C1" w14:textId="77777777" w:rsidTr="007D7A2E">
        <w:trPr>
          <w:trHeight w:val="197"/>
        </w:trPr>
        <w:tc>
          <w:tcPr>
            <w:tcW w:w="2790" w:type="dxa"/>
            <w:vMerge/>
            <w:tcBorders>
              <w:bottom w:val="single" w:sz="4" w:space="0" w:color="auto"/>
            </w:tcBorders>
            <w:shd w:val="clear" w:color="auto" w:fill="FFFFFF" w:themeFill="background1"/>
          </w:tcPr>
          <w:p w14:paraId="7063F006"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FFFFFF" w:themeFill="background1"/>
          </w:tcPr>
          <w:p w14:paraId="44FC182E"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1.1.</w:t>
            </w:r>
            <w:r>
              <w:rPr>
                <w:rFonts w:asciiTheme="minorHAnsi" w:eastAsiaTheme="minorHAnsi" w:hAnsiTheme="minorHAnsi" w:cstheme="minorBidi"/>
                <w:color w:val="auto"/>
                <w:lang w:val="en-US" w:eastAsia="en-US"/>
              </w:rPr>
              <w:t>7</w:t>
            </w:r>
            <w:r w:rsidRPr="00C75689">
              <w:rPr>
                <w:rFonts w:asciiTheme="minorHAnsi" w:eastAsiaTheme="minorHAnsi" w:hAnsiTheme="minorHAnsi" w:cstheme="minorBidi"/>
                <w:color w:val="auto"/>
                <w:lang w:val="en-US" w:eastAsia="en-US"/>
              </w:rPr>
              <w:t xml:space="preserve"> </w:t>
            </w:r>
            <w:r w:rsidRPr="00C75689">
              <w:rPr>
                <w:rFonts w:asciiTheme="minorHAnsi" w:eastAsiaTheme="minorHAnsi" w:hAnsiTheme="minorHAnsi" w:cstheme="minorBidi"/>
                <w:b/>
                <w:color w:val="auto"/>
                <w:lang w:val="en-US" w:eastAsia="en-US"/>
              </w:rPr>
              <w:t>Gender Mainstreaming</w:t>
            </w:r>
          </w:p>
          <w:p w14:paraId="16387C3F"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r>
              <w:rPr>
                <w:rFonts w:asciiTheme="minorHAnsi" w:eastAsiaTheme="minorHAnsi" w:hAnsiTheme="minorHAnsi" w:cstheme="minorBidi"/>
                <w:color w:val="auto"/>
                <w:lang w:val="en-US" w:eastAsia="en-US"/>
              </w:rPr>
              <w:t>Percentage</w:t>
            </w:r>
            <w:r w:rsidRPr="00C75689">
              <w:rPr>
                <w:rFonts w:asciiTheme="minorHAnsi" w:eastAsiaTheme="minorHAnsi" w:hAnsiTheme="minorHAnsi" w:cstheme="minorBidi"/>
                <w:color w:val="auto"/>
                <w:lang w:eastAsia="en-US"/>
              </w:rPr>
              <w:t xml:space="preserve"> compliance by UNCDF in at least ‘meeting’ UN System-Wide Action Plan gender reporting requirements across the 15 performance categories</w:t>
            </w:r>
          </w:p>
        </w:tc>
        <w:tc>
          <w:tcPr>
            <w:tcW w:w="1800" w:type="dxa"/>
            <w:shd w:val="clear" w:color="auto" w:fill="FFFFFF" w:themeFill="background1"/>
          </w:tcPr>
          <w:p w14:paraId="10034712"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p>
          <w:p w14:paraId="68CA2A45"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46%</w:t>
            </w:r>
          </w:p>
        </w:tc>
        <w:tc>
          <w:tcPr>
            <w:tcW w:w="1620" w:type="dxa"/>
          </w:tcPr>
          <w:p w14:paraId="250C687C" w14:textId="77777777" w:rsidR="00297B63" w:rsidRDefault="00297B63" w:rsidP="007D7A2E">
            <w:pPr>
              <w:rPr>
                <w:rFonts w:asciiTheme="minorHAnsi" w:eastAsiaTheme="minorHAnsi" w:hAnsiTheme="minorHAnsi" w:cstheme="minorBidi"/>
                <w:color w:val="365F91" w:themeColor="accent1" w:themeShade="BF"/>
                <w:lang w:val="en-US" w:eastAsia="en-US"/>
              </w:rPr>
            </w:pPr>
          </w:p>
          <w:p w14:paraId="681125CD" w14:textId="77777777" w:rsidR="00297B63" w:rsidRDefault="00297B63" w:rsidP="007D7A2E">
            <w:pPr>
              <w:rPr>
                <w:rFonts w:asciiTheme="minorHAnsi" w:eastAsiaTheme="minorHAnsi" w:hAnsiTheme="minorHAnsi" w:cstheme="minorBidi"/>
                <w:color w:val="365F91" w:themeColor="accent1" w:themeShade="BF"/>
                <w:lang w:val="en-US" w:eastAsia="en-US"/>
              </w:rPr>
            </w:pPr>
          </w:p>
          <w:p w14:paraId="2EC483C4" w14:textId="77777777" w:rsidR="007E0447" w:rsidRPr="00A7247B" w:rsidRDefault="007E0447" w:rsidP="007D7A2E">
            <w:pPr>
              <w:rPr>
                <w:rFonts w:asciiTheme="minorHAnsi" w:eastAsiaTheme="minorHAnsi" w:hAnsiTheme="minorHAnsi" w:cstheme="minorBidi"/>
                <w:color w:val="365F91" w:themeColor="accent1" w:themeShade="BF"/>
                <w:lang w:val="en-US" w:eastAsia="en-US"/>
              </w:rPr>
            </w:pPr>
            <w:r w:rsidRPr="00A7247B">
              <w:rPr>
                <w:rFonts w:asciiTheme="minorHAnsi" w:eastAsiaTheme="minorHAnsi" w:hAnsiTheme="minorHAnsi" w:cstheme="minorBidi"/>
                <w:color w:val="365F91" w:themeColor="accent1" w:themeShade="BF"/>
                <w:lang w:val="en-US" w:eastAsia="en-US"/>
              </w:rPr>
              <w:t>40%</w:t>
            </w:r>
          </w:p>
        </w:tc>
        <w:tc>
          <w:tcPr>
            <w:tcW w:w="1800" w:type="dxa"/>
            <w:shd w:val="clear" w:color="auto" w:fill="auto"/>
          </w:tcPr>
          <w:p w14:paraId="43FFC2DB"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p>
          <w:p w14:paraId="45E31E6E"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100%</w:t>
            </w:r>
          </w:p>
        </w:tc>
      </w:tr>
      <w:tr w:rsidR="007E0447" w:rsidRPr="00C75689" w14:paraId="726AE6EC" w14:textId="77777777" w:rsidTr="007D7A2E">
        <w:trPr>
          <w:trHeight w:val="526"/>
        </w:trPr>
        <w:tc>
          <w:tcPr>
            <w:tcW w:w="2790" w:type="dxa"/>
            <w:vMerge w:val="restart"/>
            <w:shd w:val="clear" w:color="auto" w:fill="FFFFFF" w:themeFill="background1"/>
          </w:tcPr>
          <w:p w14:paraId="3D4EC021"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b/>
                <w:color w:val="auto"/>
                <w:lang w:val="en-US" w:eastAsia="en-US"/>
              </w:rPr>
              <w:t xml:space="preserve">Output 1.2  </w:t>
            </w:r>
            <w:r w:rsidRPr="00C75689">
              <w:rPr>
                <w:rFonts w:asciiTheme="minorHAnsi" w:eastAsiaTheme="minorHAnsi" w:hAnsiTheme="minorHAnsi" w:cstheme="minorBidi"/>
                <w:color w:val="auto"/>
                <w:lang w:val="en-US" w:eastAsia="en-US"/>
              </w:rPr>
              <w:t>Structure of financial resources maximized</w:t>
            </w:r>
          </w:p>
        </w:tc>
        <w:tc>
          <w:tcPr>
            <w:tcW w:w="6750" w:type="dxa"/>
            <w:shd w:val="clear" w:color="auto" w:fill="FFFFFF" w:themeFill="background1"/>
          </w:tcPr>
          <w:p w14:paraId="112D83BD"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b/>
                <w:color w:val="auto"/>
                <w:lang w:val="en-US" w:eastAsia="en-US"/>
              </w:rPr>
              <w:t>Total Resources Mobilized</w:t>
            </w:r>
            <w:r w:rsidRPr="00C75689">
              <w:rPr>
                <w:rFonts w:asciiTheme="minorHAnsi" w:eastAsiaTheme="minorHAnsi" w:hAnsiTheme="minorHAnsi" w:cstheme="minorBidi"/>
                <w:color w:val="auto"/>
                <w:lang w:val="en-US" w:eastAsia="en-US"/>
              </w:rPr>
              <w:t xml:space="preserve"> </w:t>
            </w:r>
          </w:p>
        </w:tc>
        <w:tc>
          <w:tcPr>
            <w:tcW w:w="1800" w:type="dxa"/>
            <w:shd w:val="clear" w:color="auto" w:fill="FFFFFF" w:themeFill="background1"/>
          </w:tcPr>
          <w:p w14:paraId="1A23A3A8"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p>
        </w:tc>
        <w:tc>
          <w:tcPr>
            <w:tcW w:w="1620" w:type="dxa"/>
          </w:tcPr>
          <w:p w14:paraId="644A2E22" w14:textId="77777777" w:rsidR="007E0447" w:rsidRPr="00A7247B" w:rsidRDefault="007E0447" w:rsidP="007D7A2E">
            <w:pPr>
              <w:rPr>
                <w:rFonts w:asciiTheme="minorHAnsi" w:eastAsiaTheme="minorHAnsi" w:hAnsiTheme="minorHAnsi" w:cstheme="minorBidi"/>
                <w:color w:val="365F91" w:themeColor="accent1" w:themeShade="BF"/>
                <w:lang w:val="en-US" w:eastAsia="en-US"/>
              </w:rPr>
            </w:pPr>
          </w:p>
        </w:tc>
        <w:tc>
          <w:tcPr>
            <w:tcW w:w="1800" w:type="dxa"/>
            <w:shd w:val="clear" w:color="auto" w:fill="auto"/>
          </w:tcPr>
          <w:p w14:paraId="0CD8C0D8"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p>
        </w:tc>
      </w:tr>
      <w:tr w:rsidR="007E0447" w:rsidRPr="00C75689" w14:paraId="3CF61F2E" w14:textId="77777777" w:rsidTr="007D7A2E">
        <w:trPr>
          <w:trHeight w:val="526"/>
        </w:trPr>
        <w:tc>
          <w:tcPr>
            <w:tcW w:w="2790" w:type="dxa"/>
            <w:vMerge/>
            <w:shd w:val="clear" w:color="auto" w:fill="FFFFFF" w:themeFill="background1"/>
          </w:tcPr>
          <w:p w14:paraId="0A29DE61"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FFFFFF" w:themeFill="background1"/>
          </w:tcPr>
          <w:p w14:paraId="0344DF6C"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1.2.1 Levels of core</w:t>
            </w:r>
            <w:r>
              <w:rPr>
                <w:rFonts w:asciiTheme="minorHAnsi" w:eastAsiaTheme="minorHAnsi" w:hAnsiTheme="minorHAnsi" w:cstheme="minorBidi"/>
                <w:color w:val="auto"/>
                <w:lang w:val="en-US" w:eastAsia="en-US"/>
              </w:rPr>
              <w:t>+</w:t>
            </w:r>
          </w:p>
        </w:tc>
        <w:tc>
          <w:tcPr>
            <w:tcW w:w="1800" w:type="dxa"/>
            <w:shd w:val="clear" w:color="auto" w:fill="FFFFFF" w:themeFill="background1"/>
          </w:tcPr>
          <w:p w14:paraId="043BDDD9"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$16 million</w:t>
            </w:r>
          </w:p>
        </w:tc>
        <w:tc>
          <w:tcPr>
            <w:tcW w:w="1620" w:type="dxa"/>
          </w:tcPr>
          <w:p w14:paraId="07BA7660" w14:textId="605E63BD" w:rsidR="007E0447" w:rsidRPr="00A7247B" w:rsidRDefault="007E0447" w:rsidP="007D7A2E">
            <w:pPr>
              <w:rPr>
                <w:rFonts w:asciiTheme="minorHAnsi" w:eastAsiaTheme="minorHAnsi" w:hAnsiTheme="minorHAnsi" w:cstheme="minorBidi"/>
                <w:color w:val="365F91" w:themeColor="accent1" w:themeShade="BF"/>
                <w:lang w:val="en-US" w:eastAsia="en-US"/>
              </w:rPr>
            </w:pPr>
            <w:r w:rsidRPr="00A7247B">
              <w:rPr>
                <w:rFonts w:asciiTheme="minorHAnsi" w:eastAsiaTheme="minorHAnsi" w:hAnsiTheme="minorHAnsi" w:cstheme="minorBidi"/>
                <w:color w:val="365F91" w:themeColor="accent1" w:themeShade="BF"/>
                <w:lang w:val="en-US" w:eastAsia="en-US"/>
              </w:rPr>
              <w:t>$14</w:t>
            </w:r>
            <w:r w:rsidR="00A7247B">
              <w:rPr>
                <w:rFonts w:asciiTheme="minorHAnsi" w:eastAsiaTheme="minorHAnsi" w:hAnsiTheme="minorHAnsi" w:cstheme="minorBidi"/>
                <w:color w:val="365F91" w:themeColor="accent1" w:themeShade="BF"/>
                <w:lang w:val="en-US" w:eastAsia="en-US"/>
              </w:rPr>
              <w:t>.9</w:t>
            </w:r>
            <w:r w:rsidRPr="00A7247B">
              <w:rPr>
                <w:rFonts w:asciiTheme="minorHAnsi" w:eastAsiaTheme="minorHAnsi" w:hAnsiTheme="minorHAnsi" w:cstheme="minorBidi"/>
                <w:color w:val="365F91" w:themeColor="accent1" w:themeShade="BF"/>
                <w:lang w:val="en-US" w:eastAsia="en-US"/>
              </w:rPr>
              <w:t xml:space="preserve"> million</w:t>
            </w:r>
          </w:p>
        </w:tc>
        <w:tc>
          <w:tcPr>
            <w:tcW w:w="1800" w:type="dxa"/>
            <w:shd w:val="clear" w:color="auto" w:fill="auto"/>
          </w:tcPr>
          <w:p w14:paraId="175BEF40"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$25 million</w:t>
            </w:r>
          </w:p>
        </w:tc>
      </w:tr>
      <w:tr w:rsidR="007E0447" w:rsidRPr="00C75689" w14:paraId="7B63E2C3" w14:textId="77777777" w:rsidTr="007D7A2E">
        <w:trPr>
          <w:trHeight w:val="526"/>
        </w:trPr>
        <w:tc>
          <w:tcPr>
            <w:tcW w:w="2790" w:type="dxa"/>
            <w:vMerge/>
            <w:shd w:val="clear" w:color="auto" w:fill="FFFFFF" w:themeFill="background1"/>
          </w:tcPr>
          <w:p w14:paraId="4916EBBF"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FFFFFF" w:themeFill="background1"/>
          </w:tcPr>
          <w:p w14:paraId="0F5ED588"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1.2.2 Levels of non-core (from development partners)</w:t>
            </w:r>
          </w:p>
        </w:tc>
        <w:tc>
          <w:tcPr>
            <w:tcW w:w="1800" w:type="dxa"/>
            <w:shd w:val="clear" w:color="auto" w:fill="FFFFFF" w:themeFill="background1"/>
          </w:tcPr>
          <w:p w14:paraId="44327F66"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$35 million</w:t>
            </w:r>
          </w:p>
        </w:tc>
        <w:tc>
          <w:tcPr>
            <w:tcW w:w="1620" w:type="dxa"/>
          </w:tcPr>
          <w:p w14:paraId="604E4059" w14:textId="77777777" w:rsidR="007E0447" w:rsidRPr="00A7247B" w:rsidRDefault="007E0447" w:rsidP="007D7A2E">
            <w:pPr>
              <w:rPr>
                <w:rFonts w:asciiTheme="minorHAnsi" w:eastAsiaTheme="minorHAnsi" w:hAnsiTheme="minorHAnsi" w:cstheme="minorBidi"/>
                <w:color w:val="365F91" w:themeColor="accent1" w:themeShade="BF"/>
                <w:lang w:val="en-US" w:eastAsia="en-US"/>
              </w:rPr>
            </w:pPr>
            <w:r w:rsidRPr="00A7247B">
              <w:rPr>
                <w:rFonts w:asciiTheme="minorHAnsi" w:eastAsiaTheme="minorHAnsi" w:hAnsiTheme="minorHAnsi" w:cstheme="minorBidi"/>
                <w:color w:val="365F91" w:themeColor="accent1" w:themeShade="BF"/>
                <w:lang w:val="en-US" w:eastAsia="en-US"/>
              </w:rPr>
              <w:t>$53 million</w:t>
            </w:r>
          </w:p>
        </w:tc>
        <w:tc>
          <w:tcPr>
            <w:tcW w:w="1800" w:type="dxa"/>
            <w:shd w:val="clear" w:color="auto" w:fill="auto"/>
          </w:tcPr>
          <w:p w14:paraId="35077D6F"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$5</w:t>
            </w:r>
            <w:r w:rsidRPr="006D4F3E">
              <w:rPr>
                <w:rFonts w:asciiTheme="minorHAnsi" w:eastAsiaTheme="minorHAnsi" w:hAnsiTheme="minorHAnsi" w:cstheme="minorBidi"/>
                <w:color w:val="auto"/>
                <w:lang w:val="en-US" w:eastAsia="en-US"/>
              </w:rPr>
              <w:t>5</w:t>
            </w:r>
            <w:r w:rsidRPr="001630EC">
              <w:rPr>
                <w:rFonts w:asciiTheme="minorHAnsi" w:eastAsiaTheme="minorHAnsi" w:hAnsiTheme="minorHAnsi" w:cstheme="minorBidi"/>
                <w:color w:val="auto"/>
                <w:lang w:val="en-US" w:eastAsia="en-US"/>
              </w:rPr>
              <w:t xml:space="preserve"> million</w:t>
            </w:r>
          </w:p>
        </w:tc>
      </w:tr>
      <w:tr w:rsidR="007E0447" w:rsidRPr="00C75689" w14:paraId="70CF06EC" w14:textId="77777777" w:rsidTr="007D7A2E">
        <w:trPr>
          <w:trHeight w:val="526"/>
        </w:trPr>
        <w:tc>
          <w:tcPr>
            <w:tcW w:w="2790" w:type="dxa"/>
            <w:vMerge/>
            <w:shd w:val="clear" w:color="auto" w:fill="FFFFFF" w:themeFill="background1"/>
          </w:tcPr>
          <w:p w14:paraId="41FF5211"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FFFFFF" w:themeFill="background1"/>
          </w:tcPr>
          <w:p w14:paraId="7AFC407F"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1.2.3 Levels of non-core  (from private and non-governmental sources)</w:t>
            </w:r>
          </w:p>
        </w:tc>
        <w:tc>
          <w:tcPr>
            <w:tcW w:w="1800" w:type="dxa"/>
            <w:shd w:val="clear" w:color="auto" w:fill="FFFFFF" w:themeFill="background1"/>
          </w:tcPr>
          <w:p w14:paraId="3A433EAD"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$13 million</w:t>
            </w:r>
          </w:p>
        </w:tc>
        <w:tc>
          <w:tcPr>
            <w:tcW w:w="1620" w:type="dxa"/>
          </w:tcPr>
          <w:p w14:paraId="40C8341C" w14:textId="77777777" w:rsidR="007E0447" w:rsidRPr="00A7247B" w:rsidRDefault="007E0447" w:rsidP="007D7A2E">
            <w:pPr>
              <w:rPr>
                <w:rFonts w:asciiTheme="minorHAnsi" w:eastAsiaTheme="minorHAnsi" w:hAnsiTheme="minorHAnsi" w:cstheme="minorBidi"/>
                <w:color w:val="365F91" w:themeColor="accent1" w:themeShade="BF"/>
                <w:lang w:val="en-US" w:eastAsia="en-US"/>
              </w:rPr>
            </w:pPr>
            <w:r w:rsidRPr="00A7247B">
              <w:rPr>
                <w:rFonts w:asciiTheme="minorHAnsi" w:eastAsiaTheme="minorHAnsi" w:hAnsiTheme="minorHAnsi" w:cstheme="minorBidi"/>
                <w:color w:val="365F91" w:themeColor="accent1" w:themeShade="BF"/>
                <w:lang w:val="en-US" w:eastAsia="en-US"/>
              </w:rPr>
              <w:t>$20 million</w:t>
            </w:r>
          </w:p>
        </w:tc>
        <w:tc>
          <w:tcPr>
            <w:tcW w:w="1800" w:type="dxa"/>
            <w:shd w:val="clear" w:color="auto" w:fill="auto"/>
          </w:tcPr>
          <w:p w14:paraId="5B83F807"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$20 million</w:t>
            </w:r>
          </w:p>
        </w:tc>
      </w:tr>
      <w:tr w:rsidR="007E0447" w:rsidRPr="00C75689" w14:paraId="6EE3F14B" w14:textId="77777777" w:rsidTr="007D7A2E">
        <w:trPr>
          <w:trHeight w:val="647"/>
        </w:trPr>
        <w:tc>
          <w:tcPr>
            <w:tcW w:w="2790" w:type="dxa"/>
            <w:vMerge/>
          </w:tcPr>
          <w:p w14:paraId="51497888" w14:textId="77777777" w:rsidR="007E0447" w:rsidRPr="00C75689" w:rsidRDefault="007E0447" w:rsidP="007D7A2E">
            <w:pPr>
              <w:spacing w:after="200" w:line="276" w:lineRule="auto"/>
              <w:rPr>
                <w:rFonts w:asciiTheme="minorHAnsi" w:eastAsiaTheme="minorHAnsi" w:hAnsiTheme="minorHAnsi" w:cstheme="minorBidi"/>
                <w:b/>
                <w:color w:val="auto"/>
                <w:u w:val="single"/>
                <w:lang w:val="en-US" w:eastAsia="en-US"/>
              </w:rPr>
            </w:pPr>
          </w:p>
        </w:tc>
        <w:tc>
          <w:tcPr>
            <w:tcW w:w="6750" w:type="dxa"/>
            <w:shd w:val="clear" w:color="auto" w:fill="FFFFFF" w:themeFill="background1"/>
          </w:tcPr>
          <w:p w14:paraId="0AA1C95C"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 xml:space="preserve">1.2.4 </w:t>
            </w:r>
            <w:r w:rsidRPr="001630EC">
              <w:rPr>
                <w:rFonts w:asciiTheme="minorHAnsi" w:eastAsiaTheme="minorHAnsi" w:hAnsiTheme="minorHAnsi" w:cstheme="minorBidi"/>
                <w:color w:val="auto"/>
                <w:lang w:val="fr-FR" w:eastAsia="en-US"/>
              </w:rPr>
              <w:t xml:space="preserve">% </w:t>
            </w:r>
            <w:proofErr w:type="spellStart"/>
            <w:r w:rsidRPr="001630EC">
              <w:rPr>
                <w:rFonts w:asciiTheme="minorHAnsi" w:eastAsiaTheme="minorHAnsi" w:hAnsiTheme="minorHAnsi" w:cstheme="minorBidi"/>
                <w:color w:val="auto"/>
                <w:lang w:val="fr-FR" w:eastAsia="en-US"/>
              </w:rPr>
              <w:t>delivery</w:t>
            </w:r>
            <w:proofErr w:type="spellEnd"/>
            <w:r w:rsidRPr="001630EC">
              <w:rPr>
                <w:rFonts w:asciiTheme="minorHAnsi" w:eastAsiaTheme="minorHAnsi" w:hAnsiTheme="minorHAnsi" w:cstheme="minorBidi"/>
                <w:color w:val="auto"/>
                <w:lang w:val="fr-FR" w:eastAsia="en-US"/>
              </w:rPr>
              <w:t xml:space="preserve"> </w:t>
            </w:r>
            <w:proofErr w:type="spellStart"/>
            <w:r w:rsidRPr="001630EC">
              <w:rPr>
                <w:rFonts w:asciiTheme="minorHAnsi" w:eastAsiaTheme="minorHAnsi" w:hAnsiTheme="minorHAnsi" w:cstheme="minorBidi"/>
                <w:color w:val="auto"/>
                <w:lang w:val="fr-FR" w:eastAsia="en-US"/>
              </w:rPr>
              <w:t>against</w:t>
            </w:r>
            <w:proofErr w:type="spellEnd"/>
            <w:r w:rsidRPr="001630EC">
              <w:rPr>
                <w:rFonts w:asciiTheme="minorHAnsi" w:eastAsiaTheme="minorHAnsi" w:hAnsiTheme="minorHAnsi" w:cstheme="minorBidi"/>
                <w:color w:val="auto"/>
                <w:lang w:val="fr-FR" w:eastAsia="en-US"/>
              </w:rPr>
              <w:t xml:space="preserve"> </w:t>
            </w:r>
            <w:proofErr w:type="spellStart"/>
            <w:r w:rsidRPr="001630EC">
              <w:rPr>
                <w:rFonts w:asciiTheme="minorHAnsi" w:eastAsiaTheme="minorHAnsi" w:hAnsiTheme="minorHAnsi" w:cstheme="minorBidi"/>
                <w:color w:val="auto"/>
                <w:lang w:val="fr-FR" w:eastAsia="en-US"/>
              </w:rPr>
              <w:t>approved</w:t>
            </w:r>
            <w:proofErr w:type="spellEnd"/>
            <w:r w:rsidRPr="001630EC">
              <w:rPr>
                <w:rFonts w:asciiTheme="minorHAnsi" w:eastAsiaTheme="minorHAnsi" w:hAnsiTheme="minorHAnsi" w:cstheme="minorBidi"/>
                <w:color w:val="auto"/>
                <w:lang w:val="fr-FR" w:eastAsia="en-US"/>
              </w:rPr>
              <w:t xml:space="preserve"> budget</w:t>
            </w:r>
          </w:p>
        </w:tc>
        <w:tc>
          <w:tcPr>
            <w:tcW w:w="1800" w:type="dxa"/>
            <w:shd w:val="clear" w:color="auto" w:fill="FFFFFF" w:themeFill="background1"/>
          </w:tcPr>
          <w:p w14:paraId="7BB67AA0" w14:textId="77777777" w:rsidR="007E0447" w:rsidRPr="001630EC" w:rsidRDefault="007E0447" w:rsidP="007D7A2E">
            <w:pPr>
              <w:spacing w:after="200" w:line="276" w:lineRule="auto"/>
              <w:rPr>
                <w:rFonts w:asciiTheme="minorHAnsi" w:eastAsiaTheme="minorHAnsi" w:hAnsiTheme="minorHAnsi" w:cstheme="minorBidi"/>
                <w:color w:val="auto"/>
                <w:lang w:val="fr-FR" w:eastAsia="en-US"/>
              </w:rPr>
            </w:pPr>
            <w:r w:rsidRPr="001630EC">
              <w:rPr>
                <w:rFonts w:asciiTheme="minorHAnsi" w:eastAsiaTheme="minorHAnsi" w:hAnsiTheme="minorHAnsi" w:cstheme="minorBidi"/>
                <w:color w:val="auto"/>
                <w:lang w:val="fr-FR" w:eastAsia="en-US"/>
              </w:rPr>
              <w:t>85%</w:t>
            </w:r>
          </w:p>
        </w:tc>
        <w:tc>
          <w:tcPr>
            <w:tcW w:w="1620" w:type="dxa"/>
          </w:tcPr>
          <w:p w14:paraId="228B52C6" w14:textId="77777777" w:rsidR="007E0447" w:rsidRPr="00A7247B" w:rsidRDefault="007E0447" w:rsidP="007D7A2E">
            <w:pPr>
              <w:rPr>
                <w:rFonts w:asciiTheme="minorHAnsi" w:eastAsiaTheme="minorHAnsi" w:hAnsiTheme="minorHAnsi" w:cstheme="minorBidi"/>
                <w:color w:val="365F91" w:themeColor="accent1" w:themeShade="BF"/>
                <w:lang w:val="fr-FR" w:eastAsia="en-US"/>
              </w:rPr>
            </w:pPr>
            <w:r w:rsidRPr="00A7247B">
              <w:rPr>
                <w:rFonts w:asciiTheme="minorHAnsi" w:eastAsiaTheme="minorHAnsi" w:hAnsiTheme="minorHAnsi" w:cstheme="minorBidi"/>
                <w:color w:val="365F91" w:themeColor="accent1" w:themeShade="BF"/>
                <w:lang w:val="en-US" w:eastAsia="en-US"/>
              </w:rPr>
              <w:t>76 %</w:t>
            </w:r>
          </w:p>
        </w:tc>
        <w:tc>
          <w:tcPr>
            <w:tcW w:w="1800" w:type="dxa"/>
            <w:shd w:val="clear" w:color="auto" w:fill="auto"/>
          </w:tcPr>
          <w:p w14:paraId="55F33924" w14:textId="77777777" w:rsidR="007E0447" w:rsidRPr="001630EC" w:rsidRDefault="007E0447" w:rsidP="007D7A2E">
            <w:pPr>
              <w:spacing w:after="200" w:line="276" w:lineRule="auto"/>
              <w:rPr>
                <w:rFonts w:asciiTheme="minorHAnsi" w:eastAsiaTheme="minorHAnsi" w:hAnsiTheme="minorHAnsi" w:cstheme="minorBidi"/>
                <w:color w:val="auto"/>
                <w:lang w:val="fr-FR" w:eastAsia="en-US"/>
              </w:rPr>
            </w:pPr>
            <w:r w:rsidRPr="001630EC">
              <w:rPr>
                <w:rFonts w:asciiTheme="minorHAnsi" w:eastAsiaTheme="minorHAnsi" w:hAnsiTheme="minorHAnsi" w:cstheme="minorBidi"/>
                <w:color w:val="auto"/>
                <w:lang w:val="fr-FR" w:eastAsia="en-US"/>
              </w:rPr>
              <w:t>90%</w:t>
            </w:r>
          </w:p>
        </w:tc>
      </w:tr>
      <w:tr w:rsidR="007E0447" w:rsidRPr="00C75689" w14:paraId="66265C28" w14:textId="77777777" w:rsidTr="007D7A2E">
        <w:trPr>
          <w:trHeight w:val="647"/>
        </w:trPr>
        <w:tc>
          <w:tcPr>
            <w:tcW w:w="2790" w:type="dxa"/>
            <w:vMerge/>
          </w:tcPr>
          <w:p w14:paraId="39ACB492" w14:textId="77777777" w:rsidR="007E0447" w:rsidRPr="00C75689" w:rsidRDefault="007E0447" w:rsidP="007D7A2E">
            <w:pPr>
              <w:spacing w:after="200" w:line="276" w:lineRule="auto"/>
              <w:rPr>
                <w:rFonts w:asciiTheme="minorHAnsi" w:eastAsiaTheme="minorHAnsi" w:hAnsiTheme="minorHAnsi" w:cstheme="minorBidi"/>
                <w:b/>
                <w:color w:val="auto"/>
                <w:u w:val="single"/>
                <w:lang w:val="fr-FR" w:eastAsia="en-US"/>
              </w:rPr>
            </w:pPr>
          </w:p>
        </w:tc>
        <w:tc>
          <w:tcPr>
            <w:tcW w:w="6750" w:type="dxa"/>
            <w:shd w:val="clear" w:color="auto" w:fill="FFFFFF" w:themeFill="background1"/>
          </w:tcPr>
          <w:p w14:paraId="3198154A" w14:textId="77777777" w:rsidR="007E0447" w:rsidRPr="006D4F3E" w:rsidRDefault="007E0447" w:rsidP="007D7A2E">
            <w:pPr>
              <w:spacing w:after="200" w:line="276" w:lineRule="auto"/>
              <w:rPr>
                <w:rFonts w:asciiTheme="minorHAnsi" w:eastAsiaTheme="minorHAnsi" w:hAnsiTheme="minorHAnsi" w:cstheme="minorBidi"/>
                <w:color w:val="auto"/>
                <w:lang w:val="en-US" w:eastAsia="en-US"/>
              </w:rPr>
            </w:pPr>
            <w:r w:rsidRPr="006D4F3E">
              <w:rPr>
                <w:rFonts w:asciiTheme="minorHAnsi" w:eastAsiaTheme="minorHAnsi" w:hAnsiTheme="minorHAnsi" w:cstheme="minorBidi"/>
                <w:color w:val="auto"/>
                <w:lang w:val="en-US" w:eastAsia="en-US"/>
              </w:rPr>
              <w:t xml:space="preserve">1.2.5 Optimal </w:t>
            </w:r>
            <w:proofErr w:type="spellStart"/>
            <w:r w:rsidRPr="006D4F3E">
              <w:rPr>
                <w:rFonts w:asciiTheme="minorHAnsi" w:eastAsiaTheme="minorHAnsi" w:hAnsiTheme="minorHAnsi" w:cstheme="minorBidi"/>
                <w:color w:val="auto"/>
                <w:lang w:val="en-US" w:eastAsia="en-US"/>
              </w:rPr>
              <w:t>mobilisation</w:t>
            </w:r>
            <w:proofErr w:type="spellEnd"/>
            <w:r w:rsidRPr="006D4F3E">
              <w:rPr>
                <w:rFonts w:asciiTheme="minorHAnsi" w:eastAsiaTheme="minorHAnsi" w:hAnsiTheme="minorHAnsi" w:cstheme="minorBidi"/>
                <w:color w:val="auto"/>
                <w:lang w:val="en-US" w:eastAsia="en-US"/>
              </w:rPr>
              <w:t xml:space="preserve"> ratio of non-core resources by core funds for </w:t>
            </w:r>
            <w:proofErr w:type="spellStart"/>
            <w:r w:rsidRPr="006D4F3E">
              <w:rPr>
                <w:rFonts w:asciiTheme="minorHAnsi" w:eastAsiaTheme="minorHAnsi" w:hAnsiTheme="minorHAnsi" w:cstheme="minorBidi"/>
                <w:color w:val="auto"/>
                <w:lang w:val="en-US" w:eastAsia="en-US"/>
              </w:rPr>
              <w:t>programmes</w:t>
            </w:r>
            <w:proofErr w:type="spellEnd"/>
            <w:r w:rsidRPr="006D4F3E">
              <w:rPr>
                <w:rFonts w:asciiTheme="minorHAnsi" w:eastAsiaTheme="minorHAnsi" w:hAnsiTheme="minorHAnsi" w:cstheme="minorBidi"/>
                <w:color w:val="auto"/>
                <w:lang w:val="en-US" w:eastAsia="en-US"/>
              </w:rPr>
              <w:t>/projects</w:t>
            </w:r>
          </w:p>
        </w:tc>
        <w:tc>
          <w:tcPr>
            <w:tcW w:w="1800" w:type="dxa"/>
            <w:shd w:val="clear" w:color="auto" w:fill="FFFFFF" w:themeFill="background1"/>
          </w:tcPr>
          <w:p w14:paraId="32757FF7" w14:textId="77777777" w:rsidR="007E0447" w:rsidRPr="001630EC" w:rsidRDefault="007E0447" w:rsidP="007D7A2E">
            <w:pPr>
              <w:spacing w:after="200" w:line="276" w:lineRule="auto"/>
              <w:rPr>
                <w:rFonts w:asciiTheme="minorHAnsi" w:eastAsiaTheme="minorHAnsi" w:hAnsiTheme="minorHAnsi" w:cstheme="minorBidi"/>
                <w:color w:val="auto"/>
                <w:lang w:val="fr-FR" w:eastAsia="en-US"/>
              </w:rPr>
            </w:pPr>
            <w:r w:rsidRPr="006D4F3E">
              <w:rPr>
                <w:rFonts w:asciiTheme="minorHAnsi" w:eastAsiaTheme="minorHAnsi" w:hAnsiTheme="minorHAnsi" w:cstheme="minorBidi"/>
                <w:color w:val="auto"/>
                <w:lang w:val="fr-FR" w:eastAsia="en-US"/>
              </w:rPr>
              <w:t>3</w:t>
            </w:r>
            <w:r w:rsidRPr="001630EC">
              <w:rPr>
                <w:rFonts w:asciiTheme="minorHAnsi" w:eastAsiaTheme="minorHAnsi" w:hAnsiTheme="minorHAnsi" w:cstheme="minorBidi"/>
                <w:color w:val="auto"/>
                <w:lang w:val="fr-FR" w:eastAsia="en-US"/>
              </w:rPr>
              <w:t xml:space="preserve"> : </w:t>
            </w:r>
            <w:r w:rsidRPr="006D4F3E">
              <w:rPr>
                <w:rFonts w:asciiTheme="minorHAnsi" w:eastAsiaTheme="minorHAnsi" w:hAnsiTheme="minorHAnsi" w:cstheme="minorBidi"/>
                <w:color w:val="auto"/>
                <w:lang w:val="fr-FR" w:eastAsia="en-US"/>
              </w:rPr>
              <w:t>1</w:t>
            </w:r>
          </w:p>
        </w:tc>
        <w:tc>
          <w:tcPr>
            <w:tcW w:w="1620" w:type="dxa"/>
          </w:tcPr>
          <w:p w14:paraId="60BAF687" w14:textId="77777777" w:rsidR="007E0447" w:rsidRPr="00A7247B" w:rsidRDefault="007E0447" w:rsidP="007D7A2E">
            <w:pPr>
              <w:rPr>
                <w:rFonts w:asciiTheme="minorHAnsi" w:eastAsiaTheme="minorHAnsi" w:hAnsiTheme="minorHAnsi" w:cstheme="minorBidi"/>
                <w:color w:val="365F91" w:themeColor="accent1" w:themeShade="BF"/>
                <w:lang w:val="fr-FR" w:eastAsia="en-US"/>
              </w:rPr>
            </w:pPr>
            <w:r w:rsidRPr="00A7247B">
              <w:rPr>
                <w:rFonts w:asciiTheme="minorHAnsi" w:eastAsiaTheme="minorHAnsi" w:hAnsiTheme="minorHAnsi" w:cstheme="minorBidi"/>
                <w:color w:val="365F91" w:themeColor="accent1" w:themeShade="BF"/>
                <w:lang w:val="en-US" w:eastAsia="en-US"/>
              </w:rPr>
              <w:t>5:1</w:t>
            </w:r>
          </w:p>
        </w:tc>
        <w:tc>
          <w:tcPr>
            <w:tcW w:w="1800" w:type="dxa"/>
            <w:shd w:val="clear" w:color="auto" w:fill="auto"/>
          </w:tcPr>
          <w:p w14:paraId="7F908409" w14:textId="77777777" w:rsidR="007E0447" w:rsidRPr="001630EC" w:rsidRDefault="007E0447" w:rsidP="007D7A2E">
            <w:pPr>
              <w:spacing w:after="200" w:line="276" w:lineRule="auto"/>
              <w:rPr>
                <w:rFonts w:asciiTheme="minorHAnsi" w:eastAsiaTheme="minorHAnsi" w:hAnsiTheme="minorHAnsi" w:cstheme="minorBidi"/>
                <w:color w:val="auto"/>
                <w:lang w:val="fr-FR" w:eastAsia="en-US"/>
              </w:rPr>
            </w:pPr>
            <w:r w:rsidRPr="001630EC">
              <w:rPr>
                <w:rFonts w:asciiTheme="minorHAnsi" w:eastAsiaTheme="minorHAnsi" w:hAnsiTheme="minorHAnsi" w:cstheme="minorBidi"/>
                <w:color w:val="auto"/>
                <w:lang w:val="fr-FR" w:eastAsia="en-US"/>
              </w:rPr>
              <w:t> </w:t>
            </w:r>
            <w:r w:rsidRPr="006D4F3E">
              <w:rPr>
                <w:rFonts w:asciiTheme="minorHAnsi" w:eastAsiaTheme="minorHAnsi" w:hAnsiTheme="minorHAnsi" w:cstheme="minorBidi"/>
                <w:color w:val="auto"/>
                <w:lang w:val="fr-FR" w:eastAsia="en-US"/>
              </w:rPr>
              <w:t xml:space="preserve">4 </w:t>
            </w:r>
            <w:r w:rsidRPr="001630EC">
              <w:rPr>
                <w:rFonts w:asciiTheme="minorHAnsi" w:eastAsiaTheme="minorHAnsi" w:hAnsiTheme="minorHAnsi" w:cstheme="minorBidi"/>
                <w:color w:val="auto"/>
                <w:lang w:val="fr-FR" w:eastAsia="en-US"/>
              </w:rPr>
              <w:t xml:space="preserve">: </w:t>
            </w:r>
            <w:r w:rsidRPr="006D4F3E">
              <w:rPr>
                <w:rFonts w:asciiTheme="minorHAnsi" w:eastAsiaTheme="minorHAnsi" w:hAnsiTheme="minorHAnsi" w:cstheme="minorBidi"/>
                <w:color w:val="auto"/>
                <w:lang w:val="fr-FR" w:eastAsia="en-US"/>
              </w:rPr>
              <w:t>1</w:t>
            </w:r>
          </w:p>
        </w:tc>
      </w:tr>
      <w:tr w:rsidR="007E0447" w:rsidRPr="00C75689" w14:paraId="74A94A3D" w14:textId="77777777" w:rsidTr="007D7A2E">
        <w:trPr>
          <w:trHeight w:val="647"/>
        </w:trPr>
        <w:tc>
          <w:tcPr>
            <w:tcW w:w="2790" w:type="dxa"/>
            <w:vMerge/>
          </w:tcPr>
          <w:p w14:paraId="68AA535B" w14:textId="77777777" w:rsidR="007E0447" w:rsidRPr="00C75689" w:rsidRDefault="007E0447" w:rsidP="007D7A2E">
            <w:pPr>
              <w:spacing w:after="200" w:line="276" w:lineRule="auto"/>
              <w:rPr>
                <w:rFonts w:asciiTheme="minorHAnsi" w:eastAsiaTheme="minorHAnsi" w:hAnsiTheme="minorHAnsi" w:cstheme="minorBidi"/>
                <w:b/>
                <w:color w:val="auto"/>
                <w:u w:val="single"/>
                <w:lang w:val="fr-FR" w:eastAsia="en-US"/>
              </w:rPr>
            </w:pPr>
          </w:p>
        </w:tc>
        <w:tc>
          <w:tcPr>
            <w:tcW w:w="6750" w:type="dxa"/>
            <w:shd w:val="clear" w:color="auto" w:fill="FFFFFF" w:themeFill="background1"/>
          </w:tcPr>
          <w:p w14:paraId="694CA851" w14:textId="77777777" w:rsidR="007E0447" w:rsidRPr="001630EC" w:rsidRDefault="007E0447" w:rsidP="007D7A2E">
            <w:pPr>
              <w:spacing w:after="200" w:line="276" w:lineRule="auto"/>
              <w:rPr>
                <w:rFonts w:asciiTheme="minorHAnsi" w:eastAsiaTheme="minorHAnsi" w:hAnsiTheme="minorHAnsi" w:cstheme="minorBidi"/>
                <w:b/>
                <w:color w:val="auto"/>
                <w:lang w:val="en-US" w:eastAsia="en-US"/>
              </w:rPr>
            </w:pPr>
            <w:proofErr w:type="spellStart"/>
            <w:r w:rsidRPr="001630EC">
              <w:rPr>
                <w:rFonts w:asciiTheme="minorHAnsi" w:eastAsiaTheme="minorHAnsi" w:hAnsiTheme="minorHAnsi" w:cstheme="minorBidi"/>
                <w:b/>
                <w:color w:val="auto"/>
                <w:lang w:val="en-US" w:eastAsia="en-US"/>
              </w:rPr>
              <w:t>Optimised</w:t>
            </w:r>
            <w:proofErr w:type="spellEnd"/>
            <w:r w:rsidRPr="001630EC">
              <w:rPr>
                <w:rFonts w:asciiTheme="minorHAnsi" w:eastAsiaTheme="minorHAnsi" w:hAnsiTheme="minorHAnsi" w:cstheme="minorBidi"/>
                <w:b/>
                <w:color w:val="auto"/>
                <w:lang w:val="en-US" w:eastAsia="en-US"/>
              </w:rPr>
              <w:t xml:space="preserve"> Cost Structure</w:t>
            </w:r>
          </w:p>
        </w:tc>
        <w:tc>
          <w:tcPr>
            <w:tcW w:w="1800" w:type="dxa"/>
            <w:shd w:val="clear" w:color="auto" w:fill="FFFFFF" w:themeFill="background1"/>
          </w:tcPr>
          <w:p w14:paraId="3CE21899" w14:textId="77777777" w:rsidR="007E0447" w:rsidRPr="006D4F3E" w:rsidRDefault="007E0447" w:rsidP="007D7A2E">
            <w:pPr>
              <w:spacing w:after="200" w:line="276" w:lineRule="auto"/>
              <w:rPr>
                <w:rFonts w:asciiTheme="minorHAnsi" w:eastAsiaTheme="minorHAnsi" w:hAnsiTheme="minorHAnsi" w:cstheme="minorBidi"/>
                <w:color w:val="auto"/>
                <w:highlight w:val="yellow"/>
                <w:lang w:val="en-US" w:eastAsia="en-US"/>
              </w:rPr>
            </w:pPr>
          </w:p>
        </w:tc>
        <w:tc>
          <w:tcPr>
            <w:tcW w:w="1620" w:type="dxa"/>
          </w:tcPr>
          <w:p w14:paraId="48D67202" w14:textId="77777777" w:rsidR="007E0447" w:rsidRPr="00A7247B" w:rsidRDefault="007E0447" w:rsidP="007D7A2E">
            <w:pPr>
              <w:rPr>
                <w:rFonts w:asciiTheme="minorHAnsi" w:eastAsiaTheme="minorHAnsi" w:hAnsiTheme="minorHAnsi" w:cstheme="minorBidi"/>
                <w:color w:val="365F91" w:themeColor="accent1" w:themeShade="BF"/>
                <w:highlight w:val="yellow"/>
                <w:lang w:val="en-US" w:eastAsia="en-US"/>
              </w:rPr>
            </w:pPr>
          </w:p>
        </w:tc>
        <w:tc>
          <w:tcPr>
            <w:tcW w:w="1800" w:type="dxa"/>
            <w:shd w:val="clear" w:color="auto" w:fill="auto"/>
          </w:tcPr>
          <w:p w14:paraId="65E09B0E" w14:textId="77777777" w:rsidR="007E0447" w:rsidRPr="006D4F3E" w:rsidRDefault="007E0447" w:rsidP="007D7A2E">
            <w:pPr>
              <w:spacing w:after="200" w:line="276" w:lineRule="auto"/>
              <w:rPr>
                <w:rFonts w:asciiTheme="minorHAnsi" w:eastAsiaTheme="minorHAnsi" w:hAnsiTheme="minorHAnsi" w:cstheme="minorBidi"/>
                <w:color w:val="auto"/>
                <w:highlight w:val="yellow"/>
                <w:lang w:val="en-US" w:eastAsia="en-US"/>
              </w:rPr>
            </w:pPr>
          </w:p>
        </w:tc>
      </w:tr>
      <w:tr w:rsidR="007E0447" w:rsidRPr="00C75689" w14:paraId="16AC30E8" w14:textId="77777777" w:rsidTr="007D7A2E">
        <w:trPr>
          <w:trHeight w:val="647"/>
        </w:trPr>
        <w:tc>
          <w:tcPr>
            <w:tcW w:w="2790" w:type="dxa"/>
            <w:vMerge/>
          </w:tcPr>
          <w:p w14:paraId="1D92046B" w14:textId="77777777" w:rsidR="007E0447" w:rsidRPr="00C75689" w:rsidRDefault="007E0447" w:rsidP="007D7A2E">
            <w:pPr>
              <w:spacing w:after="200" w:line="276" w:lineRule="auto"/>
              <w:rPr>
                <w:rFonts w:asciiTheme="minorHAnsi" w:eastAsiaTheme="minorHAnsi" w:hAnsiTheme="minorHAnsi" w:cstheme="minorBidi"/>
                <w:b/>
                <w:color w:val="auto"/>
                <w:u w:val="single"/>
                <w:lang w:val="fr-FR" w:eastAsia="en-US"/>
              </w:rPr>
            </w:pPr>
          </w:p>
        </w:tc>
        <w:tc>
          <w:tcPr>
            <w:tcW w:w="6750" w:type="dxa"/>
            <w:shd w:val="clear" w:color="auto" w:fill="FFFFFF" w:themeFill="background1"/>
          </w:tcPr>
          <w:p w14:paraId="05C032E6" w14:textId="77777777" w:rsidR="007E0447" w:rsidRPr="001630EC" w:rsidRDefault="007E0447" w:rsidP="007D7A2E">
            <w:pPr>
              <w:spacing w:after="200" w:line="276" w:lineRule="auto"/>
              <w:rPr>
                <w:rFonts w:asciiTheme="minorHAnsi" w:eastAsiaTheme="minorHAnsi" w:hAnsiTheme="minorHAnsi" w:cstheme="minorBidi"/>
                <w:b/>
                <w:color w:val="auto"/>
                <w:lang w:val="en-US" w:eastAsia="en-US"/>
              </w:rPr>
            </w:pPr>
            <w:r w:rsidRPr="001630EC">
              <w:rPr>
                <w:rFonts w:asciiTheme="minorHAnsi" w:eastAsiaTheme="minorHAnsi" w:hAnsiTheme="minorHAnsi" w:cstheme="minorBidi"/>
                <w:color w:val="auto"/>
                <w:lang w:val="en-US" w:eastAsia="en-US"/>
              </w:rPr>
              <w:t>1.2.6 Percentage of total UNCDF expenditure related to management activities (management- efficiency ratio)</w:t>
            </w:r>
          </w:p>
        </w:tc>
        <w:tc>
          <w:tcPr>
            <w:tcW w:w="1800" w:type="dxa"/>
            <w:shd w:val="clear" w:color="auto" w:fill="FFFFFF" w:themeFill="background1"/>
          </w:tcPr>
          <w:p w14:paraId="396D539C"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15%</w:t>
            </w:r>
          </w:p>
        </w:tc>
        <w:tc>
          <w:tcPr>
            <w:tcW w:w="1620" w:type="dxa"/>
          </w:tcPr>
          <w:p w14:paraId="322D4809" w14:textId="77777777" w:rsidR="007E0447" w:rsidRPr="00A7247B" w:rsidRDefault="007E0447" w:rsidP="007D7A2E">
            <w:pPr>
              <w:rPr>
                <w:rFonts w:asciiTheme="minorHAnsi" w:eastAsiaTheme="minorHAnsi" w:hAnsiTheme="minorHAnsi" w:cstheme="minorBidi"/>
                <w:color w:val="365F91" w:themeColor="accent1" w:themeShade="BF"/>
                <w:lang w:val="en-US" w:eastAsia="en-US"/>
              </w:rPr>
            </w:pPr>
            <w:r w:rsidRPr="00A7247B">
              <w:rPr>
                <w:rFonts w:asciiTheme="minorHAnsi" w:eastAsiaTheme="minorHAnsi" w:hAnsiTheme="minorHAnsi" w:cstheme="minorBidi"/>
                <w:color w:val="365F91" w:themeColor="accent1" w:themeShade="BF"/>
                <w:lang w:val="en-US" w:eastAsia="en-US"/>
              </w:rPr>
              <w:t>14%</w:t>
            </w:r>
          </w:p>
        </w:tc>
        <w:tc>
          <w:tcPr>
            <w:tcW w:w="1800" w:type="dxa"/>
            <w:shd w:val="clear" w:color="auto" w:fill="auto"/>
          </w:tcPr>
          <w:p w14:paraId="0E315C3C"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15%</w:t>
            </w:r>
          </w:p>
        </w:tc>
      </w:tr>
      <w:tr w:rsidR="007E0447" w:rsidRPr="00C75689" w14:paraId="7E2227FF" w14:textId="77777777" w:rsidTr="007D7A2E">
        <w:trPr>
          <w:trHeight w:val="647"/>
        </w:trPr>
        <w:tc>
          <w:tcPr>
            <w:tcW w:w="2790" w:type="dxa"/>
            <w:vMerge/>
          </w:tcPr>
          <w:p w14:paraId="66DCF637" w14:textId="77777777" w:rsidR="007E0447" w:rsidRPr="00C75689" w:rsidRDefault="007E0447" w:rsidP="007D7A2E">
            <w:pPr>
              <w:spacing w:after="200" w:line="276" w:lineRule="auto"/>
              <w:rPr>
                <w:rFonts w:asciiTheme="minorHAnsi" w:eastAsiaTheme="minorHAnsi" w:hAnsiTheme="minorHAnsi" w:cstheme="minorBidi"/>
                <w:b/>
                <w:color w:val="auto"/>
                <w:u w:val="single"/>
                <w:lang w:val="en-US" w:eastAsia="en-US"/>
              </w:rPr>
            </w:pPr>
          </w:p>
        </w:tc>
        <w:tc>
          <w:tcPr>
            <w:tcW w:w="6750" w:type="dxa"/>
            <w:tcBorders>
              <w:bottom w:val="single" w:sz="4" w:space="0" w:color="auto"/>
            </w:tcBorders>
            <w:shd w:val="clear" w:color="auto" w:fill="FFFFFF" w:themeFill="background1"/>
          </w:tcPr>
          <w:p w14:paraId="45DE9630"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1.2.7 Percentage of total UNCDF expenditure on management activities spent on travel costs</w:t>
            </w:r>
          </w:p>
          <w:p w14:paraId="07349319" w14:textId="77777777" w:rsidR="007E0447" w:rsidRPr="001630EC" w:rsidRDefault="007E0447" w:rsidP="007D7A2E">
            <w:pPr>
              <w:spacing w:after="200" w:line="276" w:lineRule="auto"/>
              <w:rPr>
                <w:rFonts w:asciiTheme="minorHAnsi" w:eastAsiaTheme="minorHAnsi" w:hAnsiTheme="minorHAnsi" w:cstheme="minorBidi"/>
                <w:b/>
                <w:color w:val="auto"/>
                <w:lang w:val="en-US" w:eastAsia="en-US"/>
              </w:rPr>
            </w:pPr>
          </w:p>
        </w:tc>
        <w:tc>
          <w:tcPr>
            <w:tcW w:w="1800" w:type="dxa"/>
            <w:shd w:val="clear" w:color="auto" w:fill="FFFFFF" w:themeFill="background1"/>
          </w:tcPr>
          <w:p w14:paraId="06FBC987"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10%</w:t>
            </w:r>
          </w:p>
        </w:tc>
        <w:tc>
          <w:tcPr>
            <w:tcW w:w="1620" w:type="dxa"/>
          </w:tcPr>
          <w:p w14:paraId="046EF04D" w14:textId="77777777" w:rsidR="007E0447" w:rsidRPr="00A7247B" w:rsidRDefault="007E0447" w:rsidP="007D7A2E">
            <w:pPr>
              <w:rPr>
                <w:rFonts w:asciiTheme="minorHAnsi" w:eastAsiaTheme="minorHAnsi" w:hAnsiTheme="minorHAnsi" w:cstheme="minorBidi"/>
                <w:color w:val="365F91" w:themeColor="accent1" w:themeShade="BF"/>
                <w:lang w:val="en-US" w:eastAsia="en-US"/>
              </w:rPr>
            </w:pPr>
            <w:r w:rsidRPr="00A7247B">
              <w:rPr>
                <w:rFonts w:asciiTheme="minorHAnsi" w:eastAsiaTheme="minorHAnsi" w:hAnsiTheme="minorHAnsi" w:cstheme="minorBidi"/>
                <w:color w:val="365F91" w:themeColor="accent1" w:themeShade="BF"/>
                <w:lang w:val="en-US" w:eastAsia="en-US"/>
              </w:rPr>
              <w:t>2%</w:t>
            </w:r>
          </w:p>
        </w:tc>
        <w:tc>
          <w:tcPr>
            <w:tcW w:w="1800" w:type="dxa"/>
            <w:shd w:val="clear" w:color="auto" w:fill="auto"/>
          </w:tcPr>
          <w:p w14:paraId="2F056C8D"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10%</w:t>
            </w:r>
          </w:p>
        </w:tc>
      </w:tr>
      <w:tr w:rsidR="007E0447" w:rsidRPr="00C75689" w14:paraId="7A201B39" w14:textId="77777777" w:rsidTr="007D7A2E">
        <w:trPr>
          <w:trHeight w:val="647"/>
        </w:trPr>
        <w:tc>
          <w:tcPr>
            <w:tcW w:w="2790" w:type="dxa"/>
            <w:vMerge/>
          </w:tcPr>
          <w:p w14:paraId="7F656C7A" w14:textId="77777777" w:rsidR="007E0447" w:rsidRPr="001630EC" w:rsidRDefault="007E0447" w:rsidP="007D7A2E">
            <w:pPr>
              <w:spacing w:after="200" w:line="276" w:lineRule="auto"/>
              <w:rPr>
                <w:rFonts w:asciiTheme="minorHAnsi" w:eastAsiaTheme="minorHAnsi" w:hAnsiTheme="minorHAnsi" w:cstheme="minorBidi"/>
                <w:b/>
                <w:color w:val="auto"/>
                <w:u w:val="single"/>
                <w:lang w:val="en-US" w:eastAsia="en-US"/>
              </w:rPr>
            </w:pPr>
          </w:p>
        </w:tc>
        <w:tc>
          <w:tcPr>
            <w:tcW w:w="6750" w:type="dxa"/>
            <w:tcBorders>
              <w:bottom w:val="nil"/>
            </w:tcBorders>
            <w:shd w:val="clear" w:color="auto" w:fill="FFFFFF" w:themeFill="background1"/>
          </w:tcPr>
          <w:p w14:paraId="70FF747C"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Percentage of total resources going to capital grants:</w:t>
            </w:r>
          </w:p>
        </w:tc>
        <w:tc>
          <w:tcPr>
            <w:tcW w:w="1800" w:type="dxa"/>
            <w:shd w:val="clear" w:color="auto" w:fill="FFFFFF" w:themeFill="background1"/>
          </w:tcPr>
          <w:p w14:paraId="1324B61B"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p>
        </w:tc>
        <w:tc>
          <w:tcPr>
            <w:tcW w:w="1620" w:type="dxa"/>
          </w:tcPr>
          <w:p w14:paraId="026AE36F" w14:textId="77777777" w:rsidR="007E0447" w:rsidRPr="001630EC" w:rsidRDefault="007E0447" w:rsidP="007D7A2E">
            <w:pPr>
              <w:rPr>
                <w:rFonts w:asciiTheme="minorHAnsi" w:eastAsiaTheme="minorHAnsi" w:hAnsiTheme="minorHAnsi" w:cstheme="minorBidi"/>
                <w:color w:val="auto"/>
                <w:lang w:val="en-US" w:eastAsia="en-US"/>
              </w:rPr>
            </w:pPr>
          </w:p>
        </w:tc>
        <w:tc>
          <w:tcPr>
            <w:tcW w:w="1800" w:type="dxa"/>
            <w:shd w:val="clear" w:color="auto" w:fill="auto"/>
          </w:tcPr>
          <w:p w14:paraId="59A3C096"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p>
        </w:tc>
      </w:tr>
      <w:tr w:rsidR="007E0447" w:rsidRPr="00C75689" w14:paraId="0A5E1647" w14:textId="77777777" w:rsidTr="007D7A2E">
        <w:trPr>
          <w:trHeight w:val="647"/>
        </w:trPr>
        <w:tc>
          <w:tcPr>
            <w:tcW w:w="2790" w:type="dxa"/>
            <w:vMerge/>
          </w:tcPr>
          <w:p w14:paraId="3CC15DA8" w14:textId="77777777" w:rsidR="007E0447" w:rsidRPr="001630EC" w:rsidRDefault="007E0447" w:rsidP="007D7A2E">
            <w:pPr>
              <w:spacing w:after="200" w:line="276" w:lineRule="auto"/>
              <w:rPr>
                <w:rFonts w:asciiTheme="minorHAnsi" w:eastAsiaTheme="minorHAnsi" w:hAnsiTheme="minorHAnsi" w:cstheme="minorBidi"/>
                <w:b/>
                <w:color w:val="auto"/>
                <w:u w:val="single"/>
                <w:lang w:val="en-US" w:eastAsia="en-US"/>
              </w:rPr>
            </w:pPr>
          </w:p>
        </w:tc>
        <w:tc>
          <w:tcPr>
            <w:tcW w:w="6750" w:type="dxa"/>
            <w:tcBorders>
              <w:top w:val="nil"/>
              <w:bottom w:val="nil"/>
            </w:tcBorders>
            <w:shd w:val="clear" w:color="auto" w:fill="FFFFFF" w:themeFill="background1"/>
          </w:tcPr>
          <w:p w14:paraId="6132CAEC" w14:textId="77777777" w:rsidR="007E0447" w:rsidRPr="001630EC" w:rsidRDefault="007E0447" w:rsidP="007E0447">
            <w:pPr>
              <w:numPr>
                <w:ilvl w:val="2"/>
                <w:numId w:val="43"/>
              </w:numPr>
              <w:contextualSpacing/>
              <w:rPr>
                <w:rFonts w:asciiTheme="minorHAnsi" w:eastAsiaTheme="minorHAnsi" w:hAnsiTheme="minorHAnsi" w:cstheme="minorBidi"/>
                <w:b/>
                <w:color w:val="auto"/>
                <w:lang w:val="en-US" w:eastAsia="en-US"/>
              </w:rPr>
            </w:pPr>
            <w:r w:rsidRPr="001630EC">
              <w:rPr>
                <w:rFonts w:asciiTheme="minorHAnsi" w:eastAsiaTheme="minorHAnsi" w:hAnsiTheme="minorHAnsi" w:cstheme="minorBidi"/>
                <w:color w:val="auto"/>
                <w:lang w:val="en-US" w:eastAsia="en-US"/>
              </w:rPr>
              <w:t>Core</w:t>
            </w:r>
          </w:p>
        </w:tc>
        <w:tc>
          <w:tcPr>
            <w:tcW w:w="1800" w:type="dxa"/>
            <w:shd w:val="clear" w:color="auto" w:fill="FFFFFF" w:themeFill="background1"/>
          </w:tcPr>
          <w:p w14:paraId="749FB837"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30%</w:t>
            </w:r>
          </w:p>
        </w:tc>
        <w:tc>
          <w:tcPr>
            <w:tcW w:w="1620" w:type="dxa"/>
          </w:tcPr>
          <w:p w14:paraId="2E6B192E" w14:textId="77777777" w:rsidR="007E0447" w:rsidRPr="00AA6049" w:rsidRDefault="007E0447" w:rsidP="007D7A2E">
            <w:pPr>
              <w:rPr>
                <w:rFonts w:asciiTheme="minorHAnsi" w:eastAsiaTheme="minorHAnsi" w:hAnsiTheme="minorHAnsi" w:cstheme="minorBidi"/>
                <w:color w:val="365F91" w:themeColor="accent1" w:themeShade="BF"/>
                <w:lang w:val="en-US" w:eastAsia="en-US"/>
              </w:rPr>
            </w:pPr>
            <w:r w:rsidRPr="00AA6049">
              <w:rPr>
                <w:rFonts w:asciiTheme="minorHAnsi" w:eastAsiaTheme="minorHAnsi" w:hAnsiTheme="minorHAnsi" w:cstheme="minorBidi"/>
                <w:color w:val="365F91" w:themeColor="accent1" w:themeShade="BF"/>
                <w:lang w:val="en-US" w:eastAsia="en-US"/>
              </w:rPr>
              <w:t>17%</w:t>
            </w:r>
          </w:p>
        </w:tc>
        <w:tc>
          <w:tcPr>
            <w:tcW w:w="1800" w:type="dxa"/>
            <w:shd w:val="clear" w:color="auto" w:fill="auto"/>
          </w:tcPr>
          <w:p w14:paraId="5DB1D5A5"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40%</w:t>
            </w:r>
          </w:p>
        </w:tc>
      </w:tr>
      <w:tr w:rsidR="007E0447" w:rsidRPr="00C75689" w14:paraId="694C5EB5" w14:textId="77777777" w:rsidTr="007D7A2E">
        <w:trPr>
          <w:trHeight w:val="107"/>
        </w:trPr>
        <w:tc>
          <w:tcPr>
            <w:tcW w:w="2790" w:type="dxa"/>
            <w:vMerge/>
          </w:tcPr>
          <w:p w14:paraId="56895485" w14:textId="77777777" w:rsidR="007E0447" w:rsidRPr="001630EC" w:rsidRDefault="007E0447" w:rsidP="007D7A2E">
            <w:pPr>
              <w:spacing w:after="200" w:line="276" w:lineRule="auto"/>
              <w:rPr>
                <w:rFonts w:asciiTheme="minorHAnsi" w:eastAsiaTheme="minorHAnsi" w:hAnsiTheme="minorHAnsi" w:cstheme="minorBidi"/>
                <w:b/>
                <w:color w:val="auto"/>
                <w:u w:val="single"/>
                <w:lang w:val="en-US" w:eastAsia="en-US"/>
              </w:rPr>
            </w:pPr>
          </w:p>
        </w:tc>
        <w:tc>
          <w:tcPr>
            <w:tcW w:w="6750" w:type="dxa"/>
            <w:tcBorders>
              <w:top w:val="nil"/>
            </w:tcBorders>
            <w:shd w:val="clear" w:color="auto" w:fill="FFFFFF" w:themeFill="background1"/>
          </w:tcPr>
          <w:p w14:paraId="6D7C4B07" w14:textId="77777777" w:rsidR="007E0447" w:rsidRPr="001630EC" w:rsidRDefault="007E0447" w:rsidP="007E0447">
            <w:pPr>
              <w:numPr>
                <w:ilvl w:val="2"/>
                <w:numId w:val="43"/>
              </w:numPr>
              <w:contextualSpacing/>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Non-Core</w:t>
            </w:r>
          </w:p>
        </w:tc>
        <w:tc>
          <w:tcPr>
            <w:tcW w:w="1800" w:type="dxa"/>
            <w:shd w:val="clear" w:color="auto" w:fill="FFFFFF" w:themeFill="background1"/>
          </w:tcPr>
          <w:p w14:paraId="54574E24"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44%</w:t>
            </w:r>
          </w:p>
        </w:tc>
        <w:tc>
          <w:tcPr>
            <w:tcW w:w="1620" w:type="dxa"/>
          </w:tcPr>
          <w:p w14:paraId="345DABFF" w14:textId="77777777" w:rsidR="007E0447" w:rsidRPr="00AA6049" w:rsidRDefault="007E0447" w:rsidP="007D7A2E">
            <w:pPr>
              <w:rPr>
                <w:rFonts w:asciiTheme="minorHAnsi" w:eastAsiaTheme="minorHAnsi" w:hAnsiTheme="minorHAnsi" w:cstheme="minorBidi"/>
                <w:color w:val="365F91" w:themeColor="accent1" w:themeShade="BF"/>
                <w:lang w:val="en-US" w:eastAsia="en-US"/>
              </w:rPr>
            </w:pPr>
            <w:r w:rsidRPr="00AA6049">
              <w:rPr>
                <w:rFonts w:asciiTheme="minorHAnsi" w:eastAsiaTheme="minorHAnsi" w:hAnsiTheme="minorHAnsi" w:cstheme="minorBidi"/>
                <w:color w:val="365F91" w:themeColor="accent1" w:themeShade="BF"/>
                <w:lang w:val="en-US" w:eastAsia="en-US"/>
              </w:rPr>
              <w:t>51%</w:t>
            </w:r>
          </w:p>
        </w:tc>
        <w:tc>
          <w:tcPr>
            <w:tcW w:w="1800" w:type="dxa"/>
            <w:shd w:val="clear" w:color="auto" w:fill="auto"/>
          </w:tcPr>
          <w:p w14:paraId="089C2537" w14:textId="77777777" w:rsidR="007E0447" w:rsidRPr="001630EC" w:rsidRDefault="007E0447" w:rsidP="007D7A2E">
            <w:pPr>
              <w:spacing w:after="200" w:line="276" w:lineRule="auto"/>
              <w:rPr>
                <w:rFonts w:asciiTheme="minorHAnsi" w:eastAsiaTheme="minorHAnsi" w:hAnsiTheme="minorHAnsi" w:cstheme="minorBidi"/>
                <w:color w:val="auto"/>
                <w:lang w:val="en-US" w:eastAsia="en-US"/>
              </w:rPr>
            </w:pPr>
            <w:r w:rsidRPr="001630EC">
              <w:rPr>
                <w:rFonts w:asciiTheme="minorHAnsi" w:eastAsiaTheme="minorHAnsi" w:hAnsiTheme="minorHAnsi" w:cstheme="minorBidi"/>
                <w:color w:val="auto"/>
                <w:lang w:val="en-US" w:eastAsia="en-US"/>
              </w:rPr>
              <w:t>50%</w:t>
            </w:r>
          </w:p>
        </w:tc>
      </w:tr>
      <w:tr w:rsidR="007E0447" w:rsidRPr="00C75689" w14:paraId="4B845CEF" w14:textId="77777777" w:rsidTr="007D7A2E">
        <w:trPr>
          <w:trHeight w:val="80"/>
        </w:trPr>
        <w:tc>
          <w:tcPr>
            <w:tcW w:w="2790" w:type="dxa"/>
          </w:tcPr>
          <w:p w14:paraId="31DA3AA5" w14:textId="77777777" w:rsidR="007E0447" w:rsidRPr="00C75689" w:rsidRDefault="007E0447" w:rsidP="007D7A2E">
            <w:pPr>
              <w:spacing w:after="200" w:line="276" w:lineRule="auto"/>
              <w:rPr>
                <w:rFonts w:asciiTheme="minorHAnsi" w:eastAsiaTheme="minorHAnsi" w:hAnsiTheme="minorHAnsi" w:cstheme="minorBidi"/>
                <w:color w:val="auto"/>
                <w:u w:val="single"/>
                <w:lang w:val="en-US" w:eastAsia="en-US"/>
              </w:rPr>
            </w:pPr>
            <w:r w:rsidRPr="00C75689">
              <w:rPr>
                <w:rFonts w:asciiTheme="minorHAnsi" w:eastAsiaTheme="minorHAnsi" w:hAnsiTheme="minorHAnsi" w:cstheme="minorBidi"/>
                <w:b/>
                <w:color w:val="auto"/>
                <w:lang w:val="en-US" w:eastAsia="en-US"/>
              </w:rPr>
              <w:t xml:space="preserve">Output 1.3 </w:t>
            </w:r>
            <w:r w:rsidRPr="00C75689">
              <w:rPr>
                <w:rFonts w:asciiTheme="minorHAnsi" w:eastAsiaTheme="minorHAnsi" w:hAnsiTheme="minorHAnsi" w:cstheme="minorBidi"/>
                <w:color w:val="auto"/>
                <w:lang w:val="en-US" w:eastAsia="en-US"/>
              </w:rPr>
              <w:t>Strengthened  human resource management to attract, develop and retain a diversified and productive workforce</w:t>
            </w:r>
          </w:p>
        </w:tc>
        <w:tc>
          <w:tcPr>
            <w:tcW w:w="6750" w:type="dxa"/>
            <w:shd w:val="clear" w:color="auto" w:fill="auto"/>
          </w:tcPr>
          <w:p w14:paraId="1C088D35"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1.3 Percentage of staff who are female</w:t>
            </w:r>
          </w:p>
          <w:p w14:paraId="0F1DE5C0"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 xml:space="preserve">1.3.1 </w:t>
            </w:r>
            <w:r w:rsidRPr="00C75689">
              <w:rPr>
                <w:rFonts w:asciiTheme="minorHAnsi" w:eastAsiaTheme="minorHAnsi" w:hAnsiTheme="minorHAnsi" w:cstheme="minorBidi"/>
                <w:color w:val="auto"/>
                <w:lang w:val="en-US" w:eastAsia="en-US"/>
              </w:rPr>
              <w:t xml:space="preserve">  At all levels</w:t>
            </w:r>
          </w:p>
          <w:p w14:paraId="0903B2C5"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 xml:space="preserve">1.3.2 </w:t>
            </w:r>
            <w:r w:rsidRPr="00C75689">
              <w:rPr>
                <w:rFonts w:asciiTheme="minorHAnsi" w:eastAsiaTheme="minorHAnsi" w:hAnsiTheme="minorHAnsi" w:cstheme="minorBidi"/>
                <w:color w:val="auto"/>
                <w:lang w:val="en-US" w:eastAsia="en-US"/>
              </w:rPr>
              <w:t xml:space="preserve">  At P5 and above</w:t>
            </w:r>
          </w:p>
        </w:tc>
        <w:tc>
          <w:tcPr>
            <w:tcW w:w="1800" w:type="dxa"/>
            <w:shd w:val="clear" w:color="auto" w:fill="FFFFFF" w:themeFill="background1"/>
          </w:tcPr>
          <w:p w14:paraId="6DEDF5FF" w14:textId="77777777" w:rsidR="007E0447" w:rsidRDefault="007E0447" w:rsidP="007D7A2E">
            <w:pPr>
              <w:spacing w:after="200" w:line="276" w:lineRule="auto"/>
              <w:rPr>
                <w:rFonts w:asciiTheme="minorHAnsi" w:eastAsiaTheme="minorHAnsi" w:hAnsiTheme="minorHAnsi" w:cstheme="minorBidi"/>
                <w:color w:val="auto"/>
                <w:lang w:val="en-US" w:eastAsia="en-US"/>
              </w:rPr>
            </w:pPr>
          </w:p>
          <w:p w14:paraId="5D032DF2"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27%</w:t>
            </w:r>
          </w:p>
          <w:p w14:paraId="5E0695EC"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28%</w:t>
            </w:r>
          </w:p>
        </w:tc>
        <w:tc>
          <w:tcPr>
            <w:tcW w:w="1620" w:type="dxa"/>
          </w:tcPr>
          <w:p w14:paraId="3DB265FC" w14:textId="77777777" w:rsidR="007E0447" w:rsidRPr="00AA6049" w:rsidRDefault="007E0447" w:rsidP="007D7A2E">
            <w:pPr>
              <w:rPr>
                <w:rFonts w:asciiTheme="minorHAnsi" w:eastAsiaTheme="minorHAnsi" w:hAnsiTheme="minorHAnsi" w:cstheme="minorBidi"/>
                <w:color w:val="365F91" w:themeColor="accent1" w:themeShade="BF"/>
                <w:lang w:val="en-US" w:eastAsia="en-US"/>
              </w:rPr>
            </w:pPr>
          </w:p>
          <w:p w14:paraId="7FFF59EC" w14:textId="77777777" w:rsidR="007E0447" w:rsidRPr="00AA6049" w:rsidRDefault="007E0447" w:rsidP="007D7A2E">
            <w:pPr>
              <w:rPr>
                <w:rFonts w:asciiTheme="minorHAnsi" w:eastAsiaTheme="minorHAnsi" w:hAnsiTheme="minorHAnsi" w:cstheme="minorBidi"/>
                <w:color w:val="365F91" w:themeColor="accent1" w:themeShade="BF"/>
                <w:lang w:val="en-US" w:eastAsia="en-US"/>
              </w:rPr>
            </w:pPr>
          </w:p>
          <w:p w14:paraId="0229A9B9" w14:textId="77777777" w:rsidR="007E0447" w:rsidRPr="00AA6049" w:rsidRDefault="007E0447" w:rsidP="007D7A2E">
            <w:pPr>
              <w:rPr>
                <w:rFonts w:asciiTheme="minorHAnsi" w:eastAsiaTheme="minorHAnsi" w:hAnsiTheme="minorHAnsi" w:cstheme="minorBidi"/>
                <w:color w:val="365F91" w:themeColor="accent1" w:themeShade="BF"/>
                <w:lang w:val="en-US" w:eastAsia="en-US"/>
              </w:rPr>
            </w:pPr>
            <w:r w:rsidRPr="00AA6049">
              <w:rPr>
                <w:rFonts w:asciiTheme="minorHAnsi" w:eastAsiaTheme="minorHAnsi" w:hAnsiTheme="minorHAnsi" w:cstheme="minorBidi"/>
                <w:color w:val="365F91" w:themeColor="accent1" w:themeShade="BF"/>
                <w:lang w:val="en-US" w:eastAsia="en-US"/>
              </w:rPr>
              <w:t>45%</w:t>
            </w:r>
          </w:p>
          <w:p w14:paraId="1360E2C5" w14:textId="77777777" w:rsidR="007E0447" w:rsidRPr="00AA6049" w:rsidRDefault="007E0447" w:rsidP="007D7A2E">
            <w:pPr>
              <w:rPr>
                <w:rFonts w:asciiTheme="minorHAnsi" w:eastAsiaTheme="minorHAnsi" w:hAnsiTheme="minorHAnsi" w:cstheme="minorBidi"/>
                <w:color w:val="365F91" w:themeColor="accent1" w:themeShade="BF"/>
                <w:lang w:val="en-US" w:eastAsia="en-US"/>
              </w:rPr>
            </w:pPr>
          </w:p>
          <w:p w14:paraId="06E85AC4" w14:textId="77777777" w:rsidR="007E0447" w:rsidRPr="00AA6049" w:rsidRDefault="007E0447" w:rsidP="007D7A2E">
            <w:pPr>
              <w:rPr>
                <w:rFonts w:asciiTheme="minorHAnsi" w:eastAsiaTheme="minorHAnsi" w:hAnsiTheme="minorHAnsi" w:cstheme="minorBidi"/>
                <w:color w:val="365F91" w:themeColor="accent1" w:themeShade="BF"/>
                <w:lang w:val="en-US" w:eastAsia="en-US"/>
              </w:rPr>
            </w:pPr>
            <w:r w:rsidRPr="00AA6049">
              <w:rPr>
                <w:rFonts w:asciiTheme="minorHAnsi" w:eastAsiaTheme="minorHAnsi" w:hAnsiTheme="minorHAnsi" w:cstheme="minorBidi"/>
                <w:color w:val="365F91" w:themeColor="accent1" w:themeShade="BF"/>
                <w:lang w:val="en-US" w:eastAsia="en-US"/>
              </w:rPr>
              <w:t>30%</w:t>
            </w:r>
          </w:p>
        </w:tc>
        <w:tc>
          <w:tcPr>
            <w:tcW w:w="1800" w:type="dxa"/>
            <w:shd w:val="clear" w:color="auto" w:fill="auto"/>
          </w:tcPr>
          <w:p w14:paraId="1AEEC85A" w14:textId="77777777" w:rsidR="007E0447" w:rsidRDefault="007E0447" w:rsidP="007D7A2E">
            <w:pPr>
              <w:spacing w:after="200" w:line="276" w:lineRule="auto"/>
              <w:rPr>
                <w:rFonts w:asciiTheme="minorHAnsi" w:eastAsiaTheme="minorHAnsi" w:hAnsiTheme="minorHAnsi" w:cstheme="minorBidi"/>
                <w:color w:val="auto"/>
                <w:lang w:val="en-US" w:eastAsia="en-US"/>
              </w:rPr>
            </w:pPr>
          </w:p>
          <w:p w14:paraId="5588F28B"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50%</w:t>
            </w:r>
          </w:p>
          <w:p w14:paraId="01CDB423"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50%</w:t>
            </w:r>
          </w:p>
        </w:tc>
      </w:tr>
      <w:tr w:rsidR="007E0447" w:rsidRPr="00C75689" w14:paraId="1D6A1737" w14:textId="77777777" w:rsidTr="007D7A2E">
        <w:trPr>
          <w:trHeight w:val="60"/>
        </w:trPr>
        <w:tc>
          <w:tcPr>
            <w:tcW w:w="2790" w:type="dxa"/>
            <w:vMerge w:val="restart"/>
          </w:tcPr>
          <w:p w14:paraId="2FEE1BD6"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b/>
                <w:color w:val="auto"/>
                <w:lang w:val="en-US" w:eastAsia="en-US"/>
              </w:rPr>
              <w:t xml:space="preserve">Output 1.4 </w:t>
            </w:r>
            <w:r w:rsidRPr="00C75689">
              <w:rPr>
                <w:rFonts w:asciiTheme="minorHAnsi" w:eastAsiaTheme="minorHAnsi" w:hAnsiTheme="minorHAnsi" w:cstheme="minorBidi"/>
                <w:color w:val="auto"/>
                <w:lang w:val="en-US" w:eastAsia="en-US"/>
              </w:rPr>
              <w:t>Improved perception of staff  working in UNCDF</w:t>
            </w:r>
          </w:p>
        </w:tc>
        <w:tc>
          <w:tcPr>
            <w:tcW w:w="6750" w:type="dxa"/>
            <w:shd w:val="clear" w:color="auto" w:fill="auto"/>
          </w:tcPr>
          <w:p w14:paraId="5CAEB782"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 xml:space="preserve">1.4.1 Percentage of staff surveyed who expressed confidence in leadership and direction </w:t>
            </w:r>
          </w:p>
        </w:tc>
        <w:tc>
          <w:tcPr>
            <w:tcW w:w="1800" w:type="dxa"/>
            <w:shd w:val="clear" w:color="auto" w:fill="FFFFFF" w:themeFill="background1"/>
          </w:tcPr>
          <w:p w14:paraId="35C2DD1B"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70%</w:t>
            </w:r>
          </w:p>
        </w:tc>
        <w:tc>
          <w:tcPr>
            <w:tcW w:w="1620" w:type="dxa"/>
          </w:tcPr>
          <w:p w14:paraId="0FA91759" w14:textId="77777777" w:rsidR="007E0447" w:rsidRPr="00AA6049" w:rsidRDefault="007E0447" w:rsidP="007D7A2E">
            <w:pPr>
              <w:rPr>
                <w:rFonts w:asciiTheme="minorHAnsi" w:eastAsiaTheme="minorHAnsi" w:hAnsiTheme="minorHAnsi" w:cstheme="minorBidi"/>
                <w:color w:val="365F91" w:themeColor="accent1" w:themeShade="BF"/>
                <w:lang w:val="en-US" w:eastAsia="en-US"/>
              </w:rPr>
            </w:pPr>
            <w:r w:rsidRPr="00AA6049">
              <w:rPr>
                <w:rFonts w:asciiTheme="minorHAnsi" w:eastAsiaTheme="minorHAnsi" w:hAnsiTheme="minorHAnsi" w:cstheme="minorBidi"/>
                <w:color w:val="365F91" w:themeColor="accent1" w:themeShade="BF"/>
                <w:lang w:val="en-US" w:eastAsia="en-US"/>
              </w:rPr>
              <w:t>64%</w:t>
            </w:r>
          </w:p>
        </w:tc>
        <w:tc>
          <w:tcPr>
            <w:tcW w:w="1800" w:type="dxa"/>
            <w:shd w:val="clear" w:color="auto" w:fill="auto"/>
          </w:tcPr>
          <w:p w14:paraId="64F17032"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75%</w:t>
            </w:r>
          </w:p>
        </w:tc>
      </w:tr>
      <w:tr w:rsidR="007E0447" w:rsidRPr="00C75689" w14:paraId="3FA816B4" w14:textId="77777777" w:rsidTr="007D7A2E">
        <w:trPr>
          <w:trHeight w:val="70"/>
        </w:trPr>
        <w:tc>
          <w:tcPr>
            <w:tcW w:w="2790" w:type="dxa"/>
            <w:vMerge/>
          </w:tcPr>
          <w:p w14:paraId="0A0965C9"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auto"/>
          </w:tcPr>
          <w:p w14:paraId="25928A77"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 xml:space="preserve">Percentage of staff surveyed who rate UNCDF favorably on:  </w:t>
            </w:r>
          </w:p>
        </w:tc>
        <w:tc>
          <w:tcPr>
            <w:tcW w:w="1800" w:type="dxa"/>
            <w:shd w:val="clear" w:color="auto" w:fill="FFFFFF" w:themeFill="background1"/>
          </w:tcPr>
          <w:p w14:paraId="01D6C4C9"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p>
        </w:tc>
        <w:tc>
          <w:tcPr>
            <w:tcW w:w="1620" w:type="dxa"/>
          </w:tcPr>
          <w:p w14:paraId="2748066C" w14:textId="77777777" w:rsidR="007E0447" w:rsidRPr="00AA6049" w:rsidRDefault="007E0447" w:rsidP="007D7A2E">
            <w:pPr>
              <w:rPr>
                <w:rFonts w:asciiTheme="minorHAnsi" w:eastAsiaTheme="minorHAnsi" w:hAnsiTheme="minorHAnsi" w:cstheme="minorBidi"/>
                <w:color w:val="365F91" w:themeColor="accent1" w:themeShade="BF"/>
                <w:lang w:val="en-US" w:eastAsia="en-US"/>
              </w:rPr>
            </w:pPr>
          </w:p>
        </w:tc>
        <w:tc>
          <w:tcPr>
            <w:tcW w:w="1800" w:type="dxa"/>
            <w:shd w:val="clear" w:color="auto" w:fill="auto"/>
          </w:tcPr>
          <w:p w14:paraId="112B27F2"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p>
        </w:tc>
      </w:tr>
      <w:tr w:rsidR="007E0447" w:rsidRPr="00C75689" w14:paraId="0C816BCA" w14:textId="77777777" w:rsidTr="007D7A2E">
        <w:trPr>
          <w:trHeight w:val="60"/>
        </w:trPr>
        <w:tc>
          <w:tcPr>
            <w:tcW w:w="2790" w:type="dxa"/>
            <w:vMerge/>
          </w:tcPr>
          <w:p w14:paraId="2E7BBC2D"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auto"/>
          </w:tcPr>
          <w:p w14:paraId="5BEEDA72"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1.4.2 Empowerment</w:t>
            </w:r>
          </w:p>
        </w:tc>
        <w:tc>
          <w:tcPr>
            <w:tcW w:w="1800" w:type="dxa"/>
            <w:shd w:val="clear" w:color="auto" w:fill="FFFFFF" w:themeFill="background1"/>
          </w:tcPr>
          <w:p w14:paraId="753F27EB"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66%</w:t>
            </w:r>
          </w:p>
        </w:tc>
        <w:tc>
          <w:tcPr>
            <w:tcW w:w="1620" w:type="dxa"/>
          </w:tcPr>
          <w:p w14:paraId="12EB60C7" w14:textId="77777777" w:rsidR="007E0447" w:rsidRPr="00AA6049" w:rsidRDefault="007E0447" w:rsidP="007D7A2E">
            <w:pPr>
              <w:rPr>
                <w:rFonts w:asciiTheme="minorHAnsi" w:eastAsiaTheme="minorHAnsi" w:hAnsiTheme="minorHAnsi" w:cstheme="minorBidi"/>
                <w:color w:val="365F91" w:themeColor="accent1" w:themeShade="BF"/>
                <w:lang w:val="en-US" w:eastAsia="en-US"/>
              </w:rPr>
            </w:pPr>
            <w:r w:rsidRPr="00AA6049">
              <w:rPr>
                <w:rFonts w:asciiTheme="minorHAnsi" w:eastAsiaTheme="minorHAnsi" w:hAnsiTheme="minorHAnsi" w:cstheme="minorBidi"/>
                <w:color w:val="365F91" w:themeColor="accent1" w:themeShade="BF"/>
                <w:lang w:val="en-US" w:eastAsia="en-US"/>
              </w:rPr>
              <w:t>67%</w:t>
            </w:r>
          </w:p>
        </w:tc>
        <w:tc>
          <w:tcPr>
            <w:tcW w:w="1800" w:type="dxa"/>
            <w:shd w:val="clear" w:color="auto" w:fill="auto"/>
          </w:tcPr>
          <w:p w14:paraId="6AEC7640"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75%</w:t>
            </w:r>
          </w:p>
        </w:tc>
      </w:tr>
      <w:tr w:rsidR="007E0447" w:rsidRPr="00C75689" w14:paraId="14817277" w14:textId="77777777" w:rsidTr="007D7A2E">
        <w:trPr>
          <w:trHeight w:val="60"/>
        </w:trPr>
        <w:tc>
          <w:tcPr>
            <w:tcW w:w="2790" w:type="dxa"/>
            <w:vMerge/>
            <w:tcBorders>
              <w:bottom w:val="single" w:sz="4" w:space="0" w:color="auto"/>
            </w:tcBorders>
          </w:tcPr>
          <w:p w14:paraId="5C10E5A5"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auto"/>
          </w:tcPr>
          <w:p w14:paraId="0F46CCCD"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1.4.3 Engagement</w:t>
            </w:r>
          </w:p>
        </w:tc>
        <w:tc>
          <w:tcPr>
            <w:tcW w:w="1800" w:type="dxa"/>
            <w:shd w:val="clear" w:color="auto" w:fill="FFFFFF" w:themeFill="background1"/>
          </w:tcPr>
          <w:p w14:paraId="2A2B907E"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67%</w:t>
            </w:r>
          </w:p>
        </w:tc>
        <w:tc>
          <w:tcPr>
            <w:tcW w:w="1620" w:type="dxa"/>
          </w:tcPr>
          <w:p w14:paraId="6452F834" w14:textId="77777777" w:rsidR="007E0447" w:rsidRPr="00B37CA5" w:rsidRDefault="007E0447" w:rsidP="007D7A2E">
            <w:pPr>
              <w:rPr>
                <w:rFonts w:asciiTheme="minorHAnsi" w:eastAsiaTheme="minorHAnsi" w:hAnsiTheme="minorHAnsi" w:cstheme="minorBidi"/>
                <w:color w:val="1F497D" w:themeColor="text2"/>
                <w:lang w:val="en-US" w:eastAsia="en-US"/>
              </w:rPr>
            </w:pPr>
            <w:r w:rsidRPr="00B37CA5">
              <w:rPr>
                <w:rFonts w:asciiTheme="minorHAnsi" w:eastAsiaTheme="minorHAnsi" w:hAnsiTheme="minorHAnsi" w:cstheme="minorBidi"/>
                <w:color w:val="1F497D" w:themeColor="text2"/>
                <w:lang w:val="en-US" w:eastAsia="en-US"/>
              </w:rPr>
              <w:t>67%</w:t>
            </w:r>
          </w:p>
        </w:tc>
        <w:tc>
          <w:tcPr>
            <w:tcW w:w="1800" w:type="dxa"/>
            <w:shd w:val="clear" w:color="auto" w:fill="auto"/>
          </w:tcPr>
          <w:p w14:paraId="5E08D933" w14:textId="77777777" w:rsidR="007E0447" w:rsidRPr="00C75689" w:rsidRDefault="007E0447" w:rsidP="007D7A2E">
            <w:pPr>
              <w:spacing w:after="200" w:line="276" w:lineRule="auto"/>
              <w:rPr>
                <w:rFonts w:asciiTheme="minorHAnsi" w:eastAsiaTheme="minorHAnsi" w:hAnsiTheme="minorHAnsi" w:cstheme="minorBidi"/>
                <w:color w:val="auto"/>
                <w:lang w:val="en-US" w:eastAsia="en-US"/>
              </w:rPr>
            </w:pPr>
            <w:r w:rsidRPr="00C75689">
              <w:rPr>
                <w:rFonts w:asciiTheme="minorHAnsi" w:eastAsiaTheme="minorHAnsi" w:hAnsiTheme="minorHAnsi" w:cstheme="minorBidi"/>
                <w:color w:val="auto"/>
                <w:lang w:val="en-US" w:eastAsia="en-US"/>
              </w:rPr>
              <w:t>75%</w:t>
            </w:r>
          </w:p>
        </w:tc>
      </w:tr>
      <w:tr w:rsidR="007E0447" w:rsidRPr="00C75689" w14:paraId="342469D5" w14:textId="77777777" w:rsidTr="007D7A2E">
        <w:trPr>
          <w:trHeight w:val="1430"/>
        </w:trPr>
        <w:tc>
          <w:tcPr>
            <w:tcW w:w="2790" w:type="dxa"/>
            <w:tcBorders>
              <w:bottom w:val="nil"/>
            </w:tcBorders>
          </w:tcPr>
          <w:p w14:paraId="4510F926"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r w:rsidRPr="00C75689">
              <w:rPr>
                <w:rFonts w:asciiTheme="minorHAnsi" w:eastAsiaTheme="minorHAnsi" w:hAnsiTheme="minorHAnsi" w:cstheme="minorBidi"/>
                <w:b/>
                <w:color w:val="auto"/>
                <w:lang w:val="en-US" w:eastAsia="en-US"/>
              </w:rPr>
              <w:t>Output 1</w:t>
            </w:r>
            <w:r w:rsidRPr="001C2A3A">
              <w:rPr>
                <w:rFonts w:asciiTheme="minorHAnsi" w:eastAsiaTheme="minorHAnsi" w:hAnsiTheme="minorHAnsi" w:cstheme="minorBidi"/>
                <w:b/>
                <w:color w:val="auto"/>
                <w:lang w:val="en-US" w:eastAsia="en-US"/>
              </w:rPr>
              <w:t>.5</w:t>
            </w:r>
            <w:r w:rsidRPr="00C75689">
              <w:rPr>
                <w:rFonts w:asciiTheme="minorHAnsi" w:eastAsiaTheme="minorHAnsi" w:hAnsiTheme="minorHAnsi" w:cstheme="minorBidi"/>
                <w:b/>
                <w:color w:val="auto"/>
                <w:lang w:val="en-US" w:eastAsia="en-US"/>
              </w:rPr>
              <w:t xml:space="preserve"> </w:t>
            </w:r>
            <w:r w:rsidRPr="00C75689">
              <w:rPr>
                <w:rFonts w:asciiTheme="minorHAnsi" w:eastAsiaTheme="minorHAnsi" w:hAnsiTheme="minorHAnsi" w:cstheme="minorBidi"/>
                <w:color w:val="auto"/>
                <w:lang w:val="en-US" w:eastAsia="en-US"/>
              </w:rPr>
              <w:t>Stronger corporate positioning based on robust internal policies, rigorous analytical work, active engagement in multi-</w:t>
            </w:r>
            <w:r w:rsidRPr="00C75689">
              <w:rPr>
                <w:rFonts w:asciiTheme="minorHAnsi" w:eastAsiaTheme="minorHAnsi" w:hAnsiTheme="minorHAnsi" w:cstheme="minorBidi"/>
                <w:color w:val="auto"/>
                <w:lang w:val="en-US" w:eastAsia="en-US"/>
              </w:rPr>
              <w:lastRenderedPageBreak/>
              <w:t>lateral processes (including post-2015) and effective corporate KM</w:t>
            </w:r>
          </w:p>
        </w:tc>
        <w:tc>
          <w:tcPr>
            <w:tcW w:w="6750" w:type="dxa"/>
            <w:shd w:val="clear" w:color="auto" w:fill="auto"/>
          </w:tcPr>
          <w:p w14:paraId="3733104E" w14:textId="77777777" w:rsidR="007E0447" w:rsidRPr="006D4F3E" w:rsidRDefault="007E0447" w:rsidP="007D7A2E">
            <w:pPr>
              <w:spacing w:after="200" w:line="276" w:lineRule="auto"/>
              <w:jc w:val="both"/>
              <w:rPr>
                <w:rFonts w:asciiTheme="minorHAnsi" w:eastAsiaTheme="minorHAnsi" w:hAnsiTheme="minorHAnsi" w:cstheme="minorBidi"/>
                <w:color w:val="auto"/>
                <w:highlight w:val="yellow"/>
                <w:lang w:val="en-US" w:eastAsia="en-US"/>
              </w:rPr>
            </w:pPr>
            <w:r w:rsidRPr="001630EC">
              <w:rPr>
                <w:rFonts w:asciiTheme="minorHAnsi" w:eastAsiaTheme="minorHAnsi" w:hAnsiTheme="minorHAnsi" w:cstheme="minorBidi"/>
                <w:color w:val="auto"/>
                <w:lang w:val="en-US" w:eastAsia="en-US"/>
              </w:rPr>
              <w:lastRenderedPageBreak/>
              <w:t xml:space="preserve">1.5.1 </w:t>
            </w:r>
            <w:r w:rsidRPr="001630EC">
              <w:rPr>
                <w:rFonts w:asciiTheme="minorHAnsi" w:eastAsiaTheme="minorHAnsi" w:hAnsiTheme="minorHAnsi" w:cstheme="minorBidi"/>
                <w:color w:val="auto"/>
                <w:lang w:eastAsia="en-US"/>
              </w:rPr>
              <w:t xml:space="preserve">Number of multi-partner initiatives in which UNCDF is involved </w:t>
            </w:r>
            <w:r w:rsidRPr="006D4F3E">
              <w:rPr>
                <w:rFonts w:asciiTheme="minorHAnsi" w:eastAsiaTheme="minorHAnsi" w:hAnsiTheme="minorHAnsi" w:cstheme="minorBidi"/>
                <w:color w:val="auto"/>
                <w:lang w:eastAsia="en-US"/>
              </w:rPr>
              <w:t xml:space="preserve">globally or regionally </w:t>
            </w:r>
            <w:r w:rsidRPr="001630EC">
              <w:rPr>
                <w:rFonts w:asciiTheme="minorHAnsi" w:eastAsiaTheme="minorHAnsi" w:hAnsiTheme="minorHAnsi" w:cstheme="minorBidi"/>
                <w:color w:val="auto"/>
                <w:lang w:eastAsia="en-US"/>
              </w:rPr>
              <w:t xml:space="preserve">where the organisation can influence debate and policy </w:t>
            </w:r>
            <w:r w:rsidRPr="006D4F3E">
              <w:rPr>
                <w:rFonts w:asciiTheme="minorHAnsi" w:eastAsiaTheme="minorHAnsi" w:hAnsiTheme="minorHAnsi" w:cstheme="minorBidi"/>
                <w:color w:val="auto"/>
                <w:lang w:eastAsia="en-US"/>
              </w:rPr>
              <w:t xml:space="preserve">on the basis of its investment mandate </w:t>
            </w:r>
            <w:r w:rsidRPr="001630EC">
              <w:rPr>
                <w:rFonts w:asciiTheme="minorHAnsi" w:eastAsiaTheme="minorHAnsi" w:hAnsiTheme="minorHAnsi" w:cstheme="minorBidi"/>
                <w:color w:val="auto"/>
                <w:lang w:eastAsia="en-US"/>
              </w:rPr>
              <w:t xml:space="preserve">(e.g. </w:t>
            </w:r>
            <w:r w:rsidRPr="006D4F3E">
              <w:rPr>
                <w:rFonts w:asciiTheme="minorHAnsi" w:eastAsiaTheme="minorHAnsi" w:hAnsiTheme="minorHAnsi" w:cstheme="minorBidi"/>
                <w:b/>
                <w:color w:val="auto"/>
                <w:lang w:eastAsia="en-US"/>
              </w:rPr>
              <w:t>Inclusive Finance</w:t>
            </w:r>
            <w:r w:rsidRPr="006D4F3E">
              <w:rPr>
                <w:rFonts w:asciiTheme="minorHAnsi" w:eastAsiaTheme="minorHAnsi" w:hAnsiTheme="minorHAnsi" w:cstheme="minorBidi"/>
                <w:color w:val="auto"/>
                <w:lang w:eastAsia="en-US"/>
              </w:rPr>
              <w:t xml:space="preserve">: cash to electronic payments; responsible digital finance; youth financial services; client protection; </w:t>
            </w:r>
            <w:r w:rsidRPr="006D4F3E">
              <w:rPr>
                <w:rFonts w:asciiTheme="minorHAnsi" w:eastAsiaTheme="minorHAnsi" w:hAnsiTheme="minorHAnsi" w:cstheme="minorBidi"/>
                <w:b/>
                <w:color w:val="auto"/>
                <w:lang w:eastAsia="en-US"/>
              </w:rPr>
              <w:t>Local Development Finance</w:t>
            </w:r>
            <w:r w:rsidRPr="006D4F3E">
              <w:rPr>
                <w:rFonts w:asciiTheme="minorHAnsi" w:eastAsiaTheme="minorHAnsi" w:hAnsiTheme="minorHAnsi" w:cstheme="minorBidi"/>
                <w:color w:val="auto"/>
                <w:lang w:eastAsia="en-US"/>
              </w:rPr>
              <w:t xml:space="preserve">: </w:t>
            </w:r>
            <w:r w:rsidRPr="001630EC">
              <w:rPr>
                <w:rFonts w:asciiTheme="minorHAnsi" w:eastAsiaTheme="minorHAnsi" w:hAnsiTheme="minorHAnsi" w:cstheme="minorBidi"/>
                <w:color w:val="auto"/>
                <w:lang w:eastAsia="en-US"/>
              </w:rPr>
              <w:t xml:space="preserve">climate finance, </w:t>
            </w:r>
            <w:r w:rsidRPr="006D4F3E">
              <w:rPr>
                <w:rFonts w:asciiTheme="minorHAnsi" w:eastAsiaTheme="minorHAnsi" w:hAnsiTheme="minorHAnsi" w:cstheme="minorBidi"/>
                <w:color w:val="auto"/>
                <w:lang w:eastAsia="en-US"/>
              </w:rPr>
              <w:lastRenderedPageBreak/>
              <w:t xml:space="preserve">decentralisation and local governance; strengthened productive capacity at the local level) </w:t>
            </w:r>
          </w:p>
        </w:tc>
        <w:tc>
          <w:tcPr>
            <w:tcW w:w="1800" w:type="dxa"/>
            <w:shd w:val="clear" w:color="auto" w:fill="FFFFFF" w:themeFill="background1"/>
          </w:tcPr>
          <w:p w14:paraId="3D055096" w14:textId="77777777" w:rsidR="007E0447" w:rsidRDefault="007E0447" w:rsidP="007D7A2E">
            <w:pPr>
              <w:spacing w:after="200" w:line="276" w:lineRule="auto"/>
              <w:jc w:val="both"/>
              <w:rPr>
                <w:rFonts w:asciiTheme="minorHAnsi" w:eastAsiaTheme="minorHAnsi" w:hAnsiTheme="minorHAnsi" w:cstheme="minorBidi"/>
                <w:color w:val="auto"/>
                <w:lang w:val="en-US" w:eastAsia="en-US"/>
              </w:rPr>
            </w:pPr>
          </w:p>
          <w:p w14:paraId="0FF15294" w14:textId="77777777" w:rsidR="007E0447" w:rsidRDefault="007E0447" w:rsidP="007D7A2E">
            <w:pPr>
              <w:spacing w:after="200" w:line="276" w:lineRule="auto"/>
              <w:jc w:val="both"/>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7</w:t>
            </w:r>
          </w:p>
          <w:p w14:paraId="37F9A134" w14:textId="77777777" w:rsidR="007E0447" w:rsidRPr="00C75689" w:rsidRDefault="007E0447" w:rsidP="007D7A2E">
            <w:pPr>
              <w:spacing w:after="200" w:line="276" w:lineRule="auto"/>
              <w:jc w:val="both"/>
              <w:rPr>
                <w:rFonts w:asciiTheme="minorHAnsi" w:eastAsiaTheme="minorHAnsi" w:hAnsiTheme="minorHAnsi" w:cstheme="minorBidi"/>
                <w:color w:val="auto"/>
                <w:lang w:val="en-US" w:eastAsia="en-US"/>
              </w:rPr>
            </w:pPr>
          </w:p>
        </w:tc>
        <w:tc>
          <w:tcPr>
            <w:tcW w:w="1620" w:type="dxa"/>
          </w:tcPr>
          <w:p w14:paraId="38EBEB88" w14:textId="3300486A" w:rsidR="007E0447" w:rsidRPr="00B37CA5" w:rsidRDefault="00291DD5" w:rsidP="007D7A2E">
            <w:pPr>
              <w:jc w:val="both"/>
              <w:rPr>
                <w:rFonts w:asciiTheme="minorHAnsi" w:eastAsiaTheme="minorHAnsi" w:hAnsiTheme="minorHAnsi" w:cstheme="minorBidi"/>
                <w:color w:val="1F497D" w:themeColor="text2"/>
                <w:lang w:val="en-US" w:eastAsia="en-US"/>
              </w:rPr>
            </w:pPr>
            <w:r w:rsidRPr="00B37CA5">
              <w:rPr>
                <w:rFonts w:asciiTheme="minorHAnsi" w:eastAsiaTheme="minorHAnsi" w:hAnsiTheme="minorHAnsi" w:cstheme="minorBidi"/>
                <w:color w:val="1F497D" w:themeColor="text2"/>
                <w:lang w:val="en-US" w:eastAsia="en-US"/>
              </w:rPr>
              <w:t>5 LD</w:t>
            </w:r>
          </w:p>
          <w:p w14:paraId="7EAA0C85" w14:textId="4DB786B0" w:rsidR="007D7A2E" w:rsidRPr="00B37CA5" w:rsidRDefault="007D7A2E" w:rsidP="007D7A2E">
            <w:pPr>
              <w:jc w:val="both"/>
              <w:rPr>
                <w:rFonts w:asciiTheme="minorHAnsi" w:eastAsiaTheme="minorHAnsi" w:hAnsiTheme="minorHAnsi" w:cstheme="minorBidi"/>
                <w:color w:val="1F497D" w:themeColor="text2"/>
                <w:lang w:val="en-US" w:eastAsia="en-US"/>
              </w:rPr>
            </w:pPr>
            <w:r w:rsidRPr="00B37CA5">
              <w:rPr>
                <w:rFonts w:asciiTheme="minorHAnsi" w:eastAsiaTheme="minorHAnsi" w:hAnsiTheme="minorHAnsi" w:cstheme="minorBidi"/>
                <w:color w:val="1F497D" w:themeColor="text2"/>
                <w:lang w:val="en-US" w:eastAsia="en-US"/>
              </w:rPr>
              <w:t>9 FIPA</w:t>
            </w:r>
          </w:p>
        </w:tc>
        <w:tc>
          <w:tcPr>
            <w:tcW w:w="1800" w:type="dxa"/>
            <w:shd w:val="clear" w:color="auto" w:fill="auto"/>
          </w:tcPr>
          <w:p w14:paraId="5CAF5934" w14:textId="77777777" w:rsidR="007E0447" w:rsidRDefault="007E0447" w:rsidP="007D7A2E">
            <w:pPr>
              <w:spacing w:after="200" w:line="276" w:lineRule="auto"/>
              <w:jc w:val="both"/>
              <w:rPr>
                <w:rFonts w:asciiTheme="minorHAnsi" w:eastAsiaTheme="minorHAnsi" w:hAnsiTheme="minorHAnsi" w:cstheme="minorBidi"/>
                <w:color w:val="auto"/>
                <w:lang w:val="en-US" w:eastAsia="en-US"/>
              </w:rPr>
            </w:pPr>
          </w:p>
          <w:p w14:paraId="4DFE08B7" w14:textId="77777777" w:rsidR="007E0447" w:rsidRDefault="007E0447" w:rsidP="007D7A2E">
            <w:pPr>
              <w:spacing w:after="200" w:line="276" w:lineRule="auto"/>
              <w:jc w:val="both"/>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10 (cumulative 2014 – 2017)</w:t>
            </w:r>
          </w:p>
          <w:p w14:paraId="25A132BE" w14:textId="77777777" w:rsidR="007E0447" w:rsidRPr="00C75689" w:rsidRDefault="007E0447" w:rsidP="007D7A2E">
            <w:pPr>
              <w:jc w:val="both"/>
              <w:rPr>
                <w:rFonts w:asciiTheme="minorHAnsi" w:eastAsiaTheme="minorHAnsi" w:hAnsiTheme="minorHAnsi" w:cstheme="minorBidi"/>
                <w:color w:val="auto"/>
                <w:lang w:val="en-US" w:eastAsia="en-US"/>
              </w:rPr>
            </w:pPr>
          </w:p>
        </w:tc>
      </w:tr>
      <w:tr w:rsidR="007E0447" w:rsidRPr="00C75689" w14:paraId="485D72CC" w14:textId="77777777" w:rsidTr="007D7A2E">
        <w:trPr>
          <w:trHeight w:val="584"/>
        </w:trPr>
        <w:tc>
          <w:tcPr>
            <w:tcW w:w="2790" w:type="dxa"/>
            <w:vMerge w:val="restart"/>
          </w:tcPr>
          <w:p w14:paraId="73FCDCCE" w14:textId="77777777" w:rsidR="007E0447" w:rsidRPr="00FA1741" w:rsidRDefault="007E0447" w:rsidP="007D7A2E">
            <w:pPr>
              <w:spacing w:after="200" w:line="276" w:lineRule="auto"/>
              <w:rPr>
                <w:rFonts w:asciiTheme="minorHAnsi" w:eastAsiaTheme="minorHAnsi" w:hAnsiTheme="minorHAnsi" w:cstheme="minorBidi"/>
                <w:b/>
                <w:color w:val="auto"/>
                <w:lang w:val="en-US" w:eastAsia="en-US"/>
              </w:rPr>
            </w:pPr>
            <w:r w:rsidRPr="00FA1741">
              <w:rPr>
                <w:rFonts w:asciiTheme="minorHAnsi" w:eastAsiaTheme="minorHAnsi" w:hAnsiTheme="minorHAnsi" w:cstheme="minorBidi"/>
                <w:b/>
                <w:color w:val="auto"/>
                <w:lang w:val="en-US" w:eastAsia="en-US"/>
              </w:rPr>
              <w:lastRenderedPageBreak/>
              <w:t xml:space="preserve">Output 1.6 </w:t>
            </w:r>
            <w:r w:rsidRPr="00FA1741">
              <w:rPr>
                <w:rFonts w:asciiTheme="minorHAnsi" w:eastAsiaTheme="minorHAnsi" w:hAnsiTheme="minorHAnsi" w:cstheme="minorBidi"/>
                <w:color w:val="auto"/>
                <w:lang w:val="en-US" w:eastAsia="en-US"/>
              </w:rPr>
              <w:t>UNCDF’s mandate in the LDCs better understand and more widely- communicated to  target audiences based on implementation of its communications plans</w:t>
            </w:r>
          </w:p>
        </w:tc>
        <w:tc>
          <w:tcPr>
            <w:tcW w:w="6750" w:type="dxa"/>
            <w:shd w:val="clear" w:color="auto" w:fill="auto"/>
          </w:tcPr>
          <w:p w14:paraId="46AFAF2A" w14:textId="77777777" w:rsidR="007E0447" w:rsidRPr="00C75689" w:rsidRDefault="007E0447" w:rsidP="007D7A2E">
            <w:pPr>
              <w:tabs>
                <w:tab w:val="left" w:pos="1753"/>
              </w:tabs>
              <w:spacing w:after="200" w:line="276" w:lineRule="auto"/>
              <w:rPr>
                <w:rFonts w:asciiTheme="minorHAnsi" w:eastAsiaTheme="minorHAnsi" w:hAnsiTheme="minorHAnsi" w:cstheme="minorBidi"/>
                <w:b/>
                <w:color w:val="auto"/>
                <w:lang w:eastAsia="en-US"/>
              </w:rPr>
            </w:pPr>
          </w:p>
        </w:tc>
        <w:tc>
          <w:tcPr>
            <w:tcW w:w="1800" w:type="dxa"/>
            <w:shd w:val="clear" w:color="auto" w:fill="FFFFFF" w:themeFill="background1"/>
          </w:tcPr>
          <w:p w14:paraId="5CDFC07D" w14:textId="77777777" w:rsidR="007E0447" w:rsidRPr="00C75689" w:rsidRDefault="007E0447" w:rsidP="007D7A2E">
            <w:pPr>
              <w:spacing w:after="200" w:line="276" w:lineRule="auto"/>
              <w:rPr>
                <w:rFonts w:asciiTheme="minorHAnsi" w:eastAsiaTheme="minorHAnsi" w:hAnsiTheme="minorHAnsi" w:cstheme="minorBidi"/>
                <w:b/>
                <w:color w:val="auto"/>
                <w:lang w:eastAsia="en-US"/>
              </w:rPr>
            </w:pPr>
          </w:p>
        </w:tc>
        <w:tc>
          <w:tcPr>
            <w:tcW w:w="1620" w:type="dxa"/>
          </w:tcPr>
          <w:p w14:paraId="0EE85A46" w14:textId="77777777" w:rsidR="007E0447" w:rsidRPr="00C75689" w:rsidRDefault="007E0447" w:rsidP="007D7A2E">
            <w:pPr>
              <w:rPr>
                <w:rFonts w:asciiTheme="minorHAnsi" w:eastAsiaTheme="minorHAnsi" w:hAnsiTheme="minorHAnsi" w:cstheme="minorBidi"/>
                <w:b/>
                <w:color w:val="auto"/>
                <w:lang w:eastAsia="en-US"/>
              </w:rPr>
            </w:pPr>
          </w:p>
        </w:tc>
        <w:tc>
          <w:tcPr>
            <w:tcW w:w="1800" w:type="dxa"/>
            <w:shd w:val="clear" w:color="auto" w:fill="auto"/>
          </w:tcPr>
          <w:p w14:paraId="02DBE143" w14:textId="77777777" w:rsidR="007E0447" w:rsidRPr="00C75689" w:rsidRDefault="007E0447" w:rsidP="007D7A2E">
            <w:pPr>
              <w:rPr>
                <w:rFonts w:asciiTheme="minorHAnsi" w:eastAsiaTheme="minorHAnsi" w:hAnsiTheme="minorHAnsi" w:cstheme="minorBidi"/>
                <w:b/>
                <w:color w:val="auto"/>
                <w:lang w:eastAsia="en-US"/>
              </w:rPr>
            </w:pPr>
          </w:p>
        </w:tc>
      </w:tr>
      <w:tr w:rsidR="007E0447" w:rsidRPr="00C75689" w14:paraId="0C8BAC49" w14:textId="77777777" w:rsidTr="007D7A2E">
        <w:trPr>
          <w:trHeight w:val="566"/>
        </w:trPr>
        <w:tc>
          <w:tcPr>
            <w:tcW w:w="2790" w:type="dxa"/>
            <w:vMerge/>
          </w:tcPr>
          <w:p w14:paraId="4409E370"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auto"/>
          </w:tcPr>
          <w:p w14:paraId="4A671CAC" w14:textId="77777777" w:rsidR="007E0447" w:rsidRPr="00C75689" w:rsidRDefault="007E0447" w:rsidP="007D7A2E">
            <w:pPr>
              <w:spacing w:after="200" w:line="276" w:lineRule="auto"/>
              <w:rPr>
                <w:rFonts w:asciiTheme="minorHAnsi" w:eastAsiaTheme="minorHAnsi" w:hAnsiTheme="minorHAnsi" w:cstheme="minorBidi"/>
                <w:color w:val="auto"/>
                <w:lang w:eastAsia="en-US"/>
              </w:rPr>
            </w:pPr>
            <w:r w:rsidRPr="00C75689">
              <w:rPr>
                <w:rFonts w:asciiTheme="minorHAnsi" w:eastAsiaTheme="minorHAnsi" w:hAnsiTheme="minorHAnsi" w:cstheme="minorBidi"/>
                <w:color w:val="auto"/>
                <w:lang w:val="en-US" w:eastAsia="en-US"/>
              </w:rPr>
              <w:t xml:space="preserve">1.6.1 </w:t>
            </w:r>
            <w:r w:rsidRPr="00C75689">
              <w:rPr>
                <w:rFonts w:asciiTheme="minorHAnsi" w:eastAsiaTheme="minorHAnsi" w:hAnsiTheme="minorHAnsi" w:cstheme="minorBidi"/>
                <w:color w:val="auto"/>
                <w:lang w:eastAsia="en-US"/>
              </w:rPr>
              <w:t xml:space="preserve">Number of monthly unique </w:t>
            </w:r>
            <w:proofErr w:type="spellStart"/>
            <w:r w:rsidRPr="00C75689">
              <w:rPr>
                <w:rFonts w:asciiTheme="minorHAnsi" w:eastAsiaTheme="minorHAnsi" w:hAnsiTheme="minorHAnsi" w:cstheme="minorBidi"/>
                <w:color w:val="auto"/>
                <w:lang w:eastAsia="en-US"/>
              </w:rPr>
              <w:t>vistors</w:t>
            </w:r>
            <w:proofErr w:type="spellEnd"/>
            <w:r w:rsidRPr="00C75689">
              <w:rPr>
                <w:rFonts w:asciiTheme="minorHAnsi" w:eastAsiaTheme="minorHAnsi" w:hAnsiTheme="minorHAnsi" w:cstheme="minorBidi"/>
                <w:color w:val="auto"/>
                <w:lang w:eastAsia="en-US"/>
              </w:rPr>
              <w:t xml:space="preserve"> to public external website – </w:t>
            </w:r>
            <w:hyperlink r:id="rId17" w:history="1">
              <w:r w:rsidRPr="00C75689">
                <w:rPr>
                  <w:rFonts w:asciiTheme="minorHAnsi" w:eastAsiaTheme="minorHAnsi" w:hAnsiTheme="minorHAnsi" w:cstheme="minorBidi"/>
                  <w:color w:val="0000FF"/>
                  <w:u w:val="single"/>
                  <w:lang w:eastAsia="en-US"/>
                </w:rPr>
                <w:t>www.uncdf.org</w:t>
              </w:r>
            </w:hyperlink>
          </w:p>
        </w:tc>
        <w:tc>
          <w:tcPr>
            <w:tcW w:w="1800" w:type="dxa"/>
            <w:shd w:val="clear" w:color="auto" w:fill="FFFFFF" w:themeFill="background1"/>
          </w:tcPr>
          <w:p w14:paraId="70C3DC48" w14:textId="77777777" w:rsidR="007E0447" w:rsidRPr="00C75689" w:rsidRDefault="00841882" w:rsidP="007D7A2E">
            <w:pPr>
              <w:spacing w:after="200" w:line="276" w:lineRule="auto"/>
              <w:rPr>
                <w:rFonts w:asciiTheme="minorHAnsi" w:eastAsiaTheme="minorHAnsi" w:hAnsiTheme="minorHAnsi" w:cstheme="minorBidi"/>
                <w:color w:val="auto"/>
                <w:lang w:eastAsia="en-US"/>
              </w:rPr>
            </w:pPr>
            <w:hyperlink r:id="rId18" w:anchor="Approximately_equal" w:tooltip="Equals sign" w:history="1">
              <w:r w:rsidR="007E0447" w:rsidRPr="00C75689">
                <w:rPr>
                  <w:rFonts w:asciiTheme="minorHAnsi" w:eastAsiaTheme="minorHAnsi" w:hAnsiTheme="minorHAnsi" w:cstheme="minorBidi"/>
                  <w:color w:val="0000FF"/>
                  <w:u w:val="single"/>
                  <w:lang w:val="en-US" w:eastAsia="en-US"/>
                </w:rPr>
                <w:t>≈</w:t>
              </w:r>
            </w:hyperlink>
            <w:r w:rsidR="007E0447" w:rsidRPr="00C75689">
              <w:rPr>
                <w:rFonts w:asciiTheme="minorHAnsi" w:eastAsiaTheme="minorHAnsi" w:hAnsiTheme="minorHAnsi" w:cstheme="minorBidi"/>
                <w:color w:val="auto"/>
                <w:u w:val="single"/>
                <w:lang w:val="en-US" w:eastAsia="en-US"/>
              </w:rPr>
              <w:t xml:space="preserve"> 6,000</w:t>
            </w:r>
          </w:p>
        </w:tc>
        <w:tc>
          <w:tcPr>
            <w:tcW w:w="1620" w:type="dxa"/>
          </w:tcPr>
          <w:p w14:paraId="24E6A248" w14:textId="77777777" w:rsidR="007E0447" w:rsidRPr="00AA6049" w:rsidRDefault="007E0447" w:rsidP="007D7A2E">
            <w:pPr>
              <w:rPr>
                <w:rFonts w:asciiTheme="minorHAnsi" w:hAnsiTheme="minorHAnsi"/>
                <w:color w:val="365F91" w:themeColor="accent1" w:themeShade="BF"/>
              </w:rPr>
            </w:pPr>
            <w:r w:rsidRPr="00AA6049">
              <w:rPr>
                <w:rFonts w:asciiTheme="minorHAnsi" w:hAnsiTheme="minorHAnsi"/>
                <w:color w:val="365F91" w:themeColor="accent1" w:themeShade="BF"/>
              </w:rPr>
              <w:t>8,392</w:t>
            </w:r>
          </w:p>
        </w:tc>
        <w:tc>
          <w:tcPr>
            <w:tcW w:w="1800" w:type="dxa"/>
            <w:shd w:val="clear" w:color="auto" w:fill="auto"/>
          </w:tcPr>
          <w:p w14:paraId="3EEC5BD4" w14:textId="77777777" w:rsidR="007E0447" w:rsidRPr="00C75689" w:rsidRDefault="00841882" w:rsidP="007D7A2E">
            <w:pPr>
              <w:spacing w:after="200" w:line="276" w:lineRule="auto"/>
              <w:rPr>
                <w:rFonts w:asciiTheme="minorHAnsi" w:eastAsiaTheme="minorHAnsi" w:hAnsiTheme="minorHAnsi" w:cstheme="minorBidi"/>
                <w:color w:val="auto"/>
                <w:lang w:val="en-US" w:eastAsia="en-US"/>
              </w:rPr>
            </w:pPr>
            <w:hyperlink r:id="rId19" w:anchor="Approximately_equal" w:tooltip="Equals sign" w:history="1">
              <w:r w:rsidR="007E0447" w:rsidRPr="00C75689">
                <w:rPr>
                  <w:rFonts w:asciiTheme="minorHAnsi" w:eastAsiaTheme="minorHAnsi" w:hAnsiTheme="minorHAnsi" w:cstheme="minorBidi"/>
                  <w:color w:val="0000FF"/>
                  <w:u w:val="single"/>
                  <w:lang w:val="en-US" w:eastAsia="en-US"/>
                </w:rPr>
                <w:t>≈</w:t>
              </w:r>
            </w:hyperlink>
            <w:r w:rsidR="007E0447" w:rsidRPr="00C75689">
              <w:rPr>
                <w:rFonts w:asciiTheme="minorHAnsi" w:eastAsiaTheme="minorHAnsi" w:hAnsiTheme="minorHAnsi" w:cstheme="minorBidi"/>
                <w:color w:val="auto"/>
                <w:u w:val="single"/>
                <w:lang w:val="en-US" w:eastAsia="en-US"/>
              </w:rPr>
              <w:t xml:space="preserve"> 10,000</w:t>
            </w:r>
          </w:p>
        </w:tc>
      </w:tr>
      <w:tr w:rsidR="007E0447" w:rsidRPr="00C75689" w14:paraId="20D1EF22" w14:textId="77777777" w:rsidTr="007D7A2E">
        <w:trPr>
          <w:trHeight w:val="566"/>
        </w:trPr>
        <w:tc>
          <w:tcPr>
            <w:tcW w:w="2790" w:type="dxa"/>
            <w:vMerge/>
          </w:tcPr>
          <w:p w14:paraId="655D1EF2"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shd w:val="clear" w:color="auto" w:fill="auto"/>
          </w:tcPr>
          <w:p w14:paraId="40790D1F" w14:textId="77777777" w:rsidR="007E0447" w:rsidRPr="004F4DE2" w:rsidRDefault="007E0447" w:rsidP="007D7A2E">
            <w:pPr>
              <w:spacing w:after="200" w:line="276" w:lineRule="auto"/>
              <w:rPr>
                <w:rFonts w:asciiTheme="minorHAnsi" w:eastAsiaTheme="minorHAnsi" w:hAnsiTheme="minorHAnsi" w:cstheme="minorBidi"/>
                <w:color w:val="auto"/>
                <w:lang w:val="en-US" w:eastAsia="en-US"/>
              </w:rPr>
            </w:pPr>
            <w:r w:rsidRPr="004F4DE2">
              <w:rPr>
                <w:rFonts w:asciiTheme="minorHAnsi" w:eastAsiaTheme="minorHAnsi" w:hAnsiTheme="minorHAnsi" w:cstheme="minorBidi"/>
                <w:color w:val="auto"/>
                <w:lang w:val="en-US" w:eastAsia="en-US"/>
              </w:rPr>
              <w:t xml:space="preserve">1.6.2 </w:t>
            </w:r>
            <w:r w:rsidRPr="004F4DE2">
              <w:rPr>
                <w:rFonts w:asciiTheme="minorHAnsi" w:eastAsiaTheme="minorHAnsi" w:hAnsiTheme="minorHAnsi" w:cstheme="minorBidi"/>
                <w:color w:val="auto"/>
                <w:lang w:eastAsia="en-US"/>
              </w:rPr>
              <w:t>Number of followers on Twitter corporate account</w:t>
            </w:r>
          </w:p>
        </w:tc>
        <w:tc>
          <w:tcPr>
            <w:tcW w:w="1800" w:type="dxa"/>
            <w:shd w:val="clear" w:color="auto" w:fill="FFFFFF" w:themeFill="background1"/>
          </w:tcPr>
          <w:p w14:paraId="7EF9249E" w14:textId="77777777" w:rsidR="007E0447" w:rsidRPr="004F4DE2" w:rsidRDefault="00841882" w:rsidP="007D7A2E">
            <w:pPr>
              <w:spacing w:after="200" w:line="276" w:lineRule="auto"/>
              <w:rPr>
                <w:rFonts w:asciiTheme="minorHAnsi" w:eastAsiaTheme="minorHAnsi" w:hAnsiTheme="minorHAnsi" w:cstheme="minorBidi"/>
                <w:color w:val="auto"/>
                <w:lang w:eastAsia="en-US"/>
              </w:rPr>
            </w:pPr>
            <w:hyperlink r:id="rId20" w:anchor="Approximately_equal" w:tooltip="Equals sign" w:history="1">
              <w:r w:rsidR="007E0447" w:rsidRPr="004F4DE2">
                <w:rPr>
                  <w:rFonts w:asciiTheme="minorHAnsi" w:eastAsiaTheme="minorHAnsi" w:hAnsiTheme="minorHAnsi" w:cstheme="minorBidi"/>
                  <w:color w:val="0000FF"/>
                  <w:u w:val="single"/>
                  <w:lang w:val="en-US" w:eastAsia="en-US"/>
                </w:rPr>
                <w:t>≈</w:t>
              </w:r>
            </w:hyperlink>
            <w:r w:rsidR="007E0447" w:rsidRPr="004F4DE2">
              <w:rPr>
                <w:rFonts w:asciiTheme="minorHAnsi" w:eastAsiaTheme="minorHAnsi" w:hAnsiTheme="minorHAnsi" w:cstheme="minorBidi"/>
                <w:color w:val="auto"/>
                <w:u w:val="single"/>
                <w:lang w:val="en-US" w:eastAsia="en-US"/>
              </w:rPr>
              <w:t xml:space="preserve"> 200</w:t>
            </w:r>
          </w:p>
        </w:tc>
        <w:tc>
          <w:tcPr>
            <w:tcW w:w="1620" w:type="dxa"/>
          </w:tcPr>
          <w:p w14:paraId="36FEB0BE" w14:textId="77777777" w:rsidR="007E0447" w:rsidRPr="00AA6049" w:rsidRDefault="007E0447" w:rsidP="007D7A2E">
            <w:pPr>
              <w:rPr>
                <w:rFonts w:asciiTheme="minorHAnsi" w:hAnsiTheme="minorHAnsi"/>
                <w:color w:val="365F91" w:themeColor="accent1" w:themeShade="BF"/>
              </w:rPr>
            </w:pPr>
            <w:r w:rsidRPr="00AA6049">
              <w:rPr>
                <w:rFonts w:asciiTheme="minorHAnsi" w:hAnsiTheme="minorHAnsi"/>
                <w:color w:val="365F91" w:themeColor="accent1" w:themeShade="BF"/>
              </w:rPr>
              <w:t>1,430</w:t>
            </w:r>
          </w:p>
        </w:tc>
        <w:tc>
          <w:tcPr>
            <w:tcW w:w="1800" w:type="dxa"/>
            <w:shd w:val="clear" w:color="auto" w:fill="auto"/>
          </w:tcPr>
          <w:p w14:paraId="63CF3FDD" w14:textId="77777777" w:rsidR="007E0447" w:rsidRPr="004F4DE2" w:rsidRDefault="00841882" w:rsidP="007D7A2E">
            <w:pPr>
              <w:spacing w:after="200" w:line="276" w:lineRule="auto"/>
              <w:rPr>
                <w:rFonts w:asciiTheme="minorHAnsi" w:eastAsiaTheme="minorHAnsi" w:hAnsiTheme="minorHAnsi" w:cstheme="minorBidi"/>
                <w:color w:val="auto"/>
                <w:lang w:val="en-US" w:eastAsia="en-US"/>
              </w:rPr>
            </w:pPr>
            <w:hyperlink r:id="rId21" w:anchor="Approximately_equal" w:tooltip="Equals sign" w:history="1">
              <w:r w:rsidR="007E0447" w:rsidRPr="004F4DE2">
                <w:rPr>
                  <w:rFonts w:asciiTheme="minorHAnsi" w:eastAsiaTheme="minorHAnsi" w:hAnsiTheme="minorHAnsi" w:cstheme="minorBidi"/>
                  <w:color w:val="0000FF"/>
                  <w:u w:val="single"/>
                  <w:lang w:val="en-US" w:eastAsia="en-US"/>
                </w:rPr>
                <w:t>≈</w:t>
              </w:r>
            </w:hyperlink>
            <w:r w:rsidR="007E0447" w:rsidRPr="004F4DE2">
              <w:rPr>
                <w:rFonts w:asciiTheme="minorHAnsi" w:eastAsiaTheme="minorHAnsi" w:hAnsiTheme="minorHAnsi" w:cstheme="minorBidi"/>
                <w:color w:val="auto"/>
                <w:u w:val="single"/>
                <w:lang w:val="en-US" w:eastAsia="en-US"/>
              </w:rPr>
              <w:t xml:space="preserve"> 5,000</w:t>
            </w:r>
          </w:p>
        </w:tc>
      </w:tr>
      <w:tr w:rsidR="007E0447" w:rsidRPr="00C75689" w14:paraId="18A5975B" w14:textId="77777777" w:rsidTr="007D7A2E">
        <w:trPr>
          <w:trHeight w:val="566"/>
        </w:trPr>
        <w:tc>
          <w:tcPr>
            <w:tcW w:w="2790" w:type="dxa"/>
            <w:vMerge/>
            <w:tcBorders>
              <w:bottom w:val="single" w:sz="4" w:space="0" w:color="auto"/>
            </w:tcBorders>
          </w:tcPr>
          <w:p w14:paraId="30CFA9C5" w14:textId="77777777" w:rsidR="007E0447" w:rsidRPr="00C75689"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tcBorders>
              <w:bottom w:val="single" w:sz="4" w:space="0" w:color="auto"/>
            </w:tcBorders>
            <w:shd w:val="clear" w:color="auto" w:fill="auto"/>
          </w:tcPr>
          <w:p w14:paraId="29B0A9CF" w14:textId="77777777" w:rsidR="007E0447" w:rsidRPr="004F4DE2" w:rsidRDefault="007E0447" w:rsidP="007D7A2E">
            <w:pPr>
              <w:spacing w:after="200" w:line="276" w:lineRule="auto"/>
              <w:rPr>
                <w:rFonts w:asciiTheme="minorHAnsi" w:eastAsiaTheme="minorHAnsi" w:hAnsiTheme="minorHAnsi" w:cstheme="minorBidi"/>
                <w:color w:val="auto"/>
                <w:lang w:val="en-US" w:eastAsia="en-US"/>
              </w:rPr>
            </w:pPr>
            <w:r w:rsidRPr="004F4DE2">
              <w:rPr>
                <w:rFonts w:asciiTheme="minorHAnsi" w:eastAsiaTheme="minorHAnsi" w:hAnsiTheme="minorHAnsi" w:cstheme="minorBidi"/>
                <w:color w:val="auto"/>
                <w:lang w:val="en-US" w:eastAsia="en-US"/>
              </w:rPr>
              <w:t xml:space="preserve">1.6.3 </w:t>
            </w:r>
            <w:r w:rsidRPr="004F4DE2">
              <w:rPr>
                <w:rFonts w:asciiTheme="minorHAnsi" w:eastAsiaTheme="minorHAnsi" w:hAnsiTheme="minorHAnsi" w:cstheme="minorBidi"/>
                <w:color w:val="auto"/>
                <w:lang w:eastAsia="en-US"/>
              </w:rPr>
              <w:t>Number of followers on Facebook corporate account</w:t>
            </w:r>
          </w:p>
        </w:tc>
        <w:tc>
          <w:tcPr>
            <w:tcW w:w="1800" w:type="dxa"/>
            <w:tcBorders>
              <w:bottom w:val="single" w:sz="4" w:space="0" w:color="auto"/>
            </w:tcBorders>
            <w:shd w:val="clear" w:color="auto" w:fill="FFFFFF" w:themeFill="background1"/>
          </w:tcPr>
          <w:p w14:paraId="796F295C" w14:textId="77777777" w:rsidR="007E0447" w:rsidRPr="004F4DE2" w:rsidRDefault="00841882" w:rsidP="007D7A2E">
            <w:pPr>
              <w:spacing w:after="200" w:line="276" w:lineRule="auto"/>
              <w:rPr>
                <w:rFonts w:asciiTheme="minorHAnsi" w:eastAsiaTheme="minorHAnsi" w:hAnsiTheme="minorHAnsi" w:cstheme="minorBidi"/>
                <w:color w:val="auto"/>
                <w:lang w:eastAsia="en-US"/>
              </w:rPr>
            </w:pPr>
            <w:hyperlink r:id="rId22" w:anchor="Approximately_equal" w:tooltip="Equals sign" w:history="1">
              <w:r w:rsidR="007E0447" w:rsidRPr="004F4DE2">
                <w:rPr>
                  <w:rFonts w:asciiTheme="minorHAnsi" w:eastAsiaTheme="minorHAnsi" w:hAnsiTheme="minorHAnsi" w:cstheme="minorBidi"/>
                  <w:color w:val="0000FF"/>
                  <w:u w:val="single"/>
                  <w:lang w:val="en-US" w:eastAsia="en-US"/>
                </w:rPr>
                <w:t>≈</w:t>
              </w:r>
            </w:hyperlink>
            <w:r w:rsidR="007E0447" w:rsidRPr="004F4DE2">
              <w:rPr>
                <w:rFonts w:asciiTheme="minorHAnsi" w:eastAsiaTheme="minorHAnsi" w:hAnsiTheme="minorHAnsi" w:cstheme="minorBidi"/>
                <w:color w:val="auto"/>
                <w:u w:val="single"/>
                <w:lang w:val="en-US" w:eastAsia="en-US"/>
              </w:rPr>
              <w:t xml:space="preserve"> 500</w:t>
            </w:r>
          </w:p>
        </w:tc>
        <w:tc>
          <w:tcPr>
            <w:tcW w:w="1620" w:type="dxa"/>
            <w:tcBorders>
              <w:bottom w:val="single" w:sz="4" w:space="0" w:color="auto"/>
            </w:tcBorders>
          </w:tcPr>
          <w:p w14:paraId="3892B358" w14:textId="77777777" w:rsidR="007E0447" w:rsidRPr="00AA6049" w:rsidRDefault="007E0447" w:rsidP="007D7A2E">
            <w:pPr>
              <w:rPr>
                <w:rFonts w:asciiTheme="minorHAnsi" w:hAnsiTheme="minorHAnsi"/>
                <w:color w:val="365F91" w:themeColor="accent1" w:themeShade="BF"/>
              </w:rPr>
            </w:pPr>
            <w:r w:rsidRPr="00AA6049">
              <w:rPr>
                <w:rFonts w:asciiTheme="minorHAnsi" w:hAnsiTheme="minorHAnsi"/>
                <w:color w:val="365F91" w:themeColor="accent1" w:themeShade="BF"/>
              </w:rPr>
              <w:t>94,569</w:t>
            </w:r>
          </w:p>
        </w:tc>
        <w:tc>
          <w:tcPr>
            <w:tcW w:w="1800" w:type="dxa"/>
            <w:tcBorders>
              <w:bottom w:val="single" w:sz="4" w:space="0" w:color="auto"/>
            </w:tcBorders>
            <w:shd w:val="clear" w:color="auto" w:fill="auto"/>
          </w:tcPr>
          <w:p w14:paraId="6EF719CC" w14:textId="77777777" w:rsidR="007E0447" w:rsidRPr="004F4DE2" w:rsidRDefault="00841882" w:rsidP="007D7A2E">
            <w:pPr>
              <w:spacing w:after="200" w:line="276" w:lineRule="auto"/>
              <w:rPr>
                <w:rFonts w:asciiTheme="minorHAnsi" w:eastAsiaTheme="minorHAnsi" w:hAnsiTheme="minorHAnsi" w:cstheme="minorBidi"/>
                <w:color w:val="auto"/>
                <w:lang w:val="en-US" w:eastAsia="en-US"/>
              </w:rPr>
            </w:pPr>
            <w:hyperlink r:id="rId23" w:anchor="Approximately_equal" w:tooltip="Equals sign" w:history="1">
              <w:r w:rsidR="007E0447" w:rsidRPr="004F4DE2">
                <w:rPr>
                  <w:rFonts w:asciiTheme="minorHAnsi" w:eastAsiaTheme="minorHAnsi" w:hAnsiTheme="minorHAnsi" w:cstheme="minorBidi"/>
                  <w:color w:val="0000FF"/>
                  <w:u w:val="single"/>
                  <w:lang w:val="en-US" w:eastAsia="en-US"/>
                </w:rPr>
                <w:t>≈</w:t>
              </w:r>
            </w:hyperlink>
            <w:r w:rsidR="007E0447" w:rsidRPr="004F4DE2">
              <w:rPr>
                <w:rFonts w:asciiTheme="minorHAnsi" w:eastAsiaTheme="minorHAnsi" w:hAnsiTheme="minorHAnsi" w:cstheme="minorBidi"/>
                <w:color w:val="auto"/>
                <w:u w:val="single"/>
                <w:lang w:val="en-US" w:eastAsia="en-US"/>
              </w:rPr>
              <w:t xml:space="preserve"> 30,000</w:t>
            </w:r>
          </w:p>
        </w:tc>
      </w:tr>
      <w:tr w:rsidR="007E0447" w:rsidRPr="00C75689" w14:paraId="010A0F97" w14:textId="77777777" w:rsidTr="007D7A2E">
        <w:trPr>
          <w:trHeight w:val="47"/>
        </w:trPr>
        <w:tc>
          <w:tcPr>
            <w:tcW w:w="2790" w:type="dxa"/>
            <w:tcBorders>
              <w:bottom w:val="nil"/>
            </w:tcBorders>
          </w:tcPr>
          <w:p w14:paraId="23AC356F" w14:textId="77777777" w:rsidR="007E0447" w:rsidRPr="003C1433" w:rsidRDefault="007E0447" w:rsidP="007D7A2E">
            <w:pPr>
              <w:spacing w:after="200" w:line="276" w:lineRule="auto"/>
              <w:rPr>
                <w:rFonts w:asciiTheme="minorHAnsi" w:eastAsiaTheme="minorHAnsi" w:hAnsiTheme="minorHAnsi" w:cstheme="minorBidi"/>
                <w:color w:val="auto"/>
                <w:lang w:val="en-US" w:eastAsia="en-US"/>
              </w:rPr>
            </w:pPr>
            <w:r w:rsidRPr="003C1433">
              <w:rPr>
                <w:rFonts w:asciiTheme="minorHAnsi" w:eastAsiaTheme="minorHAnsi" w:hAnsiTheme="minorHAnsi" w:cstheme="minorBidi"/>
                <w:b/>
                <w:color w:val="auto"/>
                <w:lang w:val="en-US" w:eastAsia="en-US"/>
              </w:rPr>
              <w:t>Output 1.7</w:t>
            </w:r>
            <w:r w:rsidRPr="003C1433">
              <w:rPr>
                <w:rFonts w:asciiTheme="minorHAnsi" w:eastAsiaTheme="minorHAnsi" w:hAnsiTheme="minorHAnsi" w:cstheme="minorBidi"/>
                <w:color w:val="auto"/>
                <w:lang w:val="en-US" w:eastAsia="en-US"/>
              </w:rPr>
              <w:t xml:space="preserve"> Partnerships strategy implemented with a view to extending the scale and scope</w:t>
            </w:r>
            <w:r w:rsidRPr="003C1433">
              <w:rPr>
                <w:rFonts w:asciiTheme="minorHAnsi" w:eastAsiaTheme="minorHAnsi" w:hAnsiTheme="minorHAnsi" w:cstheme="minorBidi"/>
                <w:i/>
                <w:color w:val="auto"/>
                <w:lang w:val="en-US" w:eastAsia="en-US"/>
              </w:rPr>
              <w:t xml:space="preserve"> </w:t>
            </w:r>
            <w:r w:rsidRPr="003C1433">
              <w:rPr>
                <w:rFonts w:asciiTheme="minorHAnsi" w:eastAsiaTheme="minorHAnsi" w:hAnsiTheme="minorHAnsi" w:cstheme="minorBidi"/>
                <w:color w:val="auto"/>
                <w:lang w:val="en-US" w:eastAsia="en-US"/>
              </w:rPr>
              <w:t>of UNCDF’s work</w:t>
            </w:r>
          </w:p>
        </w:tc>
        <w:tc>
          <w:tcPr>
            <w:tcW w:w="6750" w:type="dxa"/>
            <w:tcBorders>
              <w:bottom w:val="single" w:sz="4" w:space="0" w:color="auto"/>
            </w:tcBorders>
            <w:shd w:val="clear" w:color="auto" w:fill="auto"/>
          </w:tcPr>
          <w:p w14:paraId="208A9FB8" w14:textId="77777777" w:rsidR="007E0447" w:rsidRPr="003C1433" w:rsidRDefault="007E0447" w:rsidP="007D7A2E">
            <w:pPr>
              <w:spacing w:after="200" w:line="276" w:lineRule="auto"/>
              <w:rPr>
                <w:rFonts w:asciiTheme="minorHAnsi" w:eastAsiaTheme="minorHAnsi" w:hAnsiTheme="minorHAnsi" w:cstheme="minorBidi"/>
                <w:color w:val="auto"/>
                <w:lang w:val="en-US" w:eastAsia="en-US"/>
              </w:rPr>
            </w:pPr>
            <w:r w:rsidRPr="003C1433">
              <w:rPr>
                <w:rFonts w:asciiTheme="minorHAnsi" w:eastAsiaTheme="minorHAnsi" w:hAnsiTheme="minorHAnsi" w:cstheme="minorBidi"/>
                <w:color w:val="auto"/>
                <w:lang w:val="en-US" w:eastAsia="en-US"/>
              </w:rPr>
              <w:t xml:space="preserve">1.7.1 Number of strategic partnerships effectively managed – and new ones developed – leading to contributions to UNCDF </w:t>
            </w:r>
            <w:r w:rsidRPr="003C1433">
              <w:rPr>
                <w:rFonts w:asciiTheme="minorHAnsi" w:eastAsiaTheme="minorHAnsi" w:hAnsiTheme="minorHAnsi" w:cstheme="minorBidi"/>
                <w:i/>
                <w:color w:val="auto"/>
                <w:lang w:val="en-US" w:eastAsia="en-US"/>
              </w:rPr>
              <w:t>core resources</w:t>
            </w:r>
          </w:p>
        </w:tc>
        <w:tc>
          <w:tcPr>
            <w:tcW w:w="1800" w:type="dxa"/>
            <w:tcBorders>
              <w:bottom w:val="single" w:sz="4" w:space="0" w:color="auto"/>
            </w:tcBorders>
            <w:shd w:val="clear" w:color="auto" w:fill="FFFFFF" w:themeFill="background1"/>
          </w:tcPr>
          <w:p w14:paraId="011E18C2" w14:textId="77777777" w:rsidR="007E0447" w:rsidRPr="003C1433" w:rsidRDefault="007E0447" w:rsidP="007D7A2E">
            <w:pPr>
              <w:spacing w:after="200" w:line="276" w:lineRule="auto"/>
              <w:rPr>
                <w:rFonts w:asciiTheme="minorHAnsi" w:eastAsiaTheme="minorHAnsi" w:hAnsiTheme="minorHAnsi" w:cstheme="minorBidi"/>
                <w:color w:val="auto"/>
                <w:lang w:eastAsia="en-US"/>
              </w:rPr>
            </w:pPr>
            <w:r w:rsidRPr="003C1433">
              <w:rPr>
                <w:rFonts w:asciiTheme="minorHAnsi" w:eastAsiaTheme="minorHAnsi" w:hAnsiTheme="minorHAnsi" w:cstheme="minorBidi"/>
                <w:color w:val="auto"/>
                <w:lang w:eastAsia="en-US"/>
              </w:rPr>
              <w:t>12</w:t>
            </w:r>
          </w:p>
        </w:tc>
        <w:tc>
          <w:tcPr>
            <w:tcW w:w="1620" w:type="dxa"/>
            <w:tcBorders>
              <w:bottom w:val="single" w:sz="4" w:space="0" w:color="auto"/>
            </w:tcBorders>
          </w:tcPr>
          <w:p w14:paraId="7AA885D1" w14:textId="6F84A621" w:rsidR="007E0447" w:rsidRPr="00AA6049" w:rsidRDefault="007E0447" w:rsidP="007D7A2E">
            <w:pPr>
              <w:rPr>
                <w:rFonts w:asciiTheme="minorHAnsi" w:eastAsiaTheme="minorHAnsi" w:hAnsiTheme="minorHAnsi" w:cstheme="minorBidi"/>
                <w:color w:val="365F91" w:themeColor="accent1" w:themeShade="BF"/>
                <w:lang w:val="en-US" w:eastAsia="en-US"/>
              </w:rPr>
            </w:pPr>
            <w:r w:rsidRPr="00AA6049">
              <w:rPr>
                <w:rFonts w:asciiTheme="minorHAnsi" w:eastAsiaTheme="minorHAnsi" w:hAnsiTheme="minorHAnsi" w:cstheme="minorBidi"/>
                <w:color w:val="365F91" w:themeColor="accent1" w:themeShade="BF"/>
                <w:lang w:val="en-US" w:eastAsia="en-US"/>
              </w:rPr>
              <w:t>15</w:t>
            </w:r>
            <w:r w:rsidR="002533E6">
              <w:rPr>
                <w:rStyle w:val="FootnoteReference"/>
                <w:rFonts w:asciiTheme="minorHAnsi" w:eastAsiaTheme="minorHAnsi" w:hAnsiTheme="minorHAnsi" w:cstheme="minorBidi"/>
                <w:color w:val="365F91" w:themeColor="accent1" w:themeShade="BF"/>
                <w:lang w:val="en-US" w:eastAsia="en-US"/>
              </w:rPr>
              <w:footnoteReference w:id="30"/>
            </w:r>
          </w:p>
        </w:tc>
        <w:tc>
          <w:tcPr>
            <w:tcW w:w="1800" w:type="dxa"/>
            <w:tcBorders>
              <w:bottom w:val="single" w:sz="4" w:space="0" w:color="auto"/>
            </w:tcBorders>
            <w:shd w:val="clear" w:color="auto" w:fill="auto"/>
          </w:tcPr>
          <w:p w14:paraId="2E229DBC" w14:textId="77777777" w:rsidR="007E0447" w:rsidRPr="003C1433" w:rsidRDefault="007E0447" w:rsidP="007D7A2E">
            <w:pPr>
              <w:spacing w:after="200" w:line="276" w:lineRule="auto"/>
              <w:rPr>
                <w:rFonts w:asciiTheme="minorHAnsi" w:eastAsiaTheme="minorHAnsi" w:hAnsiTheme="minorHAnsi" w:cstheme="minorBidi"/>
                <w:color w:val="auto"/>
                <w:lang w:val="en-US" w:eastAsia="en-US"/>
              </w:rPr>
            </w:pPr>
            <w:r w:rsidRPr="003C1433">
              <w:rPr>
                <w:rFonts w:asciiTheme="minorHAnsi" w:eastAsiaTheme="minorHAnsi" w:hAnsiTheme="minorHAnsi" w:cstheme="minorBidi"/>
                <w:color w:val="auto"/>
                <w:lang w:val="en-US" w:eastAsia="en-US"/>
              </w:rPr>
              <w:t>18</w:t>
            </w:r>
          </w:p>
        </w:tc>
      </w:tr>
      <w:tr w:rsidR="007E0447" w:rsidRPr="00C75689" w14:paraId="14FB0319" w14:textId="77777777" w:rsidTr="007D7A2E">
        <w:trPr>
          <w:trHeight w:val="566"/>
        </w:trPr>
        <w:tc>
          <w:tcPr>
            <w:tcW w:w="2790" w:type="dxa"/>
            <w:tcBorders>
              <w:top w:val="nil"/>
              <w:bottom w:val="nil"/>
            </w:tcBorders>
          </w:tcPr>
          <w:p w14:paraId="7A04C29C" w14:textId="77777777" w:rsidR="007E0447" w:rsidRPr="003C1433" w:rsidRDefault="007E0447" w:rsidP="007D7A2E">
            <w:pPr>
              <w:rPr>
                <w:rFonts w:asciiTheme="minorHAnsi" w:eastAsiaTheme="minorHAnsi" w:hAnsiTheme="minorHAnsi" w:cstheme="minorBidi"/>
                <w:b/>
                <w:color w:val="auto"/>
                <w:lang w:val="en-US" w:eastAsia="en-US"/>
              </w:rPr>
            </w:pPr>
          </w:p>
        </w:tc>
        <w:tc>
          <w:tcPr>
            <w:tcW w:w="6750" w:type="dxa"/>
            <w:tcBorders>
              <w:bottom w:val="single" w:sz="4" w:space="0" w:color="auto"/>
            </w:tcBorders>
            <w:shd w:val="clear" w:color="auto" w:fill="auto"/>
          </w:tcPr>
          <w:p w14:paraId="23AAC1B4" w14:textId="77777777" w:rsidR="007E0447" w:rsidRPr="003C1433" w:rsidRDefault="007E0447" w:rsidP="007D7A2E">
            <w:pPr>
              <w:rPr>
                <w:rFonts w:asciiTheme="minorHAnsi" w:eastAsiaTheme="minorHAnsi" w:hAnsiTheme="minorHAnsi" w:cstheme="minorBidi"/>
                <w:color w:val="auto"/>
                <w:lang w:val="en-US" w:eastAsia="en-US"/>
              </w:rPr>
            </w:pPr>
            <w:r w:rsidRPr="003C1433">
              <w:rPr>
                <w:rFonts w:asciiTheme="minorHAnsi" w:eastAsiaTheme="minorHAnsi" w:hAnsiTheme="minorHAnsi" w:cstheme="minorBidi"/>
                <w:color w:val="auto"/>
                <w:lang w:val="en-US" w:eastAsia="en-US"/>
              </w:rPr>
              <w:t xml:space="preserve">1.7.2 Number of strategic partnerships effectively managed – and new ones developed – leading to contributions to UNCDF </w:t>
            </w:r>
            <w:r w:rsidRPr="003C1433">
              <w:rPr>
                <w:rFonts w:asciiTheme="minorHAnsi" w:eastAsiaTheme="minorHAnsi" w:hAnsiTheme="minorHAnsi" w:cstheme="minorBidi"/>
                <w:i/>
                <w:color w:val="auto"/>
                <w:lang w:val="en-US" w:eastAsia="en-US"/>
              </w:rPr>
              <w:t>non-core resources</w:t>
            </w:r>
          </w:p>
        </w:tc>
        <w:tc>
          <w:tcPr>
            <w:tcW w:w="1800" w:type="dxa"/>
            <w:tcBorders>
              <w:bottom w:val="single" w:sz="4" w:space="0" w:color="auto"/>
            </w:tcBorders>
            <w:shd w:val="clear" w:color="auto" w:fill="FFFFFF" w:themeFill="background1"/>
          </w:tcPr>
          <w:p w14:paraId="68D5CC1D" w14:textId="77777777" w:rsidR="007E0447" w:rsidRPr="003C1433" w:rsidRDefault="007E0447" w:rsidP="007D7A2E">
            <w:pPr>
              <w:rPr>
                <w:rFonts w:asciiTheme="minorHAnsi" w:eastAsiaTheme="minorHAnsi" w:hAnsiTheme="minorHAnsi" w:cstheme="minorBidi"/>
                <w:color w:val="auto"/>
                <w:lang w:eastAsia="en-US"/>
              </w:rPr>
            </w:pPr>
            <w:r w:rsidRPr="003C1433">
              <w:rPr>
                <w:rFonts w:asciiTheme="minorHAnsi" w:eastAsiaTheme="minorHAnsi" w:hAnsiTheme="minorHAnsi" w:cstheme="minorBidi"/>
                <w:color w:val="auto"/>
                <w:lang w:eastAsia="en-US"/>
              </w:rPr>
              <w:t>25</w:t>
            </w:r>
          </w:p>
        </w:tc>
        <w:tc>
          <w:tcPr>
            <w:tcW w:w="1620" w:type="dxa"/>
            <w:tcBorders>
              <w:bottom w:val="single" w:sz="4" w:space="0" w:color="auto"/>
            </w:tcBorders>
          </w:tcPr>
          <w:p w14:paraId="6D045770" w14:textId="3229D014" w:rsidR="007E0447" w:rsidRPr="00AA6049" w:rsidRDefault="007E0447" w:rsidP="007D7A2E">
            <w:pPr>
              <w:rPr>
                <w:rFonts w:asciiTheme="minorHAnsi" w:eastAsiaTheme="minorHAnsi" w:hAnsiTheme="minorHAnsi" w:cstheme="minorBidi"/>
                <w:color w:val="365F91" w:themeColor="accent1" w:themeShade="BF"/>
                <w:lang w:val="en-US" w:eastAsia="en-US"/>
              </w:rPr>
            </w:pPr>
            <w:r w:rsidRPr="00AA6049">
              <w:rPr>
                <w:rFonts w:asciiTheme="minorHAnsi" w:eastAsiaTheme="minorHAnsi" w:hAnsiTheme="minorHAnsi" w:cstheme="minorBidi"/>
                <w:color w:val="365F91" w:themeColor="accent1" w:themeShade="BF"/>
                <w:lang w:val="en-US" w:eastAsia="en-US"/>
              </w:rPr>
              <w:t>31</w:t>
            </w:r>
            <w:r w:rsidR="002533E6">
              <w:rPr>
                <w:rStyle w:val="FootnoteReference"/>
                <w:rFonts w:asciiTheme="minorHAnsi" w:eastAsiaTheme="minorHAnsi" w:hAnsiTheme="minorHAnsi" w:cstheme="minorBidi"/>
                <w:color w:val="365F91" w:themeColor="accent1" w:themeShade="BF"/>
                <w:lang w:val="en-US" w:eastAsia="en-US"/>
              </w:rPr>
              <w:footnoteReference w:id="31"/>
            </w:r>
          </w:p>
        </w:tc>
        <w:tc>
          <w:tcPr>
            <w:tcW w:w="1800" w:type="dxa"/>
            <w:tcBorders>
              <w:bottom w:val="single" w:sz="4" w:space="0" w:color="auto"/>
            </w:tcBorders>
            <w:shd w:val="clear" w:color="auto" w:fill="auto"/>
          </w:tcPr>
          <w:p w14:paraId="5A9B5AE6" w14:textId="77777777" w:rsidR="007E0447" w:rsidRPr="003C1433" w:rsidRDefault="007E0447" w:rsidP="007D7A2E">
            <w:pPr>
              <w:rPr>
                <w:rFonts w:asciiTheme="minorHAnsi" w:eastAsiaTheme="minorHAnsi" w:hAnsiTheme="minorHAnsi" w:cstheme="minorBidi"/>
                <w:color w:val="auto"/>
                <w:lang w:val="en-US" w:eastAsia="en-US"/>
              </w:rPr>
            </w:pPr>
            <w:r w:rsidRPr="003C1433">
              <w:rPr>
                <w:rFonts w:asciiTheme="minorHAnsi" w:eastAsiaTheme="minorHAnsi" w:hAnsiTheme="minorHAnsi" w:cstheme="minorBidi"/>
                <w:color w:val="auto"/>
                <w:lang w:val="en-US" w:eastAsia="en-US"/>
              </w:rPr>
              <w:t>35</w:t>
            </w:r>
          </w:p>
        </w:tc>
      </w:tr>
      <w:tr w:rsidR="007E0447" w:rsidRPr="00C75689" w14:paraId="4275C35E" w14:textId="77777777" w:rsidTr="007D7A2E">
        <w:trPr>
          <w:trHeight w:val="962"/>
        </w:trPr>
        <w:tc>
          <w:tcPr>
            <w:tcW w:w="2790" w:type="dxa"/>
            <w:tcBorders>
              <w:top w:val="nil"/>
              <w:bottom w:val="single" w:sz="4" w:space="0" w:color="auto"/>
            </w:tcBorders>
          </w:tcPr>
          <w:p w14:paraId="7CB28BE1" w14:textId="77777777" w:rsidR="007E0447" w:rsidRPr="003C1433" w:rsidRDefault="007E0447" w:rsidP="007D7A2E">
            <w:pPr>
              <w:spacing w:after="200" w:line="276" w:lineRule="auto"/>
              <w:rPr>
                <w:rFonts w:asciiTheme="minorHAnsi" w:eastAsiaTheme="minorHAnsi" w:hAnsiTheme="minorHAnsi" w:cstheme="minorBidi"/>
                <w:b/>
                <w:color w:val="auto"/>
                <w:lang w:val="en-US" w:eastAsia="en-US"/>
              </w:rPr>
            </w:pPr>
          </w:p>
        </w:tc>
        <w:tc>
          <w:tcPr>
            <w:tcW w:w="6750" w:type="dxa"/>
            <w:tcBorders>
              <w:top w:val="single" w:sz="4" w:space="0" w:color="auto"/>
              <w:bottom w:val="single" w:sz="4" w:space="0" w:color="auto"/>
            </w:tcBorders>
            <w:shd w:val="clear" w:color="auto" w:fill="auto"/>
          </w:tcPr>
          <w:p w14:paraId="68AD209C" w14:textId="77777777" w:rsidR="007E0447" w:rsidRPr="003C1433" w:rsidRDefault="007E0447" w:rsidP="007D7A2E">
            <w:pPr>
              <w:spacing w:after="200" w:line="276" w:lineRule="auto"/>
              <w:rPr>
                <w:rFonts w:asciiTheme="minorHAnsi" w:eastAsiaTheme="minorHAnsi" w:hAnsiTheme="minorHAnsi" w:cstheme="minorBidi"/>
                <w:color w:val="auto"/>
                <w:lang w:val="en-US" w:eastAsia="en-US"/>
              </w:rPr>
            </w:pPr>
            <w:r w:rsidRPr="003C1433">
              <w:rPr>
                <w:rFonts w:asciiTheme="minorHAnsi" w:eastAsiaTheme="minorHAnsi" w:hAnsiTheme="minorHAnsi" w:cstheme="minorBidi"/>
                <w:color w:val="auto"/>
                <w:lang w:val="en-US" w:eastAsia="en-US"/>
              </w:rPr>
              <w:t>1.7.3 Number of UNCDF Stakeholder Consultations (informal Executive Board sessions) arranged per year</w:t>
            </w:r>
          </w:p>
          <w:p w14:paraId="54C8F3D6" w14:textId="77777777" w:rsidR="007E0447" w:rsidRPr="003C1433" w:rsidRDefault="007E0447" w:rsidP="007D7A2E">
            <w:pPr>
              <w:spacing w:after="200" w:line="276" w:lineRule="auto"/>
              <w:rPr>
                <w:rFonts w:asciiTheme="minorHAnsi" w:eastAsiaTheme="minorHAnsi" w:hAnsiTheme="minorHAnsi" w:cstheme="minorBidi"/>
                <w:color w:val="auto"/>
                <w:lang w:val="en-US" w:eastAsia="en-US"/>
              </w:rPr>
            </w:pPr>
          </w:p>
        </w:tc>
        <w:tc>
          <w:tcPr>
            <w:tcW w:w="1800" w:type="dxa"/>
            <w:tcBorders>
              <w:top w:val="single" w:sz="4" w:space="0" w:color="auto"/>
              <w:bottom w:val="single" w:sz="4" w:space="0" w:color="auto"/>
            </w:tcBorders>
            <w:shd w:val="clear" w:color="auto" w:fill="FFFFFF" w:themeFill="background1"/>
          </w:tcPr>
          <w:p w14:paraId="3C3F398D" w14:textId="77777777" w:rsidR="007E0447" w:rsidRPr="003C1433" w:rsidRDefault="007E0447" w:rsidP="007D7A2E">
            <w:pPr>
              <w:spacing w:after="200" w:line="276" w:lineRule="auto"/>
              <w:rPr>
                <w:rFonts w:asciiTheme="minorHAnsi" w:eastAsiaTheme="minorHAnsi" w:hAnsiTheme="minorHAnsi" w:cstheme="minorBidi"/>
                <w:color w:val="auto"/>
                <w:lang w:eastAsia="en-US"/>
              </w:rPr>
            </w:pPr>
            <w:r w:rsidRPr="003C1433">
              <w:rPr>
                <w:rFonts w:asciiTheme="minorHAnsi" w:eastAsiaTheme="minorHAnsi" w:hAnsiTheme="minorHAnsi" w:cstheme="minorBidi"/>
                <w:color w:val="auto"/>
                <w:lang w:eastAsia="en-US"/>
              </w:rPr>
              <w:t>2</w:t>
            </w:r>
          </w:p>
        </w:tc>
        <w:tc>
          <w:tcPr>
            <w:tcW w:w="1620" w:type="dxa"/>
            <w:tcBorders>
              <w:top w:val="single" w:sz="4" w:space="0" w:color="auto"/>
              <w:bottom w:val="single" w:sz="4" w:space="0" w:color="auto"/>
            </w:tcBorders>
          </w:tcPr>
          <w:p w14:paraId="608FA3C6" w14:textId="77777777" w:rsidR="007E0447" w:rsidRPr="00AA6049" w:rsidRDefault="007E0447" w:rsidP="007D7A2E">
            <w:pPr>
              <w:rPr>
                <w:rFonts w:asciiTheme="minorHAnsi" w:eastAsiaTheme="minorHAnsi" w:hAnsiTheme="minorHAnsi" w:cstheme="minorBidi"/>
                <w:color w:val="365F91" w:themeColor="accent1" w:themeShade="BF"/>
                <w:lang w:val="en-US" w:eastAsia="en-US"/>
              </w:rPr>
            </w:pPr>
            <w:r w:rsidRPr="00AA6049">
              <w:rPr>
                <w:rFonts w:asciiTheme="minorHAnsi" w:eastAsiaTheme="minorHAnsi" w:hAnsiTheme="minorHAnsi" w:cstheme="minorBidi"/>
                <w:color w:val="365F91" w:themeColor="accent1" w:themeShade="BF"/>
                <w:lang w:val="en-US" w:eastAsia="en-US"/>
              </w:rPr>
              <w:t>1</w:t>
            </w:r>
          </w:p>
        </w:tc>
        <w:tc>
          <w:tcPr>
            <w:tcW w:w="1800" w:type="dxa"/>
            <w:tcBorders>
              <w:top w:val="single" w:sz="4" w:space="0" w:color="auto"/>
              <w:bottom w:val="single" w:sz="4" w:space="0" w:color="auto"/>
            </w:tcBorders>
            <w:shd w:val="clear" w:color="auto" w:fill="auto"/>
          </w:tcPr>
          <w:p w14:paraId="018ABCB3" w14:textId="77777777" w:rsidR="007E0447" w:rsidRPr="003C1433" w:rsidRDefault="007E0447" w:rsidP="007D7A2E">
            <w:pPr>
              <w:spacing w:after="200" w:line="276" w:lineRule="auto"/>
              <w:rPr>
                <w:rFonts w:asciiTheme="minorHAnsi" w:eastAsiaTheme="minorHAnsi" w:hAnsiTheme="minorHAnsi" w:cstheme="minorBidi"/>
                <w:color w:val="auto"/>
                <w:lang w:val="en-US" w:eastAsia="en-US"/>
              </w:rPr>
            </w:pPr>
            <w:r w:rsidRPr="003C1433">
              <w:rPr>
                <w:rFonts w:asciiTheme="minorHAnsi" w:eastAsiaTheme="minorHAnsi" w:hAnsiTheme="minorHAnsi" w:cstheme="minorBidi"/>
                <w:color w:val="auto"/>
                <w:lang w:val="en-US" w:eastAsia="en-US"/>
              </w:rPr>
              <w:t>2</w:t>
            </w:r>
          </w:p>
        </w:tc>
      </w:tr>
    </w:tbl>
    <w:p w14:paraId="3AD4CAA9" w14:textId="77777777" w:rsidR="007E0447" w:rsidRPr="00C75689" w:rsidRDefault="007E0447" w:rsidP="007E0447">
      <w:pPr>
        <w:rPr>
          <w:rFonts w:asciiTheme="minorHAnsi" w:eastAsiaTheme="minorHAnsi" w:hAnsiTheme="minorHAnsi" w:cstheme="minorBidi"/>
          <w:b/>
          <w:color w:val="auto"/>
          <w:lang w:val="en-US" w:eastAsia="en-US"/>
        </w:rPr>
      </w:pPr>
    </w:p>
    <w:p w14:paraId="106F8EB6" w14:textId="77777777" w:rsidR="007E0447" w:rsidRPr="00C75689" w:rsidRDefault="007E0447" w:rsidP="007E0447">
      <w:pPr>
        <w:rPr>
          <w:rFonts w:asciiTheme="minorHAnsi" w:eastAsiaTheme="minorHAnsi" w:hAnsiTheme="minorHAnsi" w:cstheme="minorBidi"/>
          <w:color w:val="auto"/>
          <w:lang w:val="en-US" w:eastAsia="en-US"/>
        </w:rPr>
      </w:pPr>
    </w:p>
    <w:p w14:paraId="22C2A360" w14:textId="77777777" w:rsidR="007E0447" w:rsidRPr="00674F72" w:rsidRDefault="007E0447" w:rsidP="007E0447">
      <w:pPr>
        <w:rPr>
          <w:rFonts w:asciiTheme="minorHAnsi" w:eastAsiaTheme="majorEastAsia" w:hAnsiTheme="minorHAnsi" w:cstheme="majorBidi"/>
          <w:sz w:val="24"/>
          <w:szCs w:val="24"/>
          <w:lang w:val="en-US" w:eastAsia="en-US"/>
        </w:rPr>
      </w:pPr>
    </w:p>
    <w:p w14:paraId="200269C0" w14:textId="77777777" w:rsidR="00C75689" w:rsidRPr="00C75689" w:rsidRDefault="00C75689" w:rsidP="00C75689">
      <w:pPr>
        <w:rPr>
          <w:rFonts w:asciiTheme="minorHAnsi" w:eastAsiaTheme="minorHAnsi" w:hAnsiTheme="minorHAnsi" w:cstheme="minorBidi"/>
          <w:b/>
          <w:color w:val="auto"/>
          <w:lang w:val="en-US" w:eastAsia="en-US"/>
        </w:rPr>
      </w:pPr>
    </w:p>
    <w:p w14:paraId="179FB65B" w14:textId="77777777" w:rsidR="00C75689" w:rsidRPr="00C75689" w:rsidRDefault="00C75689" w:rsidP="00C75689">
      <w:pPr>
        <w:rPr>
          <w:rFonts w:asciiTheme="minorHAnsi" w:eastAsiaTheme="minorHAnsi" w:hAnsiTheme="minorHAnsi" w:cstheme="minorBidi"/>
          <w:color w:val="auto"/>
          <w:lang w:val="en-US" w:eastAsia="en-US"/>
        </w:rPr>
      </w:pPr>
    </w:p>
    <w:p w14:paraId="65237F19" w14:textId="77777777" w:rsidR="000B7E8C" w:rsidRPr="00674F72" w:rsidRDefault="000B7E8C" w:rsidP="00674F72">
      <w:pPr>
        <w:rPr>
          <w:rFonts w:asciiTheme="minorHAnsi" w:eastAsiaTheme="majorEastAsia" w:hAnsiTheme="minorHAnsi" w:cstheme="majorBidi"/>
          <w:sz w:val="24"/>
          <w:szCs w:val="24"/>
          <w:lang w:val="en-US" w:eastAsia="en-US"/>
        </w:rPr>
      </w:pPr>
    </w:p>
    <w:sectPr w:rsidR="000B7E8C" w:rsidRPr="00674F72" w:rsidSect="00404170">
      <w:headerReference w:type="default" r:id="rId24"/>
      <w:pgSz w:w="16839" w:h="11907" w:orient="landscape" w:code="9"/>
      <w:pgMar w:top="1152" w:right="1440" w:bottom="630" w:left="1440" w:header="720" w:footer="8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4B97C" w14:textId="77777777" w:rsidR="00841882" w:rsidRDefault="00841882" w:rsidP="00FC048C">
      <w:pPr>
        <w:spacing w:after="0" w:line="240" w:lineRule="auto"/>
      </w:pPr>
      <w:r>
        <w:separator/>
      </w:r>
    </w:p>
  </w:endnote>
  <w:endnote w:type="continuationSeparator" w:id="0">
    <w:p w14:paraId="3C506AAF" w14:textId="77777777" w:rsidR="00841882" w:rsidRDefault="00841882" w:rsidP="00FC048C">
      <w:pPr>
        <w:spacing w:after="0" w:line="240" w:lineRule="auto"/>
      </w:pPr>
      <w:r>
        <w:continuationSeparator/>
      </w:r>
    </w:p>
  </w:endnote>
  <w:endnote w:type="continuationNotice" w:id="1">
    <w:p w14:paraId="14B0F33E" w14:textId="77777777" w:rsidR="00841882" w:rsidRDefault="00841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ont48">
    <w:altName w:val="MS Mincho"/>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Bold Italic">
    <w:panose1 w:val="020F07020304040A0204"/>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43634"/>
      <w:docPartObj>
        <w:docPartGallery w:val="Page Numbers (Bottom of Page)"/>
        <w:docPartUnique/>
      </w:docPartObj>
    </w:sdtPr>
    <w:sdtEndPr>
      <w:rPr>
        <w:rFonts w:asciiTheme="minorHAnsi" w:hAnsiTheme="minorHAnsi"/>
        <w:noProof/>
      </w:rPr>
    </w:sdtEndPr>
    <w:sdtContent>
      <w:p w14:paraId="2BDF0F49" w14:textId="77777777" w:rsidR="006D10E0" w:rsidRPr="0037110D" w:rsidRDefault="006D10E0" w:rsidP="00CB7AB7">
        <w:pPr>
          <w:pStyle w:val="Footer"/>
          <w:tabs>
            <w:tab w:val="left" w:pos="8467"/>
            <w:tab w:val="right" w:pos="9171"/>
          </w:tabs>
          <w:rPr>
            <w:rFonts w:asciiTheme="minorHAnsi" w:hAnsiTheme="minorHAnsi"/>
          </w:rPr>
        </w:pPr>
        <w:r>
          <w:tab/>
        </w:r>
        <w:r>
          <w:tab/>
        </w:r>
        <w:r>
          <w:tab/>
        </w:r>
        <w:r w:rsidRPr="0037110D">
          <w:rPr>
            <w:rFonts w:asciiTheme="minorHAnsi" w:hAnsiTheme="minorHAnsi"/>
          </w:rPr>
          <w:fldChar w:fldCharType="begin"/>
        </w:r>
        <w:r w:rsidRPr="0037110D">
          <w:rPr>
            <w:rFonts w:asciiTheme="minorHAnsi" w:hAnsiTheme="minorHAnsi"/>
          </w:rPr>
          <w:instrText xml:space="preserve"> PAGE   \* MERGEFORMAT </w:instrText>
        </w:r>
        <w:r w:rsidRPr="0037110D">
          <w:rPr>
            <w:rFonts w:asciiTheme="minorHAnsi" w:hAnsiTheme="minorHAnsi"/>
          </w:rPr>
          <w:fldChar w:fldCharType="separate"/>
        </w:r>
        <w:r w:rsidR="00D955BD">
          <w:rPr>
            <w:rFonts w:asciiTheme="minorHAnsi" w:hAnsiTheme="minorHAnsi"/>
            <w:noProof/>
          </w:rPr>
          <w:t>21</w:t>
        </w:r>
        <w:r w:rsidRPr="0037110D">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6B24D" w14:textId="77777777" w:rsidR="00841882" w:rsidRDefault="00841882" w:rsidP="00FC048C">
      <w:pPr>
        <w:spacing w:after="0" w:line="240" w:lineRule="auto"/>
      </w:pPr>
      <w:r>
        <w:separator/>
      </w:r>
    </w:p>
  </w:footnote>
  <w:footnote w:type="continuationSeparator" w:id="0">
    <w:p w14:paraId="6BF1A18A" w14:textId="77777777" w:rsidR="00841882" w:rsidRDefault="00841882" w:rsidP="00FC048C">
      <w:pPr>
        <w:spacing w:after="0" w:line="240" w:lineRule="auto"/>
      </w:pPr>
      <w:r>
        <w:continuationSeparator/>
      </w:r>
    </w:p>
  </w:footnote>
  <w:footnote w:type="continuationNotice" w:id="1">
    <w:p w14:paraId="3899212E" w14:textId="77777777" w:rsidR="00841882" w:rsidRDefault="00841882">
      <w:pPr>
        <w:spacing w:after="0" w:line="240" w:lineRule="auto"/>
      </w:pPr>
    </w:p>
  </w:footnote>
  <w:footnote w:id="2">
    <w:p w14:paraId="196AA6DA" w14:textId="4AD60B7D" w:rsidR="006D10E0" w:rsidRPr="009838A9" w:rsidRDefault="006D10E0" w:rsidP="009838A9">
      <w:pPr>
        <w:spacing w:after="180"/>
        <w:rPr>
          <w:rFonts w:asciiTheme="minorHAnsi" w:eastAsiaTheme="minorHAnsi" w:hAnsiTheme="minorHAnsi" w:cstheme="minorBidi"/>
          <w:sz w:val="18"/>
          <w:szCs w:val="18"/>
        </w:rPr>
      </w:pPr>
      <w:r w:rsidRPr="009838A9">
        <w:rPr>
          <w:rStyle w:val="FootnoteReference"/>
          <w:sz w:val="18"/>
          <w:szCs w:val="18"/>
        </w:rPr>
        <w:footnoteRef/>
      </w:r>
      <w:r w:rsidRPr="009838A9">
        <w:rPr>
          <w:sz w:val="18"/>
          <w:szCs w:val="18"/>
        </w:rPr>
        <w:t xml:space="preserve"> For UNCDF’s definition of Local Development, see Local Development Finance business plan 2014 -2017 at </w:t>
      </w:r>
      <w:hyperlink r:id="rId1" w:history="1">
        <w:r w:rsidRPr="009838A9">
          <w:rPr>
            <w:rStyle w:val="Hyperlink"/>
            <w:color w:val="auto"/>
            <w:sz w:val="18"/>
            <w:szCs w:val="18"/>
          </w:rPr>
          <w:t>www.uncdf.org</w:t>
        </w:r>
      </w:hyperlink>
      <w:r w:rsidRPr="009838A9">
        <w:rPr>
          <w:sz w:val="18"/>
          <w:szCs w:val="18"/>
        </w:rPr>
        <w:t xml:space="preserve"> . The outcome indicators are: a) </w:t>
      </w:r>
      <w:r w:rsidRPr="009838A9">
        <w:rPr>
          <w:rFonts w:asciiTheme="minorHAnsi" w:eastAsiaTheme="minorHAnsi" w:hAnsiTheme="minorHAnsi" w:cstheme="minorBidi"/>
          <w:color w:val="auto"/>
          <w:sz w:val="18"/>
          <w:szCs w:val="18"/>
          <w:lang w:eastAsia="en-US"/>
        </w:rPr>
        <w:t>Net increase in local fiscal space</w:t>
      </w:r>
      <w:r w:rsidRPr="009838A9">
        <w:rPr>
          <w:rFonts w:asciiTheme="minorHAnsi" w:eastAsiaTheme="minorHAnsi" w:hAnsiTheme="minorHAnsi" w:cstheme="minorBidi"/>
          <w:color w:val="auto"/>
          <w:sz w:val="18"/>
          <w:szCs w:val="18"/>
          <w:vertAlign w:val="superscript"/>
          <w:lang w:eastAsia="en-US"/>
        </w:rPr>
        <w:footnoteRef/>
      </w:r>
      <w:r w:rsidRPr="009838A9">
        <w:rPr>
          <w:rFonts w:asciiTheme="minorHAnsi" w:eastAsiaTheme="minorHAnsi" w:hAnsiTheme="minorHAnsi" w:cstheme="minorBidi"/>
          <w:color w:val="auto"/>
          <w:sz w:val="18"/>
          <w:szCs w:val="18"/>
          <w:lang w:eastAsia="en-US"/>
        </w:rPr>
        <w:t xml:space="preserve"> available for local development in sub-national territorial jurisdictions supported by </w:t>
      </w:r>
      <w:proofErr w:type="gramStart"/>
      <w:r w:rsidRPr="009838A9">
        <w:rPr>
          <w:rFonts w:asciiTheme="minorHAnsi" w:eastAsiaTheme="minorHAnsi" w:hAnsiTheme="minorHAnsi" w:cstheme="minorBidi"/>
          <w:color w:val="auto"/>
          <w:sz w:val="18"/>
          <w:szCs w:val="18"/>
          <w:lang w:eastAsia="en-US"/>
        </w:rPr>
        <w:t>UNCDF</w:t>
      </w:r>
      <w:r w:rsidRPr="009838A9">
        <w:rPr>
          <w:sz w:val="18"/>
          <w:szCs w:val="18"/>
        </w:rPr>
        <w:t xml:space="preserve">  and</w:t>
      </w:r>
      <w:proofErr w:type="gramEnd"/>
      <w:r w:rsidRPr="009838A9">
        <w:rPr>
          <w:sz w:val="18"/>
          <w:szCs w:val="18"/>
        </w:rPr>
        <w:t xml:space="preserve"> b) </w:t>
      </w:r>
      <w:r w:rsidRPr="009838A9">
        <w:rPr>
          <w:rFonts w:asciiTheme="minorHAnsi" w:eastAsiaTheme="minorHAnsi" w:hAnsiTheme="minorHAnsi" w:cstheme="minorBidi"/>
          <w:color w:val="auto"/>
          <w:sz w:val="18"/>
          <w:szCs w:val="18"/>
          <w:lang w:eastAsia="en-US"/>
        </w:rPr>
        <w:t>Gross increase in fixed capital formation</w:t>
      </w:r>
      <w:r w:rsidRPr="009838A9">
        <w:rPr>
          <w:rFonts w:asciiTheme="minorHAnsi" w:eastAsiaTheme="minorHAnsi" w:hAnsiTheme="minorHAnsi" w:cstheme="minorBidi"/>
          <w:color w:val="auto"/>
          <w:sz w:val="18"/>
          <w:szCs w:val="18"/>
          <w:vertAlign w:val="superscript"/>
          <w:lang w:eastAsia="en-US"/>
        </w:rPr>
        <w:footnoteRef/>
      </w:r>
      <w:r w:rsidRPr="009838A9">
        <w:rPr>
          <w:rFonts w:asciiTheme="minorHAnsi" w:eastAsiaTheme="minorHAnsi" w:hAnsiTheme="minorHAnsi" w:cstheme="minorBidi"/>
          <w:color w:val="auto"/>
          <w:sz w:val="18"/>
          <w:szCs w:val="18"/>
          <w:lang w:eastAsia="en-US"/>
        </w:rPr>
        <w:t xml:space="preserve"> comprised of individual projects/investments under $20m  located within sub-national territorial jurisdictions supported by UNCDF</w:t>
      </w:r>
      <w:r>
        <w:rPr>
          <w:rFonts w:asciiTheme="minorHAnsi" w:eastAsiaTheme="minorHAnsi" w:hAnsiTheme="minorHAnsi" w:cstheme="minorBidi"/>
          <w:color w:val="auto"/>
          <w:sz w:val="18"/>
          <w:szCs w:val="18"/>
          <w:lang w:eastAsia="en-US"/>
        </w:rPr>
        <w:t>.</w:t>
      </w:r>
    </w:p>
  </w:footnote>
  <w:footnote w:id="3">
    <w:p w14:paraId="2B8FB930" w14:textId="77777777" w:rsidR="006D10E0" w:rsidRDefault="006D10E0">
      <w:pPr>
        <w:pStyle w:val="FootnoteText"/>
      </w:pPr>
      <w:r>
        <w:rPr>
          <w:rStyle w:val="FootnoteReference"/>
        </w:rPr>
        <w:footnoteRef/>
      </w:r>
      <w:r>
        <w:t xml:space="preserve"> For FIPA, the MIX Market will capture a significant portion, but not all of the performance indicators required.  FIPA </w:t>
      </w:r>
      <w:proofErr w:type="spellStart"/>
      <w:r>
        <w:t>programmes</w:t>
      </w:r>
      <w:proofErr w:type="spellEnd"/>
      <w:r>
        <w:t xml:space="preserve"> may need to construct parallel sets of indicators and reporting frameworks to capture the quantitative and qualitative data that are not standard MIX indicators (e.g. for large commercial banks that are piloting downmarket and the lower segments only represent a small percentage of their total portfolio and may not report on the MIX).  Also, even for FSPs where the majority of their portfolio is ‘microfinance’ and they should be required to report to the MIX so UNCDF can track their overall performance, the MIX Market does not easily capture the portfolio of a specific innovation UNCDF is financing, e.g. CleanStart’s clean energy portfolio).  For Savings Groups (SG), UNCDF requires reporting to SAVIX on standard SG indicators. For more information on the MIX Market, please see: </w:t>
      </w:r>
      <w:hyperlink r:id="rId2" w:history="1">
        <w:r w:rsidRPr="00882044">
          <w:rPr>
            <w:rStyle w:val="Hyperlink"/>
          </w:rPr>
          <w:t>http://www.mixmarket.org/</w:t>
        </w:r>
      </w:hyperlink>
    </w:p>
    <w:p w14:paraId="43C01E8F" w14:textId="77777777" w:rsidR="006D10E0" w:rsidRDefault="006D10E0">
      <w:pPr>
        <w:pStyle w:val="FootnoteText"/>
      </w:pPr>
    </w:p>
  </w:footnote>
  <w:footnote w:id="4">
    <w:p w14:paraId="3C612FA9" w14:textId="77777777" w:rsidR="006D10E0" w:rsidRDefault="006D10E0">
      <w:pPr>
        <w:pStyle w:val="FootnoteText"/>
      </w:pPr>
      <w:r>
        <w:rPr>
          <w:rStyle w:val="FootnoteReference"/>
        </w:rPr>
        <w:footnoteRef/>
      </w:r>
      <w:r>
        <w:t xml:space="preserve"> It should be noted that the targeted development and institutional results that are projected below depend on the </w:t>
      </w:r>
      <w:proofErr w:type="spellStart"/>
      <w:r>
        <w:t>organisation’s</w:t>
      </w:r>
      <w:proofErr w:type="spellEnd"/>
      <w:r>
        <w:t xml:space="preserve"> projected targets for core and non-core resources of $25 million and $75 million being achieved on an annual basis by 2016.</w:t>
      </w:r>
    </w:p>
  </w:footnote>
  <w:footnote w:id="5">
    <w:p w14:paraId="776E4CD2" w14:textId="77777777" w:rsidR="006D10E0" w:rsidRDefault="006D10E0">
      <w:pPr>
        <w:pStyle w:val="FootnoteText"/>
      </w:pPr>
      <w:r>
        <w:rPr>
          <w:rStyle w:val="FootnoteReference"/>
        </w:rPr>
        <w:footnoteRef/>
      </w:r>
      <w:r>
        <w:t xml:space="preserve"> Indicative resources for the four-year planning period are calculated as follows: from a total projected core starting at $16 million in 2014, moving to $20 million in 2015, and culminating in $25 million in 2016 and 2017, applying a targeted ratio of 1:3 core to non –core as set out in Indicators 1.2.1, 1.2.2 and 1.2.3 in the section Institutional Effectiveness yields a total projected envelope of $344 million resources available for development activities and institutional activities. Leaving aside 15% of this for management costs as per Indicator 1.2.6, the remaining amount of 292.4 million is split between the three development outcomes on a 40:40:20 basis. These targets and ratios will be revised if necessary following the end of the mid-term review of the Strategic Framework.</w:t>
      </w:r>
    </w:p>
  </w:footnote>
  <w:footnote w:id="6">
    <w:p w14:paraId="5D85F9BE" w14:textId="77777777" w:rsidR="006D10E0" w:rsidRDefault="006D10E0" w:rsidP="00C75689">
      <w:pPr>
        <w:pStyle w:val="FootnoteText"/>
      </w:pPr>
      <w:r>
        <w:rPr>
          <w:rStyle w:val="FootnoteReference"/>
        </w:rPr>
        <w:footnoteRef/>
      </w:r>
      <w:r>
        <w:t xml:space="preserve"> Financial Service Providers (FSPs) include a range of institutions, including but not limited to:  commercial banks, Non-bank financial institutions (NBFIs), credit unions, NGO-MFIs, Mobile Network Operators (MNOs), money transfer companies, and also service providers that use ‘pay as you go’ financing models to provide their products, e.g. clean energy.</w:t>
      </w:r>
    </w:p>
  </w:footnote>
  <w:footnote w:id="7">
    <w:p w14:paraId="77CAC5C3" w14:textId="77777777" w:rsidR="006D10E0" w:rsidRPr="00386303" w:rsidRDefault="006D10E0" w:rsidP="00C75689">
      <w:pPr>
        <w:spacing w:after="0" w:line="240" w:lineRule="auto"/>
        <w:rPr>
          <w:rFonts w:ascii="Verdana" w:hAnsi="Verdana"/>
          <w:color w:val="505050"/>
          <w:sz w:val="17"/>
          <w:szCs w:val="17"/>
        </w:rPr>
      </w:pPr>
      <w:r w:rsidRPr="00AA56A1">
        <w:rPr>
          <w:rStyle w:val="FootnoteReference"/>
        </w:rPr>
        <w:footnoteRef/>
      </w:r>
      <w:r w:rsidRPr="00AA56A1">
        <w:t xml:space="preserve"> </w:t>
      </w:r>
      <w:r w:rsidRPr="00C75689">
        <w:rPr>
          <w:rFonts w:ascii="Calibri" w:eastAsia="Calibri" w:hAnsi="Calibri" w:cs="Times New Roman"/>
          <w:color w:val="auto"/>
          <w:sz w:val="20"/>
          <w:szCs w:val="20"/>
          <w:lang w:val="en-US" w:eastAsia="en-US"/>
        </w:rPr>
        <w:t xml:space="preserve">Fiscal space is defined as “the sum of financial resources available for improved delivery of basic social and economic services at the local level as a result of the budget and related decisions by governments at all levels without any prejudice to the sustainability of a </w:t>
      </w:r>
      <w:proofErr w:type="gramStart"/>
      <w:r w:rsidRPr="00C75689">
        <w:rPr>
          <w:rFonts w:ascii="Calibri" w:eastAsia="Calibri" w:hAnsi="Calibri" w:cs="Times New Roman"/>
          <w:color w:val="auto"/>
          <w:sz w:val="20"/>
          <w:szCs w:val="20"/>
          <w:lang w:val="en-US" w:eastAsia="en-US"/>
        </w:rPr>
        <w:t>governments</w:t>
      </w:r>
      <w:proofErr w:type="gramEnd"/>
      <w:r w:rsidRPr="00C75689">
        <w:rPr>
          <w:rFonts w:ascii="Calibri" w:eastAsia="Calibri" w:hAnsi="Calibri" w:cs="Times New Roman"/>
          <w:color w:val="auto"/>
          <w:sz w:val="20"/>
          <w:szCs w:val="20"/>
          <w:lang w:val="en-US" w:eastAsia="en-US"/>
        </w:rPr>
        <w:t xml:space="preserve"> financial position”. Source: International Monetary Fund, Finance and Development, Vol. 42/2, Back to Basics – Fiscal Space: What is it and How to Get it?, Peter Heller</w:t>
      </w:r>
      <w:r>
        <w:rPr>
          <w:i/>
        </w:rPr>
        <w:t xml:space="preserve"> </w:t>
      </w:r>
    </w:p>
  </w:footnote>
  <w:footnote w:id="8">
    <w:p w14:paraId="3911BE94" w14:textId="77777777" w:rsidR="006D10E0" w:rsidRDefault="006D10E0" w:rsidP="00C75689">
      <w:pPr>
        <w:pStyle w:val="FootnoteText"/>
      </w:pPr>
      <w:r>
        <w:rPr>
          <w:rStyle w:val="FootnoteReference"/>
        </w:rPr>
        <w:footnoteRef/>
      </w:r>
      <w:r>
        <w:t xml:space="preserve"> As these are completely new indicators, baselines are still being calculated.</w:t>
      </w:r>
    </w:p>
  </w:footnote>
  <w:footnote w:id="9">
    <w:p w14:paraId="78C90D9A" w14:textId="77777777" w:rsidR="006D10E0" w:rsidRDefault="006D10E0" w:rsidP="00C75689">
      <w:pPr>
        <w:pStyle w:val="FootnoteText"/>
      </w:pPr>
      <w:r>
        <w:rPr>
          <w:rStyle w:val="FootnoteReference"/>
        </w:rPr>
        <w:footnoteRef/>
      </w:r>
      <w:r>
        <w:t xml:space="preserve"> Gross fixed capital formation is defined as in the UN System of National Accounts applied by the IMF, World Bank and United Nations institutions. UNCDF adapts this indicators to the local level. See </w:t>
      </w:r>
      <w:r w:rsidRPr="004254DF">
        <w:rPr>
          <w:u w:val="single"/>
        </w:rPr>
        <w:t>System of National Accounts</w:t>
      </w:r>
      <w:r>
        <w:t>, United Nations 2008</w:t>
      </w:r>
    </w:p>
  </w:footnote>
  <w:footnote w:id="10">
    <w:p w14:paraId="541BC4FB" w14:textId="77777777" w:rsidR="006D10E0" w:rsidRDefault="006D10E0" w:rsidP="00C75689">
      <w:pPr>
        <w:pStyle w:val="FootnoteText"/>
      </w:pPr>
      <w:r>
        <w:rPr>
          <w:rStyle w:val="FootnoteReference"/>
        </w:rPr>
        <w:footnoteRef/>
      </w:r>
      <w:r>
        <w:t xml:space="preserve"> As these are completely new indicators, baselines are still being calculated.</w:t>
      </w:r>
    </w:p>
  </w:footnote>
  <w:footnote w:id="11">
    <w:p w14:paraId="26272B95" w14:textId="2BC4D645" w:rsidR="006D10E0" w:rsidRDefault="006D10E0">
      <w:pPr>
        <w:pStyle w:val="FootnoteText"/>
      </w:pPr>
      <w:r>
        <w:rPr>
          <w:rStyle w:val="FootnoteReference"/>
        </w:rPr>
        <w:footnoteRef/>
      </w:r>
      <w:r>
        <w:t xml:space="preserve"> Percentage increase in national budget allocated to Local Governments in jurisdictions receiving UNCDF support</w:t>
      </w:r>
    </w:p>
  </w:footnote>
  <w:footnote w:id="12">
    <w:p w14:paraId="0AF44861" w14:textId="77777777" w:rsidR="006D10E0" w:rsidRPr="00276923" w:rsidRDefault="006D10E0" w:rsidP="0076444F">
      <w:pPr>
        <w:pStyle w:val="FootnoteText"/>
        <w:rPr>
          <w:rFonts w:ascii="Times New Roman" w:hAnsi="Times New Roman"/>
          <w:sz w:val="18"/>
          <w:szCs w:val="18"/>
        </w:rPr>
      </w:pPr>
      <w:r>
        <w:rPr>
          <w:rStyle w:val="FootnoteReference"/>
        </w:rPr>
        <w:footnoteRef/>
      </w:r>
      <w:r>
        <w:t xml:space="preserve"> </w:t>
      </w:r>
      <w:r w:rsidRPr="00276923">
        <w:rPr>
          <w:rFonts w:ascii="Times New Roman" w:hAnsi="Times New Roman"/>
          <w:sz w:val="18"/>
          <w:szCs w:val="18"/>
        </w:rPr>
        <w:t xml:space="preserve">This overall figure </w:t>
      </w:r>
      <w:r>
        <w:rPr>
          <w:rFonts w:ascii="Times New Roman" w:hAnsi="Times New Roman"/>
          <w:sz w:val="18"/>
          <w:szCs w:val="18"/>
        </w:rPr>
        <w:t>is an average across the portfolio and includes countries in which local governments do not yet mobilize significant own revenue. The figure does not reflect the notable success in Bangladesh mentioned in the text.</w:t>
      </w:r>
    </w:p>
    <w:p w14:paraId="588962B1" w14:textId="77777777" w:rsidR="006D10E0" w:rsidRDefault="006D10E0" w:rsidP="0076444F">
      <w:pPr>
        <w:pStyle w:val="FootnoteText"/>
      </w:pPr>
    </w:p>
  </w:footnote>
  <w:footnote w:id="13">
    <w:p w14:paraId="36CD7B71" w14:textId="77777777" w:rsidR="006D10E0" w:rsidRDefault="006D10E0" w:rsidP="00C75689">
      <w:pPr>
        <w:pStyle w:val="FootnoteText"/>
      </w:pPr>
      <w:r>
        <w:rPr>
          <w:rStyle w:val="FootnoteReference"/>
        </w:rPr>
        <w:footnoteRef/>
      </w:r>
      <w:r>
        <w:t xml:space="preserve"> Refers to the subset of PEFA sub-national indicators appropriate for measuring effective resource allocation processes calculated for institutions benefiting from UNCDF support. See the methodological note for more information. </w:t>
      </w:r>
    </w:p>
  </w:footnote>
  <w:footnote w:id="14">
    <w:p w14:paraId="7151CF5B" w14:textId="77777777" w:rsidR="006D10E0" w:rsidRPr="002A2277" w:rsidRDefault="006D10E0" w:rsidP="00A80B1F">
      <w:pPr>
        <w:pStyle w:val="FootnoteText"/>
        <w:rPr>
          <w:rFonts w:ascii="Times New Roman" w:hAnsi="Times New Roman"/>
          <w:sz w:val="18"/>
          <w:szCs w:val="18"/>
        </w:rPr>
      </w:pPr>
      <w:r w:rsidRPr="002A2277">
        <w:rPr>
          <w:rStyle w:val="FootnoteReference"/>
          <w:rFonts w:ascii="Times New Roman" w:hAnsi="Times New Roman"/>
          <w:sz w:val="18"/>
          <w:szCs w:val="18"/>
        </w:rPr>
        <w:footnoteRef/>
      </w:r>
      <w:r w:rsidRPr="002A2277">
        <w:rPr>
          <w:rFonts w:ascii="Times New Roman" w:hAnsi="Times New Roman"/>
          <w:sz w:val="18"/>
          <w:szCs w:val="18"/>
        </w:rPr>
        <w:t xml:space="preserve"> PI: Performance Indicator</w:t>
      </w:r>
      <w:r>
        <w:rPr>
          <w:rFonts w:ascii="Times New Roman" w:hAnsi="Times New Roman"/>
          <w:sz w:val="18"/>
          <w:szCs w:val="18"/>
        </w:rPr>
        <w:t>.</w:t>
      </w:r>
    </w:p>
  </w:footnote>
  <w:footnote w:id="15">
    <w:p w14:paraId="45246681" w14:textId="77777777" w:rsidR="006D10E0" w:rsidRPr="00FE1F90" w:rsidRDefault="006D10E0" w:rsidP="00A80B1F">
      <w:pPr>
        <w:pStyle w:val="FootnoteText"/>
        <w:rPr>
          <w:rFonts w:ascii="Times New Roman" w:hAnsi="Times New Roman"/>
          <w:sz w:val="18"/>
          <w:szCs w:val="18"/>
        </w:rPr>
      </w:pPr>
      <w:r w:rsidRPr="00FE1F90">
        <w:rPr>
          <w:rStyle w:val="FootnoteReference"/>
          <w:rFonts w:ascii="Times New Roman" w:hAnsi="Times New Roman"/>
          <w:sz w:val="18"/>
          <w:szCs w:val="18"/>
        </w:rPr>
        <w:footnoteRef/>
      </w:r>
      <w:r w:rsidRPr="00FE1F90">
        <w:rPr>
          <w:rFonts w:ascii="Times New Roman" w:hAnsi="Times New Roman"/>
          <w:sz w:val="18"/>
          <w:szCs w:val="18"/>
        </w:rPr>
        <w:t xml:space="preserve"> 57 local governments performing at highest level measured by indicator</w:t>
      </w:r>
      <w:r>
        <w:rPr>
          <w:rFonts w:ascii="Times New Roman" w:hAnsi="Times New Roman"/>
          <w:sz w:val="18"/>
          <w:szCs w:val="18"/>
        </w:rPr>
        <w:t>.</w:t>
      </w:r>
    </w:p>
  </w:footnote>
  <w:footnote w:id="16">
    <w:p w14:paraId="7EEDA601" w14:textId="77777777" w:rsidR="006D10E0" w:rsidRDefault="006D10E0" w:rsidP="00C75689">
      <w:pPr>
        <w:pStyle w:val="FootnoteText"/>
      </w:pPr>
      <w:r>
        <w:rPr>
          <w:rStyle w:val="FootnoteReference"/>
        </w:rPr>
        <w:footnoteRef/>
      </w:r>
      <w:r>
        <w:t xml:space="preserve"> Refers to revenue-generating projects appraised with support of LDFP staff including LFI Task Force and teams supporting municipalities establishing </w:t>
      </w:r>
      <w:r w:rsidRPr="002375DC">
        <w:t>CIP</w:t>
      </w:r>
      <w:r>
        <w:t xml:space="preserve"> portfolios for municipal finance.</w:t>
      </w:r>
    </w:p>
  </w:footnote>
  <w:footnote w:id="17">
    <w:p w14:paraId="0C7F0D98" w14:textId="6582B2E1" w:rsidR="006D10E0" w:rsidRDefault="006D10E0">
      <w:pPr>
        <w:pStyle w:val="FootnoteText"/>
      </w:pPr>
      <w:r>
        <w:rPr>
          <w:rStyle w:val="FootnoteReference"/>
        </w:rPr>
        <w:footnoteRef/>
      </w:r>
      <w:r>
        <w:t xml:space="preserve"> This is considered the critical mass to prove concept and enable scale up, which would lead to financing of many more projects.</w:t>
      </w:r>
    </w:p>
  </w:footnote>
  <w:footnote w:id="18">
    <w:p w14:paraId="17EB07BD" w14:textId="23ADFE92" w:rsidR="006D10E0" w:rsidRDefault="006D10E0">
      <w:pPr>
        <w:pStyle w:val="FootnoteText"/>
      </w:pPr>
      <w:r>
        <w:rPr>
          <w:rStyle w:val="FootnoteReference"/>
        </w:rPr>
        <w:footnoteRef/>
      </w:r>
      <w:r>
        <w:t xml:space="preserve"> These are </w:t>
      </w:r>
      <w:r>
        <w:rPr>
          <w:rFonts w:asciiTheme="minorHAnsi" w:eastAsiaTheme="minorHAnsi" w:hAnsiTheme="minorHAnsi" w:cstheme="minorBidi"/>
        </w:rPr>
        <w:t xml:space="preserve">exemplary investments in food security, climate resilience, women’s economic </w:t>
      </w:r>
      <w:proofErr w:type="gramStart"/>
      <w:r>
        <w:rPr>
          <w:rFonts w:asciiTheme="minorHAnsi" w:eastAsiaTheme="minorHAnsi" w:hAnsiTheme="minorHAnsi" w:cstheme="minorBidi"/>
        </w:rPr>
        <w:t>empowerment ,</w:t>
      </w:r>
      <w:proofErr w:type="gramEnd"/>
      <w:r>
        <w:rPr>
          <w:rFonts w:asciiTheme="minorHAnsi" w:eastAsiaTheme="minorHAnsi" w:hAnsiTheme="minorHAnsi" w:cstheme="minorBidi"/>
        </w:rPr>
        <w:t xml:space="preserve"> service delivery and local economic development that trigger further infrastructure through scaled up financing.</w:t>
      </w:r>
    </w:p>
  </w:footnote>
  <w:footnote w:id="19">
    <w:p w14:paraId="7B76F3C6" w14:textId="77777777" w:rsidR="006D10E0" w:rsidRDefault="006D10E0" w:rsidP="00C75689">
      <w:pPr>
        <w:pStyle w:val="FootnoteText"/>
      </w:pPr>
      <w:r>
        <w:rPr>
          <w:rStyle w:val="FootnoteReference"/>
        </w:rPr>
        <w:footnoteRef/>
      </w:r>
      <w:r>
        <w:t xml:space="preserve"> See methodological note for details of how to calculate these indicators, all refer to performance attributed to UNCDF initiatives.</w:t>
      </w:r>
    </w:p>
  </w:footnote>
  <w:footnote w:id="20">
    <w:p w14:paraId="75D29D1F" w14:textId="77777777" w:rsidR="006D10E0" w:rsidRPr="00BE46FF" w:rsidRDefault="006D10E0">
      <w:pPr>
        <w:pStyle w:val="FootnoteText"/>
      </w:pPr>
      <w:r>
        <w:rPr>
          <w:rStyle w:val="FootnoteReference"/>
        </w:rPr>
        <w:footnoteRef/>
      </w:r>
      <w:r>
        <w:t xml:space="preserve"> For </w:t>
      </w:r>
      <w:r w:rsidRPr="000111F5">
        <w:rPr>
          <w:rFonts w:ascii="Times New Roman" w:hAnsi="Times New Roman"/>
          <w:bCs/>
          <w:i/>
          <w:color w:val="000000"/>
          <w:lang w:eastAsia="en-ZA"/>
        </w:rPr>
        <w:t xml:space="preserve">PI-10: Access to key fiscal information at the </w:t>
      </w:r>
      <w:r>
        <w:rPr>
          <w:rFonts w:ascii="Times New Roman" w:hAnsi="Times New Roman"/>
          <w:bCs/>
          <w:i/>
          <w:color w:val="000000"/>
          <w:lang w:eastAsia="en-ZA"/>
        </w:rPr>
        <w:t>sub-national</w:t>
      </w:r>
      <w:r w:rsidRPr="000111F5">
        <w:rPr>
          <w:rFonts w:ascii="Times New Roman" w:hAnsi="Times New Roman"/>
          <w:bCs/>
          <w:i/>
          <w:color w:val="000000"/>
          <w:lang w:eastAsia="en-ZA"/>
        </w:rPr>
        <w:t xml:space="preserve"> level refers to access of the general public at the location ('local' public access) or at least the relevant interest group</w:t>
      </w:r>
    </w:p>
  </w:footnote>
  <w:footnote w:id="21">
    <w:p w14:paraId="2441D64D" w14:textId="77777777" w:rsidR="006D10E0" w:rsidRDefault="006D10E0">
      <w:pPr>
        <w:pStyle w:val="FootnoteText"/>
      </w:pPr>
      <w:r>
        <w:rPr>
          <w:rStyle w:val="FootnoteReference"/>
        </w:rPr>
        <w:footnoteRef/>
      </w:r>
      <w:r>
        <w:t xml:space="preserve"> </w:t>
      </w:r>
      <w:r w:rsidRPr="004A5ECA">
        <w:rPr>
          <w:rFonts w:asciiTheme="minorHAnsi" w:eastAsiaTheme="minorHAnsi" w:hAnsiTheme="minorHAnsi" w:cstheme="minorBidi"/>
        </w:rPr>
        <w:t>The indicator captures systems covered by global/national project documents signed from 1 January, 2014</w:t>
      </w:r>
    </w:p>
  </w:footnote>
  <w:footnote w:id="22">
    <w:p w14:paraId="12FFB8E7" w14:textId="77777777" w:rsidR="006D10E0" w:rsidRPr="00F42316" w:rsidRDefault="006D10E0" w:rsidP="00A41106">
      <w:pPr>
        <w:pStyle w:val="FootnoteText"/>
      </w:pPr>
      <w:r>
        <w:rPr>
          <w:rStyle w:val="FootnoteReference"/>
        </w:rPr>
        <w:footnoteRef/>
      </w:r>
      <w:r>
        <w:t xml:space="preserve"> </w:t>
      </w:r>
      <w:r>
        <w:rPr>
          <w:rFonts w:ascii="Times New Roman" w:hAnsi="Times New Roman"/>
          <w:lang w:val="en-GB"/>
        </w:rPr>
        <w:t xml:space="preserve">Lesotho, Mali, </w:t>
      </w:r>
      <w:r w:rsidRPr="004736B4">
        <w:rPr>
          <w:rFonts w:ascii="Times New Roman" w:hAnsi="Times New Roman"/>
          <w:lang w:val="en-GB"/>
        </w:rPr>
        <w:t xml:space="preserve">Niger and </w:t>
      </w:r>
      <w:r>
        <w:rPr>
          <w:rFonts w:ascii="Times New Roman" w:hAnsi="Times New Roman"/>
          <w:lang w:val="en-GB"/>
        </w:rPr>
        <w:t xml:space="preserve">the </w:t>
      </w:r>
      <w:r w:rsidRPr="004736B4">
        <w:rPr>
          <w:rFonts w:ascii="Times New Roman" w:hAnsi="Times New Roman"/>
          <w:lang w:val="en-GB"/>
        </w:rPr>
        <w:t xml:space="preserve">Lao </w:t>
      </w:r>
      <w:r>
        <w:rPr>
          <w:rFonts w:ascii="Times New Roman" w:hAnsi="Times New Roman"/>
          <w:lang w:val="en-GB"/>
        </w:rPr>
        <w:t>People’s Democratic Republic</w:t>
      </w:r>
    </w:p>
  </w:footnote>
  <w:footnote w:id="23">
    <w:p w14:paraId="5FDDC467" w14:textId="77777777" w:rsidR="006D10E0" w:rsidRPr="00FA1741" w:rsidRDefault="006D10E0" w:rsidP="00C75689">
      <w:pPr>
        <w:pStyle w:val="FootnoteText"/>
        <w:rPr>
          <w:rFonts w:cstheme="minorHAnsi"/>
        </w:rPr>
      </w:pPr>
      <w:r w:rsidRPr="00FA1741">
        <w:rPr>
          <w:rFonts w:cstheme="minorHAnsi"/>
        </w:rPr>
        <w:footnoteRef/>
      </w:r>
      <w:r w:rsidRPr="00FA1741">
        <w:rPr>
          <w:rFonts w:cstheme="minorHAnsi"/>
        </w:rPr>
        <w:t xml:space="preserve"> Examples of what FIPA would report on  (cumulative and annual net change):  Diagnostics( each country diagnostic:  MAP diagnostic:  market information; BTCA country digital payment ecosystems improved directly via BTCA initiatives; BTCA: incremental Net Present Value (NPV) of economy-wide electronic payments as encouraged by BTCA; MM4P diagnostic:: </w:t>
      </w:r>
      <w:proofErr w:type="spellStart"/>
      <w:r w:rsidRPr="00FA1741">
        <w:rPr>
          <w:rFonts w:cstheme="minorHAnsi"/>
        </w:rPr>
        <w:t>indentifies</w:t>
      </w:r>
      <w:proofErr w:type="spellEnd"/>
      <w:r w:rsidRPr="00FA1741">
        <w:rPr>
          <w:rFonts w:cstheme="minorHAnsi"/>
        </w:rPr>
        <w:t xml:space="preserve">  activities, initiatives or changes are needed to build more inclusive digital financial services (DFS) ecosystem that is sustainable, affordable and reaches the majority of the population with basic financial services; Financial Diaries that contribute to policy-makers and FSPs understanding of client demand and constraints;  Market studies at province or district levels to help commercial banks and MFIs to invest in </w:t>
      </w:r>
      <w:proofErr w:type="spellStart"/>
      <w:r w:rsidRPr="00FA1741">
        <w:rPr>
          <w:rFonts w:cstheme="minorHAnsi"/>
        </w:rPr>
        <w:t>underseved</w:t>
      </w:r>
      <w:proofErr w:type="spellEnd"/>
      <w:r w:rsidRPr="00FA1741">
        <w:rPr>
          <w:rFonts w:cstheme="minorHAnsi"/>
        </w:rPr>
        <w:t xml:space="preserve"> areas with potential)</w:t>
      </w:r>
    </w:p>
  </w:footnote>
  <w:footnote w:id="24">
    <w:p w14:paraId="59C486B2" w14:textId="77777777" w:rsidR="006D10E0" w:rsidRPr="009913B1" w:rsidRDefault="006D10E0" w:rsidP="00C75689">
      <w:pPr>
        <w:pStyle w:val="FootnoteText"/>
        <w:rPr>
          <w:rFonts w:cstheme="minorHAnsi"/>
          <w:i/>
        </w:rPr>
      </w:pPr>
      <w:r w:rsidRPr="00FA1741">
        <w:rPr>
          <w:rFonts w:cstheme="minorHAnsi"/>
        </w:rPr>
        <w:footnoteRef/>
      </w:r>
      <w:r w:rsidRPr="00FA1741">
        <w:rPr>
          <w:rFonts w:cstheme="minorHAnsi"/>
        </w:rPr>
        <w:t xml:space="preserve">  As a result of UNCDF-led diagnostics (MAP, MM4P, </w:t>
      </w:r>
      <w:proofErr w:type="gramStart"/>
      <w:r w:rsidRPr="00FA1741">
        <w:rPr>
          <w:rFonts w:cstheme="minorHAnsi"/>
        </w:rPr>
        <w:t>BTCA</w:t>
      </w:r>
      <w:proofErr w:type="gramEnd"/>
      <w:r w:rsidRPr="00FA1741">
        <w:rPr>
          <w:rFonts w:cstheme="minorHAnsi"/>
        </w:rPr>
        <w:t>) that strengthen the capacity of national institutions to meet regional and international goals – e.g. Maya Declaration or the Money Pacific Goals.</w:t>
      </w:r>
    </w:p>
  </w:footnote>
  <w:footnote w:id="25">
    <w:p w14:paraId="63704E5A" w14:textId="77777777" w:rsidR="006D10E0" w:rsidRPr="00FA1741" w:rsidRDefault="006D10E0" w:rsidP="00C75689">
      <w:pPr>
        <w:pStyle w:val="FootnoteText"/>
        <w:rPr>
          <w:rFonts w:asciiTheme="minorHAnsi" w:eastAsiaTheme="minorHAnsi" w:hAnsiTheme="minorHAnsi" w:cstheme="minorBidi"/>
        </w:rPr>
      </w:pPr>
      <w:r w:rsidRPr="00FA1741">
        <w:rPr>
          <w:rFonts w:cstheme="minorHAnsi"/>
        </w:rPr>
        <w:footnoteRef/>
      </w:r>
      <w:r w:rsidRPr="00FA1741">
        <w:rPr>
          <w:rFonts w:cstheme="minorHAnsi"/>
        </w:rPr>
        <w:t xml:space="preserve"> Please see </w:t>
      </w:r>
      <w:hyperlink r:id="rId3" w:history="1">
        <w:r w:rsidRPr="00FA1741">
          <w:rPr>
            <w:rStyle w:val="Hyperlink"/>
            <w:rFonts w:cstheme="minorHAnsi"/>
          </w:rPr>
          <w:t>www.</w:t>
        </w:r>
        <w:r w:rsidRPr="00FA1741">
          <w:rPr>
            <w:rStyle w:val="Hyperlink"/>
            <w:rFonts w:asciiTheme="minorHAnsi" w:eastAsiaTheme="minorHAnsi" w:hAnsiTheme="minorHAnsi" w:cstheme="minorBidi"/>
          </w:rPr>
          <w:t>betterthancash.org</w:t>
        </w:r>
      </w:hyperlink>
      <w:r w:rsidRPr="00FA1741">
        <w:rPr>
          <w:rFonts w:asciiTheme="minorHAnsi" w:eastAsiaTheme="minorHAnsi" w:hAnsiTheme="minorHAnsi" w:cstheme="minorBidi"/>
        </w:rPr>
        <w:t xml:space="preserve"> </w:t>
      </w:r>
      <w:r w:rsidRPr="00FA1741">
        <w:rPr>
          <w:rFonts w:cstheme="minorHAnsi"/>
        </w:rPr>
        <w:t>for further information</w:t>
      </w:r>
    </w:p>
  </w:footnote>
  <w:footnote w:id="26">
    <w:p w14:paraId="667ABDEA" w14:textId="77777777" w:rsidR="006D10E0" w:rsidRPr="00FA1741" w:rsidRDefault="006D10E0" w:rsidP="00C75689">
      <w:pPr>
        <w:rPr>
          <w:rFonts w:ascii="Calibri" w:eastAsia="Calibri" w:hAnsi="Calibri" w:cstheme="minorHAnsi"/>
          <w:i/>
          <w:color w:val="auto"/>
          <w:sz w:val="20"/>
          <w:szCs w:val="20"/>
          <w:lang w:val="en-US" w:eastAsia="en-US"/>
        </w:rPr>
      </w:pPr>
      <w:r w:rsidRPr="00FA1741">
        <w:rPr>
          <w:rStyle w:val="FootnoteReference"/>
        </w:rPr>
        <w:footnoteRef/>
      </w:r>
      <w:r w:rsidRPr="00FA1741">
        <w:t xml:space="preserve"> </w:t>
      </w:r>
      <w:r w:rsidRPr="00FA1741">
        <w:rPr>
          <w:rFonts w:ascii="Calibri" w:eastAsia="Calibri" w:hAnsi="Calibri" w:cstheme="minorHAnsi"/>
          <w:color w:val="auto"/>
          <w:sz w:val="20"/>
          <w:szCs w:val="20"/>
          <w:lang w:val="en-US" w:eastAsia="en-US"/>
        </w:rPr>
        <w:t xml:space="preserve">Examples of what LDFP would report </w:t>
      </w:r>
      <w:proofErr w:type="gramStart"/>
      <w:r w:rsidRPr="00FA1741">
        <w:rPr>
          <w:rFonts w:ascii="Calibri" w:eastAsia="Calibri" w:hAnsi="Calibri" w:cstheme="minorHAnsi"/>
          <w:color w:val="auto"/>
          <w:sz w:val="20"/>
          <w:szCs w:val="20"/>
          <w:lang w:val="en-US" w:eastAsia="en-US"/>
        </w:rPr>
        <w:t>on  (</w:t>
      </w:r>
      <w:proofErr w:type="gramEnd"/>
      <w:r w:rsidRPr="00FA1741">
        <w:rPr>
          <w:rFonts w:ascii="Calibri" w:eastAsia="Calibri" w:hAnsi="Calibri" w:cstheme="minorHAnsi"/>
          <w:color w:val="auto"/>
          <w:sz w:val="20"/>
          <w:szCs w:val="20"/>
          <w:lang w:val="en-US" w:eastAsia="en-US"/>
        </w:rPr>
        <w:t xml:space="preserve">cumulative and annual net change):  Diagnostics (each country diagnostic:  LOOKING diagnostic:  LAFIAS diagnostic; diagnostic of municipal creditworthiness; diagnostic of fiscal </w:t>
      </w:r>
      <w:proofErr w:type="spellStart"/>
      <w:r w:rsidRPr="00FA1741">
        <w:rPr>
          <w:rFonts w:ascii="Calibri" w:eastAsia="Calibri" w:hAnsi="Calibri" w:cstheme="minorHAnsi"/>
          <w:color w:val="auto"/>
          <w:sz w:val="20"/>
          <w:szCs w:val="20"/>
          <w:lang w:val="en-US" w:eastAsia="en-US"/>
        </w:rPr>
        <w:t>decentralisation</w:t>
      </w:r>
      <w:proofErr w:type="spellEnd"/>
      <w:r w:rsidRPr="00FA1741">
        <w:rPr>
          <w:rFonts w:ascii="Calibri" w:eastAsia="Calibri" w:hAnsi="Calibri" w:cstheme="minorHAnsi"/>
          <w:color w:val="auto"/>
          <w:sz w:val="20"/>
          <w:szCs w:val="20"/>
          <w:lang w:val="en-US" w:eastAsia="en-US"/>
        </w:rPr>
        <w:t xml:space="preserve"> status;  local fiscal space diagnostic; scan of local infrastructure financing market, local procurement diagnostic, local economic development study; diagnostic to define performance based grants criteria; study of local food system; LoCAL scoping study).</w:t>
      </w:r>
    </w:p>
  </w:footnote>
  <w:footnote w:id="27">
    <w:p w14:paraId="0DD4B771" w14:textId="77777777" w:rsidR="006D10E0" w:rsidRPr="00FA1741" w:rsidRDefault="006D10E0" w:rsidP="00C75689">
      <w:pPr>
        <w:pStyle w:val="FootnoteText"/>
        <w:rPr>
          <w:sz w:val="22"/>
          <w:szCs w:val="22"/>
        </w:rPr>
      </w:pPr>
      <w:r w:rsidRPr="00FA1741">
        <w:rPr>
          <w:rFonts w:cstheme="minorHAnsi"/>
        </w:rPr>
        <w:footnoteRef/>
      </w:r>
      <w:r w:rsidRPr="00FA1741">
        <w:rPr>
          <w:rFonts w:cstheme="minorHAnsi"/>
        </w:rPr>
        <w:t xml:space="preserve">  As a result of UNCDF-led diagnostics (LOOKING, LAFIAS, Municipal Finance) or as a result of upscaling such as a LoCAL phase III. These strengthen the capacity of local institutions to secure access to sustainable finance for local investments and local development that accelerates SDC targets and increases local fiscal space.</w:t>
      </w:r>
    </w:p>
  </w:footnote>
  <w:footnote w:id="28">
    <w:p w14:paraId="348E2013" w14:textId="77777777" w:rsidR="006D10E0" w:rsidRDefault="006D10E0" w:rsidP="007E0447">
      <w:pPr>
        <w:pStyle w:val="FootnoteText"/>
      </w:pPr>
      <w:r>
        <w:rPr>
          <w:rStyle w:val="FootnoteReference"/>
        </w:rPr>
        <w:footnoteRef/>
      </w:r>
      <w:r>
        <w:t xml:space="preserve"> As per UNCDF’s audit policy. Please see the methodological note for more information.</w:t>
      </w:r>
    </w:p>
  </w:footnote>
  <w:footnote w:id="29">
    <w:p w14:paraId="69C088EA" w14:textId="13014AB6" w:rsidR="006D10E0" w:rsidRPr="00221BC7" w:rsidRDefault="006D10E0" w:rsidP="00221BC7">
      <w:pPr>
        <w:pStyle w:val="FootnoteText"/>
        <w:jc w:val="both"/>
        <w:rPr>
          <w:rFonts w:asciiTheme="minorHAnsi" w:hAnsiTheme="minorHAnsi"/>
        </w:rPr>
      </w:pPr>
      <w:r w:rsidRPr="00221BC7">
        <w:rPr>
          <w:rStyle w:val="FootnoteReference"/>
          <w:rFonts w:asciiTheme="minorHAnsi" w:hAnsiTheme="minorHAnsi"/>
        </w:rPr>
        <w:footnoteRef/>
      </w:r>
      <w:r w:rsidRPr="00221BC7">
        <w:rPr>
          <w:rFonts w:asciiTheme="minorHAnsi" w:hAnsiTheme="minorHAnsi"/>
        </w:rPr>
        <w:t xml:space="preserve"> U</w:t>
      </w:r>
      <w:r w:rsidRPr="00221BC7">
        <w:rPr>
          <w:rFonts w:asciiTheme="minorHAnsi" w:eastAsiaTheme="minorHAnsi" w:hAnsiTheme="minorHAnsi" w:cs="Calibri Bold Italic"/>
        </w:rPr>
        <w:t xml:space="preserve">NCDF is working closely with UNDP to finalize the outstanding </w:t>
      </w:r>
      <w:proofErr w:type="gramStart"/>
      <w:r w:rsidRPr="00221BC7">
        <w:rPr>
          <w:rFonts w:asciiTheme="minorHAnsi" w:eastAsiaTheme="minorHAnsi" w:hAnsiTheme="minorHAnsi" w:cs="Calibri Bold Italic"/>
        </w:rPr>
        <w:t>recommendations  as</w:t>
      </w:r>
      <w:proofErr w:type="gramEnd"/>
      <w:r w:rsidRPr="00221BC7">
        <w:rPr>
          <w:rFonts w:asciiTheme="minorHAnsi" w:eastAsiaTheme="minorHAnsi" w:hAnsiTheme="minorHAnsi" w:cs="Calibri Bold Italic"/>
        </w:rPr>
        <w:t xml:space="preserve"> the Loan policy, RBM</w:t>
      </w:r>
      <w:r>
        <w:rPr>
          <w:rFonts w:asciiTheme="minorHAnsi" w:eastAsiaTheme="minorHAnsi" w:hAnsiTheme="minorHAnsi" w:cs="Calibri Bold Italic"/>
        </w:rPr>
        <w:t xml:space="preserve"> and </w:t>
      </w:r>
      <w:r w:rsidRPr="00221BC7">
        <w:rPr>
          <w:rFonts w:asciiTheme="minorHAnsi" w:eastAsiaTheme="minorHAnsi" w:hAnsiTheme="minorHAnsi" w:cs="Calibri Bold Italic"/>
        </w:rPr>
        <w:t xml:space="preserve">performance indicators and enterprise wide risk management platform. We expect to achieve the completion of these recommendation during the next </w:t>
      </w:r>
      <w:proofErr w:type="spellStart"/>
      <w:r w:rsidRPr="00221BC7">
        <w:rPr>
          <w:rFonts w:asciiTheme="minorHAnsi" w:eastAsiaTheme="minorHAnsi" w:hAnsiTheme="minorHAnsi" w:cs="Calibri Bold Italic"/>
        </w:rPr>
        <w:t>quarte</w:t>
      </w:r>
      <w:proofErr w:type="spellEnd"/>
    </w:p>
  </w:footnote>
  <w:footnote w:id="30">
    <w:p w14:paraId="4EE6273D" w14:textId="4CA3E6CC" w:rsidR="006D10E0" w:rsidRPr="008C5A72" w:rsidRDefault="006D10E0">
      <w:pPr>
        <w:pStyle w:val="FootnoteText"/>
        <w:rPr>
          <w:rFonts w:asciiTheme="minorHAnsi" w:hAnsiTheme="minorHAnsi"/>
        </w:rPr>
      </w:pPr>
      <w:r w:rsidRPr="008C5A72">
        <w:rPr>
          <w:rStyle w:val="FootnoteReference"/>
          <w:rFonts w:asciiTheme="minorHAnsi" w:hAnsiTheme="minorHAnsi"/>
        </w:rPr>
        <w:footnoteRef/>
      </w:r>
      <w:r w:rsidRPr="008C5A72">
        <w:rPr>
          <w:rFonts w:asciiTheme="minorHAnsi" w:hAnsiTheme="minorHAnsi"/>
        </w:rPr>
        <w:t xml:space="preserve"> </w:t>
      </w:r>
      <w:r w:rsidRPr="008C5A72">
        <w:rPr>
          <w:rFonts w:asciiTheme="minorHAnsi" w:eastAsiaTheme="minorHAnsi" w:hAnsiTheme="minorHAnsi" w:cs="Calibri Bold Italic"/>
        </w:rPr>
        <w:t>This includes contribution from UNDP to core resources.</w:t>
      </w:r>
    </w:p>
  </w:footnote>
  <w:footnote w:id="31">
    <w:p w14:paraId="0920703A" w14:textId="31234A4C" w:rsidR="006D10E0" w:rsidRDefault="006D10E0">
      <w:pPr>
        <w:pStyle w:val="FootnoteText"/>
      </w:pPr>
      <w:r w:rsidRPr="008C5A72">
        <w:rPr>
          <w:rStyle w:val="FootnoteReference"/>
          <w:rFonts w:asciiTheme="minorHAnsi" w:hAnsiTheme="minorHAnsi"/>
        </w:rPr>
        <w:footnoteRef/>
      </w:r>
      <w:r w:rsidRPr="008C5A72">
        <w:rPr>
          <w:rFonts w:asciiTheme="minorHAnsi" w:hAnsiTheme="minorHAnsi"/>
        </w:rPr>
        <w:t xml:space="preserve"> </w:t>
      </w:r>
      <w:r w:rsidRPr="008C5A72">
        <w:rPr>
          <w:rFonts w:asciiTheme="minorHAnsi" w:eastAsiaTheme="minorHAnsi" w:hAnsiTheme="minorHAnsi" w:cs="Calibri Bold Italic"/>
        </w:rPr>
        <w:t>Includes partnerships with individual partnerships leading to the MPTF at the country level (MPTF is disaggregated).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D6653" w14:textId="77777777" w:rsidR="006D10E0" w:rsidRDefault="006D10E0">
    <w:pPr>
      <w:pStyle w:val="Header"/>
    </w:pPr>
  </w:p>
  <w:p w14:paraId="2A7B5080" w14:textId="77777777" w:rsidR="006D10E0" w:rsidRDefault="006D10E0">
    <w:pPr>
      <w:pStyle w:val="Header"/>
    </w:pPr>
    <w:r>
      <w:tab/>
    </w:r>
    <w:r>
      <w:tab/>
    </w:r>
    <w:r>
      <w:tab/>
    </w:r>
  </w:p>
  <w:p w14:paraId="57CC09E0" w14:textId="77777777" w:rsidR="006D10E0" w:rsidRDefault="006D1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CD082" w14:textId="77777777" w:rsidR="006D10E0" w:rsidRDefault="006D10E0" w:rsidP="00967A65">
    <w:pPr>
      <w:pStyle w:val="Header"/>
      <w:jc w:val="right"/>
    </w:pPr>
    <w:r>
      <w:rPr>
        <w:noProof/>
        <w:lang w:val="en-US" w:eastAsia="en-US"/>
      </w:rPr>
      <w:drawing>
        <wp:inline distT="0" distB="0" distL="0" distR="0" wp14:anchorId="3165C169" wp14:editId="27B9AE91">
          <wp:extent cx="729456" cy="777631"/>
          <wp:effectExtent l="0" t="0" r="0" b="3810"/>
          <wp:docPr id="3" name="Picture 3" descr="UNCDF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CDF 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106" cy="7793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63AEF" w14:textId="77777777" w:rsidR="006D10E0" w:rsidRDefault="006D10E0" w:rsidP="006404B9">
    <w:pPr>
      <w:pStyle w:val="Header"/>
      <w:tabs>
        <w:tab w:val="left" w:pos="5354"/>
        <w:tab w:val="left" w:pos="6415"/>
      </w:tabs>
    </w:pPr>
    <w:r>
      <w:tab/>
    </w:r>
    <w:r>
      <w:tab/>
    </w:r>
    <w:r>
      <w:tab/>
    </w:r>
    <w:r>
      <w:tab/>
    </w:r>
    <w:r>
      <w:tab/>
    </w:r>
    <w:r>
      <w:tab/>
    </w:r>
    <w:r>
      <w:tab/>
    </w:r>
    <w:r>
      <w:tab/>
      <w:t xml:space="preserve">         </w:t>
    </w:r>
    <w:r>
      <w:tab/>
    </w:r>
    <w:r>
      <w:tab/>
      <w:t xml:space="preserve"> </w:t>
    </w:r>
    <w:r>
      <w:tab/>
    </w:r>
    <w:r>
      <w:tab/>
    </w:r>
    <w:r>
      <w:tab/>
    </w:r>
    <w:r>
      <w:tab/>
    </w:r>
    <w:r>
      <w:tab/>
      <w:t xml:space="preserve">      </w:t>
    </w:r>
  </w:p>
  <w:p w14:paraId="0CDFA763" w14:textId="77777777" w:rsidR="006D10E0" w:rsidRDefault="006D10E0">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1080"/>
        </w:tabs>
        <w:ind w:left="1080" w:hanging="360"/>
      </w:pPr>
      <w:rPr>
        <w:rFonts w:cs="font48"/>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11406FD"/>
    <w:multiLevelType w:val="multilevel"/>
    <w:tmpl w:val="833E78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670640"/>
    <w:multiLevelType w:val="hybridMultilevel"/>
    <w:tmpl w:val="4E907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07412"/>
    <w:multiLevelType w:val="hybridMultilevel"/>
    <w:tmpl w:val="73C861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14F13"/>
    <w:multiLevelType w:val="hybridMultilevel"/>
    <w:tmpl w:val="E76E03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AF7844"/>
    <w:multiLevelType w:val="hybridMultilevel"/>
    <w:tmpl w:val="173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517C7"/>
    <w:multiLevelType w:val="multilevel"/>
    <w:tmpl w:val="CF6A9DA0"/>
    <w:lvl w:ilvl="0">
      <w:start w:val="1"/>
      <w:numFmt w:val="decimal"/>
      <w:lvlText w:val="%1"/>
      <w:lvlJc w:val="left"/>
      <w:pPr>
        <w:ind w:left="435" w:hanging="435"/>
      </w:pPr>
      <w:rPr>
        <w:rFonts w:hint="default"/>
        <w:b w:val="0"/>
      </w:rPr>
    </w:lvl>
    <w:lvl w:ilvl="1">
      <w:start w:val="2"/>
      <w:numFmt w:val="decimal"/>
      <w:lvlText w:val="%1.%2"/>
      <w:lvlJc w:val="left"/>
      <w:pPr>
        <w:ind w:left="435" w:hanging="435"/>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6502637"/>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15:restartNumberingAfterBreak="0">
    <w:nsid w:val="1ACF25FA"/>
    <w:multiLevelType w:val="hybridMultilevel"/>
    <w:tmpl w:val="4C303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567D9"/>
    <w:multiLevelType w:val="hybridMultilevel"/>
    <w:tmpl w:val="4C303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E124D"/>
    <w:multiLevelType w:val="hybridMultilevel"/>
    <w:tmpl w:val="EB0823D0"/>
    <w:lvl w:ilvl="0" w:tplc="A380189E">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C046D"/>
    <w:multiLevelType w:val="hybridMultilevel"/>
    <w:tmpl w:val="2BBA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A646B"/>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15:restartNumberingAfterBreak="0">
    <w:nsid w:val="21160A34"/>
    <w:multiLevelType w:val="multilevel"/>
    <w:tmpl w:val="544C79D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923E10"/>
    <w:multiLevelType w:val="hybridMultilevel"/>
    <w:tmpl w:val="A7C0E510"/>
    <w:lvl w:ilvl="0" w:tplc="15EC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F10413"/>
    <w:multiLevelType w:val="multilevel"/>
    <w:tmpl w:val="7F602C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6" w15:restartNumberingAfterBreak="0">
    <w:nsid w:val="2F33651F"/>
    <w:multiLevelType w:val="hybridMultilevel"/>
    <w:tmpl w:val="242A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C6A9D"/>
    <w:multiLevelType w:val="hybridMultilevel"/>
    <w:tmpl w:val="54084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82D67"/>
    <w:multiLevelType w:val="hybridMultilevel"/>
    <w:tmpl w:val="FC8A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74753"/>
    <w:multiLevelType w:val="hybridMultilevel"/>
    <w:tmpl w:val="32F41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820DD"/>
    <w:multiLevelType w:val="hybridMultilevel"/>
    <w:tmpl w:val="9168B856"/>
    <w:lvl w:ilvl="0" w:tplc="C28289A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44FC6"/>
    <w:multiLevelType w:val="hybridMultilevel"/>
    <w:tmpl w:val="9A46ECBE"/>
    <w:lvl w:ilvl="0" w:tplc="1916A23E">
      <w:start w:val="1"/>
      <w:numFmt w:val="decimal"/>
      <w:lvlText w:val="%1."/>
      <w:lvlJc w:val="left"/>
      <w:pPr>
        <w:ind w:left="360" w:hanging="360"/>
      </w:pPr>
      <w:rPr>
        <w:rFonts w:ascii="Arial" w:eastAsia="Times New Roman" w:hAnsi="Arial" w:cs="Arial" w:hint="default"/>
        <w:b w:val="0"/>
        <w:i w:val="0"/>
        <w:color w:val="231F2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9743B6E">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565DBB"/>
    <w:multiLevelType w:val="hybridMultilevel"/>
    <w:tmpl w:val="F86AA2B2"/>
    <w:lvl w:ilvl="0" w:tplc="90E2A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07C92"/>
    <w:multiLevelType w:val="hybridMultilevel"/>
    <w:tmpl w:val="5EAA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07A10"/>
    <w:multiLevelType w:val="hybridMultilevel"/>
    <w:tmpl w:val="92E4B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853FF3"/>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6" w15:restartNumberingAfterBreak="0">
    <w:nsid w:val="496B49CD"/>
    <w:multiLevelType w:val="hybridMultilevel"/>
    <w:tmpl w:val="AC4C4CC8"/>
    <w:lvl w:ilvl="0" w:tplc="DABAA7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E78D9"/>
    <w:multiLevelType w:val="hybridMultilevel"/>
    <w:tmpl w:val="4C303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02854"/>
    <w:multiLevelType w:val="hybridMultilevel"/>
    <w:tmpl w:val="21169B60"/>
    <w:lvl w:ilvl="0" w:tplc="4E7A0932">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746F4"/>
    <w:multiLevelType w:val="multilevel"/>
    <w:tmpl w:val="78468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0A5AA8"/>
    <w:multiLevelType w:val="hybridMultilevel"/>
    <w:tmpl w:val="4C303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165B2"/>
    <w:multiLevelType w:val="hybridMultilevel"/>
    <w:tmpl w:val="4C303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B156EE"/>
    <w:multiLevelType w:val="hybridMultilevel"/>
    <w:tmpl w:val="7F90220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D126E"/>
    <w:multiLevelType w:val="hybridMultilevel"/>
    <w:tmpl w:val="73C861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412D1"/>
    <w:multiLevelType w:val="multilevel"/>
    <w:tmpl w:val="2E560E88"/>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D374049"/>
    <w:multiLevelType w:val="multilevel"/>
    <w:tmpl w:val="E1BC6A4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221071"/>
    <w:multiLevelType w:val="hybridMultilevel"/>
    <w:tmpl w:val="54084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D0383"/>
    <w:multiLevelType w:val="hybridMultilevel"/>
    <w:tmpl w:val="DE26E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3A02F4"/>
    <w:multiLevelType w:val="hybridMultilevel"/>
    <w:tmpl w:val="FC866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5A0566"/>
    <w:multiLevelType w:val="hybridMultilevel"/>
    <w:tmpl w:val="F5D0E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D327A"/>
    <w:multiLevelType w:val="hybridMultilevel"/>
    <w:tmpl w:val="4936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134F0"/>
    <w:multiLevelType w:val="hybridMultilevel"/>
    <w:tmpl w:val="A7C0E510"/>
    <w:lvl w:ilvl="0" w:tplc="15EC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6D5B09"/>
    <w:multiLevelType w:val="hybridMultilevel"/>
    <w:tmpl w:val="546A0004"/>
    <w:lvl w:ilvl="0" w:tplc="06B23B10">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31"/>
  </w:num>
  <w:num w:numId="4">
    <w:abstractNumId w:val="24"/>
  </w:num>
  <w:num w:numId="5">
    <w:abstractNumId w:val="19"/>
  </w:num>
  <w:num w:numId="6">
    <w:abstractNumId w:val="3"/>
  </w:num>
  <w:num w:numId="7">
    <w:abstractNumId w:val="4"/>
  </w:num>
  <w:num w:numId="8">
    <w:abstractNumId w:val="36"/>
  </w:num>
  <w:num w:numId="9">
    <w:abstractNumId w:val="17"/>
  </w:num>
  <w:num w:numId="10">
    <w:abstractNumId w:val="5"/>
  </w:num>
  <w:num w:numId="11">
    <w:abstractNumId w:val="18"/>
  </w:num>
  <w:num w:numId="12">
    <w:abstractNumId w:val="33"/>
  </w:num>
  <w:num w:numId="13">
    <w:abstractNumId w:val="8"/>
  </w:num>
  <w:num w:numId="14">
    <w:abstractNumId w:val="9"/>
  </w:num>
  <w:num w:numId="15">
    <w:abstractNumId w:val="27"/>
  </w:num>
  <w:num w:numId="16">
    <w:abstractNumId w:val="32"/>
  </w:num>
  <w:num w:numId="17">
    <w:abstractNumId w:val="14"/>
  </w:num>
  <w:num w:numId="18">
    <w:abstractNumId w:val="2"/>
  </w:num>
  <w:num w:numId="19">
    <w:abstractNumId w:val="40"/>
  </w:num>
  <w:num w:numId="20">
    <w:abstractNumId w:val="37"/>
  </w:num>
  <w:num w:numId="21">
    <w:abstractNumId w:val="30"/>
  </w:num>
  <w:num w:numId="22">
    <w:abstractNumId w:val="38"/>
  </w:num>
  <w:num w:numId="23">
    <w:abstractNumId w:val="39"/>
  </w:num>
  <w:num w:numId="24">
    <w:abstractNumId w:val="21"/>
  </w:num>
  <w:num w:numId="25">
    <w:abstractNumId w:val="23"/>
  </w:num>
  <w:num w:numId="26">
    <w:abstractNumId w:val="26"/>
  </w:num>
  <w:num w:numId="27">
    <w:abstractNumId w:val="20"/>
  </w:num>
  <w:num w:numId="28">
    <w:abstractNumId w:val="10"/>
  </w:num>
  <w:num w:numId="29">
    <w:abstractNumId w:val="11"/>
  </w:num>
  <w:num w:numId="30">
    <w:abstractNumId w:val="16"/>
  </w:num>
  <w:num w:numId="31">
    <w:abstractNumId w:val="28"/>
  </w:num>
  <w:num w:numId="32">
    <w:abstractNumId w:val="1"/>
  </w:num>
  <w:num w:numId="33">
    <w:abstractNumId w:val="34"/>
  </w:num>
  <w:num w:numId="34">
    <w:abstractNumId w:val="0"/>
  </w:num>
  <w:num w:numId="35">
    <w:abstractNumId w:val="25"/>
  </w:num>
  <w:num w:numId="36">
    <w:abstractNumId w:val="12"/>
  </w:num>
  <w:num w:numId="37">
    <w:abstractNumId w:val="7"/>
  </w:num>
  <w:num w:numId="38">
    <w:abstractNumId w:val="42"/>
  </w:num>
  <w:num w:numId="39">
    <w:abstractNumId w:val="35"/>
  </w:num>
  <w:num w:numId="40">
    <w:abstractNumId w:val="22"/>
  </w:num>
  <w:num w:numId="41">
    <w:abstractNumId w:val="13"/>
  </w:num>
  <w:num w:numId="42">
    <w:abstractNumId w:val="29"/>
  </w:num>
  <w:num w:numId="4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49"/>
    <w:rsid w:val="00000E73"/>
    <w:rsid w:val="00001A5F"/>
    <w:rsid w:val="000030DD"/>
    <w:rsid w:val="00004ECD"/>
    <w:rsid w:val="00011594"/>
    <w:rsid w:val="0001303D"/>
    <w:rsid w:val="000141EE"/>
    <w:rsid w:val="00014D1D"/>
    <w:rsid w:val="000152B1"/>
    <w:rsid w:val="000170F7"/>
    <w:rsid w:val="00017EB2"/>
    <w:rsid w:val="00021A6F"/>
    <w:rsid w:val="00021C25"/>
    <w:rsid w:val="00022D1D"/>
    <w:rsid w:val="000233B5"/>
    <w:rsid w:val="000257B2"/>
    <w:rsid w:val="00025C94"/>
    <w:rsid w:val="0003630B"/>
    <w:rsid w:val="00037DF1"/>
    <w:rsid w:val="00045383"/>
    <w:rsid w:val="00045A7A"/>
    <w:rsid w:val="000521BD"/>
    <w:rsid w:val="0005286C"/>
    <w:rsid w:val="0005436C"/>
    <w:rsid w:val="00054B5D"/>
    <w:rsid w:val="00055DB8"/>
    <w:rsid w:val="000602E1"/>
    <w:rsid w:val="000604CA"/>
    <w:rsid w:val="00061993"/>
    <w:rsid w:val="00066181"/>
    <w:rsid w:val="00071E13"/>
    <w:rsid w:val="00072706"/>
    <w:rsid w:val="00075DB5"/>
    <w:rsid w:val="0007713C"/>
    <w:rsid w:val="000778F3"/>
    <w:rsid w:val="00077E8F"/>
    <w:rsid w:val="00083578"/>
    <w:rsid w:val="00083B5E"/>
    <w:rsid w:val="000848B8"/>
    <w:rsid w:val="00084B1F"/>
    <w:rsid w:val="00085646"/>
    <w:rsid w:val="00091A98"/>
    <w:rsid w:val="00092ABB"/>
    <w:rsid w:val="000955F2"/>
    <w:rsid w:val="000A0723"/>
    <w:rsid w:val="000A0C99"/>
    <w:rsid w:val="000A13D0"/>
    <w:rsid w:val="000A34EE"/>
    <w:rsid w:val="000A3A16"/>
    <w:rsid w:val="000A526D"/>
    <w:rsid w:val="000A669C"/>
    <w:rsid w:val="000A6DB0"/>
    <w:rsid w:val="000B6304"/>
    <w:rsid w:val="000B7E8C"/>
    <w:rsid w:val="000C362A"/>
    <w:rsid w:val="000C4722"/>
    <w:rsid w:val="000C59C4"/>
    <w:rsid w:val="000C75CE"/>
    <w:rsid w:val="000D320B"/>
    <w:rsid w:val="000D4845"/>
    <w:rsid w:val="000D4B49"/>
    <w:rsid w:val="000E0874"/>
    <w:rsid w:val="000E11A8"/>
    <w:rsid w:val="000E221C"/>
    <w:rsid w:val="000E30CA"/>
    <w:rsid w:val="000E3235"/>
    <w:rsid w:val="000E3778"/>
    <w:rsid w:val="000E7708"/>
    <w:rsid w:val="000F2197"/>
    <w:rsid w:val="000F4E93"/>
    <w:rsid w:val="000F5C50"/>
    <w:rsid w:val="0010112E"/>
    <w:rsid w:val="00102763"/>
    <w:rsid w:val="00102BE5"/>
    <w:rsid w:val="0010330B"/>
    <w:rsid w:val="00104A65"/>
    <w:rsid w:val="00110B89"/>
    <w:rsid w:val="00110CBD"/>
    <w:rsid w:val="00110E1C"/>
    <w:rsid w:val="00112EE0"/>
    <w:rsid w:val="00114E2C"/>
    <w:rsid w:val="001226A1"/>
    <w:rsid w:val="001228F9"/>
    <w:rsid w:val="00123BF3"/>
    <w:rsid w:val="001251C5"/>
    <w:rsid w:val="00127B10"/>
    <w:rsid w:val="001308DB"/>
    <w:rsid w:val="001318A5"/>
    <w:rsid w:val="00132E8E"/>
    <w:rsid w:val="001435FA"/>
    <w:rsid w:val="001465EB"/>
    <w:rsid w:val="001512E4"/>
    <w:rsid w:val="00153752"/>
    <w:rsid w:val="001539F3"/>
    <w:rsid w:val="00160164"/>
    <w:rsid w:val="001630EC"/>
    <w:rsid w:val="00166699"/>
    <w:rsid w:val="00166C8E"/>
    <w:rsid w:val="001705DC"/>
    <w:rsid w:val="00170BBB"/>
    <w:rsid w:val="0017295D"/>
    <w:rsid w:val="00173634"/>
    <w:rsid w:val="00176529"/>
    <w:rsid w:val="00176CC0"/>
    <w:rsid w:val="001774F2"/>
    <w:rsid w:val="00180A54"/>
    <w:rsid w:val="00181760"/>
    <w:rsid w:val="0018373E"/>
    <w:rsid w:val="001837C2"/>
    <w:rsid w:val="00184A95"/>
    <w:rsid w:val="00185D0D"/>
    <w:rsid w:val="00187375"/>
    <w:rsid w:val="00190897"/>
    <w:rsid w:val="00192849"/>
    <w:rsid w:val="00196DBD"/>
    <w:rsid w:val="001A1DF5"/>
    <w:rsid w:val="001A3BA4"/>
    <w:rsid w:val="001A548D"/>
    <w:rsid w:val="001A58C4"/>
    <w:rsid w:val="001B0420"/>
    <w:rsid w:val="001B0D3F"/>
    <w:rsid w:val="001B189E"/>
    <w:rsid w:val="001B34EB"/>
    <w:rsid w:val="001B5077"/>
    <w:rsid w:val="001B63D9"/>
    <w:rsid w:val="001B6B83"/>
    <w:rsid w:val="001C2A3A"/>
    <w:rsid w:val="001C4A0D"/>
    <w:rsid w:val="001C5F7D"/>
    <w:rsid w:val="001C6538"/>
    <w:rsid w:val="001D4FDF"/>
    <w:rsid w:val="001E2BF8"/>
    <w:rsid w:val="001E32FC"/>
    <w:rsid w:val="001E36DB"/>
    <w:rsid w:val="001E3980"/>
    <w:rsid w:val="001E480D"/>
    <w:rsid w:val="001E529C"/>
    <w:rsid w:val="001E69E2"/>
    <w:rsid w:val="001F41B1"/>
    <w:rsid w:val="002003B2"/>
    <w:rsid w:val="0020111E"/>
    <w:rsid w:val="0020207A"/>
    <w:rsid w:val="00202C4B"/>
    <w:rsid w:val="00202E3B"/>
    <w:rsid w:val="002031C7"/>
    <w:rsid w:val="00203261"/>
    <w:rsid w:val="00206026"/>
    <w:rsid w:val="00207599"/>
    <w:rsid w:val="00210191"/>
    <w:rsid w:val="002119FD"/>
    <w:rsid w:val="00211C52"/>
    <w:rsid w:val="002143F1"/>
    <w:rsid w:val="0022103B"/>
    <w:rsid w:val="00221BC7"/>
    <w:rsid w:val="00221C2E"/>
    <w:rsid w:val="0022487E"/>
    <w:rsid w:val="0023059F"/>
    <w:rsid w:val="002327DA"/>
    <w:rsid w:val="002349D9"/>
    <w:rsid w:val="00236849"/>
    <w:rsid w:val="002375DC"/>
    <w:rsid w:val="00240765"/>
    <w:rsid w:val="002414CE"/>
    <w:rsid w:val="00245980"/>
    <w:rsid w:val="002470E7"/>
    <w:rsid w:val="00247A67"/>
    <w:rsid w:val="0025014E"/>
    <w:rsid w:val="002533E6"/>
    <w:rsid w:val="002540CE"/>
    <w:rsid w:val="00255E77"/>
    <w:rsid w:val="00256F2A"/>
    <w:rsid w:val="00261A48"/>
    <w:rsid w:val="00262D7E"/>
    <w:rsid w:val="00266DB2"/>
    <w:rsid w:val="0027584D"/>
    <w:rsid w:val="00275C0B"/>
    <w:rsid w:val="002800FC"/>
    <w:rsid w:val="002801C4"/>
    <w:rsid w:val="00283446"/>
    <w:rsid w:val="00287AB8"/>
    <w:rsid w:val="00290BAC"/>
    <w:rsid w:val="00291DD5"/>
    <w:rsid w:val="00294180"/>
    <w:rsid w:val="00294314"/>
    <w:rsid w:val="002963F6"/>
    <w:rsid w:val="00296879"/>
    <w:rsid w:val="00296979"/>
    <w:rsid w:val="00297B63"/>
    <w:rsid w:val="002A0E54"/>
    <w:rsid w:val="002A10EC"/>
    <w:rsid w:val="002A19BA"/>
    <w:rsid w:val="002A26C5"/>
    <w:rsid w:val="002A29C9"/>
    <w:rsid w:val="002A727A"/>
    <w:rsid w:val="002A7615"/>
    <w:rsid w:val="002A7CD4"/>
    <w:rsid w:val="002B7810"/>
    <w:rsid w:val="002C245E"/>
    <w:rsid w:val="002C2EF1"/>
    <w:rsid w:val="002C30DB"/>
    <w:rsid w:val="002C388B"/>
    <w:rsid w:val="002D1628"/>
    <w:rsid w:val="002D248D"/>
    <w:rsid w:val="002D2D26"/>
    <w:rsid w:val="002D4031"/>
    <w:rsid w:val="002D690A"/>
    <w:rsid w:val="002E05BB"/>
    <w:rsid w:val="002E0705"/>
    <w:rsid w:val="002E20B0"/>
    <w:rsid w:val="002E3141"/>
    <w:rsid w:val="002E4955"/>
    <w:rsid w:val="002E592D"/>
    <w:rsid w:val="002E7DA1"/>
    <w:rsid w:val="002F13BF"/>
    <w:rsid w:val="002F738F"/>
    <w:rsid w:val="002F75A4"/>
    <w:rsid w:val="00302063"/>
    <w:rsid w:val="00304B26"/>
    <w:rsid w:val="00304C6E"/>
    <w:rsid w:val="0030618B"/>
    <w:rsid w:val="003100CB"/>
    <w:rsid w:val="00310BEF"/>
    <w:rsid w:val="00312A75"/>
    <w:rsid w:val="00314454"/>
    <w:rsid w:val="00315F50"/>
    <w:rsid w:val="00317E11"/>
    <w:rsid w:val="00321A85"/>
    <w:rsid w:val="00325998"/>
    <w:rsid w:val="00325C5B"/>
    <w:rsid w:val="003276E5"/>
    <w:rsid w:val="00327E2B"/>
    <w:rsid w:val="00330A97"/>
    <w:rsid w:val="003317F4"/>
    <w:rsid w:val="00331ADC"/>
    <w:rsid w:val="003353B9"/>
    <w:rsid w:val="00341358"/>
    <w:rsid w:val="003420E6"/>
    <w:rsid w:val="00344F3B"/>
    <w:rsid w:val="003470C5"/>
    <w:rsid w:val="0034747A"/>
    <w:rsid w:val="00350AD5"/>
    <w:rsid w:val="00350E84"/>
    <w:rsid w:val="00351062"/>
    <w:rsid w:val="00356985"/>
    <w:rsid w:val="00356AB5"/>
    <w:rsid w:val="00357620"/>
    <w:rsid w:val="00361AF5"/>
    <w:rsid w:val="0036216C"/>
    <w:rsid w:val="00362BFA"/>
    <w:rsid w:val="00362EFB"/>
    <w:rsid w:val="00363B44"/>
    <w:rsid w:val="0036557E"/>
    <w:rsid w:val="003661EF"/>
    <w:rsid w:val="00367993"/>
    <w:rsid w:val="00370491"/>
    <w:rsid w:val="0037110D"/>
    <w:rsid w:val="0037125B"/>
    <w:rsid w:val="00374EFC"/>
    <w:rsid w:val="00376262"/>
    <w:rsid w:val="003815F8"/>
    <w:rsid w:val="00382EC4"/>
    <w:rsid w:val="003838EA"/>
    <w:rsid w:val="003843C9"/>
    <w:rsid w:val="003844B1"/>
    <w:rsid w:val="003874F9"/>
    <w:rsid w:val="00390A91"/>
    <w:rsid w:val="003916E4"/>
    <w:rsid w:val="00393A0D"/>
    <w:rsid w:val="003958B3"/>
    <w:rsid w:val="003A0A2E"/>
    <w:rsid w:val="003A3156"/>
    <w:rsid w:val="003A5FE7"/>
    <w:rsid w:val="003B1A1D"/>
    <w:rsid w:val="003B2005"/>
    <w:rsid w:val="003B2205"/>
    <w:rsid w:val="003B4E5D"/>
    <w:rsid w:val="003B5736"/>
    <w:rsid w:val="003B6360"/>
    <w:rsid w:val="003C0814"/>
    <w:rsid w:val="003C1433"/>
    <w:rsid w:val="003C1C8B"/>
    <w:rsid w:val="003C6F75"/>
    <w:rsid w:val="003D3996"/>
    <w:rsid w:val="003D4A35"/>
    <w:rsid w:val="003D6EDB"/>
    <w:rsid w:val="003E2145"/>
    <w:rsid w:val="003E37ED"/>
    <w:rsid w:val="003E4B9B"/>
    <w:rsid w:val="003E60A3"/>
    <w:rsid w:val="003F1B6F"/>
    <w:rsid w:val="003F1EAB"/>
    <w:rsid w:val="003F2472"/>
    <w:rsid w:val="003F2BA8"/>
    <w:rsid w:val="003F2DDB"/>
    <w:rsid w:val="003F5C37"/>
    <w:rsid w:val="003F6721"/>
    <w:rsid w:val="003F6747"/>
    <w:rsid w:val="003F68DD"/>
    <w:rsid w:val="004006AF"/>
    <w:rsid w:val="0040103E"/>
    <w:rsid w:val="00401CD9"/>
    <w:rsid w:val="00402C8A"/>
    <w:rsid w:val="00404170"/>
    <w:rsid w:val="0040428B"/>
    <w:rsid w:val="004104CC"/>
    <w:rsid w:val="00413D10"/>
    <w:rsid w:val="00414532"/>
    <w:rsid w:val="00414FB4"/>
    <w:rsid w:val="00415497"/>
    <w:rsid w:val="004155BF"/>
    <w:rsid w:val="0041597D"/>
    <w:rsid w:val="00420751"/>
    <w:rsid w:val="00421439"/>
    <w:rsid w:val="004215B5"/>
    <w:rsid w:val="004230DB"/>
    <w:rsid w:val="00424E8E"/>
    <w:rsid w:val="004254DF"/>
    <w:rsid w:val="00425B23"/>
    <w:rsid w:val="004270A8"/>
    <w:rsid w:val="00430824"/>
    <w:rsid w:val="00430BE2"/>
    <w:rsid w:val="0043381A"/>
    <w:rsid w:val="00447CED"/>
    <w:rsid w:val="004524D7"/>
    <w:rsid w:val="004524DB"/>
    <w:rsid w:val="00455C70"/>
    <w:rsid w:val="004653D6"/>
    <w:rsid w:val="004663F1"/>
    <w:rsid w:val="004724B8"/>
    <w:rsid w:val="00477956"/>
    <w:rsid w:val="0048336A"/>
    <w:rsid w:val="00483876"/>
    <w:rsid w:val="00483FF4"/>
    <w:rsid w:val="00484436"/>
    <w:rsid w:val="00486139"/>
    <w:rsid w:val="004904E9"/>
    <w:rsid w:val="00490BB4"/>
    <w:rsid w:val="004924AF"/>
    <w:rsid w:val="00495745"/>
    <w:rsid w:val="004A11E6"/>
    <w:rsid w:val="004A538F"/>
    <w:rsid w:val="004A5ECA"/>
    <w:rsid w:val="004A6597"/>
    <w:rsid w:val="004B079A"/>
    <w:rsid w:val="004B1AEB"/>
    <w:rsid w:val="004B5837"/>
    <w:rsid w:val="004C18FE"/>
    <w:rsid w:val="004C2D8E"/>
    <w:rsid w:val="004D03A2"/>
    <w:rsid w:val="004D6D17"/>
    <w:rsid w:val="004D7589"/>
    <w:rsid w:val="004E1628"/>
    <w:rsid w:val="004E1FE8"/>
    <w:rsid w:val="004E3636"/>
    <w:rsid w:val="004E3E33"/>
    <w:rsid w:val="004E4E5A"/>
    <w:rsid w:val="004E5AB0"/>
    <w:rsid w:val="004E6237"/>
    <w:rsid w:val="004E6465"/>
    <w:rsid w:val="004E681A"/>
    <w:rsid w:val="004F04C0"/>
    <w:rsid w:val="004F0C57"/>
    <w:rsid w:val="004F301E"/>
    <w:rsid w:val="004F3091"/>
    <w:rsid w:val="004F4521"/>
    <w:rsid w:val="00500532"/>
    <w:rsid w:val="00501150"/>
    <w:rsid w:val="005034AE"/>
    <w:rsid w:val="0050566F"/>
    <w:rsid w:val="00505A29"/>
    <w:rsid w:val="005114EA"/>
    <w:rsid w:val="00511DC3"/>
    <w:rsid w:val="0051778D"/>
    <w:rsid w:val="00520AD0"/>
    <w:rsid w:val="00521550"/>
    <w:rsid w:val="005238F3"/>
    <w:rsid w:val="005243DE"/>
    <w:rsid w:val="00526143"/>
    <w:rsid w:val="005265EA"/>
    <w:rsid w:val="00526E7D"/>
    <w:rsid w:val="00532113"/>
    <w:rsid w:val="0053355A"/>
    <w:rsid w:val="00534592"/>
    <w:rsid w:val="005378A2"/>
    <w:rsid w:val="00540211"/>
    <w:rsid w:val="005442D0"/>
    <w:rsid w:val="0055044D"/>
    <w:rsid w:val="00550718"/>
    <w:rsid w:val="0055082B"/>
    <w:rsid w:val="0056037C"/>
    <w:rsid w:val="0056206C"/>
    <w:rsid w:val="00562C0B"/>
    <w:rsid w:val="005678A4"/>
    <w:rsid w:val="005679EE"/>
    <w:rsid w:val="005752F2"/>
    <w:rsid w:val="00575D70"/>
    <w:rsid w:val="00575F89"/>
    <w:rsid w:val="00583586"/>
    <w:rsid w:val="005837B2"/>
    <w:rsid w:val="005864E2"/>
    <w:rsid w:val="00590375"/>
    <w:rsid w:val="0059166C"/>
    <w:rsid w:val="00591AE1"/>
    <w:rsid w:val="0059288A"/>
    <w:rsid w:val="00593652"/>
    <w:rsid w:val="005974B3"/>
    <w:rsid w:val="005A07B7"/>
    <w:rsid w:val="005A1ADF"/>
    <w:rsid w:val="005A65C1"/>
    <w:rsid w:val="005B1F02"/>
    <w:rsid w:val="005B2D3D"/>
    <w:rsid w:val="005B385B"/>
    <w:rsid w:val="005B414A"/>
    <w:rsid w:val="005B4933"/>
    <w:rsid w:val="005C56CC"/>
    <w:rsid w:val="005C5DFF"/>
    <w:rsid w:val="005C64A3"/>
    <w:rsid w:val="005D08AC"/>
    <w:rsid w:val="005D241B"/>
    <w:rsid w:val="005D5F89"/>
    <w:rsid w:val="005E137D"/>
    <w:rsid w:val="005E6CB0"/>
    <w:rsid w:val="005E7B70"/>
    <w:rsid w:val="005E7C4B"/>
    <w:rsid w:val="005F0983"/>
    <w:rsid w:val="005F1B08"/>
    <w:rsid w:val="005F38A9"/>
    <w:rsid w:val="005F3948"/>
    <w:rsid w:val="005F42F3"/>
    <w:rsid w:val="005F530A"/>
    <w:rsid w:val="005F70D3"/>
    <w:rsid w:val="005F7A5E"/>
    <w:rsid w:val="005F7EBC"/>
    <w:rsid w:val="00602D15"/>
    <w:rsid w:val="00604D9D"/>
    <w:rsid w:val="00611166"/>
    <w:rsid w:val="00613E5D"/>
    <w:rsid w:val="006151FC"/>
    <w:rsid w:val="00617068"/>
    <w:rsid w:val="006176CE"/>
    <w:rsid w:val="00620BE3"/>
    <w:rsid w:val="006249F7"/>
    <w:rsid w:val="006258A9"/>
    <w:rsid w:val="00625E8E"/>
    <w:rsid w:val="00630366"/>
    <w:rsid w:val="006355CA"/>
    <w:rsid w:val="006355D2"/>
    <w:rsid w:val="006404B9"/>
    <w:rsid w:val="00640A36"/>
    <w:rsid w:val="00647335"/>
    <w:rsid w:val="00650C61"/>
    <w:rsid w:val="00651B57"/>
    <w:rsid w:val="0065203A"/>
    <w:rsid w:val="006524B2"/>
    <w:rsid w:val="00652F16"/>
    <w:rsid w:val="00654004"/>
    <w:rsid w:val="0065723A"/>
    <w:rsid w:val="006574BB"/>
    <w:rsid w:val="00661477"/>
    <w:rsid w:val="006654D8"/>
    <w:rsid w:val="00674E7F"/>
    <w:rsid w:val="00674F72"/>
    <w:rsid w:val="00677056"/>
    <w:rsid w:val="00681322"/>
    <w:rsid w:val="00682A21"/>
    <w:rsid w:val="006858CB"/>
    <w:rsid w:val="006876BE"/>
    <w:rsid w:val="00690131"/>
    <w:rsid w:val="006904B3"/>
    <w:rsid w:val="00690AD8"/>
    <w:rsid w:val="00691629"/>
    <w:rsid w:val="00692739"/>
    <w:rsid w:val="00694068"/>
    <w:rsid w:val="006A22C0"/>
    <w:rsid w:val="006A2A8D"/>
    <w:rsid w:val="006A716D"/>
    <w:rsid w:val="006B05E7"/>
    <w:rsid w:val="006B3FE1"/>
    <w:rsid w:val="006B7CF2"/>
    <w:rsid w:val="006C1FE9"/>
    <w:rsid w:val="006C436A"/>
    <w:rsid w:val="006D011C"/>
    <w:rsid w:val="006D10E0"/>
    <w:rsid w:val="006D4F3E"/>
    <w:rsid w:val="006D6155"/>
    <w:rsid w:val="006E136F"/>
    <w:rsid w:val="006E2D98"/>
    <w:rsid w:val="006E5A75"/>
    <w:rsid w:val="006E6C18"/>
    <w:rsid w:val="006E7074"/>
    <w:rsid w:val="006F0E2D"/>
    <w:rsid w:val="006F2173"/>
    <w:rsid w:val="006F58CD"/>
    <w:rsid w:val="006F62FC"/>
    <w:rsid w:val="006F680F"/>
    <w:rsid w:val="00703846"/>
    <w:rsid w:val="00703B09"/>
    <w:rsid w:val="007074C4"/>
    <w:rsid w:val="0071019E"/>
    <w:rsid w:val="007156AE"/>
    <w:rsid w:val="007177FD"/>
    <w:rsid w:val="00717BDE"/>
    <w:rsid w:val="0072125F"/>
    <w:rsid w:val="00723A4D"/>
    <w:rsid w:val="00724153"/>
    <w:rsid w:val="00732229"/>
    <w:rsid w:val="00735E6E"/>
    <w:rsid w:val="0074090E"/>
    <w:rsid w:val="007420C8"/>
    <w:rsid w:val="00742FE6"/>
    <w:rsid w:val="00743125"/>
    <w:rsid w:val="00743942"/>
    <w:rsid w:val="00744562"/>
    <w:rsid w:val="00744D20"/>
    <w:rsid w:val="007501FB"/>
    <w:rsid w:val="00751FCB"/>
    <w:rsid w:val="00761931"/>
    <w:rsid w:val="00762665"/>
    <w:rsid w:val="0076444F"/>
    <w:rsid w:val="00765378"/>
    <w:rsid w:val="007707E6"/>
    <w:rsid w:val="00772AAB"/>
    <w:rsid w:val="007808D4"/>
    <w:rsid w:val="00781C5A"/>
    <w:rsid w:val="00783349"/>
    <w:rsid w:val="00784660"/>
    <w:rsid w:val="00787A60"/>
    <w:rsid w:val="00792C95"/>
    <w:rsid w:val="00795D9C"/>
    <w:rsid w:val="007A2405"/>
    <w:rsid w:val="007A5F7B"/>
    <w:rsid w:val="007B0B8E"/>
    <w:rsid w:val="007B4932"/>
    <w:rsid w:val="007B6D5C"/>
    <w:rsid w:val="007B7445"/>
    <w:rsid w:val="007B7E91"/>
    <w:rsid w:val="007C3B83"/>
    <w:rsid w:val="007D4989"/>
    <w:rsid w:val="007D50CC"/>
    <w:rsid w:val="007D60DB"/>
    <w:rsid w:val="007D7A2E"/>
    <w:rsid w:val="007E0447"/>
    <w:rsid w:val="007E1E8A"/>
    <w:rsid w:val="007E3CB8"/>
    <w:rsid w:val="007E5A22"/>
    <w:rsid w:val="007E7E5C"/>
    <w:rsid w:val="007F26B6"/>
    <w:rsid w:val="007F2E5E"/>
    <w:rsid w:val="00802619"/>
    <w:rsid w:val="0080301D"/>
    <w:rsid w:val="0080338A"/>
    <w:rsid w:val="00805336"/>
    <w:rsid w:val="008069F3"/>
    <w:rsid w:val="00806E30"/>
    <w:rsid w:val="00811CAA"/>
    <w:rsid w:val="008157CB"/>
    <w:rsid w:val="008160FB"/>
    <w:rsid w:val="00816ADA"/>
    <w:rsid w:val="00820147"/>
    <w:rsid w:val="00821D09"/>
    <w:rsid w:val="00821E8C"/>
    <w:rsid w:val="00823E0E"/>
    <w:rsid w:val="0082592A"/>
    <w:rsid w:val="00825D77"/>
    <w:rsid w:val="008307B7"/>
    <w:rsid w:val="00832424"/>
    <w:rsid w:val="00833B40"/>
    <w:rsid w:val="00835325"/>
    <w:rsid w:val="00835F50"/>
    <w:rsid w:val="00841882"/>
    <w:rsid w:val="00842CF0"/>
    <w:rsid w:val="008440F2"/>
    <w:rsid w:val="008453D2"/>
    <w:rsid w:val="00850680"/>
    <w:rsid w:val="0085517E"/>
    <w:rsid w:val="00860181"/>
    <w:rsid w:val="0086300D"/>
    <w:rsid w:val="008652A0"/>
    <w:rsid w:val="00865588"/>
    <w:rsid w:val="00866431"/>
    <w:rsid w:val="00866960"/>
    <w:rsid w:val="00870790"/>
    <w:rsid w:val="008729F1"/>
    <w:rsid w:val="00872C14"/>
    <w:rsid w:val="008731E7"/>
    <w:rsid w:val="008736F9"/>
    <w:rsid w:val="00875A87"/>
    <w:rsid w:val="008818B2"/>
    <w:rsid w:val="00886C3B"/>
    <w:rsid w:val="0089092B"/>
    <w:rsid w:val="00890A15"/>
    <w:rsid w:val="0089136F"/>
    <w:rsid w:val="00891DE4"/>
    <w:rsid w:val="008922BB"/>
    <w:rsid w:val="00895444"/>
    <w:rsid w:val="00897049"/>
    <w:rsid w:val="008A0540"/>
    <w:rsid w:val="008A47E0"/>
    <w:rsid w:val="008A6075"/>
    <w:rsid w:val="008B0CB3"/>
    <w:rsid w:val="008B1B52"/>
    <w:rsid w:val="008B1D45"/>
    <w:rsid w:val="008B6E85"/>
    <w:rsid w:val="008C0607"/>
    <w:rsid w:val="008C070A"/>
    <w:rsid w:val="008C166C"/>
    <w:rsid w:val="008C394D"/>
    <w:rsid w:val="008C5A72"/>
    <w:rsid w:val="008C651A"/>
    <w:rsid w:val="008C6711"/>
    <w:rsid w:val="008C6C4A"/>
    <w:rsid w:val="008D0A4C"/>
    <w:rsid w:val="008D13EA"/>
    <w:rsid w:val="008D2C78"/>
    <w:rsid w:val="008D2F0D"/>
    <w:rsid w:val="008D4313"/>
    <w:rsid w:val="008D45A1"/>
    <w:rsid w:val="008D4665"/>
    <w:rsid w:val="008D4C9D"/>
    <w:rsid w:val="008D598B"/>
    <w:rsid w:val="008D6AE8"/>
    <w:rsid w:val="008D7976"/>
    <w:rsid w:val="008E065D"/>
    <w:rsid w:val="008E0744"/>
    <w:rsid w:val="008E07B5"/>
    <w:rsid w:val="008E282C"/>
    <w:rsid w:val="008E3C49"/>
    <w:rsid w:val="008E7FA1"/>
    <w:rsid w:val="008F3239"/>
    <w:rsid w:val="008F32FF"/>
    <w:rsid w:val="008F600A"/>
    <w:rsid w:val="008F6432"/>
    <w:rsid w:val="00906B75"/>
    <w:rsid w:val="009105B3"/>
    <w:rsid w:val="00911F0E"/>
    <w:rsid w:val="00913B8D"/>
    <w:rsid w:val="00921A7A"/>
    <w:rsid w:val="00922919"/>
    <w:rsid w:val="00926600"/>
    <w:rsid w:val="0093190B"/>
    <w:rsid w:val="00932B25"/>
    <w:rsid w:val="009330FF"/>
    <w:rsid w:val="009366E4"/>
    <w:rsid w:val="00936AC9"/>
    <w:rsid w:val="00936C5D"/>
    <w:rsid w:val="009402FB"/>
    <w:rsid w:val="00941F81"/>
    <w:rsid w:val="00943DA6"/>
    <w:rsid w:val="0095088B"/>
    <w:rsid w:val="00953095"/>
    <w:rsid w:val="0096788E"/>
    <w:rsid w:val="009678D6"/>
    <w:rsid w:val="00967A65"/>
    <w:rsid w:val="009702C5"/>
    <w:rsid w:val="00971C58"/>
    <w:rsid w:val="009725D7"/>
    <w:rsid w:val="009736A3"/>
    <w:rsid w:val="009838A9"/>
    <w:rsid w:val="00984D90"/>
    <w:rsid w:val="009856C5"/>
    <w:rsid w:val="00985A24"/>
    <w:rsid w:val="009862F6"/>
    <w:rsid w:val="0098686B"/>
    <w:rsid w:val="00995445"/>
    <w:rsid w:val="0099544B"/>
    <w:rsid w:val="00996B65"/>
    <w:rsid w:val="009A1319"/>
    <w:rsid w:val="009A3744"/>
    <w:rsid w:val="009A5CAA"/>
    <w:rsid w:val="009A7C68"/>
    <w:rsid w:val="009B24DD"/>
    <w:rsid w:val="009B651B"/>
    <w:rsid w:val="009C1404"/>
    <w:rsid w:val="009C5097"/>
    <w:rsid w:val="009D393E"/>
    <w:rsid w:val="009D564E"/>
    <w:rsid w:val="009D59A7"/>
    <w:rsid w:val="009E0035"/>
    <w:rsid w:val="009E238E"/>
    <w:rsid w:val="009E328D"/>
    <w:rsid w:val="009E3F36"/>
    <w:rsid w:val="009E43EE"/>
    <w:rsid w:val="009E5FA2"/>
    <w:rsid w:val="009E74DA"/>
    <w:rsid w:val="009F0F57"/>
    <w:rsid w:val="009F22F9"/>
    <w:rsid w:val="009F2BB7"/>
    <w:rsid w:val="009F5A8A"/>
    <w:rsid w:val="009F6228"/>
    <w:rsid w:val="009F727A"/>
    <w:rsid w:val="009F74E2"/>
    <w:rsid w:val="00A0137D"/>
    <w:rsid w:val="00A02662"/>
    <w:rsid w:val="00A03415"/>
    <w:rsid w:val="00A0387B"/>
    <w:rsid w:val="00A04F9C"/>
    <w:rsid w:val="00A07278"/>
    <w:rsid w:val="00A15A78"/>
    <w:rsid w:val="00A160F9"/>
    <w:rsid w:val="00A21667"/>
    <w:rsid w:val="00A21D46"/>
    <w:rsid w:val="00A22D46"/>
    <w:rsid w:val="00A2488F"/>
    <w:rsid w:val="00A25919"/>
    <w:rsid w:val="00A25B1B"/>
    <w:rsid w:val="00A26E2B"/>
    <w:rsid w:val="00A34A4D"/>
    <w:rsid w:val="00A41106"/>
    <w:rsid w:val="00A41487"/>
    <w:rsid w:val="00A4270A"/>
    <w:rsid w:val="00A467EB"/>
    <w:rsid w:val="00A46EFB"/>
    <w:rsid w:val="00A50D1B"/>
    <w:rsid w:val="00A55A8D"/>
    <w:rsid w:val="00A57715"/>
    <w:rsid w:val="00A6085C"/>
    <w:rsid w:val="00A63D48"/>
    <w:rsid w:val="00A67600"/>
    <w:rsid w:val="00A7185B"/>
    <w:rsid w:val="00A7247B"/>
    <w:rsid w:val="00A74BE9"/>
    <w:rsid w:val="00A7505C"/>
    <w:rsid w:val="00A77D65"/>
    <w:rsid w:val="00A80514"/>
    <w:rsid w:val="00A80B1F"/>
    <w:rsid w:val="00A8252B"/>
    <w:rsid w:val="00A82CFB"/>
    <w:rsid w:val="00A83130"/>
    <w:rsid w:val="00A83D5C"/>
    <w:rsid w:val="00A83F8F"/>
    <w:rsid w:val="00A8423F"/>
    <w:rsid w:val="00A90C72"/>
    <w:rsid w:val="00A93E49"/>
    <w:rsid w:val="00AA1FEC"/>
    <w:rsid w:val="00AA36F7"/>
    <w:rsid w:val="00AA4F9E"/>
    <w:rsid w:val="00AA510C"/>
    <w:rsid w:val="00AA56A1"/>
    <w:rsid w:val="00AA6049"/>
    <w:rsid w:val="00AB24EE"/>
    <w:rsid w:val="00AB2FF5"/>
    <w:rsid w:val="00AB355D"/>
    <w:rsid w:val="00AC510F"/>
    <w:rsid w:val="00AD0CE3"/>
    <w:rsid w:val="00AD204D"/>
    <w:rsid w:val="00AD4F52"/>
    <w:rsid w:val="00AD6A87"/>
    <w:rsid w:val="00AD7601"/>
    <w:rsid w:val="00AD7F6B"/>
    <w:rsid w:val="00AE169B"/>
    <w:rsid w:val="00AE49C9"/>
    <w:rsid w:val="00AE52D6"/>
    <w:rsid w:val="00AE727C"/>
    <w:rsid w:val="00AF0DE9"/>
    <w:rsid w:val="00AF278F"/>
    <w:rsid w:val="00AF2F1B"/>
    <w:rsid w:val="00AF4AD6"/>
    <w:rsid w:val="00AF7523"/>
    <w:rsid w:val="00B01C5F"/>
    <w:rsid w:val="00B110F8"/>
    <w:rsid w:val="00B12AA2"/>
    <w:rsid w:val="00B1356F"/>
    <w:rsid w:val="00B16C9E"/>
    <w:rsid w:val="00B20080"/>
    <w:rsid w:val="00B208A7"/>
    <w:rsid w:val="00B20FA2"/>
    <w:rsid w:val="00B216B3"/>
    <w:rsid w:val="00B2263C"/>
    <w:rsid w:val="00B228D4"/>
    <w:rsid w:val="00B253FB"/>
    <w:rsid w:val="00B3001D"/>
    <w:rsid w:val="00B30D54"/>
    <w:rsid w:val="00B33C76"/>
    <w:rsid w:val="00B345A4"/>
    <w:rsid w:val="00B37CA5"/>
    <w:rsid w:val="00B40394"/>
    <w:rsid w:val="00B454FA"/>
    <w:rsid w:val="00B46548"/>
    <w:rsid w:val="00B47A34"/>
    <w:rsid w:val="00B55510"/>
    <w:rsid w:val="00B55B9E"/>
    <w:rsid w:val="00B56208"/>
    <w:rsid w:val="00B56326"/>
    <w:rsid w:val="00B6387D"/>
    <w:rsid w:val="00B63EF4"/>
    <w:rsid w:val="00B64A13"/>
    <w:rsid w:val="00B65316"/>
    <w:rsid w:val="00B65872"/>
    <w:rsid w:val="00B65C83"/>
    <w:rsid w:val="00B661E8"/>
    <w:rsid w:val="00B67940"/>
    <w:rsid w:val="00B67B22"/>
    <w:rsid w:val="00B709F0"/>
    <w:rsid w:val="00B82310"/>
    <w:rsid w:val="00B8240A"/>
    <w:rsid w:val="00B841A3"/>
    <w:rsid w:val="00B87789"/>
    <w:rsid w:val="00B94DC3"/>
    <w:rsid w:val="00B95739"/>
    <w:rsid w:val="00B95BF4"/>
    <w:rsid w:val="00B971C9"/>
    <w:rsid w:val="00BA199B"/>
    <w:rsid w:val="00BA2DFF"/>
    <w:rsid w:val="00BA3E86"/>
    <w:rsid w:val="00BA4B05"/>
    <w:rsid w:val="00BB144A"/>
    <w:rsid w:val="00BB177D"/>
    <w:rsid w:val="00BC1299"/>
    <w:rsid w:val="00BC19BD"/>
    <w:rsid w:val="00BC20A2"/>
    <w:rsid w:val="00BC2AA2"/>
    <w:rsid w:val="00BC6C36"/>
    <w:rsid w:val="00BD0556"/>
    <w:rsid w:val="00BD22EE"/>
    <w:rsid w:val="00BD6498"/>
    <w:rsid w:val="00BD6736"/>
    <w:rsid w:val="00BD7F92"/>
    <w:rsid w:val="00BE089B"/>
    <w:rsid w:val="00BE1DD9"/>
    <w:rsid w:val="00BE39A5"/>
    <w:rsid w:val="00BE4BD3"/>
    <w:rsid w:val="00BE53AA"/>
    <w:rsid w:val="00BF0F61"/>
    <w:rsid w:val="00BF77C8"/>
    <w:rsid w:val="00C011B7"/>
    <w:rsid w:val="00C017B3"/>
    <w:rsid w:val="00C0489C"/>
    <w:rsid w:val="00C10D5A"/>
    <w:rsid w:val="00C145EB"/>
    <w:rsid w:val="00C14CB2"/>
    <w:rsid w:val="00C14EDC"/>
    <w:rsid w:val="00C166A5"/>
    <w:rsid w:val="00C16FE2"/>
    <w:rsid w:val="00C17336"/>
    <w:rsid w:val="00C17651"/>
    <w:rsid w:val="00C20A85"/>
    <w:rsid w:val="00C20CC9"/>
    <w:rsid w:val="00C305BF"/>
    <w:rsid w:val="00C30944"/>
    <w:rsid w:val="00C3350F"/>
    <w:rsid w:val="00C348E1"/>
    <w:rsid w:val="00C35926"/>
    <w:rsid w:val="00C36794"/>
    <w:rsid w:val="00C36C4E"/>
    <w:rsid w:val="00C407A4"/>
    <w:rsid w:val="00C41BD6"/>
    <w:rsid w:val="00C4249C"/>
    <w:rsid w:val="00C42A94"/>
    <w:rsid w:val="00C42D73"/>
    <w:rsid w:val="00C4453D"/>
    <w:rsid w:val="00C44CB0"/>
    <w:rsid w:val="00C4579B"/>
    <w:rsid w:val="00C467E2"/>
    <w:rsid w:val="00C51C22"/>
    <w:rsid w:val="00C5366F"/>
    <w:rsid w:val="00C55602"/>
    <w:rsid w:val="00C638CF"/>
    <w:rsid w:val="00C6409D"/>
    <w:rsid w:val="00C64F45"/>
    <w:rsid w:val="00C6597A"/>
    <w:rsid w:val="00C703C0"/>
    <w:rsid w:val="00C70481"/>
    <w:rsid w:val="00C71AF8"/>
    <w:rsid w:val="00C738AA"/>
    <w:rsid w:val="00C7411D"/>
    <w:rsid w:val="00C75689"/>
    <w:rsid w:val="00C76676"/>
    <w:rsid w:val="00C76DA7"/>
    <w:rsid w:val="00C80E8A"/>
    <w:rsid w:val="00C813A6"/>
    <w:rsid w:val="00C81AB3"/>
    <w:rsid w:val="00C83867"/>
    <w:rsid w:val="00C86269"/>
    <w:rsid w:val="00C87676"/>
    <w:rsid w:val="00C90BAC"/>
    <w:rsid w:val="00C979DE"/>
    <w:rsid w:val="00C97D3D"/>
    <w:rsid w:val="00CA1A49"/>
    <w:rsid w:val="00CA47E3"/>
    <w:rsid w:val="00CB39A6"/>
    <w:rsid w:val="00CB3D12"/>
    <w:rsid w:val="00CB43C1"/>
    <w:rsid w:val="00CB7AB7"/>
    <w:rsid w:val="00CC0E8B"/>
    <w:rsid w:val="00CC4091"/>
    <w:rsid w:val="00CC4ABE"/>
    <w:rsid w:val="00CC69EE"/>
    <w:rsid w:val="00CD183D"/>
    <w:rsid w:val="00CD289E"/>
    <w:rsid w:val="00CD3EE4"/>
    <w:rsid w:val="00CE2BAD"/>
    <w:rsid w:val="00CE776D"/>
    <w:rsid w:val="00CF0096"/>
    <w:rsid w:val="00CF0B68"/>
    <w:rsid w:val="00CF270F"/>
    <w:rsid w:val="00CF30F4"/>
    <w:rsid w:val="00CF3A87"/>
    <w:rsid w:val="00CF3B84"/>
    <w:rsid w:val="00D053F0"/>
    <w:rsid w:val="00D066D9"/>
    <w:rsid w:val="00D11300"/>
    <w:rsid w:val="00D14569"/>
    <w:rsid w:val="00D15A98"/>
    <w:rsid w:val="00D208C4"/>
    <w:rsid w:val="00D208F4"/>
    <w:rsid w:val="00D2151D"/>
    <w:rsid w:val="00D2260D"/>
    <w:rsid w:val="00D2365E"/>
    <w:rsid w:val="00D24003"/>
    <w:rsid w:val="00D24532"/>
    <w:rsid w:val="00D257A6"/>
    <w:rsid w:val="00D26579"/>
    <w:rsid w:val="00D274AC"/>
    <w:rsid w:val="00D32FBA"/>
    <w:rsid w:val="00D37283"/>
    <w:rsid w:val="00D37EDA"/>
    <w:rsid w:val="00D405A8"/>
    <w:rsid w:val="00D405F5"/>
    <w:rsid w:val="00D421DA"/>
    <w:rsid w:val="00D42349"/>
    <w:rsid w:val="00D45403"/>
    <w:rsid w:val="00D47772"/>
    <w:rsid w:val="00D5495F"/>
    <w:rsid w:val="00D56B32"/>
    <w:rsid w:val="00D57397"/>
    <w:rsid w:val="00D57C6D"/>
    <w:rsid w:val="00D62405"/>
    <w:rsid w:val="00D62A15"/>
    <w:rsid w:val="00D66005"/>
    <w:rsid w:val="00D6739D"/>
    <w:rsid w:val="00D67AA9"/>
    <w:rsid w:val="00D70697"/>
    <w:rsid w:val="00D70B97"/>
    <w:rsid w:val="00D7215D"/>
    <w:rsid w:val="00D734CD"/>
    <w:rsid w:val="00D760DD"/>
    <w:rsid w:val="00D76367"/>
    <w:rsid w:val="00D7675A"/>
    <w:rsid w:val="00D813CC"/>
    <w:rsid w:val="00D8525B"/>
    <w:rsid w:val="00D91433"/>
    <w:rsid w:val="00D9318B"/>
    <w:rsid w:val="00D93620"/>
    <w:rsid w:val="00D955BD"/>
    <w:rsid w:val="00D97040"/>
    <w:rsid w:val="00D97CDE"/>
    <w:rsid w:val="00DA1539"/>
    <w:rsid w:val="00DA1AA8"/>
    <w:rsid w:val="00DA4B37"/>
    <w:rsid w:val="00DA5175"/>
    <w:rsid w:val="00DA6913"/>
    <w:rsid w:val="00DB0DC6"/>
    <w:rsid w:val="00DB17A5"/>
    <w:rsid w:val="00DC0C13"/>
    <w:rsid w:val="00DC2CFD"/>
    <w:rsid w:val="00DC652B"/>
    <w:rsid w:val="00DC6DBF"/>
    <w:rsid w:val="00DC7263"/>
    <w:rsid w:val="00DD099F"/>
    <w:rsid w:val="00DD3976"/>
    <w:rsid w:val="00DD469C"/>
    <w:rsid w:val="00DD4BCD"/>
    <w:rsid w:val="00DD4BF1"/>
    <w:rsid w:val="00DD4FDD"/>
    <w:rsid w:val="00DE3030"/>
    <w:rsid w:val="00DE3117"/>
    <w:rsid w:val="00DE448F"/>
    <w:rsid w:val="00DE7639"/>
    <w:rsid w:val="00DF2056"/>
    <w:rsid w:val="00E0056F"/>
    <w:rsid w:val="00E0128F"/>
    <w:rsid w:val="00E0284B"/>
    <w:rsid w:val="00E04BBC"/>
    <w:rsid w:val="00E05C26"/>
    <w:rsid w:val="00E133BE"/>
    <w:rsid w:val="00E14163"/>
    <w:rsid w:val="00E16A78"/>
    <w:rsid w:val="00E172D0"/>
    <w:rsid w:val="00E1798B"/>
    <w:rsid w:val="00E17F94"/>
    <w:rsid w:val="00E2408F"/>
    <w:rsid w:val="00E25705"/>
    <w:rsid w:val="00E2658B"/>
    <w:rsid w:val="00E314AE"/>
    <w:rsid w:val="00E342FD"/>
    <w:rsid w:val="00E34371"/>
    <w:rsid w:val="00E343E2"/>
    <w:rsid w:val="00E3498B"/>
    <w:rsid w:val="00E37DE6"/>
    <w:rsid w:val="00E402ED"/>
    <w:rsid w:val="00E45CCE"/>
    <w:rsid w:val="00E47751"/>
    <w:rsid w:val="00E51233"/>
    <w:rsid w:val="00E514DC"/>
    <w:rsid w:val="00E54500"/>
    <w:rsid w:val="00E56725"/>
    <w:rsid w:val="00E56E47"/>
    <w:rsid w:val="00E57622"/>
    <w:rsid w:val="00E57DBA"/>
    <w:rsid w:val="00E61194"/>
    <w:rsid w:val="00E6256C"/>
    <w:rsid w:val="00E64F63"/>
    <w:rsid w:val="00E67BE8"/>
    <w:rsid w:val="00E71336"/>
    <w:rsid w:val="00E71368"/>
    <w:rsid w:val="00E71B4B"/>
    <w:rsid w:val="00E71F50"/>
    <w:rsid w:val="00E7513D"/>
    <w:rsid w:val="00E77458"/>
    <w:rsid w:val="00E77868"/>
    <w:rsid w:val="00E85819"/>
    <w:rsid w:val="00E865E9"/>
    <w:rsid w:val="00E90318"/>
    <w:rsid w:val="00E921C1"/>
    <w:rsid w:val="00E9687E"/>
    <w:rsid w:val="00E976FE"/>
    <w:rsid w:val="00EA2661"/>
    <w:rsid w:val="00EB0566"/>
    <w:rsid w:val="00EB2EA2"/>
    <w:rsid w:val="00EB5C62"/>
    <w:rsid w:val="00EB7A38"/>
    <w:rsid w:val="00EC12C9"/>
    <w:rsid w:val="00EC2FD5"/>
    <w:rsid w:val="00EC36B5"/>
    <w:rsid w:val="00EC6951"/>
    <w:rsid w:val="00ED12F1"/>
    <w:rsid w:val="00ED4D99"/>
    <w:rsid w:val="00ED5C8A"/>
    <w:rsid w:val="00ED6DCB"/>
    <w:rsid w:val="00EE0BC4"/>
    <w:rsid w:val="00EE0CF8"/>
    <w:rsid w:val="00EE3D73"/>
    <w:rsid w:val="00EE450E"/>
    <w:rsid w:val="00EE5E55"/>
    <w:rsid w:val="00EE5F87"/>
    <w:rsid w:val="00EE7A3C"/>
    <w:rsid w:val="00EE7F8C"/>
    <w:rsid w:val="00EF03D7"/>
    <w:rsid w:val="00EF1C3B"/>
    <w:rsid w:val="00EF1E1A"/>
    <w:rsid w:val="00EF28AD"/>
    <w:rsid w:val="00EF79A2"/>
    <w:rsid w:val="00EF7B90"/>
    <w:rsid w:val="00F049A4"/>
    <w:rsid w:val="00F05638"/>
    <w:rsid w:val="00F07951"/>
    <w:rsid w:val="00F07B4F"/>
    <w:rsid w:val="00F115E8"/>
    <w:rsid w:val="00F11EC4"/>
    <w:rsid w:val="00F11FA5"/>
    <w:rsid w:val="00F13FD1"/>
    <w:rsid w:val="00F14885"/>
    <w:rsid w:val="00F218B6"/>
    <w:rsid w:val="00F25C1B"/>
    <w:rsid w:val="00F27431"/>
    <w:rsid w:val="00F31280"/>
    <w:rsid w:val="00F34701"/>
    <w:rsid w:val="00F37F05"/>
    <w:rsid w:val="00F4181A"/>
    <w:rsid w:val="00F4484B"/>
    <w:rsid w:val="00F52062"/>
    <w:rsid w:val="00F54C69"/>
    <w:rsid w:val="00F5546B"/>
    <w:rsid w:val="00F56B4D"/>
    <w:rsid w:val="00F60E5A"/>
    <w:rsid w:val="00F6286D"/>
    <w:rsid w:val="00F65B1A"/>
    <w:rsid w:val="00F665EE"/>
    <w:rsid w:val="00F668B5"/>
    <w:rsid w:val="00F71610"/>
    <w:rsid w:val="00F716B6"/>
    <w:rsid w:val="00F71C60"/>
    <w:rsid w:val="00F73757"/>
    <w:rsid w:val="00F73E5E"/>
    <w:rsid w:val="00F7484B"/>
    <w:rsid w:val="00F8139F"/>
    <w:rsid w:val="00F85A66"/>
    <w:rsid w:val="00F87462"/>
    <w:rsid w:val="00F93B09"/>
    <w:rsid w:val="00F93F73"/>
    <w:rsid w:val="00F9552A"/>
    <w:rsid w:val="00F97E47"/>
    <w:rsid w:val="00FA0371"/>
    <w:rsid w:val="00FA0EB9"/>
    <w:rsid w:val="00FA1741"/>
    <w:rsid w:val="00FA1C03"/>
    <w:rsid w:val="00FA4521"/>
    <w:rsid w:val="00FA6748"/>
    <w:rsid w:val="00FA7A26"/>
    <w:rsid w:val="00FB18AF"/>
    <w:rsid w:val="00FB4EE8"/>
    <w:rsid w:val="00FB683A"/>
    <w:rsid w:val="00FC048C"/>
    <w:rsid w:val="00FC197F"/>
    <w:rsid w:val="00FC2BD0"/>
    <w:rsid w:val="00FC2DF0"/>
    <w:rsid w:val="00FC65E6"/>
    <w:rsid w:val="00FC7B75"/>
    <w:rsid w:val="00FD0C6C"/>
    <w:rsid w:val="00FD0D02"/>
    <w:rsid w:val="00FD1459"/>
    <w:rsid w:val="00FD1765"/>
    <w:rsid w:val="00FD1956"/>
    <w:rsid w:val="00FD1AE4"/>
    <w:rsid w:val="00FD3618"/>
    <w:rsid w:val="00FD657B"/>
    <w:rsid w:val="00FE3127"/>
    <w:rsid w:val="00FE328C"/>
    <w:rsid w:val="00FE56D6"/>
    <w:rsid w:val="00FE5B0A"/>
    <w:rsid w:val="00FE63C8"/>
    <w:rsid w:val="00FF23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6CEE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49"/>
    <w:rPr>
      <w:rFonts w:ascii="Arial" w:eastAsia="Times New Roman" w:hAnsi="Arial" w:cs="Arial"/>
      <w:color w:val="333333"/>
      <w:lang w:val="en-GB" w:eastAsia="en-GB"/>
    </w:rPr>
  </w:style>
  <w:style w:type="paragraph" w:styleId="Heading2">
    <w:name w:val="heading 2"/>
    <w:basedOn w:val="Normal"/>
    <w:next w:val="Normal"/>
    <w:link w:val="Heading2Char"/>
    <w:uiPriority w:val="9"/>
    <w:unhideWhenUsed/>
    <w:qFormat/>
    <w:rsid w:val="00E71F50"/>
    <w:pPr>
      <w:keepNext/>
      <w:keepLines/>
      <w:spacing w:before="200" w:after="0"/>
      <w:outlineLvl w:val="1"/>
    </w:pPr>
    <w:rPr>
      <w:rFonts w:ascii="Cambria" w:eastAsia="SimSun" w:hAnsi="Cambria" w:cs="Times New Roman"/>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List Paragraph1"/>
    <w:basedOn w:val="Normal"/>
    <w:link w:val="ListParagraphChar"/>
    <w:uiPriority w:val="34"/>
    <w:qFormat/>
    <w:rsid w:val="000D4B49"/>
    <w:pPr>
      <w:ind w:left="720"/>
      <w:contextualSpacing/>
    </w:pPr>
    <w:rPr>
      <w:rFonts w:asciiTheme="minorHAnsi" w:eastAsiaTheme="minorHAnsi" w:hAnsiTheme="minorHAnsi" w:cstheme="minorBidi"/>
      <w:color w:val="auto"/>
      <w:lang w:val="en-US" w:eastAsia="en-US"/>
    </w:rPr>
  </w:style>
  <w:style w:type="paragraph" w:styleId="BalloonText">
    <w:name w:val="Balloon Text"/>
    <w:basedOn w:val="Normal"/>
    <w:link w:val="BalloonTextChar"/>
    <w:uiPriority w:val="99"/>
    <w:semiHidden/>
    <w:unhideWhenUsed/>
    <w:rsid w:val="00DE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48F"/>
    <w:rPr>
      <w:rFonts w:ascii="Tahoma" w:eastAsia="Times New Roman" w:hAnsi="Tahoma" w:cs="Tahoma"/>
      <w:color w:val="333333"/>
      <w:sz w:val="16"/>
      <w:szCs w:val="16"/>
      <w:lang w:val="en-GB" w:eastAsia="en-GB"/>
    </w:rPr>
  </w:style>
  <w:style w:type="character" w:styleId="CommentReference">
    <w:name w:val="annotation reference"/>
    <w:basedOn w:val="DefaultParagraphFont"/>
    <w:uiPriority w:val="99"/>
    <w:semiHidden/>
    <w:unhideWhenUsed/>
    <w:rsid w:val="00BD6736"/>
    <w:rPr>
      <w:sz w:val="16"/>
      <w:szCs w:val="16"/>
    </w:rPr>
  </w:style>
  <w:style w:type="paragraph" w:styleId="CommentText">
    <w:name w:val="annotation text"/>
    <w:basedOn w:val="Normal"/>
    <w:link w:val="CommentTextChar"/>
    <w:uiPriority w:val="99"/>
    <w:unhideWhenUsed/>
    <w:rsid w:val="00BD6736"/>
    <w:pPr>
      <w:spacing w:line="240" w:lineRule="auto"/>
    </w:pPr>
    <w:rPr>
      <w:sz w:val="20"/>
      <w:szCs w:val="20"/>
    </w:rPr>
  </w:style>
  <w:style w:type="character" w:customStyle="1" w:styleId="CommentTextChar">
    <w:name w:val="Comment Text Char"/>
    <w:basedOn w:val="DefaultParagraphFont"/>
    <w:link w:val="CommentText"/>
    <w:uiPriority w:val="99"/>
    <w:rsid w:val="00BD6736"/>
    <w:rPr>
      <w:rFonts w:ascii="Arial" w:eastAsia="Times New Roman" w:hAnsi="Arial" w:cs="Arial"/>
      <w:color w:val="333333"/>
      <w:sz w:val="20"/>
      <w:szCs w:val="20"/>
      <w:lang w:val="en-GB" w:eastAsia="en-GB"/>
    </w:rPr>
  </w:style>
  <w:style w:type="character" w:styleId="Hyperlink">
    <w:name w:val="Hyperlink"/>
    <w:basedOn w:val="DefaultParagraphFont"/>
    <w:uiPriority w:val="99"/>
    <w:unhideWhenUsed/>
    <w:rsid w:val="00BD6736"/>
    <w:rPr>
      <w:color w:val="0000FF"/>
      <w:u w:val="single"/>
    </w:rPr>
  </w:style>
  <w:style w:type="paragraph" w:styleId="Header">
    <w:name w:val="header"/>
    <w:basedOn w:val="Normal"/>
    <w:link w:val="HeaderChar"/>
    <w:uiPriority w:val="99"/>
    <w:unhideWhenUsed/>
    <w:rsid w:val="00FC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8C"/>
    <w:rPr>
      <w:rFonts w:ascii="Arial" w:eastAsia="Times New Roman" w:hAnsi="Arial" w:cs="Arial"/>
      <w:color w:val="333333"/>
      <w:lang w:val="en-GB" w:eastAsia="en-GB"/>
    </w:rPr>
  </w:style>
  <w:style w:type="paragraph" w:styleId="Footer">
    <w:name w:val="footer"/>
    <w:basedOn w:val="Normal"/>
    <w:link w:val="FooterChar"/>
    <w:uiPriority w:val="99"/>
    <w:unhideWhenUsed/>
    <w:rsid w:val="00FC0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8C"/>
    <w:rPr>
      <w:rFonts w:ascii="Arial" w:eastAsia="Times New Roman" w:hAnsi="Arial" w:cs="Arial"/>
      <w:color w:val="333333"/>
      <w:lang w:val="en-GB" w:eastAsia="en-GB"/>
    </w:rPr>
  </w:style>
  <w:style w:type="paragraph" w:styleId="PlainText">
    <w:name w:val="Plain Text"/>
    <w:basedOn w:val="Normal"/>
    <w:link w:val="PlainTextChar"/>
    <w:uiPriority w:val="99"/>
    <w:unhideWhenUsed/>
    <w:rsid w:val="00FC048C"/>
    <w:pPr>
      <w:spacing w:after="0" w:line="240" w:lineRule="auto"/>
    </w:pPr>
    <w:rPr>
      <w:rFonts w:ascii="Calibri" w:eastAsiaTheme="minorHAnsi" w:hAnsi="Calibri" w:cstheme="minorBidi"/>
      <w:color w:val="auto"/>
      <w:szCs w:val="21"/>
      <w:lang w:val="en-US" w:eastAsia="en-US"/>
    </w:rPr>
  </w:style>
  <w:style w:type="character" w:customStyle="1" w:styleId="PlainTextChar">
    <w:name w:val="Plain Text Char"/>
    <w:basedOn w:val="DefaultParagraphFont"/>
    <w:link w:val="PlainText"/>
    <w:uiPriority w:val="99"/>
    <w:rsid w:val="00FC048C"/>
    <w:rPr>
      <w:rFonts w:ascii="Calibri" w:hAnsi="Calibri"/>
      <w:szCs w:val="21"/>
    </w:rPr>
  </w:style>
  <w:style w:type="paragraph" w:styleId="CommentSubject">
    <w:name w:val="annotation subject"/>
    <w:basedOn w:val="CommentText"/>
    <w:next w:val="CommentText"/>
    <w:link w:val="CommentSubjectChar"/>
    <w:uiPriority w:val="99"/>
    <w:semiHidden/>
    <w:unhideWhenUsed/>
    <w:rsid w:val="00B33C76"/>
    <w:rPr>
      <w:b/>
      <w:bCs/>
    </w:rPr>
  </w:style>
  <w:style w:type="character" w:customStyle="1" w:styleId="CommentSubjectChar">
    <w:name w:val="Comment Subject Char"/>
    <w:basedOn w:val="CommentTextChar"/>
    <w:link w:val="CommentSubject"/>
    <w:uiPriority w:val="99"/>
    <w:semiHidden/>
    <w:rsid w:val="00B33C76"/>
    <w:rPr>
      <w:rFonts w:ascii="Arial" w:eastAsia="Times New Roman" w:hAnsi="Arial" w:cs="Arial"/>
      <w:b/>
      <w:bCs/>
      <w:color w:val="333333"/>
      <w:sz w:val="20"/>
      <w:szCs w:val="20"/>
      <w:lang w:val="en-GB" w:eastAsia="en-GB"/>
    </w:rPr>
  </w:style>
  <w:style w:type="paragraph" w:styleId="Revision">
    <w:name w:val="Revision"/>
    <w:hidden/>
    <w:uiPriority w:val="99"/>
    <w:semiHidden/>
    <w:rsid w:val="00B33C76"/>
    <w:pPr>
      <w:spacing w:after="0" w:line="240" w:lineRule="auto"/>
    </w:pPr>
    <w:rPr>
      <w:rFonts w:ascii="Arial" w:eastAsia="Times New Roman" w:hAnsi="Arial" w:cs="Arial"/>
      <w:color w:val="333333"/>
      <w:lang w:val="en-GB" w:eastAsia="en-GB"/>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12pt"/>
    <w:basedOn w:val="Normal"/>
    <w:link w:val="FootnoteTextChar"/>
    <w:uiPriority w:val="99"/>
    <w:unhideWhenUsed/>
    <w:rsid w:val="007E7E5C"/>
    <w:pPr>
      <w:spacing w:after="0" w:line="240" w:lineRule="auto"/>
    </w:pPr>
    <w:rPr>
      <w:rFonts w:ascii="Calibri" w:eastAsia="Calibri" w:hAnsi="Calibri" w:cs="Times New Roman"/>
      <w:color w:val="auto"/>
      <w:sz w:val="20"/>
      <w:szCs w:val="20"/>
      <w:lang w:val="en-US" w:eastAsia="en-US"/>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rsid w:val="007E7E5C"/>
    <w:rPr>
      <w:rFonts w:ascii="Calibri" w:eastAsia="Calibri" w:hAnsi="Calibri" w:cs="Times New Roman"/>
      <w:sz w:val="20"/>
      <w:szCs w:val="20"/>
    </w:rPr>
  </w:style>
  <w:style w:type="character" w:styleId="FootnoteReference">
    <w:name w:val="footnote reference"/>
    <w:aliases w:val="16 Point,Superscript 6 Point,ftref"/>
    <w:uiPriority w:val="99"/>
    <w:unhideWhenUsed/>
    <w:rsid w:val="007E7E5C"/>
    <w:rPr>
      <w:vertAlign w:val="superscript"/>
    </w:rPr>
  </w:style>
  <w:style w:type="table" w:styleId="ColorfulGrid-Accent1">
    <w:name w:val="Colorful Grid Accent 1"/>
    <w:basedOn w:val="TableNormal"/>
    <w:uiPriority w:val="73"/>
    <w:rsid w:val="003843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1">
    <w:name w:val="Colorful Shading Accent 1"/>
    <w:basedOn w:val="TableNormal"/>
    <w:uiPriority w:val="71"/>
    <w:rsid w:val="003843C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rsid w:val="003843C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1">
    <w:name w:val="Medium Grid 3 Accent 1"/>
    <w:basedOn w:val="TableNormal"/>
    <w:uiPriority w:val="69"/>
    <w:rsid w:val="003843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
    <w:name w:val="st"/>
    <w:basedOn w:val="DefaultParagraphFont"/>
    <w:rsid w:val="00501150"/>
  </w:style>
  <w:style w:type="character" w:customStyle="1" w:styleId="ListParagraphChar">
    <w:name w:val="List Paragraph Char"/>
    <w:aliases w:val="List Paragraph (numbered (a)) Char,WB Para Char,List Paragraph1 Char"/>
    <w:link w:val="ListParagraph"/>
    <w:uiPriority w:val="34"/>
    <w:locked/>
    <w:rsid w:val="00CF3A87"/>
  </w:style>
  <w:style w:type="character" w:customStyle="1" w:styleId="Heading2Char">
    <w:name w:val="Heading 2 Char"/>
    <w:basedOn w:val="DefaultParagraphFont"/>
    <w:link w:val="Heading2"/>
    <w:uiPriority w:val="9"/>
    <w:rsid w:val="00E71F50"/>
    <w:rPr>
      <w:rFonts w:ascii="Cambria" w:eastAsia="SimSun" w:hAnsi="Cambria" w:cs="Times New Roman"/>
      <w:b/>
      <w:bCs/>
      <w:color w:val="4F81BD"/>
      <w:sz w:val="26"/>
      <w:szCs w:val="26"/>
    </w:rPr>
  </w:style>
  <w:style w:type="character" w:customStyle="1" w:styleId="FootnoteCharacters">
    <w:name w:val="Footnote Characters"/>
    <w:rsid w:val="00C83867"/>
  </w:style>
  <w:style w:type="paragraph" w:customStyle="1" w:styleId="TableContents">
    <w:name w:val="Table Contents"/>
    <w:basedOn w:val="Normal"/>
    <w:rsid w:val="00C83867"/>
    <w:pPr>
      <w:suppressLineNumbers/>
      <w:suppressAutoHyphens/>
    </w:pPr>
    <w:rPr>
      <w:rFonts w:ascii="Times New Roman" w:hAnsi="Times New Roman" w:cs="Times New Roman"/>
      <w:color w:val="auto"/>
      <w:sz w:val="20"/>
      <w:szCs w:val="20"/>
      <w:lang w:val="en-US" w:eastAsia="en-US"/>
    </w:rPr>
  </w:style>
  <w:style w:type="paragraph" w:customStyle="1" w:styleId="Default">
    <w:name w:val="Default"/>
    <w:rsid w:val="00FE63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1531">
      <w:bodyDiv w:val="1"/>
      <w:marLeft w:val="0"/>
      <w:marRight w:val="0"/>
      <w:marTop w:val="0"/>
      <w:marBottom w:val="0"/>
      <w:divBdr>
        <w:top w:val="none" w:sz="0" w:space="0" w:color="auto"/>
        <w:left w:val="none" w:sz="0" w:space="0" w:color="auto"/>
        <w:bottom w:val="none" w:sz="0" w:space="0" w:color="auto"/>
        <w:right w:val="none" w:sz="0" w:space="0" w:color="auto"/>
      </w:divBdr>
    </w:div>
    <w:div w:id="79908852">
      <w:bodyDiv w:val="1"/>
      <w:marLeft w:val="0"/>
      <w:marRight w:val="0"/>
      <w:marTop w:val="0"/>
      <w:marBottom w:val="0"/>
      <w:divBdr>
        <w:top w:val="none" w:sz="0" w:space="0" w:color="auto"/>
        <w:left w:val="none" w:sz="0" w:space="0" w:color="auto"/>
        <w:bottom w:val="none" w:sz="0" w:space="0" w:color="auto"/>
        <w:right w:val="none" w:sz="0" w:space="0" w:color="auto"/>
      </w:divBdr>
    </w:div>
    <w:div w:id="113207966">
      <w:bodyDiv w:val="1"/>
      <w:marLeft w:val="0"/>
      <w:marRight w:val="0"/>
      <w:marTop w:val="0"/>
      <w:marBottom w:val="0"/>
      <w:divBdr>
        <w:top w:val="none" w:sz="0" w:space="0" w:color="auto"/>
        <w:left w:val="none" w:sz="0" w:space="0" w:color="auto"/>
        <w:bottom w:val="none" w:sz="0" w:space="0" w:color="auto"/>
        <w:right w:val="none" w:sz="0" w:space="0" w:color="auto"/>
      </w:divBdr>
    </w:div>
    <w:div w:id="541134444">
      <w:bodyDiv w:val="1"/>
      <w:marLeft w:val="0"/>
      <w:marRight w:val="0"/>
      <w:marTop w:val="0"/>
      <w:marBottom w:val="0"/>
      <w:divBdr>
        <w:top w:val="none" w:sz="0" w:space="0" w:color="auto"/>
        <w:left w:val="none" w:sz="0" w:space="0" w:color="auto"/>
        <w:bottom w:val="none" w:sz="0" w:space="0" w:color="auto"/>
        <w:right w:val="none" w:sz="0" w:space="0" w:color="auto"/>
      </w:divBdr>
      <w:divsChild>
        <w:div w:id="1069185187">
          <w:marLeft w:val="547"/>
          <w:marRight w:val="0"/>
          <w:marTop w:val="58"/>
          <w:marBottom w:val="0"/>
          <w:divBdr>
            <w:top w:val="none" w:sz="0" w:space="0" w:color="auto"/>
            <w:left w:val="none" w:sz="0" w:space="0" w:color="auto"/>
            <w:bottom w:val="none" w:sz="0" w:space="0" w:color="auto"/>
            <w:right w:val="none" w:sz="0" w:space="0" w:color="auto"/>
          </w:divBdr>
        </w:div>
      </w:divsChild>
    </w:div>
    <w:div w:id="943657832">
      <w:bodyDiv w:val="1"/>
      <w:marLeft w:val="0"/>
      <w:marRight w:val="0"/>
      <w:marTop w:val="0"/>
      <w:marBottom w:val="0"/>
      <w:divBdr>
        <w:top w:val="none" w:sz="0" w:space="0" w:color="auto"/>
        <w:left w:val="none" w:sz="0" w:space="0" w:color="auto"/>
        <w:bottom w:val="none" w:sz="0" w:space="0" w:color="auto"/>
        <w:right w:val="none" w:sz="0" w:space="0" w:color="auto"/>
      </w:divBdr>
    </w:div>
    <w:div w:id="1156067467">
      <w:bodyDiv w:val="1"/>
      <w:marLeft w:val="0"/>
      <w:marRight w:val="0"/>
      <w:marTop w:val="0"/>
      <w:marBottom w:val="0"/>
      <w:divBdr>
        <w:top w:val="none" w:sz="0" w:space="0" w:color="auto"/>
        <w:left w:val="none" w:sz="0" w:space="0" w:color="auto"/>
        <w:bottom w:val="none" w:sz="0" w:space="0" w:color="auto"/>
        <w:right w:val="none" w:sz="0" w:space="0" w:color="auto"/>
      </w:divBdr>
    </w:div>
    <w:div w:id="15175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n.wikipedia.org/wiki/Equals_sig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n.wikipedia.org/wiki/Equals_sig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uncdf.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n.wikipedia.org/wiki/Equals_sig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en.wikipedia.org/wiki/Equals_sign" TargetMode="External"/><Relationship Id="rId10" Type="http://schemas.openxmlformats.org/officeDocument/2006/relationships/settings" Target="settings.xml"/><Relationship Id="rId19" Type="http://schemas.openxmlformats.org/officeDocument/2006/relationships/hyperlink" Target="http://en.wikipedia.org/wiki/Equals_sig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en.wikipedia.org/wiki/Equals_sig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etterthancash.org" TargetMode="External"/><Relationship Id="rId2" Type="http://schemas.openxmlformats.org/officeDocument/2006/relationships/hyperlink" Target="http://www.mixmarket.org/" TargetMode="External"/><Relationship Id="rId1" Type="http://schemas.openxmlformats.org/officeDocument/2006/relationships/hyperlink" Target="http://www.uncd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S-Admin" ma:contentTypeID="0x0101001DCB90250BD3694CB2DD285EF1D7185100DBEE113BF36BCC439A4B76B068C44762" ma:contentTypeVersion="2" ma:contentTypeDescription="" ma:contentTypeScope="" ma:versionID="af88499a405d1fe609caa8107cdc8c77">
  <xsd:schema xmlns:xsd="http://www.w3.org/2001/XMLSchema" xmlns:xs="http://www.w3.org/2001/XMLSchema" xmlns:p="http://schemas.microsoft.com/office/2006/metadata/properties" xmlns:ns2="40a9a7ce-a409-4bd1-8856-5e7451b7fd2d" xmlns:ns3="a0d735af-5c7b-44df-8b95-07aa8f4d9e25" targetNamespace="http://schemas.microsoft.com/office/2006/metadata/properties" ma:root="true" ma:fieldsID="821d661e10a8d3475a492daac29ec3aa" ns2:_="" ns3:_="">
    <xsd:import namespace="40a9a7ce-a409-4bd1-8856-5e7451b7fd2d"/>
    <xsd:import namespace="a0d735af-5c7b-44df-8b95-07aa8f4d9e25"/>
    <xsd:element name="properties">
      <xsd:complexType>
        <xsd:sequence>
          <xsd:element name="documentManagement">
            <xsd:complexType>
              <xsd:all>
                <xsd:element ref="ns2:_dlc_DocId" minOccurs="0"/>
                <xsd:element ref="ns2:_dlc_DocIdUrl" minOccurs="0"/>
                <xsd:element ref="ns2:_dlc_DocIdPersistId" minOccurs="0"/>
                <xsd:element ref="ns3:KpiDescription"/>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9a7ce-a409-4bd1-8856-5e7451b7fd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0d735af-5c7b-44df-8b95-07aa8f4d9e25" elementFormDefault="qualified">
    <xsd:import namespace="http://schemas.microsoft.com/office/2006/documentManagement/types"/>
    <xsd:import namespace="http://schemas.microsoft.com/office/infopath/2007/PartnerControls"/>
    <xsd:element name="KpiDescription" ma:index="11" ma:displayName="Description" ma:description="The description provides information about the purpose of the goal." ma:internalName="KpiDescription" ma:readOnly="false">
      <xsd:simpleType>
        <xsd:restriction base="dms:Note">
          <xsd:maxLength value="255"/>
        </xsd:restriction>
      </xsd:simpleType>
    </xsd:element>
    <xsd:element name="Year" ma:index="12" ma:displayName="Year" ma:internalName="Yea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0a9a7ce-a409-4bd1-8856-5e7451b7fd2d">ZM47JH3MVDZW-37-243</_dlc_DocId>
    <_dlc_DocIdUrl xmlns="40a9a7ce-a409-4bd1-8856-5e7451b7fd2d">
      <Url>https://portal.unv.org/pcd/CommunicationUnit/_layouts/DocIdRedir.aspx?ID=ZM47JH3MVDZW-37-243</Url>
      <Description>ZM47JH3MVDZW-37-243</Description>
    </_dlc_DocIdUrl>
    <Year xmlns="a0d735af-5c7b-44df-8b95-07aa8f4d9e25">22 November 2013</Year>
    <KpiDescription xmlns="a0d735af-5c7b-44df-8b95-07aa8f4d9e25">Articulate desired outcomes of UNV Strategic Framework</KpiDescription>
  </documentManagement>
</p:properties>
</file>

<file path=customXml/item5.xml><?xml version="1.0" encoding="utf-8"?>
<ct:contentTypeSchema xmlns:ct="http://schemas.microsoft.com/office/2006/metadata/contentType" xmlns:ma="http://schemas.microsoft.com/office/2006/metadata/properties/metaAttributes" ct:_="" ma:_="" ma:contentTypeName="CPPU - CPPUCollaborationSpace" ma:contentTypeID="0x0101001B8BDD71B9E81949B69E9C8E2FB0AE0E00EB186DFC1C545C428B1101610CAEF2AF" ma:contentTypeVersion="2" ma:contentTypeDescription="" ma:contentTypeScope="" ma:versionID="a4f80fe1debc78d9294d437ecab18fee">
  <xsd:schema xmlns:xsd="http://www.w3.org/2001/XMLSchema" xmlns:xs="http://www.w3.org/2001/XMLSchema" xmlns:p="http://schemas.microsoft.com/office/2006/metadata/properties" xmlns:ns2="937e020f-92eb-453d-b54c-337be67648a1" xmlns:ns3="30278938-f970-4056-ab2e-13656a1e2bcd" targetNamespace="http://schemas.microsoft.com/office/2006/metadata/properties" ma:root="true" ma:fieldsID="b93f1c50a5dae358ff9152c9c86a490f" ns2:_="" ns3:_="">
    <xsd:import namespace="937e020f-92eb-453d-b54c-337be67648a1"/>
    <xsd:import namespace="30278938-f970-4056-ab2e-13656a1e2bcd"/>
    <xsd:element name="properties">
      <xsd:complexType>
        <xsd:sequence>
          <xsd:element name="documentManagement">
            <xsd:complexType>
              <xsd:all>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e020f-92eb-453d-b54c-337be67648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278938-f970-4056-ab2e-13656a1e2bcd" elementFormDefault="qualified">
    <xsd:import namespace="http://schemas.microsoft.com/office/2006/documentManagement/types"/>
    <xsd:import namespace="http://schemas.microsoft.com/office/infopath/2007/PartnerControls"/>
    <xsd:element name="_Status" ma:index="11" nillable="true" ma:displayName="Status" ma:format="Dropdown" ma:internalName="_Status" ma:readOnly="false">
      <xsd:simpleType>
        <xsd:restriction base="dms:Choice">
          <xsd:enumeration value="Draft"/>
          <xsd:enumeration value="Final"/>
          <xsd:enumeration value="Under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7.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D45E28-F704-4EA2-899B-989E9669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9a7ce-a409-4bd1-8856-5e7451b7fd2d"/>
    <ds:schemaRef ds:uri="a0d735af-5c7b-44df-8b95-07aa8f4d9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CED46-48E1-4504-BB72-1E3593A1EFA7}">
  <ds:schemaRefs>
    <ds:schemaRef ds:uri="http://schemas.microsoft.com/sharepoint/events"/>
  </ds:schemaRefs>
</ds:datastoreItem>
</file>

<file path=customXml/itemProps3.xml><?xml version="1.0" encoding="utf-8"?>
<ds:datastoreItem xmlns:ds="http://schemas.openxmlformats.org/officeDocument/2006/customXml" ds:itemID="{2DEAA6BB-2EF5-4125-8F3C-1D7DF43BA182}">
  <ds:schemaRefs>
    <ds:schemaRef ds:uri="http://schemas.microsoft.com/sharepoint/v3/contenttype/forms"/>
  </ds:schemaRefs>
</ds:datastoreItem>
</file>

<file path=customXml/itemProps4.xml><?xml version="1.0" encoding="utf-8"?>
<ds:datastoreItem xmlns:ds="http://schemas.openxmlformats.org/officeDocument/2006/customXml" ds:itemID="{F2867FC1-5FF6-4894-B647-5A0D1EB246BE}">
  <ds:schemaRefs>
    <ds:schemaRef ds:uri="http://schemas.microsoft.com/office/2006/metadata/properties"/>
    <ds:schemaRef ds:uri="http://schemas.microsoft.com/office/infopath/2007/PartnerControls"/>
    <ds:schemaRef ds:uri="40a9a7ce-a409-4bd1-8856-5e7451b7fd2d"/>
    <ds:schemaRef ds:uri="a0d735af-5c7b-44df-8b95-07aa8f4d9e25"/>
  </ds:schemaRefs>
</ds:datastoreItem>
</file>

<file path=customXml/itemProps5.xml><?xml version="1.0" encoding="utf-8"?>
<ds:datastoreItem xmlns:ds="http://schemas.openxmlformats.org/officeDocument/2006/customXml" ds:itemID="{1BCCFFC1-EF9F-4DEA-BDD8-BD79C529E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e020f-92eb-453d-b54c-337be67648a1"/>
    <ds:schemaRef ds:uri="30278938-f970-4056-ab2e-13656a1e2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7D9852-DBBC-45B4-9577-EA65BE3E79B1}">
  <ds:schemaRefs>
    <ds:schemaRef ds:uri="http://schemas.openxmlformats.org/officeDocument/2006/bibliography"/>
  </ds:schemaRefs>
</ds:datastoreItem>
</file>

<file path=customXml/itemProps7.xml><?xml version="1.0" encoding="utf-8"?>
<ds:datastoreItem xmlns:ds="http://schemas.openxmlformats.org/officeDocument/2006/customXml" ds:itemID="{0FBA55A7-E5D4-47CA-A5DC-431CD870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UNV Integrated Results and Resources Matrix bespoke draft July 2013</vt:lpstr>
    </vt:vector>
  </TitlesOfParts>
  <Company>Microsoft</Company>
  <LinksUpToDate>false</LinksUpToDate>
  <CharactersWithSpaces>23243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 Integrated Results and Resources Matrix bespoke draft July 2013</dc:title>
  <dc:creator>Dominic Allen</dc:creator>
  <cp:lastModifiedBy>Svetlana Iazykova</cp:lastModifiedBy>
  <cp:revision>2</cp:revision>
  <cp:lastPrinted>2014-05-07T18:55:00Z</cp:lastPrinted>
  <dcterms:created xsi:type="dcterms:W3CDTF">2015-06-02T18:16:00Z</dcterms:created>
  <dcterms:modified xsi:type="dcterms:W3CDTF">2015-06-02T18:16:00Z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0x0101001DCB90250BD3694CB2DD285EF1D7185100DBEE113BF36BCC439A4B76B068C44762</vt:lpwstr>
  </property>
  <property fmtid="{D5CDD505-2E9C-101B-9397-08002B2CF9AE}" pid="3" name="_dlc_DocIdItemGuid">
    <vt:lpwstr>7c684905-14d8-4090-87d7-3d3084ea551c</vt:lpwstr>
  </property>
</Properties>
</file>