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9394" w14:textId="7FF93211" w:rsidR="00BD22E7" w:rsidRPr="008962C5" w:rsidRDefault="0012392F" w:rsidP="00672EAB">
      <w:pPr>
        <w:jc w:val="both"/>
        <w:rPr>
          <w:b/>
          <w:bCs/>
          <w:lang w:val="en-IE"/>
        </w:rPr>
      </w:pPr>
      <w:r w:rsidRPr="008962C5">
        <w:rPr>
          <w:b/>
          <w:bCs/>
          <w:lang w:val="en-IE"/>
        </w:rPr>
        <w:t>MONITORING</w:t>
      </w:r>
      <w:r w:rsidR="00F96D13" w:rsidRPr="008962C5">
        <w:rPr>
          <w:b/>
          <w:bCs/>
          <w:lang w:val="en-IE"/>
        </w:rPr>
        <w:t xml:space="preserve"> THE </w:t>
      </w:r>
      <w:r w:rsidR="004C48D9" w:rsidRPr="008962C5">
        <w:rPr>
          <w:b/>
          <w:bCs/>
          <w:lang w:val="en-IE"/>
        </w:rPr>
        <w:t>IMPLEMENT</w:t>
      </w:r>
      <w:r w:rsidR="005B2F24" w:rsidRPr="008962C5">
        <w:rPr>
          <w:b/>
          <w:bCs/>
          <w:lang w:val="en-IE"/>
        </w:rPr>
        <w:t>ATION OF</w:t>
      </w:r>
      <w:r w:rsidR="004C48D9" w:rsidRPr="008962C5">
        <w:rPr>
          <w:b/>
          <w:bCs/>
          <w:lang w:val="en-IE"/>
        </w:rPr>
        <w:t xml:space="preserve"> THE INTERNATIONAL COVENANT ON CIVIL AND POLIT</w:t>
      </w:r>
      <w:r w:rsidR="001D3BD3" w:rsidRPr="008962C5">
        <w:rPr>
          <w:b/>
          <w:bCs/>
          <w:lang w:val="en-IE"/>
        </w:rPr>
        <w:t>I</w:t>
      </w:r>
      <w:r w:rsidR="004C48D9" w:rsidRPr="008962C5">
        <w:rPr>
          <w:b/>
          <w:bCs/>
          <w:lang w:val="en-IE"/>
        </w:rPr>
        <w:t>CAL RIGHTS</w:t>
      </w:r>
    </w:p>
    <w:p w14:paraId="094D549C" w14:textId="1A65C3A4" w:rsidR="00BD22E7" w:rsidRPr="001D3BD3" w:rsidRDefault="00BD22E7" w:rsidP="00672EAB">
      <w:pPr>
        <w:jc w:val="both"/>
        <w:rPr>
          <w:lang w:val="en-IE"/>
        </w:rPr>
      </w:pPr>
      <w:r w:rsidRPr="001D3BD3">
        <w:rPr>
          <w:lang w:val="en-IE"/>
        </w:rPr>
        <w:t xml:space="preserve">EU JULE Policy Brief No. </w:t>
      </w:r>
      <w:r w:rsidR="002859C3">
        <w:rPr>
          <w:lang w:val="vi-VN"/>
        </w:rPr>
        <w:t>3</w:t>
      </w:r>
    </w:p>
    <w:p w14:paraId="4642ECB4" w14:textId="173A4A99" w:rsidR="00BD22E7" w:rsidRPr="001D3BD3" w:rsidRDefault="004C48D9" w:rsidP="00672EAB">
      <w:pPr>
        <w:jc w:val="both"/>
        <w:rPr>
          <w:b/>
          <w:bCs/>
          <w:u w:val="single"/>
          <w:lang w:val="en-IE"/>
        </w:rPr>
      </w:pPr>
      <w:r w:rsidRPr="001D3BD3">
        <w:rPr>
          <w:i/>
          <w:iCs/>
          <w:lang w:val="en-IE"/>
        </w:rPr>
        <w:t>June</w:t>
      </w:r>
      <w:r w:rsidR="00BD22E7" w:rsidRPr="001D3BD3">
        <w:rPr>
          <w:i/>
          <w:iCs/>
          <w:lang w:val="en-IE"/>
        </w:rPr>
        <w:t xml:space="preserve"> 2020</w:t>
      </w:r>
    </w:p>
    <w:p w14:paraId="6D7B16E1" w14:textId="3961D48B" w:rsidR="003A1AF2" w:rsidRPr="001D3BD3" w:rsidRDefault="008A17C2" w:rsidP="00672EAB">
      <w:pPr>
        <w:jc w:val="both"/>
        <w:rPr>
          <w:lang w:val="en-IE"/>
        </w:rPr>
      </w:pPr>
      <w:r w:rsidRPr="001D3BD3">
        <w:rPr>
          <w:lang w:val="en-IE"/>
        </w:rPr>
        <w:t xml:space="preserve">The International Covenant on Civil and Political Rights (ICCPR) is a human rights treaty that came into force in 1966. </w:t>
      </w:r>
      <w:r w:rsidR="003A1AF2" w:rsidRPr="001D3BD3">
        <w:rPr>
          <w:lang w:val="en-IE"/>
        </w:rPr>
        <w:t xml:space="preserve">Countries that have ratified the treaty are required to protect and promote a wide range of rights, including: the right to life and human dignity; equality before the law; freedom of speech, peaceful assembly, association, belief and opinion; the right to a fair trial; </w:t>
      </w:r>
      <w:r w:rsidR="00926DEF">
        <w:rPr>
          <w:lang w:val="en-IE"/>
        </w:rPr>
        <w:t xml:space="preserve">minority rights: and </w:t>
      </w:r>
      <w:r w:rsidR="003A1AF2" w:rsidRPr="001D3BD3">
        <w:rPr>
          <w:lang w:val="en-IE"/>
        </w:rPr>
        <w:t xml:space="preserve">freedom from torture, ill-treatment, and arbitrary detention. 173 countries have agreed to be bound by the Covenant, including Viet Nam, which ratified the Covenant in 1982. </w:t>
      </w:r>
    </w:p>
    <w:p w14:paraId="73F81D85" w14:textId="202A5B4A" w:rsidR="008A17C2" w:rsidRPr="001D3BD3" w:rsidRDefault="003A1AF2" w:rsidP="00672EAB">
      <w:pPr>
        <w:jc w:val="both"/>
        <w:rPr>
          <w:lang w:val="en-IE"/>
        </w:rPr>
      </w:pPr>
      <w:r w:rsidRPr="001D3BD3">
        <w:rPr>
          <w:lang w:val="en-IE"/>
        </w:rPr>
        <w:t>The Human Right</w:t>
      </w:r>
      <w:r w:rsidR="001D3BD3" w:rsidRPr="001D3BD3">
        <w:rPr>
          <w:lang w:val="en-IE"/>
        </w:rPr>
        <w:t>s</w:t>
      </w:r>
      <w:r w:rsidRPr="001D3BD3">
        <w:rPr>
          <w:lang w:val="en-IE"/>
        </w:rPr>
        <w:t xml:space="preserve"> Committee is the body responsible for monitoring whether countries </w:t>
      </w:r>
      <w:r w:rsidR="001D3BD3" w:rsidRPr="001D3BD3">
        <w:rPr>
          <w:lang w:val="en-IE"/>
        </w:rPr>
        <w:t>that have ratified</w:t>
      </w:r>
      <w:r w:rsidRPr="001D3BD3">
        <w:rPr>
          <w:lang w:val="en-IE"/>
        </w:rPr>
        <w:t xml:space="preserve"> the </w:t>
      </w:r>
      <w:r w:rsidR="00926DEF">
        <w:rPr>
          <w:lang w:val="en-IE"/>
        </w:rPr>
        <w:t>ICCPR</w:t>
      </w:r>
      <w:r w:rsidRPr="001D3BD3">
        <w:rPr>
          <w:lang w:val="en-IE"/>
        </w:rPr>
        <w:t xml:space="preserve"> are fulfilling their obligations. </w:t>
      </w:r>
      <w:r w:rsidR="001D3BD3" w:rsidRPr="001D3BD3">
        <w:rPr>
          <w:lang w:val="en-IE"/>
        </w:rPr>
        <w:t>Through a system of periodic reviews, the Committee examines the situation in each country and recommends</w:t>
      </w:r>
      <w:r w:rsidRPr="001D3BD3">
        <w:rPr>
          <w:lang w:val="en-IE"/>
        </w:rPr>
        <w:t xml:space="preserve"> </w:t>
      </w:r>
      <w:r w:rsidR="00452602">
        <w:rPr>
          <w:lang w:val="en-IE"/>
        </w:rPr>
        <w:t xml:space="preserve">– in Concluding Observations – </w:t>
      </w:r>
      <w:r w:rsidRPr="001D3BD3">
        <w:rPr>
          <w:lang w:val="en-IE"/>
        </w:rPr>
        <w:t>measures</w:t>
      </w:r>
      <w:r w:rsidR="001D3BD3" w:rsidRPr="001D3BD3">
        <w:rPr>
          <w:lang w:val="en-IE"/>
        </w:rPr>
        <w:t xml:space="preserve"> that each State should take</w:t>
      </w:r>
      <w:r w:rsidRPr="001D3BD3">
        <w:rPr>
          <w:lang w:val="en-IE"/>
        </w:rPr>
        <w:t xml:space="preserve"> to protect the rights enshrined in the </w:t>
      </w:r>
      <w:r w:rsidR="00926DEF">
        <w:rPr>
          <w:lang w:val="en-IE"/>
        </w:rPr>
        <w:t>Covenant</w:t>
      </w:r>
      <w:r w:rsidRPr="001D3BD3">
        <w:rPr>
          <w:lang w:val="en-IE"/>
        </w:rPr>
        <w:t xml:space="preserve"> and to provide an effective remedy</w:t>
      </w:r>
      <w:r w:rsidR="001D3BD3" w:rsidRPr="001D3BD3">
        <w:rPr>
          <w:lang w:val="en-IE"/>
        </w:rPr>
        <w:t xml:space="preserve"> to victims of violations</w:t>
      </w:r>
      <w:r w:rsidRPr="001D3BD3">
        <w:rPr>
          <w:lang w:val="en-IE"/>
        </w:rPr>
        <w:t xml:space="preserve">. </w:t>
      </w:r>
    </w:p>
    <w:p w14:paraId="0F4A0C9F" w14:textId="72CD3A2F" w:rsidR="009A05D9" w:rsidRDefault="00452602" w:rsidP="00672EAB">
      <w:pPr>
        <w:jc w:val="both"/>
        <w:rPr>
          <w:lang w:val="en-IE"/>
        </w:rPr>
      </w:pPr>
      <w:r>
        <w:rPr>
          <w:lang w:val="en-IE"/>
        </w:rPr>
        <w:t xml:space="preserve">Since ratifying the ICCPR, Viet Nam has submitted three reports to the Human Rights Committee </w:t>
      </w:r>
      <w:r w:rsidR="004C1447">
        <w:rPr>
          <w:lang w:val="en-IE"/>
        </w:rPr>
        <w:t>describing how it has i</w:t>
      </w:r>
      <w:r>
        <w:rPr>
          <w:lang w:val="en-IE"/>
        </w:rPr>
        <w:t>mplement</w:t>
      </w:r>
      <w:r w:rsidR="004C1447">
        <w:rPr>
          <w:lang w:val="en-IE"/>
        </w:rPr>
        <w:t>ed</w:t>
      </w:r>
      <w:r>
        <w:rPr>
          <w:lang w:val="en-IE"/>
        </w:rPr>
        <w:t xml:space="preserve"> the Covenant, in 1989, 2001 and 2017.</w:t>
      </w:r>
      <w:r w:rsidR="004C1447">
        <w:rPr>
          <w:lang w:val="en-IE"/>
        </w:rPr>
        <w:t xml:space="preserve"> Civil society organisations and other stakeholders have also made submissions to inform the reviews undertaken by the Committee. Based on these documents and a constructive dialogue between the Human Rights Committee and the Government in Viet Nam, the Committee then issued Concluding Observations with recommendations on steps </w:t>
      </w:r>
      <w:r w:rsidRPr="001D3BD3">
        <w:rPr>
          <w:lang w:val="en-IE"/>
        </w:rPr>
        <w:t>(e.g. administrative, judicial, legislative</w:t>
      </w:r>
      <w:r>
        <w:rPr>
          <w:lang w:val="en-IE"/>
        </w:rPr>
        <w:t>, etc</w:t>
      </w:r>
      <w:r w:rsidRPr="001D3BD3">
        <w:rPr>
          <w:lang w:val="en-IE"/>
        </w:rPr>
        <w:t>)</w:t>
      </w:r>
      <w:r w:rsidR="004C1447">
        <w:rPr>
          <w:lang w:val="en-IE"/>
        </w:rPr>
        <w:t xml:space="preserve"> Viet Nam should take to improve its compliance with the ICCPR.</w:t>
      </w:r>
      <w:r w:rsidR="009A05D9">
        <w:rPr>
          <w:lang w:val="en-IE"/>
        </w:rPr>
        <w:t xml:space="preserve"> </w:t>
      </w:r>
    </w:p>
    <w:p w14:paraId="632A151B" w14:textId="4D0F3535" w:rsidR="00B411FC" w:rsidRDefault="009A05D9" w:rsidP="00672EAB">
      <w:pPr>
        <w:jc w:val="both"/>
        <w:rPr>
          <w:lang w:val="en-IE"/>
        </w:rPr>
      </w:pPr>
      <w:r w:rsidRPr="009A05D9">
        <w:rPr>
          <w:lang w:val="en-IE"/>
        </w:rPr>
        <w:t>In 2019</w:t>
      </w:r>
      <w:r>
        <w:rPr>
          <w:lang w:val="en-IE"/>
        </w:rPr>
        <w:t>,</w:t>
      </w:r>
      <w:r w:rsidRPr="009A05D9">
        <w:rPr>
          <w:lang w:val="en-IE"/>
        </w:rPr>
        <w:t xml:space="preserve"> the Human Rights Committee </w:t>
      </w:r>
      <w:r>
        <w:rPr>
          <w:lang w:val="en-IE"/>
        </w:rPr>
        <w:t xml:space="preserve">issued its Concluding Observations in Viet Nam’s third periodic review. It </w:t>
      </w:r>
      <w:r w:rsidRPr="009A05D9">
        <w:rPr>
          <w:lang w:val="en-IE"/>
        </w:rPr>
        <w:t>welcomed</w:t>
      </w:r>
      <w:r w:rsidR="003652A8">
        <w:rPr>
          <w:lang w:val="en-IE"/>
        </w:rPr>
        <w:t xml:space="preserve"> progress, such as</w:t>
      </w:r>
      <w:r w:rsidRPr="009A05D9">
        <w:rPr>
          <w:lang w:val="en-IE"/>
        </w:rPr>
        <w:t xml:space="preserve"> </w:t>
      </w:r>
      <w:r>
        <w:rPr>
          <w:lang w:val="en-IE"/>
        </w:rPr>
        <w:t>legislative reforms</w:t>
      </w:r>
      <w:r w:rsidR="003652A8">
        <w:rPr>
          <w:lang w:val="en-IE"/>
        </w:rPr>
        <w:t xml:space="preserve"> in relation to trafficking, citizenship rights and due process, as well as the inclusion of</w:t>
      </w:r>
      <w:r>
        <w:rPr>
          <w:lang w:val="en-IE"/>
        </w:rPr>
        <w:t xml:space="preserve"> human rights in the </w:t>
      </w:r>
      <w:r w:rsidR="003652A8">
        <w:rPr>
          <w:lang w:val="en-IE"/>
        </w:rPr>
        <w:t xml:space="preserve">2013 </w:t>
      </w:r>
      <w:r>
        <w:rPr>
          <w:lang w:val="en-IE"/>
        </w:rPr>
        <w:t>Constitution</w:t>
      </w:r>
      <w:r w:rsidRPr="009A05D9">
        <w:rPr>
          <w:lang w:val="en-IE"/>
        </w:rPr>
        <w:t xml:space="preserve">. The Committee also identified a number of areas where Viet Nam needs to take </w:t>
      </w:r>
      <w:r w:rsidR="003652A8">
        <w:rPr>
          <w:lang w:val="en-IE"/>
        </w:rPr>
        <w:t>action</w:t>
      </w:r>
      <w:r w:rsidRPr="009A05D9">
        <w:rPr>
          <w:lang w:val="en-IE"/>
        </w:rPr>
        <w:t xml:space="preserve"> to better fulfil its obligations under </w:t>
      </w:r>
      <w:r w:rsidR="001044F9">
        <w:rPr>
          <w:lang w:val="en-IE"/>
        </w:rPr>
        <w:t xml:space="preserve">the </w:t>
      </w:r>
      <w:r w:rsidRPr="009A05D9">
        <w:rPr>
          <w:lang w:val="en-IE"/>
        </w:rPr>
        <w:t>ICCPR, in some instances reiterating previous Concluding Observations.</w:t>
      </w:r>
      <w:r w:rsidR="00F96D13">
        <w:rPr>
          <w:lang w:val="en-IE"/>
        </w:rPr>
        <w:t xml:space="preserve"> </w:t>
      </w:r>
      <w:r w:rsidR="00672EAB">
        <w:rPr>
          <w:lang w:val="en-IE"/>
        </w:rPr>
        <w:t>R</w:t>
      </w:r>
      <w:r w:rsidR="00F96D13" w:rsidRPr="00672EAB">
        <w:rPr>
          <w:lang w:val="en-IE"/>
        </w:rPr>
        <w:t>ecommendations on the death penalty, freedom of expression and human rights defenders were identified as priorit</w:t>
      </w:r>
      <w:r w:rsidR="00672EAB">
        <w:rPr>
          <w:lang w:val="en-IE"/>
        </w:rPr>
        <w:t>ies</w:t>
      </w:r>
      <w:r w:rsidR="00B411FC">
        <w:rPr>
          <w:lang w:val="en-IE"/>
        </w:rPr>
        <w:t xml:space="preserve"> </w:t>
      </w:r>
      <w:r w:rsidR="00F96D13" w:rsidRPr="00672EAB">
        <w:rPr>
          <w:lang w:val="en-IE"/>
        </w:rPr>
        <w:t xml:space="preserve">that Viet Nam is expected to </w:t>
      </w:r>
      <w:r w:rsidR="00B411FC">
        <w:rPr>
          <w:lang w:val="en-IE"/>
        </w:rPr>
        <w:t>report</w:t>
      </w:r>
      <w:r w:rsidR="00F96D13" w:rsidRPr="00672EAB">
        <w:rPr>
          <w:lang w:val="en-IE"/>
        </w:rPr>
        <w:t xml:space="preserve"> </w:t>
      </w:r>
      <w:r w:rsidR="00672EAB">
        <w:rPr>
          <w:lang w:val="en-IE"/>
        </w:rPr>
        <w:t xml:space="preserve">on </w:t>
      </w:r>
      <w:r w:rsidR="00F96D13" w:rsidRPr="00672EAB">
        <w:rPr>
          <w:lang w:val="en-IE"/>
        </w:rPr>
        <w:t>by 29 March 2021</w:t>
      </w:r>
      <w:r w:rsidR="00B411FC">
        <w:rPr>
          <w:lang w:val="en-IE"/>
        </w:rPr>
        <w:t xml:space="preserve"> (follow-up recommendations</w:t>
      </w:r>
      <w:r w:rsidR="00075C63">
        <w:rPr>
          <w:lang w:val="en-IE"/>
        </w:rPr>
        <w:t>.</w:t>
      </w:r>
      <w:r w:rsidR="00B411FC">
        <w:rPr>
          <w:lang w:val="en-IE"/>
        </w:rPr>
        <w:t>)</w:t>
      </w:r>
    </w:p>
    <w:p w14:paraId="59425060" w14:textId="08922A15" w:rsidR="00B411FC" w:rsidRPr="00B411FC" w:rsidRDefault="00B411FC" w:rsidP="00672EAB">
      <w:pPr>
        <w:pStyle w:val="ListParagraph"/>
        <w:numPr>
          <w:ilvl w:val="0"/>
          <w:numId w:val="6"/>
        </w:numPr>
        <w:spacing w:after="0"/>
        <w:jc w:val="both"/>
        <w:rPr>
          <w:lang w:val="en-IE"/>
        </w:rPr>
      </w:pPr>
      <w:r w:rsidRPr="00672EAB">
        <w:rPr>
          <w:b/>
          <w:bCs/>
          <w:lang w:val="en-IE"/>
        </w:rPr>
        <w:t>Human Rights Committee adopts its Concluding Observations</w:t>
      </w:r>
      <w:r w:rsidRPr="00B411FC">
        <w:rPr>
          <w:lang w:val="en-IE"/>
        </w:rPr>
        <w:t xml:space="preserve"> in March 2019, identifying priority recommendations</w:t>
      </w:r>
    </w:p>
    <w:p w14:paraId="601256AE" w14:textId="480E6707" w:rsidR="00B411FC" w:rsidRPr="00C46E1F" w:rsidRDefault="00B411FC" w:rsidP="00672EAB">
      <w:pPr>
        <w:numPr>
          <w:ilvl w:val="0"/>
          <w:numId w:val="6"/>
        </w:numPr>
        <w:spacing w:after="0" w:line="240" w:lineRule="auto"/>
        <w:jc w:val="both"/>
        <w:rPr>
          <w:lang w:val="en-IE"/>
        </w:rPr>
      </w:pPr>
      <w:r w:rsidRPr="00C46E1F">
        <w:rPr>
          <w:b/>
          <w:bCs/>
        </w:rPr>
        <w:t xml:space="preserve">Viet Nam submits </w:t>
      </w:r>
      <w:r>
        <w:rPr>
          <w:b/>
          <w:bCs/>
        </w:rPr>
        <w:t>a</w:t>
      </w:r>
      <w:r w:rsidRPr="00C46E1F">
        <w:rPr>
          <w:b/>
          <w:bCs/>
        </w:rPr>
        <w:t xml:space="preserve"> ‘</w:t>
      </w:r>
      <w:r>
        <w:rPr>
          <w:b/>
          <w:bCs/>
        </w:rPr>
        <w:t>F</w:t>
      </w:r>
      <w:r w:rsidRPr="00C46E1F">
        <w:rPr>
          <w:b/>
          <w:bCs/>
        </w:rPr>
        <w:t xml:space="preserve">ollow-up </w:t>
      </w:r>
      <w:r>
        <w:rPr>
          <w:b/>
          <w:bCs/>
        </w:rPr>
        <w:t>R</w:t>
      </w:r>
      <w:r w:rsidRPr="00C46E1F">
        <w:rPr>
          <w:b/>
          <w:bCs/>
        </w:rPr>
        <w:t xml:space="preserve">eport’ </w:t>
      </w:r>
      <w:r w:rsidRPr="00C46E1F">
        <w:t xml:space="preserve">by March 2021 on </w:t>
      </w:r>
      <w:r>
        <w:t>its implementation of the follow-up recommendations</w:t>
      </w:r>
    </w:p>
    <w:p w14:paraId="3A9428F4" w14:textId="77777777" w:rsidR="00B411FC" w:rsidRPr="00C46E1F" w:rsidRDefault="00B411FC" w:rsidP="00672EAB">
      <w:pPr>
        <w:numPr>
          <w:ilvl w:val="0"/>
          <w:numId w:val="6"/>
        </w:numPr>
        <w:spacing w:after="0" w:line="240" w:lineRule="auto"/>
        <w:jc w:val="both"/>
        <w:rPr>
          <w:lang w:val="en-IE"/>
        </w:rPr>
      </w:pPr>
      <w:r>
        <w:rPr>
          <w:b/>
          <w:bCs/>
        </w:rPr>
        <w:t xml:space="preserve">Human Rights </w:t>
      </w:r>
      <w:r w:rsidRPr="00C46E1F">
        <w:rPr>
          <w:b/>
          <w:bCs/>
        </w:rPr>
        <w:t xml:space="preserve">Committee may request more information </w:t>
      </w:r>
      <w:r w:rsidRPr="00C46E1F">
        <w:t>by a new deadline, or in the next periodic report</w:t>
      </w:r>
    </w:p>
    <w:p w14:paraId="60F3E704" w14:textId="557132B6" w:rsidR="00B411FC" w:rsidRPr="00672EAB" w:rsidRDefault="00B411FC" w:rsidP="00672EAB">
      <w:pPr>
        <w:numPr>
          <w:ilvl w:val="0"/>
          <w:numId w:val="6"/>
        </w:numPr>
        <w:spacing w:after="0" w:line="240" w:lineRule="auto"/>
        <w:jc w:val="both"/>
        <w:rPr>
          <w:lang w:val="en-IE"/>
        </w:rPr>
      </w:pPr>
      <w:r w:rsidRPr="00C46E1F">
        <w:rPr>
          <w:b/>
          <w:bCs/>
        </w:rPr>
        <w:t xml:space="preserve">Committee adopts </w:t>
      </w:r>
      <w:r>
        <w:rPr>
          <w:b/>
          <w:bCs/>
        </w:rPr>
        <w:t xml:space="preserve">a </w:t>
      </w:r>
      <w:r w:rsidRPr="00C46E1F">
        <w:rPr>
          <w:b/>
          <w:bCs/>
        </w:rPr>
        <w:t>‘</w:t>
      </w:r>
      <w:r>
        <w:rPr>
          <w:b/>
          <w:bCs/>
        </w:rPr>
        <w:t>P</w:t>
      </w:r>
      <w:r w:rsidRPr="00C46E1F">
        <w:rPr>
          <w:b/>
          <w:bCs/>
        </w:rPr>
        <w:t xml:space="preserve">rogress </w:t>
      </w:r>
      <w:r>
        <w:rPr>
          <w:b/>
          <w:bCs/>
        </w:rPr>
        <w:t>R</w:t>
      </w:r>
      <w:r w:rsidRPr="00C46E1F">
        <w:rPr>
          <w:b/>
          <w:bCs/>
        </w:rPr>
        <w:t>eport’</w:t>
      </w:r>
      <w:r w:rsidRPr="008A7656">
        <w:t xml:space="preserve"> analysing the level of implementation</w:t>
      </w:r>
    </w:p>
    <w:p w14:paraId="72B3580A" w14:textId="281E879F" w:rsidR="00672EAB" w:rsidRPr="00C46E1F" w:rsidRDefault="00672EAB" w:rsidP="00672EAB">
      <w:pPr>
        <w:numPr>
          <w:ilvl w:val="0"/>
          <w:numId w:val="6"/>
        </w:numPr>
        <w:spacing w:after="0" w:line="240" w:lineRule="auto"/>
        <w:jc w:val="both"/>
        <w:rPr>
          <w:lang w:val="en-IE"/>
        </w:rPr>
      </w:pPr>
      <w:r>
        <w:rPr>
          <w:b/>
          <w:bCs/>
        </w:rPr>
        <w:t xml:space="preserve">Viet Nam submits its ‘Fourth Periodic Report’ </w:t>
      </w:r>
      <w:r>
        <w:t>by March 2023 on its compliance with ICCPR and implementation of the Concluding Observations</w:t>
      </w:r>
    </w:p>
    <w:p w14:paraId="014E3D0C" w14:textId="77777777" w:rsidR="00B411FC" w:rsidRDefault="00B411FC" w:rsidP="00672EAB">
      <w:pPr>
        <w:jc w:val="both"/>
        <w:rPr>
          <w:lang w:val="en-IE"/>
        </w:rPr>
      </w:pPr>
    </w:p>
    <w:p w14:paraId="383908EB" w14:textId="3697D4BD" w:rsidR="002F5DBE" w:rsidRDefault="002F5DBE" w:rsidP="00672EAB">
      <w:pPr>
        <w:jc w:val="both"/>
        <w:rPr>
          <w:lang w:val="en-IE"/>
        </w:rPr>
      </w:pPr>
      <w:r>
        <w:rPr>
          <w:lang w:val="en-IE"/>
        </w:rPr>
        <w:t>Implementation of the Human Rights Committee’s recommendations will</w:t>
      </w:r>
      <w:r w:rsidRPr="001D3BD3">
        <w:rPr>
          <w:lang w:val="en-IE"/>
        </w:rPr>
        <w:t xml:space="preserve"> enhance </w:t>
      </w:r>
      <w:r w:rsidR="00926DEF">
        <w:rPr>
          <w:lang w:val="en-IE"/>
        </w:rPr>
        <w:t>Viet Nam’s</w:t>
      </w:r>
      <w:r w:rsidRPr="001D3BD3">
        <w:rPr>
          <w:lang w:val="en-IE"/>
        </w:rPr>
        <w:t xml:space="preserve"> implementation of other human rights recommendations, accepted </w:t>
      </w:r>
      <w:r>
        <w:rPr>
          <w:lang w:val="en-IE"/>
        </w:rPr>
        <w:t>Universal Periodic Review</w:t>
      </w:r>
      <w:r w:rsidRPr="001D3BD3">
        <w:rPr>
          <w:lang w:val="en-IE"/>
        </w:rPr>
        <w:t xml:space="preserve"> </w:t>
      </w:r>
      <w:r w:rsidR="00926DEF">
        <w:rPr>
          <w:lang w:val="en-IE"/>
        </w:rPr>
        <w:t xml:space="preserve">(UPR) </w:t>
      </w:r>
      <w:r w:rsidRPr="001D3BD3">
        <w:rPr>
          <w:lang w:val="en-IE"/>
        </w:rPr>
        <w:t>recommendations and S</w:t>
      </w:r>
      <w:r>
        <w:rPr>
          <w:lang w:val="en-IE"/>
        </w:rPr>
        <w:t xml:space="preserve">ustainable </w:t>
      </w:r>
      <w:r w:rsidRPr="001D3BD3">
        <w:rPr>
          <w:lang w:val="en-IE"/>
        </w:rPr>
        <w:t>D</w:t>
      </w:r>
      <w:r>
        <w:rPr>
          <w:lang w:val="en-IE"/>
        </w:rPr>
        <w:t xml:space="preserve">evelopment </w:t>
      </w:r>
      <w:r w:rsidRPr="001D3BD3">
        <w:rPr>
          <w:lang w:val="en-IE"/>
        </w:rPr>
        <w:t>G</w:t>
      </w:r>
      <w:r>
        <w:rPr>
          <w:lang w:val="en-IE"/>
        </w:rPr>
        <w:t>oal</w:t>
      </w:r>
      <w:r w:rsidRPr="001D3BD3">
        <w:rPr>
          <w:lang w:val="en-IE"/>
        </w:rPr>
        <w:t xml:space="preserve"> </w:t>
      </w:r>
      <w:r w:rsidR="00D03101">
        <w:rPr>
          <w:lang w:val="en-IE"/>
        </w:rPr>
        <w:t xml:space="preserve">(SDG) </w:t>
      </w:r>
      <w:r w:rsidRPr="001D3BD3">
        <w:rPr>
          <w:lang w:val="en-IE"/>
        </w:rPr>
        <w:t>commitments</w:t>
      </w:r>
      <w:r>
        <w:rPr>
          <w:lang w:val="en-IE"/>
        </w:rPr>
        <w:t>. It will also</w:t>
      </w:r>
      <w:r w:rsidRPr="001D3BD3">
        <w:rPr>
          <w:lang w:val="en-IE"/>
        </w:rPr>
        <w:t xml:space="preserve"> promote the advancement of respect for and protection of human rights. </w:t>
      </w:r>
    </w:p>
    <w:p w14:paraId="070F0142" w14:textId="714D09DC" w:rsidR="005475B3" w:rsidRPr="00672EAB" w:rsidRDefault="005475B3" w:rsidP="00316DAF">
      <w:pPr>
        <w:tabs>
          <w:tab w:val="num" w:pos="720"/>
        </w:tabs>
        <w:jc w:val="both"/>
        <w:rPr>
          <w:b/>
          <w:bCs/>
          <w:lang w:val="en-IE"/>
        </w:rPr>
      </w:pPr>
      <w:r w:rsidRPr="0012392F">
        <w:lastRenderedPageBreak/>
        <w:t>In its Progress Report, the Human Rights Committee will assess the level of implementation of the priority recommendations</w:t>
      </w:r>
      <w:r w:rsidR="002711E1">
        <w:t xml:space="preserve">, </w:t>
      </w:r>
      <w:r w:rsidRPr="0012392F">
        <w:t>tak</w:t>
      </w:r>
      <w:r w:rsidR="002711E1">
        <w:t>ing</w:t>
      </w:r>
      <w:r w:rsidRPr="0012392F">
        <w:t xml:space="preserve"> into account t</w:t>
      </w:r>
      <w:r w:rsidR="00A4376F" w:rsidRPr="0012392F">
        <w:t xml:space="preserve">he degree of </w:t>
      </w:r>
      <w:r w:rsidRPr="0012392F">
        <w:t xml:space="preserve">Viet Nam’s </w:t>
      </w:r>
      <w:r w:rsidR="00A4376F" w:rsidRPr="0012392F">
        <w:t>collaboration</w:t>
      </w:r>
      <w:r w:rsidRPr="0012392F">
        <w:t xml:space="preserve"> and t</w:t>
      </w:r>
      <w:r w:rsidR="00A4376F" w:rsidRPr="0012392F">
        <w:t>he nature and impact of the measures taken on implementation.</w:t>
      </w:r>
      <w:r w:rsidRPr="0012392F">
        <w:t xml:space="preserve"> </w:t>
      </w:r>
    </w:p>
    <w:p w14:paraId="002627F0" w14:textId="02332E0D" w:rsidR="00D03101" w:rsidRDefault="005A3AF8" w:rsidP="00672EAB">
      <w:pPr>
        <w:jc w:val="both"/>
        <w:rPr>
          <w:lang w:val="en-IE"/>
        </w:rPr>
      </w:pPr>
      <w:r>
        <w:rPr>
          <w:lang w:val="en-IE"/>
        </w:rPr>
        <w:t>Four</w:t>
      </w:r>
      <w:r w:rsidR="005475B3">
        <w:rPr>
          <w:lang w:val="en-IE"/>
        </w:rPr>
        <w:t xml:space="preserve"> areas </w:t>
      </w:r>
      <w:r w:rsidR="00D03101">
        <w:rPr>
          <w:lang w:val="en-IE"/>
        </w:rPr>
        <w:t xml:space="preserve">of recommendations </w:t>
      </w:r>
      <w:r>
        <w:rPr>
          <w:lang w:val="en-IE"/>
        </w:rPr>
        <w:t xml:space="preserve">which </w:t>
      </w:r>
      <w:r w:rsidR="005475B3">
        <w:rPr>
          <w:lang w:val="en-IE"/>
        </w:rPr>
        <w:t>will support all efforts to ensure compliance with ICCPR</w:t>
      </w:r>
      <w:r>
        <w:rPr>
          <w:lang w:val="en-IE"/>
        </w:rPr>
        <w:t xml:space="preserve"> were identified</w:t>
      </w:r>
      <w:r w:rsidR="005475B3">
        <w:rPr>
          <w:lang w:val="en-IE"/>
        </w:rPr>
        <w:t xml:space="preserve">: </w:t>
      </w:r>
      <w:r>
        <w:rPr>
          <w:lang w:val="en-IE"/>
        </w:rPr>
        <w:t xml:space="preserve">(1) </w:t>
      </w:r>
      <w:r w:rsidR="00483DF7">
        <w:rPr>
          <w:lang w:val="en-IE"/>
        </w:rPr>
        <w:t xml:space="preserve">the </w:t>
      </w:r>
      <w:r>
        <w:rPr>
          <w:lang w:val="en-IE"/>
        </w:rPr>
        <w:t xml:space="preserve">death penalty </w:t>
      </w:r>
      <w:r w:rsidR="00C6064C">
        <w:rPr>
          <w:lang w:val="en-IE"/>
        </w:rPr>
        <w:t>(</w:t>
      </w:r>
      <w:r w:rsidR="00483DF7">
        <w:rPr>
          <w:lang w:val="en-IE"/>
        </w:rPr>
        <w:t>2</w:t>
      </w:r>
      <w:r w:rsidR="00C6064C">
        <w:rPr>
          <w:lang w:val="en-IE"/>
        </w:rPr>
        <w:t xml:space="preserve">) </w:t>
      </w:r>
      <w:r w:rsidR="005475B3">
        <w:rPr>
          <w:lang w:val="en-IE"/>
        </w:rPr>
        <w:t xml:space="preserve">reviewing legal gaps or conflicts with ICCPR and promoting awareness and understanding of civil and political rights; </w:t>
      </w:r>
      <w:r w:rsidR="00C6064C">
        <w:rPr>
          <w:lang w:val="en-IE"/>
        </w:rPr>
        <w:t>(</w:t>
      </w:r>
      <w:r w:rsidR="00483DF7">
        <w:rPr>
          <w:lang w:val="en-IE"/>
        </w:rPr>
        <w:t>3</w:t>
      </w:r>
      <w:r w:rsidR="00C6064C">
        <w:rPr>
          <w:lang w:val="en-IE"/>
        </w:rPr>
        <w:t xml:space="preserve">) </w:t>
      </w:r>
      <w:r w:rsidR="005475B3">
        <w:rPr>
          <w:lang w:val="en-IE"/>
        </w:rPr>
        <w:t>preventing discrimination, especially against vulnerable groups</w:t>
      </w:r>
      <w:r w:rsidR="00926DEF">
        <w:rPr>
          <w:lang w:val="en-IE"/>
        </w:rPr>
        <w:t>;</w:t>
      </w:r>
      <w:r w:rsidR="005475B3">
        <w:rPr>
          <w:lang w:val="en-IE"/>
        </w:rPr>
        <w:t xml:space="preserve"> and </w:t>
      </w:r>
      <w:r w:rsidR="00C6064C">
        <w:rPr>
          <w:lang w:val="en-IE"/>
        </w:rPr>
        <w:t>(</w:t>
      </w:r>
      <w:r w:rsidR="00483DF7">
        <w:rPr>
          <w:lang w:val="en-IE"/>
        </w:rPr>
        <w:t>4</w:t>
      </w:r>
      <w:r w:rsidR="00C6064C">
        <w:rPr>
          <w:lang w:val="en-IE"/>
        </w:rPr>
        <w:t xml:space="preserve">) </w:t>
      </w:r>
      <w:r w:rsidR="005475B3">
        <w:rPr>
          <w:lang w:val="en-IE"/>
        </w:rPr>
        <w:t>enhancing independent judiciary and ensuring fair trials.</w:t>
      </w:r>
      <w:r w:rsidR="00D03101">
        <w:rPr>
          <w:lang w:val="en-IE"/>
        </w:rPr>
        <w:t xml:space="preserve"> These recommendations </w:t>
      </w:r>
      <w:r w:rsidR="00D03101" w:rsidRPr="00D03101">
        <w:rPr>
          <w:lang w:val="en-IE"/>
        </w:rPr>
        <w:t>overlap substantially with the SDGs, which shows the clear interlinkage between human rights and development</w:t>
      </w:r>
      <w:r w:rsidR="00D03101">
        <w:rPr>
          <w:lang w:val="en-IE"/>
        </w:rPr>
        <w:t>.</w:t>
      </w:r>
    </w:p>
    <w:p w14:paraId="6AE55E84" w14:textId="0D0AF82F" w:rsidR="00C6064C" w:rsidRDefault="00C6064C" w:rsidP="00672EAB">
      <w:pPr>
        <w:spacing w:line="266" w:lineRule="auto"/>
        <w:jc w:val="both"/>
      </w:pPr>
      <w:r>
        <w:t>In September</w:t>
      </w:r>
      <w:r w:rsidRPr="00B15FA8">
        <w:t xml:space="preserve"> 2019, the Prime Minister adopted Decision No.1252/QD-TTg approving the National Action Plan </w:t>
      </w:r>
      <w:r w:rsidR="00364DF5">
        <w:t xml:space="preserve">(NAP) </w:t>
      </w:r>
      <w:r w:rsidRPr="00B15FA8">
        <w:t xml:space="preserve">to enhance the effective implementation of the </w:t>
      </w:r>
      <w:r>
        <w:t>ICCPR</w:t>
      </w:r>
      <w:r w:rsidRPr="00B15FA8">
        <w:t xml:space="preserve"> and recommendations of the Human Rights Committee</w:t>
      </w:r>
      <w:r w:rsidR="00E14F30">
        <w:t>, including of the follow-up recommendations</w:t>
      </w:r>
      <w:r>
        <w:t xml:space="preserve">. </w:t>
      </w:r>
      <w:r w:rsidR="00364DF5">
        <w:t>T</w:t>
      </w:r>
      <w:r>
        <w:t>he Decision</w:t>
      </w:r>
      <w:r w:rsidR="00364DF5">
        <w:t xml:space="preserve"> identifies</w:t>
      </w:r>
      <w:r w:rsidR="0082002F">
        <w:t xml:space="preserve"> </w:t>
      </w:r>
      <w:r w:rsidRPr="00180DAC">
        <w:t xml:space="preserve">key tasks, measures, timeframes and </w:t>
      </w:r>
      <w:r>
        <w:t xml:space="preserve">expected </w:t>
      </w:r>
      <w:r w:rsidRPr="00180DAC">
        <w:t>outcomes for effective implementation</w:t>
      </w:r>
      <w:r>
        <w:t xml:space="preserve">. The </w:t>
      </w:r>
      <w:r w:rsidR="00364DF5">
        <w:t>NAP</w:t>
      </w:r>
      <w:r>
        <w:t xml:space="preserve"> aims </w:t>
      </w:r>
      <w:r w:rsidR="00364DF5">
        <w:t>to</w:t>
      </w:r>
      <w:r w:rsidR="005A3AF8">
        <w:t xml:space="preserve">: </w:t>
      </w:r>
    </w:p>
    <w:p w14:paraId="3839DC86" w14:textId="2B170869" w:rsidR="00C6064C" w:rsidRPr="00672EAB" w:rsidRDefault="00E14F30" w:rsidP="00672EAB">
      <w:pPr>
        <w:pStyle w:val="ListParagraph"/>
        <w:numPr>
          <w:ilvl w:val="0"/>
          <w:numId w:val="11"/>
        </w:numPr>
        <w:spacing w:line="266" w:lineRule="auto"/>
        <w:jc w:val="both"/>
        <w:rPr>
          <w:lang w:val="en"/>
        </w:rPr>
      </w:pPr>
      <w:r>
        <w:t>P</w:t>
      </w:r>
      <w:r w:rsidR="00C6064C">
        <w:t>romot</w:t>
      </w:r>
      <w:r w:rsidR="00364DF5">
        <w:t>e</w:t>
      </w:r>
      <w:r w:rsidR="00C6064C">
        <w:t xml:space="preserve"> and monitor the implementation of recommendations</w:t>
      </w:r>
      <w:r w:rsidR="005A3AF8">
        <w:t>;</w:t>
      </w:r>
    </w:p>
    <w:p w14:paraId="6DA1EEA5" w14:textId="7B913930" w:rsidR="005A3AF8" w:rsidRDefault="00E14F30" w:rsidP="00672EAB">
      <w:pPr>
        <w:pStyle w:val="ListParagraph"/>
        <w:numPr>
          <w:ilvl w:val="0"/>
          <w:numId w:val="11"/>
        </w:numPr>
        <w:spacing w:line="266" w:lineRule="auto"/>
        <w:jc w:val="both"/>
        <w:rPr>
          <w:lang w:val="en"/>
        </w:rPr>
      </w:pPr>
      <w:r>
        <w:t>E</w:t>
      </w:r>
      <w:r w:rsidR="005A3AF8">
        <w:t>stablish the role of the Ministry of Justice as the focal point</w:t>
      </w:r>
      <w:r w:rsidR="005A3AF8" w:rsidRPr="006F0E33">
        <w:t xml:space="preserve"> in charge of advising and assisting </w:t>
      </w:r>
      <w:r w:rsidR="005A3AF8" w:rsidRPr="001D10F6">
        <w:rPr>
          <w:lang w:val="en"/>
        </w:rPr>
        <w:t xml:space="preserve">the Prime Minister in organizing and monitoring the </w:t>
      </w:r>
      <w:r w:rsidR="00364DF5">
        <w:rPr>
          <w:lang w:val="en"/>
        </w:rPr>
        <w:t>NAP’s</w:t>
      </w:r>
      <w:r w:rsidR="005A3AF8" w:rsidRPr="001D10F6">
        <w:rPr>
          <w:lang w:val="en"/>
        </w:rPr>
        <w:t xml:space="preserve"> implementation </w:t>
      </w:r>
      <w:r>
        <w:rPr>
          <w:lang w:val="en"/>
        </w:rPr>
        <w:t>nationally</w:t>
      </w:r>
      <w:r w:rsidR="005A3AF8">
        <w:rPr>
          <w:lang w:val="en"/>
        </w:rPr>
        <w:t xml:space="preserve">; </w:t>
      </w:r>
    </w:p>
    <w:p w14:paraId="5BA597DA" w14:textId="75D127AD" w:rsidR="005A3AF8" w:rsidRPr="00672EAB" w:rsidRDefault="00E14F30" w:rsidP="00672EAB">
      <w:pPr>
        <w:pStyle w:val="ListParagraph"/>
        <w:numPr>
          <w:ilvl w:val="0"/>
          <w:numId w:val="11"/>
        </w:numPr>
        <w:spacing w:line="266" w:lineRule="auto"/>
        <w:jc w:val="both"/>
        <w:rPr>
          <w:lang w:val="en"/>
        </w:rPr>
      </w:pPr>
      <w:r>
        <w:rPr>
          <w:lang w:val="en"/>
        </w:rPr>
        <w:t>P</w:t>
      </w:r>
      <w:r w:rsidR="005A3AF8" w:rsidRPr="00075C63">
        <w:rPr>
          <w:lang w:val="en"/>
        </w:rPr>
        <w:t>rovid</w:t>
      </w:r>
      <w:r w:rsidR="00364DF5">
        <w:rPr>
          <w:lang w:val="en"/>
        </w:rPr>
        <w:t>e</w:t>
      </w:r>
      <w:r w:rsidR="005A3AF8" w:rsidRPr="00075C63">
        <w:rPr>
          <w:lang w:val="en"/>
        </w:rPr>
        <w:t xml:space="preserve"> </w:t>
      </w:r>
      <w:r w:rsidR="00364DF5">
        <w:rPr>
          <w:lang w:val="en"/>
        </w:rPr>
        <w:t>guidance</w:t>
      </w:r>
      <w:r w:rsidR="005A3AF8" w:rsidRPr="00075C63">
        <w:rPr>
          <w:lang w:val="en"/>
        </w:rPr>
        <w:t xml:space="preserve"> to </w:t>
      </w:r>
      <w:r w:rsidR="005A3AF8">
        <w:t>the responsible</w:t>
      </w:r>
      <w:r w:rsidR="005A3AF8" w:rsidRPr="000A4AA2">
        <w:t xml:space="preserve"> ministries, agencies and localities</w:t>
      </w:r>
      <w:r w:rsidR="005A3AF8">
        <w:t xml:space="preserve"> </w:t>
      </w:r>
      <w:r w:rsidR="005A3AF8" w:rsidRPr="00075C63">
        <w:rPr>
          <w:lang w:val="en"/>
        </w:rPr>
        <w:t>on</w:t>
      </w:r>
      <w:r w:rsidR="00364DF5">
        <w:rPr>
          <w:lang w:val="en"/>
        </w:rPr>
        <w:t xml:space="preserve"> how to</w:t>
      </w:r>
      <w:r w:rsidR="005A3AF8" w:rsidRPr="00075C63">
        <w:rPr>
          <w:lang w:val="en"/>
        </w:rPr>
        <w:t xml:space="preserve"> report</w:t>
      </w:r>
      <w:r w:rsidR="00364DF5">
        <w:rPr>
          <w:lang w:val="en"/>
        </w:rPr>
        <w:t xml:space="preserve"> </w:t>
      </w:r>
      <w:r>
        <w:rPr>
          <w:lang w:val="en"/>
        </w:rPr>
        <w:t>on</w:t>
      </w:r>
      <w:r w:rsidRPr="00075C63">
        <w:rPr>
          <w:lang w:val="en"/>
        </w:rPr>
        <w:t xml:space="preserve"> </w:t>
      </w:r>
      <w:r>
        <w:rPr>
          <w:lang w:val="en"/>
        </w:rPr>
        <w:t xml:space="preserve">NAP </w:t>
      </w:r>
      <w:r w:rsidRPr="00075C63">
        <w:rPr>
          <w:lang w:val="en"/>
        </w:rPr>
        <w:t>implementation</w:t>
      </w:r>
      <w:r>
        <w:rPr>
          <w:lang w:val="en"/>
        </w:rPr>
        <w:t xml:space="preserve"> </w:t>
      </w:r>
      <w:r w:rsidR="00364DF5">
        <w:rPr>
          <w:lang w:val="en"/>
        </w:rPr>
        <w:t>to the focal point</w:t>
      </w:r>
      <w:r w:rsidR="005A3AF8" w:rsidRPr="00075C63">
        <w:rPr>
          <w:lang w:val="en"/>
        </w:rPr>
        <w:t xml:space="preserve">, </w:t>
      </w:r>
      <w:r w:rsidR="005A3AF8">
        <w:t xml:space="preserve">which </w:t>
      </w:r>
      <w:r>
        <w:t xml:space="preserve">will </w:t>
      </w:r>
      <w:r w:rsidR="005A3AF8">
        <w:t>help</w:t>
      </w:r>
      <w:r w:rsidR="005A3AF8" w:rsidRPr="00075C63">
        <w:rPr>
          <w:lang w:val="en"/>
        </w:rPr>
        <w:t xml:space="preserve"> Viet Nam </w:t>
      </w:r>
      <w:r w:rsidR="00364DF5" w:rsidRPr="00075C63">
        <w:rPr>
          <w:lang w:val="en"/>
        </w:rPr>
        <w:t xml:space="preserve">prepare </w:t>
      </w:r>
      <w:r w:rsidR="005A3AF8" w:rsidRPr="00075C63">
        <w:rPr>
          <w:lang w:val="en"/>
        </w:rPr>
        <w:t>for the next reporting cycle.</w:t>
      </w:r>
    </w:p>
    <w:p w14:paraId="4A55B211" w14:textId="3AACA68B" w:rsidR="00075C63" w:rsidRDefault="00222E23" w:rsidP="00672EAB">
      <w:pPr>
        <w:jc w:val="both"/>
        <w:rPr>
          <w:lang w:val="en-IE"/>
        </w:rPr>
      </w:pPr>
      <w:r w:rsidRPr="00222E23">
        <w:rPr>
          <w:lang w:val="en-IE"/>
        </w:rPr>
        <w:t xml:space="preserve">To implement </w:t>
      </w:r>
      <w:r w:rsidR="00075C63">
        <w:rPr>
          <w:lang w:val="en-IE"/>
        </w:rPr>
        <w:t xml:space="preserve">the </w:t>
      </w:r>
      <w:r w:rsidRPr="00222E23">
        <w:rPr>
          <w:lang w:val="en-IE"/>
        </w:rPr>
        <w:t xml:space="preserve">priority recommendations, Viet Nam will need the substantive involvement and clear assignment of responsibilities, tasks and close coordination among all ministries and branches. </w:t>
      </w:r>
      <w:r w:rsidR="00483DF7">
        <w:rPr>
          <w:lang w:val="en-IE"/>
        </w:rPr>
        <w:t>Each responsible agency should identify measures to implement the recommendations</w:t>
      </w:r>
      <w:r w:rsidR="00364DF5">
        <w:rPr>
          <w:lang w:val="en-IE"/>
        </w:rPr>
        <w:t>,</w:t>
      </w:r>
      <w:r w:rsidR="00483DF7">
        <w:rPr>
          <w:lang w:val="en-IE"/>
        </w:rPr>
        <w:t xml:space="preserve"> with </w:t>
      </w:r>
      <w:r w:rsidR="00075C63">
        <w:rPr>
          <w:lang w:val="en-IE"/>
        </w:rPr>
        <w:t xml:space="preserve">realistic </w:t>
      </w:r>
      <w:r w:rsidR="00483DF7">
        <w:rPr>
          <w:lang w:val="en-IE"/>
        </w:rPr>
        <w:t>indicators</w:t>
      </w:r>
      <w:r w:rsidR="00075C63">
        <w:rPr>
          <w:lang w:val="en-IE"/>
        </w:rPr>
        <w:t xml:space="preserve"> </w:t>
      </w:r>
      <w:r w:rsidR="00364DF5">
        <w:rPr>
          <w:lang w:val="en-IE"/>
        </w:rPr>
        <w:t>and timeframes</w:t>
      </w:r>
      <w:r w:rsidR="00075C63">
        <w:rPr>
          <w:lang w:val="en-IE"/>
        </w:rPr>
        <w:t xml:space="preserve"> for each indicator</w:t>
      </w:r>
      <w:r w:rsidR="00364DF5">
        <w:rPr>
          <w:lang w:val="en-IE"/>
        </w:rPr>
        <w:t>.</w:t>
      </w:r>
    </w:p>
    <w:p w14:paraId="624E6647" w14:textId="5112A2FA" w:rsidR="00222E23" w:rsidRPr="00222E23" w:rsidRDefault="00222E23" w:rsidP="00672EAB">
      <w:pPr>
        <w:jc w:val="both"/>
        <w:rPr>
          <w:lang w:val="en-IE"/>
        </w:rPr>
      </w:pPr>
      <w:r w:rsidRPr="00222E23">
        <w:rPr>
          <w:lang w:val="en-IE"/>
        </w:rPr>
        <w:t xml:space="preserve">The Government will also need to determine a suitable implementation roadmap, as well as link the activities of related sectors and mobilize the strength of the entire political system. </w:t>
      </w:r>
      <w:r w:rsidR="00075C63">
        <w:rPr>
          <w:lang w:val="en-IE"/>
        </w:rPr>
        <w:t xml:space="preserve">The role of the Ministry of Justice as </w:t>
      </w:r>
      <w:r w:rsidR="00364DF5">
        <w:rPr>
          <w:lang w:val="en-IE"/>
        </w:rPr>
        <w:t>an effective and active</w:t>
      </w:r>
      <w:r w:rsidR="00075C63">
        <w:rPr>
          <w:lang w:val="en-IE"/>
        </w:rPr>
        <w:t xml:space="preserve"> focal point is</w:t>
      </w:r>
      <w:r w:rsidR="002711E1">
        <w:rPr>
          <w:lang w:val="en-IE"/>
        </w:rPr>
        <w:t xml:space="preserve"> thus</w:t>
      </w:r>
      <w:r w:rsidR="00075C63">
        <w:rPr>
          <w:lang w:val="en-IE"/>
        </w:rPr>
        <w:t xml:space="preserve"> critical</w:t>
      </w:r>
      <w:r w:rsidR="00364DF5">
        <w:rPr>
          <w:lang w:val="en-IE"/>
        </w:rPr>
        <w:t>.</w:t>
      </w:r>
    </w:p>
    <w:p w14:paraId="6556303D" w14:textId="77777777" w:rsidR="00075C63" w:rsidRDefault="00D03101" w:rsidP="00672EAB">
      <w:pPr>
        <w:jc w:val="both"/>
        <w:rPr>
          <w:lang w:val="en-IE"/>
        </w:rPr>
      </w:pPr>
      <w:r>
        <w:rPr>
          <w:lang w:val="en-IE"/>
        </w:rPr>
        <w:t>Full implementation of the priority recommendations is not likely within</w:t>
      </w:r>
      <w:r w:rsidRPr="00D03101">
        <w:rPr>
          <w:lang w:val="en-IE"/>
        </w:rPr>
        <w:t xml:space="preserve"> two years</w:t>
      </w:r>
      <w:r w:rsidR="00926DEF">
        <w:rPr>
          <w:lang w:val="en-IE"/>
        </w:rPr>
        <w:t>, for example</w:t>
      </w:r>
      <w:r w:rsidRPr="00D03101">
        <w:rPr>
          <w:lang w:val="en-IE"/>
        </w:rPr>
        <w:t xml:space="preserve"> because some recommendations suggest amendments of newly adopted laws. Viet Nam should </w:t>
      </w:r>
      <w:r>
        <w:rPr>
          <w:lang w:val="en-IE"/>
        </w:rPr>
        <w:t xml:space="preserve">still </w:t>
      </w:r>
      <w:r w:rsidRPr="00D03101">
        <w:rPr>
          <w:lang w:val="en-IE"/>
        </w:rPr>
        <w:t xml:space="preserve">significantly progress towards achieving these recommendations, thereby </w:t>
      </w:r>
      <w:r>
        <w:rPr>
          <w:lang w:val="en-IE"/>
        </w:rPr>
        <w:t>demonstrating</w:t>
      </w:r>
      <w:r w:rsidRPr="00D03101">
        <w:rPr>
          <w:lang w:val="en-IE"/>
        </w:rPr>
        <w:t xml:space="preserve"> </w:t>
      </w:r>
      <w:r>
        <w:rPr>
          <w:lang w:val="en-IE"/>
        </w:rPr>
        <w:t>the country’s</w:t>
      </w:r>
      <w:r w:rsidRPr="00D03101">
        <w:rPr>
          <w:lang w:val="en-IE"/>
        </w:rPr>
        <w:t xml:space="preserve"> commitment to better protect and promote civil and political rights. </w:t>
      </w:r>
    </w:p>
    <w:p w14:paraId="11CD9163" w14:textId="14A15D46" w:rsidR="00075C63" w:rsidRDefault="00D03101" w:rsidP="00672EAB">
      <w:pPr>
        <w:jc w:val="both"/>
        <w:rPr>
          <w:lang w:val="en-IE"/>
        </w:rPr>
      </w:pPr>
      <w:r>
        <w:rPr>
          <w:lang w:val="en-IE"/>
        </w:rPr>
        <w:t xml:space="preserve">Many of the recommendations by the Human Rights Committee are the </w:t>
      </w:r>
      <w:r w:rsidRPr="00D03101">
        <w:rPr>
          <w:lang w:val="en-IE"/>
        </w:rPr>
        <w:t>same or similar to recommendations that Viet Nam received under the UPR or from other human rights treaty bodies</w:t>
      </w:r>
      <w:r>
        <w:rPr>
          <w:lang w:val="en-IE"/>
        </w:rPr>
        <w:t xml:space="preserve">. As a result, coordination is crucial to </w:t>
      </w:r>
      <w:r w:rsidR="00D155AE">
        <w:rPr>
          <w:lang w:val="en-IE"/>
        </w:rPr>
        <w:t xml:space="preserve">set cross-cutting priorities and </w:t>
      </w:r>
      <w:r>
        <w:rPr>
          <w:lang w:val="en-IE"/>
        </w:rPr>
        <w:t>avoid duplication of efforts</w:t>
      </w:r>
      <w:r w:rsidR="00D155AE">
        <w:rPr>
          <w:lang w:val="en-IE"/>
        </w:rPr>
        <w:t xml:space="preserve"> and missed opportunities.</w:t>
      </w:r>
      <w:r w:rsidR="00FC3C59">
        <w:rPr>
          <w:lang w:val="en-IE"/>
        </w:rPr>
        <w:t xml:space="preserve"> In addition, </w:t>
      </w:r>
      <w:r w:rsidR="00364DF5">
        <w:rPr>
          <w:lang w:val="en-IE"/>
        </w:rPr>
        <w:t>Viet Nam should c</w:t>
      </w:r>
      <w:r w:rsidR="00075C63">
        <w:rPr>
          <w:lang w:val="en-IE"/>
        </w:rPr>
        <w:t>ontinu</w:t>
      </w:r>
      <w:r w:rsidR="00364DF5">
        <w:rPr>
          <w:lang w:val="en-IE"/>
        </w:rPr>
        <w:t>e</w:t>
      </w:r>
      <w:r w:rsidR="00075C63">
        <w:rPr>
          <w:lang w:val="en-IE"/>
        </w:rPr>
        <w:t xml:space="preserve"> to maintain dialog</w:t>
      </w:r>
      <w:r w:rsidR="00364DF5">
        <w:rPr>
          <w:lang w:val="en-IE"/>
        </w:rPr>
        <w:t>ues</w:t>
      </w:r>
      <w:r w:rsidR="00075C63">
        <w:rPr>
          <w:lang w:val="en-IE"/>
        </w:rPr>
        <w:t xml:space="preserve"> with </w:t>
      </w:r>
      <w:r w:rsidR="002711E1">
        <w:rPr>
          <w:lang w:val="en-IE"/>
        </w:rPr>
        <w:t>all relevant</w:t>
      </w:r>
      <w:r w:rsidR="00075C63">
        <w:rPr>
          <w:lang w:val="en-IE"/>
        </w:rPr>
        <w:t xml:space="preserve"> stakeholders</w:t>
      </w:r>
      <w:r w:rsidR="002711E1">
        <w:rPr>
          <w:lang w:val="en-IE"/>
        </w:rPr>
        <w:t xml:space="preserve"> (e.g. non-governmental organisations, development partners, etc) </w:t>
      </w:r>
      <w:r w:rsidR="00075C63">
        <w:rPr>
          <w:lang w:val="en-IE"/>
        </w:rPr>
        <w:t xml:space="preserve">and </w:t>
      </w:r>
      <w:r w:rsidR="00E14F30">
        <w:rPr>
          <w:lang w:val="en-IE"/>
        </w:rPr>
        <w:t xml:space="preserve">incorporate </w:t>
      </w:r>
      <w:r w:rsidR="00075C63">
        <w:rPr>
          <w:lang w:val="en-IE"/>
        </w:rPr>
        <w:t>learn</w:t>
      </w:r>
      <w:r w:rsidR="00E14F30">
        <w:rPr>
          <w:lang w:val="en-IE"/>
        </w:rPr>
        <w:t>ings and best practices</w:t>
      </w:r>
      <w:r w:rsidR="00075C63">
        <w:rPr>
          <w:lang w:val="en-IE"/>
        </w:rPr>
        <w:t xml:space="preserve"> from </w:t>
      </w:r>
      <w:r w:rsidR="00E14F30">
        <w:rPr>
          <w:lang w:val="en-IE"/>
        </w:rPr>
        <w:t>other countries’ experience in implementation</w:t>
      </w:r>
      <w:r w:rsidR="00075C63">
        <w:rPr>
          <w:lang w:val="en-IE"/>
        </w:rPr>
        <w:t xml:space="preserve">. </w:t>
      </w:r>
      <w:bookmarkStart w:id="0" w:name="_GoBack"/>
      <w:bookmarkEnd w:id="0"/>
    </w:p>
    <w:p w14:paraId="0D840659" w14:textId="1CF4357D" w:rsidR="008962C5" w:rsidRDefault="008962C5" w:rsidP="00672EAB">
      <w:pPr>
        <w:jc w:val="both"/>
        <w:rPr>
          <w:lang w:val="en-IE"/>
        </w:rPr>
      </w:pPr>
    </w:p>
    <w:p w14:paraId="5FB4B5E1" w14:textId="32B25ECB" w:rsidR="008962C5" w:rsidRDefault="008962C5" w:rsidP="008962C5">
      <w:pPr>
        <w:jc w:val="center"/>
        <w:rPr>
          <w:lang w:val="en-IE"/>
        </w:rPr>
      </w:pPr>
      <w:r>
        <w:rPr>
          <w:caps/>
          <w:noProof/>
          <w:color w:val="5B9BD5"/>
        </w:rPr>
        <w:drawing>
          <wp:inline distT="0" distB="0" distL="0" distR="0" wp14:anchorId="7FEB545B" wp14:editId="02101342">
            <wp:extent cx="1236995" cy="8191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02" cy="82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907"/>
    <w:multiLevelType w:val="hybridMultilevel"/>
    <w:tmpl w:val="666E0220"/>
    <w:lvl w:ilvl="0" w:tplc="FC32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FA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6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6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E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E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C51DB"/>
    <w:multiLevelType w:val="hybridMultilevel"/>
    <w:tmpl w:val="09D20D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8B8"/>
    <w:multiLevelType w:val="hybridMultilevel"/>
    <w:tmpl w:val="5D7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3086"/>
    <w:multiLevelType w:val="hybridMultilevel"/>
    <w:tmpl w:val="A1BC3E5C"/>
    <w:lvl w:ilvl="0" w:tplc="CCFC5B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3836C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64080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1C8A82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BC0C49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19662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9825E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662F6E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F76635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7D29"/>
    <w:multiLevelType w:val="hybridMultilevel"/>
    <w:tmpl w:val="C06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57D"/>
    <w:multiLevelType w:val="hybridMultilevel"/>
    <w:tmpl w:val="31DE8DF2"/>
    <w:lvl w:ilvl="0" w:tplc="8F10BE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1C5B"/>
    <w:multiLevelType w:val="hybridMultilevel"/>
    <w:tmpl w:val="D850FBC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0DA"/>
    <w:multiLevelType w:val="hybridMultilevel"/>
    <w:tmpl w:val="2AC4054E"/>
    <w:lvl w:ilvl="0" w:tplc="8F10BE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736E"/>
    <w:multiLevelType w:val="hybridMultilevel"/>
    <w:tmpl w:val="5F5493CE"/>
    <w:lvl w:ilvl="0" w:tplc="5A2A8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0C32"/>
    <w:multiLevelType w:val="hybridMultilevel"/>
    <w:tmpl w:val="1EE8F514"/>
    <w:lvl w:ilvl="0" w:tplc="B3EC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A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E8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2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7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E5EE0"/>
    <w:multiLevelType w:val="hybridMultilevel"/>
    <w:tmpl w:val="4E7E9BC4"/>
    <w:lvl w:ilvl="0" w:tplc="457CF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1"/>
    <w:rsid w:val="00044871"/>
    <w:rsid w:val="00075C63"/>
    <w:rsid w:val="0009019C"/>
    <w:rsid w:val="000D486D"/>
    <w:rsid w:val="001044F9"/>
    <w:rsid w:val="0012392F"/>
    <w:rsid w:val="001C7754"/>
    <w:rsid w:val="001D3BD3"/>
    <w:rsid w:val="001F044B"/>
    <w:rsid w:val="001F5784"/>
    <w:rsid w:val="00212677"/>
    <w:rsid w:val="00212939"/>
    <w:rsid w:val="00222E23"/>
    <w:rsid w:val="00223A4D"/>
    <w:rsid w:val="002711E1"/>
    <w:rsid w:val="00276FDA"/>
    <w:rsid w:val="002859C3"/>
    <w:rsid w:val="002F5DBE"/>
    <w:rsid w:val="00316DAF"/>
    <w:rsid w:val="003373EC"/>
    <w:rsid w:val="00362D78"/>
    <w:rsid w:val="00364DF5"/>
    <w:rsid w:val="003652A8"/>
    <w:rsid w:val="00385120"/>
    <w:rsid w:val="003A1AF2"/>
    <w:rsid w:val="00452602"/>
    <w:rsid w:val="00462E82"/>
    <w:rsid w:val="00483DF7"/>
    <w:rsid w:val="004C1447"/>
    <w:rsid w:val="004C48D9"/>
    <w:rsid w:val="004E239C"/>
    <w:rsid w:val="004F59FC"/>
    <w:rsid w:val="005475B3"/>
    <w:rsid w:val="0058645B"/>
    <w:rsid w:val="00590725"/>
    <w:rsid w:val="005A3AF8"/>
    <w:rsid w:val="005A60CE"/>
    <w:rsid w:val="005B2F24"/>
    <w:rsid w:val="005C47EF"/>
    <w:rsid w:val="00626366"/>
    <w:rsid w:val="0064225F"/>
    <w:rsid w:val="00672EAB"/>
    <w:rsid w:val="00701FB7"/>
    <w:rsid w:val="00714E1D"/>
    <w:rsid w:val="007A24DD"/>
    <w:rsid w:val="007D2F22"/>
    <w:rsid w:val="0082002F"/>
    <w:rsid w:val="0082125A"/>
    <w:rsid w:val="0088709A"/>
    <w:rsid w:val="008962C5"/>
    <w:rsid w:val="008A17C2"/>
    <w:rsid w:val="008A7656"/>
    <w:rsid w:val="008E0645"/>
    <w:rsid w:val="009168D4"/>
    <w:rsid w:val="00926DEF"/>
    <w:rsid w:val="009348A0"/>
    <w:rsid w:val="00945948"/>
    <w:rsid w:val="00952AC9"/>
    <w:rsid w:val="009704C6"/>
    <w:rsid w:val="009759DD"/>
    <w:rsid w:val="00986486"/>
    <w:rsid w:val="009A05D9"/>
    <w:rsid w:val="009C008C"/>
    <w:rsid w:val="00A27F2C"/>
    <w:rsid w:val="00A4376F"/>
    <w:rsid w:val="00A839C0"/>
    <w:rsid w:val="00B02A4F"/>
    <w:rsid w:val="00B411FC"/>
    <w:rsid w:val="00BB66DE"/>
    <w:rsid w:val="00BB73E3"/>
    <w:rsid w:val="00BD22E7"/>
    <w:rsid w:val="00BF6884"/>
    <w:rsid w:val="00C01015"/>
    <w:rsid w:val="00C46E1F"/>
    <w:rsid w:val="00C52BE1"/>
    <w:rsid w:val="00C6064C"/>
    <w:rsid w:val="00C663EE"/>
    <w:rsid w:val="00C90B6C"/>
    <w:rsid w:val="00D03101"/>
    <w:rsid w:val="00D155AE"/>
    <w:rsid w:val="00D15D8F"/>
    <w:rsid w:val="00D31EAF"/>
    <w:rsid w:val="00DA0605"/>
    <w:rsid w:val="00DF0503"/>
    <w:rsid w:val="00DF0F7F"/>
    <w:rsid w:val="00E14F30"/>
    <w:rsid w:val="00E93308"/>
    <w:rsid w:val="00EC0BBF"/>
    <w:rsid w:val="00EF7561"/>
    <w:rsid w:val="00F62D43"/>
    <w:rsid w:val="00F73401"/>
    <w:rsid w:val="00F77989"/>
    <w:rsid w:val="00F823EF"/>
    <w:rsid w:val="00F86FE2"/>
    <w:rsid w:val="00F96D13"/>
    <w:rsid w:val="00FA7798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AC77"/>
  <w15:chartTrackingRefBased/>
  <w15:docId w15:val="{19EF3CF4-C36F-44AF-9B12-67B896B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164">
          <w:marLeft w:val="72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001">
          <w:marLeft w:val="72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82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560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8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74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2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892">
          <w:marLeft w:val="72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33">
          <w:marLeft w:val="72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752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20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5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05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934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639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856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279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064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30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852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F948-B4BD-4549-B9B4-3E70CEC5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Nolan</dc:creator>
  <cp:keywords/>
  <dc:description/>
  <cp:lastModifiedBy>Tuan Son Vo</cp:lastModifiedBy>
  <cp:revision>3</cp:revision>
  <dcterms:created xsi:type="dcterms:W3CDTF">2020-06-08T10:14:00Z</dcterms:created>
  <dcterms:modified xsi:type="dcterms:W3CDTF">2020-06-08T11:22:00Z</dcterms:modified>
</cp:coreProperties>
</file>