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33E" w:rsidRPr="00D456D3" w:rsidRDefault="008E733E" w:rsidP="008E733E">
      <w:pPr>
        <w:pStyle w:val="Heading1"/>
        <w:tabs>
          <w:tab w:val="left" w:pos="709"/>
        </w:tabs>
        <w:jc w:val="right"/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</w:pPr>
      <w:bookmarkStart w:id="0" w:name="_Toc14882252"/>
      <w:bookmarkStart w:id="1" w:name="_Toc15408211"/>
      <w:bookmarkStart w:id="2" w:name="_GoBack"/>
      <w:r w:rsidRPr="00D456D3"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  <w:t xml:space="preserve">Додаток </w:t>
      </w:r>
      <w:bookmarkEnd w:id="0"/>
      <w:bookmarkEnd w:id="1"/>
      <w:r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  <w:t>21</w:t>
      </w:r>
    </w:p>
    <w:p w:rsidR="008E733E" w:rsidRPr="00D456D3" w:rsidRDefault="008E733E" w:rsidP="008E733E">
      <w:pPr>
        <w:pStyle w:val="Heading1"/>
        <w:tabs>
          <w:tab w:val="left" w:pos="709"/>
        </w:tabs>
        <w:jc w:val="center"/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</w:pPr>
      <w:bookmarkStart w:id="3" w:name="_Toc14882253"/>
      <w:bookmarkStart w:id="4" w:name="_Toc15408212"/>
      <w:bookmarkEnd w:id="2"/>
      <w:r w:rsidRPr="00D456D3"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  <w:t>Приклад проведення оцінки та розрахунків ефективності програми на основі Методичних рекомендацій МФУ</w:t>
      </w:r>
      <w:bookmarkEnd w:id="3"/>
      <w:bookmarkEnd w:id="4"/>
      <w:r w:rsidRPr="00D456D3"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  <w:t xml:space="preserve"> </w:t>
      </w:r>
    </w:p>
    <w:p w:rsidR="008E733E" w:rsidRPr="00D456D3" w:rsidRDefault="008E733E" w:rsidP="008E733E">
      <w:pPr>
        <w:pStyle w:val="Heading1"/>
        <w:tabs>
          <w:tab w:val="left" w:pos="709"/>
        </w:tabs>
        <w:spacing w:before="0"/>
        <w:jc w:val="center"/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</w:pPr>
      <w:bookmarkStart w:id="5" w:name="_Toc14882254"/>
      <w:bookmarkStart w:id="6" w:name="_Toc15408213"/>
      <w:r w:rsidRPr="00D456D3"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  <w:t>(наказу МФУ від 17.05.2011 року № 608)</w:t>
      </w:r>
      <w:bookmarkEnd w:id="5"/>
      <w:bookmarkEnd w:id="6"/>
      <w:r w:rsidRPr="00D456D3"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  <w:t xml:space="preserve"> </w:t>
      </w:r>
    </w:p>
    <w:p w:rsidR="008E733E" w:rsidRPr="00D456D3" w:rsidRDefault="008E733E" w:rsidP="008E733E">
      <w:pPr>
        <w:tabs>
          <w:tab w:val="left" w:pos="709"/>
        </w:tabs>
        <w:rPr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4"/>
        <w:gridCol w:w="2734"/>
        <w:gridCol w:w="1053"/>
        <w:gridCol w:w="1238"/>
        <w:gridCol w:w="559"/>
        <w:gridCol w:w="208"/>
        <w:gridCol w:w="538"/>
        <w:gridCol w:w="555"/>
        <w:gridCol w:w="306"/>
        <w:gridCol w:w="734"/>
        <w:gridCol w:w="281"/>
        <w:gridCol w:w="724"/>
        <w:gridCol w:w="440"/>
        <w:gridCol w:w="653"/>
        <w:gridCol w:w="243"/>
        <w:gridCol w:w="241"/>
        <w:gridCol w:w="241"/>
        <w:gridCol w:w="240"/>
        <w:gridCol w:w="240"/>
        <w:gridCol w:w="243"/>
        <w:gridCol w:w="131"/>
        <w:gridCol w:w="221"/>
        <w:gridCol w:w="221"/>
        <w:gridCol w:w="221"/>
        <w:gridCol w:w="221"/>
      </w:tblGrid>
      <w:tr w:rsidR="008E733E" w:rsidRPr="00D456D3" w:rsidTr="00AA2814">
        <w:trPr>
          <w:trHeight w:val="45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D456D3">
              <w:rPr>
                <w:rFonts w:cs="Calibri"/>
                <w:b/>
                <w:bCs/>
                <w:color w:val="000000"/>
                <w:sz w:val="32"/>
                <w:szCs w:val="32"/>
                <w:lang w:val="uk-UA" w:eastAsia="ru-RU"/>
              </w:rPr>
              <w:t>ОЦІНКА ЕФЕКТИВНОСТІ БЮДЖЕТНОЇ ПРОГРАМИ</w:t>
            </w:r>
          </w:p>
        </w:tc>
      </w:tr>
      <w:tr w:rsidR="008E733E" w:rsidRPr="00D456D3" w:rsidTr="00AA2814">
        <w:trPr>
          <w:trHeight w:val="42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32"/>
                <w:szCs w:val="32"/>
                <w:lang w:val="uk-UA" w:eastAsia="ru-RU"/>
              </w:rPr>
              <w:t>за 2018 рік</w:t>
            </w:r>
          </w:p>
        </w:tc>
      </w:tr>
      <w:tr w:rsidR="008E733E" w:rsidRPr="00D456D3" w:rsidTr="00AA2814">
        <w:trPr>
          <w:trHeight w:val="348"/>
        </w:trPr>
        <w:tc>
          <w:tcPr>
            <w:tcW w:w="29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  <w:lang w:val="uk-UA" w:eastAsia="ru-RU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8E733E" w:rsidRPr="00D456D3" w:rsidTr="00AA2814">
        <w:trPr>
          <w:trHeight w:val="312"/>
        </w:trPr>
        <w:tc>
          <w:tcPr>
            <w:tcW w:w="4437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 xml:space="preserve">1.    </w:t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3700000          Департамент фінансів, економіки та інвестицій Сумської міської ради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8E733E" w:rsidRPr="00D456D3" w:rsidTr="00AA2814">
        <w:trPr>
          <w:trHeight w:val="312"/>
        </w:trPr>
        <w:tc>
          <w:tcPr>
            <w:tcW w:w="4437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ind w:firstLineChars="100" w:firstLine="240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 xml:space="preserve">     (КПКВК МБ)                     (найменування головного розпорядника)    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ind w:firstLineChars="100" w:firstLine="240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8E733E" w:rsidRPr="00D456D3" w:rsidTr="00AA2814">
        <w:trPr>
          <w:trHeight w:val="312"/>
        </w:trPr>
        <w:tc>
          <w:tcPr>
            <w:tcW w:w="4437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 xml:space="preserve">2.    </w:t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3</w:t>
            </w:r>
            <w:r w:rsidRPr="00D456D3">
              <w:rPr>
                <w:rFonts w:cs="Calibri"/>
                <w:color w:val="000000"/>
                <w:sz w:val="24"/>
                <w:szCs w:val="24"/>
                <w:u w:val="single"/>
                <w:lang w:val="uk-UA" w:eastAsia="ru-RU"/>
              </w:rPr>
              <w:t>7</w:t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10000          Департамент фінансів, економіки та інвестицій Сумської міської ради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8E733E" w:rsidRPr="00D456D3" w:rsidTr="00AA2814">
        <w:trPr>
          <w:trHeight w:val="312"/>
        </w:trPr>
        <w:tc>
          <w:tcPr>
            <w:tcW w:w="436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ind w:firstLineChars="100" w:firstLine="240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 xml:space="preserve">     (КПКВК МБ)                     (найменування відповідального виконавця)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ind w:firstLineChars="100" w:firstLine="240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8E733E" w:rsidRPr="00D456D3" w:rsidTr="00AA2814">
        <w:trPr>
          <w:trHeight w:val="715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3.</w:t>
            </w:r>
          </w:p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ind w:firstLineChars="300" w:firstLine="723"/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3717640   0470          Заходи з енергозбереження</w:t>
            </w:r>
          </w:p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E733E" w:rsidRPr="00D456D3" w:rsidTr="00AA2814">
        <w:trPr>
          <w:trHeight w:val="312"/>
        </w:trPr>
        <w:tc>
          <w:tcPr>
            <w:tcW w:w="4297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D456D3">
              <w:rPr>
                <w:rFonts w:cs="Calibri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            </w:t>
            </w:r>
            <w:r w:rsidRPr="00D456D3">
              <w:rPr>
                <w:rFonts w:cs="Calibri"/>
                <w:color w:val="000000"/>
                <w:sz w:val="16"/>
                <w:szCs w:val="16"/>
                <w:lang w:val="uk-UA" w:eastAsia="ru-RU"/>
              </w:rPr>
              <w:t xml:space="preserve">(КПКВК МБ)   </w:t>
            </w:r>
            <w:r w:rsidRPr="00D456D3">
              <w:rPr>
                <w:rFonts w:cs="Calibri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   </w:t>
            </w:r>
            <w:r w:rsidRPr="00D456D3">
              <w:rPr>
                <w:rFonts w:cs="Calibri"/>
                <w:color w:val="000000"/>
                <w:sz w:val="16"/>
                <w:szCs w:val="16"/>
                <w:lang w:val="uk-UA" w:eastAsia="ru-RU"/>
              </w:rPr>
              <w:t>(КФКВК)</w:t>
            </w: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 xml:space="preserve">        </w:t>
            </w:r>
            <w:r w:rsidRPr="00D456D3">
              <w:rPr>
                <w:rFonts w:cs="Calibri"/>
                <w:color w:val="000000"/>
                <w:sz w:val="16"/>
                <w:szCs w:val="16"/>
                <w:lang w:val="uk-UA" w:eastAsia="ru-RU"/>
              </w:rPr>
              <w:t xml:space="preserve">(найменування бюджетної програми) 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8E733E" w:rsidRPr="00D456D3" w:rsidTr="00AA2814">
        <w:trPr>
          <w:trHeight w:val="312"/>
        </w:trPr>
        <w:tc>
          <w:tcPr>
            <w:tcW w:w="29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8E733E" w:rsidRPr="00D456D3" w:rsidTr="00AA2814">
        <w:trPr>
          <w:trHeight w:val="312"/>
        </w:trPr>
        <w:tc>
          <w:tcPr>
            <w:tcW w:w="363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4.  Мета бюджетної програми: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8E733E" w:rsidRPr="00D456D3" w:rsidTr="00AA2814">
        <w:trPr>
          <w:trHeight w:val="312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 xml:space="preserve">       Створення та функціонування системи енергетичного менеджменту </w:t>
            </w:r>
          </w:p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8E733E" w:rsidRPr="00D456D3" w:rsidTr="00AA2814">
        <w:trPr>
          <w:trHeight w:val="312"/>
        </w:trPr>
        <w:tc>
          <w:tcPr>
            <w:tcW w:w="29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8E733E" w:rsidRPr="00D456D3" w:rsidTr="00AA2814">
        <w:trPr>
          <w:trHeight w:val="312"/>
        </w:trPr>
        <w:tc>
          <w:tcPr>
            <w:tcW w:w="403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 xml:space="preserve">5. Оцінка ефективності бюджетної програми за критеріями: 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8E733E" w:rsidRPr="00D456D3" w:rsidTr="00AA2814">
        <w:trPr>
          <w:trHeight w:val="312"/>
        </w:trPr>
        <w:tc>
          <w:tcPr>
            <w:tcW w:w="436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 xml:space="preserve">5.1 «Виконання бюджетної програми за напрямами використання бюджетних коштів»:  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8E733E" w:rsidRPr="00D456D3" w:rsidTr="00AA2814">
        <w:trPr>
          <w:trHeight w:val="312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 xml:space="preserve"> (тис. грн)</w:t>
            </w:r>
          </w:p>
        </w:tc>
      </w:tr>
      <w:tr w:rsidR="008E733E" w:rsidRPr="00D456D3" w:rsidTr="00AA2814">
        <w:trPr>
          <w:trHeight w:val="315"/>
        </w:trPr>
        <w:tc>
          <w:tcPr>
            <w:tcW w:w="2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21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План з урахуванням змін</w:t>
            </w:r>
          </w:p>
        </w:tc>
        <w:tc>
          <w:tcPr>
            <w:tcW w:w="875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Виконано</w:t>
            </w:r>
          </w:p>
        </w:tc>
        <w:tc>
          <w:tcPr>
            <w:tcW w:w="1096" w:type="pct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Відхилення</w:t>
            </w:r>
          </w:p>
        </w:tc>
      </w:tr>
      <w:tr w:rsidR="008E733E" w:rsidRPr="00D456D3" w:rsidTr="00AA2814">
        <w:trPr>
          <w:trHeight w:val="630"/>
        </w:trPr>
        <w:tc>
          <w:tcPr>
            <w:tcW w:w="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33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349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422" w:type="pct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352" w:type="pct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</w:tr>
      <w:tr w:rsidR="008E733E" w:rsidRPr="00D456D3" w:rsidTr="00AA2814">
        <w:trPr>
          <w:trHeight w:val="509"/>
        </w:trPr>
        <w:tc>
          <w:tcPr>
            <w:tcW w:w="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2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E733E" w:rsidRPr="00D456D3" w:rsidTr="00AA2814">
        <w:trPr>
          <w:trHeight w:val="63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Видатки (надані кредити)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64,9</w:t>
            </w:r>
          </w:p>
        </w:tc>
        <w:tc>
          <w:tcPr>
            <w:tcW w:w="349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64,9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-10,1</w:t>
            </w:r>
          </w:p>
        </w:tc>
        <w:tc>
          <w:tcPr>
            <w:tcW w:w="422" w:type="pct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2" w:type="pct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-10,1</w:t>
            </w:r>
          </w:p>
        </w:tc>
      </w:tr>
      <w:tr w:rsidR="008E733E" w:rsidRPr="00D456D3" w:rsidTr="00AA2814">
        <w:trPr>
          <w:trHeight w:val="509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2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E733E" w:rsidRPr="00D456D3" w:rsidTr="00AA2814">
        <w:trPr>
          <w:trHeight w:val="630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Відхилення касових видатків (наданих кредитів) від планового показника пояснюється економією коштів на проведення заходу з внутрішнього аудиту системи енергетичного менеджменту в бюджетній сфері міста Суми</w:t>
            </w:r>
          </w:p>
        </w:tc>
      </w:tr>
      <w:tr w:rsidR="008E733E" w:rsidRPr="00D456D3" w:rsidTr="00AA2814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зокрема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E733E" w:rsidRPr="00D456D3" w:rsidTr="00AA2814">
        <w:trPr>
          <w:trHeight w:val="509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1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Створення та функціонування системи енергетичного менеджменту (упровадження системи енергетичного менеджменту відповідно до ISO 50001 в бюджетній сфері міста відповідно до Суми)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49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2" w:type="pct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2" w:type="pct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E733E" w:rsidRPr="00D456D3" w:rsidTr="00AA2814">
        <w:trPr>
          <w:trHeight w:val="108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2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E733E" w:rsidRPr="00D456D3" w:rsidTr="00AA2814">
        <w:trPr>
          <w:trHeight w:val="1350"/>
        </w:trPr>
        <w:tc>
          <w:tcPr>
            <w:tcW w:w="22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lastRenderedPageBreak/>
              <w:t>1.2</w:t>
            </w:r>
          </w:p>
        </w:tc>
        <w:tc>
          <w:tcPr>
            <w:tcW w:w="15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 xml:space="preserve">Створення та функціонування системи енергетичного менеджменту (внутрішній аудит системи енергетичного менеджменту в бюджетній сфері міста Суми) 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49,9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49,9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-10,1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-10,1</w:t>
            </w:r>
          </w:p>
        </w:tc>
      </w:tr>
      <w:tr w:rsidR="008E733E" w:rsidRPr="00D456D3" w:rsidTr="00AA2814">
        <w:trPr>
          <w:trHeight w:val="66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Відхилення за показником пояснюється економією коштів на проведення заходу з внутрішнього аудиту системи енергетичного менеджменту в бюджетній сфері міста Суми</w:t>
            </w:r>
          </w:p>
        </w:tc>
      </w:tr>
    </w:tbl>
    <w:p w:rsidR="008E733E" w:rsidRPr="00D456D3" w:rsidRDefault="008E733E" w:rsidP="008E733E">
      <w:pPr>
        <w:tabs>
          <w:tab w:val="left" w:pos="709"/>
        </w:tabs>
        <w:rPr>
          <w:lang w:val="uk-UA"/>
        </w:rPr>
      </w:pPr>
    </w:p>
    <w:tbl>
      <w:tblPr>
        <w:tblW w:w="3833" w:type="pct"/>
        <w:tblLook w:val="04A0" w:firstRow="1" w:lastRow="0" w:firstColumn="1" w:lastColumn="0" w:noHBand="0" w:noVBand="1"/>
      </w:tblPr>
      <w:tblGrid>
        <w:gridCol w:w="782"/>
        <w:gridCol w:w="3912"/>
        <w:gridCol w:w="592"/>
        <w:gridCol w:w="592"/>
        <w:gridCol w:w="992"/>
        <w:gridCol w:w="692"/>
        <w:gridCol w:w="739"/>
        <w:gridCol w:w="1130"/>
        <w:gridCol w:w="1285"/>
      </w:tblGrid>
      <w:tr w:rsidR="008E733E" w:rsidRPr="00D456D3" w:rsidTr="00AA2814">
        <w:trPr>
          <w:trHeight w:val="312"/>
        </w:trPr>
        <w:tc>
          <w:tcPr>
            <w:tcW w:w="440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ind w:firstLineChars="100" w:firstLine="240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 xml:space="preserve">5.2 «Виконання бюджетної програми за джерелами надходжень спеціального фонду»:  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ind w:firstLineChars="100" w:firstLine="240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E733E" w:rsidRPr="00D456D3" w:rsidTr="00AA2814">
        <w:trPr>
          <w:trHeight w:val="312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(тис. грн)</w:t>
            </w:r>
          </w:p>
        </w:tc>
      </w:tr>
      <w:tr w:rsidR="008E733E" w:rsidRPr="00D456D3" w:rsidTr="00AA2814">
        <w:trPr>
          <w:trHeight w:val="20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№ з/п</w:t>
            </w:r>
          </w:p>
        </w:tc>
        <w:tc>
          <w:tcPr>
            <w:tcW w:w="285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Показники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План з урахуванням змін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Виконано</w:t>
            </w:r>
          </w:p>
        </w:tc>
        <w:tc>
          <w:tcPr>
            <w:tcW w:w="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Відхилення</w:t>
            </w:r>
          </w:p>
        </w:tc>
      </w:tr>
      <w:tr w:rsidR="008E733E" w:rsidRPr="00D456D3" w:rsidTr="00AA2814">
        <w:trPr>
          <w:trHeight w:val="2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1.</w:t>
            </w:r>
          </w:p>
        </w:tc>
        <w:tc>
          <w:tcPr>
            <w:tcW w:w="285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Залишок на початок року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х</w:t>
            </w:r>
          </w:p>
        </w:tc>
      </w:tr>
      <w:tr w:rsidR="008E733E" w:rsidRPr="00D456D3" w:rsidTr="00AA2814">
        <w:trPr>
          <w:trHeight w:val="2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85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зокрема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E733E" w:rsidRPr="00D456D3" w:rsidTr="00AA2814">
        <w:trPr>
          <w:trHeight w:val="2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1.1</w:t>
            </w:r>
          </w:p>
        </w:tc>
        <w:tc>
          <w:tcPr>
            <w:tcW w:w="285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 xml:space="preserve">власних надходжень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х</w:t>
            </w:r>
          </w:p>
        </w:tc>
      </w:tr>
      <w:tr w:rsidR="008E733E" w:rsidRPr="00D456D3" w:rsidTr="00AA2814">
        <w:trPr>
          <w:trHeight w:val="2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1.2</w:t>
            </w:r>
          </w:p>
        </w:tc>
        <w:tc>
          <w:tcPr>
            <w:tcW w:w="285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інших надходжень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х</w:t>
            </w:r>
          </w:p>
        </w:tc>
      </w:tr>
      <w:tr w:rsidR="008E733E" w:rsidRPr="00D456D3" w:rsidTr="00AA2814">
        <w:trPr>
          <w:trHeight w:val="2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2.</w:t>
            </w:r>
          </w:p>
        </w:tc>
        <w:tc>
          <w:tcPr>
            <w:tcW w:w="285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Надходження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E733E" w:rsidRPr="00D456D3" w:rsidTr="00AA2814">
        <w:trPr>
          <w:trHeight w:val="2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85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зокрема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E733E" w:rsidRPr="00D456D3" w:rsidTr="00AA2814">
        <w:trPr>
          <w:trHeight w:val="2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2.1</w:t>
            </w:r>
          </w:p>
        </w:tc>
        <w:tc>
          <w:tcPr>
            <w:tcW w:w="285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власні надходження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E733E" w:rsidRPr="00D456D3" w:rsidTr="00AA2814">
        <w:trPr>
          <w:trHeight w:val="2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2.2</w:t>
            </w:r>
          </w:p>
        </w:tc>
        <w:tc>
          <w:tcPr>
            <w:tcW w:w="285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надходження позик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E733E" w:rsidRPr="00D456D3" w:rsidTr="00AA2814">
        <w:trPr>
          <w:trHeight w:val="2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2.3</w:t>
            </w:r>
          </w:p>
        </w:tc>
        <w:tc>
          <w:tcPr>
            <w:tcW w:w="285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повернення кредитів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E733E" w:rsidRPr="00D456D3" w:rsidTr="00AA2814">
        <w:trPr>
          <w:trHeight w:val="2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2.4</w:t>
            </w:r>
          </w:p>
        </w:tc>
        <w:tc>
          <w:tcPr>
            <w:tcW w:w="285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інші надходження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E733E" w:rsidRPr="00D456D3" w:rsidTr="00AA2814">
        <w:trPr>
          <w:trHeight w:val="2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3.</w:t>
            </w:r>
          </w:p>
        </w:tc>
        <w:tc>
          <w:tcPr>
            <w:tcW w:w="285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Залишок на кінець року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E733E" w:rsidRPr="00D456D3" w:rsidTr="00AA2814">
        <w:trPr>
          <w:trHeight w:val="2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85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зокрема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E733E" w:rsidRPr="00D456D3" w:rsidTr="00AA2814">
        <w:trPr>
          <w:trHeight w:val="2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3.1</w:t>
            </w:r>
          </w:p>
        </w:tc>
        <w:tc>
          <w:tcPr>
            <w:tcW w:w="285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 xml:space="preserve">власних надходжень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E733E" w:rsidRPr="00D456D3" w:rsidTr="00AA2814">
        <w:trPr>
          <w:trHeight w:val="2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3.2</w:t>
            </w:r>
          </w:p>
        </w:tc>
        <w:tc>
          <w:tcPr>
            <w:tcW w:w="285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інших надходжень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E733E" w:rsidRPr="00D456D3" w:rsidTr="00AA2814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lastRenderedPageBreak/>
              <w:t>Розбіжності відсутні</w:t>
            </w:r>
          </w:p>
        </w:tc>
      </w:tr>
    </w:tbl>
    <w:p w:rsidR="008E733E" w:rsidRPr="00D456D3" w:rsidRDefault="008E733E" w:rsidP="008E733E">
      <w:pPr>
        <w:tabs>
          <w:tab w:val="left" w:pos="709"/>
        </w:tabs>
        <w:rPr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8"/>
        <w:gridCol w:w="4140"/>
        <w:gridCol w:w="967"/>
        <w:gridCol w:w="1134"/>
        <w:gridCol w:w="673"/>
        <w:gridCol w:w="967"/>
        <w:gridCol w:w="1134"/>
        <w:gridCol w:w="673"/>
        <w:gridCol w:w="967"/>
        <w:gridCol w:w="1134"/>
        <w:gridCol w:w="673"/>
      </w:tblGrid>
      <w:tr w:rsidR="008E733E" w:rsidRPr="00D456D3" w:rsidTr="00AA281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5.3 «Виконання результативних показників бюджетної програми за напрямами використання бюджетних коштів»:</w:t>
            </w:r>
          </w:p>
        </w:tc>
      </w:tr>
      <w:tr w:rsidR="008E733E" w:rsidRPr="00D456D3" w:rsidTr="00AA281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(тис. грн)</w:t>
            </w:r>
          </w:p>
        </w:tc>
      </w:tr>
      <w:tr w:rsidR="008E733E" w:rsidRPr="00D456D3" w:rsidTr="00AA2814">
        <w:trPr>
          <w:trHeight w:val="20"/>
        </w:trPr>
        <w:tc>
          <w:tcPr>
            <w:tcW w:w="1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№ з/п</w:t>
            </w:r>
          </w:p>
        </w:tc>
        <w:tc>
          <w:tcPr>
            <w:tcW w:w="17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Показники</w:t>
            </w:r>
          </w:p>
        </w:tc>
        <w:tc>
          <w:tcPr>
            <w:tcW w:w="10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Затверджено паспортом бюджетної програми</w:t>
            </w:r>
          </w:p>
        </w:tc>
        <w:tc>
          <w:tcPr>
            <w:tcW w:w="10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Виконано</w:t>
            </w:r>
          </w:p>
        </w:tc>
        <w:tc>
          <w:tcPr>
            <w:tcW w:w="10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Відхилення</w:t>
            </w:r>
          </w:p>
        </w:tc>
      </w:tr>
      <w:tr w:rsidR="008E733E" w:rsidRPr="00D456D3" w:rsidTr="00AA2814">
        <w:trPr>
          <w:trHeight w:val="509"/>
        </w:trPr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17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18"/>
                <w:szCs w:val="18"/>
                <w:lang w:val="uk-UA" w:eastAsia="ru-RU"/>
              </w:rPr>
              <w:t>загальний фонд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18"/>
                <w:szCs w:val="18"/>
                <w:lang w:val="uk-UA" w:eastAsia="ru-RU"/>
              </w:rPr>
              <w:t>спеціальний фонд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18"/>
                <w:szCs w:val="18"/>
                <w:lang w:val="uk-UA" w:eastAsia="ru-RU"/>
              </w:rPr>
              <w:t>разом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18"/>
                <w:szCs w:val="18"/>
                <w:lang w:val="uk-UA" w:eastAsia="ru-RU"/>
              </w:rPr>
              <w:t>загальний фонд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18"/>
                <w:szCs w:val="18"/>
                <w:lang w:val="uk-UA" w:eastAsia="ru-RU"/>
              </w:rPr>
              <w:t>спеціальний фонд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18"/>
                <w:szCs w:val="18"/>
                <w:lang w:val="uk-UA" w:eastAsia="ru-RU"/>
              </w:rPr>
              <w:t>разом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18"/>
                <w:szCs w:val="18"/>
                <w:lang w:val="uk-UA" w:eastAsia="ru-RU"/>
              </w:rPr>
              <w:t>загальний фонд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18"/>
                <w:szCs w:val="18"/>
                <w:lang w:val="uk-UA" w:eastAsia="ru-RU"/>
              </w:rPr>
              <w:t>спеціальний фонд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18"/>
                <w:szCs w:val="18"/>
                <w:lang w:val="uk-UA" w:eastAsia="ru-RU"/>
              </w:rPr>
              <w:t>разом</w:t>
            </w:r>
          </w:p>
        </w:tc>
      </w:tr>
      <w:tr w:rsidR="008E733E" w:rsidRPr="00D456D3" w:rsidTr="00AA2814">
        <w:trPr>
          <w:trHeight w:val="509"/>
        </w:trPr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17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</w:tr>
      <w:tr w:rsidR="008E733E" w:rsidRPr="00D456D3" w:rsidTr="00AA2814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17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b/>
                <w:bCs/>
                <w:color w:val="000000"/>
                <w:lang w:val="uk-UA" w:eastAsia="ru-RU"/>
              </w:rPr>
            </w:pPr>
            <w:r w:rsidRPr="00D456D3">
              <w:rPr>
                <w:rFonts w:cs="Calibri"/>
                <w:b/>
                <w:bCs/>
                <w:color w:val="000000"/>
                <w:lang w:val="uk-UA" w:eastAsia="ru-RU"/>
              </w:rPr>
              <w:t>Завдання 1: Створення та функціонування системи енергетичного менеджменту (упровадження системи енергетичного менеджменту відповідно до ISO 50001 в бюджетній сфері міста відповідно до Суми)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E733E" w:rsidRPr="00D456D3" w:rsidTr="00AA2814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1.</w:t>
            </w:r>
          </w:p>
        </w:tc>
        <w:tc>
          <w:tcPr>
            <w:tcW w:w="17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b/>
                <w:bCs/>
                <w:color w:val="000000"/>
                <w:lang w:val="uk-UA" w:eastAsia="ru-RU"/>
              </w:rPr>
            </w:pPr>
            <w:r w:rsidRPr="00D456D3">
              <w:rPr>
                <w:rFonts w:cs="Calibri"/>
                <w:b/>
                <w:bCs/>
                <w:color w:val="000000"/>
                <w:lang w:val="uk-UA" w:eastAsia="ru-RU"/>
              </w:rPr>
              <w:t>затрат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E733E" w:rsidRPr="00D456D3" w:rsidTr="00AA2814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17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b/>
                <w:bCs/>
                <w:color w:val="000000"/>
                <w:lang w:val="uk-UA" w:eastAsia="ru-RU"/>
              </w:rPr>
            </w:pPr>
            <w:r w:rsidRPr="00D456D3">
              <w:rPr>
                <w:rFonts w:cs="Calibri"/>
                <w:b/>
                <w:bCs/>
                <w:color w:val="000000"/>
                <w:lang w:val="uk-UA" w:eastAsia="ru-RU"/>
              </w:rPr>
              <w:t>Обсяг видатків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E733E" w:rsidRPr="00D456D3" w:rsidTr="00AA2814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82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i/>
                <w:iCs/>
                <w:color w:val="000000"/>
                <w:lang w:val="uk-UA" w:eastAsia="ru-RU"/>
              </w:rPr>
            </w:pPr>
            <w:r w:rsidRPr="00D456D3">
              <w:rPr>
                <w:rFonts w:cs="Calibri"/>
                <w:i/>
                <w:iCs/>
                <w:color w:val="000000"/>
                <w:lang w:val="uk-UA" w:eastAsia="ru-RU"/>
              </w:rPr>
              <w:t>Розбіжності між затвердженими та досягнутими результативними показниками відсутні</w:t>
            </w:r>
          </w:p>
        </w:tc>
      </w:tr>
      <w:tr w:rsidR="008E733E" w:rsidRPr="00D456D3" w:rsidTr="00AA2814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2</w:t>
            </w:r>
          </w:p>
        </w:tc>
        <w:tc>
          <w:tcPr>
            <w:tcW w:w="17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b/>
                <w:bCs/>
                <w:color w:val="000000"/>
                <w:lang w:val="uk-UA" w:eastAsia="ru-RU"/>
              </w:rPr>
            </w:pPr>
            <w:r w:rsidRPr="00D456D3">
              <w:rPr>
                <w:rFonts w:cs="Calibri"/>
                <w:b/>
                <w:bCs/>
                <w:color w:val="000000"/>
                <w:lang w:val="uk-UA" w:eastAsia="ru-RU"/>
              </w:rPr>
              <w:t>продукту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E733E" w:rsidRPr="00D456D3" w:rsidTr="00AA2814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17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 xml:space="preserve">Кількість проведених тренінгів, навчань, для </w:t>
            </w:r>
            <w:proofErr w:type="spellStart"/>
            <w:r w:rsidRPr="00D456D3">
              <w:rPr>
                <w:rFonts w:cs="Calibri"/>
                <w:color w:val="000000"/>
                <w:lang w:val="uk-UA" w:eastAsia="ru-RU"/>
              </w:rPr>
              <w:t>енергоменеджерів</w:t>
            </w:r>
            <w:proofErr w:type="spellEnd"/>
            <w:r w:rsidRPr="00D456D3">
              <w:rPr>
                <w:rFonts w:cs="Calibri"/>
                <w:color w:val="000000"/>
                <w:lang w:val="uk-UA" w:eastAsia="ru-RU"/>
              </w:rPr>
              <w:t xml:space="preserve"> бюджетної сфери (шт.)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E733E" w:rsidRPr="00D456D3" w:rsidTr="00AA2814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82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i/>
                <w:iCs/>
                <w:color w:val="000000"/>
                <w:lang w:val="uk-UA" w:eastAsia="ru-RU"/>
              </w:rPr>
            </w:pPr>
            <w:r w:rsidRPr="00D456D3">
              <w:rPr>
                <w:rFonts w:cs="Calibri"/>
                <w:i/>
                <w:iCs/>
                <w:color w:val="000000"/>
                <w:lang w:val="uk-UA" w:eastAsia="ru-RU"/>
              </w:rPr>
              <w:t>Розбіжності між затвердженими та досягнутими результативними показниками відсутні</w:t>
            </w:r>
          </w:p>
        </w:tc>
      </w:tr>
      <w:tr w:rsidR="008E733E" w:rsidRPr="00D456D3" w:rsidTr="00AA2814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3.</w:t>
            </w:r>
          </w:p>
        </w:tc>
        <w:tc>
          <w:tcPr>
            <w:tcW w:w="17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val="uk-UA" w:eastAsia="ru-RU"/>
              </w:rPr>
            </w:pPr>
            <w:r w:rsidRPr="00D456D3">
              <w:rPr>
                <w:rFonts w:cs="Calibri"/>
                <w:b/>
                <w:bCs/>
                <w:color w:val="000000"/>
                <w:lang w:val="uk-UA" w:eastAsia="ru-RU"/>
              </w:rPr>
              <w:t>ефективності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E733E" w:rsidRPr="00D456D3" w:rsidTr="00AA2814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17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240" w:line="240" w:lineRule="auto"/>
              <w:jc w:val="both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Витрати на одиницю показника продукту середні витрати на проведення заходів з популяризації знань з енергозбереження</w:t>
            </w:r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7,5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7,5</w:t>
            </w:r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7,5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7,5</w:t>
            </w:r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E733E" w:rsidRPr="00D456D3" w:rsidTr="00AA2814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82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i/>
                <w:iCs/>
                <w:color w:val="000000"/>
                <w:lang w:val="uk-UA" w:eastAsia="ru-RU"/>
              </w:rPr>
            </w:pPr>
            <w:r w:rsidRPr="00D456D3">
              <w:rPr>
                <w:rFonts w:cs="Calibri"/>
                <w:i/>
                <w:iCs/>
                <w:color w:val="000000"/>
                <w:lang w:val="uk-UA" w:eastAsia="ru-RU"/>
              </w:rPr>
              <w:t>Розбіжності між затвердженими та досягнутими результативними показниками відсутні</w:t>
            </w:r>
          </w:p>
        </w:tc>
      </w:tr>
      <w:tr w:rsidR="008E733E" w:rsidRPr="00D456D3" w:rsidTr="00AA2814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4.</w:t>
            </w:r>
          </w:p>
        </w:tc>
        <w:tc>
          <w:tcPr>
            <w:tcW w:w="17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b/>
                <w:bCs/>
                <w:color w:val="000000"/>
                <w:lang w:val="uk-UA" w:eastAsia="ru-RU"/>
              </w:rPr>
            </w:pPr>
            <w:r w:rsidRPr="00D456D3">
              <w:rPr>
                <w:rFonts w:cs="Calibri"/>
                <w:b/>
                <w:bCs/>
                <w:color w:val="000000"/>
                <w:lang w:val="uk-UA" w:eastAsia="ru-RU"/>
              </w:rPr>
              <w:t>якості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E733E" w:rsidRPr="00D456D3" w:rsidTr="00AA2814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lastRenderedPageBreak/>
              <w:t> </w:t>
            </w:r>
          </w:p>
        </w:tc>
        <w:tc>
          <w:tcPr>
            <w:tcW w:w="17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Відсоток бюджетних закладів охоплених заходами з популяризації знань з енергозбереження (%)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100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100</w:t>
            </w:r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100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100</w:t>
            </w:r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E733E" w:rsidRPr="00D456D3" w:rsidTr="00AA2814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i/>
                <w:iCs/>
                <w:color w:val="000000"/>
                <w:lang w:val="uk-UA" w:eastAsia="ru-RU"/>
              </w:rPr>
            </w:pPr>
            <w:r w:rsidRPr="00D456D3">
              <w:rPr>
                <w:rFonts w:cs="Calibri"/>
                <w:i/>
                <w:iCs/>
                <w:color w:val="000000"/>
                <w:lang w:val="uk-UA" w:eastAsia="ru-RU"/>
              </w:rPr>
              <w:t>Розбіжності між затвердженими та досягнутими результативними показниками відсутні</w:t>
            </w:r>
          </w:p>
        </w:tc>
      </w:tr>
      <w:tr w:rsidR="008E733E" w:rsidRPr="00D456D3" w:rsidTr="00AA2814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val="uk-UA" w:eastAsia="ru-RU"/>
              </w:rPr>
            </w:pPr>
            <w:r w:rsidRPr="00D456D3">
              <w:rPr>
                <w:rFonts w:cs="Calibri"/>
                <w:b/>
                <w:bCs/>
                <w:color w:val="000000"/>
                <w:lang w:val="uk-UA" w:eastAsia="ru-RU"/>
              </w:rPr>
              <w:t>Завдання 2. Створення та функціонування системи енергетичного менеджменту (Внутрішній аудит системи енергетичного менеджменту в бюджетній сфері міста Суми)</w:t>
            </w:r>
          </w:p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val="uk-UA" w:eastAsia="ru-RU"/>
              </w:rPr>
            </w:pPr>
          </w:p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E733E" w:rsidRPr="00D456D3" w:rsidTr="00AA2814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1.</w:t>
            </w:r>
          </w:p>
        </w:tc>
        <w:tc>
          <w:tcPr>
            <w:tcW w:w="17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b/>
                <w:bCs/>
                <w:color w:val="000000"/>
                <w:lang w:val="uk-UA" w:eastAsia="ru-RU"/>
              </w:rPr>
            </w:pPr>
            <w:r w:rsidRPr="00D456D3">
              <w:rPr>
                <w:rFonts w:cs="Calibri"/>
                <w:b/>
                <w:bCs/>
                <w:color w:val="000000"/>
                <w:lang w:val="uk-UA" w:eastAsia="ru-RU"/>
              </w:rPr>
              <w:t>затрат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E733E" w:rsidRPr="00D456D3" w:rsidTr="00AA2814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17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b/>
                <w:bCs/>
                <w:color w:val="000000"/>
                <w:lang w:val="uk-UA" w:eastAsia="ru-RU"/>
              </w:rPr>
            </w:pPr>
            <w:r w:rsidRPr="00D456D3">
              <w:rPr>
                <w:rFonts w:cs="Calibri"/>
                <w:b/>
                <w:bCs/>
                <w:color w:val="000000"/>
                <w:lang w:val="uk-UA" w:eastAsia="ru-RU"/>
              </w:rPr>
              <w:t>Обсяг видатків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60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49,9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49,9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-10,1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-10,1</w:t>
            </w:r>
          </w:p>
        </w:tc>
      </w:tr>
      <w:tr w:rsidR="008E733E" w:rsidRPr="00D456D3" w:rsidTr="00AA2814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820" w:type="pct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i/>
                <w:iCs/>
                <w:color w:val="000000"/>
                <w:lang w:val="uk-UA" w:eastAsia="ru-RU"/>
              </w:rPr>
            </w:pPr>
            <w:r w:rsidRPr="00D456D3">
              <w:rPr>
                <w:rFonts w:cs="Calibri"/>
                <w:i/>
                <w:iCs/>
                <w:color w:val="000000"/>
                <w:lang w:val="uk-UA" w:eastAsia="ru-RU"/>
              </w:rPr>
              <w:t>Відхилення за показником пояснюється економією коштів на проведення заходу з внутрішнього аудиту системи енергетичного менеджменту в бюджетній сфері міста Суми</w:t>
            </w:r>
          </w:p>
        </w:tc>
      </w:tr>
      <w:tr w:rsidR="008E733E" w:rsidRPr="00D456D3" w:rsidTr="00AA2814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2</w:t>
            </w:r>
          </w:p>
        </w:tc>
        <w:tc>
          <w:tcPr>
            <w:tcW w:w="17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b/>
                <w:bCs/>
                <w:color w:val="000000"/>
                <w:lang w:val="uk-UA" w:eastAsia="ru-RU"/>
              </w:rPr>
            </w:pPr>
            <w:r w:rsidRPr="00D456D3">
              <w:rPr>
                <w:rFonts w:cs="Calibri"/>
                <w:b/>
                <w:bCs/>
                <w:color w:val="000000"/>
                <w:lang w:val="uk-UA" w:eastAsia="ru-RU"/>
              </w:rPr>
              <w:t>продукту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E733E" w:rsidRPr="00D456D3" w:rsidTr="00AA2814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17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Кількість проведених перевірок функціонування системи енергетичного менеджменту в бюджетній сфері міста на відповідність ДСТУ ISO 50001.2014, од.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E733E" w:rsidRPr="00D456D3" w:rsidTr="00AA2814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82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i/>
                <w:iCs/>
                <w:color w:val="000000"/>
                <w:lang w:val="uk-UA" w:eastAsia="ru-RU"/>
              </w:rPr>
            </w:pPr>
            <w:r w:rsidRPr="00D456D3">
              <w:rPr>
                <w:rFonts w:cs="Calibri"/>
                <w:i/>
                <w:iCs/>
                <w:color w:val="000000"/>
                <w:lang w:val="uk-UA" w:eastAsia="ru-RU"/>
              </w:rPr>
              <w:t>Розбіжності між затвердженими та досягнутими результативними показниками відсутні</w:t>
            </w:r>
          </w:p>
        </w:tc>
      </w:tr>
      <w:tr w:rsidR="008E733E" w:rsidRPr="00D456D3" w:rsidTr="00AA2814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3.</w:t>
            </w:r>
          </w:p>
        </w:tc>
        <w:tc>
          <w:tcPr>
            <w:tcW w:w="17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val="uk-UA" w:eastAsia="ru-RU"/>
              </w:rPr>
            </w:pPr>
            <w:r w:rsidRPr="00D456D3">
              <w:rPr>
                <w:rFonts w:cs="Calibri"/>
                <w:b/>
                <w:bCs/>
                <w:color w:val="000000"/>
                <w:lang w:val="uk-UA" w:eastAsia="ru-RU"/>
              </w:rPr>
              <w:t>ефективності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E733E" w:rsidRPr="00D456D3" w:rsidTr="00AA2814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17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240" w:line="240" w:lineRule="auto"/>
              <w:jc w:val="both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Середні витрати на проведення перевірки (тис. грн)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60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49,9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49,9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E733E" w:rsidRPr="00D456D3" w:rsidTr="00AA2814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820" w:type="pct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i/>
                <w:iCs/>
                <w:color w:val="000000"/>
                <w:lang w:val="uk-UA" w:eastAsia="ru-RU"/>
              </w:rPr>
            </w:pPr>
            <w:r w:rsidRPr="00D456D3">
              <w:rPr>
                <w:rFonts w:cs="Calibri"/>
                <w:i/>
                <w:iCs/>
                <w:color w:val="000000"/>
                <w:lang w:val="uk-UA" w:eastAsia="ru-RU"/>
              </w:rPr>
              <w:t>Розбіжності між затвердженими та досягнутими результативними показниками відсутні</w:t>
            </w:r>
          </w:p>
        </w:tc>
      </w:tr>
      <w:tr w:rsidR="008E733E" w:rsidRPr="00D456D3" w:rsidTr="00AA2814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4.</w:t>
            </w:r>
          </w:p>
        </w:tc>
        <w:tc>
          <w:tcPr>
            <w:tcW w:w="17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b/>
                <w:bCs/>
                <w:color w:val="000000"/>
                <w:lang w:val="uk-UA" w:eastAsia="ru-RU"/>
              </w:rPr>
            </w:pPr>
            <w:r w:rsidRPr="00D456D3">
              <w:rPr>
                <w:rFonts w:cs="Calibri"/>
                <w:b/>
                <w:bCs/>
                <w:color w:val="000000"/>
                <w:lang w:val="uk-UA" w:eastAsia="ru-RU"/>
              </w:rPr>
              <w:t>якості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E733E" w:rsidRPr="00D456D3" w:rsidTr="00AA2814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179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відсоток закладів бюджетної сфери, охоплених перевіркою (%)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100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100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E733E" w:rsidRPr="00D456D3" w:rsidTr="00AA2814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8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i/>
                <w:iCs/>
                <w:color w:val="000000"/>
                <w:lang w:val="uk-UA" w:eastAsia="ru-RU"/>
              </w:rPr>
            </w:pPr>
            <w:r w:rsidRPr="00D456D3">
              <w:rPr>
                <w:rFonts w:cs="Calibri"/>
                <w:i/>
                <w:iCs/>
                <w:color w:val="000000"/>
                <w:lang w:val="uk-UA" w:eastAsia="ru-RU"/>
              </w:rPr>
              <w:t>Розбіжності між затвердженими та досягнутими результативними показниками відсутні</w:t>
            </w:r>
          </w:p>
        </w:tc>
      </w:tr>
      <w:tr w:rsidR="008E733E" w:rsidRPr="00D456D3" w:rsidTr="00AA2814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8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i/>
                <w:iCs/>
                <w:color w:val="000000"/>
                <w:lang w:val="uk-UA" w:eastAsia="ru-RU"/>
              </w:rPr>
            </w:pPr>
            <w:r w:rsidRPr="00D456D3">
              <w:rPr>
                <w:rFonts w:cs="Calibri"/>
                <w:i/>
                <w:iCs/>
                <w:color w:val="000000"/>
                <w:lang w:val="uk-UA" w:eastAsia="ru-RU"/>
              </w:rPr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</w:t>
            </w:r>
          </w:p>
        </w:tc>
      </w:tr>
      <w:tr w:rsidR="008E733E" w:rsidRPr="00D456D3" w:rsidTr="00AA2814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8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i/>
                <w:iCs/>
                <w:color w:val="000000"/>
                <w:lang w:val="uk-UA" w:eastAsia="ru-RU"/>
              </w:rPr>
            </w:pPr>
            <w:r w:rsidRPr="00D456D3">
              <w:rPr>
                <w:rFonts w:cs="Calibri"/>
                <w:i/>
                <w:iCs/>
                <w:color w:val="000000"/>
                <w:lang w:val="uk-UA" w:eastAsia="ru-RU"/>
              </w:rPr>
              <w:t>Касові видатки становлять 64,9 тис. гривень та були спрямовані на проведення заходів, затверджених Програмою підвищення енергоефективності в бюджетній сфері міста Суми на 2017-2019 роки</w:t>
            </w:r>
          </w:p>
        </w:tc>
      </w:tr>
    </w:tbl>
    <w:p w:rsidR="008E733E" w:rsidRPr="00D456D3" w:rsidRDefault="008E733E" w:rsidP="008E733E">
      <w:pPr>
        <w:tabs>
          <w:tab w:val="left" w:pos="709"/>
        </w:tabs>
        <w:rPr>
          <w:sz w:val="16"/>
          <w:szCs w:val="16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45"/>
        <w:gridCol w:w="2563"/>
        <w:gridCol w:w="958"/>
        <w:gridCol w:w="1123"/>
        <w:gridCol w:w="679"/>
        <w:gridCol w:w="957"/>
        <w:gridCol w:w="1122"/>
        <w:gridCol w:w="667"/>
        <w:gridCol w:w="957"/>
        <w:gridCol w:w="1122"/>
        <w:gridCol w:w="667"/>
      </w:tblGrid>
      <w:tr w:rsidR="008E733E" w:rsidRPr="00D456D3" w:rsidTr="00AA2814">
        <w:trPr>
          <w:trHeight w:val="20"/>
        </w:trPr>
        <w:tc>
          <w:tcPr>
            <w:tcW w:w="28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lastRenderedPageBreak/>
              <w:t>5.4 «Виконання показників бюджетної програми порівняно із показниками попереднього року»:</w:t>
            </w:r>
          </w:p>
        </w:tc>
        <w:tc>
          <w:tcPr>
            <w:tcW w:w="21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(тис. грн)</w:t>
            </w:r>
          </w:p>
        </w:tc>
      </w:tr>
      <w:tr w:rsidR="008E733E" w:rsidRPr="00D456D3" w:rsidTr="00AA2814">
        <w:trPr>
          <w:trHeight w:val="509"/>
        </w:trPr>
        <w:tc>
          <w:tcPr>
            <w:tcW w:w="8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9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Показники</w:t>
            </w:r>
          </w:p>
        </w:tc>
        <w:tc>
          <w:tcPr>
            <w:tcW w:w="103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Попередній рік</w:t>
            </w:r>
          </w:p>
        </w:tc>
        <w:tc>
          <w:tcPr>
            <w:tcW w:w="102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Звітний рік</w:t>
            </w:r>
          </w:p>
        </w:tc>
        <w:tc>
          <w:tcPr>
            <w:tcW w:w="112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Відхилення виконання (у відсотках)</w:t>
            </w:r>
          </w:p>
        </w:tc>
      </w:tr>
      <w:tr w:rsidR="008E733E" w:rsidRPr="00D456D3" w:rsidTr="00AA2814">
        <w:trPr>
          <w:trHeight w:val="509"/>
        </w:trPr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3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2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E733E" w:rsidRPr="00D456D3" w:rsidTr="00AA2814">
        <w:trPr>
          <w:trHeight w:val="509"/>
        </w:trPr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разом</w:t>
            </w:r>
          </w:p>
        </w:tc>
      </w:tr>
      <w:tr w:rsidR="008E733E" w:rsidRPr="00D456D3" w:rsidTr="00AA2814">
        <w:trPr>
          <w:trHeight w:val="509"/>
        </w:trPr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E733E" w:rsidRPr="00D456D3" w:rsidTr="00AA2814">
        <w:trPr>
          <w:trHeight w:val="423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Видатки (надані кредити)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E733E" w:rsidRPr="00D456D3" w:rsidTr="00AA2814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зокрема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8E733E" w:rsidRPr="00D456D3" w:rsidTr="00AA2814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Напрям використання бюджетних коштів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8E733E" w:rsidRPr="00D456D3" w:rsidRDefault="008E733E" w:rsidP="008E733E">
      <w:pPr>
        <w:tabs>
          <w:tab w:val="left" w:pos="709"/>
        </w:tabs>
        <w:rPr>
          <w:sz w:val="2"/>
          <w:szCs w:val="2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68"/>
        <w:gridCol w:w="745"/>
        <w:gridCol w:w="744"/>
        <w:gridCol w:w="749"/>
        <w:gridCol w:w="915"/>
        <w:gridCol w:w="770"/>
        <w:gridCol w:w="789"/>
        <w:gridCol w:w="759"/>
        <w:gridCol w:w="777"/>
        <w:gridCol w:w="789"/>
        <w:gridCol w:w="751"/>
        <w:gridCol w:w="761"/>
        <w:gridCol w:w="789"/>
        <w:gridCol w:w="757"/>
        <w:gridCol w:w="697"/>
      </w:tblGrid>
      <w:tr w:rsidR="008E733E" w:rsidRPr="00D456D3" w:rsidTr="00AA2814">
        <w:trPr>
          <w:trHeight w:val="20"/>
        </w:trPr>
        <w:tc>
          <w:tcPr>
            <w:tcW w:w="241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5.5 «Наявність фінансових порушень за результатами контрольних заходів»: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E733E" w:rsidRPr="00D456D3" w:rsidTr="00AA2814">
        <w:trPr>
          <w:trHeight w:val="20"/>
        </w:trPr>
        <w:tc>
          <w:tcPr>
            <w:tcW w:w="21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u w:val="single"/>
                <w:lang w:val="uk-UA" w:eastAsia="ru-RU"/>
              </w:rPr>
            </w:pPr>
            <w:r w:rsidRPr="00D456D3">
              <w:rPr>
                <w:rFonts w:cs="Calibri"/>
                <w:color w:val="000000"/>
                <w:u w:val="single"/>
                <w:lang w:val="uk-UA" w:eastAsia="ru-RU"/>
              </w:rPr>
              <w:t>Фінансових порушень не встановлено.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u w:val="single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E733E" w:rsidRPr="00D456D3" w:rsidTr="00AA2814">
        <w:trPr>
          <w:trHeight w:val="20"/>
        </w:trPr>
        <w:tc>
          <w:tcPr>
            <w:tcW w:w="21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5.6 «Стан фінансової дисципліни»: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E733E" w:rsidRPr="00D456D3" w:rsidTr="00AA2814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u w:val="single"/>
                <w:lang w:val="uk-UA" w:eastAsia="ru-RU"/>
              </w:rPr>
            </w:pPr>
            <w:r w:rsidRPr="00D456D3">
              <w:rPr>
                <w:rFonts w:cs="Calibri"/>
                <w:color w:val="000000"/>
                <w:u w:val="single"/>
                <w:lang w:val="uk-UA" w:eastAsia="ru-RU"/>
              </w:rPr>
              <w:t>Стан фінансової дисципліни задовільний, на кінець періоду відсутня кредиторська заборгованість.</w:t>
            </w:r>
          </w:p>
        </w:tc>
      </w:tr>
      <w:tr w:rsidR="008E733E" w:rsidRPr="00D456D3" w:rsidTr="00AA2814">
        <w:trPr>
          <w:trHeight w:val="20"/>
        </w:trPr>
        <w:tc>
          <w:tcPr>
            <w:tcW w:w="17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 xml:space="preserve">6. Узагальнений висновок щодо: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E733E" w:rsidRPr="00D456D3" w:rsidTr="00AA2814">
        <w:trPr>
          <w:trHeight w:val="2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E733E" w:rsidRPr="00D456D3" w:rsidTr="00AA2814">
        <w:trPr>
          <w:trHeight w:val="20"/>
        </w:trPr>
        <w:tc>
          <w:tcPr>
            <w:tcW w:w="445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 xml:space="preserve">актуальності бюджетної програми :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E733E" w:rsidRPr="00D456D3" w:rsidTr="00AA2814">
        <w:trPr>
          <w:trHeight w:val="2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E733E" w:rsidRPr="00D456D3" w:rsidTr="00AA2814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i/>
                <w:iCs/>
                <w:color w:val="000000"/>
                <w:lang w:val="uk-UA" w:eastAsia="ru-RU"/>
              </w:rPr>
            </w:pPr>
            <w:r w:rsidRPr="00D456D3">
              <w:rPr>
                <w:rFonts w:cs="Calibri"/>
                <w:i/>
                <w:iCs/>
                <w:color w:val="000000"/>
                <w:lang w:val="uk-UA" w:eastAsia="ru-RU"/>
              </w:rPr>
              <w:t xml:space="preserve">На виконання Закону України «Про енергозбереження», Плану дій сталого енергетичного розвитку міста Суми до 2025 року, з метою підвищення ефективності функціонування системи управління енергозбереженням у бюджетній сфері м. Суми упроваджено систему енергетичного менеджменту відповідно до міжнародного стандарту ISO 50001 в бюджетній сфері міста Суми. Згідно з вимогами ISO 50001, проведено дводенне навчання для </w:t>
            </w:r>
            <w:proofErr w:type="spellStart"/>
            <w:r w:rsidRPr="00D456D3">
              <w:rPr>
                <w:rFonts w:cs="Calibri"/>
                <w:i/>
                <w:iCs/>
                <w:color w:val="000000"/>
                <w:lang w:val="uk-UA" w:eastAsia="ru-RU"/>
              </w:rPr>
              <w:t>енергоменеджерів</w:t>
            </w:r>
            <w:proofErr w:type="spellEnd"/>
            <w:r w:rsidRPr="00D456D3">
              <w:rPr>
                <w:rFonts w:cs="Calibri"/>
                <w:i/>
                <w:iCs/>
                <w:color w:val="000000"/>
                <w:lang w:val="uk-UA" w:eastAsia="ru-RU"/>
              </w:rPr>
              <w:t xml:space="preserve"> бюджетної сфери з метою створення спеціалізованої ланки з </w:t>
            </w:r>
            <w:proofErr w:type="spellStart"/>
            <w:r w:rsidRPr="00D456D3">
              <w:rPr>
                <w:rFonts w:cs="Calibri"/>
                <w:i/>
                <w:iCs/>
                <w:color w:val="000000"/>
                <w:lang w:val="uk-UA" w:eastAsia="ru-RU"/>
              </w:rPr>
              <w:t>енергоменеджменту</w:t>
            </w:r>
            <w:proofErr w:type="spellEnd"/>
            <w:r w:rsidRPr="00D456D3">
              <w:rPr>
                <w:rFonts w:cs="Calibri"/>
                <w:i/>
                <w:iCs/>
                <w:color w:val="000000"/>
                <w:lang w:val="uk-UA" w:eastAsia="ru-RU"/>
              </w:rPr>
              <w:t xml:space="preserve"> в системі управління містом, що спроможна розробляти і втілювати в життя енергетичну політику міста, а саме: семінар-тренінг на тему: «Впровадження системи енергетичного менеджменту згідно з вимогами стандарту ISO 50001» для представників бюджетних закладів міста.</w:t>
            </w:r>
          </w:p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i/>
                <w:iCs/>
                <w:color w:val="000000"/>
                <w:lang w:val="uk-UA" w:eastAsia="ru-RU"/>
              </w:rPr>
            </w:pPr>
            <w:r w:rsidRPr="00D456D3">
              <w:rPr>
                <w:rFonts w:cs="Calibri"/>
                <w:i/>
                <w:iCs/>
                <w:color w:val="000000"/>
                <w:lang w:val="uk-UA" w:eastAsia="ru-RU"/>
              </w:rPr>
              <w:t>Для оцінювання відповідності вимогам міжнародного стандарту ISO 50001 системи енергетичного менеджменту в галузі «Освіта», підготовки до наглядового аудиту на підтвердження сертифікату №1234055427 TÜV SÜD проведено попередній внутрішній аудит із залученням зовнішніх незалежних експертів ПЕФ «</w:t>
            </w:r>
            <w:proofErr w:type="spellStart"/>
            <w:r w:rsidRPr="00D456D3">
              <w:rPr>
                <w:rFonts w:cs="Calibri"/>
                <w:i/>
                <w:iCs/>
                <w:color w:val="000000"/>
                <w:lang w:val="uk-UA" w:eastAsia="ru-RU"/>
              </w:rPr>
              <w:t>Оптіменерго</w:t>
            </w:r>
            <w:proofErr w:type="spellEnd"/>
            <w:r w:rsidRPr="00D456D3">
              <w:rPr>
                <w:rFonts w:cs="Calibri"/>
                <w:i/>
                <w:iCs/>
                <w:color w:val="000000"/>
                <w:lang w:val="uk-UA" w:eastAsia="ru-RU"/>
              </w:rPr>
              <w:t xml:space="preserve">». </w:t>
            </w:r>
          </w:p>
        </w:tc>
      </w:tr>
      <w:tr w:rsidR="008E733E" w:rsidRPr="00D456D3" w:rsidTr="00AA2814">
        <w:trPr>
          <w:trHeight w:val="2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E733E" w:rsidRPr="00D456D3" w:rsidTr="00AA2814">
        <w:trPr>
          <w:trHeight w:val="20"/>
        </w:trPr>
        <w:tc>
          <w:tcPr>
            <w:tcW w:w="4742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lang w:val="uk-UA" w:eastAsia="ru-RU"/>
              </w:rPr>
            </w:pPr>
          </w:p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ефективності бюджетної програми: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lang w:val="uk-UA" w:eastAsia="ru-RU"/>
              </w:rPr>
            </w:pPr>
          </w:p>
        </w:tc>
      </w:tr>
      <w:tr w:rsidR="008E733E" w:rsidRPr="00D456D3" w:rsidTr="00AA2814">
        <w:trPr>
          <w:trHeight w:val="2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E733E" w:rsidRPr="00D456D3" w:rsidTr="00AA2814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i/>
                <w:iCs/>
                <w:color w:val="000000"/>
                <w:lang w:val="uk-UA" w:eastAsia="ru-RU"/>
              </w:rPr>
            </w:pPr>
            <w:r w:rsidRPr="00D456D3">
              <w:rPr>
                <w:rFonts w:cs="Calibri"/>
                <w:i/>
                <w:iCs/>
                <w:color w:val="000000"/>
                <w:lang w:val="uk-UA" w:eastAsia="ru-RU"/>
              </w:rPr>
              <w:lastRenderedPageBreak/>
              <w:t>Підвищення енергоефективності муніципального господарства, виховання енергоефективної поведінки, забезпечення доступності інформації для досягнення цілей енергетичної політики міста, інтеграція положень міжнародного стандарту в повсякденну організаційну практику бюджетних установ.</w:t>
            </w:r>
          </w:p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i/>
                <w:iCs/>
                <w:color w:val="000000"/>
                <w:lang w:val="uk-UA" w:eastAsia="ru-RU"/>
              </w:rPr>
            </w:pPr>
          </w:p>
        </w:tc>
      </w:tr>
      <w:tr w:rsidR="008E733E" w:rsidRPr="00D456D3" w:rsidTr="00AA2814">
        <w:trPr>
          <w:trHeight w:val="2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E733E" w:rsidRPr="00D456D3" w:rsidTr="00AA2814">
        <w:trPr>
          <w:trHeight w:val="20"/>
        </w:trPr>
        <w:tc>
          <w:tcPr>
            <w:tcW w:w="4742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корисності бюджетної програми: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lang w:val="uk-UA" w:eastAsia="ru-RU"/>
              </w:rPr>
            </w:pPr>
          </w:p>
        </w:tc>
      </w:tr>
      <w:tr w:rsidR="008E733E" w:rsidRPr="00D456D3" w:rsidTr="00AA2814">
        <w:trPr>
          <w:trHeight w:val="103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i/>
                <w:iCs/>
                <w:color w:val="000000"/>
                <w:lang w:val="uk-UA" w:eastAsia="ru-RU"/>
              </w:rPr>
            </w:pPr>
            <w:r w:rsidRPr="00D456D3">
              <w:rPr>
                <w:rFonts w:cs="Calibri"/>
                <w:i/>
                <w:iCs/>
                <w:color w:val="000000"/>
                <w:lang w:val="uk-UA" w:eastAsia="ru-RU"/>
              </w:rPr>
              <w:t xml:space="preserve">Виховання ощадливого ставлення до використання паливно-енергетичних ресурсів забезпечується шляхом навчання і широкої популяризації та пропаганди економічних, екологічних і соціальних переваг енергозбереження, дозволяє перевіряти, контролювати та вдосконалювати систему енергетичного менеджменту та розробляти коригувальні та попереджувальні дії щодо </w:t>
            </w:r>
            <w:proofErr w:type="spellStart"/>
            <w:r w:rsidRPr="00D456D3">
              <w:rPr>
                <w:rFonts w:cs="Calibri"/>
                <w:i/>
                <w:iCs/>
                <w:color w:val="000000"/>
                <w:lang w:val="uk-UA" w:eastAsia="ru-RU"/>
              </w:rPr>
              <w:t>невідповідностей</w:t>
            </w:r>
            <w:proofErr w:type="spellEnd"/>
            <w:r w:rsidRPr="00D456D3">
              <w:rPr>
                <w:rFonts w:cs="Calibri"/>
                <w:i/>
                <w:iCs/>
                <w:color w:val="000000"/>
                <w:lang w:val="uk-UA" w:eastAsia="ru-RU"/>
              </w:rPr>
              <w:t xml:space="preserve"> в енергетичній результативності.</w:t>
            </w:r>
          </w:p>
        </w:tc>
      </w:tr>
      <w:tr w:rsidR="008E733E" w:rsidRPr="00D456D3" w:rsidTr="00AA2814">
        <w:trPr>
          <w:trHeight w:val="20"/>
        </w:trPr>
        <w:tc>
          <w:tcPr>
            <w:tcW w:w="21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 xml:space="preserve">довгострокових наслідків бюджетної програми: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E733E" w:rsidRPr="00D456D3" w:rsidTr="00AA2814">
        <w:trPr>
          <w:trHeight w:val="2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E733E" w:rsidRPr="00D456D3" w:rsidTr="00AA2814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i/>
                <w:iCs/>
                <w:color w:val="000000"/>
                <w:lang w:val="uk-UA" w:eastAsia="ru-RU"/>
              </w:rPr>
            </w:pPr>
            <w:r w:rsidRPr="00D456D3">
              <w:rPr>
                <w:rFonts w:cs="Calibri"/>
                <w:i/>
                <w:iCs/>
                <w:color w:val="000000"/>
                <w:lang w:val="uk-UA" w:eastAsia="ru-RU"/>
              </w:rPr>
              <w:t>Застосування постійної перевірки та внутрішнього аудиту сприяє позитивному іміджу міста, що демонструє постійне дотримання нормативно-правових вимог у галузі енергоефективності, захисту навколишнього середовища, економії природних ресурсів, зниження екологічних ризиків та ризиків пов’язаних з енергоспоживанням, що в результаті сприяє підвищенню інвестиційної привабливості міста.</w:t>
            </w:r>
          </w:p>
        </w:tc>
      </w:tr>
      <w:tr w:rsidR="008E733E" w:rsidRPr="00D456D3" w:rsidTr="00AA2814">
        <w:trPr>
          <w:trHeight w:val="2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E733E" w:rsidRPr="00D456D3" w:rsidTr="00AA2814">
        <w:trPr>
          <w:trHeight w:val="20"/>
        </w:trPr>
        <w:tc>
          <w:tcPr>
            <w:tcW w:w="329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vertAlign w:val="superscript"/>
                <w:lang w:val="uk-UA" w:eastAsia="ru-RU"/>
              </w:rPr>
              <w:t xml:space="preserve">1 </w:t>
            </w:r>
            <w:r w:rsidRPr="00D456D3">
              <w:rPr>
                <w:rFonts w:cs="Calibri"/>
                <w:color w:val="000000"/>
                <w:lang w:val="uk-UA" w:eastAsia="ru-RU"/>
              </w:rPr>
              <w:t>Зазначаються усі напрями використання бюджетних коштів, затверджені паспортом бюджетної програми.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E733E" w:rsidRPr="00D456D3" w:rsidTr="00AA2814">
        <w:trPr>
          <w:trHeight w:val="2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E733E" w:rsidRPr="00D456D3" w:rsidTr="00AA2814">
        <w:trPr>
          <w:trHeight w:val="20"/>
        </w:trPr>
        <w:tc>
          <w:tcPr>
            <w:tcW w:w="359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b/>
                <w:bCs/>
                <w:color w:val="000000"/>
                <w:lang w:val="uk-UA" w:eastAsia="ru-RU"/>
              </w:rPr>
            </w:pPr>
            <w:r w:rsidRPr="00D456D3">
              <w:rPr>
                <w:rFonts w:cs="Calibri"/>
                <w:b/>
                <w:bCs/>
                <w:color w:val="000000"/>
                <w:lang w:val="uk-UA" w:eastAsia="ru-RU"/>
              </w:rPr>
              <w:t xml:space="preserve">Керівник бухгалтерської служби   _________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E733E" w:rsidRPr="00D456D3" w:rsidTr="00AA2814">
        <w:trPr>
          <w:trHeight w:val="20"/>
        </w:trPr>
        <w:tc>
          <w:tcPr>
            <w:tcW w:w="3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(підпис)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3E" w:rsidRPr="00D456D3" w:rsidRDefault="008E733E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</w:tbl>
    <w:p w:rsidR="002E1FD9" w:rsidRDefault="002E1FD9" w:rsidP="008E733E">
      <w:pPr>
        <w:ind w:left="-720" w:right="-720"/>
      </w:pPr>
    </w:p>
    <w:sectPr w:rsidR="002E1FD9" w:rsidSect="008E733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3E"/>
    <w:rsid w:val="002E1FD9"/>
    <w:rsid w:val="008E733E"/>
    <w:rsid w:val="00B67876"/>
    <w:rsid w:val="00C8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47DEC"/>
  <w15:chartTrackingRefBased/>
  <w15:docId w15:val="{FC603FE1-8E4A-48B3-AAD3-71621661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33E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33E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33E"/>
    <w:rPr>
      <w:rFonts w:ascii="Calibri Light" w:eastAsia="Times New Roman" w:hAnsi="Calibri Light" w:cs="Times New Roman"/>
      <w:b/>
      <w:bCs/>
      <w:color w:val="2F549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1334</Words>
  <Characters>7606</Characters>
  <Application>Microsoft Office Word</Application>
  <DocSecurity>0</DocSecurity>
  <Lines>63</Lines>
  <Paragraphs>17</Paragraphs>
  <ScaleCrop>false</ScaleCrop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Novobranets</dc:creator>
  <cp:keywords/>
  <dc:description/>
  <cp:lastModifiedBy>Olena Novobranets</cp:lastModifiedBy>
  <cp:revision>1</cp:revision>
  <dcterms:created xsi:type="dcterms:W3CDTF">2019-12-20T15:37:00Z</dcterms:created>
  <dcterms:modified xsi:type="dcterms:W3CDTF">2019-12-20T15:38:00Z</dcterms:modified>
</cp:coreProperties>
</file>