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DC" w:rsidRPr="00E86C47" w:rsidRDefault="00D15BDC" w:rsidP="00D15BDC">
      <w:pPr>
        <w:pStyle w:val="Heading1"/>
        <w:spacing w:line="240" w:lineRule="auto"/>
        <w:rPr>
          <w:rFonts w:ascii="Calibri" w:hAnsi="Calibri"/>
          <w:b/>
          <w:color w:val="auto"/>
          <w:sz w:val="24"/>
          <w:szCs w:val="24"/>
        </w:rPr>
      </w:pPr>
      <w:bookmarkStart w:id="0" w:name="_Toc15580328"/>
      <w:bookmarkStart w:id="1" w:name="_Toc25782283"/>
      <w:bookmarkStart w:id="2" w:name="_GoBack"/>
      <w:r w:rsidRPr="00E86C47">
        <w:rPr>
          <w:rFonts w:ascii="Calibri" w:hAnsi="Calibri"/>
          <w:b/>
          <w:color w:val="auto"/>
          <w:sz w:val="24"/>
          <w:szCs w:val="24"/>
        </w:rPr>
        <w:t>Додаток 1. Шаблон «План заходів щодо складання прогнозу місцевого бюджету</w:t>
      </w:r>
      <w:bookmarkEnd w:id="0"/>
      <w:r w:rsidRPr="00E86C47">
        <w:rPr>
          <w:rFonts w:ascii="Calibri" w:hAnsi="Calibri"/>
          <w:b/>
          <w:color w:val="auto"/>
          <w:sz w:val="24"/>
          <w:szCs w:val="24"/>
        </w:rPr>
        <w:t>»</w:t>
      </w:r>
      <w:bookmarkEnd w:id="1"/>
    </w:p>
    <w:bookmarkEnd w:id="2"/>
    <w:p w:rsidR="00D15BDC" w:rsidRPr="00B61A0D" w:rsidRDefault="0058048E" w:rsidP="00D15BDC">
      <w:pPr>
        <w:spacing w:line="240" w:lineRule="auto"/>
        <w:rPr>
          <w:sz w:val="24"/>
          <w:szCs w:val="24"/>
        </w:rPr>
      </w:pPr>
      <w:r>
        <w:fldChar w:fldCharType="begin"/>
      </w:r>
      <w:r>
        <w:instrText xml:space="preserve"> HYPERLINK "https://www.minfin.gov.ua/uploads/redactor/files/%D0%9D%D0%B0%D0%BA%D0%B0%D0%B0%D0%B7%D0%B7%20%D0%9C%D0%A4%D0%A3%20%2022%2005%202019%20%D1%80%D0%B5%D0%B4.doc" </w:instrText>
      </w:r>
      <w:r>
        <w:fldChar w:fldCharType="separate"/>
      </w:r>
      <w:r w:rsidR="00D15BDC" w:rsidRPr="00B61A0D">
        <w:rPr>
          <w:rStyle w:val="Hyperlink"/>
          <w:sz w:val="24"/>
          <w:szCs w:val="24"/>
          <w:shd w:val="clear" w:color="auto" w:fill="FFFFFF"/>
        </w:rPr>
        <w:t>Наказ Міністерства фінансів України від 31.05.2019 р. № 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</w:t>
      </w:r>
      <w:r>
        <w:rPr>
          <w:rStyle w:val="Hyperlink"/>
          <w:sz w:val="24"/>
          <w:szCs w:val="24"/>
          <w:shd w:val="clear" w:color="auto" w:fill="FFFFFF"/>
        </w:rPr>
        <w:fldChar w:fldCharType="end"/>
      </w:r>
    </w:p>
    <w:p w:rsidR="00D15BDC" w:rsidRPr="00B61A0D" w:rsidRDefault="00D15BDC" w:rsidP="00D15BDC">
      <w:pPr>
        <w:spacing w:before="120" w:line="240" w:lineRule="auto"/>
        <w:jc w:val="center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РЕКОМЕНДОВАНИЙ ПЛАН ЗАХОДІВ</w:t>
      </w:r>
    </w:p>
    <w:p w:rsidR="00D15BDC" w:rsidRPr="00B61A0D" w:rsidRDefault="00D15BDC" w:rsidP="00D15BDC">
      <w:pPr>
        <w:spacing w:before="120" w:line="240" w:lineRule="auto"/>
        <w:jc w:val="center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щодо складання прогнозу місцевого бюджету на _________ роки</w:t>
      </w:r>
    </w:p>
    <w:p w:rsidR="00D15BDC" w:rsidRPr="00B61A0D" w:rsidRDefault="00D15BDC" w:rsidP="00D15BDC">
      <w:pPr>
        <w:spacing w:before="120" w:line="240" w:lineRule="auto"/>
        <w:rPr>
          <w:b/>
          <w:sz w:val="24"/>
          <w:szCs w:val="24"/>
        </w:rPr>
      </w:pPr>
    </w:p>
    <w:tbl>
      <w:tblPr>
        <w:tblW w:w="9642" w:type="dxa"/>
        <w:tblLook w:val="00A0" w:firstRow="1" w:lastRow="0" w:firstColumn="1" w:lastColumn="0" w:noHBand="0" w:noVBand="0"/>
      </w:tblPr>
      <w:tblGrid>
        <w:gridCol w:w="828"/>
        <w:gridCol w:w="5006"/>
        <w:gridCol w:w="1474"/>
        <w:gridCol w:w="2334"/>
      </w:tblGrid>
      <w:tr w:rsidR="00D15BDC" w:rsidRPr="00B61A0D" w:rsidTr="004F47D8">
        <w:tc>
          <w:tcPr>
            <w:tcW w:w="828" w:type="dxa"/>
          </w:tcPr>
          <w:p w:rsidR="00D15BDC" w:rsidRPr="00B61A0D" w:rsidRDefault="00D15BDC" w:rsidP="004F47D8">
            <w:pPr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№</w:t>
            </w:r>
          </w:p>
          <w:p w:rsidR="00D15BDC" w:rsidRPr="00B61A0D" w:rsidRDefault="00D15BDC" w:rsidP="004F47D8">
            <w:pPr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5006" w:type="dxa"/>
          </w:tcPr>
          <w:p w:rsidR="00D15BDC" w:rsidRPr="00B61A0D" w:rsidRDefault="00D15BDC" w:rsidP="004F47D8">
            <w:pPr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Термін виконання*</w:t>
            </w:r>
          </w:p>
        </w:tc>
        <w:tc>
          <w:tcPr>
            <w:tcW w:w="2334" w:type="dxa"/>
          </w:tcPr>
          <w:p w:rsidR="00D15BDC" w:rsidRPr="00B61A0D" w:rsidRDefault="00D15BDC" w:rsidP="004F47D8">
            <w:pPr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Відповідальні за виконання**</w:t>
            </w:r>
          </w:p>
        </w:tc>
      </w:tr>
      <w:tr w:rsidR="00D15BDC" w:rsidRPr="00B61A0D" w:rsidTr="004F47D8">
        <w:trPr>
          <w:trHeight w:val="1331"/>
        </w:trPr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Аналіз виконання місцевого бюджету у попередніх та поточному бюджетних періодах, виявлення тенденцій виконання дохідної та видаткової частин бюджету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  <w:r w:rsidRPr="00B61A0D">
              <w:rPr>
                <w:rStyle w:val="FootnoteReference"/>
                <w:sz w:val="24"/>
                <w:szCs w:val="24"/>
              </w:rPr>
              <w:footnoteReference w:id="1"/>
            </w:r>
            <w:r w:rsidRPr="00B61A0D">
              <w:rPr>
                <w:sz w:val="24"/>
                <w:szCs w:val="24"/>
              </w:rPr>
              <w:t xml:space="preserve"> </w:t>
            </w:r>
          </w:p>
        </w:tc>
      </w:tr>
      <w:tr w:rsidR="00D15BDC" w:rsidRPr="00B61A0D" w:rsidTr="004F47D8">
        <w:trPr>
          <w:trHeight w:val="1916"/>
        </w:trPr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Доведення до головних розпорядників бюджетних коштів організаційно-методологічних засад складання прогнозу місцевого бюджету, визначених Мінфіном, та інструктивного листа щодо основних організаційних засад процесу підготовки пропозицій до прогнозу бюджету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D15BDC" w:rsidRPr="00B61A0D" w:rsidTr="004F47D8"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Надання місцевому фінансовому органу основних прогнозних показників економічного і соціального розвитку території на середньостроковий період 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Виконавчий орган місцевої ради, до повноважень якого належать питання соціально-економічного розвитку</w:t>
            </w:r>
          </w:p>
        </w:tc>
      </w:tr>
      <w:tr w:rsidR="00D15BDC" w:rsidRPr="00B61A0D" w:rsidTr="004F47D8">
        <w:trPr>
          <w:trHeight w:val="950"/>
        </w:trPr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Надання місцевому фінансовому органу інформації щодо чисельності населення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Територіальний орган статистики (за згодою)</w:t>
            </w:r>
          </w:p>
        </w:tc>
      </w:tr>
      <w:tr w:rsidR="00D15BDC" w:rsidRPr="00B61A0D" w:rsidTr="004F47D8"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Підготовка та подання місцевому фінансовому органу разом з поясненнями (зокрема, в частині фіскальних ризиків у </w:t>
            </w:r>
            <w:r w:rsidRPr="00B61A0D">
              <w:rPr>
                <w:sz w:val="24"/>
                <w:szCs w:val="24"/>
              </w:rPr>
              <w:lastRenderedPageBreak/>
              <w:t xml:space="preserve">майбутніх періодах) прогнозних обсягів доходів бюджету на середньостроковий період відповідно до типової форми прогнозу місцевого бюджету 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Орган, що контролює справляння </w:t>
            </w:r>
            <w:r w:rsidRPr="00B61A0D">
              <w:rPr>
                <w:sz w:val="24"/>
                <w:szCs w:val="24"/>
              </w:rPr>
              <w:lastRenderedPageBreak/>
              <w:t>надходжень до бюджету, виконавчий орган місцевої ради</w:t>
            </w:r>
          </w:p>
        </w:tc>
      </w:tr>
      <w:tr w:rsidR="00D15BDC" w:rsidRPr="00B61A0D" w:rsidTr="004F47D8"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Прогнозування обсягів доходів місцевого бюджету, визначення обсягів фінансування місцевого бюджету, повернення кредитів до місцевого бюджету й орієнтовних граничних показників видатків місцевого бюджету та надання кредитів з місцевого бюджету на середньостроковий період на підставі прогнозу економічного і соціального розвитку України та території, аналізу виконання місцевого бюджету в попередніх та поточному бюджетних періодах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D15BDC" w:rsidRPr="00B61A0D" w:rsidTr="004F47D8"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Підготовка та внесення змін до показників прогнозу місцевого бюджету на _______ роки на підставі інформації, визначеної відповідно до пункту 6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D15BDC" w:rsidRPr="00B61A0D" w:rsidTr="004F47D8"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Розроблення та доведення до головних розпорядників бюджетних коштів інструкцій з підготовки пропозицій до прогнозу бюджету, орієнтовних граничних показників видатків та надання кредитів із місцевого бюджету на середньостроковий період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D15BDC" w:rsidRPr="00B61A0D" w:rsidTr="004F47D8"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Надання місцевому фінансовому органу пропозицій до прогнозу місцевого бюджету 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D15BDC" w:rsidRPr="00B61A0D" w:rsidTr="004F47D8"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Аналіз пропозицій, поданих головними розпорядниками бюджетних коштів до прогнозу місцевого бюджету, на відповідність доведеним орієнтовним граничним показникам видатків місцевого бюджету </w:t>
            </w:r>
            <w:r w:rsidRPr="00D15BDC">
              <w:rPr>
                <w:sz w:val="24"/>
                <w:szCs w:val="24"/>
              </w:rPr>
              <w:t>кредитуванню</w:t>
            </w:r>
            <w:r w:rsidRPr="00B61A0D">
              <w:rPr>
                <w:sz w:val="24"/>
                <w:szCs w:val="24"/>
              </w:rPr>
              <w:t xml:space="preserve"> із місцевого бюджету і вимогам доведених інструкцій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D15BDC" w:rsidRPr="00B61A0D" w:rsidTr="004F47D8"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Проведення погоджувальних нарад із головними розпорядниками бюджетних </w:t>
            </w:r>
            <w:r w:rsidRPr="00B61A0D">
              <w:rPr>
                <w:sz w:val="24"/>
                <w:szCs w:val="24"/>
              </w:rPr>
              <w:lastRenderedPageBreak/>
              <w:t>коштів щодо узгодження показників прогнозу місцевого бюджету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Місцевий фінансовий орган, </w:t>
            </w:r>
            <w:r w:rsidRPr="00B61A0D">
              <w:rPr>
                <w:sz w:val="24"/>
                <w:szCs w:val="24"/>
              </w:rPr>
              <w:lastRenderedPageBreak/>
              <w:t>головні розпорядники бюджетних коштів</w:t>
            </w:r>
          </w:p>
        </w:tc>
      </w:tr>
      <w:tr w:rsidR="00D15BDC" w:rsidRPr="00B61A0D" w:rsidTr="004F47D8"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Доопрацювання прогнозу місцевого бюджету за результатами проведених погоджувальних нарад та інформацією, отриманою від виконавчого органу місцевої ради 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D15BDC" w:rsidRPr="00B61A0D" w:rsidTr="004F47D8"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Подання прогнозу місцевого бюджету до виконавчого органу місцевої ради 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</w:t>
            </w:r>
          </w:p>
        </w:tc>
      </w:tr>
      <w:tr w:rsidR="00D15BDC" w:rsidRPr="00B61A0D" w:rsidTr="004F47D8"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Розгляд та схвалення прогнозу місцевого бюджету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b/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Виконавчий орган місцевої ради</w:t>
            </w:r>
          </w:p>
        </w:tc>
      </w:tr>
      <w:tr w:rsidR="00D15BDC" w:rsidRPr="00B61A0D" w:rsidTr="004F47D8"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Подання прогнозу місцевого бюджету разом із фінансово-економічним обґрунтуванням до місцевої ради для розгляду в порядку, визначеному радою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b/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Виконавчий орган місцевої ради</w:t>
            </w:r>
          </w:p>
        </w:tc>
      </w:tr>
      <w:tr w:rsidR="00D15BDC" w:rsidRPr="00B61A0D" w:rsidTr="004F47D8">
        <w:tc>
          <w:tcPr>
            <w:tcW w:w="828" w:type="dxa"/>
          </w:tcPr>
          <w:p w:rsidR="00D15BDC" w:rsidRPr="00B61A0D" w:rsidRDefault="00D15BDC" w:rsidP="00D15B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Супровід розгляду питання щодо прогнозу бюджету постійними комісіями місцевої ради та на пленарному засіданні місцевої ради в порядку, визначеному радою</w:t>
            </w:r>
          </w:p>
        </w:tc>
        <w:tc>
          <w:tcPr>
            <w:tcW w:w="147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15BDC" w:rsidRPr="00B61A0D" w:rsidRDefault="00D15BDC" w:rsidP="004F47D8">
            <w:pPr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Представники виконавчого органу місцевої ради, головних розпорядників бюджетних коштів</w:t>
            </w:r>
          </w:p>
        </w:tc>
      </w:tr>
    </w:tbl>
    <w:p w:rsidR="00D15BDC" w:rsidRPr="00B61A0D" w:rsidRDefault="00D15BDC" w:rsidP="00D15BDC">
      <w:pPr>
        <w:spacing w:before="120" w:line="240" w:lineRule="auto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Примітки:</w:t>
      </w:r>
    </w:p>
    <w:p w:rsidR="00D15BDC" w:rsidRPr="00B61A0D" w:rsidRDefault="00D15BDC" w:rsidP="00D15BDC">
      <w:pPr>
        <w:spacing w:before="120"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* Зазначаються терміни виконання заходів із урахуванням строків, визначених бюджетним законодавством, за кожним заходом конкретні терміни визначаються індивідуально для відповідного місцевого бюджету під час затвердження Плану заходів.</w:t>
      </w:r>
    </w:p>
    <w:p w:rsidR="00D15BDC" w:rsidRPr="00B61A0D" w:rsidRDefault="00D15BDC" w:rsidP="00D15BDC">
      <w:pPr>
        <w:spacing w:before="120"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** Зазначається конкретна назва органу, структурного підрозділу місцевого органу влади, відповідального за виконання певного заходу відповідно до його повноважень.</w:t>
      </w:r>
    </w:p>
    <w:p w:rsidR="00D93D09" w:rsidRPr="00D15BDC" w:rsidRDefault="00D93D09" w:rsidP="00D15BDC">
      <w:pPr>
        <w:rPr>
          <w:sz w:val="24"/>
          <w:szCs w:val="24"/>
        </w:rPr>
      </w:pPr>
    </w:p>
    <w:sectPr w:rsidR="00D93D09" w:rsidRPr="00D15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48E" w:rsidRDefault="0058048E" w:rsidP="00D15BDC">
      <w:pPr>
        <w:spacing w:after="0" w:line="240" w:lineRule="auto"/>
      </w:pPr>
      <w:r>
        <w:separator/>
      </w:r>
    </w:p>
  </w:endnote>
  <w:endnote w:type="continuationSeparator" w:id="0">
    <w:p w:rsidR="0058048E" w:rsidRDefault="0058048E" w:rsidP="00D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48E" w:rsidRDefault="0058048E" w:rsidP="00D15BDC">
      <w:pPr>
        <w:spacing w:after="0" w:line="240" w:lineRule="auto"/>
      </w:pPr>
      <w:r>
        <w:separator/>
      </w:r>
    </w:p>
  </w:footnote>
  <w:footnote w:type="continuationSeparator" w:id="0">
    <w:p w:rsidR="0058048E" w:rsidRDefault="0058048E" w:rsidP="00D15BDC">
      <w:pPr>
        <w:spacing w:after="0" w:line="240" w:lineRule="auto"/>
      </w:pPr>
      <w:r>
        <w:continuationSeparator/>
      </w:r>
    </w:p>
  </w:footnote>
  <w:footnote w:id="1">
    <w:p w:rsidR="00D15BDC" w:rsidRDefault="00D15BDC" w:rsidP="00D15BDC">
      <w:pPr>
        <w:pStyle w:val="FootnoteText"/>
      </w:pPr>
      <w:r>
        <w:rPr>
          <w:rStyle w:val="FootnoteReference"/>
        </w:rPr>
        <w:footnoteRef/>
      </w:r>
      <w:r>
        <w:t xml:space="preserve"> Тут і далі </w:t>
      </w:r>
      <w:r w:rsidRPr="0021395D">
        <w:t xml:space="preserve">(Департамент/Управління/ Відділ/Сільський, </w:t>
      </w:r>
      <w:r>
        <w:t>с</w:t>
      </w:r>
      <w:r w:rsidRPr="0021395D">
        <w:t>елищний, міський голова)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DC"/>
    <w:rsid w:val="0058048E"/>
    <w:rsid w:val="006E5DBA"/>
    <w:rsid w:val="00B67876"/>
    <w:rsid w:val="00C81D52"/>
    <w:rsid w:val="00D15BDC"/>
    <w:rsid w:val="00D93D09"/>
    <w:rsid w:val="00E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A6CDF-ADA9-464F-8AAE-058915D5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BDC"/>
    <w:rPr>
      <w:rFonts w:ascii="Calibri" w:eastAsia="Calibri" w:hAnsi="Calibri" w:cs="Times New Roman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BDC"/>
    <w:pPr>
      <w:keepNext/>
      <w:keepLines/>
      <w:spacing w:before="240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5BDC"/>
    <w:rPr>
      <w:rFonts w:ascii="Calibri Light" w:eastAsia="Yu Gothic Light" w:hAnsi="Calibri Light" w:cs="Times New Roman"/>
      <w:color w:val="2E74B5"/>
      <w:sz w:val="32"/>
      <w:szCs w:val="32"/>
      <w:lang w:val="uk-UA"/>
    </w:rPr>
  </w:style>
  <w:style w:type="paragraph" w:styleId="FootnoteText">
    <w:name w:val="footnote text"/>
    <w:basedOn w:val="Normal"/>
    <w:link w:val="FootnoteTextChar"/>
    <w:uiPriority w:val="99"/>
    <w:rsid w:val="00D15B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5BDC"/>
    <w:rPr>
      <w:rFonts w:ascii="Calibri" w:eastAsia="Calibri" w:hAnsi="Calibri" w:cs="Times New Roman"/>
      <w:sz w:val="20"/>
      <w:szCs w:val="20"/>
      <w:lang w:val="uk-UA"/>
    </w:rPr>
  </w:style>
  <w:style w:type="character" w:styleId="FootnoteReference">
    <w:name w:val="footnote reference"/>
    <w:uiPriority w:val="99"/>
    <w:rsid w:val="00D15BDC"/>
    <w:rPr>
      <w:rFonts w:cs="Times New Roman"/>
      <w:vertAlign w:val="superscript"/>
    </w:rPr>
  </w:style>
  <w:style w:type="character" w:styleId="Hyperlink">
    <w:name w:val="Hyperlink"/>
    <w:uiPriority w:val="99"/>
    <w:rsid w:val="00D15B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2</cp:revision>
  <dcterms:created xsi:type="dcterms:W3CDTF">2019-12-10T07:57:00Z</dcterms:created>
  <dcterms:modified xsi:type="dcterms:W3CDTF">2019-12-10T14:14:00Z</dcterms:modified>
</cp:coreProperties>
</file>