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B778" w14:textId="77777777" w:rsidR="00633361" w:rsidRPr="00367EE4" w:rsidRDefault="00633361" w:rsidP="00633361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b/>
          <w:bCs/>
          <w:sz w:val="22"/>
          <w:szCs w:val="22"/>
          <w:lang w:val="ru-RU"/>
        </w:rPr>
        <w:t>Приложение 2</w:t>
      </w:r>
    </w:p>
    <w:p w14:paraId="71113861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CACCD83" w14:textId="77777777" w:rsidR="00633361" w:rsidRPr="00367EE4" w:rsidRDefault="00633361" w:rsidP="0063336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b/>
          <w:bCs/>
          <w:sz w:val="22"/>
          <w:szCs w:val="22"/>
          <w:lang w:val="ru-RU"/>
        </w:rPr>
        <w:t>ФОРМА ПРЕДСТАВЛЕНИЯ ПРЕДЛОЖЕНИЯ ПОСТАВЩИКА</w:t>
      </w:r>
      <w:r w:rsidRPr="00367EE4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4C54E033" w14:textId="77777777" w:rsidR="00633361" w:rsidRPr="00367EE4" w:rsidRDefault="00633361" w:rsidP="00633361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  <w:t>(Данная форма должна быть представлена на официальном бланке Поставщика</w:t>
      </w:r>
      <w:r w:rsidRPr="00367EE4">
        <w:rPr>
          <w:rStyle w:val="FootnoteReference"/>
          <w:rFonts w:asciiTheme="minorHAnsi" w:hAnsiTheme="minorHAnsi" w:cstheme="minorHAnsi"/>
          <w:b/>
          <w:bCs/>
          <w:i/>
          <w:iCs/>
          <w:sz w:val="22"/>
          <w:szCs w:val="22"/>
        </w:rPr>
        <w:footnoteReference w:id="2"/>
      </w:r>
      <w:r w:rsidRPr="00367EE4"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  <w:t>)</w:t>
      </w:r>
    </w:p>
    <w:p w14:paraId="6F29D48C" w14:textId="77777777" w:rsidR="00633361" w:rsidRPr="00367EE4" w:rsidRDefault="00633361" w:rsidP="00633361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32CBFEC3" w14:textId="77777777" w:rsidR="00633361" w:rsidRPr="00367EE4" w:rsidRDefault="00633361" w:rsidP="0063336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56F95B13" w14:textId="77777777" w:rsidR="00633361" w:rsidRPr="00367EE4" w:rsidRDefault="00633361" w:rsidP="00633361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товаров, соответствующих спецификациям и требованиям ПРООН согласно Запросу на предложения </w:t>
      </w:r>
      <w:r w:rsidRPr="00367EE4">
        <w:rPr>
          <w:rFonts w:asciiTheme="minorHAnsi" w:hAnsiTheme="minorHAnsi" w:cstheme="minorHAnsi"/>
          <w:snapToGrid w:val="0"/>
          <w:sz w:val="22"/>
          <w:szCs w:val="22"/>
          <w:u w:val="single"/>
          <w:lang w:val="ru-RU"/>
        </w:rPr>
        <w:t xml:space="preserve">№ </w:t>
      </w:r>
      <w:r w:rsidRPr="00367EE4">
        <w:rPr>
          <w:rFonts w:asciiTheme="minorHAnsi" w:hAnsiTheme="minorHAnsi" w:cstheme="minorHAnsi"/>
          <w:sz w:val="22"/>
          <w:szCs w:val="22"/>
          <w:u w:val="single"/>
        </w:rPr>
        <w:t>RFQ</w:t>
      </w:r>
      <w:r w:rsidRPr="00367EE4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 2019-057</w:t>
      </w:r>
      <w:r w:rsidRPr="00367EE4">
        <w:rPr>
          <w:rFonts w:asciiTheme="minorHAnsi" w:hAnsiTheme="minorHAnsi" w:cstheme="minorHAnsi"/>
          <w:snapToGrid w:val="0"/>
          <w:sz w:val="22"/>
          <w:szCs w:val="22"/>
          <w:lang w:val="ru-RU"/>
        </w:rPr>
        <w:t>.</w:t>
      </w:r>
    </w:p>
    <w:p w14:paraId="3727D8BF" w14:textId="77777777" w:rsidR="00633361" w:rsidRPr="00367EE4" w:rsidRDefault="00633361" w:rsidP="00633361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val="ru-RU"/>
        </w:rPr>
      </w:pPr>
    </w:p>
    <w:p w14:paraId="0EB2DFFF" w14:textId="77777777" w:rsidR="00633361" w:rsidRPr="00367EE4" w:rsidRDefault="00633361" w:rsidP="00633361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val="ru-RU"/>
        </w:rPr>
      </w:pPr>
      <w:r w:rsidRPr="00367E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val="ru-RU"/>
        </w:rPr>
        <w:t>ТАБЛИЦА 1: Предложение на поставку товаров, соответствующих техническим спецификациям и требованиям:</w:t>
      </w:r>
    </w:p>
    <w:p w14:paraId="7F47ED7C" w14:textId="77777777" w:rsidR="00633361" w:rsidRPr="00367EE4" w:rsidRDefault="00633361" w:rsidP="00633361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  <w:lang w:val="ru-RU"/>
        </w:rPr>
      </w:pP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993"/>
        <w:gridCol w:w="1688"/>
        <w:gridCol w:w="13"/>
        <w:gridCol w:w="1417"/>
      </w:tblGrid>
      <w:tr w:rsidR="00633361" w:rsidRPr="00367EE4" w14:paraId="2506A264" w14:textId="77777777" w:rsidTr="00F57A51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6EA29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t>№</w:t>
            </w: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br/>
              <w:t xml:space="preserve"> п/п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5F332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t>Наименование работ и применяемых материалов, механизмов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3AF60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t xml:space="preserve">Ед. </w:t>
            </w: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br/>
              <w:t>изм.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3FE2D1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t>Кол-</w:t>
            </w:r>
            <w:r w:rsidRPr="00367EE4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br/>
              <w:t>во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1571F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  <w:t>Цена за единицу, тенге с учетом НДС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14:paraId="46C23F6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  <w:t>Общая стоимость</w:t>
            </w:r>
          </w:p>
        </w:tc>
      </w:tr>
      <w:tr w:rsidR="00633361" w:rsidRPr="00367EE4" w14:paraId="4C8A0A0D" w14:textId="77777777" w:rsidTr="00F57A5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F9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FD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3C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7A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24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EA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</w:tr>
      <w:tr w:rsidR="00633361" w:rsidRPr="00367EE4" w14:paraId="1A07168E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B071B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  <w:t>Раздел 1. Демонтаж/Монтаж</w:t>
            </w:r>
          </w:p>
        </w:tc>
      </w:tr>
      <w:tr w:rsidR="00633361" w:rsidRPr="00367EE4" w14:paraId="3F9780A5" w14:textId="77777777" w:rsidTr="00F57A51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0B5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CE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Облицовка стен из плит керамических глазурованных в каб. № 2,3,5,6,7. Разборка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7C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облицовки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A6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AC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0DF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E52330D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CB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1F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Полы из керамических плиток в каб. № 2,3,5,6,7. Разборка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5E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6A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09F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EE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3B9B627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6D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E8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Полы из линолеума и релина в каб. №1,4. Разборка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CD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FC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0F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82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D4A5CF2" w14:textId="77777777" w:rsidTr="00F57A51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C2A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56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Потолки подвесные на одноуровневом металлическом каркасе с однослойной обшивкой гипсокартонными листами. Демонтаж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7E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потолка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78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EA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98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739E553A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9F4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DD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Заполнение дверных и воротных проемов деревянное. Разборка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8C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25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F9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99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843D42B" w14:textId="77777777" w:rsidTr="00F57A51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2D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33D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Перегородки с обшивкой гипсокартонными листами в два слоя с изоляционной прокладкой толщиной 106 мм между 6 и 7 кабинетами. Демонтаж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BE3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перегородок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71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60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87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0BD1F6D" w14:textId="77777777" w:rsidTr="00F57A51">
        <w:trPr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12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504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Перегородки с обшивкой гипсокартонными листами в два слоя с изоляционной прокладкой толщиной 106 мм между 2 и 3 кабинетами. Демонтаж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CB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перегородок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8D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2F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50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ACA0A16" w14:textId="77777777" w:rsidTr="00F57A51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5D7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89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Перегородки с обшивкой гипсокартонными листами в два слоя с изоляционной прокладкой толщиной 106 мм в коридоре. Демонтаж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456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перегородок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F0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CD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8E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7C56788" w14:textId="77777777" w:rsidTr="00F57A51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DF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92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Дверные проемы в каб № 1,2,3,7. Заделка гипсокар-тонными листами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A8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перегородок (за вычетом проемов)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FF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9E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19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A84C031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CE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C4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Перегородки в помещениях 1,2,3. Прорезка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84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проемов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E4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66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AF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C69E0D9" w14:textId="77777777" w:rsidTr="00F57A5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19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26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Перегородки с обшивкой гипсокартонными листами в два слоя с изоляционной прокладкой толщиной 106 мм в помещении №3. Устройство с заделкой стыков водостойкой шпаклевкой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F0C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перегородок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39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A3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71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ECE38A8" w14:textId="77777777" w:rsidTr="00F57A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2B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72D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Стены в помещениях №1,3,4,5. Отделка внутренних оштукатуренных (растворами из сухих смесей) поверхностей под окраску сухими смесями на гипсовой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40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отделывае-мой поверхно-сти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FE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198,9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68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36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7721756" w14:textId="77777777" w:rsidTr="00F57A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9E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45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Стены в помещениях №1,3,4,5, подготовленные под окраску. Окраска поливинилацетатными водоэмульсионными составами высококачественная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22E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окрашива-емой поверхно-сти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B12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198,9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35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55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C8F35C0" w14:textId="77777777" w:rsidTr="00F57A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AB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20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Потолки. Отделка внутренних поверхностей за два раза. Сухими смесями на гипсовой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13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отделывае-мой поверхно-сти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C8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23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91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D1C55D8" w14:textId="77777777" w:rsidTr="00F57A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84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0E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Потолки, подготовленные под окраску. Окраска поли-винилацетатными водоэмульсионными составами вы-сококачественная. Потолки, подготовленные под окраску. Окраска поли-винилацетатными водоэмульсионными составами вы-сококачественная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749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окрашива-емой поверхно-сти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00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90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22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FB244B1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385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7D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Покрытия из линолеума в помещениях №1,3,4,5. Устройство на клее "Бустилат"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DA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61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C1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5A2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7237B611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E88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8604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Покрытия из плиток керамических для полов многоцветных или одноцветных на цементном растворе в помещении №2.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4C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A5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B3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8A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4B6B699" w14:textId="77777777" w:rsidTr="00F57A5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A67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3B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Стены в помещении №2. Облицовка керамической плиткой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D9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поверхности облицовки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6D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FE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D0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BDE4F1A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68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2D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Проемы дверные наружные и внутренние площадью до 2 м2 в деревянных рубленых стенах. Заполнение отдельными элементами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B1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7C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AE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E8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FBFA76B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96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3FE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Стоимость дверей межкомнатных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8E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22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13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E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7DF07339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830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34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Электропроводка скрытая.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86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35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C5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28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56E317D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E4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3F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Светильники с лампами накаливания.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1C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E9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CC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54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DE153FC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40D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C9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Выключатели и розетки.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5E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C6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E6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0F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E3084C2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54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CCF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Кабель массой 1 м до 1 кг. Прокладка по стене деревянной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86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9F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D6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148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25D3CEA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5E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FD9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Кабели силовые ВВГ 5х10 (ок)-0,66 ГОСТ 16442-80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99F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FA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0,04896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1F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AF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4E9AFD5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42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1EF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Кабель массой 1 м до 1 кг. Прокладка по стене деревянной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D8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D51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62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C85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8BFD617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12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5D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Кабели силовые ВВГ 3х2,5 (ок)-0,66 ГОСТ 16442-80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28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363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EC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1B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323AFFD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F7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00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Кабель массой 1 м до 1 кг. Прокладка по стене деревянной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D2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63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8C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FB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C1AF95D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BF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80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Кабели силовые ВВГ 3х16 (ок)-0,66 ГОСТ 16442-80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D98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FE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01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2B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10913F5" w14:textId="77777777" w:rsidTr="00F57A51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5E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0C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Проходы кабелей. Заделка при прокладке кабелей по стенам и потолкам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D2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уложенного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D3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88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1DF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4998CD0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557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68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Светильник местного освещения. Монтаж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1B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59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519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21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1BDFB26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15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E3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Светильники подвесные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7D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A6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ED6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027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26392C6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6F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867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Светильники подвесные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F7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87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21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36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84AED03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5E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6D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Выключатель одноклавишный утопленного типа. Монтаж при скрытой проводке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B4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C7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33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8FD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BEFAA8B" w14:textId="77777777" w:rsidTr="00F57A5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CC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15D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Выключатель одноклавишный проходной, скрытой проводки, номинальное напряжение до 250 В, номинальный ток от 4 А до 10 А, степень защиты IP20 ГОСТ Р 51324.1-2012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EC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BB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D69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2D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8426ABB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3E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EB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Розетка штепсельная утопленного типа. Монтаж при скрытой проводке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94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6C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48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84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7E97077" w14:textId="77777777" w:rsidTr="00F57A51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40B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3A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Розетка штепсельная одноместная для скрытой установки с заземляющими контактами, с защитными шторками, номинальное напряжение до 250 В, номи-нальный ток от 10 А до 16 А, степень защиты IP20 ГОСТ Р 51322.1-2011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58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B0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99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F9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D0FA098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99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751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Провода шлейфа АПС.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4B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36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1F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16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E4BE460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A9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4EB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Извещатель ПС автоматический дымовой, фотоэлектрический, радиоизотопный, световой в нормальном исполнении.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D7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C1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23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BF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612F70E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FB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8B8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Провода шлейфа 2х0,7. Прокладка по стене деревянной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26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кабеля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92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9C5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EA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4117EFB" w14:textId="77777777" w:rsidTr="00F57A5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AFD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F6D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Провода силовые для электрических установок на напряжение до 450 В с медными жилами плоские с разделительным основанием ППВ, с числом жил - 2 и сечением 0,75 мм2 ГОСТ 6323-79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25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7C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6E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85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9D5BE1D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CA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A5D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Извещатель ПС автоматический дымовой, фотоэлектрический, радиоизотопный, световой в нормальном исполнении. 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7B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71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EB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B0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4045492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5D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0F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Стоимость датчика АПС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9FF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EA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3A6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CF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280B6F7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D4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20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Поддоны душевые чугунные и стальные мелкие. Снятие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FC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E5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10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09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E443B5B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C7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02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Душевая лейка. Снятие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ED33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F7E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75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60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022378E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F97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0D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Унитазы и писсуары.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0A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прибор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BC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55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EE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7D368EAB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48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lastRenderedPageBreak/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0D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Бачок смывной фаянсовый на унитазе.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8E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прибор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C7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8F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E0B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7DF20D94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86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C47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Умывальники и раковины. Демонтаж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EFD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прибор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2C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BF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5C9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36D47E6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93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5F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Трубопроводы канализации из полиэтиленовых труб высокой плотности, диаметр до 100 мм. Прокладка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62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трубопровода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E6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48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70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7AA5AFF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BC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89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Трубы полиэтиленовые для систем внутренней кана-лизации с раструбом SDR 33 - 110х3,4 ГОСТ 22689-2014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AB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95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1,996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AA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A3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BED4E9B" w14:textId="77777777" w:rsidTr="00F57A51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70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7C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Трубопроводы канализации из полиэтиленовых труб высокой плотности, диаметр до 50 мм. Прокладка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76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трубопровода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8F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72D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B4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C99CC08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E0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5F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Трубы полиэтиленовые для систем внутренней канализации с раструбом SDR 33 - 50х3 ГОСТ 22689-2014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D5B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24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8,982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65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04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F714358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E5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837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Трубопроводы водоснабжения из напорных полимерных труб, наружный диаметр 25 мм. Прокладка на сварных соединениях в раструб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12D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 трубопровода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F0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0F1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C3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91884EC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DA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7FB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Труба полиэтиленовая для водоснабжения РЕ 100 SDR 13,6 - 25х2 питьевая ГОСТ 18599-2001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E6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3B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31,68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23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09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65A3FAB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31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25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Унитазы с бачком непосредственно присоединенным.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80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B5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CC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48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00AC2CF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0A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04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Смесители кухонный.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1F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B2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50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02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1BA6C55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A1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47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Душевые кабины пластиковые. Установка с подводкой холодной 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A23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2BB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CE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CDF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A24B324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14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83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Стоимость душевой кабины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C1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ED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83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2F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EB49640" w14:textId="77777777" w:rsidTr="00F57A5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E1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046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Смеситель для душа двухрукояточный, с подводкой в различных отверстиях, застенный, с душевой сеткой на штанге ГОСТ 25809-96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C1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2A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ACB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C56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9AC1E33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32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47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Трапы диаметром 50 мм.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FB8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F6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85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E76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3BDEA49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99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E7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Душ гигиенический.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09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3F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01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CE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636FF3A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73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73D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Умывальники одиночные. Установка с подводкой холодной и горячей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C37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49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691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51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5FCEE91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3AC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13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Умывальник керамический с переливом, шириной до 430 мм, длиной до 550 мм, с пьедесталом ГОСТ 30493-96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30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C0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C6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59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1228087F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74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13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Смесители для умывальников.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93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77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D39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43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8C7920C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A8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82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Смеситель для умывальника однорукояточный с прямым изливом набортный, излив с аэратором ГОСТ 25809-96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EB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3C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5BA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1C9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2017779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62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334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Специальные поручни из нержавеющей трубы. Мон-таж с креплением в стене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99F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7E0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8E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94C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4A910A9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D5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AD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Стоимость поручней из нержавеющей трубы диам. 32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02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FA9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94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2AB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722CBCE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1F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BD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Специальные поручни из нержавеющей трубы. Мон-таж с креплением в полу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16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F5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F5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1A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84AFA3C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EC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1B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Стоимость поручней из нержавеющей трубы диам. 32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32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82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8F8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B7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BF65CFD" w14:textId="77777777" w:rsidTr="00F57A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43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lastRenderedPageBreak/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8E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Вентиляторы вытяжные. Установка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81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вентилятор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9C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63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5A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3D9BFC58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4C5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1C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Стоимость вентиляторы вытяжного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14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7E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E82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C7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2FAE21D" w14:textId="77777777" w:rsidTr="00F57A5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A0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0A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Помещения. Очистка от строительного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94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6BF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25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C6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6C4E849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C1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633361" w:rsidRPr="00367EE4" w14:paraId="0443B216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101D60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  <w:t>Раздел 2. ДЕМОНТАЖНЫЕ РАБОТЫ</w:t>
            </w:r>
          </w:p>
        </w:tc>
      </w:tr>
      <w:tr w:rsidR="00633361" w:rsidRPr="00367EE4" w14:paraId="7C9084F7" w14:textId="77777777" w:rsidTr="00F57A51">
        <w:trPr>
          <w:trHeight w:val="5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B10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533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Облицовка из гипсокартонных листов стен и перегородок. Разборка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B0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облицовки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F93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A9A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26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56A134B6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43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C85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Заполнение оконных проемов с подоконными досками. Разборка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07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66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A9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52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50C14DE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1CC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633361" w:rsidRPr="00367EE4" w14:paraId="630F75F7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89730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  <w:t>Раздел 3. МОНТАЖНЫЕ РАБОТЫ</w:t>
            </w:r>
          </w:p>
        </w:tc>
      </w:tr>
      <w:tr w:rsidR="00633361" w:rsidRPr="00367EE4" w14:paraId="4F90E798" w14:textId="77777777" w:rsidTr="00F57A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601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61F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Перегородки с одинарным металлическим каркасом с однослойной обшивкой с двух сторон гипсокартонными листами. Общая толщина перегородки 75-125 мм. Глухие.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DD5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 перегородок (за вычетом проемов)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88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54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44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B088939" w14:textId="77777777" w:rsidTr="00F57A51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FD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DAB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Проемы оконные площадью до 2 м2. Установка блоков из ПВХ профилей поворотных (откидных, поворотно-откидных) двухстворчатых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7A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81E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DD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09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6EEB9329" w14:textId="77777777" w:rsidTr="00F57A51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8C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A0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Блоки оконные из ПВХ профилей толщиной 60 мм двухстворчатые одинарной конструкции со стеклопакетом двухкамерным, поворотно-откидной фурнитурой: двухэлементные - импост и поворотно-откидная створка ГОСТ 30674-99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59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2B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E9B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5A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AA68C1F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E4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04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Доски подоконные из ПВХ. Установка в стенах каменных толщиной до 0,51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0E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394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97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D6C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9CC6F8F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B3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18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Доски подоконные из ПВХ профилей ламинированные шириной 400 мм ГОСТ 23166-99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59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7D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9EA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5C0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7C170EC6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F0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1AF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Отливы оконные наружные из оцинкованной стали с полимерным покрытием шириной 250 мм. 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CB3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D1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7A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FA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DAA086E" w14:textId="77777777" w:rsidTr="00F57A51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69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B804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Светильник потолочный или настенный для помещений с нормальными условиями среды, одноламповый. Монтаж с креплением винтами или болтами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04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0E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BD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E6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4A8BF026" w14:textId="77777777" w:rsidTr="00F57A51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5F9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C46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Светильники светодиодные со встраиваемым опаловым рассеивателем из ПММА, модели OPL/R ECO LED 300, 220 В, мощность 18 Вт, степень защиты IP 20 СТ РК 2595-2014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29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82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6B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B8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773745E" w14:textId="77777777" w:rsidTr="00F57A51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4A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6A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Лампы люминесцентные, цоколь G13, мощность 18 Вт ГОСТ 6825-91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AAB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AD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FF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AA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00AFD504" w14:textId="77777777" w:rsidTr="00F57A5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DF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427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Трапы диаметром 50 мм. Установка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10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09D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D1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0D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 </w:t>
            </w:r>
          </w:p>
        </w:tc>
      </w:tr>
      <w:tr w:rsidR="00633361" w:rsidRPr="00367EE4" w14:paraId="2DC77332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AF0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633361" w:rsidRPr="00367EE4" w14:paraId="7329D03E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2B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633361" w:rsidRPr="00367EE4" w14:paraId="395D3D71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CB9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tr w:rsidR="00633361" w:rsidRPr="00367EE4" w14:paraId="432DF22A" w14:textId="77777777" w:rsidTr="00F57A51">
        <w:trPr>
          <w:trHeight w:val="2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ECD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tr w:rsidR="00633361" w:rsidRPr="00367EE4" w14:paraId="02511779" w14:textId="77777777" w:rsidTr="00F57A51">
        <w:trPr>
          <w:trHeight w:val="3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63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7BFE281D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055D25A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773B42A" w14:textId="77777777" w:rsidR="00633361" w:rsidRPr="00367EE4" w:rsidRDefault="00633361" w:rsidP="00633361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val="ru-RU"/>
        </w:rPr>
      </w:pPr>
      <w:r w:rsidRPr="00367E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val="ru-RU"/>
        </w:rPr>
        <w:t>ТАБЛИЦА 2 :  Текущие расходы (если имеются)</w:t>
      </w:r>
    </w:p>
    <w:p w14:paraId="0CD39790" w14:textId="77777777" w:rsidR="00633361" w:rsidRPr="00367EE4" w:rsidRDefault="00633361" w:rsidP="00633361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  <w:lang w:val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633361" w:rsidRPr="00367EE4" w14:paraId="2F4CD2F6" w14:textId="77777777" w:rsidTr="00F57A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1CCC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Перечень расходных материалов </w:t>
            </w:r>
            <w:r w:rsidRPr="00367EE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(Включая быстро движущиеся части, если имеются)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B6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  <w:p w14:paraId="018DE83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Расчетный средний расход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966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  <w:p w14:paraId="32F98DF7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EDA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EE9E08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4C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597792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Общая стоимость  </w:t>
            </w:r>
          </w:p>
        </w:tc>
      </w:tr>
      <w:tr w:rsidR="00633361" w:rsidRPr="00367EE4" w14:paraId="503D133E" w14:textId="77777777" w:rsidTr="00F57A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6AD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67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28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86F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7E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367EE4" w14:paraId="60A50F2B" w14:textId="77777777" w:rsidTr="00F57A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1B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123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5FF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24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A06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367EE4" w14:paraId="4E1A54DD" w14:textId="77777777" w:rsidTr="00F57A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067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BF4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5FE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FC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13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367EE4" w14:paraId="0DA1C101" w14:textId="77777777" w:rsidTr="00F57A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7B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54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F0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7A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B18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367EE4" w14:paraId="7B8C36F6" w14:textId="77777777" w:rsidTr="00F57A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93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F50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E96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0F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7F1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4D258755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3C5AD68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19A4D57" w14:textId="77777777" w:rsidR="00633361" w:rsidRPr="00367EE4" w:rsidRDefault="00633361" w:rsidP="00633361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</w:pPr>
      <w:r w:rsidRPr="00367EE4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ТАБЛИЦА 3 : Предложение по выполнению  других условий и  соответствующих требований </w:t>
      </w:r>
    </w:p>
    <w:p w14:paraId="5795E549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33361" w:rsidRPr="00367EE4" w14:paraId="279B9981" w14:textId="77777777" w:rsidTr="00F57A51">
        <w:trPr>
          <w:trHeight w:val="383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D4" w14:textId="77777777" w:rsidR="00633361" w:rsidRPr="00367EE4" w:rsidRDefault="00633361" w:rsidP="00F57A51">
            <w:pPr>
              <w:ind w:firstLine="7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  <w:p w14:paraId="45C19B7B" w14:textId="77777777" w:rsidR="00633361" w:rsidRPr="00367EE4" w:rsidRDefault="00633361" w:rsidP="00F57A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Другая информация, касающаяся нашего Предложения: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1C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  <w:p w14:paraId="72C26B4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7E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Ваш ответ</w:t>
            </w:r>
          </w:p>
        </w:tc>
      </w:tr>
      <w:tr w:rsidR="00633361" w:rsidRPr="00633361" w14:paraId="7CB5F251" w14:textId="77777777" w:rsidTr="00F57A51">
        <w:trPr>
          <w:trHeight w:val="382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19B" w14:textId="77777777" w:rsidR="00633361" w:rsidRPr="00367EE4" w:rsidRDefault="00633361" w:rsidP="00F57A51">
            <w:pPr>
              <w:ind w:firstLine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5AF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67E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Да</w:t>
            </w:r>
            <w:r w:rsidRPr="00367E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367E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мы выполним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444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Нет, мы не выполним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871" w14:textId="77777777" w:rsidR="00633361" w:rsidRPr="00367EE4" w:rsidRDefault="00633361" w:rsidP="00F57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633361" w:rsidRPr="00633361" w14:paraId="7730506B" w14:textId="77777777" w:rsidTr="00F57A51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E0143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Предельный срок поставки и выполнения работ – 6 недель после подписания договора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0A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D2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A03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7FF7DFB5" w14:textId="77777777" w:rsidTr="00F57A51">
        <w:trPr>
          <w:trHeight w:val="5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A187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Подтверждение привлечения квалифицированных работников для выполнения всех строительно-монтажных работ. В том числе:</w:t>
            </w:r>
          </w:p>
          <w:p w14:paraId="33D9C0AF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Бригадир, 1 чел.: образование и опыт работы в области строительства не менее 5 лет, 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наличие соответствующих 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сертификатов/удостоверений.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48A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93C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17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5F364176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E2CC5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kern w:val="28"/>
                <w:sz w:val="22"/>
                <w:szCs w:val="22"/>
                <w:lang w:val="ru-RU"/>
              </w:rPr>
              <w:t>Соглашение о принятии Общих положений и условий ПРООН стандартных контрактов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1E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FA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0B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5F814C2D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A294E" w14:textId="77777777" w:rsidR="00633361" w:rsidRPr="00367EE4" w:rsidRDefault="00633361" w:rsidP="00F57A51">
            <w:pPr>
              <w:rPr>
                <w:rFonts w:asciiTheme="minorHAnsi" w:hAnsiTheme="minorHAnsi" w:cstheme="minorHAnsi"/>
                <w:kern w:val="28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Предоставление гарантийного срока на используемый строительный материал (не менее 1 года) и выполняемые работы (не менее 1 года)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C3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A3B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9DF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367EE4" w14:paraId="0E29F6C5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45514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Срок действия предложения – 60 дней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57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CA4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96D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361" w:rsidRPr="00633361" w14:paraId="2BC7D024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C9192" w14:textId="77777777" w:rsidR="00633361" w:rsidRPr="00367EE4" w:rsidRDefault="00633361" w:rsidP="00F57A51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Согласие на доставку строительного материала до места проведения работ: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31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9C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472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74926829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8D00B" w14:textId="77777777" w:rsidR="00633361" w:rsidRPr="00367EE4" w:rsidRDefault="00633361" w:rsidP="00F57A5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Подтверждение, что бытовые отходы и мусор с объекта будут удалены и использованы в соответствии с казахстанским законодательством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D1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6BE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13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7B05839A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2E408" w14:textId="77777777" w:rsidR="00633361" w:rsidRPr="00367EE4" w:rsidRDefault="00633361" w:rsidP="00F57A5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Подтверждение, что Подрядчик предоставит все оборудование, инструменты, технологии, топливо и 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смазочные материалы для всех рабочих мест во время выполнения для качественной работы до конца завершения работ и подписания актов выполненных работ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98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D7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07B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0DA39748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6B424" w14:textId="77777777" w:rsidR="00633361" w:rsidRPr="00367EE4" w:rsidRDefault="00633361" w:rsidP="00F57A5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Подтверждение, что все оборудование, инструменты и транспортные средства Подрядчика будут находиться в рабочем состоянии и безопасны в эксплуатации их при работе в полевых условиях; Подрядчик несет ответственность за все затраты на приобретение оборудования, машин и транспортных средств, в том числе их техническое обслуживание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308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E75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59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79DC4F5A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F6345" w14:textId="77777777" w:rsidR="00633361" w:rsidRPr="00367EE4" w:rsidRDefault="00633361" w:rsidP="00F57A5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Подтверждение, что Подрядчик будет нести расходы по немедленной замене оборудования, инструментов и транспортных средств, и другого оборудования, в случае повреждения, потери, всего технического ремонта оборудования и транспортных средств Исполнителя должны выполняться в нерабочее время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E29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A8C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39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33361" w:rsidRPr="00633361" w14:paraId="78FE3748" w14:textId="77777777" w:rsidTr="00F57A51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D17B3" w14:textId="77777777" w:rsidR="00633361" w:rsidRPr="00367EE4" w:rsidRDefault="00633361" w:rsidP="00F57A5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Подтверждение, что Подрядчик обеспечит предоставление жилья, питания и медицинского обслуживания, а также электричество, воду и телефон, доставк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у</w:t>
            </w:r>
            <w:r w:rsidRPr="00367EE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сотрудников к месту работы и в процессе работы для всех вовлеченных сотрудников.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600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BC6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99A" w14:textId="77777777" w:rsidR="00633361" w:rsidRPr="00367EE4" w:rsidRDefault="00633361" w:rsidP="00F57A5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4B9BCA27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2A723E5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118C6FB" w14:textId="77777777" w:rsidR="00633361" w:rsidRPr="00367EE4" w:rsidRDefault="00633361" w:rsidP="0063336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sz w:val="22"/>
          <w:szCs w:val="22"/>
          <w:lang w:val="ru-RU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</w:t>
      </w:r>
    </w:p>
    <w:p w14:paraId="3E966D44" w14:textId="77777777" w:rsidR="00633361" w:rsidRPr="00367EE4" w:rsidRDefault="00633361" w:rsidP="0063336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BEA9AA1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23ACC8E" w14:textId="77777777" w:rsidR="00633361" w:rsidRPr="00367EE4" w:rsidRDefault="00633361" w:rsidP="0063336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4C65B07" w14:textId="77777777" w:rsidR="00633361" w:rsidRPr="00367EE4" w:rsidRDefault="00633361" w:rsidP="00633361">
      <w:pPr>
        <w:ind w:left="3960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i/>
          <w:iCs/>
          <w:sz w:val="22"/>
          <w:szCs w:val="22"/>
          <w:lang w:val="ru-RU"/>
        </w:rPr>
        <w:t>[Имя и подпись уполномоченного лица]</w:t>
      </w:r>
    </w:p>
    <w:p w14:paraId="489EBD30" w14:textId="77777777" w:rsidR="00633361" w:rsidRPr="00367EE4" w:rsidRDefault="00633361" w:rsidP="00633361">
      <w:pPr>
        <w:ind w:left="3960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i/>
          <w:iCs/>
          <w:sz w:val="22"/>
          <w:szCs w:val="22"/>
          <w:lang w:val="ru-RU"/>
        </w:rPr>
        <w:t>[Должность]</w:t>
      </w:r>
    </w:p>
    <w:p w14:paraId="0CCCA345" w14:textId="77777777" w:rsidR="00633361" w:rsidRPr="00367EE4" w:rsidRDefault="00633361" w:rsidP="00633361">
      <w:pPr>
        <w:ind w:left="3960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  <w:r w:rsidRPr="00367EE4">
        <w:rPr>
          <w:rFonts w:asciiTheme="minorHAnsi" w:hAnsiTheme="minorHAnsi" w:cstheme="minorHAnsi"/>
          <w:i/>
          <w:iCs/>
          <w:sz w:val="22"/>
          <w:szCs w:val="22"/>
          <w:lang w:val="ru-RU"/>
        </w:rPr>
        <w:t>[Дата]</w:t>
      </w:r>
    </w:p>
    <w:p w14:paraId="21A056D3" w14:textId="77777777" w:rsidR="00633361" w:rsidRPr="00367EE4" w:rsidRDefault="00633361" w:rsidP="00633361">
      <w:pPr>
        <w:ind w:left="3960"/>
        <w:rPr>
          <w:rFonts w:asciiTheme="minorHAnsi" w:hAnsiTheme="minorHAnsi" w:cstheme="minorHAnsi"/>
          <w:i/>
          <w:iCs/>
          <w:sz w:val="22"/>
          <w:szCs w:val="22"/>
          <w:lang w:val="ru-RU"/>
        </w:rPr>
      </w:pPr>
    </w:p>
    <w:p w14:paraId="1F2F9E71" w14:textId="77777777" w:rsidR="00F53160" w:rsidRDefault="00F53160">
      <w:bookmarkStart w:id="0" w:name="_GoBack"/>
      <w:bookmarkEnd w:id="0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9ECF" w14:textId="77777777" w:rsidR="00633361" w:rsidRDefault="00633361" w:rsidP="00633361">
      <w:r>
        <w:separator/>
      </w:r>
    </w:p>
  </w:endnote>
  <w:endnote w:type="continuationSeparator" w:id="0">
    <w:p w14:paraId="559D4C94" w14:textId="77777777" w:rsidR="00633361" w:rsidRDefault="00633361" w:rsidP="0063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DC98" w14:textId="77777777" w:rsidR="00633361" w:rsidRDefault="00633361" w:rsidP="00633361">
      <w:r>
        <w:separator/>
      </w:r>
    </w:p>
  </w:footnote>
  <w:footnote w:type="continuationSeparator" w:id="0">
    <w:p w14:paraId="26F72F39" w14:textId="77777777" w:rsidR="00633361" w:rsidRDefault="00633361" w:rsidP="00633361">
      <w:r>
        <w:continuationSeparator/>
      </w:r>
    </w:p>
  </w:footnote>
  <w:footnote w:id="1">
    <w:p w14:paraId="7BCA07DA" w14:textId="77777777" w:rsidR="00633361" w:rsidRPr="006E10BE" w:rsidRDefault="00633361" w:rsidP="00633361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AA7A0D">
        <w:rPr>
          <w:lang w:val="ru-RU"/>
        </w:rPr>
        <w:t xml:space="preserve"> </w:t>
      </w:r>
      <w:r>
        <w:rPr>
          <w:i/>
          <w:iCs/>
          <w:snapToGrid w:val="0"/>
          <w:lang w:val="ru-RU"/>
        </w:rPr>
        <w:t>Данная форма</w:t>
      </w:r>
      <w:r w:rsidRPr="00AA7A0D">
        <w:rPr>
          <w:i/>
          <w:iCs/>
          <w:snapToGrid w:val="0"/>
          <w:lang w:val="ru-RU"/>
        </w:rPr>
        <w:t xml:space="preserve"> служит руководством для поставщик</w:t>
      </w:r>
      <w:r>
        <w:rPr>
          <w:i/>
          <w:iCs/>
          <w:snapToGrid w:val="0"/>
          <w:lang w:val="ru-RU"/>
        </w:rPr>
        <w:t>ов</w:t>
      </w:r>
      <w:r w:rsidRPr="00AA7A0D">
        <w:rPr>
          <w:i/>
          <w:iCs/>
          <w:snapToGrid w:val="0"/>
          <w:lang w:val="ru-RU"/>
        </w:rPr>
        <w:t xml:space="preserve"> при подготовке </w:t>
      </w:r>
      <w:r>
        <w:rPr>
          <w:i/>
          <w:iCs/>
          <w:snapToGrid w:val="0"/>
          <w:lang w:val="ru-RU"/>
        </w:rPr>
        <w:t>П</w:t>
      </w:r>
      <w:r w:rsidRPr="00AA7A0D">
        <w:rPr>
          <w:i/>
          <w:iCs/>
          <w:snapToGrid w:val="0"/>
          <w:lang w:val="ru-RU"/>
        </w:rPr>
        <w:t xml:space="preserve">редложения и </w:t>
      </w:r>
      <w:r>
        <w:rPr>
          <w:i/>
          <w:iCs/>
          <w:snapToGrid w:val="0"/>
          <w:lang w:val="ru-RU"/>
        </w:rPr>
        <w:t>шкалы цен.</w:t>
      </w:r>
    </w:p>
  </w:footnote>
  <w:footnote w:id="2">
    <w:p w14:paraId="109C1F8C" w14:textId="77777777" w:rsidR="00633361" w:rsidRPr="006E10BE" w:rsidRDefault="00633361" w:rsidP="00633361">
      <w:pPr>
        <w:pStyle w:val="FootnoteText"/>
        <w:rPr>
          <w:lang w:val="ru-RU"/>
        </w:rPr>
      </w:pPr>
      <w:r w:rsidRPr="007E6019">
        <w:rPr>
          <w:rStyle w:val="FootnoteReference"/>
          <w:i/>
          <w:iCs/>
        </w:rPr>
        <w:footnoteRef/>
      </w:r>
      <w:r w:rsidRPr="00AA7A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На </w:t>
      </w:r>
      <w:r>
        <w:rPr>
          <w:i/>
          <w:iCs/>
          <w:lang w:val="ru-RU"/>
        </w:rPr>
        <w:t>о</w:t>
      </w:r>
      <w:r w:rsidRPr="00053359">
        <w:rPr>
          <w:i/>
          <w:iCs/>
          <w:lang w:val="ru-RU"/>
        </w:rPr>
        <w:t>фициальн</w:t>
      </w:r>
      <w:r>
        <w:rPr>
          <w:i/>
          <w:iCs/>
          <w:lang w:val="ru-RU"/>
        </w:rPr>
        <w:t>ом</w:t>
      </w:r>
      <w:r w:rsidRPr="00053359">
        <w:rPr>
          <w:i/>
          <w:iCs/>
          <w:lang w:val="ru-RU"/>
        </w:rPr>
        <w:t xml:space="preserve"> бланк</w:t>
      </w:r>
      <w:r>
        <w:rPr>
          <w:i/>
          <w:iCs/>
          <w:lang w:val="ru-RU"/>
        </w:rPr>
        <w:t xml:space="preserve">е </w:t>
      </w:r>
      <w:r w:rsidRPr="00053359">
        <w:rPr>
          <w:i/>
          <w:iCs/>
          <w:lang w:val="ru-RU"/>
        </w:rPr>
        <w:t xml:space="preserve">необходимо указать контактные данные – адреса, </w:t>
      </w:r>
      <w:r>
        <w:rPr>
          <w:i/>
          <w:iCs/>
          <w:lang w:val="ru-RU"/>
        </w:rPr>
        <w:t xml:space="preserve">адрес </w:t>
      </w:r>
      <w:r w:rsidRPr="00053359">
        <w:rPr>
          <w:i/>
          <w:iCs/>
          <w:lang w:val="ru-RU"/>
        </w:rPr>
        <w:t>электронн</w:t>
      </w:r>
      <w:r>
        <w:rPr>
          <w:i/>
          <w:iCs/>
          <w:lang w:val="ru-RU"/>
        </w:rPr>
        <w:t>ой</w:t>
      </w:r>
      <w:r w:rsidRPr="00053359">
        <w:rPr>
          <w:i/>
          <w:iCs/>
          <w:lang w:val="ru-RU"/>
        </w:rPr>
        <w:t xml:space="preserve"> почт</w:t>
      </w:r>
      <w:r>
        <w:rPr>
          <w:i/>
          <w:iCs/>
          <w:lang w:val="ru-RU"/>
        </w:rPr>
        <w:t>ы</w:t>
      </w:r>
      <w:r w:rsidRPr="00053359">
        <w:rPr>
          <w:i/>
          <w:iCs/>
          <w:lang w:val="ru-RU"/>
        </w:rPr>
        <w:t xml:space="preserve">, номера телефона и факса – </w:t>
      </w:r>
      <w:r>
        <w:rPr>
          <w:i/>
          <w:iCs/>
          <w:lang w:val="ru-RU"/>
        </w:rPr>
        <w:t>в</w:t>
      </w:r>
      <w:r w:rsidRPr="00053359">
        <w:rPr>
          <w:i/>
          <w:iCs/>
          <w:lang w:val="ru-RU"/>
        </w:rPr>
        <w:t xml:space="preserve"> цел</w:t>
      </w:r>
      <w:r>
        <w:rPr>
          <w:i/>
          <w:iCs/>
          <w:lang w:val="ru-RU"/>
        </w:rPr>
        <w:t>ях</w:t>
      </w:r>
      <w:r w:rsidRPr="00053359">
        <w:rPr>
          <w:i/>
          <w:iCs/>
          <w:lang w:val="ru-RU"/>
        </w:rPr>
        <w:t xml:space="preserve"> проверки</w:t>
      </w:r>
      <w:r>
        <w:rPr>
          <w:i/>
          <w:iCs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61"/>
    <w:rsid w:val="00633361"/>
    <w:rsid w:val="0086306A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D1F"/>
  <w15:chartTrackingRefBased/>
  <w15:docId w15:val="{64DB67BA-EB6A-4E67-AA04-C098613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333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633361"/>
  </w:style>
  <w:style w:type="character" w:customStyle="1" w:styleId="FootnoteTextChar">
    <w:name w:val="Footnote Text Char"/>
    <w:basedOn w:val="DefaultParagraphFont"/>
    <w:link w:val="FootnoteText"/>
    <w:rsid w:val="0063336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AD273-7BCB-4BF0-BDE6-B7E65D663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373D0-1945-4593-A937-EEC51A4BC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A533-3741-459F-9D76-A3DC33D85506}">
  <ds:schemaRefs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2019-08-14T11:25:00Z</dcterms:created>
  <dcterms:modified xsi:type="dcterms:W3CDTF">2019-08-14T11:26:00Z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