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63AD" w14:textId="58533A21" w:rsidR="00D44647" w:rsidRPr="00D44647" w:rsidRDefault="00942C93" w:rsidP="00D44647">
      <w:pPr>
        <w:spacing w:after="0"/>
        <w:jc w:val="center"/>
        <w:rPr>
          <w:rStyle w:val="a4"/>
          <w:lang w:val="ru-RU"/>
        </w:rPr>
      </w:pPr>
      <w:r w:rsidRPr="00D44647">
        <w:rPr>
          <w:rStyle w:val="a4"/>
          <w:lang w:val="kk-KZ"/>
        </w:rPr>
        <w:t>Орталық Азия мен Ауғанстандағы «Жарық сәулесі» бастамасы</w:t>
      </w:r>
    </w:p>
    <w:p w14:paraId="0BE9F1D6" w14:textId="7C9977C3" w:rsidR="00D44647" w:rsidRDefault="00942C93" w:rsidP="00D44647">
      <w:pPr>
        <w:spacing w:after="0"/>
        <w:jc w:val="center"/>
        <w:rPr>
          <w:rStyle w:val="a4"/>
          <w:lang w:val="ru-RU"/>
        </w:rPr>
      </w:pPr>
      <w:r w:rsidRPr="00D44647">
        <w:rPr>
          <w:rStyle w:val="a4"/>
          <w:lang w:val="kk-KZ"/>
        </w:rPr>
        <w:t>Азаматтық қоғамның өңірлік консультативтік тобы</w:t>
      </w:r>
    </w:p>
    <w:p w14:paraId="26947624" w14:textId="74A37F8C" w:rsidR="00D44647" w:rsidRPr="00741962" w:rsidRDefault="00942C93" w:rsidP="00D44647">
      <w:pPr>
        <w:spacing w:after="0"/>
        <w:jc w:val="center"/>
        <w:rPr>
          <w:rStyle w:val="a4"/>
          <w:lang w:val="ru-RU"/>
        </w:rPr>
      </w:pPr>
      <w:r>
        <w:rPr>
          <w:rStyle w:val="a4"/>
          <w:lang w:val="kk-KZ"/>
        </w:rPr>
        <w:t>Ар-намыс кодексі</w:t>
      </w:r>
    </w:p>
    <w:p w14:paraId="35093575" w14:textId="4F41F1DD" w:rsidR="00AA605B" w:rsidRPr="00741962" w:rsidRDefault="00AA605B" w:rsidP="00D44647">
      <w:pPr>
        <w:pStyle w:val="a3"/>
        <w:jc w:val="center"/>
        <w:rPr>
          <w:rStyle w:val="a4"/>
          <w:lang w:val="ru-RU"/>
        </w:rPr>
      </w:pPr>
    </w:p>
    <w:p w14:paraId="7B26563C" w14:textId="2766F9FF" w:rsidR="00C5068A" w:rsidRDefault="00942C93" w:rsidP="00AA605B">
      <w:pPr>
        <w:jc w:val="both"/>
        <w:rPr>
          <w:rFonts w:cs="Calibri"/>
          <w:lang w:val="ru-RU"/>
        </w:rPr>
      </w:pPr>
      <w:r w:rsidRPr="00C5068A">
        <w:rPr>
          <w:rFonts w:cs="Calibri"/>
          <w:lang w:val="kk-KZ"/>
        </w:rPr>
        <w:t xml:space="preserve">Осы Ар-намыс кодексі Орталық Азия мен Ауғанстандағы "Жарық сәулесі" бастамасының азаматтық қоғамның өңірлік консультативтік тобының </w:t>
      </w:r>
      <w:r w:rsidRPr="00C5068A">
        <w:rPr>
          <w:rFonts w:cs="Calibri"/>
          <w:lang w:val="kk-KZ"/>
        </w:rPr>
        <w:t>(АҚ-ӨКТ) барлық мүшелерінің техникалық тапсырмаларда сипатталған өз функцияларын орындау шеңберінде жұмысына басшылық жасауға арналған. Ар-намыс кодексіне АҚ-ӨКТ-нің барлық мүшелері қол қоюы тиіс.</w:t>
      </w:r>
    </w:p>
    <w:p w14:paraId="6A9BB790" w14:textId="77777777" w:rsidR="00C5068A" w:rsidRPr="00C5068A" w:rsidRDefault="00C5068A" w:rsidP="00AA605B">
      <w:pPr>
        <w:jc w:val="both"/>
        <w:rPr>
          <w:rFonts w:cs="Calibri"/>
          <w:lang w:val="ru-RU"/>
        </w:rPr>
      </w:pPr>
    </w:p>
    <w:p w14:paraId="6FCC7E03" w14:textId="318B5D52" w:rsidR="00AA605B" w:rsidRPr="00C5068A" w:rsidRDefault="00942C93" w:rsidP="00AA605B">
      <w:pPr>
        <w:pStyle w:val="a3"/>
        <w:numPr>
          <w:ilvl w:val="0"/>
          <w:numId w:val="1"/>
        </w:numPr>
        <w:jc w:val="both"/>
        <w:rPr>
          <w:rStyle w:val="a4"/>
          <w:lang w:val="ru-RU"/>
        </w:rPr>
      </w:pPr>
      <w:bookmarkStart w:id="0" w:name="_Hlk40284932"/>
      <w:r w:rsidRPr="00C5068A">
        <w:rPr>
          <w:rStyle w:val="a4"/>
          <w:lang w:val="kk-KZ"/>
        </w:rPr>
        <w:t>Адал</w:t>
      </w:r>
      <w:bookmarkEnd w:id="0"/>
      <w:r w:rsidRPr="00C5068A">
        <w:rPr>
          <w:rStyle w:val="a4"/>
          <w:lang w:val="kk-KZ"/>
        </w:rPr>
        <w:t>, кәсіби, жауапкершілікпен және өзара құрметпен әрекет</w:t>
      </w:r>
      <w:r w:rsidRPr="00C5068A">
        <w:rPr>
          <w:rStyle w:val="a4"/>
          <w:lang w:val="kk-KZ"/>
        </w:rPr>
        <w:t xml:space="preserve"> ету</w:t>
      </w:r>
    </w:p>
    <w:p w14:paraId="130B3A92" w14:textId="77777777" w:rsidR="00AA605B" w:rsidRPr="00C5068A" w:rsidRDefault="00AA605B" w:rsidP="00AA605B">
      <w:pPr>
        <w:pStyle w:val="a3"/>
        <w:jc w:val="both"/>
        <w:rPr>
          <w:rStyle w:val="a4"/>
          <w:lang w:val="ru-RU"/>
        </w:rPr>
      </w:pPr>
    </w:p>
    <w:p w14:paraId="30D2A1B8" w14:textId="60239849" w:rsidR="00AA605B" w:rsidRPr="00C5068A" w:rsidRDefault="00942C93" w:rsidP="00AA605B">
      <w:pPr>
        <w:pStyle w:val="a3"/>
        <w:numPr>
          <w:ilvl w:val="0"/>
          <w:numId w:val="2"/>
        </w:numPr>
        <w:jc w:val="both"/>
        <w:rPr>
          <w:rFonts w:cs="Calibri"/>
          <w:lang w:val="ru-RU"/>
        </w:rPr>
      </w:pPr>
      <w:r w:rsidRPr="00C5068A">
        <w:rPr>
          <w:rFonts w:cs="Calibri"/>
          <w:b/>
          <w:bCs/>
          <w:lang w:val="kk-KZ"/>
        </w:rPr>
        <w:t>Адалдық:</w:t>
      </w:r>
      <w:r w:rsidRPr="00C5068A">
        <w:rPr>
          <w:rFonts w:cs="Calibri"/>
          <w:lang w:val="kk-KZ"/>
        </w:rPr>
        <w:t xml:space="preserve"> АҚ-ӨКТ-нің мүшелері жеке пайдасын ескерместен әрекет етеді және Орталық Азия мен Ауғанстандағы "Жарық сәулесі" бастамасының ең үздік мүдделеріне жауап беретін шешімдерді ғана қабылдайтын болады.</w:t>
      </w:r>
    </w:p>
    <w:p w14:paraId="1B92EFE8" w14:textId="77777777" w:rsidR="00AA605B" w:rsidRPr="00C5068A" w:rsidRDefault="00AA605B" w:rsidP="00AA605B">
      <w:pPr>
        <w:pStyle w:val="a3"/>
        <w:jc w:val="both"/>
        <w:rPr>
          <w:rFonts w:cs="Calibri"/>
          <w:highlight w:val="yellow"/>
          <w:lang w:val="ru-RU"/>
        </w:rPr>
      </w:pPr>
    </w:p>
    <w:p w14:paraId="54426578" w14:textId="221FD31B" w:rsidR="00741962" w:rsidRPr="00741962" w:rsidRDefault="00942C93" w:rsidP="00741962">
      <w:pPr>
        <w:pStyle w:val="a3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  <w:lang w:val="kk-KZ"/>
        </w:rPr>
        <w:t xml:space="preserve">b. </w:t>
      </w:r>
      <w:r w:rsidRPr="00741962">
        <w:rPr>
          <w:rFonts w:cs="Calibri"/>
          <w:bCs/>
          <w:lang w:val="kk-KZ"/>
        </w:rPr>
        <w:tab/>
      </w:r>
      <w:r w:rsidRPr="00741962">
        <w:rPr>
          <w:rFonts w:cs="Calibri"/>
          <w:b/>
          <w:lang w:val="kk-KZ"/>
        </w:rPr>
        <w:t>Кәсіпқойлық:</w:t>
      </w:r>
      <w:r w:rsidRPr="00741962">
        <w:rPr>
          <w:rFonts w:cs="Calibri"/>
          <w:bCs/>
          <w:lang w:val="kk-KZ"/>
        </w:rPr>
        <w:t xml:space="preserve"> АҚ-ӨКТ-де тағайындау әйелдер</w:t>
      </w:r>
      <w:r w:rsidRPr="00741962">
        <w:rPr>
          <w:rFonts w:cs="Calibri"/>
          <w:bCs/>
          <w:lang w:val="kk-KZ"/>
        </w:rPr>
        <w:t xml:space="preserve"> мен қыздарға қатысты зорлық-зомбылықты (ӘҚҚЗ) жою саласындағы олардың кәсіби тәжірибесі мен білімі, зиянды практикалар (ЗП), гендерлік теңдік және әйелдер құқықтары негізінде жүргізіледі. Топ мүшелері инновациялық ойлау қабілетіне ие және өңірлік бағдарла</w:t>
      </w:r>
      <w:r w:rsidRPr="00741962">
        <w:rPr>
          <w:rFonts w:cs="Calibri"/>
          <w:bCs/>
          <w:lang w:val="kk-KZ"/>
        </w:rPr>
        <w:t xml:space="preserve">маға адал және тиімді кеңес береді және қолдау көрсетеді деп күтілуде. </w:t>
      </w:r>
    </w:p>
    <w:p w14:paraId="123B9B1E" w14:textId="77777777" w:rsidR="00741962" w:rsidRPr="00741962" w:rsidRDefault="00741962" w:rsidP="00741962">
      <w:pPr>
        <w:pStyle w:val="a3"/>
        <w:jc w:val="both"/>
        <w:rPr>
          <w:rFonts w:cs="Calibri"/>
          <w:bCs/>
          <w:lang w:val="ru-RU"/>
        </w:rPr>
      </w:pPr>
    </w:p>
    <w:p w14:paraId="13BA7E4E" w14:textId="748279AF" w:rsidR="00741962" w:rsidRPr="00741962" w:rsidRDefault="00942C93" w:rsidP="00741962">
      <w:pPr>
        <w:pStyle w:val="a3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  <w:lang w:val="kk-KZ"/>
        </w:rPr>
        <w:t xml:space="preserve">c. </w:t>
      </w:r>
      <w:r w:rsidRPr="00741962">
        <w:rPr>
          <w:rFonts w:cs="Calibri"/>
          <w:bCs/>
          <w:lang w:val="kk-KZ"/>
        </w:rPr>
        <w:tab/>
      </w:r>
      <w:r w:rsidRPr="00741962">
        <w:rPr>
          <w:rFonts w:cs="Calibri"/>
          <w:b/>
          <w:lang w:val="kk-KZ"/>
        </w:rPr>
        <w:t>Жауапкершілік:</w:t>
      </w:r>
      <w:r w:rsidRPr="00741962">
        <w:rPr>
          <w:rFonts w:cs="Calibri"/>
          <w:bCs/>
          <w:lang w:val="kk-KZ"/>
        </w:rPr>
        <w:t xml:space="preserve"> АҚ-ӨКТ-нің мүшелері Орталық Азия мен Ауғанстандағы азаматтық қоғамның мүшелері ретінде "Жарық сәулесі" бастамасына қатысады. Кеңес мүшелері өз міндеттерін орындау ү</w:t>
      </w:r>
      <w:r w:rsidRPr="00741962">
        <w:rPr>
          <w:rFonts w:cs="Calibri"/>
          <w:bCs/>
          <w:lang w:val="kk-KZ"/>
        </w:rPr>
        <w:t>шін жауапкершілікті өзіне алады және техникалық тапсырмаларда баяндалған өз міндеттемелерін орындайды. АҚ-ӨКТ сондай-ақ стратегиялық бағыт пен көшбасшылықты қамтамасыз етуге жауап беретін "Жарық сәулесі" бастамасының өңірлік көпжақты басқару комитетінде жұ</w:t>
      </w:r>
      <w:r w:rsidRPr="00741962">
        <w:rPr>
          <w:rFonts w:cs="Calibri"/>
          <w:bCs/>
          <w:lang w:val="kk-KZ"/>
        </w:rPr>
        <w:t xml:space="preserve">мыс істеу үшін өз мүшелерін тағайындайды. </w:t>
      </w:r>
    </w:p>
    <w:p w14:paraId="748C36D9" w14:textId="77777777" w:rsidR="00741962" w:rsidRPr="00741962" w:rsidRDefault="00741962" w:rsidP="00741962">
      <w:pPr>
        <w:pStyle w:val="a3"/>
        <w:jc w:val="both"/>
        <w:rPr>
          <w:rFonts w:cs="Calibri"/>
          <w:bCs/>
          <w:lang w:val="ru-RU"/>
        </w:rPr>
      </w:pPr>
    </w:p>
    <w:p w14:paraId="6CF5C10B" w14:textId="39713EA6" w:rsidR="00AA605B" w:rsidRPr="007C7494" w:rsidRDefault="00942C93" w:rsidP="00741962">
      <w:pPr>
        <w:pStyle w:val="a3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  <w:lang w:val="kk-KZ"/>
        </w:rPr>
        <w:t xml:space="preserve">d. </w:t>
      </w:r>
      <w:r w:rsidRPr="00741962">
        <w:rPr>
          <w:rFonts w:cs="Calibri"/>
          <w:bCs/>
          <w:lang w:val="kk-KZ"/>
        </w:rPr>
        <w:tab/>
      </w:r>
      <w:r w:rsidRPr="00741962">
        <w:rPr>
          <w:rFonts w:cs="Calibri"/>
          <w:b/>
          <w:lang w:val="kk-KZ"/>
        </w:rPr>
        <w:t>Өзара</w:t>
      </w:r>
      <w:r w:rsidRPr="00741962">
        <w:rPr>
          <w:rFonts w:cs="Calibri"/>
          <w:b/>
          <w:lang w:val="kk-KZ"/>
        </w:rPr>
        <w:t xml:space="preserve"> құрмет:</w:t>
      </w:r>
      <w:r w:rsidRPr="00741962">
        <w:rPr>
          <w:rFonts w:cs="Calibri"/>
          <w:bCs/>
          <w:lang w:val="kk-KZ"/>
        </w:rPr>
        <w:t xml:space="preserve"> АҚ-ӨКТ-нің мүшелері бірлесіп жұмыс істеп, әртүрлі көзқарасқа құрмет көрсетуі тиіс. Топ мүшелері бір-біріне құрметпен қарауға және топ шешімдерін қолдауға тиіс.</w:t>
      </w:r>
    </w:p>
    <w:p w14:paraId="11E30FF2" w14:textId="77777777" w:rsidR="00741962" w:rsidRPr="00741962" w:rsidRDefault="00741962" w:rsidP="00741962">
      <w:pPr>
        <w:pStyle w:val="a3"/>
        <w:jc w:val="both"/>
        <w:rPr>
          <w:lang w:val="ru-RU"/>
        </w:rPr>
      </w:pPr>
    </w:p>
    <w:p w14:paraId="2AFBBA95" w14:textId="0C4DE601" w:rsidR="00AA605B" w:rsidRPr="00BA4F35" w:rsidRDefault="00942C93" w:rsidP="00AA605B">
      <w:pPr>
        <w:pStyle w:val="a3"/>
        <w:numPr>
          <w:ilvl w:val="0"/>
          <w:numId w:val="1"/>
        </w:numPr>
        <w:jc w:val="both"/>
        <w:rPr>
          <w:rStyle w:val="a4"/>
          <w:lang w:val="ru-RU"/>
        </w:rPr>
      </w:pPr>
      <w:r>
        <w:rPr>
          <w:rStyle w:val="a4"/>
          <w:lang w:val="kk-KZ"/>
        </w:rPr>
        <w:t xml:space="preserve">Гендерлік теңдікке жәрдемдесу </w:t>
      </w:r>
    </w:p>
    <w:p w14:paraId="2DACB9AB" w14:textId="131FC1CF" w:rsidR="00BA4F35" w:rsidRDefault="00942C93" w:rsidP="00AA605B">
      <w:pPr>
        <w:jc w:val="both"/>
        <w:rPr>
          <w:rFonts w:cs="Calibri"/>
          <w:lang w:val="ru-RU"/>
        </w:rPr>
      </w:pPr>
      <w:r w:rsidRPr="00BA4F35">
        <w:rPr>
          <w:rFonts w:cs="Calibri"/>
          <w:lang w:val="kk-KZ"/>
        </w:rPr>
        <w:t xml:space="preserve">"Жарық сәулесі" бастамасының мақсаты әйелдер мен қыздарға қатысты зорлық-зомбылықты (ӘҚҚЗ) жою жолымен гендерлік теңдікке жәрдемдесу болып табылады. Сондықтан бастаманың дұрыс жұмыс істеуі мен табысы үшін, сондай-ақ оның тұтастығы мен жақсы беделін қолдау </w:t>
      </w:r>
      <w:r w:rsidRPr="00BA4F35">
        <w:rPr>
          <w:rFonts w:cs="Calibri"/>
          <w:lang w:val="kk-KZ"/>
        </w:rPr>
        <w:t>үшін</w:t>
      </w:r>
      <w:r w:rsidRPr="00BA4F35">
        <w:rPr>
          <w:rFonts w:cs="Calibri"/>
          <w:lang w:val="kk-KZ"/>
        </w:rPr>
        <w:t xml:space="preserve"> оның мүшелері гендерлік теңдік пен әйелдердің кәсіби және жеке өмірінде құқықтары қағидаттарын ұстануы өте маңызды. Бұл адамның саналуандылығын оның барлық нысандарында құрметтеуді, гендерлік теңдікті насихаттауды, гендерлік зорлық-зомбылықтың (ГЗ) ба</w:t>
      </w:r>
      <w:r w:rsidRPr="00BA4F35">
        <w:rPr>
          <w:rFonts w:cs="Calibri"/>
          <w:lang w:val="kk-KZ"/>
        </w:rPr>
        <w:t>рлық нысандарымен және зиянды практикалармен күресуді, сондай-ақ кез келген жағдайда басқа адамдардың құқықтарын тану мен қорғауды қамтиды, бірақ шектелмейді.</w:t>
      </w:r>
    </w:p>
    <w:p w14:paraId="302ABDD3" w14:textId="730CFCA0" w:rsidR="00BA4F35" w:rsidRDefault="00BA4F35" w:rsidP="00AA605B">
      <w:pPr>
        <w:jc w:val="both"/>
        <w:rPr>
          <w:rFonts w:cs="Calibri"/>
          <w:lang w:val="ru-RU"/>
        </w:rPr>
      </w:pPr>
    </w:p>
    <w:p w14:paraId="54447B89" w14:textId="77777777" w:rsidR="004E27BA" w:rsidRPr="00BA4F35" w:rsidRDefault="004E27BA" w:rsidP="00AA605B">
      <w:pPr>
        <w:jc w:val="both"/>
        <w:rPr>
          <w:rFonts w:cs="Calibri"/>
          <w:lang w:val="ru-RU"/>
        </w:rPr>
      </w:pPr>
    </w:p>
    <w:p w14:paraId="0D08E57E" w14:textId="093140C6" w:rsidR="00AA605B" w:rsidRPr="00BA4F35" w:rsidRDefault="00942C93" w:rsidP="00AA605B">
      <w:pPr>
        <w:pStyle w:val="a3"/>
        <w:numPr>
          <w:ilvl w:val="0"/>
          <w:numId w:val="1"/>
        </w:numPr>
        <w:jc w:val="both"/>
        <w:rPr>
          <w:rStyle w:val="a4"/>
          <w:lang w:val="en-GB"/>
        </w:rPr>
      </w:pPr>
      <w:r>
        <w:rPr>
          <w:rStyle w:val="a4"/>
          <w:lang w:val="kk-KZ"/>
        </w:rPr>
        <w:lastRenderedPageBreak/>
        <w:t xml:space="preserve">Мүдделер қақтығысы </w:t>
      </w:r>
    </w:p>
    <w:p w14:paraId="2CFE7D4C" w14:textId="4858CEFB" w:rsidR="00E04028" w:rsidRPr="00E04028" w:rsidRDefault="00942C93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kk-KZ"/>
        </w:rPr>
        <w:t xml:space="preserve">АҚ-ӨКТ мүшелері өз функцияларын өз ұйымдарының немесе жеке мердігерлердің өкілдері ретінде емес, дербес түрде орындайды. Осылайша, АҚ-ӨКТ қабылдайтын барлық шешімдер мен іс-әрекеттер өңірлік бағдарламаның ең үздік мүдделеріне, "Жарық сәулесі" бастамасының </w:t>
      </w:r>
      <w:r w:rsidRPr="00E04028">
        <w:rPr>
          <w:rFonts w:cs="Calibri"/>
          <w:lang w:val="kk-KZ"/>
        </w:rPr>
        <w:t xml:space="preserve">мақсаттары мен міндеттеріне негізделуі тиіс. </w:t>
      </w:r>
    </w:p>
    <w:p w14:paraId="04CE5E8F" w14:textId="401BF848" w:rsidR="00E04028" w:rsidRPr="00E04028" w:rsidRDefault="00942C93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kk-KZ"/>
        </w:rPr>
        <w:t>Егер қатысушы нәтижесі "Жарық сәулесі" бастамасы мен өңірлік бағдарламаның тұтастығына нұқсан келтіріп, қатысушының өзі, оның отбасы, достары мен туыстары үшін, сондай-ақ қатысушының ұйымы үшін жеке пайда әкеле</w:t>
      </w:r>
      <w:r w:rsidRPr="00E04028">
        <w:rPr>
          <w:rFonts w:cs="Calibri"/>
          <w:lang w:val="kk-KZ"/>
        </w:rPr>
        <w:t>тін жағдайға тап болса, онда бұл мүдделер қақтығысын білдіреді. Мүдделер қақтығысы бар қатысушы АҚ-ӨКТ хатшылығына мүдделер қақтығысы туралы дәлелсіз кідіріссіз мәлімдеуі</w:t>
      </w:r>
      <w:r>
        <w:rPr>
          <w:rStyle w:val="a8"/>
          <w:rFonts w:cs="Calibri"/>
          <w:lang w:val="ru-RU"/>
        </w:rPr>
        <w:footnoteReference w:id="1"/>
      </w:r>
      <w:r w:rsidRPr="00E04028">
        <w:rPr>
          <w:rFonts w:cs="Calibri"/>
          <w:lang w:val="kk-KZ"/>
        </w:rPr>
        <w:t xml:space="preserve"> және жеке пайдасына және/немесе оның ұйымының, отбасының, достарының немесе басқа да</w:t>
      </w:r>
      <w:r w:rsidRPr="00E04028">
        <w:rPr>
          <w:rFonts w:cs="Calibri"/>
          <w:lang w:val="kk-KZ"/>
        </w:rPr>
        <w:t xml:space="preserve"> қарым-қатынастарының пайдасына әкелуі мүмкін кез келген одан әрі талқылаулардан немесе шешімдерден шеттетілуі тиіс.</w:t>
      </w:r>
    </w:p>
    <w:p w14:paraId="1D96187A" w14:textId="217BF52F" w:rsidR="00E04028" w:rsidRDefault="00942C93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kk-KZ"/>
        </w:rPr>
        <w:t>Егер мүше ұйымы "Жарық сәулесі" бастамасы үшін орындаушы әріптес немесе жеке консультант/мердігер ретінде келісімшарт жасасса, онда бұл мүш</w:t>
      </w:r>
      <w:r w:rsidRPr="00E04028">
        <w:rPr>
          <w:rFonts w:cs="Calibri"/>
          <w:lang w:val="kk-KZ"/>
        </w:rPr>
        <w:t>е өз ұйымының қызметіне мониторинг жүргізу жөніндегі қандай да бір іс-шараларды жүргізуден бас тартуы тиіс. Сондай-ақ мүше оның ұйымының орындаушы әріптес ретінде қатысуына байланысты қандай да бір ұсынымдарды шығарудан босатылуы тиіс.</w:t>
      </w:r>
    </w:p>
    <w:p w14:paraId="435EB5C5" w14:textId="77777777" w:rsidR="00E04028" w:rsidRPr="00E04028" w:rsidRDefault="00E04028" w:rsidP="00E04028">
      <w:pPr>
        <w:jc w:val="both"/>
        <w:rPr>
          <w:rStyle w:val="a4"/>
          <w:lang w:val="ru-RU"/>
        </w:rPr>
      </w:pPr>
    </w:p>
    <w:p w14:paraId="302F3677" w14:textId="69D2054F" w:rsidR="00AA605B" w:rsidRPr="00343447" w:rsidRDefault="00942C93" w:rsidP="00AA605B">
      <w:pPr>
        <w:pStyle w:val="a3"/>
        <w:numPr>
          <w:ilvl w:val="0"/>
          <w:numId w:val="1"/>
        </w:numPr>
        <w:jc w:val="both"/>
        <w:rPr>
          <w:rStyle w:val="a4"/>
          <w:lang w:val="ru-RU"/>
        </w:rPr>
      </w:pPr>
      <w:r>
        <w:rPr>
          <w:rStyle w:val="a4"/>
          <w:lang w:val="kk-KZ"/>
        </w:rPr>
        <w:t>АҚ-ӨКТ қызметіне бе</w:t>
      </w:r>
      <w:r>
        <w:rPr>
          <w:rStyle w:val="a4"/>
          <w:lang w:val="kk-KZ"/>
        </w:rPr>
        <w:t>лсенді қатысу және үлес ҚОСУ</w:t>
      </w:r>
    </w:p>
    <w:p w14:paraId="79B40C08" w14:textId="78923310" w:rsidR="004E27BA" w:rsidRDefault="00942C93" w:rsidP="00AA605B">
      <w:pPr>
        <w:jc w:val="both"/>
        <w:rPr>
          <w:rFonts w:cs="Calibri"/>
          <w:lang w:val="ru-RU"/>
        </w:rPr>
      </w:pPr>
      <w:r w:rsidRPr="00343447">
        <w:rPr>
          <w:rFonts w:cs="Calibri"/>
          <w:lang w:val="kk-KZ"/>
        </w:rPr>
        <w:t xml:space="preserve">АҚ-ӨКТ-ге мүшелікті осы мүше бере немесе қайта тағайындай алмайды. Осылайша, барлық мүшелер АҚ-ӨКТ-нің барлық жиналыстарына жеке қатысады және жыл сайынғы жұмыс жоспарларында келісілген тиісті міндеттерді орындайды деп күтілуде. </w:t>
      </w:r>
      <w:r w:rsidRPr="00343447">
        <w:rPr>
          <w:rFonts w:cs="Calibri"/>
          <w:lang w:val="kk-KZ"/>
        </w:rPr>
        <w:t>Мүшелердің АҚ-ӨКТ қызметіне кейде қатыса алмайтынын ескере отырып, бұл тұрақты негізде емес, ерекшелік ретінде жасалуы тиіс</w:t>
      </w:r>
      <w:r>
        <w:rPr>
          <w:rStyle w:val="a8"/>
          <w:rFonts w:cs="Calibri"/>
          <w:lang w:val="ru-RU"/>
        </w:rPr>
        <w:footnoteReference w:id="2"/>
      </w:r>
      <w:r w:rsidRPr="00343447">
        <w:rPr>
          <w:rFonts w:cs="Calibri"/>
          <w:lang w:val="kk-KZ"/>
        </w:rPr>
        <w:t xml:space="preserve">. </w:t>
      </w:r>
    </w:p>
    <w:p w14:paraId="4E905A28" w14:textId="0103612F" w:rsidR="00343447" w:rsidRDefault="00942C93" w:rsidP="00AA605B">
      <w:pPr>
        <w:jc w:val="both"/>
        <w:rPr>
          <w:rFonts w:cs="Calibri"/>
        </w:rPr>
      </w:pPr>
      <w:r w:rsidRPr="00343447">
        <w:rPr>
          <w:rFonts w:cs="Calibri"/>
          <w:lang w:val="kk-KZ"/>
        </w:rPr>
        <w:t xml:space="preserve">АҚ-ӨКТ-нің қызметіне өз үлесін қосудың қайта болмауы немесе қабілетсіздігі топтың басқа мүшелерімен осы тұлғаның мүшелігін қайта </w:t>
      </w:r>
      <w:r w:rsidRPr="00343447">
        <w:rPr>
          <w:rFonts w:cs="Calibri"/>
          <w:lang w:val="kk-KZ"/>
        </w:rPr>
        <w:t>қарауына</w:t>
      </w:r>
      <w:r w:rsidRPr="00343447">
        <w:rPr>
          <w:rFonts w:cs="Calibri"/>
          <w:lang w:val="kk-KZ"/>
        </w:rPr>
        <w:t xml:space="preserve"> түрткі болуы мүмкін. АҚ-ӨКТ мақсаттары үшін қайталама болмауы [төрт (4)] міндетті жыл сайынғы кеңестерде қатарынан [екі (2)] рет болмауы деп түсініледі. АҚ-ӨКТ мүшелері жыл сайын</w:t>
      </w:r>
      <w:bookmarkStart w:id="1" w:name="_GoBack"/>
      <w:bookmarkEnd w:id="1"/>
      <w:r w:rsidRPr="00343447">
        <w:rPr>
          <w:rFonts w:cs="Calibri"/>
          <w:lang w:val="kk-KZ"/>
        </w:rPr>
        <w:t>ғы кеңестерге виртуалды түрде қатыса алады.</w:t>
      </w:r>
    </w:p>
    <w:p w14:paraId="58504EB0" w14:textId="77777777" w:rsidR="00343447" w:rsidRPr="006F6569" w:rsidRDefault="00343447" w:rsidP="00AA605B">
      <w:pPr>
        <w:jc w:val="both"/>
        <w:rPr>
          <w:rFonts w:cs="Calibri"/>
        </w:rPr>
      </w:pPr>
    </w:p>
    <w:p w14:paraId="2FA711E8" w14:textId="1D7AFEC1" w:rsidR="00AA605B" w:rsidRPr="00343447" w:rsidRDefault="00942C93" w:rsidP="00AA605B">
      <w:pPr>
        <w:pStyle w:val="a3"/>
        <w:numPr>
          <w:ilvl w:val="0"/>
          <w:numId w:val="1"/>
        </w:numPr>
        <w:jc w:val="both"/>
        <w:rPr>
          <w:rStyle w:val="a4"/>
          <w:lang w:val="ru-RU"/>
        </w:rPr>
      </w:pPr>
      <w:r>
        <w:rPr>
          <w:rFonts w:cs="Calibri"/>
          <w:b/>
          <w:bCs/>
          <w:smallCaps/>
          <w:color w:val="4472C4"/>
          <w:spacing w:val="5"/>
          <w:lang w:val="kk-KZ"/>
        </w:rPr>
        <w:t>Орталық Азия мен Ауғанст</w:t>
      </w:r>
      <w:r>
        <w:rPr>
          <w:rFonts w:cs="Calibri"/>
          <w:b/>
          <w:bCs/>
          <w:smallCaps/>
          <w:color w:val="4472C4"/>
          <w:spacing w:val="5"/>
          <w:lang w:val="kk-KZ"/>
        </w:rPr>
        <w:t>андағы азаматтық қоғам өкілдігінде дербес әрекет ету</w:t>
      </w:r>
    </w:p>
    <w:p w14:paraId="23A3FDB4" w14:textId="7159BF7B" w:rsidR="00125512" w:rsidRPr="00125512" w:rsidRDefault="00942C93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kk-KZ"/>
        </w:rPr>
        <w:t>АҚ-ӨКТ мақсаты "Жарық сәулесі" бастамасының бүкіл бағдарламалық циклі бойы маңызды өкілдік етуді және азаматтық қоғамды тартуды қамтамасыз ету және бағдарламадан тыс тұрақтылықты қамтамасыз ету болып таб</w:t>
      </w:r>
      <w:r w:rsidRPr="00125512">
        <w:rPr>
          <w:rFonts w:cs="Calibri"/>
          <w:lang w:val="kk-KZ"/>
        </w:rPr>
        <w:t>ылады. БҰҰ АҚ-ӨКТ-ні құру мен оның жұмыс істеуін материалдық-техникалық қамтамасыз етуге жәрдемдессе, топтың өзі Үкіметпен, БҰҰ тұрақты үйлестірушісінің офисімен және олардың нұсқаулары бойынша емес, БҰҰ тартылған агенттіктерімен (RUNOs) ынтымақтастықта жұ</w:t>
      </w:r>
      <w:r w:rsidRPr="00125512">
        <w:rPr>
          <w:rFonts w:cs="Calibri"/>
          <w:lang w:val="kk-KZ"/>
        </w:rPr>
        <w:t>мыс істейтін дербес құрылым болып табылады.</w:t>
      </w:r>
    </w:p>
    <w:p w14:paraId="2D28B1A2" w14:textId="7BCBF945" w:rsidR="00125512" w:rsidRPr="00125512" w:rsidRDefault="00942C93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kk-KZ"/>
        </w:rPr>
        <w:lastRenderedPageBreak/>
        <w:t>Орталық Азия мен Ауғанстандағы кең азаматтық қоғам өкілдері ретінде АҚ-ӨКТ мүшелері "Жарық сәулесі" бастамасының бүкіл бағдарламалық циклі ішінде азаматтық қоғам ұйымдарының (АҚҰ) тұрақты және инклюзивті қатысуын</w:t>
      </w:r>
      <w:r w:rsidRPr="00125512">
        <w:rPr>
          <w:rFonts w:cs="Calibri"/>
          <w:lang w:val="kk-KZ"/>
        </w:rPr>
        <w:t>а ұмтылуы тиіс. АҚ-ӨКТ өңірдегі жергілікті ұйымдармен олар өңірдегі ең көп қысым көрген әйелдер мен қыздардың қажеттіліктеріне жауап беруі үшін және ‘</w:t>
      </w:r>
      <w:r w:rsidRPr="002445A8">
        <w:rPr>
          <w:rFonts w:cs="Calibri"/>
          <w:i/>
          <w:iCs/>
          <w:lang w:val="kk-KZ"/>
        </w:rPr>
        <w:t>Ешкімді артта қалдырмау’</w:t>
      </w:r>
      <w:r w:rsidRPr="00125512">
        <w:rPr>
          <w:rFonts w:cs="Calibri"/>
          <w:lang w:val="kk-KZ"/>
        </w:rPr>
        <w:t xml:space="preserve"> қағидатын қолдауы үшін өзара әрекеттеседі және кеңес алады.</w:t>
      </w:r>
    </w:p>
    <w:p w14:paraId="56B43317" w14:textId="2A15BA3C" w:rsidR="00125512" w:rsidRDefault="00942C93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kk-KZ"/>
        </w:rPr>
        <w:t>АҚ-ӨКТ "Жарық сәулесі</w:t>
      </w:r>
      <w:r w:rsidRPr="00125512">
        <w:rPr>
          <w:rFonts w:cs="Calibri"/>
          <w:lang w:val="kk-KZ"/>
        </w:rPr>
        <w:t>" бастамасы туралы ақпаратты ашық және транспарентті түрде АҚҰ-мен бірлесіп кеңінен және үнемі таратуы және БҰҰ тұрақты үйлестірушісі офисіне және БҰҰ тартылған агенттіктеріне (RUNOs) бағдарламаға АҚҰ-ның, атап айтқанда жергілікті ұйымдардың маңызды қатысу</w:t>
      </w:r>
      <w:r w:rsidRPr="00125512">
        <w:rPr>
          <w:rFonts w:cs="Calibri"/>
          <w:lang w:val="kk-KZ"/>
        </w:rPr>
        <w:t>ын қалай қамтамасыз ету туралы кеңес беруі тиіс.</w:t>
      </w:r>
    </w:p>
    <w:p w14:paraId="44F53821" w14:textId="77777777" w:rsidR="007428A3" w:rsidRPr="00125512" w:rsidRDefault="007428A3" w:rsidP="00125512">
      <w:pPr>
        <w:jc w:val="both"/>
        <w:rPr>
          <w:rFonts w:cs="Calibri"/>
          <w:lang w:val="ru-RU"/>
        </w:rPr>
      </w:pPr>
    </w:p>
    <w:p w14:paraId="147FE32C" w14:textId="1C1A2586" w:rsidR="00AA605B" w:rsidRDefault="00942C93" w:rsidP="00AA605B">
      <w:pPr>
        <w:pStyle w:val="a3"/>
        <w:numPr>
          <w:ilvl w:val="0"/>
          <w:numId w:val="1"/>
        </w:numPr>
        <w:jc w:val="both"/>
        <w:rPr>
          <w:rStyle w:val="a4"/>
        </w:rPr>
      </w:pPr>
      <w:r>
        <w:rPr>
          <w:rStyle w:val="a4"/>
          <w:lang w:val="kk-KZ"/>
        </w:rPr>
        <w:t>Құпиялылық</w:t>
      </w:r>
    </w:p>
    <w:p w14:paraId="3251642C" w14:textId="0303C126" w:rsidR="00902C25" w:rsidRPr="00902C25" w:rsidRDefault="00942C93" w:rsidP="00902C25">
      <w:pPr>
        <w:pStyle w:val="a5"/>
        <w:jc w:val="both"/>
        <w:rPr>
          <w:rFonts w:cs="Calibri"/>
          <w:lang w:val="ru-RU"/>
        </w:rPr>
      </w:pPr>
      <w:r w:rsidRPr="00902C25">
        <w:rPr>
          <w:rFonts w:cs="Calibri"/>
          <w:lang w:val="kk-KZ"/>
        </w:rPr>
        <w:t>АҚ-ӨКТ мүшелері "Жарық сәулесі" бастамасының бенефициарларына байланысты құпия және/немесе жеке ақпаратты ала алады немесе куәгер бола алады. АҚ-ӨКТ-нің мүшелері мұндай құпия және/немесе жеке ақп</w:t>
      </w:r>
      <w:r w:rsidRPr="00902C25">
        <w:rPr>
          <w:rFonts w:cs="Calibri"/>
          <w:lang w:val="kk-KZ"/>
        </w:rPr>
        <w:t>аратты үшінші тұлғаларға олардың АҚ-ӨКТ-нің мүшелері ретінде болу мерзімі аяқталған уақытта және одан кейін ашпауы тиіс.</w:t>
      </w:r>
    </w:p>
    <w:p w14:paraId="777CBB4B" w14:textId="77777777" w:rsidR="00902C25" w:rsidRPr="00902C25" w:rsidRDefault="00902C25" w:rsidP="00902C25">
      <w:pPr>
        <w:pStyle w:val="a5"/>
        <w:rPr>
          <w:rFonts w:cs="Calibri"/>
          <w:lang w:val="ru-RU"/>
        </w:rPr>
      </w:pPr>
    </w:p>
    <w:p w14:paraId="072A2380" w14:textId="77777777" w:rsidR="00902C25" w:rsidRPr="00902C25" w:rsidRDefault="00902C25" w:rsidP="00902C25">
      <w:pPr>
        <w:pStyle w:val="a5"/>
        <w:rPr>
          <w:rFonts w:cs="Calibri"/>
          <w:lang w:val="ru-RU"/>
        </w:rPr>
      </w:pPr>
    </w:p>
    <w:p w14:paraId="59BC05EA" w14:textId="76A088F0" w:rsidR="00AA605B" w:rsidRPr="00902C25" w:rsidRDefault="00942C93" w:rsidP="00902C25">
      <w:pPr>
        <w:pStyle w:val="a5"/>
        <w:rPr>
          <w:b/>
          <w:bCs/>
          <w:smallCaps/>
          <w:color w:val="4472C4"/>
          <w:spacing w:val="5"/>
          <w:lang w:val="ru-RU"/>
        </w:rPr>
      </w:pPr>
      <w:r w:rsidRPr="00902C25">
        <w:rPr>
          <w:rFonts w:cs="Calibri"/>
          <w:b/>
          <w:bCs/>
          <w:lang w:val="kk-KZ"/>
        </w:rPr>
        <w:t>Осымен мен Орталық Азия мен Ауғанстандағы "Жарық сәулесі" бастамасының АҚ-ӨКТ-нің мүшесі ретінде осы ар-намыс кодексін сақтауға келіс</w:t>
      </w:r>
      <w:r w:rsidRPr="00902C25">
        <w:rPr>
          <w:rFonts w:cs="Calibri"/>
          <w:b/>
          <w:bCs/>
          <w:lang w:val="kk-KZ"/>
        </w:rPr>
        <w:t>емін.</w:t>
      </w:r>
    </w:p>
    <w:p w14:paraId="1D3BB7F4" w14:textId="77777777" w:rsidR="00AA605B" w:rsidRPr="00902C25" w:rsidRDefault="00AA605B" w:rsidP="00AA605B">
      <w:pPr>
        <w:jc w:val="both"/>
        <w:rPr>
          <w:rFonts w:cs="Calibri"/>
          <w:lang w:val="ru-RU"/>
        </w:rPr>
      </w:pPr>
    </w:p>
    <w:p w14:paraId="351820BA" w14:textId="3AF27587" w:rsidR="00042DB1" w:rsidRDefault="00942C93" w:rsidP="00AA605B">
      <w:r>
        <w:rPr>
          <w:rFonts w:cs="Calibri"/>
          <w:lang w:val="kk-KZ"/>
        </w:rPr>
        <w:t>Аты-жөні: _______________________ Қолы: _______________________ Күні: ______________</w:t>
      </w:r>
    </w:p>
    <w:sectPr w:rsidR="00042D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08E9" w14:textId="77777777" w:rsidR="00000000" w:rsidRDefault="00942C93">
      <w:pPr>
        <w:spacing w:after="0" w:line="240" w:lineRule="auto"/>
      </w:pPr>
      <w:r>
        <w:separator/>
      </w:r>
    </w:p>
  </w:endnote>
  <w:endnote w:type="continuationSeparator" w:id="0">
    <w:p w14:paraId="76A120FD" w14:textId="77777777" w:rsidR="00000000" w:rsidRDefault="009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B8FB" w14:textId="77777777" w:rsidR="0019396D" w:rsidRDefault="00942C93" w:rsidP="00AA605B">
      <w:pPr>
        <w:spacing w:after="0" w:line="240" w:lineRule="auto"/>
      </w:pPr>
      <w:r>
        <w:separator/>
      </w:r>
    </w:p>
  </w:footnote>
  <w:footnote w:type="continuationSeparator" w:id="0">
    <w:p w14:paraId="43FE7753" w14:textId="77777777" w:rsidR="0019396D" w:rsidRDefault="00942C93" w:rsidP="00AA605B">
      <w:pPr>
        <w:spacing w:after="0" w:line="240" w:lineRule="auto"/>
      </w:pPr>
      <w:r>
        <w:continuationSeparator/>
      </w:r>
    </w:p>
  </w:footnote>
  <w:footnote w:id="1">
    <w:p w14:paraId="0C10A7EB" w14:textId="5A0B030F" w:rsidR="004E27BA" w:rsidRPr="004E27BA" w:rsidRDefault="00942C93">
      <w:pPr>
        <w:pStyle w:val="a6"/>
        <w:rPr>
          <w:lang w:val="ru-RU"/>
        </w:rPr>
      </w:pPr>
      <w:r>
        <w:rPr>
          <w:rStyle w:val="a8"/>
        </w:rPr>
        <w:footnoteRef/>
      </w:r>
      <w:r w:rsidRPr="004E27BA">
        <w:rPr>
          <w:sz w:val="18"/>
          <w:szCs w:val="18"/>
          <w:lang w:val="kk-KZ"/>
        </w:rPr>
        <w:t xml:space="preserve"> Өңірлік Хатшылық функциясын Қазақстандағы "Жарық сәулесі" бастамасының БҰҰ командасы орындайтын болады.</w:t>
      </w:r>
    </w:p>
  </w:footnote>
  <w:footnote w:id="2">
    <w:p w14:paraId="1BBDE60D" w14:textId="32660896" w:rsidR="004E27BA" w:rsidRPr="004E27BA" w:rsidRDefault="00942C93">
      <w:pPr>
        <w:pStyle w:val="a6"/>
        <w:rPr>
          <w:lang w:val="ru-RU"/>
        </w:rPr>
      </w:pPr>
      <w:r>
        <w:rPr>
          <w:rStyle w:val="a8"/>
        </w:rPr>
        <w:footnoteRef/>
      </w:r>
      <w:r w:rsidRPr="004E27BA">
        <w:rPr>
          <w:sz w:val="18"/>
          <w:szCs w:val="18"/>
          <w:lang w:val="kk-KZ"/>
        </w:rPr>
        <w:t xml:space="preserve"> </w:t>
      </w:r>
      <w:r w:rsidRPr="004E27BA">
        <w:rPr>
          <w:sz w:val="18"/>
          <w:szCs w:val="18"/>
          <w:lang w:val="kk-KZ"/>
        </w:rPr>
        <w:t xml:space="preserve">Сырқаттанған </w:t>
      </w:r>
      <w:r w:rsidRPr="004E27BA">
        <w:rPr>
          <w:sz w:val="18"/>
          <w:szCs w:val="18"/>
          <w:lang w:val="kk-KZ"/>
        </w:rPr>
        <w:t>жағдайда орынды жоқ болуды дәрігер растауы тиіс.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FF2E" w14:textId="41E45F47" w:rsidR="00AA605B" w:rsidRPr="00D44647" w:rsidRDefault="00AA605B" w:rsidP="00AA605B">
    <w:pPr>
      <w:pStyle w:val="af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3B44"/>
    <w:multiLevelType w:val="hybridMultilevel"/>
    <w:tmpl w:val="2FE2438A"/>
    <w:lvl w:ilvl="0" w:tplc="CA5A6A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0303436" w:tentative="1">
      <w:start w:val="1"/>
      <w:numFmt w:val="lowerLetter"/>
      <w:lvlText w:val="%2."/>
      <w:lvlJc w:val="left"/>
      <w:pPr>
        <w:ind w:left="1440" w:hanging="360"/>
      </w:pPr>
    </w:lvl>
    <w:lvl w:ilvl="2" w:tplc="8A80EC0E" w:tentative="1">
      <w:start w:val="1"/>
      <w:numFmt w:val="lowerRoman"/>
      <w:lvlText w:val="%3."/>
      <w:lvlJc w:val="right"/>
      <w:pPr>
        <w:ind w:left="2160" w:hanging="180"/>
      </w:pPr>
    </w:lvl>
    <w:lvl w:ilvl="3" w:tplc="9AA06DDC" w:tentative="1">
      <w:start w:val="1"/>
      <w:numFmt w:val="decimal"/>
      <w:lvlText w:val="%4."/>
      <w:lvlJc w:val="left"/>
      <w:pPr>
        <w:ind w:left="2880" w:hanging="360"/>
      </w:pPr>
    </w:lvl>
    <w:lvl w:ilvl="4" w:tplc="1E4EE296" w:tentative="1">
      <w:start w:val="1"/>
      <w:numFmt w:val="lowerLetter"/>
      <w:lvlText w:val="%5."/>
      <w:lvlJc w:val="left"/>
      <w:pPr>
        <w:ind w:left="3600" w:hanging="360"/>
      </w:pPr>
    </w:lvl>
    <w:lvl w:ilvl="5" w:tplc="112ADABE" w:tentative="1">
      <w:start w:val="1"/>
      <w:numFmt w:val="lowerRoman"/>
      <w:lvlText w:val="%6."/>
      <w:lvlJc w:val="right"/>
      <w:pPr>
        <w:ind w:left="4320" w:hanging="180"/>
      </w:pPr>
    </w:lvl>
    <w:lvl w:ilvl="6" w:tplc="337EE26C" w:tentative="1">
      <w:start w:val="1"/>
      <w:numFmt w:val="decimal"/>
      <w:lvlText w:val="%7."/>
      <w:lvlJc w:val="left"/>
      <w:pPr>
        <w:ind w:left="5040" w:hanging="360"/>
      </w:pPr>
    </w:lvl>
    <w:lvl w:ilvl="7" w:tplc="CFE86E32" w:tentative="1">
      <w:start w:val="1"/>
      <w:numFmt w:val="lowerLetter"/>
      <w:lvlText w:val="%8."/>
      <w:lvlJc w:val="left"/>
      <w:pPr>
        <w:ind w:left="5760" w:hanging="360"/>
      </w:pPr>
    </w:lvl>
    <w:lvl w:ilvl="8" w:tplc="D794D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165B"/>
    <w:multiLevelType w:val="hybridMultilevel"/>
    <w:tmpl w:val="431E6868"/>
    <w:lvl w:ilvl="0" w:tplc="3BB6031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22C4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C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B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40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85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29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B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40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zG0tDCytDAzNzFX0lEKTi0uzszPAykwqQUAXrmmnywAAAA="/>
  </w:docVars>
  <w:rsids>
    <w:rsidRoot w:val="00AB6219"/>
    <w:rsid w:val="00042DB1"/>
    <w:rsid w:val="000751F5"/>
    <w:rsid w:val="000D7B96"/>
    <w:rsid w:val="00125512"/>
    <w:rsid w:val="0019396D"/>
    <w:rsid w:val="002445A8"/>
    <w:rsid w:val="00260717"/>
    <w:rsid w:val="00343447"/>
    <w:rsid w:val="004E1D6A"/>
    <w:rsid w:val="004E27BA"/>
    <w:rsid w:val="005E688E"/>
    <w:rsid w:val="00694F91"/>
    <w:rsid w:val="006F4200"/>
    <w:rsid w:val="006F6569"/>
    <w:rsid w:val="00741962"/>
    <w:rsid w:val="007428A3"/>
    <w:rsid w:val="007C7494"/>
    <w:rsid w:val="0080663A"/>
    <w:rsid w:val="008901CD"/>
    <w:rsid w:val="00902C25"/>
    <w:rsid w:val="00942C93"/>
    <w:rsid w:val="00A02B69"/>
    <w:rsid w:val="00A0422E"/>
    <w:rsid w:val="00A7484C"/>
    <w:rsid w:val="00AA605B"/>
    <w:rsid w:val="00AB6219"/>
    <w:rsid w:val="00B657F0"/>
    <w:rsid w:val="00BA4F35"/>
    <w:rsid w:val="00C15E32"/>
    <w:rsid w:val="00C5068A"/>
    <w:rsid w:val="00CD18B4"/>
    <w:rsid w:val="00D44647"/>
    <w:rsid w:val="00D5497A"/>
    <w:rsid w:val="00E04028"/>
    <w:rsid w:val="00E153C4"/>
    <w:rsid w:val="00E45E38"/>
    <w:rsid w:val="00E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9B95-9346-43E3-A106-D30E642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5B"/>
    <w:rPr>
      <w:rFonts w:ascii="Calibri" w:eastAsia="Calibri" w:hAnsi="Calibri" w:cs="Times New Roman"/>
      <w:lang w:val="en-Z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B"/>
    <w:pPr>
      <w:ind w:left="720"/>
      <w:contextualSpacing/>
    </w:pPr>
  </w:style>
  <w:style w:type="character" w:styleId="a4">
    <w:name w:val="Intense Reference"/>
    <w:uiPriority w:val="32"/>
    <w:qFormat/>
    <w:rsid w:val="00AA605B"/>
    <w:rPr>
      <w:b/>
      <w:bCs/>
      <w:smallCaps/>
      <w:color w:val="4472C4"/>
      <w:spacing w:val="5"/>
    </w:rPr>
  </w:style>
  <w:style w:type="paragraph" w:styleId="a5">
    <w:name w:val="No Spacing"/>
    <w:uiPriority w:val="1"/>
    <w:qFormat/>
    <w:rsid w:val="00AA605B"/>
    <w:pPr>
      <w:spacing w:after="0" w:line="240" w:lineRule="auto"/>
    </w:pPr>
    <w:rPr>
      <w:rFonts w:ascii="Calibri" w:eastAsia="Calibri" w:hAnsi="Calibri" w:cs="Times New Roman"/>
      <w:lang w:val="en-ZW"/>
    </w:rPr>
  </w:style>
  <w:style w:type="paragraph" w:styleId="a6">
    <w:name w:val="footnote text"/>
    <w:basedOn w:val="a"/>
    <w:link w:val="a7"/>
    <w:uiPriority w:val="99"/>
    <w:semiHidden/>
    <w:unhideWhenUsed/>
    <w:rsid w:val="00AA60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A605B"/>
    <w:rPr>
      <w:rFonts w:ascii="Calibri" w:eastAsia="Calibri" w:hAnsi="Calibri" w:cs="Times New Roman"/>
      <w:sz w:val="20"/>
      <w:szCs w:val="20"/>
      <w:lang w:val="en-ZW"/>
    </w:rPr>
  </w:style>
  <w:style w:type="character" w:styleId="a8">
    <w:name w:val="footnote reference"/>
    <w:uiPriority w:val="99"/>
    <w:semiHidden/>
    <w:unhideWhenUsed/>
    <w:rsid w:val="00AA605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05B"/>
    <w:rPr>
      <w:rFonts w:ascii="Segoe UI" w:eastAsia="Calibri" w:hAnsi="Segoe UI" w:cs="Segoe UI"/>
      <w:sz w:val="18"/>
      <w:szCs w:val="18"/>
      <w:lang w:val="en-ZW"/>
    </w:rPr>
  </w:style>
  <w:style w:type="character" w:styleId="ab">
    <w:name w:val="annotation reference"/>
    <w:basedOn w:val="a0"/>
    <w:uiPriority w:val="99"/>
    <w:semiHidden/>
    <w:unhideWhenUsed/>
    <w:rsid w:val="00AA6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6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605B"/>
    <w:rPr>
      <w:rFonts w:ascii="Calibri" w:eastAsia="Calibri" w:hAnsi="Calibri" w:cs="Times New Roman"/>
      <w:sz w:val="20"/>
      <w:szCs w:val="20"/>
      <w:lang w:val="en-Z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605B"/>
    <w:rPr>
      <w:rFonts w:ascii="Calibri" w:eastAsia="Calibri" w:hAnsi="Calibri" w:cs="Times New Roman"/>
      <w:b/>
      <w:bCs/>
      <w:sz w:val="20"/>
      <w:szCs w:val="20"/>
      <w:lang w:val="en-ZW"/>
    </w:rPr>
  </w:style>
  <w:style w:type="paragraph" w:styleId="af0">
    <w:name w:val="header"/>
    <w:basedOn w:val="a"/>
    <w:link w:val="af1"/>
    <w:uiPriority w:val="99"/>
    <w:unhideWhenUsed/>
    <w:rsid w:val="00AA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605B"/>
    <w:rPr>
      <w:rFonts w:ascii="Calibri" w:eastAsia="Calibri" w:hAnsi="Calibri" w:cs="Times New Roman"/>
      <w:lang w:val="en-ZW"/>
    </w:rPr>
  </w:style>
  <w:style w:type="paragraph" w:styleId="af2">
    <w:name w:val="footer"/>
    <w:basedOn w:val="a"/>
    <w:link w:val="af3"/>
    <w:uiPriority w:val="99"/>
    <w:unhideWhenUsed/>
    <w:rsid w:val="00AA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605B"/>
    <w:rPr>
      <w:rFonts w:ascii="Calibri" w:eastAsia="Calibri" w:hAnsi="Calibri" w:cs="Times New Roman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9CDD-2821-485F-A934-2E95F6B3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Abylaikhan Dauletalin</dc:creator>
  <cp:lastModifiedBy>Оралбек Сундетбай</cp:lastModifiedBy>
  <cp:revision>12</cp:revision>
  <dcterms:created xsi:type="dcterms:W3CDTF">2020-03-12T05:23:00Z</dcterms:created>
  <dcterms:modified xsi:type="dcterms:W3CDTF">2020-07-14T22:15:00Z</dcterms:modified>
</cp:coreProperties>
</file>