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77777777" w:rsidR="001212C0" w:rsidRPr="005D22C6" w:rsidRDefault="001212C0" w:rsidP="0030320D">
      <w:pPr>
        <w:spacing w:line="312" w:lineRule="auto"/>
        <w:rPr>
          <w:rFonts w:ascii="Myriad Pro" w:hAnsi="Myriad Pro"/>
          <w:sz w:val="20"/>
          <w:lang w:val="sq-AL"/>
        </w:rPr>
      </w:pPr>
    </w:p>
    <w:p w14:paraId="691CAB4E" w14:textId="77777777" w:rsidR="00226851" w:rsidRPr="00226851" w:rsidRDefault="00226851" w:rsidP="00226851">
      <w:pPr>
        <w:spacing w:after="160" w:line="259" w:lineRule="auto"/>
        <w:rPr>
          <w:rFonts w:ascii="Myriad Pro" w:eastAsia="Calibri" w:hAnsi="Myriad Pro"/>
          <w:sz w:val="22"/>
          <w:szCs w:val="22"/>
        </w:rPr>
      </w:pPr>
      <w:bookmarkStart w:id="0" w:name="_Hlk53658575"/>
      <w:bookmarkStart w:id="1" w:name="_Hlk53648674"/>
      <w:r w:rsidRPr="00226851">
        <w:rPr>
          <w:rFonts w:ascii="Myriad Pro" w:eastAsia="Calibri" w:hAnsi="Myriad Pro"/>
          <w:sz w:val="22"/>
          <w:szCs w:val="22"/>
        </w:rPr>
        <w:t xml:space="preserve">26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prill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2021</w:t>
      </w:r>
    </w:p>
    <w:p w14:paraId="6020BF29" w14:textId="48B32F01" w:rsid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b/>
          <w:bCs/>
          <w:sz w:val="32"/>
          <w:szCs w:val="32"/>
        </w:rPr>
      </w:pPr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UNDP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dhe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partner</w:t>
      </w:r>
      <w:r w:rsidRPr="00226851">
        <w:rPr>
          <w:rFonts w:ascii="Myriad Pro" w:eastAsia="Calibri" w:hAnsi="Myriad Pro"/>
          <w:b/>
          <w:bCs/>
          <w:sz w:val="32"/>
          <w:szCs w:val="32"/>
          <w:lang w:val="sq-AL"/>
        </w:rPr>
        <w:t xml:space="preserve">ët i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dorëzojnë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Institutit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Kombëtar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të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Shëndetit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Publik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pajisjet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për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marrjen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e </w:t>
      </w:r>
      <w:proofErr w:type="spellStart"/>
      <w:r w:rsidRPr="00226851">
        <w:rPr>
          <w:rFonts w:ascii="Myriad Pro" w:eastAsia="Calibri" w:hAnsi="Myriad Pro"/>
          <w:b/>
          <w:bCs/>
          <w:sz w:val="32"/>
          <w:szCs w:val="32"/>
        </w:rPr>
        <w:t>mostrave</w:t>
      </w:r>
      <w:proofErr w:type="spellEnd"/>
      <w:r w:rsidRPr="00226851">
        <w:rPr>
          <w:rFonts w:ascii="Myriad Pro" w:eastAsia="Calibri" w:hAnsi="Myriad Pro"/>
          <w:b/>
          <w:bCs/>
          <w:sz w:val="32"/>
          <w:szCs w:val="32"/>
        </w:rPr>
        <w:t xml:space="preserve"> COVID </w:t>
      </w:r>
    </w:p>
    <w:p w14:paraId="1D1F0DCF" w14:textId="77777777" w:rsidR="00BD2605" w:rsidRPr="00226851" w:rsidRDefault="00BD2605" w:rsidP="00226851">
      <w:pPr>
        <w:spacing w:after="160" w:line="259" w:lineRule="auto"/>
        <w:ind w:right="270"/>
        <w:jc w:val="both"/>
        <w:rPr>
          <w:rFonts w:ascii="Myriad Pro" w:eastAsia="Calibri" w:hAnsi="Myriad Pro"/>
          <w:b/>
          <w:bCs/>
          <w:sz w:val="32"/>
          <w:szCs w:val="32"/>
        </w:rPr>
      </w:pPr>
    </w:p>
    <w:p w14:paraId="635281BA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r w:rsidRPr="00226851">
        <w:rPr>
          <w:rFonts w:ascii="Myriad Pro" w:eastAsia="Calibri" w:hAnsi="Myriad Pro"/>
          <w:sz w:val="22"/>
          <w:szCs w:val="22"/>
        </w:rPr>
        <w:t xml:space="preserve">Z. Arben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Vitia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Ministër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Shëndetësisë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Maria Suokko,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Përfaqësuese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Përhershme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eUNDP-së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; Chargé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d’Affaires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Natacha Gomes,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ngarkuara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punë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Ambasadën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Dukatë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Madhe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Luksemburgut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Sh.T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Christoph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Weidinger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Ambasadori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Austrisë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Katharina Stocker,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Drejtoreshë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Zyres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Zvicerane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Sandra Horina;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Shefe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Zyres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Autriake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Zhvillim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Prishtinë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Nanna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Thue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Kirsten-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Këshilltare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Ambasadën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Norvegjeze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zyrtarë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Ministria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Shëndetësië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IKPShK-së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isshin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prezent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ngjarjen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dorëzim-pranimit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u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mbajt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Institutin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Kombëtar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Shëndet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Publik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</w:t>
      </w:r>
    </w:p>
    <w:p w14:paraId="6F47A3BE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226851">
        <w:rPr>
          <w:rFonts w:ascii="Myriad Pro" w:eastAsia="Calibri" w:hAnsi="Myriad Pro"/>
          <w:sz w:val="22"/>
          <w:szCs w:val="22"/>
        </w:rPr>
        <w:t>Dorëzimi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66,240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pipetave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përdoren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marrjen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mostrave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testeve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shënon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mbylljen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përpjekjeve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përbashkëta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njëvjeçare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sigurimin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urgjent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produkteve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pajisjeve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shëndetësore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nevojshme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përgjigje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COVID.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ngjarje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UNDP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partnerët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synojnë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përcjellin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angazhimin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tyre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vazhdueshëm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institucionet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ndërsa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vazhdojnë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luftën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kundër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COVID-it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t'u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përgjigjen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ndikimeve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</w:t>
      </w:r>
    </w:p>
    <w:p w14:paraId="2A61B4CC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r w:rsidRPr="00226851">
        <w:rPr>
          <w:rFonts w:ascii="Myriad Pro" w:eastAsia="Calibri" w:hAnsi="Myriad Pro"/>
          <w:sz w:val="22"/>
          <w:szCs w:val="22"/>
        </w:rPr>
        <w:t xml:space="preserve">Z. Arben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Vitia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Ministër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Shëndetësisë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theksoi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rëndësinë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partneriteteve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vazhdueshme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fuqishme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ndërkombëtar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: "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Unë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jam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jashtëzakonisht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mirënjohës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këto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donacione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veçanërisht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përfaqësuesit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Luksemburgut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Austrisë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Zvicrës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Norvegjisë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ishin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gatshëm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mbështesin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krizës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COVID. Ju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keni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ne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shpërthimi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shumë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vit, ne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dëshmitarë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rëndësishme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qëndrojmë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shkak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virusi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nuk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njeh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kufij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etni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ose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moshë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Këto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akte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solidariteti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jo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vetëm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ndihmojnë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teknikisht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por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edhe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bëjnë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ndihemi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njerëzor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lidhur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njëri-tjetrin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Populli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gjithmonë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mirëpret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vlerat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evropiane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besoj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duhet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vazhdojmë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t'i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fuqizojmë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ato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 "</w:t>
      </w:r>
    </w:p>
    <w:p w14:paraId="0161CADB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226851">
        <w:rPr>
          <w:rFonts w:ascii="Myriad Pro" w:eastAsia="Calibri" w:hAnsi="Myriad Pro"/>
          <w:sz w:val="22"/>
          <w:szCs w:val="22"/>
        </w:rPr>
        <w:t>Sh.T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Christoph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Weidinger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ambasadori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austriak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: “Si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pjesë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këtij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projekti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koordinuar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UNDP,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vitin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kaluar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Austria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dhuroi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250.000 Euro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siguruar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shumë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se 13.600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komplete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testimi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sot, ne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kënaqësinë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dorëzojmë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këto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pipeta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partnerët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Asnjëherë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nuk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duhet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harrojmë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se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askush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nuk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sigurt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derisa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gjithë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jenë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sigurt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Dëshiroj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ta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shfrytëzoj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mundësi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falënderoj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UNDP-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partnerët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tanë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ndërkombëtarë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implementimin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profesional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projektit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.”</w:t>
      </w:r>
    </w:p>
    <w:p w14:paraId="1FAFF7BF" w14:textId="77777777" w:rsidR="00226851" w:rsidRPr="00226851" w:rsidRDefault="00226851" w:rsidP="00BD2605">
      <w:pPr>
        <w:spacing w:after="160" w:line="259" w:lineRule="auto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226851">
        <w:rPr>
          <w:rFonts w:ascii="Myriad Pro" w:eastAsia="Calibri" w:hAnsi="Myriad Pro"/>
          <w:sz w:val="22"/>
          <w:szCs w:val="22"/>
        </w:rPr>
        <w:t>Zonja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Natacha Gomes,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ngarkuara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punë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Ambasadën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Dukatës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Madhe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Luksemburgut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Prishtinë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deklaroi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: “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Dukata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Madhe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Luksemburgut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ka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luftën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kundër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COVID-19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fillimi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partnerët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tanë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OKB-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donatorë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tjerë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r w:rsidRPr="00226851">
        <w:rPr>
          <w:rFonts w:ascii="Myriad Pro" w:eastAsia="Calibri" w:hAnsi="Myriad Pro"/>
          <w:sz w:val="22"/>
          <w:szCs w:val="22"/>
        </w:rPr>
        <w:lastRenderedPageBreak/>
        <w:t xml:space="preserve">Jam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kënaqur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jam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pjesë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këtij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dorëzimi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përfundimtar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përpjekjeve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tona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përbashkëta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dëshiroj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falënderoj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UNDP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udhëheqjen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koordinimin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tyre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Unë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gjithashtu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falënderoj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Ministrin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Vitia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përpjekjet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tij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vazhdueshme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ngadalësuar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përhapjen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ne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mbetemi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përkushtuar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betejë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pasi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ende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rrugë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para nesh,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cilën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duhet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ta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ecim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”.</w:t>
      </w:r>
    </w:p>
    <w:p w14:paraId="3CC0191A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r w:rsidRPr="00226851">
        <w:rPr>
          <w:rFonts w:ascii="Myriad Pro" w:eastAsia="Calibri" w:hAnsi="Myriad Pro"/>
          <w:sz w:val="22"/>
          <w:szCs w:val="22"/>
        </w:rPr>
        <w:t xml:space="preserve">Si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partner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afatgjatë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Zvicra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lumtur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ka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luftën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kundër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COVID-19.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partneritet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UNDP-n;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donatorë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tjerë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kontributi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ynë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forcoi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kapacitetet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kujdesit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testimit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sistemit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shëndetësor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kohë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mungesave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kritike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pajisjeve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thelbësore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mjekësore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Ne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mirëpresim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faktin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dozat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para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vaksinës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kanë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mbërritur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përmes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mekanizmit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COVAX,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cilin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Zvicra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kontribuon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20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milion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CHF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shpresojmë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dërgesat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tjera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do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pasojnë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shpejti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,”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deklaroi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Katharina Stocker,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Drejtor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Zyrës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Zvicerane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</w:t>
      </w:r>
    </w:p>
    <w:p w14:paraId="308FE110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Nanna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Thue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Kirsten,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Këshilltare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n</w:t>
      </w:r>
      <w:r w:rsidRPr="00226851">
        <w:rPr>
          <w:rFonts w:ascii="Myriad Pro" w:eastAsia="Calibri" w:hAnsi="Myriad Pro"/>
          <w:sz w:val="22"/>
          <w:szCs w:val="22"/>
          <w:lang w:val="sq-AL"/>
        </w:rPr>
        <w:t>ë</w:t>
      </w:r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Ambasadën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Norvegjisë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deklaroi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: “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Norvegjia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kënaqur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ka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sponsorizuar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prokurimin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pajisjeve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thelbësore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mjekësore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këtyre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kohërave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sfiduese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partneritet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UNDP-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donatorët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tjerë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ndërsa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grupi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vaksinave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ka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mbërritur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ritmi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shumë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ngadaltë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Ndërsa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presim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arritjen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dozave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tjera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gjithë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duhet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kontribuojmë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parandalimin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përhapjes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virusit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".</w:t>
      </w:r>
    </w:p>
    <w:p w14:paraId="1AB9E01B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r w:rsidRPr="00226851">
        <w:rPr>
          <w:rFonts w:ascii="Myriad Pro" w:eastAsia="Calibri" w:hAnsi="Myriad Pro"/>
          <w:sz w:val="22"/>
          <w:szCs w:val="22"/>
        </w:rPr>
        <w:t>"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13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muajve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fundit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UNDP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përqëndruar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përgjigjen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pandemisë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vlerësimin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ndikimeve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planifikimin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rrugës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përgjigje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afatgjatë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Mbështetja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bashkëpunimi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qeveritë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Austrisë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Dukatës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Madhe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Luksemburgut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Norvegjisë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Zvicrës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kanë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rëndësisë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jetike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ne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jemi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gjendje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sigurojmë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nevojshme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urgjente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Unë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do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doja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t'ju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falënderoja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financimin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tuaj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bujar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partneritetin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shkëlqyer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këtyre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kohërave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sfiduese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Ne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dimë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kriza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larg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përfundimi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jemi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gatshëm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mbështesim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Kosovën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popullin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t'iu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përgjigjur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krizës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ndikimeve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, "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znj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. Suokko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ngjarjes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</w:t>
      </w:r>
    </w:p>
    <w:p w14:paraId="46309EA7" w14:textId="37036A1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</w:rPr>
      </w:pPr>
      <w:proofErr w:type="spellStart"/>
      <w:r w:rsidRPr="00226851">
        <w:rPr>
          <w:rFonts w:ascii="Myriad Pro" w:eastAsia="Calibri" w:hAnsi="Myriad Pro"/>
          <w:sz w:val="22"/>
          <w:szCs w:val="22"/>
        </w:rPr>
        <w:t>Projekti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njëvjeçar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Përgjigje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ndaj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COVID-19, i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mundësuar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përmes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donacionit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bujar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Qeverisë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Dukatës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Madhe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Luksemburgut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1.3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milion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USD,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Qeverisë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Norvegjisë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487,000 USD,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Qeverisë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Zvicrës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469,000 USD,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Qeverisë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Austrisë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276,000 USD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UNDP me 241,000 USD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bëri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mundur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blerjen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e: 40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ventilatorëve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mobil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, 52,500 teste PCR, 12,000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kompleteve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testim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PCR COVID-19, 66,240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pipetave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testimin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COVID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mbështetën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2,491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familje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cenueshme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kupona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blerjen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produkteve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themelore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shtëpiake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një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periudhe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 xml:space="preserve"> 3 </w:t>
      </w:r>
      <w:proofErr w:type="spellStart"/>
      <w:r w:rsidRPr="00226851">
        <w:rPr>
          <w:rFonts w:ascii="Myriad Pro" w:eastAsia="Calibri" w:hAnsi="Myriad Pro"/>
          <w:sz w:val="22"/>
          <w:szCs w:val="22"/>
        </w:rPr>
        <w:t>mujore</w:t>
      </w:r>
      <w:proofErr w:type="spellEnd"/>
      <w:r w:rsidRPr="00226851">
        <w:rPr>
          <w:rFonts w:ascii="Myriad Pro" w:eastAsia="Calibri" w:hAnsi="Myriad Pro"/>
          <w:sz w:val="22"/>
          <w:szCs w:val="22"/>
        </w:rPr>
        <w:t>.</w:t>
      </w:r>
    </w:p>
    <w:p w14:paraId="5243459B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i/>
          <w:iCs/>
          <w:sz w:val="22"/>
          <w:szCs w:val="22"/>
        </w:rPr>
      </w:pP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shpërthimi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i COVID-19, UNDP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si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Agjenci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kyçe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Ekipit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OKB-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së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Kosovë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(UNKT),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është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duke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mbështetur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qytetarët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institucionet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Kosovës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që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përgatiten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t'i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përgjigjen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rimarrin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veten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pandemia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duke u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përqëndruar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veçanërisht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më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prekurit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. Ne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kemi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zhvendosur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nguti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fokusin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, duke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reaguar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me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shpejtësi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efikasitet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duke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riorientuar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programin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tonë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ndihmuar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përpjekjet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Kosovës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ndaluar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përhapjen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virusit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,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mbrojtjen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njerëzve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nga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pandemia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ndikimet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negative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gjatë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shpërthimit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për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të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ndihmuar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ripërtëritjen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ekonomike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dhe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sociale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muajt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në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 xml:space="preserve"> </w:t>
      </w:r>
      <w:proofErr w:type="spellStart"/>
      <w:r w:rsidRPr="00226851">
        <w:rPr>
          <w:rFonts w:ascii="Myriad Pro" w:eastAsia="Calibri" w:hAnsi="Myriad Pro"/>
          <w:i/>
          <w:iCs/>
          <w:sz w:val="22"/>
          <w:szCs w:val="22"/>
        </w:rPr>
        <w:t>vazhdim</w:t>
      </w:r>
      <w:proofErr w:type="spellEnd"/>
      <w:r w:rsidRPr="00226851">
        <w:rPr>
          <w:rFonts w:ascii="Myriad Pro" w:eastAsia="Calibri" w:hAnsi="Myriad Pro"/>
          <w:i/>
          <w:iCs/>
          <w:sz w:val="22"/>
          <w:szCs w:val="22"/>
        </w:rPr>
        <w:t>.</w:t>
      </w:r>
    </w:p>
    <w:p w14:paraId="79D23C72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b/>
          <w:bCs/>
          <w:sz w:val="22"/>
          <w:szCs w:val="22"/>
          <w:lang w:val="sq-AL"/>
        </w:rPr>
      </w:pPr>
    </w:p>
    <w:p w14:paraId="1165EC42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b/>
          <w:bCs/>
          <w:sz w:val="22"/>
          <w:szCs w:val="22"/>
          <w:lang w:val="sq-AL"/>
        </w:rPr>
      </w:pPr>
      <w:r w:rsidRPr="00226851">
        <w:rPr>
          <w:rFonts w:ascii="Myriad Pro" w:eastAsia="Calibri" w:hAnsi="Myriad Pro"/>
          <w:b/>
          <w:bCs/>
          <w:sz w:val="22"/>
          <w:szCs w:val="22"/>
          <w:lang w:val="sq-AL"/>
        </w:rPr>
        <w:lastRenderedPageBreak/>
        <w:t xml:space="preserve">Për më shumë informata, ju lutemi të kontaktoni: </w:t>
      </w:r>
    </w:p>
    <w:p w14:paraId="0E2569C9" w14:textId="77777777" w:rsidR="00226851" w:rsidRPr="00226851" w:rsidRDefault="00226851" w:rsidP="00226851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226851">
        <w:rPr>
          <w:rFonts w:ascii="Myriad Pro" w:eastAsia="Calibri" w:hAnsi="Myriad Pro"/>
          <w:sz w:val="22"/>
          <w:szCs w:val="22"/>
          <w:lang w:val="sq-AL"/>
        </w:rPr>
        <w:t xml:space="preserve">Burbuqe Dobranja, zyrtare për komunikim pranë UNDP-së </w:t>
      </w:r>
    </w:p>
    <w:p w14:paraId="4C57F446" w14:textId="77777777" w:rsidR="00226851" w:rsidRPr="00226851" w:rsidRDefault="00226851" w:rsidP="00226851">
      <w:pPr>
        <w:ind w:right="274"/>
        <w:jc w:val="both"/>
        <w:rPr>
          <w:rFonts w:ascii="Myriad Pro" w:eastAsia="Calibri" w:hAnsi="Myriad Pro"/>
          <w:color w:val="0000FF"/>
          <w:sz w:val="22"/>
          <w:szCs w:val="22"/>
          <w:u w:val="single"/>
          <w:lang w:val="sq-AL"/>
        </w:rPr>
      </w:pPr>
      <w:r w:rsidRPr="00226851">
        <w:rPr>
          <w:rFonts w:ascii="Myriad Pro" w:eastAsia="Calibri" w:hAnsi="Myriad Pro"/>
          <w:sz w:val="22"/>
          <w:szCs w:val="22"/>
          <w:lang w:val="sq-AL"/>
        </w:rPr>
        <w:t xml:space="preserve">Tel: (038) 249 066 lok. 410;  mobil: 049 720 800; </w:t>
      </w:r>
      <w:r w:rsidRPr="00226851">
        <w:rPr>
          <w:rFonts w:ascii="Myriad Pro" w:eastAsia="Calibri" w:hAnsi="Myriad Pro"/>
          <w:sz w:val="22"/>
          <w:szCs w:val="22"/>
          <w:lang w:val="sq-AL"/>
        </w:rPr>
        <w:tab/>
        <w:t xml:space="preserve">   email</w:t>
      </w:r>
      <w:r w:rsidRPr="00226851">
        <w:rPr>
          <w:rFonts w:ascii="Myriad Pro" w:eastAsia="Calibri" w:hAnsi="Myriad Pro"/>
          <w:sz w:val="22"/>
          <w:szCs w:val="22"/>
        </w:rPr>
        <w:t>:</w:t>
      </w:r>
      <w:r w:rsidRPr="00226851">
        <w:rPr>
          <w:rFonts w:ascii="Myriad Pro" w:eastAsia="Calibri" w:hAnsi="Myriad Pro"/>
          <w:sz w:val="22"/>
          <w:szCs w:val="22"/>
          <w:lang w:val="sq-AL"/>
        </w:rPr>
        <w:t xml:space="preserve"> </w:t>
      </w:r>
      <w:hyperlink r:id="rId12" w:tooltip="mailto:burbuqe.dobranja@undp.org" w:history="1">
        <w:r w:rsidRPr="00226851">
          <w:rPr>
            <w:rFonts w:ascii="Myriad Pro" w:eastAsia="Calibri" w:hAnsi="Myriad Pro"/>
            <w:color w:val="0000FF"/>
            <w:sz w:val="22"/>
            <w:szCs w:val="22"/>
            <w:u w:val="single"/>
            <w:lang w:val="sq-AL"/>
          </w:rPr>
          <w:t>burbuqe.dobranja@undp.org</w:t>
        </w:r>
      </w:hyperlink>
    </w:p>
    <w:p w14:paraId="6542FA5E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  <w:lang w:val="sq-AL"/>
        </w:rPr>
      </w:pPr>
    </w:p>
    <w:p w14:paraId="558BD94A" w14:textId="77777777" w:rsidR="00226851" w:rsidRPr="00226851" w:rsidRDefault="00226851" w:rsidP="00226851">
      <w:pPr>
        <w:ind w:right="270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226851">
        <w:rPr>
          <w:rFonts w:ascii="Myriad Pro" w:eastAsia="Calibri" w:hAnsi="Myriad Pro"/>
          <w:sz w:val="22"/>
          <w:szCs w:val="22"/>
          <w:lang w:val="sq-AL"/>
        </w:rPr>
        <w:t xml:space="preserve">Danijela Mitić, zyrtare për komunikim pranë UNDP-së </w:t>
      </w:r>
    </w:p>
    <w:p w14:paraId="711BD05C" w14:textId="77777777" w:rsidR="00226851" w:rsidRPr="00226851" w:rsidRDefault="00226851" w:rsidP="00226851">
      <w:pPr>
        <w:tabs>
          <w:tab w:val="center" w:pos="4320"/>
          <w:tab w:val="right" w:pos="8640"/>
        </w:tabs>
        <w:ind w:right="270"/>
        <w:jc w:val="both"/>
        <w:rPr>
          <w:rFonts w:ascii="Myriad Pro" w:eastAsia="Calibri" w:hAnsi="Myriad Pro"/>
          <w:sz w:val="22"/>
          <w:szCs w:val="22"/>
          <w:lang w:val="sq-AL" w:eastAsia="x-none"/>
        </w:rPr>
      </w:pPr>
      <w:r w:rsidRPr="00226851">
        <w:rPr>
          <w:rFonts w:ascii="Myriad Pro" w:eastAsia="Calibri" w:hAnsi="Myriad Pro"/>
          <w:sz w:val="22"/>
          <w:szCs w:val="22"/>
          <w:lang w:val="sq-AL" w:eastAsia="x-none"/>
        </w:rPr>
        <w:t xml:space="preserve">Tel: (038) 249 066 lok. 412;   mobil: 049 720 824     e-mail: </w:t>
      </w:r>
      <w:hyperlink r:id="rId13" w:tooltip="mailto:danijela.mitic@undp.org" w:history="1">
        <w:r w:rsidRPr="00226851">
          <w:rPr>
            <w:rFonts w:ascii="Myriad Pro" w:eastAsia="Calibri" w:hAnsi="Myriad Pro"/>
            <w:color w:val="0000FF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53154984" w14:textId="77777777" w:rsidR="00226851" w:rsidRPr="00226851" w:rsidRDefault="00226851" w:rsidP="00226851">
      <w:pPr>
        <w:tabs>
          <w:tab w:val="center" w:pos="4320"/>
          <w:tab w:val="right" w:pos="8640"/>
        </w:tabs>
        <w:jc w:val="both"/>
        <w:rPr>
          <w:rFonts w:ascii="Myriad Pro" w:eastAsia="Calibri" w:hAnsi="Myriad Pro"/>
          <w:sz w:val="22"/>
          <w:szCs w:val="22"/>
          <w:lang w:val="sq-AL" w:eastAsia="x-none"/>
        </w:rPr>
      </w:pPr>
    </w:p>
    <w:p w14:paraId="72B21C99" w14:textId="77777777" w:rsidR="00226851" w:rsidRPr="00226851" w:rsidRDefault="00226851" w:rsidP="00226851">
      <w:pPr>
        <w:spacing w:after="160" w:line="259" w:lineRule="auto"/>
        <w:ind w:right="270"/>
        <w:rPr>
          <w:rFonts w:ascii="Myriad Pro" w:eastAsia="Calibri" w:hAnsi="Myriad Pro"/>
          <w:sz w:val="22"/>
          <w:szCs w:val="22"/>
        </w:rPr>
      </w:pPr>
    </w:p>
    <w:p w14:paraId="36001D02" w14:textId="77777777" w:rsidR="00226851" w:rsidRPr="00226851" w:rsidRDefault="00226851" w:rsidP="00226851">
      <w:pPr>
        <w:spacing w:after="160" w:line="312" w:lineRule="auto"/>
        <w:ind w:right="270"/>
        <w:jc w:val="both"/>
        <w:rPr>
          <w:rFonts w:ascii="Myriad Pro" w:eastAsia="Calibri" w:hAnsi="Myriad Pro"/>
          <w:sz w:val="22"/>
          <w:szCs w:val="22"/>
        </w:rPr>
      </w:pPr>
    </w:p>
    <w:p w14:paraId="3D65A048" w14:textId="77777777" w:rsidR="00226851" w:rsidRPr="00226851" w:rsidRDefault="00226851" w:rsidP="00226851">
      <w:pPr>
        <w:spacing w:after="160" w:line="312" w:lineRule="auto"/>
        <w:rPr>
          <w:rFonts w:ascii="Myriad Pro" w:eastAsia="Calibri" w:hAnsi="Myriad Pro"/>
          <w:sz w:val="22"/>
          <w:szCs w:val="22"/>
        </w:rPr>
      </w:pPr>
    </w:p>
    <w:p w14:paraId="7EC2B9BA" w14:textId="77777777" w:rsidR="00226851" w:rsidRPr="00226851" w:rsidRDefault="00226851" w:rsidP="00226851">
      <w:pPr>
        <w:spacing w:after="160" w:line="312" w:lineRule="auto"/>
        <w:rPr>
          <w:rFonts w:ascii="Myriad Pro" w:eastAsia="Calibri" w:hAnsi="Myriad Pro"/>
          <w:iCs/>
          <w:sz w:val="22"/>
          <w:szCs w:val="22"/>
        </w:rPr>
      </w:pPr>
    </w:p>
    <w:p w14:paraId="0F5C1108" w14:textId="77777777" w:rsidR="00226851" w:rsidRPr="00226851" w:rsidRDefault="00226851" w:rsidP="00226851">
      <w:pPr>
        <w:spacing w:after="160" w:line="259" w:lineRule="auto"/>
        <w:ind w:right="270"/>
        <w:jc w:val="both"/>
        <w:rPr>
          <w:rFonts w:ascii="Myriad Pro" w:eastAsia="Calibri" w:hAnsi="Myriad Pro"/>
          <w:i/>
          <w:iCs/>
          <w:sz w:val="22"/>
          <w:szCs w:val="22"/>
        </w:rPr>
      </w:pPr>
    </w:p>
    <w:p w14:paraId="5A060824" w14:textId="77777777" w:rsidR="00226851" w:rsidRPr="00226851" w:rsidRDefault="00226851" w:rsidP="00226851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  <w:sz w:val="22"/>
          <w:szCs w:val="22"/>
          <w:lang w:val="sq-AL" w:eastAsia="x-none"/>
        </w:rPr>
      </w:pPr>
    </w:p>
    <w:bookmarkEnd w:id="0"/>
    <w:bookmarkEnd w:id="1"/>
    <w:p w14:paraId="1771C96D" w14:textId="44879098" w:rsidR="00633939" w:rsidRPr="00AB67EE" w:rsidRDefault="00633939" w:rsidP="0081002F">
      <w:pPr>
        <w:spacing w:line="312" w:lineRule="auto"/>
        <w:rPr>
          <w:rFonts w:ascii="Myriad Pro" w:hAnsi="Myriad Pro"/>
          <w:iCs/>
          <w:sz w:val="22"/>
          <w:szCs w:val="22"/>
        </w:rPr>
      </w:pPr>
    </w:p>
    <w:sectPr w:rsidR="00633939" w:rsidRPr="00AB67EE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A705" w14:textId="77777777" w:rsidR="00155C00" w:rsidRDefault="00155C00">
      <w:r>
        <w:separator/>
      </w:r>
    </w:p>
  </w:endnote>
  <w:endnote w:type="continuationSeparator" w:id="0">
    <w:p w14:paraId="7BE7702A" w14:textId="77777777" w:rsidR="00155C00" w:rsidRDefault="001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0D438" w14:textId="77777777" w:rsidR="00155C00" w:rsidRDefault="00155C00">
      <w:r>
        <w:separator/>
      </w:r>
    </w:p>
  </w:footnote>
  <w:footnote w:type="continuationSeparator" w:id="0">
    <w:p w14:paraId="004F7B89" w14:textId="77777777" w:rsidR="00155C00" w:rsidRDefault="001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EE1E" w14:textId="0171F0C1" w:rsidR="00744586" w:rsidRDefault="00744586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0390B229">
          <wp:simplePos x="0" y="0"/>
          <wp:positionH relativeFrom="column">
            <wp:posOffset>5569751</wp:posOffset>
          </wp:positionH>
          <wp:positionV relativeFrom="paragraph">
            <wp:posOffset>-57730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C8C6" w14:textId="767C114B" w:rsidR="000E2F43" w:rsidRDefault="000E2F43" w:rsidP="00744586">
    <w:pPr>
      <w:rPr>
        <w:rFonts w:ascii="Arial" w:hAnsi="Arial" w:cs="Arial"/>
        <w:b/>
        <w:bCs/>
        <w:sz w:val="20"/>
      </w:rPr>
    </w:pPr>
  </w:p>
  <w:p w14:paraId="10B06CE3" w14:textId="5B4DFB48" w:rsidR="000E2F43" w:rsidRDefault="000E2F43" w:rsidP="00744586">
    <w:pPr>
      <w:rPr>
        <w:rFonts w:ascii="Arial" w:hAnsi="Arial" w:cs="Arial"/>
        <w:b/>
        <w:bCs/>
        <w:sz w:val="20"/>
      </w:rPr>
    </w:pPr>
  </w:p>
  <w:p w14:paraId="7AD52753" w14:textId="1D21943F" w:rsidR="00744586" w:rsidRDefault="000E2F43" w:rsidP="000E2F43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</w:rPr>
      <w:drawing>
        <wp:inline distT="0" distB="0" distL="0" distR="0" wp14:anchorId="42BD080A" wp14:editId="436478C1">
          <wp:extent cx="1460552" cy="59601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783" cy="6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5F6B6990" wp14:editId="0C71127C">
          <wp:extent cx="1122597" cy="51978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7" cy="52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 xml:space="preserve">    </w:t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6DDD2135" wp14:editId="03838F9F">
          <wp:extent cx="1176793" cy="651773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49" cy="659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 xml:space="preserve">  </w:t>
    </w:r>
    <w:r w:rsidR="00217386">
      <w:rPr>
        <w:rFonts w:ascii="Arial" w:hAnsi="Arial" w:cs="Arial"/>
        <w:b/>
        <w:bCs/>
        <w:noProof/>
        <w:sz w:val="20"/>
      </w:rPr>
      <w:drawing>
        <wp:inline distT="0" distB="0" distL="0" distR="0" wp14:anchorId="456A72F1" wp14:editId="6D5CD343">
          <wp:extent cx="1499870" cy="433070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1768D9" w14:textId="060C4352" w:rsidR="000E2F43" w:rsidRDefault="000E2F43" w:rsidP="000E2F43">
    <w:pPr>
      <w:rPr>
        <w:rFonts w:ascii="Arial" w:hAnsi="Arial" w:cs="Arial"/>
        <w:b/>
        <w:bCs/>
        <w:sz w:val="20"/>
      </w:rPr>
    </w:pPr>
  </w:p>
  <w:p w14:paraId="1F7F631A" w14:textId="77777777" w:rsidR="00E15840" w:rsidRDefault="00E15840" w:rsidP="000E2F43">
    <w:pPr>
      <w:rPr>
        <w:rFonts w:ascii="Arial" w:hAnsi="Arial" w:cs="Arial"/>
        <w:b/>
        <w:bCs/>
        <w:sz w:val="20"/>
      </w:rPr>
    </w:pPr>
  </w:p>
  <w:p w14:paraId="2CE676EA" w14:textId="22452040" w:rsidR="000E2F43" w:rsidRPr="000E2F43" w:rsidRDefault="000E2F43" w:rsidP="000E2F43">
    <w:pPr>
      <w:tabs>
        <w:tab w:val="left" w:pos="3133"/>
      </w:tabs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color w:val="4F81BD" w:themeColor="accent1"/>
        <w:sz w:val="52"/>
        <w:szCs w:val="5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6312B"/>
    <w:rsid w:val="000869E3"/>
    <w:rsid w:val="000E2F43"/>
    <w:rsid w:val="001212C0"/>
    <w:rsid w:val="00147D9F"/>
    <w:rsid w:val="00155C00"/>
    <w:rsid w:val="001A43B8"/>
    <w:rsid w:val="001C0BE1"/>
    <w:rsid w:val="001C436A"/>
    <w:rsid w:val="00217386"/>
    <w:rsid w:val="00226851"/>
    <w:rsid w:val="002E7C2B"/>
    <w:rsid w:val="0030320D"/>
    <w:rsid w:val="0034377C"/>
    <w:rsid w:val="00362EAF"/>
    <w:rsid w:val="00364D20"/>
    <w:rsid w:val="003F4D02"/>
    <w:rsid w:val="00421620"/>
    <w:rsid w:val="004C3F66"/>
    <w:rsid w:val="004E1C1C"/>
    <w:rsid w:val="00551861"/>
    <w:rsid w:val="005B753E"/>
    <w:rsid w:val="005D1ABE"/>
    <w:rsid w:val="005D22C6"/>
    <w:rsid w:val="00633939"/>
    <w:rsid w:val="006A1B6E"/>
    <w:rsid w:val="006A6B33"/>
    <w:rsid w:val="0071537F"/>
    <w:rsid w:val="007320FA"/>
    <w:rsid w:val="00744586"/>
    <w:rsid w:val="0080103F"/>
    <w:rsid w:val="0081002F"/>
    <w:rsid w:val="0081425C"/>
    <w:rsid w:val="00864B2F"/>
    <w:rsid w:val="00873DB4"/>
    <w:rsid w:val="00893763"/>
    <w:rsid w:val="008B722A"/>
    <w:rsid w:val="009106D5"/>
    <w:rsid w:val="009425F2"/>
    <w:rsid w:val="009A1BA1"/>
    <w:rsid w:val="009D64DA"/>
    <w:rsid w:val="009E5B36"/>
    <w:rsid w:val="009F309D"/>
    <w:rsid w:val="00A51EC5"/>
    <w:rsid w:val="00AB67EE"/>
    <w:rsid w:val="00AC13CD"/>
    <w:rsid w:val="00BD2605"/>
    <w:rsid w:val="00C016AC"/>
    <w:rsid w:val="00C43C3F"/>
    <w:rsid w:val="00C806A2"/>
    <w:rsid w:val="00C97FE3"/>
    <w:rsid w:val="00CA61BA"/>
    <w:rsid w:val="00CB788E"/>
    <w:rsid w:val="00CE1C73"/>
    <w:rsid w:val="00D173C7"/>
    <w:rsid w:val="00D33E28"/>
    <w:rsid w:val="00DC7386"/>
    <w:rsid w:val="00E156E8"/>
    <w:rsid w:val="00E15840"/>
    <w:rsid w:val="00EE778E"/>
    <w:rsid w:val="00F07336"/>
    <w:rsid w:val="00FF6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6746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2021-04-29T13:29:00Z</dcterms:created>
  <dcterms:modified xsi:type="dcterms:W3CDTF">2021-04-29T13:29:00Z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