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5E4" w:rsidRPr="00235AB8" w:rsidRDefault="008265E4" w:rsidP="004E7922">
      <w:pPr>
        <w:pStyle w:val="Heading3"/>
        <w:jc w:val="center"/>
        <w:rPr>
          <w:rFonts w:asciiTheme="minorHAnsi" w:hAnsiTheme="minorHAnsi" w:cs="Arial"/>
          <w:color w:val="333333"/>
          <w:sz w:val="22"/>
          <w:szCs w:val="22"/>
        </w:rPr>
      </w:pPr>
      <w:r w:rsidRPr="00235AB8">
        <w:rPr>
          <w:rFonts w:asciiTheme="minorHAnsi" w:hAnsiTheme="minorHAnsi" w:cs="Arial"/>
          <w:sz w:val="22"/>
          <w:szCs w:val="22"/>
        </w:rPr>
        <w:t>CALL FOR</w:t>
      </w:r>
      <w:r w:rsidR="003106C7">
        <w:rPr>
          <w:rFonts w:asciiTheme="minorHAnsi" w:hAnsiTheme="minorHAnsi" w:cs="Arial"/>
          <w:sz w:val="22"/>
          <w:szCs w:val="22"/>
        </w:rPr>
        <w:t xml:space="preserve"> APPLICATIONS: VETTED </w:t>
      </w:r>
      <w:r w:rsidR="00D57AC3">
        <w:rPr>
          <w:rFonts w:asciiTheme="minorHAnsi" w:hAnsiTheme="minorHAnsi" w:cs="Arial"/>
          <w:sz w:val="22"/>
          <w:szCs w:val="22"/>
        </w:rPr>
        <w:t>EXPERTS</w:t>
      </w:r>
      <w:r w:rsidR="00E24E14">
        <w:rPr>
          <w:rFonts w:asciiTheme="minorHAnsi" w:hAnsiTheme="minorHAnsi" w:cs="Arial"/>
          <w:sz w:val="22"/>
          <w:szCs w:val="22"/>
        </w:rPr>
        <w:t xml:space="preserve"> ROSTER</w:t>
      </w:r>
      <w:r w:rsidR="00D57AC3">
        <w:rPr>
          <w:rFonts w:asciiTheme="minorHAnsi" w:hAnsiTheme="minorHAnsi" w:cs="Arial"/>
          <w:sz w:val="22"/>
          <w:szCs w:val="22"/>
        </w:rPr>
        <w:t>, SUPPORT TO UNDP PROJECTS AND PROGRAMMES</w:t>
      </w:r>
      <w:r w:rsidR="003106C7">
        <w:rPr>
          <w:rFonts w:asciiTheme="minorHAnsi" w:hAnsiTheme="minorHAnsi" w:cs="Arial"/>
          <w:sz w:val="22"/>
          <w:szCs w:val="22"/>
        </w:rPr>
        <w:t>:</w:t>
      </w:r>
      <w:r w:rsidR="00375413">
        <w:rPr>
          <w:rFonts w:asciiTheme="minorHAnsi" w:hAnsiTheme="minorHAnsi" w:cs="Arial"/>
          <w:sz w:val="22"/>
          <w:szCs w:val="22"/>
        </w:rPr>
        <w:t xml:space="preserve"> </w:t>
      </w:r>
      <w:r w:rsidR="00375413" w:rsidRPr="00375413">
        <w:rPr>
          <w:rFonts w:ascii="Calibri" w:hAnsi="Calibri"/>
          <w:b w:val="0"/>
          <w:bCs w:val="0"/>
          <w:color w:val="0000FF" w:themeColor="hyperlink"/>
          <w:sz w:val="22"/>
          <w:szCs w:val="22"/>
          <w:lang w:val="en-GB" w:eastAsia="en-GB"/>
        </w:rPr>
        <w:t>Partnership and Resource Mobilization</w:t>
      </w:r>
    </w:p>
    <w:tbl>
      <w:tblPr>
        <w:tblStyle w:val="TableGrid"/>
        <w:tblW w:w="0" w:type="auto"/>
        <w:tblLook w:val="04A0" w:firstRow="1" w:lastRow="0" w:firstColumn="1" w:lastColumn="0" w:noHBand="0" w:noVBand="1"/>
      </w:tblPr>
      <w:tblGrid>
        <w:gridCol w:w="2105"/>
        <w:gridCol w:w="6905"/>
      </w:tblGrid>
      <w:tr w:rsidR="0088263E" w:rsidRPr="00EA1411" w:rsidTr="0088263E">
        <w:trPr>
          <w:trHeight w:val="260"/>
        </w:trPr>
        <w:tc>
          <w:tcPr>
            <w:tcW w:w="2178" w:type="dxa"/>
            <w:shd w:val="clear" w:color="auto" w:fill="D9D9D9" w:themeFill="background1" w:themeFillShade="D9"/>
            <w:vAlign w:val="center"/>
          </w:tcPr>
          <w:p w:rsidR="0088263E" w:rsidRPr="00EA1411" w:rsidRDefault="0088263E" w:rsidP="00FF0654">
            <w:pPr>
              <w:tabs>
                <w:tab w:val="left" w:pos="1410"/>
              </w:tabs>
              <w:jc w:val="both"/>
              <w:rPr>
                <w:b/>
              </w:rPr>
            </w:pPr>
            <w:r w:rsidRPr="00EA1411">
              <w:rPr>
                <w:b/>
              </w:rPr>
              <w:t>Location</w:t>
            </w:r>
          </w:p>
        </w:tc>
        <w:tc>
          <w:tcPr>
            <w:tcW w:w="7398" w:type="dxa"/>
            <w:vAlign w:val="center"/>
          </w:tcPr>
          <w:p w:rsidR="0088263E" w:rsidRPr="00EA1411" w:rsidRDefault="00DE476F" w:rsidP="000B1587">
            <w:pPr>
              <w:tabs>
                <w:tab w:val="left" w:pos="1410"/>
              </w:tabs>
              <w:jc w:val="both"/>
              <w:rPr>
                <w:color w:val="FF0000"/>
              </w:rPr>
            </w:pPr>
            <w:r w:rsidRPr="00EA1411">
              <w:rPr>
                <w:color w:val="000000" w:themeColor="text1"/>
              </w:rPr>
              <w:t xml:space="preserve">Home Based and </w:t>
            </w:r>
            <w:r w:rsidR="008265E4" w:rsidRPr="00EA1411">
              <w:rPr>
                <w:color w:val="000000" w:themeColor="text1"/>
              </w:rPr>
              <w:t>Various</w:t>
            </w:r>
            <w:r w:rsidR="00D57AC3" w:rsidRPr="00EA1411">
              <w:rPr>
                <w:color w:val="000000" w:themeColor="text1"/>
              </w:rPr>
              <w:t xml:space="preserve"> </w:t>
            </w:r>
          </w:p>
        </w:tc>
      </w:tr>
      <w:tr w:rsidR="0088263E" w:rsidRPr="00EA1411" w:rsidTr="0088263E">
        <w:trPr>
          <w:trHeight w:val="251"/>
        </w:trPr>
        <w:tc>
          <w:tcPr>
            <w:tcW w:w="2178" w:type="dxa"/>
            <w:shd w:val="clear" w:color="auto" w:fill="D9D9D9" w:themeFill="background1" w:themeFillShade="D9"/>
            <w:vAlign w:val="center"/>
          </w:tcPr>
          <w:p w:rsidR="0088263E" w:rsidRPr="00EA1411" w:rsidRDefault="0088263E" w:rsidP="00FF0654">
            <w:pPr>
              <w:tabs>
                <w:tab w:val="left" w:pos="1410"/>
              </w:tabs>
              <w:jc w:val="both"/>
              <w:rPr>
                <w:b/>
              </w:rPr>
            </w:pPr>
            <w:r w:rsidRPr="00EA1411">
              <w:rPr>
                <w:b/>
              </w:rPr>
              <w:t>Application deadline</w:t>
            </w:r>
          </w:p>
        </w:tc>
        <w:tc>
          <w:tcPr>
            <w:tcW w:w="7398" w:type="dxa"/>
            <w:vAlign w:val="center"/>
          </w:tcPr>
          <w:p w:rsidR="0088263E" w:rsidRPr="00EA1411" w:rsidRDefault="001938C6" w:rsidP="00FF0654">
            <w:pPr>
              <w:tabs>
                <w:tab w:val="left" w:pos="1410"/>
              </w:tabs>
              <w:jc w:val="both"/>
            </w:pPr>
            <w:r w:rsidRPr="00EA1411">
              <w:t>4</w:t>
            </w:r>
            <w:r w:rsidR="005450EF" w:rsidRPr="00EA1411">
              <w:t xml:space="preserve"> </w:t>
            </w:r>
            <w:r w:rsidRPr="00EA1411">
              <w:t>weeks from date of publishing</w:t>
            </w:r>
          </w:p>
        </w:tc>
      </w:tr>
      <w:tr w:rsidR="0088263E" w:rsidRPr="00EA1411" w:rsidTr="0088263E">
        <w:trPr>
          <w:trHeight w:val="332"/>
        </w:trPr>
        <w:tc>
          <w:tcPr>
            <w:tcW w:w="2178" w:type="dxa"/>
            <w:shd w:val="clear" w:color="auto" w:fill="D9D9D9" w:themeFill="background1" w:themeFillShade="D9"/>
            <w:vAlign w:val="center"/>
          </w:tcPr>
          <w:p w:rsidR="0088263E" w:rsidRPr="00EA1411" w:rsidRDefault="0088263E" w:rsidP="00FF0654">
            <w:pPr>
              <w:tabs>
                <w:tab w:val="left" w:pos="1410"/>
              </w:tabs>
              <w:jc w:val="both"/>
              <w:rPr>
                <w:b/>
              </w:rPr>
            </w:pPr>
            <w:r w:rsidRPr="00EA1411">
              <w:rPr>
                <w:b/>
              </w:rPr>
              <w:t>Type of Contract</w:t>
            </w:r>
          </w:p>
        </w:tc>
        <w:tc>
          <w:tcPr>
            <w:tcW w:w="7398" w:type="dxa"/>
            <w:vAlign w:val="center"/>
          </w:tcPr>
          <w:p w:rsidR="0088263E" w:rsidRPr="00EA1411" w:rsidRDefault="0088263E" w:rsidP="00FF0654">
            <w:pPr>
              <w:tabs>
                <w:tab w:val="left" w:pos="1410"/>
              </w:tabs>
              <w:jc w:val="both"/>
            </w:pPr>
            <w:r w:rsidRPr="00EA1411">
              <w:t xml:space="preserve">Individual </w:t>
            </w:r>
            <w:r w:rsidR="00993991" w:rsidRPr="00EA1411">
              <w:t>Contractor</w:t>
            </w:r>
          </w:p>
        </w:tc>
      </w:tr>
      <w:tr w:rsidR="0088263E" w:rsidRPr="00EA1411" w:rsidTr="0088263E">
        <w:trPr>
          <w:trHeight w:val="260"/>
        </w:trPr>
        <w:tc>
          <w:tcPr>
            <w:tcW w:w="2178" w:type="dxa"/>
            <w:shd w:val="clear" w:color="auto" w:fill="D9D9D9" w:themeFill="background1" w:themeFillShade="D9"/>
            <w:vAlign w:val="center"/>
          </w:tcPr>
          <w:p w:rsidR="0088263E" w:rsidRPr="00EA1411" w:rsidRDefault="0088263E" w:rsidP="00FF0654">
            <w:pPr>
              <w:tabs>
                <w:tab w:val="left" w:pos="1410"/>
              </w:tabs>
              <w:jc w:val="both"/>
              <w:rPr>
                <w:b/>
              </w:rPr>
            </w:pPr>
            <w:r w:rsidRPr="00EA1411">
              <w:rPr>
                <w:b/>
              </w:rPr>
              <w:t>Post Level</w:t>
            </w:r>
          </w:p>
        </w:tc>
        <w:tc>
          <w:tcPr>
            <w:tcW w:w="7398" w:type="dxa"/>
            <w:vAlign w:val="center"/>
          </w:tcPr>
          <w:p w:rsidR="0088263E" w:rsidRPr="00EA1411" w:rsidRDefault="000B1587" w:rsidP="00FF0654">
            <w:pPr>
              <w:tabs>
                <w:tab w:val="left" w:pos="1410"/>
              </w:tabs>
              <w:jc w:val="both"/>
            </w:pPr>
            <w:r>
              <w:t xml:space="preserve">National </w:t>
            </w:r>
            <w:r w:rsidR="0088263E" w:rsidRPr="00EA1411">
              <w:t>Consul</w:t>
            </w:r>
            <w:r w:rsidR="008265E4" w:rsidRPr="00EA1411">
              <w:t>tant</w:t>
            </w:r>
          </w:p>
        </w:tc>
      </w:tr>
      <w:tr w:rsidR="0088263E" w:rsidRPr="00EA1411" w:rsidTr="0088263E">
        <w:trPr>
          <w:trHeight w:val="260"/>
        </w:trPr>
        <w:tc>
          <w:tcPr>
            <w:tcW w:w="2178" w:type="dxa"/>
            <w:shd w:val="clear" w:color="auto" w:fill="D9D9D9" w:themeFill="background1" w:themeFillShade="D9"/>
            <w:vAlign w:val="center"/>
          </w:tcPr>
          <w:p w:rsidR="0088263E" w:rsidRPr="00EA1411" w:rsidRDefault="0088263E" w:rsidP="00FF0654">
            <w:pPr>
              <w:tabs>
                <w:tab w:val="left" w:pos="1410"/>
              </w:tabs>
              <w:jc w:val="both"/>
              <w:rPr>
                <w:b/>
              </w:rPr>
            </w:pPr>
            <w:r w:rsidRPr="00EA1411">
              <w:rPr>
                <w:b/>
              </w:rPr>
              <w:t>Languages required:</w:t>
            </w:r>
          </w:p>
        </w:tc>
        <w:tc>
          <w:tcPr>
            <w:tcW w:w="7398" w:type="dxa"/>
            <w:vAlign w:val="center"/>
          </w:tcPr>
          <w:p w:rsidR="0088263E" w:rsidRPr="00EA1411" w:rsidRDefault="008265E4" w:rsidP="00FF0654">
            <w:pPr>
              <w:tabs>
                <w:tab w:val="left" w:pos="1410"/>
              </w:tabs>
              <w:jc w:val="both"/>
            </w:pPr>
            <w:r w:rsidRPr="00EA1411">
              <w:t>English</w:t>
            </w:r>
            <w:r w:rsidR="00375413">
              <w:t xml:space="preserve">, </w:t>
            </w:r>
            <w:r w:rsidR="00375413" w:rsidRPr="00375413">
              <w:rPr>
                <w:rFonts w:cs="Arial"/>
                <w:color w:val="0070C0"/>
              </w:rPr>
              <w:t>French, Portuguese and Spanish as demanded</w:t>
            </w:r>
          </w:p>
        </w:tc>
      </w:tr>
      <w:tr w:rsidR="001A3656" w:rsidRPr="00EA1411" w:rsidTr="0088263E">
        <w:trPr>
          <w:trHeight w:val="260"/>
        </w:trPr>
        <w:tc>
          <w:tcPr>
            <w:tcW w:w="2178" w:type="dxa"/>
            <w:shd w:val="clear" w:color="auto" w:fill="D9D9D9" w:themeFill="background1" w:themeFillShade="D9"/>
            <w:vAlign w:val="center"/>
          </w:tcPr>
          <w:p w:rsidR="001A3656" w:rsidRPr="00EA1411" w:rsidRDefault="001A3656" w:rsidP="00FF0654">
            <w:pPr>
              <w:tabs>
                <w:tab w:val="left" w:pos="1410"/>
              </w:tabs>
              <w:jc w:val="both"/>
              <w:rPr>
                <w:b/>
              </w:rPr>
            </w:pPr>
            <w:r w:rsidRPr="00EA1411">
              <w:rPr>
                <w:b/>
              </w:rPr>
              <w:t>Duty Station</w:t>
            </w:r>
          </w:p>
        </w:tc>
        <w:tc>
          <w:tcPr>
            <w:tcW w:w="7398" w:type="dxa"/>
            <w:vAlign w:val="center"/>
          </w:tcPr>
          <w:p w:rsidR="001A3656" w:rsidRPr="00EA1411" w:rsidRDefault="000B1587" w:rsidP="007626E5">
            <w:pPr>
              <w:jc w:val="both"/>
              <w:rPr>
                <w:rFonts w:eastAsia="Times New Roman" w:cs="Times New Roman"/>
              </w:rPr>
            </w:pPr>
            <w:r>
              <w:rPr>
                <w:rFonts w:eastAsia="Times New Roman" w:cs="Times New Roman"/>
              </w:rPr>
              <w:t xml:space="preserve">Various </w:t>
            </w:r>
          </w:p>
        </w:tc>
      </w:tr>
      <w:tr w:rsidR="0088263E" w:rsidRPr="00EA1411" w:rsidTr="0088263E">
        <w:trPr>
          <w:trHeight w:val="260"/>
        </w:trPr>
        <w:tc>
          <w:tcPr>
            <w:tcW w:w="2178" w:type="dxa"/>
            <w:shd w:val="clear" w:color="auto" w:fill="D9D9D9" w:themeFill="background1" w:themeFillShade="D9"/>
            <w:vAlign w:val="center"/>
          </w:tcPr>
          <w:p w:rsidR="0088263E" w:rsidRPr="00EA1411" w:rsidRDefault="0088263E" w:rsidP="00FF0654">
            <w:pPr>
              <w:tabs>
                <w:tab w:val="left" w:pos="1410"/>
              </w:tabs>
              <w:jc w:val="both"/>
              <w:rPr>
                <w:b/>
              </w:rPr>
            </w:pPr>
            <w:r w:rsidRPr="00EA1411">
              <w:rPr>
                <w:b/>
              </w:rPr>
              <w:t>Duration of Initial Contract:</w:t>
            </w:r>
          </w:p>
        </w:tc>
        <w:tc>
          <w:tcPr>
            <w:tcW w:w="7398" w:type="dxa"/>
            <w:vAlign w:val="center"/>
          </w:tcPr>
          <w:p w:rsidR="0088263E" w:rsidRPr="00EA1411" w:rsidRDefault="00D3419A" w:rsidP="00FF0654">
            <w:pPr>
              <w:tabs>
                <w:tab w:val="left" w:pos="1410"/>
              </w:tabs>
              <w:jc w:val="both"/>
            </w:pPr>
            <w:r w:rsidRPr="00EA1411">
              <w:rPr>
                <w:rFonts w:eastAsia="Times New Roman" w:cs="Times New Roman"/>
              </w:rPr>
              <w:t>Varies from a few days to several months</w:t>
            </w:r>
          </w:p>
        </w:tc>
      </w:tr>
    </w:tbl>
    <w:p w:rsidR="009E2B22" w:rsidRPr="00235AB8" w:rsidRDefault="008C0B0A" w:rsidP="00FF0654">
      <w:pPr>
        <w:tabs>
          <w:tab w:val="left" w:pos="1410"/>
        </w:tabs>
        <w:spacing w:after="60"/>
        <w:jc w:val="both"/>
        <w:rPr>
          <w:b/>
          <w:color w:val="0070C0"/>
        </w:rPr>
      </w:pPr>
      <w:r>
        <w:rPr>
          <w:b/>
          <w:color w:val="0070C0"/>
        </w:rPr>
        <w:br/>
      </w:r>
      <w:r w:rsidR="009E2B22" w:rsidRPr="00235AB8">
        <w:rPr>
          <w:b/>
          <w:color w:val="0070C0"/>
        </w:rPr>
        <w:t>BACKGROUND</w:t>
      </w:r>
    </w:p>
    <w:tbl>
      <w:tblPr>
        <w:tblStyle w:val="TableGrid"/>
        <w:tblW w:w="0" w:type="auto"/>
        <w:tblLook w:val="04A0" w:firstRow="1" w:lastRow="0" w:firstColumn="1" w:lastColumn="0" w:noHBand="0" w:noVBand="1"/>
      </w:tblPr>
      <w:tblGrid>
        <w:gridCol w:w="9010"/>
      </w:tblGrid>
      <w:tr w:rsidR="0065710B" w:rsidRPr="00235AB8" w:rsidTr="0065710B">
        <w:tc>
          <w:tcPr>
            <w:tcW w:w="9576" w:type="dxa"/>
          </w:tcPr>
          <w:p w:rsidR="00A41BC7" w:rsidRPr="00B263A2" w:rsidRDefault="00AB19A8" w:rsidP="00FF0654">
            <w:pPr>
              <w:jc w:val="both"/>
              <w:rPr>
                <w:sz w:val="24"/>
                <w:szCs w:val="24"/>
              </w:rPr>
            </w:pPr>
            <w:r w:rsidRPr="00B263A2">
              <w:rPr>
                <w:sz w:val="24"/>
                <w:szCs w:val="24"/>
              </w:rPr>
              <w:t xml:space="preserve">As a trusted and neutral multilateral partner </w:t>
            </w:r>
            <w:r w:rsidR="00F2597F" w:rsidRPr="00B263A2">
              <w:rPr>
                <w:sz w:val="24"/>
                <w:szCs w:val="24"/>
              </w:rPr>
              <w:t xml:space="preserve">working in </w:t>
            </w:r>
            <w:r w:rsidR="00D128DF" w:rsidRPr="00B263A2">
              <w:rPr>
                <w:sz w:val="24"/>
                <w:szCs w:val="24"/>
              </w:rPr>
              <w:t>around</w:t>
            </w:r>
            <w:r w:rsidR="00F2597F" w:rsidRPr="00B263A2">
              <w:rPr>
                <w:sz w:val="24"/>
                <w:szCs w:val="24"/>
              </w:rPr>
              <w:t xml:space="preserve"> 170</w:t>
            </w:r>
            <w:r w:rsidRPr="00B263A2">
              <w:rPr>
                <w:sz w:val="24"/>
                <w:szCs w:val="24"/>
              </w:rPr>
              <w:t xml:space="preserve"> countries and territories around the world, the United Nations Development Programme (UNDP) </w:t>
            </w:r>
            <w:proofErr w:type="gramStart"/>
            <w:r w:rsidRPr="00B263A2">
              <w:rPr>
                <w:sz w:val="24"/>
                <w:szCs w:val="24"/>
              </w:rPr>
              <w:t>is uniquely positioned</w:t>
            </w:r>
            <w:proofErr w:type="gramEnd"/>
            <w:r w:rsidRPr="00B263A2">
              <w:rPr>
                <w:sz w:val="24"/>
                <w:szCs w:val="24"/>
              </w:rPr>
              <w:t xml:space="preserve"> to advocate for transformative change, connect countries to the knowledge and resources they require to promote sustainable human development and to coordinate the efforts of the United Nations at the country level.</w:t>
            </w:r>
          </w:p>
          <w:p w:rsidR="00FB3481" w:rsidRPr="00B263A2" w:rsidRDefault="00FB3481" w:rsidP="00FF0654">
            <w:pPr>
              <w:jc w:val="both"/>
              <w:rPr>
                <w:sz w:val="24"/>
                <w:szCs w:val="24"/>
              </w:rPr>
            </w:pPr>
          </w:p>
          <w:p w:rsidR="00AB19A8" w:rsidRPr="00B263A2" w:rsidRDefault="00AB19A8" w:rsidP="00FF0654">
            <w:pPr>
              <w:jc w:val="both"/>
              <w:rPr>
                <w:sz w:val="24"/>
                <w:szCs w:val="24"/>
              </w:rPr>
            </w:pPr>
            <w:r w:rsidRPr="00B263A2">
              <w:rPr>
                <w:sz w:val="24"/>
                <w:szCs w:val="24"/>
              </w:rPr>
              <w:t xml:space="preserve">Aiming to eradicate poverty, violence and hunger, UNDP supports countries in Africa to translate economic growth into long-lasting, inclusive human development. The </w:t>
            </w:r>
            <w:r w:rsidR="00B263A2" w:rsidRPr="00B263A2">
              <w:rPr>
                <w:sz w:val="24"/>
                <w:szCs w:val="24"/>
              </w:rPr>
              <w:t>organization</w:t>
            </w:r>
            <w:r w:rsidRPr="00B263A2">
              <w:rPr>
                <w:sz w:val="24"/>
                <w:szCs w:val="24"/>
              </w:rPr>
              <w:t xml:space="preserve"> works with governments, businesses, communities and regional </w:t>
            </w:r>
            <w:r w:rsidR="00B263A2" w:rsidRPr="00B263A2">
              <w:rPr>
                <w:sz w:val="24"/>
                <w:szCs w:val="24"/>
              </w:rPr>
              <w:t>organizations</w:t>
            </w:r>
            <w:r w:rsidRPr="00B263A2">
              <w:rPr>
                <w:sz w:val="24"/>
                <w:szCs w:val="24"/>
              </w:rPr>
              <w:t>, helping countries to develop capacity, share knowledge and mobilize funds for sustainable development.</w:t>
            </w:r>
          </w:p>
          <w:p w:rsidR="00FF0654" w:rsidRPr="00B263A2" w:rsidRDefault="00FF0654" w:rsidP="00FF0654">
            <w:pPr>
              <w:jc w:val="both"/>
              <w:rPr>
                <w:sz w:val="24"/>
                <w:szCs w:val="24"/>
              </w:rPr>
            </w:pPr>
          </w:p>
          <w:p w:rsidR="00AB19A8" w:rsidRPr="00B263A2" w:rsidRDefault="00AB19A8" w:rsidP="00FF0654">
            <w:pPr>
              <w:jc w:val="both"/>
              <w:rPr>
                <w:sz w:val="24"/>
                <w:szCs w:val="24"/>
              </w:rPr>
            </w:pPr>
            <w:r w:rsidRPr="00B263A2">
              <w:rPr>
                <w:sz w:val="24"/>
                <w:szCs w:val="24"/>
              </w:rPr>
              <w:t>In 2014, UNDP started implementing its new strategic plan to become more driven, results-oriented, and efficient. The plan will ensure UNDP will be fit for purpose and make the best use of the resources trusted to it. Making an impact on country level and the ability to make prominent contributions to the global development dialogue are key objectives of the plan.</w:t>
            </w:r>
          </w:p>
          <w:p w:rsidR="00FF0654" w:rsidRPr="00B263A2" w:rsidRDefault="00FF0654" w:rsidP="00FF0654">
            <w:pPr>
              <w:jc w:val="both"/>
              <w:rPr>
                <w:sz w:val="24"/>
                <w:szCs w:val="24"/>
              </w:rPr>
            </w:pPr>
          </w:p>
          <w:p w:rsidR="00FF0654" w:rsidRPr="00B263A2" w:rsidRDefault="00FF0654" w:rsidP="00FF0654">
            <w:pPr>
              <w:rPr>
                <w:sz w:val="24"/>
              </w:rPr>
            </w:pPr>
            <w:r w:rsidRPr="00B263A2">
              <w:rPr>
                <w:sz w:val="24"/>
              </w:rPr>
              <w:t xml:space="preserve">In line with its regional orientation and focus, the key partners for implementation of the Regional Programme are the African Union (AU) and its subsidiary bodies, especially the Regional Economic Communities (RECs) with special attention to South-South and triangular </w:t>
            </w:r>
            <w:r w:rsidR="00FB3481" w:rsidRPr="00B263A2">
              <w:rPr>
                <w:sz w:val="24"/>
              </w:rPr>
              <w:t xml:space="preserve">approaches and </w:t>
            </w:r>
            <w:r w:rsidRPr="00B263A2">
              <w:rPr>
                <w:sz w:val="24"/>
              </w:rPr>
              <w:t xml:space="preserve">measures to foster complementarity with Global and Country </w:t>
            </w:r>
            <w:proofErr w:type="spellStart"/>
            <w:r w:rsidRPr="00B263A2">
              <w:rPr>
                <w:sz w:val="24"/>
              </w:rPr>
              <w:t>Programmes</w:t>
            </w:r>
            <w:proofErr w:type="spellEnd"/>
            <w:r w:rsidRPr="00B263A2">
              <w:rPr>
                <w:sz w:val="24"/>
              </w:rPr>
              <w:t>.</w:t>
            </w:r>
          </w:p>
          <w:p w:rsidR="00FB3481" w:rsidRPr="00B263A2" w:rsidRDefault="00FB3481" w:rsidP="00FF0654">
            <w:pPr>
              <w:rPr>
                <w:sz w:val="24"/>
              </w:rPr>
            </w:pPr>
          </w:p>
          <w:p w:rsidR="00FF0654" w:rsidRPr="00B263A2" w:rsidRDefault="00FF0654" w:rsidP="00FB3481">
            <w:pPr>
              <w:jc w:val="both"/>
              <w:rPr>
                <w:sz w:val="24"/>
              </w:rPr>
            </w:pPr>
            <w:r w:rsidRPr="00B263A2">
              <w:rPr>
                <w:sz w:val="24"/>
              </w:rPr>
              <w:t xml:space="preserve">The UNDP regional </w:t>
            </w:r>
            <w:proofErr w:type="spellStart"/>
            <w:r w:rsidRPr="00B263A2">
              <w:rPr>
                <w:sz w:val="24"/>
              </w:rPr>
              <w:t>programme</w:t>
            </w:r>
            <w:proofErr w:type="spellEnd"/>
            <w:r w:rsidRPr="00B263A2">
              <w:rPr>
                <w:sz w:val="24"/>
              </w:rPr>
              <w:t xml:space="preserve"> aims at providing support t</w:t>
            </w:r>
            <w:r w:rsidR="00FB3481" w:rsidRPr="00B263A2">
              <w:rPr>
                <w:sz w:val="24"/>
              </w:rPr>
              <w:t xml:space="preserve">o implementation of the African </w:t>
            </w:r>
            <w:r w:rsidRPr="00B263A2">
              <w:rPr>
                <w:sz w:val="24"/>
              </w:rPr>
              <w:t>Union Vision 2063 - An integrated, prosperous and peac</w:t>
            </w:r>
            <w:r w:rsidR="00FB3481" w:rsidRPr="00B263A2">
              <w:rPr>
                <w:sz w:val="24"/>
              </w:rPr>
              <w:t xml:space="preserve">eful Africa, driven and managed by its own </w:t>
            </w:r>
            <w:r w:rsidRPr="00B263A2">
              <w:rPr>
                <w:sz w:val="24"/>
              </w:rPr>
              <w:t>citizens and representing a dynamic force in the international a</w:t>
            </w:r>
            <w:r w:rsidR="00FB3481" w:rsidRPr="00B263A2">
              <w:rPr>
                <w:sz w:val="24"/>
              </w:rPr>
              <w:t xml:space="preserve">rena as well as </w:t>
            </w:r>
            <w:r w:rsidRPr="00B263A2">
              <w:rPr>
                <w:sz w:val="24"/>
              </w:rPr>
              <w:t xml:space="preserve">the African Union Commission Strategic Plan. </w:t>
            </w:r>
          </w:p>
          <w:p w:rsidR="00FB3481" w:rsidRPr="00FF0654" w:rsidRDefault="00FB3481" w:rsidP="00FB3481">
            <w:pPr>
              <w:jc w:val="both"/>
            </w:pPr>
          </w:p>
          <w:p w:rsidR="00FF0654" w:rsidRPr="00FB3481" w:rsidRDefault="00FF0654" w:rsidP="00FB3481">
            <w:pPr>
              <w:jc w:val="center"/>
              <w:rPr>
                <w:i/>
              </w:rPr>
            </w:pPr>
            <w:r w:rsidRPr="00FB3481">
              <w:rPr>
                <w:i/>
              </w:rPr>
              <w:t>“Within the context of the evolving global development cooperation architecture,</w:t>
            </w:r>
          </w:p>
          <w:p w:rsidR="00FF0654" w:rsidRPr="00FB3481" w:rsidRDefault="00FF0654" w:rsidP="00FB3481">
            <w:pPr>
              <w:jc w:val="center"/>
              <w:rPr>
                <w:i/>
              </w:rPr>
            </w:pPr>
            <w:r w:rsidRPr="00FB3481">
              <w:rPr>
                <w:i/>
              </w:rPr>
              <w:t>including the Paris and Busan principles, UNDP will deepen partnerships for strategic</w:t>
            </w:r>
          </w:p>
          <w:p w:rsidR="00FF0654" w:rsidRPr="00FB3481" w:rsidRDefault="00FF0654" w:rsidP="00FB3481">
            <w:pPr>
              <w:jc w:val="center"/>
              <w:rPr>
                <w:i/>
              </w:rPr>
            </w:pPr>
            <w:r w:rsidRPr="00FB3481">
              <w:rPr>
                <w:i/>
              </w:rPr>
              <w:t>thinking, knowledge generation and exchange, capacity development, and resource</w:t>
            </w:r>
          </w:p>
          <w:p w:rsidR="00FF0654" w:rsidRPr="00FB3481" w:rsidRDefault="00FF0654" w:rsidP="00FB3481">
            <w:pPr>
              <w:jc w:val="center"/>
              <w:rPr>
                <w:i/>
              </w:rPr>
            </w:pPr>
            <w:r w:rsidRPr="00FB3481">
              <w:rPr>
                <w:i/>
              </w:rPr>
              <w:t>mobilization. To that end, a partnership and resource mobilization strategy will be</w:t>
            </w:r>
          </w:p>
          <w:p w:rsidR="00FF0654" w:rsidRPr="00FB3481" w:rsidRDefault="00FF0654" w:rsidP="00FB3481">
            <w:pPr>
              <w:jc w:val="center"/>
              <w:rPr>
                <w:i/>
              </w:rPr>
            </w:pPr>
            <w:r w:rsidRPr="00FB3481">
              <w:rPr>
                <w:i/>
              </w:rPr>
              <w:t xml:space="preserve">formulated at the outset of </w:t>
            </w:r>
            <w:proofErr w:type="spellStart"/>
            <w:r w:rsidRPr="00FB3481">
              <w:rPr>
                <w:i/>
              </w:rPr>
              <w:t>programme</w:t>
            </w:r>
            <w:proofErr w:type="spellEnd"/>
            <w:r w:rsidRPr="00FB3481">
              <w:rPr>
                <w:i/>
              </w:rPr>
              <w:t xml:space="preserve"> implementation.”</w:t>
            </w:r>
          </w:p>
          <w:p w:rsidR="00AB19A8" w:rsidRPr="00FF0654" w:rsidRDefault="00FF0654" w:rsidP="00FF0654">
            <w:proofErr w:type="gramStart"/>
            <w:r w:rsidRPr="00FF0654">
              <w:t>UNDP has allocated some core resources for implementa</w:t>
            </w:r>
            <w:r w:rsidR="00FB3481">
              <w:t xml:space="preserve">tion of the RPD and intends to </w:t>
            </w:r>
            <w:r w:rsidRPr="00FF0654">
              <w:t>mobilize an equal amount through various strategic partnerships with the overall aim to</w:t>
            </w:r>
            <w:r w:rsidR="00FB3481">
              <w:t xml:space="preserve"> enhance </w:t>
            </w:r>
            <w:r w:rsidRPr="00FF0654">
              <w:t>cooperation for development in the continent.</w:t>
            </w:r>
            <w:proofErr w:type="gramEnd"/>
            <w:r w:rsidRPr="00FF0654">
              <w:t xml:space="preserve"> </w:t>
            </w:r>
          </w:p>
          <w:p w:rsidR="00FB3481" w:rsidRDefault="00FB3481" w:rsidP="00FF0654">
            <w:pPr>
              <w:jc w:val="both"/>
            </w:pPr>
          </w:p>
          <w:p w:rsidR="00452E7F" w:rsidRDefault="003C7C90" w:rsidP="00FF0654">
            <w:pPr>
              <w:jc w:val="both"/>
            </w:pPr>
            <w:r>
              <w:lastRenderedPageBreak/>
              <w:t xml:space="preserve">In order </w:t>
            </w:r>
            <w:r w:rsidR="001A3656">
              <w:t xml:space="preserve">to ensure continued support to our </w:t>
            </w:r>
            <w:r w:rsidR="00B84671">
              <w:t xml:space="preserve">partnership and resource mobilization </w:t>
            </w:r>
            <w:r w:rsidR="001A3656">
              <w:t>initiatives</w:t>
            </w:r>
            <w:r w:rsidR="00036C99">
              <w:t xml:space="preserve">, </w:t>
            </w:r>
            <w:r w:rsidR="008A0BE4">
              <w:t xml:space="preserve">UNDP </w:t>
            </w:r>
            <w:r w:rsidR="001A3656">
              <w:t xml:space="preserve">invites candidates to send their applications </w:t>
            </w:r>
            <w:r w:rsidR="007700FE">
              <w:t xml:space="preserve">for </w:t>
            </w:r>
            <w:r w:rsidR="00B04BDC">
              <w:t xml:space="preserve">inclusion in </w:t>
            </w:r>
            <w:r w:rsidR="001A3656">
              <w:t xml:space="preserve">a </w:t>
            </w:r>
            <w:r w:rsidR="00395584">
              <w:t xml:space="preserve">Vetted </w:t>
            </w:r>
            <w:r w:rsidR="001A3656">
              <w:t xml:space="preserve">Roster </w:t>
            </w:r>
            <w:r w:rsidR="002A6ED7" w:rsidRPr="00C12052">
              <w:t>external</w:t>
            </w:r>
            <w:r w:rsidR="00452E7F" w:rsidRPr="00452E7F">
              <w:t xml:space="preserve"> experts. </w:t>
            </w:r>
            <w:r w:rsidR="00B04BDC">
              <w:t>The process of including candidates in the Expert Roster are described in the later sections of this advertisement</w:t>
            </w:r>
            <w:r w:rsidR="00452E7F" w:rsidRPr="00452E7F">
              <w:t>.</w:t>
            </w:r>
          </w:p>
          <w:p w:rsidR="0037796B" w:rsidRDefault="0037796B" w:rsidP="00FF0654">
            <w:pPr>
              <w:jc w:val="both"/>
            </w:pPr>
          </w:p>
          <w:p w:rsidR="006176C9" w:rsidRPr="00E87179" w:rsidRDefault="0037796B" w:rsidP="00E87179">
            <w:pPr>
              <w:jc w:val="both"/>
              <w:rPr>
                <w:b/>
              </w:rPr>
            </w:pPr>
            <w:r w:rsidRPr="00E87179">
              <w:rPr>
                <w:b/>
              </w:rPr>
              <w:t xml:space="preserve">To be considered for inclusion in the roster, applications would need to have expertise in one or more of </w:t>
            </w:r>
            <w:r w:rsidR="003C7C90" w:rsidRPr="00E87179">
              <w:rPr>
                <w:b/>
              </w:rPr>
              <w:t xml:space="preserve">the following </w:t>
            </w:r>
            <w:r w:rsidR="00AB19A8" w:rsidRPr="00E87179">
              <w:rPr>
                <w:b/>
              </w:rPr>
              <w:t>areas:</w:t>
            </w:r>
          </w:p>
          <w:p w:rsidR="0087456B" w:rsidRPr="006176C9" w:rsidRDefault="0087456B" w:rsidP="006176C9">
            <w:pPr>
              <w:pStyle w:val="ListParagraph"/>
              <w:numPr>
                <w:ilvl w:val="0"/>
                <w:numId w:val="34"/>
              </w:numPr>
              <w:jc w:val="both"/>
              <w:rPr>
                <w:b/>
              </w:rPr>
            </w:pPr>
            <w:r>
              <w:t>D</w:t>
            </w:r>
            <w:r w:rsidR="00FB3481">
              <w:t>evelopment cooperat</w:t>
            </w:r>
            <w:r>
              <w:t>ion</w:t>
            </w:r>
            <w:r w:rsidR="00DA1181">
              <w:t xml:space="preserve"> and related frameworks such as the SDGs</w:t>
            </w:r>
          </w:p>
          <w:p w:rsidR="0087456B" w:rsidRDefault="0087456B" w:rsidP="006176C9">
            <w:pPr>
              <w:pStyle w:val="ListParagraph"/>
              <w:numPr>
                <w:ilvl w:val="0"/>
                <w:numId w:val="34"/>
              </w:numPr>
              <w:jc w:val="both"/>
            </w:pPr>
            <w:r>
              <w:t>D</w:t>
            </w:r>
            <w:r w:rsidR="00FB3481">
              <w:t xml:space="preserve">evelopment </w:t>
            </w:r>
            <w:r w:rsidR="00DA1181">
              <w:t xml:space="preserve">and implementation </w:t>
            </w:r>
            <w:r w:rsidR="00FB3481">
              <w:t xml:space="preserve">of partnership </w:t>
            </w:r>
            <w:r w:rsidR="00DA1181">
              <w:t xml:space="preserve">and resource mobilization </w:t>
            </w:r>
            <w:r>
              <w:t>strategies</w:t>
            </w:r>
          </w:p>
          <w:p w:rsidR="00FB3481" w:rsidRDefault="00DA1181" w:rsidP="006176C9">
            <w:pPr>
              <w:pStyle w:val="ListParagraph"/>
              <w:numPr>
                <w:ilvl w:val="0"/>
                <w:numId w:val="34"/>
              </w:numPr>
              <w:jc w:val="both"/>
            </w:pPr>
            <w:r>
              <w:t>Partnership development and r</w:t>
            </w:r>
            <w:r w:rsidR="00FB3481">
              <w:t xml:space="preserve">esource mobilization </w:t>
            </w:r>
          </w:p>
          <w:p w:rsidR="00452E7F" w:rsidRPr="00235AB8" w:rsidRDefault="00452E7F" w:rsidP="00FB3481">
            <w:pPr>
              <w:pStyle w:val="ListParagraph"/>
              <w:ind w:left="360"/>
              <w:contextualSpacing w:val="0"/>
              <w:jc w:val="both"/>
            </w:pPr>
          </w:p>
        </w:tc>
      </w:tr>
    </w:tbl>
    <w:p w:rsidR="00944F40" w:rsidRPr="00235AB8" w:rsidRDefault="008C0B0A" w:rsidP="00FF0654">
      <w:pPr>
        <w:tabs>
          <w:tab w:val="left" w:pos="1410"/>
        </w:tabs>
        <w:jc w:val="both"/>
        <w:rPr>
          <w:b/>
          <w:color w:val="0070C0"/>
        </w:rPr>
      </w:pPr>
      <w:r>
        <w:rPr>
          <w:b/>
          <w:color w:val="0070C0"/>
        </w:rPr>
        <w:lastRenderedPageBreak/>
        <w:br/>
      </w:r>
      <w:r w:rsidR="0088263E" w:rsidRPr="00235AB8">
        <w:rPr>
          <w:b/>
          <w:color w:val="0070C0"/>
        </w:rPr>
        <w:t>DUTIES AND RESPONSIBILITIES</w:t>
      </w:r>
    </w:p>
    <w:tbl>
      <w:tblPr>
        <w:tblStyle w:val="TableGrid"/>
        <w:tblW w:w="0" w:type="auto"/>
        <w:tblLook w:val="04A0" w:firstRow="1" w:lastRow="0" w:firstColumn="1" w:lastColumn="0" w:noHBand="0" w:noVBand="1"/>
      </w:tblPr>
      <w:tblGrid>
        <w:gridCol w:w="9010"/>
      </w:tblGrid>
      <w:tr w:rsidR="0065710B" w:rsidRPr="000C2462" w:rsidTr="00CF2085">
        <w:trPr>
          <w:trHeight w:val="980"/>
        </w:trPr>
        <w:tc>
          <w:tcPr>
            <w:tcW w:w="9576" w:type="dxa"/>
          </w:tcPr>
          <w:p w:rsidR="000604EB" w:rsidRPr="000C2462" w:rsidRDefault="00F5012E" w:rsidP="00FF0654">
            <w:pPr>
              <w:jc w:val="both"/>
            </w:pPr>
            <w:r w:rsidRPr="000C2462">
              <w:t xml:space="preserve"> </w:t>
            </w:r>
          </w:p>
          <w:p w:rsidR="00425FF0" w:rsidRPr="000C2462" w:rsidRDefault="00425FF0" w:rsidP="00FF0654">
            <w:pPr>
              <w:jc w:val="both"/>
              <w:rPr>
                <w:b/>
              </w:rPr>
            </w:pPr>
            <w:r w:rsidRPr="000C2462">
              <w:rPr>
                <w:b/>
              </w:rPr>
              <w:t xml:space="preserve">Tasks assigned in each individual assignment may include one or more of the </w:t>
            </w:r>
            <w:r w:rsidR="00A50DB1" w:rsidRPr="000C2462">
              <w:rPr>
                <w:b/>
              </w:rPr>
              <w:t>following:</w:t>
            </w:r>
          </w:p>
          <w:p w:rsidR="00735D7D" w:rsidRDefault="00735D7D" w:rsidP="006176C9">
            <w:pPr>
              <w:pStyle w:val="ListParagraph"/>
              <w:numPr>
                <w:ilvl w:val="0"/>
                <w:numId w:val="34"/>
              </w:numPr>
              <w:jc w:val="both"/>
            </w:pPr>
            <w:r>
              <w:t xml:space="preserve">Scans and identifies new prospective partners and resource </w:t>
            </w:r>
            <w:r w:rsidR="00E21634">
              <w:t>mobilization</w:t>
            </w:r>
            <w:r>
              <w:t xml:space="preserve"> opportunities and defines parameters and timelines for securing resources</w:t>
            </w:r>
            <w:r w:rsidR="00EE32EA">
              <w:t>.</w:t>
            </w:r>
            <w:r>
              <w:t xml:space="preserve"> </w:t>
            </w:r>
          </w:p>
          <w:p w:rsidR="00735D7D" w:rsidRDefault="00735D7D" w:rsidP="006176C9">
            <w:pPr>
              <w:pStyle w:val="ListParagraph"/>
              <w:numPr>
                <w:ilvl w:val="0"/>
                <w:numId w:val="34"/>
              </w:numPr>
              <w:jc w:val="both"/>
            </w:pPr>
            <w:r>
              <w:t xml:space="preserve">Develops differentiated partnership and resource mobilization approaches based on country classification, case studies and global best practice. </w:t>
            </w:r>
          </w:p>
          <w:p w:rsidR="008201F2" w:rsidRDefault="00EE32EA" w:rsidP="006176C9">
            <w:pPr>
              <w:pStyle w:val="ListParagraph"/>
              <w:numPr>
                <w:ilvl w:val="0"/>
                <w:numId w:val="34"/>
              </w:numPr>
              <w:jc w:val="both"/>
            </w:pPr>
            <w:r w:rsidRPr="00EE32EA">
              <w:t>Supports the development and provides advice to partnership and resource mobilization strategies</w:t>
            </w:r>
            <w:r>
              <w:t>.</w:t>
            </w:r>
          </w:p>
          <w:p w:rsidR="00EE32EA" w:rsidRPr="008201F2" w:rsidRDefault="00EE32EA" w:rsidP="006176C9">
            <w:pPr>
              <w:pStyle w:val="ListParagraph"/>
              <w:numPr>
                <w:ilvl w:val="0"/>
                <w:numId w:val="34"/>
              </w:numPr>
              <w:jc w:val="both"/>
            </w:pPr>
            <w:r w:rsidRPr="00EE32EA">
              <w:t>Support the creation and strengthening of key country partnerships that contribute to UNDP’s core mission, mandate, and achievement of development results, including securing resource commitments, where possible</w:t>
            </w:r>
            <w:r>
              <w:t>.</w:t>
            </w:r>
          </w:p>
          <w:p w:rsidR="00EC70F7" w:rsidRPr="008201F2" w:rsidRDefault="008201F2" w:rsidP="006176C9">
            <w:pPr>
              <w:pStyle w:val="ListParagraph"/>
              <w:numPr>
                <w:ilvl w:val="0"/>
                <w:numId w:val="34"/>
              </w:numPr>
              <w:jc w:val="both"/>
            </w:pPr>
            <w:r w:rsidRPr="008201F2">
              <w:t>Strong positioning of UNDP</w:t>
            </w:r>
            <w:r w:rsidR="001F6659">
              <w:t xml:space="preserve"> </w:t>
            </w:r>
            <w:r w:rsidR="00735D7D">
              <w:t>as a partner of choice</w:t>
            </w:r>
            <w:r w:rsidR="00EE32EA">
              <w:t xml:space="preserve"> and f</w:t>
            </w:r>
            <w:r w:rsidRPr="008201F2">
              <w:t>acilitation of knowledge</w:t>
            </w:r>
            <w:r w:rsidR="001F6659">
              <w:t xml:space="preserve"> building and knowledge sharing</w:t>
            </w:r>
            <w:r w:rsidR="00EE32EA">
              <w:t>.</w:t>
            </w:r>
          </w:p>
          <w:p w:rsidR="0087456B" w:rsidRDefault="0087456B" w:rsidP="006176C9">
            <w:pPr>
              <w:pStyle w:val="ListParagraph"/>
              <w:numPr>
                <w:ilvl w:val="0"/>
                <w:numId w:val="34"/>
              </w:numPr>
              <w:jc w:val="both"/>
            </w:pPr>
            <w:r>
              <w:t>Desk review of relevant documents for a better understanding of context and UNDP’s programmatic support to the 46 Sub-Saharan countries for which the Centre has responsibility</w:t>
            </w:r>
          </w:p>
          <w:p w:rsidR="0087456B" w:rsidRDefault="00735D7D" w:rsidP="006176C9">
            <w:pPr>
              <w:pStyle w:val="ListParagraph"/>
              <w:numPr>
                <w:ilvl w:val="0"/>
                <w:numId w:val="34"/>
              </w:numPr>
              <w:jc w:val="both"/>
            </w:pPr>
            <w:r>
              <w:t>Development and/or r</w:t>
            </w:r>
            <w:r w:rsidR="0087456B">
              <w:t xml:space="preserve">eview </w:t>
            </w:r>
            <w:r>
              <w:t xml:space="preserve">of draft </w:t>
            </w:r>
            <w:r w:rsidR="0087456B">
              <w:t>strategy documents</w:t>
            </w:r>
            <w:r w:rsidR="00EE32EA">
              <w:t>.</w:t>
            </w:r>
          </w:p>
          <w:p w:rsidR="0087456B" w:rsidRDefault="0087456B" w:rsidP="006176C9">
            <w:pPr>
              <w:pStyle w:val="ListParagraph"/>
              <w:numPr>
                <w:ilvl w:val="0"/>
                <w:numId w:val="34"/>
              </w:numPr>
              <w:jc w:val="both"/>
            </w:pPr>
            <w:r>
              <w:t xml:space="preserve">Liaise with the UNDP Bureau of External Relations (BERA) and concerned staff to ensure synergy with Corporate Resource Mobilization </w:t>
            </w:r>
            <w:r w:rsidR="008201F2">
              <w:t>strategies</w:t>
            </w:r>
            <w:r w:rsidR="00EE32EA">
              <w:t>.</w:t>
            </w:r>
          </w:p>
          <w:p w:rsidR="008201F2" w:rsidRDefault="008201F2" w:rsidP="006176C9">
            <w:pPr>
              <w:pStyle w:val="ListParagraph"/>
              <w:numPr>
                <w:ilvl w:val="0"/>
                <w:numId w:val="34"/>
              </w:numPr>
              <w:jc w:val="both"/>
            </w:pPr>
            <w:r>
              <w:t xml:space="preserve">Organize and </w:t>
            </w:r>
            <w:r w:rsidR="00735D7D">
              <w:t>facilitate partner consultations</w:t>
            </w:r>
            <w:r w:rsidR="00EE32EA">
              <w:t>.</w:t>
            </w:r>
            <w:r w:rsidR="0087456B">
              <w:t xml:space="preserve"> </w:t>
            </w:r>
          </w:p>
          <w:p w:rsidR="0087456B" w:rsidRDefault="0087456B" w:rsidP="006176C9">
            <w:pPr>
              <w:pStyle w:val="ListParagraph"/>
              <w:numPr>
                <w:ilvl w:val="0"/>
                <w:numId w:val="34"/>
              </w:numPr>
              <w:jc w:val="both"/>
            </w:pPr>
            <w:r>
              <w:t>Support</w:t>
            </w:r>
            <w:r w:rsidR="008201F2">
              <w:t xml:space="preserve"> </w:t>
            </w:r>
            <w:r>
              <w:t>effort</w:t>
            </w:r>
            <w:r w:rsidR="00735D7D">
              <w:t>s</w:t>
            </w:r>
            <w:r>
              <w:t xml:space="preserve"> to build partnerships and mobilize an appropriate and sustainable funding base</w:t>
            </w:r>
            <w:r w:rsidR="00EE32EA">
              <w:t>.</w:t>
            </w:r>
          </w:p>
          <w:p w:rsidR="00735D7D" w:rsidRDefault="008201F2" w:rsidP="006176C9">
            <w:pPr>
              <w:pStyle w:val="ListParagraph"/>
              <w:numPr>
                <w:ilvl w:val="0"/>
                <w:numId w:val="34"/>
              </w:numPr>
              <w:jc w:val="both"/>
            </w:pPr>
            <w:r>
              <w:t>Develop</w:t>
            </w:r>
            <w:r w:rsidR="0087456B">
              <w:t xml:space="preserve"> country office partnerships building and resource mobilization strategy, tools and procedures</w:t>
            </w:r>
            <w:r w:rsidR="00EE32EA">
              <w:t>.</w:t>
            </w:r>
            <w:r w:rsidR="0087456B">
              <w:t xml:space="preserve"> </w:t>
            </w:r>
          </w:p>
          <w:p w:rsidR="008201F2" w:rsidRDefault="00735D7D" w:rsidP="006176C9">
            <w:pPr>
              <w:pStyle w:val="ListParagraph"/>
              <w:numPr>
                <w:ilvl w:val="0"/>
                <w:numId w:val="34"/>
              </w:numPr>
              <w:jc w:val="both"/>
            </w:pPr>
            <w:r>
              <w:t>C</w:t>
            </w:r>
            <w:r w:rsidR="0087456B">
              <w:t>oordinates donor intelligence</w:t>
            </w:r>
            <w:r>
              <w:t xml:space="preserve"> gathering</w:t>
            </w:r>
            <w:r w:rsidR="0087456B">
              <w:t>, support strengthening of UNDP position within the UN family and strategic partnerships with government,</w:t>
            </w:r>
            <w:r w:rsidR="008201F2">
              <w:t xml:space="preserve"> donors, private sector and CSO</w:t>
            </w:r>
            <w:r w:rsidR="00EE32EA">
              <w:t>.</w:t>
            </w:r>
          </w:p>
          <w:p w:rsidR="008201F2" w:rsidRDefault="008201F2" w:rsidP="006176C9">
            <w:pPr>
              <w:pStyle w:val="ListParagraph"/>
              <w:numPr>
                <w:ilvl w:val="0"/>
                <w:numId w:val="34"/>
              </w:numPr>
              <w:jc w:val="both"/>
            </w:pPr>
            <w:r>
              <w:t>C</w:t>
            </w:r>
            <w:r w:rsidR="0087456B">
              <w:t xml:space="preserve">arry out </w:t>
            </w:r>
            <w:r w:rsidR="001F6659">
              <w:t>a close</w:t>
            </w:r>
            <w:r w:rsidR="0087456B">
              <w:t xml:space="preserve"> cooperation with other Management staff, Program</w:t>
            </w:r>
            <w:r>
              <w:t>me, Operations and other Teams</w:t>
            </w:r>
            <w:r w:rsidR="00EE32EA">
              <w:t>.</w:t>
            </w:r>
          </w:p>
          <w:p w:rsidR="0087456B" w:rsidRDefault="008201F2" w:rsidP="006176C9">
            <w:pPr>
              <w:pStyle w:val="ListParagraph"/>
              <w:numPr>
                <w:ilvl w:val="0"/>
                <w:numId w:val="34"/>
              </w:numPr>
              <w:jc w:val="both"/>
            </w:pPr>
            <w:r>
              <w:t>M</w:t>
            </w:r>
            <w:r w:rsidR="0087456B">
              <w:t>aintain a network with colleagues from UNDP, UN Agencies, Government officials, multi-lateral and bi-lateral donors, private sector and civil society</w:t>
            </w:r>
            <w:r w:rsidR="00EE32EA">
              <w:t>.</w:t>
            </w:r>
          </w:p>
          <w:p w:rsidR="00735D7D" w:rsidRDefault="001F6659" w:rsidP="006176C9">
            <w:pPr>
              <w:pStyle w:val="ListParagraph"/>
              <w:numPr>
                <w:ilvl w:val="0"/>
                <w:numId w:val="34"/>
              </w:numPr>
              <w:jc w:val="both"/>
            </w:pPr>
            <w:r>
              <w:t xml:space="preserve">Prepare and present </w:t>
            </w:r>
            <w:r w:rsidR="008201F2">
              <w:t>the outcomes</w:t>
            </w:r>
            <w:r>
              <w:t xml:space="preserve"> in workshops</w:t>
            </w:r>
            <w:r w:rsidR="00EE32EA">
              <w:t>.</w:t>
            </w:r>
          </w:p>
          <w:p w:rsidR="00735D7D" w:rsidRPr="00735D7D" w:rsidRDefault="00735D7D" w:rsidP="006176C9">
            <w:pPr>
              <w:pStyle w:val="ListParagraph"/>
              <w:numPr>
                <w:ilvl w:val="0"/>
                <w:numId w:val="34"/>
              </w:numPr>
              <w:jc w:val="both"/>
            </w:pPr>
            <w:r w:rsidRPr="00735D7D">
              <w:t xml:space="preserve">Perform research and proactive opportunity identification and outreach to develop an ongoing pipeline of potential partners </w:t>
            </w:r>
            <w:r>
              <w:t xml:space="preserve">including </w:t>
            </w:r>
            <w:r w:rsidRPr="00735D7D">
              <w:t xml:space="preserve">emerging partners. </w:t>
            </w:r>
          </w:p>
          <w:p w:rsidR="0087456B" w:rsidRPr="000C2462" w:rsidRDefault="0087456B" w:rsidP="0087456B">
            <w:pPr>
              <w:jc w:val="both"/>
            </w:pPr>
          </w:p>
        </w:tc>
      </w:tr>
    </w:tbl>
    <w:p w:rsidR="001A190A" w:rsidRDefault="001A190A">
      <w:pPr>
        <w:rPr>
          <w:b/>
          <w:color w:val="0070C0"/>
        </w:rPr>
      </w:pPr>
    </w:p>
    <w:p w:rsidR="0088263E" w:rsidRPr="00235AB8" w:rsidRDefault="00043533" w:rsidP="00FF0654">
      <w:pPr>
        <w:tabs>
          <w:tab w:val="left" w:pos="1410"/>
        </w:tabs>
        <w:spacing w:after="120"/>
        <w:jc w:val="both"/>
        <w:rPr>
          <w:b/>
          <w:color w:val="0070C0"/>
        </w:rPr>
      </w:pPr>
      <w:r>
        <w:rPr>
          <w:b/>
          <w:color w:val="0070C0"/>
        </w:rPr>
        <w:t xml:space="preserve">FUNCTIONAL </w:t>
      </w:r>
      <w:r w:rsidR="0088263E" w:rsidRPr="00235AB8">
        <w:rPr>
          <w:b/>
          <w:color w:val="0070C0"/>
        </w:rPr>
        <w:t>COMPETENCIES</w:t>
      </w:r>
    </w:p>
    <w:tbl>
      <w:tblPr>
        <w:tblStyle w:val="TableGrid"/>
        <w:tblW w:w="0" w:type="auto"/>
        <w:tblLook w:val="04A0" w:firstRow="1" w:lastRow="0" w:firstColumn="1" w:lastColumn="0" w:noHBand="0" w:noVBand="1"/>
      </w:tblPr>
      <w:tblGrid>
        <w:gridCol w:w="9010"/>
      </w:tblGrid>
      <w:tr w:rsidR="0088263E" w:rsidRPr="00235AB8" w:rsidTr="0088263E">
        <w:tc>
          <w:tcPr>
            <w:tcW w:w="9576" w:type="dxa"/>
          </w:tcPr>
          <w:p w:rsidR="00576BC3" w:rsidRDefault="00576BC3" w:rsidP="00576BC3">
            <w:pPr>
              <w:rPr>
                <w:rFonts w:ascii="Calibri" w:hAnsi="Calibri"/>
                <w:u w:val="single"/>
                <w:lang w:val="en-ZA"/>
              </w:rPr>
            </w:pPr>
            <w:r>
              <w:rPr>
                <w:rFonts w:ascii="Calibri" w:hAnsi="Calibri"/>
                <w:u w:val="single"/>
                <w:lang w:val="en-ZA"/>
              </w:rPr>
              <w:lastRenderedPageBreak/>
              <w:t>Professionalism</w:t>
            </w:r>
          </w:p>
          <w:p w:rsidR="00576BC3" w:rsidRPr="00576BC3" w:rsidRDefault="00576BC3" w:rsidP="006176C9">
            <w:pPr>
              <w:pStyle w:val="ListParagraph"/>
              <w:numPr>
                <w:ilvl w:val="0"/>
                <w:numId w:val="34"/>
              </w:numPr>
              <w:jc w:val="both"/>
            </w:pPr>
            <w:r w:rsidRPr="00576BC3">
              <w:t>Capable of working in a high pressure environment with sharp and frequent deadlines, managing</w:t>
            </w:r>
            <w:r>
              <w:t xml:space="preserve"> </w:t>
            </w:r>
            <w:r w:rsidRPr="00576BC3">
              <w:t>many tasks simultaneously;</w:t>
            </w:r>
          </w:p>
          <w:p w:rsidR="00576BC3" w:rsidRPr="00576BC3" w:rsidRDefault="00576BC3" w:rsidP="006176C9">
            <w:pPr>
              <w:pStyle w:val="ListParagraph"/>
              <w:numPr>
                <w:ilvl w:val="0"/>
                <w:numId w:val="34"/>
              </w:numPr>
              <w:jc w:val="both"/>
            </w:pPr>
            <w:r w:rsidRPr="00576BC3">
              <w:t>Excellent analytical and organizational skills;</w:t>
            </w:r>
          </w:p>
          <w:p w:rsidR="00576BC3" w:rsidRPr="00576BC3" w:rsidRDefault="00576BC3" w:rsidP="006176C9">
            <w:pPr>
              <w:pStyle w:val="ListParagraph"/>
              <w:numPr>
                <w:ilvl w:val="0"/>
                <w:numId w:val="34"/>
              </w:numPr>
              <w:jc w:val="both"/>
            </w:pPr>
            <w:r w:rsidRPr="00576BC3">
              <w:t>Exercise the highest level of responsibility and be able to handle confidential and politically sensitive issues in a responsible and mature manner.</w:t>
            </w:r>
          </w:p>
          <w:p w:rsidR="00576BC3" w:rsidRDefault="00576BC3" w:rsidP="00576BC3">
            <w:pPr>
              <w:rPr>
                <w:rFonts w:ascii="Calibri" w:hAnsi="Calibri"/>
                <w:u w:val="single"/>
                <w:lang w:val="en-ZA"/>
              </w:rPr>
            </w:pPr>
            <w:r>
              <w:rPr>
                <w:rFonts w:ascii="Calibri" w:hAnsi="Calibri"/>
                <w:u w:val="single"/>
                <w:lang w:val="en-ZA"/>
              </w:rPr>
              <w:t>Communication</w:t>
            </w:r>
          </w:p>
          <w:p w:rsidR="00576BC3" w:rsidRPr="00576BC3" w:rsidRDefault="00576BC3" w:rsidP="006176C9">
            <w:pPr>
              <w:pStyle w:val="ListParagraph"/>
              <w:numPr>
                <w:ilvl w:val="0"/>
                <w:numId w:val="34"/>
              </w:numPr>
              <w:jc w:val="both"/>
            </w:pPr>
            <w:r w:rsidRPr="00576BC3">
              <w:t>Excellent writing and verbal communication skills;</w:t>
            </w:r>
          </w:p>
          <w:p w:rsidR="00576BC3" w:rsidRDefault="00576BC3" w:rsidP="006176C9">
            <w:pPr>
              <w:pStyle w:val="ListParagraph"/>
              <w:numPr>
                <w:ilvl w:val="0"/>
                <w:numId w:val="34"/>
              </w:numPr>
              <w:jc w:val="both"/>
              <w:rPr>
                <w:rFonts w:ascii="Calibri" w:hAnsi="Calibri"/>
                <w:lang w:val="en-ZA"/>
              </w:rPr>
            </w:pPr>
            <w:r w:rsidRPr="00576BC3">
              <w:t>Communicate effectively in writing to a varied and broad audience in a simple and concise</w:t>
            </w:r>
            <w:r w:rsidRPr="006176C9">
              <w:t xml:space="preserve"> manner</w:t>
            </w:r>
            <w:r>
              <w:rPr>
                <w:rFonts w:ascii="Calibri" w:hAnsi="Calibri"/>
                <w:lang w:val="en-ZA"/>
              </w:rPr>
              <w:t>.</w:t>
            </w:r>
          </w:p>
          <w:p w:rsidR="00576BC3" w:rsidRDefault="00576BC3" w:rsidP="00576BC3">
            <w:pPr>
              <w:rPr>
                <w:rFonts w:ascii="Calibri" w:hAnsi="Calibri"/>
                <w:u w:val="single"/>
                <w:lang w:val="en-ZA"/>
              </w:rPr>
            </w:pPr>
            <w:r>
              <w:rPr>
                <w:rFonts w:ascii="Calibri" w:hAnsi="Calibri"/>
                <w:u w:val="single"/>
                <w:lang w:val="en-ZA"/>
              </w:rPr>
              <w:t>Teamwork</w:t>
            </w:r>
          </w:p>
          <w:p w:rsidR="00576BC3" w:rsidRPr="00576BC3" w:rsidRDefault="00576BC3" w:rsidP="006176C9">
            <w:pPr>
              <w:pStyle w:val="ListParagraph"/>
              <w:numPr>
                <w:ilvl w:val="0"/>
                <w:numId w:val="34"/>
              </w:numPr>
              <w:jc w:val="both"/>
            </w:pPr>
            <w:r w:rsidRPr="00576BC3">
              <w:t>Work well in a team to advance the priorities of the Regional Programme and UNDP as a whole;</w:t>
            </w:r>
          </w:p>
          <w:p w:rsidR="00576BC3" w:rsidRPr="00576BC3" w:rsidRDefault="00576BC3" w:rsidP="006176C9">
            <w:pPr>
              <w:pStyle w:val="ListParagraph"/>
              <w:numPr>
                <w:ilvl w:val="0"/>
                <w:numId w:val="34"/>
              </w:numPr>
              <w:jc w:val="both"/>
            </w:pPr>
            <w:r w:rsidRPr="00576BC3">
              <w:t>Projects a positive image and is ready to take on a wide range of tasks;</w:t>
            </w:r>
          </w:p>
          <w:p w:rsidR="00576BC3" w:rsidRPr="00576BC3" w:rsidRDefault="00576BC3" w:rsidP="006176C9">
            <w:pPr>
              <w:pStyle w:val="ListParagraph"/>
              <w:numPr>
                <w:ilvl w:val="0"/>
                <w:numId w:val="34"/>
              </w:numPr>
              <w:jc w:val="both"/>
            </w:pPr>
            <w:r w:rsidRPr="00576BC3">
              <w:t>Focuses on results for the client;</w:t>
            </w:r>
          </w:p>
          <w:p w:rsidR="00576BC3" w:rsidRPr="00576BC3" w:rsidRDefault="00576BC3" w:rsidP="006176C9">
            <w:pPr>
              <w:pStyle w:val="ListParagraph"/>
              <w:numPr>
                <w:ilvl w:val="0"/>
                <w:numId w:val="34"/>
              </w:numPr>
              <w:jc w:val="both"/>
            </w:pPr>
            <w:r w:rsidRPr="00576BC3">
              <w:t>Welcomes constructive feedback.</w:t>
            </w:r>
          </w:p>
          <w:p w:rsidR="00043533" w:rsidRPr="000B58D0" w:rsidRDefault="00043533" w:rsidP="00FF0654">
            <w:pPr>
              <w:pStyle w:val="ListParagraph"/>
              <w:widowControl w:val="0"/>
              <w:numPr>
                <w:ilvl w:val="0"/>
                <w:numId w:val="1"/>
              </w:numPr>
              <w:overflowPunct w:val="0"/>
              <w:adjustRightInd w:val="0"/>
              <w:jc w:val="both"/>
              <w:rPr>
                <w:b/>
                <w:color w:val="0070C0"/>
              </w:rPr>
            </w:pPr>
          </w:p>
        </w:tc>
      </w:tr>
    </w:tbl>
    <w:p w:rsidR="0088263E" w:rsidRPr="00235AB8" w:rsidRDefault="0088263E" w:rsidP="00FF0654">
      <w:pPr>
        <w:tabs>
          <w:tab w:val="left" w:pos="1410"/>
        </w:tabs>
        <w:jc w:val="both"/>
        <w:rPr>
          <w:b/>
          <w:color w:val="0070C0"/>
          <w:sz w:val="10"/>
          <w:szCs w:val="10"/>
        </w:rPr>
      </w:pPr>
    </w:p>
    <w:p w:rsidR="0088263E" w:rsidRPr="00235AB8" w:rsidRDefault="0088263E" w:rsidP="00FF0654">
      <w:pPr>
        <w:tabs>
          <w:tab w:val="left" w:pos="1410"/>
          <w:tab w:val="left" w:pos="3632"/>
        </w:tabs>
        <w:spacing w:after="120"/>
        <w:jc w:val="both"/>
        <w:rPr>
          <w:b/>
          <w:color w:val="0070C0"/>
        </w:rPr>
      </w:pPr>
      <w:r w:rsidRPr="00235AB8">
        <w:rPr>
          <w:b/>
          <w:color w:val="0070C0"/>
        </w:rPr>
        <w:t>REQUIRED SKILLS AND EXPERIENCE</w:t>
      </w:r>
      <w:r w:rsidR="002165F8" w:rsidRPr="00235AB8">
        <w:rPr>
          <w:b/>
          <w:color w:val="0070C0"/>
        </w:rPr>
        <w:tab/>
      </w:r>
    </w:p>
    <w:tbl>
      <w:tblPr>
        <w:tblStyle w:val="TableGrid"/>
        <w:tblW w:w="0" w:type="auto"/>
        <w:tblLook w:val="04A0" w:firstRow="1" w:lastRow="0" w:firstColumn="1" w:lastColumn="0" w:noHBand="0" w:noVBand="1"/>
      </w:tblPr>
      <w:tblGrid>
        <w:gridCol w:w="9010"/>
      </w:tblGrid>
      <w:tr w:rsidR="00443E94" w:rsidRPr="00235AB8" w:rsidTr="00443E94">
        <w:tc>
          <w:tcPr>
            <w:tcW w:w="9576" w:type="dxa"/>
          </w:tcPr>
          <w:p w:rsidR="0037796B" w:rsidRDefault="001A3656" w:rsidP="00FF0654">
            <w:pPr>
              <w:spacing w:before="80" w:after="60" w:line="288" w:lineRule="auto"/>
              <w:jc w:val="both"/>
              <w:rPr>
                <w:rFonts w:cs="Arial"/>
                <w:b/>
              </w:rPr>
            </w:pPr>
            <w:r w:rsidRPr="00614780">
              <w:rPr>
                <w:rFonts w:cs="Arial"/>
                <w:b/>
              </w:rPr>
              <w:t>Education, e</w:t>
            </w:r>
            <w:r w:rsidR="0037796B" w:rsidRPr="00614780">
              <w:rPr>
                <w:rFonts w:cs="Arial"/>
                <w:b/>
              </w:rPr>
              <w:t xml:space="preserve">xperience </w:t>
            </w:r>
            <w:r w:rsidRPr="00614780">
              <w:rPr>
                <w:rFonts w:cs="Arial"/>
                <w:b/>
              </w:rPr>
              <w:t xml:space="preserve">and skills </w:t>
            </w:r>
          </w:p>
          <w:p w:rsidR="00CC6AB6" w:rsidRDefault="00CC6AB6" w:rsidP="006176C9">
            <w:pPr>
              <w:pStyle w:val="ListParagraph"/>
              <w:numPr>
                <w:ilvl w:val="0"/>
                <w:numId w:val="34"/>
              </w:numPr>
              <w:jc w:val="both"/>
            </w:pPr>
            <w:r w:rsidRPr="006176C9">
              <w:rPr>
                <w:b/>
              </w:rPr>
              <w:t xml:space="preserve">Band 1, </w:t>
            </w:r>
            <w:r w:rsidR="00E21634" w:rsidRPr="006176C9">
              <w:rPr>
                <w:b/>
              </w:rPr>
              <w:t>Implementation Support</w:t>
            </w:r>
            <w:r w:rsidR="00E21634">
              <w:t>: Master</w:t>
            </w:r>
            <w:r w:rsidRPr="00F9431E">
              <w:t xml:space="preserve"> Degree in relevant field </w:t>
            </w:r>
            <w:r>
              <w:t>with m</w:t>
            </w:r>
            <w:r w:rsidRPr="00F9431E">
              <w:t>inimum 3 ye</w:t>
            </w:r>
            <w:r>
              <w:t>ars of releva</w:t>
            </w:r>
            <w:r w:rsidR="00E21634">
              <w:t>nt work experience, or Bachelor</w:t>
            </w:r>
            <w:r>
              <w:t xml:space="preserve"> Degree in relevant field with minimum 5 years of relevant work experience.</w:t>
            </w:r>
          </w:p>
          <w:p w:rsidR="00CC6AB6" w:rsidRDefault="00CC6AB6" w:rsidP="006176C9">
            <w:pPr>
              <w:pStyle w:val="ListParagraph"/>
              <w:numPr>
                <w:ilvl w:val="0"/>
                <w:numId w:val="34"/>
              </w:numPr>
              <w:jc w:val="both"/>
            </w:pPr>
            <w:r w:rsidRPr="006176C9">
              <w:rPr>
                <w:b/>
              </w:rPr>
              <w:t xml:space="preserve">Band 2, </w:t>
            </w:r>
            <w:r w:rsidR="00E21634" w:rsidRPr="006176C9">
              <w:rPr>
                <w:b/>
              </w:rPr>
              <w:t>Specialist Support</w:t>
            </w:r>
            <w:r w:rsidR="00E21634">
              <w:t>: Master</w:t>
            </w:r>
            <w:r w:rsidRPr="00F9431E">
              <w:t xml:space="preserve"> Degree in relevant field </w:t>
            </w:r>
            <w:r>
              <w:t>with m</w:t>
            </w:r>
            <w:r w:rsidRPr="00F9431E">
              <w:t xml:space="preserve">inimum 7 years of relevant work experience, out of which minimum 3 years of international experience </w:t>
            </w:r>
            <w:r>
              <w:t>as a requirement.</w:t>
            </w:r>
          </w:p>
          <w:p w:rsidR="00CC6AB6" w:rsidRDefault="00CC6AB6" w:rsidP="006176C9">
            <w:pPr>
              <w:pStyle w:val="ListParagraph"/>
              <w:numPr>
                <w:ilvl w:val="0"/>
                <w:numId w:val="34"/>
              </w:numPr>
              <w:jc w:val="both"/>
            </w:pPr>
            <w:r w:rsidRPr="006176C9">
              <w:rPr>
                <w:b/>
              </w:rPr>
              <w:t xml:space="preserve">Band 3, </w:t>
            </w:r>
            <w:r w:rsidR="00E21634" w:rsidRPr="006176C9">
              <w:rPr>
                <w:b/>
              </w:rPr>
              <w:t>Senior Advisory</w:t>
            </w:r>
            <w:r w:rsidR="00E21634">
              <w:t>: Master</w:t>
            </w:r>
            <w:r w:rsidRPr="00F9431E">
              <w:t xml:space="preserve"> Degree in relevant field </w:t>
            </w:r>
            <w:r>
              <w:t>with m</w:t>
            </w:r>
            <w:r w:rsidRPr="00F9431E">
              <w:t xml:space="preserve">inimum 12 years of relevant work experience, out of which minimum 5 years of international experience </w:t>
            </w:r>
            <w:r>
              <w:t>as a requirement.</w:t>
            </w:r>
          </w:p>
          <w:p w:rsidR="001A190A" w:rsidRDefault="001A190A" w:rsidP="006176C9">
            <w:pPr>
              <w:pStyle w:val="ListParagraph"/>
              <w:numPr>
                <w:ilvl w:val="0"/>
                <w:numId w:val="34"/>
              </w:numPr>
              <w:jc w:val="both"/>
            </w:pPr>
            <w:r>
              <w:t xml:space="preserve">Partnerships - Ability to engage with other agencies and forge productive working relationships </w:t>
            </w:r>
          </w:p>
          <w:p w:rsidR="001A190A" w:rsidRDefault="001A190A" w:rsidP="006176C9">
            <w:pPr>
              <w:pStyle w:val="ListParagraph"/>
              <w:numPr>
                <w:ilvl w:val="0"/>
                <w:numId w:val="34"/>
              </w:numPr>
              <w:jc w:val="both"/>
            </w:pPr>
            <w:r>
              <w:t xml:space="preserve">Resource Mobilization - Ability to identify and organize </w:t>
            </w:r>
            <w:proofErr w:type="spellStart"/>
            <w:r>
              <w:t>programmes</w:t>
            </w:r>
            <w:proofErr w:type="spellEnd"/>
            <w:r>
              <w:t xml:space="preserve"> and projects to implement solutions and generate resources </w:t>
            </w:r>
          </w:p>
          <w:p w:rsidR="001A190A" w:rsidRDefault="001A190A" w:rsidP="006176C9">
            <w:pPr>
              <w:pStyle w:val="ListParagraph"/>
              <w:numPr>
                <w:ilvl w:val="0"/>
                <w:numId w:val="34"/>
              </w:numPr>
              <w:jc w:val="both"/>
            </w:pPr>
            <w:r>
              <w:t xml:space="preserve">Relevant experience at national and international level in resources mobilization or development aid management/coordination </w:t>
            </w:r>
          </w:p>
          <w:p w:rsidR="00DA16E4" w:rsidRDefault="00EE32EA" w:rsidP="006176C9">
            <w:pPr>
              <w:pStyle w:val="ListParagraph"/>
              <w:numPr>
                <w:ilvl w:val="0"/>
                <w:numId w:val="34"/>
              </w:numPr>
              <w:jc w:val="both"/>
            </w:pPr>
            <w:r>
              <w:t>E</w:t>
            </w:r>
            <w:r w:rsidR="00B84671">
              <w:t>xperience in research and policy-level analysis</w:t>
            </w:r>
          </w:p>
          <w:p w:rsidR="00B84671" w:rsidRDefault="00B84671" w:rsidP="006176C9">
            <w:pPr>
              <w:pStyle w:val="ListParagraph"/>
              <w:numPr>
                <w:ilvl w:val="0"/>
                <w:numId w:val="34"/>
              </w:numPr>
              <w:jc w:val="both"/>
            </w:pPr>
            <w:r>
              <w:t xml:space="preserve">Experience in providing advisory services for strategies design  </w:t>
            </w:r>
          </w:p>
          <w:p w:rsidR="004678DB" w:rsidRDefault="004678DB" w:rsidP="006176C9">
            <w:pPr>
              <w:pStyle w:val="ListParagraph"/>
              <w:numPr>
                <w:ilvl w:val="0"/>
                <w:numId w:val="34"/>
              </w:numPr>
              <w:jc w:val="both"/>
            </w:pPr>
            <w:r>
              <w:t xml:space="preserve">Ability to </w:t>
            </w:r>
            <w:r w:rsidRPr="004678DB">
              <w:t>lead formulation of strategies and their implementation</w:t>
            </w:r>
          </w:p>
          <w:p w:rsidR="00B84671" w:rsidRDefault="00B84671" w:rsidP="006176C9">
            <w:pPr>
              <w:pStyle w:val="ListParagraph"/>
              <w:numPr>
                <w:ilvl w:val="0"/>
                <w:numId w:val="34"/>
              </w:numPr>
              <w:jc w:val="both"/>
            </w:pPr>
            <w:r>
              <w:t>Proven experience in building e</w:t>
            </w:r>
            <w:r w:rsidRPr="00B84671">
              <w:t xml:space="preserve">ffectively networks with partners seizing opportunities to build strategic alliances </w:t>
            </w:r>
          </w:p>
          <w:p w:rsidR="004678DB" w:rsidRDefault="004678DB" w:rsidP="006176C9">
            <w:pPr>
              <w:pStyle w:val="ListParagraph"/>
              <w:numPr>
                <w:ilvl w:val="0"/>
                <w:numId w:val="34"/>
              </w:numPr>
              <w:jc w:val="both"/>
            </w:pPr>
            <w:r>
              <w:t>Some experience in design, monitoring and evaluation of development projects</w:t>
            </w:r>
            <w:r w:rsidR="001A190A">
              <w:t xml:space="preserve"> an asset</w:t>
            </w:r>
          </w:p>
          <w:p w:rsidR="00B84671" w:rsidRDefault="00B84671" w:rsidP="006176C9">
            <w:pPr>
              <w:pStyle w:val="ListParagraph"/>
              <w:numPr>
                <w:ilvl w:val="0"/>
                <w:numId w:val="34"/>
              </w:numPr>
              <w:jc w:val="both"/>
            </w:pPr>
            <w:r>
              <w:t xml:space="preserve">Experience in the usage of computers and office software packages (MS Word, Excel, </w:t>
            </w:r>
            <w:proofErr w:type="spellStart"/>
            <w:r>
              <w:t>etc</w:t>
            </w:r>
            <w:proofErr w:type="spellEnd"/>
            <w:r>
              <w:t>) and advance knowledge of spreadsheet and database packages, experience in handling of web-based management systems</w:t>
            </w:r>
          </w:p>
          <w:p w:rsidR="00B84671" w:rsidRDefault="00B84671" w:rsidP="006176C9">
            <w:pPr>
              <w:pStyle w:val="ListParagraph"/>
              <w:numPr>
                <w:ilvl w:val="0"/>
                <w:numId w:val="34"/>
              </w:numPr>
              <w:jc w:val="both"/>
            </w:pPr>
            <w:r>
              <w:t>Substantive understanding of and/or background in one or more of the following areas of specialization</w:t>
            </w:r>
            <w:r w:rsidR="001A190A">
              <w:t xml:space="preserve"> an asset</w:t>
            </w:r>
            <w:r>
              <w:t>: poverty reduction and achievement of the Sustainable Development Goals (SDGs); democratic governance; sustainable development, environment and energy; HIV/AIDS, health and development; gender equality and women’s empowerment; and knowledge, innovation and capacity development</w:t>
            </w:r>
          </w:p>
          <w:p w:rsidR="004678DB" w:rsidRDefault="004678DB" w:rsidP="006176C9">
            <w:pPr>
              <w:pStyle w:val="ListParagraph"/>
              <w:numPr>
                <w:ilvl w:val="0"/>
                <w:numId w:val="34"/>
              </w:numPr>
              <w:jc w:val="both"/>
            </w:pPr>
            <w:r w:rsidRPr="00A52C65">
              <w:lastRenderedPageBreak/>
              <w:t xml:space="preserve">Knowledge of UN, including UNDP terminology, </w:t>
            </w:r>
            <w:r>
              <w:t>language and style is an advantage</w:t>
            </w:r>
          </w:p>
          <w:p w:rsidR="00DA16E4" w:rsidRDefault="00DA16E4" w:rsidP="006176C9">
            <w:pPr>
              <w:pStyle w:val="ListParagraph"/>
              <w:numPr>
                <w:ilvl w:val="0"/>
                <w:numId w:val="34"/>
              </w:numPr>
              <w:jc w:val="both"/>
            </w:pPr>
            <w:r w:rsidRPr="003A5457">
              <w:t xml:space="preserve">Previous work experience in </w:t>
            </w:r>
            <w:r>
              <w:t>the African Region is an asset</w:t>
            </w:r>
          </w:p>
          <w:p w:rsidR="00173D30" w:rsidRDefault="00173D30" w:rsidP="00FF0654">
            <w:pPr>
              <w:pStyle w:val="ListParagraph"/>
              <w:ind w:left="360"/>
              <w:jc w:val="both"/>
            </w:pPr>
          </w:p>
          <w:p w:rsidR="006073FC" w:rsidRPr="006E2BD7" w:rsidRDefault="006073FC" w:rsidP="006073FC">
            <w:pPr>
              <w:jc w:val="both"/>
              <w:rPr>
                <w:rFonts w:cs="Arial"/>
                <w:b/>
                <w:highlight w:val="yellow"/>
              </w:rPr>
            </w:pPr>
            <w:r w:rsidRPr="006E2BD7">
              <w:rPr>
                <w:rFonts w:cs="Arial"/>
                <w:b/>
              </w:rPr>
              <w:t>Relevant Field of Education</w:t>
            </w:r>
          </w:p>
          <w:p w:rsidR="006073FC" w:rsidRPr="006073FC" w:rsidRDefault="006073FC" w:rsidP="006073FC">
            <w:pPr>
              <w:pStyle w:val="ListParagraph"/>
              <w:numPr>
                <w:ilvl w:val="0"/>
                <w:numId w:val="5"/>
              </w:numPr>
              <w:rPr>
                <w:rFonts w:cs="Arial"/>
              </w:rPr>
            </w:pPr>
            <w:r w:rsidRPr="006073FC">
              <w:rPr>
                <w:rFonts w:cs="Arial"/>
              </w:rPr>
              <w:t>International relations, development, economics, public administration, business administration, marketing or another relevant development-related field.</w:t>
            </w:r>
          </w:p>
          <w:p w:rsidR="006073FC" w:rsidRPr="006E2BD7" w:rsidRDefault="006073FC" w:rsidP="006073FC">
            <w:pPr>
              <w:tabs>
                <w:tab w:val="left" w:pos="3135"/>
              </w:tabs>
              <w:jc w:val="both"/>
              <w:rPr>
                <w:rFonts w:cs="Arial"/>
                <w:b/>
              </w:rPr>
            </w:pPr>
            <w:r w:rsidRPr="006E2BD7">
              <w:rPr>
                <w:rFonts w:cs="Arial"/>
                <w:b/>
              </w:rPr>
              <w:t>Language Requirements</w:t>
            </w:r>
            <w:r>
              <w:rPr>
                <w:rFonts w:cs="Arial"/>
                <w:b/>
              </w:rPr>
              <w:tab/>
            </w:r>
          </w:p>
          <w:p w:rsidR="006073FC" w:rsidRPr="006E2BD7" w:rsidRDefault="006073FC" w:rsidP="006073FC">
            <w:pPr>
              <w:pStyle w:val="ListParagraph"/>
              <w:numPr>
                <w:ilvl w:val="0"/>
                <w:numId w:val="5"/>
              </w:numPr>
              <w:autoSpaceDE w:val="0"/>
              <w:autoSpaceDN w:val="0"/>
              <w:adjustRightInd w:val="0"/>
              <w:rPr>
                <w:rFonts w:cs="Arial"/>
              </w:rPr>
            </w:pPr>
            <w:r w:rsidRPr="006E2BD7">
              <w:rPr>
                <w:rFonts w:cs="Arial"/>
              </w:rPr>
              <w:t>Excellent oral and written English;</w:t>
            </w:r>
            <w:r>
              <w:t xml:space="preserve"> </w:t>
            </w:r>
            <w:r w:rsidRPr="0038483C">
              <w:rPr>
                <w:rFonts w:cs="Arial"/>
              </w:rPr>
              <w:t>French, Portuguese and Spanish</w:t>
            </w:r>
            <w:r>
              <w:rPr>
                <w:rFonts w:cs="Arial"/>
              </w:rPr>
              <w:t xml:space="preserve"> will be an asset.</w:t>
            </w:r>
          </w:p>
          <w:p w:rsidR="006073FC" w:rsidRDefault="006073FC" w:rsidP="00FF0654">
            <w:pPr>
              <w:autoSpaceDE w:val="0"/>
              <w:autoSpaceDN w:val="0"/>
              <w:adjustRightInd w:val="0"/>
              <w:jc w:val="both"/>
              <w:rPr>
                <w:b/>
                <w:u w:val="single"/>
              </w:rPr>
            </w:pPr>
          </w:p>
          <w:p w:rsidR="00222B85" w:rsidRPr="000047D7" w:rsidRDefault="00222B85" w:rsidP="00FF0654">
            <w:pPr>
              <w:autoSpaceDE w:val="0"/>
              <w:autoSpaceDN w:val="0"/>
              <w:adjustRightInd w:val="0"/>
              <w:jc w:val="both"/>
              <w:rPr>
                <w:rFonts w:cs="Arial"/>
                <w:b/>
              </w:rPr>
            </w:pPr>
            <w:r w:rsidRPr="000047D7">
              <w:rPr>
                <w:rFonts w:cs="Arial"/>
                <w:b/>
              </w:rPr>
              <w:t>Evaluation of Applicants</w:t>
            </w:r>
          </w:p>
          <w:p w:rsidR="00222B85" w:rsidRDefault="004E7922" w:rsidP="00FF0654">
            <w:pPr>
              <w:autoSpaceDE w:val="0"/>
              <w:autoSpaceDN w:val="0"/>
              <w:adjustRightInd w:val="0"/>
              <w:jc w:val="both"/>
              <w:rPr>
                <w:rFonts w:cs="Arial"/>
              </w:rPr>
            </w:pPr>
            <w:r w:rsidRPr="000047D7">
              <w:rPr>
                <w:rFonts w:cs="Arial"/>
              </w:rPr>
              <w:t>Applicants will be screened against qualifications and th</w:t>
            </w:r>
            <w:r>
              <w:rPr>
                <w:rFonts w:cs="Arial"/>
              </w:rPr>
              <w:t xml:space="preserve">e competencies specified above and may be </w:t>
            </w:r>
            <w:r>
              <w:rPr>
                <w:rFonts w:eastAsia="Times New Roman" w:cs="Times New Roman"/>
              </w:rPr>
              <w:t>m</w:t>
            </w:r>
            <w:r w:rsidRPr="000047D7">
              <w:rPr>
                <w:rFonts w:eastAsia="Times New Roman" w:cs="Times New Roman"/>
              </w:rPr>
              <w:t>ay be requested to participat</w:t>
            </w:r>
            <w:r>
              <w:rPr>
                <w:rFonts w:eastAsia="Times New Roman" w:cs="Times New Roman"/>
              </w:rPr>
              <w:t>e in a brief interview.</w:t>
            </w:r>
          </w:p>
          <w:p w:rsidR="001F62B1" w:rsidRPr="006073FC" w:rsidRDefault="001A3656" w:rsidP="006073FC">
            <w:pPr>
              <w:pStyle w:val="ListParagraph"/>
              <w:numPr>
                <w:ilvl w:val="0"/>
                <w:numId w:val="5"/>
              </w:numPr>
              <w:autoSpaceDE w:val="0"/>
              <w:autoSpaceDN w:val="0"/>
              <w:adjustRightInd w:val="0"/>
              <w:jc w:val="both"/>
              <w:rPr>
                <w:rFonts w:cs="ArialMT"/>
              </w:rPr>
            </w:pPr>
            <w:r w:rsidRPr="006073FC">
              <w:rPr>
                <w:rFonts w:cs="ArialMT"/>
              </w:rPr>
              <w:t xml:space="preserve">Interested candidates are advised to carefully review this advertisement and ensure that they meet the requirements and qualifications described above. </w:t>
            </w:r>
          </w:p>
          <w:p w:rsidR="001F62B1" w:rsidRPr="006073FC" w:rsidRDefault="001F62B1" w:rsidP="006073FC">
            <w:pPr>
              <w:pStyle w:val="ListParagraph"/>
              <w:numPr>
                <w:ilvl w:val="0"/>
                <w:numId w:val="5"/>
              </w:numPr>
              <w:autoSpaceDE w:val="0"/>
              <w:autoSpaceDN w:val="0"/>
              <w:adjustRightInd w:val="0"/>
              <w:jc w:val="both"/>
              <w:rPr>
                <w:rFonts w:cs="ArialMT"/>
              </w:rPr>
            </w:pPr>
            <w:r w:rsidRPr="006073FC">
              <w:rPr>
                <w:rFonts w:cs="ArialMT"/>
              </w:rPr>
              <w:t>Qualified women are encouraged to apply.</w:t>
            </w:r>
          </w:p>
          <w:p w:rsidR="001F62B1" w:rsidRPr="00800581" w:rsidRDefault="001F62B1" w:rsidP="00FF0654">
            <w:pPr>
              <w:autoSpaceDE w:val="0"/>
              <w:autoSpaceDN w:val="0"/>
              <w:adjustRightInd w:val="0"/>
              <w:jc w:val="both"/>
              <w:rPr>
                <w:rFonts w:cs="ArialMT"/>
              </w:rPr>
            </w:pPr>
          </w:p>
          <w:p w:rsidR="002A4527" w:rsidRDefault="001F62B1" w:rsidP="00FF0654">
            <w:pPr>
              <w:autoSpaceDE w:val="0"/>
              <w:autoSpaceDN w:val="0"/>
              <w:adjustRightInd w:val="0"/>
              <w:jc w:val="both"/>
              <w:rPr>
                <w:rFonts w:cs="Arial-BoldMT"/>
                <w:b/>
                <w:bCs/>
              </w:rPr>
            </w:pPr>
            <w:r w:rsidRPr="00800581">
              <w:rPr>
                <w:rFonts w:cs="Arial-BoldMT"/>
                <w:b/>
                <w:bCs/>
              </w:rPr>
              <w:t>Applications should include:</w:t>
            </w:r>
            <w:r>
              <w:rPr>
                <w:rFonts w:cs="Arial-BoldMT"/>
                <w:b/>
                <w:bCs/>
              </w:rPr>
              <w:t xml:space="preserve"> </w:t>
            </w:r>
          </w:p>
          <w:p w:rsidR="002A4527" w:rsidRPr="006176C9" w:rsidRDefault="002A4527" w:rsidP="006176C9">
            <w:pPr>
              <w:pStyle w:val="ListParagraph"/>
              <w:numPr>
                <w:ilvl w:val="0"/>
                <w:numId w:val="34"/>
              </w:numPr>
              <w:jc w:val="both"/>
            </w:pPr>
            <w:r w:rsidRPr="006073FC">
              <w:rPr>
                <w:b/>
              </w:rPr>
              <w:t>A</w:t>
            </w:r>
            <w:r w:rsidR="001F62B1" w:rsidRPr="006073FC">
              <w:rPr>
                <w:b/>
              </w:rPr>
              <w:t xml:space="preserve"> cover letter,</w:t>
            </w:r>
            <w:r w:rsidR="001F62B1" w:rsidRPr="006176C9">
              <w:t xml:space="preserve"> </w:t>
            </w:r>
            <w:r w:rsidR="0037796B" w:rsidRPr="006176C9">
              <w:t>clearly identifying the “Areas of Expertise” as mentioned in the background section above.</w:t>
            </w:r>
          </w:p>
          <w:p w:rsidR="006176C9" w:rsidRPr="006176C9" w:rsidRDefault="006176C9" w:rsidP="006176C9">
            <w:pPr>
              <w:pStyle w:val="ListParagraph"/>
              <w:numPr>
                <w:ilvl w:val="0"/>
                <w:numId w:val="34"/>
              </w:numPr>
              <w:jc w:val="both"/>
            </w:pPr>
            <w:r w:rsidRPr="006176C9">
              <w:rPr>
                <w:b/>
              </w:rPr>
              <w:t xml:space="preserve">Updated P11 </w:t>
            </w:r>
            <w:r w:rsidR="001D7BC5" w:rsidRPr="006176C9">
              <w:rPr>
                <w:b/>
              </w:rPr>
              <w:t>and Personal</w:t>
            </w:r>
            <w:r w:rsidRPr="006176C9">
              <w:rPr>
                <w:b/>
              </w:rPr>
              <w:t xml:space="preserve"> </w:t>
            </w:r>
            <w:r w:rsidR="001D7BC5" w:rsidRPr="006176C9">
              <w:rPr>
                <w:b/>
              </w:rPr>
              <w:t>CV</w:t>
            </w:r>
            <w:r w:rsidR="001D7BC5" w:rsidRPr="006176C9">
              <w:t>,</w:t>
            </w:r>
            <w:r w:rsidRPr="006176C9">
              <w:t xml:space="preserve"> indicating all past experience from similar projects, as well as the contact details (emai</w:t>
            </w:r>
            <w:r w:rsidR="004E081B">
              <w:t>l and telephone number) of the c</w:t>
            </w:r>
            <w:r w:rsidRPr="006176C9">
              <w:t>andidate and at least three (3) professional references</w:t>
            </w:r>
          </w:p>
          <w:p w:rsidR="004E7922" w:rsidRDefault="004E7922" w:rsidP="006176C9">
            <w:pPr>
              <w:pStyle w:val="ListParagraph"/>
              <w:numPr>
                <w:ilvl w:val="0"/>
                <w:numId w:val="34"/>
              </w:numPr>
              <w:jc w:val="both"/>
              <w:rPr>
                <w:rFonts w:cs="Arial-BoldMT"/>
                <w:b/>
                <w:bCs/>
              </w:rPr>
            </w:pPr>
            <w:r w:rsidRPr="006176C9">
              <w:rPr>
                <w:b/>
              </w:rPr>
              <w:t>Daily</w:t>
            </w:r>
            <w:r w:rsidRPr="006176C9">
              <w:rPr>
                <w:rFonts w:cs="Arial-BoldMT"/>
                <w:b/>
                <w:bCs/>
              </w:rPr>
              <w:t xml:space="preserve"> </w:t>
            </w:r>
            <w:r>
              <w:rPr>
                <w:rFonts w:cs="Arial-BoldMT"/>
                <w:b/>
                <w:bCs/>
              </w:rPr>
              <w:t>Professional fee.</w:t>
            </w:r>
          </w:p>
          <w:p w:rsidR="001F62B1" w:rsidRDefault="001F62B1" w:rsidP="00FF0654">
            <w:pPr>
              <w:autoSpaceDE w:val="0"/>
              <w:autoSpaceDN w:val="0"/>
              <w:adjustRightInd w:val="0"/>
              <w:jc w:val="both"/>
              <w:rPr>
                <w:rFonts w:ascii="Verdana" w:hAnsi="Verdana" w:cs="Verdana"/>
                <w:color w:val="333333"/>
                <w:sz w:val="17"/>
                <w:szCs w:val="17"/>
              </w:rPr>
            </w:pPr>
          </w:p>
          <w:p w:rsidR="00CC6AB6" w:rsidRDefault="009E7CAB" w:rsidP="00735D7D">
            <w:pPr>
              <w:autoSpaceDE w:val="0"/>
              <w:autoSpaceDN w:val="0"/>
              <w:adjustRightInd w:val="0"/>
              <w:rPr>
                <w:rFonts w:cs="Verdana"/>
                <w:bCs/>
              </w:rPr>
            </w:pPr>
            <w:r w:rsidRPr="00A52C65">
              <w:rPr>
                <w:rFonts w:cs="ArialMT"/>
              </w:rPr>
              <w:t xml:space="preserve">Successful candidates </w:t>
            </w:r>
            <w:r w:rsidR="002F1AC8" w:rsidRPr="00A52C65">
              <w:rPr>
                <w:rFonts w:cs="ArialMT"/>
              </w:rPr>
              <w:t>will be included in UNDP R</w:t>
            </w:r>
            <w:r w:rsidR="00A52C65">
              <w:rPr>
                <w:rFonts w:cs="ArialMT"/>
              </w:rPr>
              <w:t>SCA</w:t>
            </w:r>
            <w:r w:rsidRPr="00A52C65">
              <w:rPr>
                <w:rFonts w:cs="ArialMT"/>
              </w:rPr>
              <w:t xml:space="preserve"> Experts Roster for a period of </w:t>
            </w:r>
            <w:r w:rsidR="005450EF" w:rsidRPr="00A52C65">
              <w:rPr>
                <w:rFonts w:cs="ArialMT"/>
              </w:rPr>
              <w:t>5</w:t>
            </w:r>
            <w:r w:rsidRPr="00A52C65">
              <w:rPr>
                <w:rFonts w:cs="ArialMT"/>
              </w:rPr>
              <w:t xml:space="preserve"> years</w:t>
            </w:r>
            <w:r w:rsidR="001A3656" w:rsidRPr="00A52C65">
              <w:rPr>
                <w:rFonts w:cs="ArialMT"/>
              </w:rPr>
              <w:t xml:space="preserve">, in one of the “bands” indicated above. However, </w:t>
            </w:r>
            <w:r w:rsidR="007849E1" w:rsidRPr="00A52C65">
              <w:rPr>
                <w:rFonts w:cs="ArialMT"/>
              </w:rPr>
              <w:t xml:space="preserve">the </w:t>
            </w:r>
            <w:r w:rsidR="001A3656" w:rsidRPr="00A52C65">
              <w:rPr>
                <w:rFonts w:cs="ArialMT"/>
              </w:rPr>
              <w:t>addition of an individual in the Roster does n</w:t>
            </w:r>
            <w:r w:rsidRPr="00A52C65">
              <w:rPr>
                <w:rFonts w:cs="ArialMT"/>
              </w:rPr>
              <w:t>ot guarantee a contract with UNDP.</w:t>
            </w:r>
            <w:r w:rsidRPr="00CC6AB6">
              <w:rPr>
                <w:rFonts w:cs="Verdana"/>
              </w:rPr>
              <w:br/>
            </w:r>
            <w:r w:rsidRPr="00CC6AB6">
              <w:rPr>
                <w:rFonts w:cs="Verdana"/>
              </w:rPr>
              <w:br/>
            </w:r>
            <w:r w:rsidR="00CC6AB6" w:rsidRPr="00CC6AB6">
              <w:rPr>
                <w:rFonts w:cs="Verdana"/>
                <w:b/>
                <w:bCs/>
              </w:rPr>
              <w:t>Contracting</w:t>
            </w:r>
          </w:p>
          <w:p w:rsidR="001A3656" w:rsidRPr="006176C9" w:rsidRDefault="009E7CAB" w:rsidP="006176C9">
            <w:pPr>
              <w:pStyle w:val="ListParagraph"/>
              <w:numPr>
                <w:ilvl w:val="0"/>
                <w:numId w:val="34"/>
              </w:numPr>
              <w:jc w:val="both"/>
            </w:pPr>
            <w:r w:rsidRPr="006176C9">
              <w:t xml:space="preserve">When a request for services arises, the </w:t>
            </w:r>
            <w:r w:rsidR="002F1AC8" w:rsidRPr="006176C9">
              <w:t>roster manager</w:t>
            </w:r>
            <w:r w:rsidRPr="006176C9">
              <w:t xml:space="preserve"> s</w:t>
            </w:r>
            <w:r w:rsidR="00CC6AB6" w:rsidRPr="006176C9">
              <w:t xml:space="preserve">hall </w:t>
            </w:r>
            <w:r w:rsidRPr="006176C9">
              <w:t xml:space="preserve">Contact the </w:t>
            </w:r>
            <w:r w:rsidR="002F1AC8" w:rsidRPr="006176C9">
              <w:t>individuals</w:t>
            </w:r>
            <w:r w:rsidR="001A3656" w:rsidRPr="006176C9">
              <w:t xml:space="preserve"> included</w:t>
            </w:r>
            <w:r w:rsidR="002F1AC8" w:rsidRPr="006176C9">
              <w:t xml:space="preserve"> </w:t>
            </w:r>
            <w:r w:rsidR="00CC6AB6" w:rsidRPr="006176C9">
              <w:t>in</w:t>
            </w:r>
            <w:r w:rsidR="002F1AC8" w:rsidRPr="006176C9">
              <w:t xml:space="preserve"> the specific area of expertise with </w:t>
            </w:r>
            <w:proofErr w:type="spellStart"/>
            <w:r w:rsidR="002F1AC8" w:rsidRPr="006176C9">
              <w:t>ToR</w:t>
            </w:r>
            <w:proofErr w:type="spellEnd"/>
            <w:r w:rsidR="002F1AC8" w:rsidRPr="006176C9">
              <w:t xml:space="preserve">, location and dates of the assignment seeking confirmation of </w:t>
            </w:r>
            <w:r w:rsidR="00CA48A5" w:rsidRPr="006176C9">
              <w:t>availability</w:t>
            </w:r>
            <w:r w:rsidR="00CC6AB6" w:rsidRPr="006176C9">
              <w:t>, as well as other costs such as living allowance, travel cost, etc.</w:t>
            </w:r>
            <w:r w:rsidR="001A3656" w:rsidRPr="006176C9">
              <w:t xml:space="preserve"> The daily fee quoted by the individual during this application process shall remain as the ceiling fee and cannot be </w:t>
            </w:r>
            <w:r w:rsidR="00B04BDC" w:rsidRPr="006176C9">
              <w:t xml:space="preserve">increased upwards </w:t>
            </w:r>
            <w:r w:rsidR="001A3656" w:rsidRPr="006176C9">
              <w:t>for</w:t>
            </w:r>
            <w:r w:rsidR="00B04BDC" w:rsidRPr="006176C9">
              <w:t xml:space="preserve"> any offered</w:t>
            </w:r>
            <w:r w:rsidR="001A3656" w:rsidRPr="006176C9">
              <w:t xml:space="preserve"> individual assignment(s).</w:t>
            </w:r>
          </w:p>
          <w:p w:rsidR="001A3656" w:rsidRPr="006176C9" w:rsidRDefault="001A3656" w:rsidP="006176C9">
            <w:pPr>
              <w:pStyle w:val="ListParagraph"/>
              <w:numPr>
                <w:ilvl w:val="0"/>
                <w:numId w:val="34"/>
              </w:numPr>
              <w:jc w:val="both"/>
            </w:pPr>
            <w:r w:rsidRPr="006176C9">
              <w:t>Travel: For each assignment UNDP shall reimburse cost of travel from the place of domicile of the individual to the place of assignment (most direct economy fare).</w:t>
            </w:r>
          </w:p>
          <w:p w:rsidR="001A3656" w:rsidRPr="006176C9" w:rsidRDefault="00CC6AB6" w:rsidP="006176C9">
            <w:pPr>
              <w:pStyle w:val="ListParagraph"/>
              <w:numPr>
                <w:ilvl w:val="0"/>
                <w:numId w:val="34"/>
              </w:numPr>
            </w:pPr>
            <w:r w:rsidRPr="006176C9">
              <w:t xml:space="preserve">The individual selected for the deployment </w:t>
            </w:r>
            <w:r w:rsidR="00CA48A5" w:rsidRPr="006176C9">
              <w:t>will be contrac</w:t>
            </w:r>
            <w:r w:rsidRPr="006176C9">
              <w:t>t</w:t>
            </w:r>
            <w:r w:rsidR="001A3656" w:rsidRPr="006176C9">
              <w:t xml:space="preserve">ed as an Individual Contractor to the UNDP. </w:t>
            </w:r>
          </w:p>
          <w:p w:rsidR="009E7CAB" w:rsidRPr="006176C9" w:rsidRDefault="001A3656" w:rsidP="006176C9">
            <w:pPr>
              <w:pStyle w:val="ListParagraph"/>
              <w:numPr>
                <w:ilvl w:val="0"/>
                <w:numId w:val="34"/>
              </w:numPr>
              <w:jc w:val="both"/>
            </w:pPr>
            <w:r w:rsidRPr="006176C9">
              <w:t>The Contract and its terms and conditions are non-negotiable.</w:t>
            </w:r>
          </w:p>
          <w:p w:rsidR="001A3656" w:rsidRPr="006176C9" w:rsidRDefault="001A3656" w:rsidP="00FF0654">
            <w:pPr>
              <w:autoSpaceDE w:val="0"/>
              <w:autoSpaceDN w:val="0"/>
              <w:adjustRightInd w:val="0"/>
              <w:jc w:val="both"/>
              <w:rPr>
                <w:rFonts w:cs="Verdana"/>
                <w:bCs/>
              </w:rPr>
            </w:pPr>
          </w:p>
          <w:p w:rsidR="006073FC" w:rsidRDefault="00CC6AB6" w:rsidP="006073FC">
            <w:pPr>
              <w:autoSpaceDE w:val="0"/>
              <w:autoSpaceDN w:val="0"/>
              <w:adjustRightInd w:val="0"/>
              <w:rPr>
                <w:rFonts w:cs="Verdana"/>
                <w:b/>
                <w:bCs/>
              </w:rPr>
            </w:pPr>
            <w:r>
              <w:rPr>
                <w:rFonts w:cs="Verdana"/>
                <w:b/>
                <w:bCs/>
              </w:rPr>
              <w:t>P</w:t>
            </w:r>
            <w:r w:rsidR="009E7CAB" w:rsidRPr="009E7CAB">
              <w:rPr>
                <w:rFonts w:cs="Verdana"/>
                <w:b/>
                <w:bCs/>
              </w:rPr>
              <w:t>ayment</w:t>
            </w:r>
            <w:r w:rsidR="006073FC" w:rsidRPr="009E7CAB">
              <w:rPr>
                <w:rFonts w:cs="Verdana"/>
                <w:b/>
                <w:bCs/>
              </w:rPr>
              <w:t xml:space="preserve">: </w:t>
            </w:r>
          </w:p>
          <w:p w:rsidR="00CC6AB6" w:rsidRPr="00CC6AB6" w:rsidRDefault="00CC6AB6" w:rsidP="00714484">
            <w:pPr>
              <w:autoSpaceDE w:val="0"/>
              <w:autoSpaceDN w:val="0"/>
              <w:adjustRightInd w:val="0"/>
              <w:ind w:left="720"/>
              <w:rPr>
                <w:rFonts w:cs="Verdana"/>
                <w:b/>
              </w:rPr>
            </w:pPr>
            <w:r>
              <w:rPr>
                <w:rFonts w:cs="Verdana"/>
              </w:rPr>
              <w:t>Payment(s)</w:t>
            </w:r>
            <w:r w:rsidR="009E7CAB" w:rsidRPr="009E7CAB">
              <w:rPr>
                <w:rFonts w:cs="Verdana"/>
              </w:rPr>
              <w:t xml:space="preserve"> shall be made follo</w:t>
            </w:r>
            <w:r w:rsidR="00D57AC3">
              <w:rPr>
                <w:rFonts w:cs="Verdana"/>
              </w:rPr>
              <w:t xml:space="preserve">wing certification by </w:t>
            </w:r>
            <w:r w:rsidR="001A3656">
              <w:rPr>
                <w:rFonts w:cs="Verdana"/>
              </w:rPr>
              <w:t>the hiring UNDP Office</w:t>
            </w:r>
            <w:r w:rsidR="009E7CAB" w:rsidRPr="009E7CAB">
              <w:rPr>
                <w:rFonts w:cs="Verdana"/>
              </w:rPr>
              <w:t xml:space="preserve"> that the services related to each deliverable, as specified in the contract, </w:t>
            </w:r>
            <w:proofErr w:type="gramStart"/>
            <w:r w:rsidR="009E7CAB" w:rsidRPr="009E7CAB">
              <w:rPr>
                <w:rFonts w:cs="Verdana"/>
              </w:rPr>
              <w:t>have been satisfactorily performed</w:t>
            </w:r>
            <w:proofErr w:type="gramEnd"/>
            <w:r w:rsidR="009E7CAB" w:rsidRPr="009E7CAB">
              <w:rPr>
                <w:rFonts w:cs="Verdana"/>
              </w:rPr>
              <w:t xml:space="preserve"> and the deliverables have been achieved by or before the due dates specified, if any.</w:t>
            </w:r>
            <w:r w:rsidR="009E7CAB" w:rsidRPr="009E7CAB">
              <w:rPr>
                <w:rFonts w:cs="Verdana"/>
              </w:rPr>
              <w:br/>
            </w:r>
            <w:bookmarkStart w:id="0" w:name="_GoBack"/>
            <w:bookmarkEnd w:id="0"/>
            <w:r w:rsidRPr="00CC6AB6">
              <w:rPr>
                <w:rFonts w:cs="Verdana"/>
                <w:b/>
              </w:rPr>
              <w:t>Other information</w:t>
            </w:r>
          </w:p>
          <w:p w:rsidR="00CC6AB6" w:rsidRPr="00CC6AB6" w:rsidRDefault="009E7CAB" w:rsidP="00FF0654">
            <w:pPr>
              <w:pStyle w:val="ListParagraph"/>
              <w:numPr>
                <w:ilvl w:val="0"/>
                <w:numId w:val="12"/>
              </w:numPr>
              <w:autoSpaceDE w:val="0"/>
              <w:autoSpaceDN w:val="0"/>
              <w:adjustRightInd w:val="0"/>
              <w:jc w:val="both"/>
              <w:rPr>
                <w:rFonts w:cs="Verdana"/>
              </w:rPr>
            </w:pPr>
            <w:r w:rsidRPr="00CC6AB6">
              <w:rPr>
                <w:rFonts w:cs="Verdana"/>
              </w:rPr>
              <w:t xml:space="preserve">This call for experts is not linked to other UNDP rosters or to a specific UNDP recruitment opportunity. </w:t>
            </w:r>
          </w:p>
          <w:p w:rsidR="00CC6AB6" w:rsidRDefault="009E7CAB" w:rsidP="00FF0654">
            <w:pPr>
              <w:pStyle w:val="ListParagraph"/>
              <w:numPr>
                <w:ilvl w:val="0"/>
                <w:numId w:val="12"/>
              </w:numPr>
              <w:autoSpaceDE w:val="0"/>
              <w:autoSpaceDN w:val="0"/>
              <w:adjustRightInd w:val="0"/>
              <w:jc w:val="both"/>
              <w:rPr>
                <w:rFonts w:cs="Verdana"/>
              </w:rPr>
            </w:pPr>
            <w:r w:rsidRPr="00CC6AB6">
              <w:rPr>
                <w:rFonts w:cs="Verdana"/>
              </w:rPr>
              <w:t>Due to the large number of applications we receive, we are only able to inform the successful candidates about the outcome or status of the selection process.</w:t>
            </w:r>
          </w:p>
          <w:p w:rsidR="00443E94" w:rsidRPr="00CC6AB6" w:rsidRDefault="006C41C9" w:rsidP="00026186">
            <w:pPr>
              <w:pStyle w:val="ListParagraph"/>
              <w:numPr>
                <w:ilvl w:val="0"/>
                <w:numId w:val="12"/>
              </w:numPr>
              <w:autoSpaceDE w:val="0"/>
              <w:autoSpaceDN w:val="0"/>
              <w:adjustRightInd w:val="0"/>
              <w:jc w:val="both"/>
              <w:rPr>
                <w:rFonts w:cs="Verdana"/>
              </w:rPr>
            </w:pPr>
            <w:r w:rsidRPr="00235AB8">
              <w:t>For any clarification</w:t>
            </w:r>
            <w:r w:rsidR="001D5432">
              <w:t>s</w:t>
            </w:r>
            <w:r w:rsidRPr="00235AB8">
              <w:t xml:space="preserve"> please write to</w:t>
            </w:r>
            <w:r w:rsidR="00026186">
              <w:t>:-</w:t>
            </w:r>
            <w:r w:rsidR="001D5432">
              <w:t xml:space="preserve"> </w:t>
            </w:r>
            <w:r w:rsidR="00026186" w:rsidRPr="00026186">
              <w:rPr>
                <w:color w:val="0070C0"/>
              </w:rPr>
              <w:t>rsca.icroster@undp.org</w:t>
            </w:r>
          </w:p>
        </w:tc>
      </w:tr>
    </w:tbl>
    <w:p w:rsidR="00845D55" w:rsidRPr="00235AB8" w:rsidRDefault="00845D55" w:rsidP="00E023F2">
      <w:pPr>
        <w:spacing w:after="60"/>
        <w:jc w:val="both"/>
        <w:rPr>
          <w:b/>
        </w:rPr>
      </w:pPr>
    </w:p>
    <w:sectPr w:rsidR="00845D55" w:rsidRPr="00235AB8" w:rsidSect="00807DC0">
      <w:footerReference w:type="default" r:id="rId12"/>
      <w:pgSz w:w="11900" w:h="16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2C9" w:rsidRDefault="005672C9" w:rsidP="00A24134">
      <w:pPr>
        <w:spacing w:after="0" w:line="240" w:lineRule="auto"/>
      </w:pPr>
      <w:r>
        <w:separator/>
      </w:r>
    </w:p>
  </w:endnote>
  <w:endnote w:type="continuationSeparator" w:id="0">
    <w:p w:rsidR="005672C9" w:rsidRDefault="005672C9"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B2"/>
    <w:family w:val="auto"/>
    <w:notTrueType/>
    <w:pitch w:val="default"/>
    <w:sig w:usb0="00002001" w:usb1="00000000" w:usb2="00000000" w:usb3="00000000" w:csb0="00000040" w:csb1="00000000"/>
  </w:font>
  <w:font w:name="Arial-Bold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750509"/>
      <w:docPartObj>
        <w:docPartGallery w:val="Page Numbers (Bottom of Page)"/>
        <w:docPartUnique/>
      </w:docPartObj>
    </w:sdtPr>
    <w:sdtEndPr>
      <w:rPr>
        <w:noProof/>
      </w:rPr>
    </w:sdtEndPr>
    <w:sdtContent>
      <w:p w:rsidR="001A3656" w:rsidRDefault="001A3656" w:rsidP="00EE32EA">
        <w:pPr>
          <w:pStyle w:val="Footer"/>
          <w:jc w:val="right"/>
        </w:pPr>
        <w:r>
          <w:fldChar w:fldCharType="begin"/>
        </w:r>
        <w:r>
          <w:instrText xml:space="preserve"> PAGE   \* MERGEFORMAT </w:instrText>
        </w:r>
        <w:r>
          <w:fldChar w:fldCharType="separate"/>
        </w:r>
        <w:r w:rsidR="00714484">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2C9" w:rsidRDefault="005672C9" w:rsidP="00A24134">
      <w:pPr>
        <w:spacing w:after="0" w:line="240" w:lineRule="auto"/>
      </w:pPr>
      <w:r>
        <w:separator/>
      </w:r>
    </w:p>
  </w:footnote>
  <w:footnote w:type="continuationSeparator" w:id="0">
    <w:p w:rsidR="005672C9" w:rsidRDefault="005672C9"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pt;height:4.5pt" o:bullet="t">
        <v:imagedata r:id="rId1" o:title=""/>
      </v:shape>
    </w:pict>
  </w:numPicBullet>
  <w:abstractNum w:abstractNumId="0" w15:restartNumberingAfterBreak="0">
    <w:nsid w:val="0267531A"/>
    <w:multiLevelType w:val="hybridMultilevel"/>
    <w:tmpl w:val="C79C37EA"/>
    <w:lvl w:ilvl="0" w:tplc="1C090001">
      <w:start w:val="1"/>
      <w:numFmt w:val="bullet"/>
      <w:lvlText w:val=""/>
      <w:lvlJc w:val="left"/>
      <w:pPr>
        <w:ind w:left="360" w:hanging="360"/>
      </w:pPr>
      <w:rPr>
        <w:rFonts w:ascii="Symbol" w:hAnsi="Symbol" w:hint="default"/>
      </w:rPr>
    </w:lvl>
    <w:lvl w:ilvl="1" w:tplc="778E026C">
      <w:start w:val="10"/>
      <w:numFmt w:val="bullet"/>
      <w:lvlText w:val="•"/>
      <w:lvlJc w:val="left"/>
      <w:pPr>
        <w:ind w:left="1440" w:hanging="720"/>
      </w:pPr>
      <w:rPr>
        <w:rFonts w:ascii="Calibri" w:eastAsiaTheme="minorHAnsi" w:hAnsi="Calibri" w:cstheme="minorBidi"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7917B33"/>
    <w:multiLevelType w:val="multilevel"/>
    <w:tmpl w:val="CD8ACCC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9CB5723"/>
    <w:multiLevelType w:val="hybridMultilevel"/>
    <w:tmpl w:val="5626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6466D"/>
    <w:multiLevelType w:val="hybridMultilevel"/>
    <w:tmpl w:val="EA5C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850A3"/>
    <w:multiLevelType w:val="hybridMultilevel"/>
    <w:tmpl w:val="A5C60F5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16CA7400"/>
    <w:multiLevelType w:val="multilevel"/>
    <w:tmpl w:val="C5CCD8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7695D9F"/>
    <w:multiLevelType w:val="hybridMultilevel"/>
    <w:tmpl w:val="3BD0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40D6B"/>
    <w:multiLevelType w:val="hybridMultilevel"/>
    <w:tmpl w:val="C2D4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23B6C"/>
    <w:multiLevelType w:val="hybridMultilevel"/>
    <w:tmpl w:val="DE5E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D51AC"/>
    <w:multiLevelType w:val="hybridMultilevel"/>
    <w:tmpl w:val="F17CB67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1F105B5F"/>
    <w:multiLevelType w:val="hybridMultilevel"/>
    <w:tmpl w:val="D7B602D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21DE6D83"/>
    <w:multiLevelType w:val="multilevel"/>
    <w:tmpl w:val="F1C8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875A5E"/>
    <w:multiLevelType w:val="hybridMultilevel"/>
    <w:tmpl w:val="18C23D1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2C8A67A6"/>
    <w:multiLevelType w:val="hybridMultilevel"/>
    <w:tmpl w:val="4F9A3D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2EC73ED7"/>
    <w:multiLevelType w:val="hybridMultilevel"/>
    <w:tmpl w:val="EAAA20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7087678"/>
    <w:multiLevelType w:val="multilevel"/>
    <w:tmpl w:val="3F12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9805A4"/>
    <w:multiLevelType w:val="hybridMultilevel"/>
    <w:tmpl w:val="07B276B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E44C6C"/>
    <w:multiLevelType w:val="hybridMultilevel"/>
    <w:tmpl w:val="1D7EB88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908184E"/>
    <w:multiLevelType w:val="hybridMultilevel"/>
    <w:tmpl w:val="19E0025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3AC96096"/>
    <w:multiLevelType w:val="hybridMultilevel"/>
    <w:tmpl w:val="511876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B834AD1"/>
    <w:multiLevelType w:val="hybridMultilevel"/>
    <w:tmpl w:val="FE4421FE"/>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475D0450"/>
    <w:multiLevelType w:val="hybridMultilevel"/>
    <w:tmpl w:val="9050C66C"/>
    <w:lvl w:ilvl="0" w:tplc="1C090001">
      <w:start w:val="1"/>
      <w:numFmt w:val="bullet"/>
      <w:lvlText w:val=""/>
      <w:lvlJc w:val="left"/>
      <w:pPr>
        <w:ind w:left="360" w:hanging="360"/>
      </w:pPr>
      <w:rPr>
        <w:rFonts w:ascii="Symbol" w:hAnsi="Symbol" w:hint="default"/>
      </w:rPr>
    </w:lvl>
    <w:lvl w:ilvl="1" w:tplc="C7CC5832">
      <w:start w:val="3"/>
      <w:numFmt w:val="bullet"/>
      <w:lvlText w:val="•"/>
      <w:lvlJc w:val="left"/>
      <w:pPr>
        <w:ind w:left="1080" w:hanging="360"/>
      </w:pPr>
      <w:rPr>
        <w:rFonts w:ascii="Calibri" w:eastAsiaTheme="minorHAnsi" w:hAnsi="Calibri" w:cstheme="minorBidi"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48191C90"/>
    <w:multiLevelType w:val="hybridMultilevel"/>
    <w:tmpl w:val="04FA5B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492F5510"/>
    <w:multiLevelType w:val="hybridMultilevel"/>
    <w:tmpl w:val="143CC5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4CD42F75"/>
    <w:multiLevelType w:val="hybridMultilevel"/>
    <w:tmpl w:val="CF5C98CC"/>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4FC03BA0"/>
    <w:multiLevelType w:val="hybridMultilevel"/>
    <w:tmpl w:val="4F9475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528918F8"/>
    <w:multiLevelType w:val="hybridMultilevel"/>
    <w:tmpl w:val="3CB41BB2"/>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5638720B"/>
    <w:multiLevelType w:val="hybridMultilevel"/>
    <w:tmpl w:val="C8CCDEE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62EC44D3"/>
    <w:multiLevelType w:val="multilevel"/>
    <w:tmpl w:val="11AC3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CF240AE"/>
    <w:multiLevelType w:val="hybridMultilevel"/>
    <w:tmpl w:val="064CE95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E8951CF"/>
    <w:multiLevelType w:val="hybridMultilevel"/>
    <w:tmpl w:val="CFB4D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22F37E6"/>
    <w:multiLevelType w:val="hybridMultilevel"/>
    <w:tmpl w:val="4510ED2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3A8461B"/>
    <w:multiLevelType w:val="hybridMultilevel"/>
    <w:tmpl w:val="C848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3C3EF6"/>
    <w:multiLevelType w:val="hybridMultilevel"/>
    <w:tmpl w:val="3C5AA2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6AE5089"/>
    <w:multiLevelType w:val="hybridMultilevel"/>
    <w:tmpl w:val="D2A800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5F0779"/>
    <w:multiLevelType w:val="hybridMultilevel"/>
    <w:tmpl w:val="9EC2FE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866480"/>
    <w:multiLevelType w:val="hybridMultilevel"/>
    <w:tmpl w:val="68421776"/>
    <w:lvl w:ilvl="0" w:tplc="746E3614">
      <w:start w:val="1"/>
      <w:numFmt w:val="bullet"/>
      <w:lvlText w:val=""/>
      <w:lvlJc w:val="left"/>
      <w:pPr>
        <w:ind w:left="76" w:hanging="360"/>
      </w:pPr>
      <w:rPr>
        <w:rFonts w:ascii="Symbol" w:hAnsi="Symbol" w:hint="default"/>
        <w:color w:val="auto"/>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num w:numId="1">
    <w:abstractNumId w:val="36"/>
  </w:num>
  <w:num w:numId="2">
    <w:abstractNumId w:val="3"/>
  </w:num>
  <w:num w:numId="3">
    <w:abstractNumId w:val="7"/>
  </w:num>
  <w:num w:numId="4">
    <w:abstractNumId w:val="2"/>
  </w:num>
  <w:num w:numId="5">
    <w:abstractNumId w:val="32"/>
  </w:num>
  <w:num w:numId="6">
    <w:abstractNumId w:val="30"/>
  </w:num>
  <w:num w:numId="7">
    <w:abstractNumId w:val="30"/>
  </w:num>
  <w:num w:numId="8">
    <w:abstractNumId w:val="16"/>
  </w:num>
  <w:num w:numId="9">
    <w:abstractNumId w:val="15"/>
  </w:num>
  <w:num w:numId="10">
    <w:abstractNumId w:val="11"/>
  </w:num>
  <w:num w:numId="11">
    <w:abstractNumId w:val="35"/>
  </w:num>
  <w:num w:numId="12">
    <w:abstractNumId w:val="34"/>
  </w:num>
  <w:num w:numId="13">
    <w:abstractNumId w:val="6"/>
  </w:num>
  <w:num w:numId="14">
    <w:abstractNumId w:val="8"/>
  </w:num>
  <w:num w:numId="15">
    <w:abstractNumId w:val="28"/>
  </w:num>
  <w:num w:numId="16">
    <w:abstractNumId w:val="5"/>
  </w:num>
  <w:num w:numId="17">
    <w:abstractNumId w:val="1"/>
  </w:num>
  <w:num w:numId="18">
    <w:abstractNumId w:val="17"/>
  </w:num>
  <w:num w:numId="19">
    <w:abstractNumId w:val="24"/>
  </w:num>
  <w:num w:numId="20">
    <w:abstractNumId w:val="25"/>
  </w:num>
  <w:num w:numId="21">
    <w:abstractNumId w:val="0"/>
  </w:num>
  <w:num w:numId="22">
    <w:abstractNumId w:val="23"/>
  </w:num>
  <w:num w:numId="23">
    <w:abstractNumId w:val="19"/>
  </w:num>
  <w:num w:numId="24">
    <w:abstractNumId w:val="26"/>
  </w:num>
  <w:num w:numId="25">
    <w:abstractNumId w:val="29"/>
  </w:num>
  <w:num w:numId="26">
    <w:abstractNumId w:val="4"/>
  </w:num>
  <w:num w:numId="27">
    <w:abstractNumId w:val="13"/>
  </w:num>
  <w:num w:numId="28">
    <w:abstractNumId w:val="22"/>
  </w:num>
  <w:num w:numId="29">
    <w:abstractNumId w:val="9"/>
  </w:num>
  <w:num w:numId="30">
    <w:abstractNumId w:val="31"/>
  </w:num>
  <w:num w:numId="31">
    <w:abstractNumId w:val="12"/>
  </w:num>
  <w:num w:numId="32">
    <w:abstractNumId w:val="27"/>
  </w:num>
  <w:num w:numId="33">
    <w:abstractNumId w:val="20"/>
  </w:num>
  <w:num w:numId="34">
    <w:abstractNumId w:val="10"/>
  </w:num>
  <w:num w:numId="35">
    <w:abstractNumId w:val="14"/>
  </w:num>
  <w:num w:numId="36">
    <w:abstractNumId w:val="33"/>
  </w:num>
  <w:num w:numId="37">
    <w:abstractNumId w:val="21"/>
  </w:num>
  <w:num w:numId="38">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057FF"/>
    <w:rsid w:val="00005E1C"/>
    <w:rsid w:val="0001012F"/>
    <w:rsid w:val="0002495A"/>
    <w:rsid w:val="00026186"/>
    <w:rsid w:val="000261B2"/>
    <w:rsid w:val="000338D4"/>
    <w:rsid w:val="00036C99"/>
    <w:rsid w:val="00036E8F"/>
    <w:rsid w:val="00043533"/>
    <w:rsid w:val="00045F04"/>
    <w:rsid w:val="00047A06"/>
    <w:rsid w:val="00057DA8"/>
    <w:rsid w:val="000604EB"/>
    <w:rsid w:val="00086485"/>
    <w:rsid w:val="00090745"/>
    <w:rsid w:val="000964DE"/>
    <w:rsid w:val="000A36AD"/>
    <w:rsid w:val="000B1587"/>
    <w:rsid w:val="000B58D0"/>
    <w:rsid w:val="000C2462"/>
    <w:rsid w:val="000C2B07"/>
    <w:rsid w:val="000D0273"/>
    <w:rsid w:val="000E2C6B"/>
    <w:rsid w:val="000E2F4A"/>
    <w:rsid w:val="000E45E5"/>
    <w:rsid w:val="00103276"/>
    <w:rsid w:val="00110E35"/>
    <w:rsid w:val="00111148"/>
    <w:rsid w:val="001279EA"/>
    <w:rsid w:val="00132FA7"/>
    <w:rsid w:val="00134A66"/>
    <w:rsid w:val="001473B3"/>
    <w:rsid w:val="00157C5A"/>
    <w:rsid w:val="00160B1C"/>
    <w:rsid w:val="00163F92"/>
    <w:rsid w:val="00173D30"/>
    <w:rsid w:val="00175450"/>
    <w:rsid w:val="00180DF8"/>
    <w:rsid w:val="001938C6"/>
    <w:rsid w:val="001A0DCE"/>
    <w:rsid w:val="001A190A"/>
    <w:rsid w:val="001A3656"/>
    <w:rsid w:val="001A7DD4"/>
    <w:rsid w:val="001B03E0"/>
    <w:rsid w:val="001B6C88"/>
    <w:rsid w:val="001B6EFA"/>
    <w:rsid w:val="001C1EED"/>
    <w:rsid w:val="001C436F"/>
    <w:rsid w:val="001C7792"/>
    <w:rsid w:val="001D5432"/>
    <w:rsid w:val="001D5750"/>
    <w:rsid w:val="001D755F"/>
    <w:rsid w:val="001D7BC5"/>
    <w:rsid w:val="001E12C7"/>
    <w:rsid w:val="001E30BA"/>
    <w:rsid w:val="001F4B01"/>
    <w:rsid w:val="001F62B1"/>
    <w:rsid w:val="001F6659"/>
    <w:rsid w:val="00205862"/>
    <w:rsid w:val="00205D2B"/>
    <w:rsid w:val="00215866"/>
    <w:rsid w:val="002165F8"/>
    <w:rsid w:val="00221FA3"/>
    <w:rsid w:val="002223E0"/>
    <w:rsid w:val="00222B85"/>
    <w:rsid w:val="00235AB8"/>
    <w:rsid w:val="002400E3"/>
    <w:rsid w:val="00241DA2"/>
    <w:rsid w:val="00256E5D"/>
    <w:rsid w:val="00262B62"/>
    <w:rsid w:val="00266C31"/>
    <w:rsid w:val="00271075"/>
    <w:rsid w:val="002805B0"/>
    <w:rsid w:val="00281C8C"/>
    <w:rsid w:val="00290D8B"/>
    <w:rsid w:val="002A1486"/>
    <w:rsid w:val="002A4527"/>
    <w:rsid w:val="002A5FB9"/>
    <w:rsid w:val="002A6ED7"/>
    <w:rsid w:val="002B197A"/>
    <w:rsid w:val="002C5741"/>
    <w:rsid w:val="002D3528"/>
    <w:rsid w:val="002F1AC8"/>
    <w:rsid w:val="002F799A"/>
    <w:rsid w:val="003106C7"/>
    <w:rsid w:val="00313F41"/>
    <w:rsid w:val="00326216"/>
    <w:rsid w:val="0033411B"/>
    <w:rsid w:val="00344746"/>
    <w:rsid w:val="003504DE"/>
    <w:rsid w:val="00352A9E"/>
    <w:rsid w:val="00355544"/>
    <w:rsid w:val="00366334"/>
    <w:rsid w:val="00375413"/>
    <w:rsid w:val="003754C3"/>
    <w:rsid w:val="0037796B"/>
    <w:rsid w:val="003812A9"/>
    <w:rsid w:val="003836C0"/>
    <w:rsid w:val="00391B40"/>
    <w:rsid w:val="0039261A"/>
    <w:rsid w:val="00395584"/>
    <w:rsid w:val="003A22D4"/>
    <w:rsid w:val="003A5457"/>
    <w:rsid w:val="003A59C7"/>
    <w:rsid w:val="003B0C3C"/>
    <w:rsid w:val="003B3E96"/>
    <w:rsid w:val="003C7C90"/>
    <w:rsid w:val="003D312A"/>
    <w:rsid w:val="003E0188"/>
    <w:rsid w:val="003E2CB5"/>
    <w:rsid w:val="003E46DE"/>
    <w:rsid w:val="003E5AF9"/>
    <w:rsid w:val="003F0258"/>
    <w:rsid w:val="003F16BF"/>
    <w:rsid w:val="00402B63"/>
    <w:rsid w:val="00406855"/>
    <w:rsid w:val="0041727B"/>
    <w:rsid w:val="00424F08"/>
    <w:rsid w:val="00425FF0"/>
    <w:rsid w:val="00432027"/>
    <w:rsid w:val="0043326B"/>
    <w:rsid w:val="00440ECE"/>
    <w:rsid w:val="00441FAE"/>
    <w:rsid w:val="00443E94"/>
    <w:rsid w:val="00451481"/>
    <w:rsid w:val="00452E7F"/>
    <w:rsid w:val="004678DB"/>
    <w:rsid w:val="004758AA"/>
    <w:rsid w:val="004A0D33"/>
    <w:rsid w:val="004A2B79"/>
    <w:rsid w:val="004C1FEB"/>
    <w:rsid w:val="004D3F24"/>
    <w:rsid w:val="004D6E73"/>
    <w:rsid w:val="004E081B"/>
    <w:rsid w:val="004E7922"/>
    <w:rsid w:val="004F74DD"/>
    <w:rsid w:val="0050135D"/>
    <w:rsid w:val="00504DED"/>
    <w:rsid w:val="00505B75"/>
    <w:rsid w:val="00533D21"/>
    <w:rsid w:val="0054321D"/>
    <w:rsid w:val="005450EF"/>
    <w:rsid w:val="00553D88"/>
    <w:rsid w:val="005672C9"/>
    <w:rsid w:val="005678C8"/>
    <w:rsid w:val="00573A53"/>
    <w:rsid w:val="00576BC3"/>
    <w:rsid w:val="005844A9"/>
    <w:rsid w:val="005849A9"/>
    <w:rsid w:val="00586E5A"/>
    <w:rsid w:val="00592C11"/>
    <w:rsid w:val="005A1EDD"/>
    <w:rsid w:val="005A4DD9"/>
    <w:rsid w:val="005B038A"/>
    <w:rsid w:val="005D58E2"/>
    <w:rsid w:val="005F1B65"/>
    <w:rsid w:val="00602280"/>
    <w:rsid w:val="00606D0E"/>
    <w:rsid w:val="006073FC"/>
    <w:rsid w:val="00607542"/>
    <w:rsid w:val="00614780"/>
    <w:rsid w:val="00615A79"/>
    <w:rsid w:val="006161F7"/>
    <w:rsid w:val="006176C9"/>
    <w:rsid w:val="00627610"/>
    <w:rsid w:val="0063524A"/>
    <w:rsid w:val="00635665"/>
    <w:rsid w:val="00637753"/>
    <w:rsid w:val="0064790D"/>
    <w:rsid w:val="0065710B"/>
    <w:rsid w:val="00662D69"/>
    <w:rsid w:val="00676AD5"/>
    <w:rsid w:val="006857E0"/>
    <w:rsid w:val="00694F89"/>
    <w:rsid w:val="006A1738"/>
    <w:rsid w:val="006B0604"/>
    <w:rsid w:val="006C41C9"/>
    <w:rsid w:val="006C491D"/>
    <w:rsid w:val="006C560E"/>
    <w:rsid w:val="006D1934"/>
    <w:rsid w:val="006D406F"/>
    <w:rsid w:val="006D6578"/>
    <w:rsid w:val="006E1090"/>
    <w:rsid w:val="00707600"/>
    <w:rsid w:val="00712B49"/>
    <w:rsid w:val="00714484"/>
    <w:rsid w:val="0071544A"/>
    <w:rsid w:val="00722F8B"/>
    <w:rsid w:val="007354EA"/>
    <w:rsid w:val="00735D7D"/>
    <w:rsid w:val="00736AF2"/>
    <w:rsid w:val="00751511"/>
    <w:rsid w:val="00751A11"/>
    <w:rsid w:val="00751EFC"/>
    <w:rsid w:val="00756FF3"/>
    <w:rsid w:val="007626E5"/>
    <w:rsid w:val="00762C20"/>
    <w:rsid w:val="007650C2"/>
    <w:rsid w:val="0076549E"/>
    <w:rsid w:val="007700FE"/>
    <w:rsid w:val="007703AA"/>
    <w:rsid w:val="00780E32"/>
    <w:rsid w:val="007849E1"/>
    <w:rsid w:val="00792102"/>
    <w:rsid w:val="00792E64"/>
    <w:rsid w:val="00795508"/>
    <w:rsid w:val="0079690F"/>
    <w:rsid w:val="0079752E"/>
    <w:rsid w:val="007C4235"/>
    <w:rsid w:val="007C5D61"/>
    <w:rsid w:val="007D382E"/>
    <w:rsid w:val="007E4F76"/>
    <w:rsid w:val="007F2AF6"/>
    <w:rsid w:val="007F40AF"/>
    <w:rsid w:val="007F662A"/>
    <w:rsid w:val="00807DC0"/>
    <w:rsid w:val="00810FC3"/>
    <w:rsid w:val="00816B78"/>
    <w:rsid w:val="008201F2"/>
    <w:rsid w:val="008259CE"/>
    <w:rsid w:val="008265E4"/>
    <w:rsid w:val="00834D1A"/>
    <w:rsid w:val="0083711D"/>
    <w:rsid w:val="00837F09"/>
    <w:rsid w:val="00845D55"/>
    <w:rsid w:val="008505C2"/>
    <w:rsid w:val="00857566"/>
    <w:rsid w:val="00863897"/>
    <w:rsid w:val="0087456B"/>
    <w:rsid w:val="0088263E"/>
    <w:rsid w:val="00882780"/>
    <w:rsid w:val="008901FA"/>
    <w:rsid w:val="008A0260"/>
    <w:rsid w:val="008A0BE4"/>
    <w:rsid w:val="008A13FE"/>
    <w:rsid w:val="008A4E69"/>
    <w:rsid w:val="008A6F73"/>
    <w:rsid w:val="008B33D2"/>
    <w:rsid w:val="008C0B0A"/>
    <w:rsid w:val="008C2A6B"/>
    <w:rsid w:val="008C5A62"/>
    <w:rsid w:val="008E21EC"/>
    <w:rsid w:val="008E6897"/>
    <w:rsid w:val="008F6E45"/>
    <w:rsid w:val="00903258"/>
    <w:rsid w:val="009050F9"/>
    <w:rsid w:val="00925B98"/>
    <w:rsid w:val="00944F40"/>
    <w:rsid w:val="0094779C"/>
    <w:rsid w:val="009532D4"/>
    <w:rsid w:val="009723CE"/>
    <w:rsid w:val="00975404"/>
    <w:rsid w:val="009754E5"/>
    <w:rsid w:val="009834A5"/>
    <w:rsid w:val="00983D40"/>
    <w:rsid w:val="009875F2"/>
    <w:rsid w:val="009912B9"/>
    <w:rsid w:val="0099380B"/>
    <w:rsid w:val="00993991"/>
    <w:rsid w:val="00993E07"/>
    <w:rsid w:val="00997B2D"/>
    <w:rsid w:val="009A28B1"/>
    <w:rsid w:val="009C0FB8"/>
    <w:rsid w:val="009C2296"/>
    <w:rsid w:val="009C35CE"/>
    <w:rsid w:val="009C5FF1"/>
    <w:rsid w:val="009D0092"/>
    <w:rsid w:val="009D3AAC"/>
    <w:rsid w:val="009D6ECD"/>
    <w:rsid w:val="009E2703"/>
    <w:rsid w:val="009E2B22"/>
    <w:rsid w:val="009E7CAB"/>
    <w:rsid w:val="009F4488"/>
    <w:rsid w:val="009F7E8F"/>
    <w:rsid w:val="00A030A0"/>
    <w:rsid w:val="00A05CC0"/>
    <w:rsid w:val="00A06151"/>
    <w:rsid w:val="00A07006"/>
    <w:rsid w:val="00A24134"/>
    <w:rsid w:val="00A41BC7"/>
    <w:rsid w:val="00A4238A"/>
    <w:rsid w:val="00A50DB1"/>
    <w:rsid w:val="00A52C65"/>
    <w:rsid w:val="00A60FD7"/>
    <w:rsid w:val="00A639DA"/>
    <w:rsid w:val="00A6756E"/>
    <w:rsid w:val="00A71CCD"/>
    <w:rsid w:val="00A73DC4"/>
    <w:rsid w:val="00A83454"/>
    <w:rsid w:val="00A84AEE"/>
    <w:rsid w:val="00A90093"/>
    <w:rsid w:val="00AA4872"/>
    <w:rsid w:val="00AA76B6"/>
    <w:rsid w:val="00AB19A8"/>
    <w:rsid w:val="00AB2D37"/>
    <w:rsid w:val="00AC6F4C"/>
    <w:rsid w:val="00AE2963"/>
    <w:rsid w:val="00AE57C9"/>
    <w:rsid w:val="00AF08E1"/>
    <w:rsid w:val="00AF3C0C"/>
    <w:rsid w:val="00AF4ACF"/>
    <w:rsid w:val="00AF6929"/>
    <w:rsid w:val="00B00F59"/>
    <w:rsid w:val="00B04BDC"/>
    <w:rsid w:val="00B06460"/>
    <w:rsid w:val="00B0751D"/>
    <w:rsid w:val="00B2445F"/>
    <w:rsid w:val="00B263A2"/>
    <w:rsid w:val="00B438A3"/>
    <w:rsid w:val="00B60FD8"/>
    <w:rsid w:val="00B63865"/>
    <w:rsid w:val="00B81FE2"/>
    <w:rsid w:val="00B84671"/>
    <w:rsid w:val="00B8792F"/>
    <w:rsid w:val="00B879BD"/>
    <w:rsid w:val="00B94F13"/>
    <w:rsid w:val="00BB2F06"/>
    <w:rsid w:val="00BB4642"/>
    <w:rsid w:val="00BC5BEB"/>
    <w:rsid w:val="00BC7C4D"/>
    <w:rsid w:val="00BF01D2"/>
    <w:rsid w:val="00C040D9"/>
    <w:rsid w:val="00C06337"/>
    <w:rsid w:val="00C22E07"/>
    <w:rsid w:val="00C34025"/>
    <w:rsid w:val="00C41A4B"/>
    <w:rsid w:val="00C50512"/>
    <w:rsid w:val="00C56F1C"/>
    <w:rsid w:val="00C6160B"/>
    <w:rsid w:val="00C62F49"/>
    <w:rsid w:val="00C64099"/>
    <w:rsid w:val="00C7261C"/>
    <w:rsid w:val="00C7273F"/>
    <w:rsid w:val="00C76FB2"/>
    <w:rsid w:val="00C8605C"/>
    <w:rsid w:val="00C95435"/>
    <w:rsid w:val="00CA48A5"/>
    <w:rsid w:val="00CB20F6"/>
    <w:rsid w:val="00CC3925"/>
    <w:rsid w:val="00CC3DFC"/>
    <w:rsid w:val="00CC416D"/>
    <w:rsid w:val="00CC6AB6"/>
    <w:rsid w:val="00CC740F"/>
    <w:rsid w:val="00CF047F"/>
    <w:rsid w:val="00CF2085"/>
    <w:rsid w:val="00CF522C"/>
    <w:rsid w:val="00D01367"/>
    <w:rsid w:val="00D076A2"/>
    <w:rsid w:val="00D128DF"/>
    <w:rsid w:val="00D13DB8"/>
    <w:rsid w:val="00D17475"/>
    <w:rsid w:val="00D236E3"/>
    <w:rsid w:val="00D23FE6"/>
    <w:rsid w:val="00D2659A"/>
    <w:rsid w:val="00D3419A"/>
    <w:rsid w:val="00D40D91"/>
    <w:rsid w:val="00D432CE"/>
    <w:rsid w:val="00D43E03"/>
    <w:rsid w:val="00D45206"/>
    <w:rsid w:val="00D51746"/>
    <w:rsid w:val="00D57AC3"/>
    <w:rsid w:val="00D63B6C"/>
    <w:rsid w:val="00D813AF"/>
    <w:rsid w:val="00D83313"/>
    <w:rsid w:val="00D92FCE"/>
    <w:rsid w:val="00DA09DE"/>
    <w:rsid w:val="00DA1181"/>
    <w:rsid w:val="00DA16E4"/>
    <w:rsid w:val="00DA5896"/>
    <w:rsid w:val="00DA646F"/>
    <w:rsid w:val="00DB0EB6"/>
    <w:rsid w:val="00DB77DD"/>
    <w:rsid w:val="00DB7F57"/>
    <w:rsid w:val="00DC7C8B"/>
    <w:rsid w:val="00DD3BA3"/>
    <w:rsid w:val="00DE1432"/>
    <w:rsid w:val="00DE476F"/>
    <w:rsid w:val="00DE79DC"/>
    <w:rsid w:val="00DF73B6"/>
    <w:rsid w:val="00E023F2"/>
    <w:rsid w:val="00E05A57"/>
    <w:rsid w:val="00E1795F"/>
    <w:rsid w:val="00E2133E"/>
    <w:rsid w:val="00E21634"/>
    <w:rsid w:val="00E24E14"/>
    <w:rsid w:val="00E2763D"/>
    <w:rsid w:val="00E3418C"/>
    <w:rsid w:val="00E3497C"/>
    <w:rsid w:val="00E430E5"/>
    <w:rsid w:val="00E45064"/>
    <w:rsid w:val="00E478A5"/>
    <w:rsid w:val="00E56341"/>
    <w:rsid w:val="00E701CC"/>
    <w:rsid w:val="00E83024"/>
    <w:rsid w:val="00E8310E"/>
    <w:rsid w:val="00E87179"/>
    <w:rsid w:val="00E90323"/>
    <w:rsid w:val="00E94857"/>
    <w:rsid w:val="00E964BE"/>
    <w:rsid w:val="00EA1411"/>
    <w:rsid w:val="00EA2915"/>
    <w:rsid w:val="00EA50D0"/>
    <w:rsid w:val="00EA5453"/>
    <w:rsid w:val="00EA697D"/>
    <w:rsid w:val="00EC70F7"/>
    <w:rsid w:val="00EC738C"/>
    <w:rsid w:val="00ED5942"/>
    <w:rsid w:val="00ED649B"/>
    <w:rsid w:val="00EE32EA"/>
    <w:rsid w:val="00F23553"/>
    <w:rsid w:val="00F2597F"/>
    <w:rsid w:val="00F3274E"/>
    <w:rsid w:val="00F33799"/>
    <w:rsid w:val="00F40D72"/>
    <w:rsid w:val="00F40EEB"/>
    <w:rsid w:val="00F42EEE"/>
    <w:rsid w:val="00F5012E"/>
    <w:rsid w:val="00F53128"/>
    <w:rsid w:val="00F63F70"/>
    <w:rsid w:val="00F662A3"/>
    <w:rsid w:val="00F73DE2"/>
    <w:rsid w:val="00F7753E"/>
    <w:rsid w:val="00F9130D"/>
    <w:rsid w:val="00F918E6"/>
    <w:rsid w:val="00F93118"/>
    <w:rsid w:val="00FB3481"/>
    <w:rsid w:val="00FC0641"/>
    <w:rsid w:val="00FC14C9"/>
    <w:rsid w:val="00FD5694"/>
    <w:rsid w:val="00FE7C9D"/>
    <w:rsid w:val="00FF0654"/>
    <w:rsid w:val="00FF0CD6"/>
    <w:rsid w:val="00FF2D1B"/>
    <w:rsid w:val="00FF3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48C2EA9-54B8-459D-959F-3FD0C5F6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A9"/>
  </w:style>
  <w:style w:type="paragraph" w:styleId="Heading3">
    <w:name w:val="heading 3"/>
    <w:basedOn w:val="Normal"/>
    <w:link w:val="Heading3Char"/>
    <w:uiPriority w:val="9"/>
    <w:qFormat/>
    <w:rsid w:val="008265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basedOn w:val="Normal"/>
    <w:link w:val="ListParagraphChar"/>
    <w:uiPriority w:val="34"/>
    <w:qFormat/>
    <w:rsid w:val="00FF2D1B"/>
    <w:pPr>
      <w:ind w:left="720"/>
      <w:contextualSpacing/>
    </w:pPr>
  </w:style>
  <w:style w:type="table" w:styleId="TableGrid">
    <w:name w:val="Table Grid"/>
    <w:basedOn w:val="TableNormal"/>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FootnoteReference">
    <w:name w:val="footnote reference"/>
    <w:basedOn w:val="DefaultParagraphFont"/>
    <w:uiPriority w:val="99"/>
    <w:semiHidden/>
    <w:rsid w:val="000A36AD"/>
    <w:rPr>
      <w:vertAlign w:val="superscript"/>
    </w:rPr>
  </w:style>
  <w:style w:type="paragraph" w:styleId="FootnoteText">
    <w:name w:val="footnote text"/>
    <w:basedOn w:val="Normal"/>
    <w:link w:val="FootnoteTextChar"/>
    <w:uiPriority w:val="99"/>
    <w:semiHidden/>
    <w:rsid w:val="000A36AD"/>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basedOn w:val="DefaultParagraphFont"/>
    <w:link w:val="FootnoteText"/>
    <w:uiPriority w:val="99"/>
    <w:semiHidden/>
    <w:rsid w:val="000A36AD"/>
    <w:rPr>
      <w:rFonts w:ascii="CG Times" w:eastAsia="Times New Roman" w:hAnsi="CG Times" w:cs="Times New Roman"/>
      <w:sz w:val="24"/>
      <w:szCs w:val="20"/>
    </w:rPr>
  </w:style>
  <w:style w:type="character" w:styleId="FollowedHyperlink">
    <w:name w:val="FollowedHyperlink"/>
    <w:basedOn w:val="DefaultParagraphFont"/>
    <w:uiPriority w:val="99"/>
    <w:semiHidden/>
    <w:unhideWhenUsed/>
    <w:rsid w:val="00F3274E"/>
    <w:rPr>
      <w:color w:val="800080" w:themeColor="followedHyperlink"/>
      <w:u w:val="single"/>
    </w:rPr>
  </w:style>
  <w:style w:type="character" w:customStyle="1" w:styleId="Heading3Char">
    <w:name w:val="Heading 3 Char"/>
    <w:basedOn w:val="DefaultParagraphFont"/>
    <w:link w:val="Heading3"/>
    <w:uiPriority w:val="9"/>
    <w:rsid w:val="008265E4"/>
    <w:rPr>
      <w:rFonts w:ascii="Times New Roman" w:eastAsia="Times New Roman" w:hAnsi="Times New Roman" w:cs="Times New Roman"/>
      <w:b/>
      <w:bCs/>
      <w:sz w:val="27"/>
      <w:szCs w:val="27"/>
    </w:rPr>
  </w:style>
  <w:style w:type="paragraph" w:styleId="NoSpacing">
    <w:name w:val="No Spacing"/>
    <w:uiPriority w:val="1"/>
    <w:qFormat/>
    <w:rsid w:val="00607542"/>
    <w:pPr>
      <w:spacing w:after="0" w:line="240" w:lineRule="auto"/>
    </w:pPr>
    <w:rPr>
      <w:rFonts w:ascii="Calibri" w:eastAsia="Times New Roman" w:hAnsi="Calibri" w:cs="Times New Roman"/>
    </w:rPr>
  </w:style>
  <w:style w:type="paragraph" w:styleId="BodyText">
    <w:name w:val="Body Text"/>
    <w:basedOn w:val="Normal"/>
    <w:link w:val="BodyTextChar"/>
    <w:rsid w:val="00E964BE"/>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E964BE"/>
    <w:rPr>
      <w:rFonts w:ascii="Times New Roman" w:eastAsia="Times New Roman" w:hAnsi="Times New Roman" w:cs="Times New Roman"/>
      <w:sz w:val="24"/>
      <w:szCs w:val="24"/>
      <w:lang w:val="en-GB"/>
    </w:rPr>
  </w:style>
  <w:style w:type="character" w:customStyle="1" w:styleId="ListParagraphChar">
    <w:name w:val="List Paragraph Char"/>
    <w:link w:val="ListParagraph"/>
    <w:uiPriority w:val="34"/>
    <w:locked/>
    <w:rsid w:val="009C2296"/>
  </w:style>
  <w:style w:type="paragraph" w:styleId="NormalWeb">
    <w:name w:val="Normal (Web)"/>
    <w:basedOn w:val="Normal"/>
    <w:uiPriority w:val="99"/>
    <w:unhideWhenUsed/>
    <w:rsid w:val="009C2296"/>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rsid w:val="00857566"/>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857566"/>
    <w:rPr>
      <w:rFonts w:ascii="Courier New" w:eastAsia="Times New Roman" w:hAnsi="Courier New" w:cs="Times New Roman"/>
      <w:sz w:val="20"/>
      <w:szCs w:val="20"/>
      <w:lang w:val="en-GB"/>
    </w:rPr>
  </w:style>
  <w:style w:type="paragraph" w:customStyle="1" w:styleId="Default">
    <w:name w:val="Default"/>
    <w:rsid w:val="00735D7D"/>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614">
      <w:bodyDiv w:val="1"/>
      <w:marLeft w:val="0"/>
      <w:marRight w:val="0"/>
      <w:marTop w:val="0"/>
      <w:marBottom w:val="0"/>
      <w:divBdr>
        <w:top w:val="none" w:sz="0" w:space="0" w:color="auto"/>
        <w:left w:val="none" w:sz="0" w:space="0" w:color="auto"/>
        <w:bottom w:val="none" w:sz="0" w:space="0" w:color="auto"/>
        <w:right w:val="none" w:sz="0" w:space="0" w:color="auto"/>
      </w:divBdr>
    </w:div>
    <w:div w:id="16085439">
      <w:bodyDiv w:val="1"/>
      <w:marLeft w:val="0"/>
      <w:marRight w:val="0"/>
      <w:marTop w:val="0"/>
      <w:marBottom w:val="0"/>
      <w:divBdr>
        <w:top w:val="none" w:sz="0" w:space="0" w:color="auto"/>
        <w:left w:val="none" w:sz="0" w:space="0" w:color="auto"/>
        <w:bottom w:val="none" w:sz="0" w:space="0" w:color="auto"/>
        <w:right w:val="none" w:sz="0" w:space="0" w:color="auto"/>
      </w:divBdr>
    </w:div>
    <w:div w:id="121773360">
      <w:bodyDiv w:val="1"/>
      <w:marLeft w:val="0"/>
      <w:marRight w:val="0"/>
      <w:marTop w:val="0"/>
      <w:marBottom w:val="0"/>
      <w:divBdr>
        <w:top w:val="none" w:sz="0" w:space="0" w:color="auto"/>
        <w:left w:val="none" w:sz="0" w:space="0" w:color="auto"/>
        <w:bottom w:val="none" w:sz="0" w:space="0" w:color="auto"/>
        <w:right w:val="none" w:sz="0" w:space="0" w:color="auto"/>
      </w:divBdr>
    </w:div>
    <w:div w:id="390076983">
      <w:bodyDiv w:val="1"/>
      <w:marLeft w:val="0"/>
      <w:marRight w:val="0"/>
      <w:marTop w:val="0"/>
      <w:marBottom w:val="0"/>
      <w:divBdr>
        <w:top w:val="none" w:sz="0" w:space="0" w:color="auto"/>
        <w:left w:val="none" w:sz="0" w:space="0" w:color="auto"/>
        <w:bottom w:val="none" w:sz="0" w:space="0" w:color="auto"/>
        <w:right w:val="none" w:sz="0" w:space="0" w:color="auto"/>
      </w:divBdr>
      <w:divsChild>
        <w:div w:id="193616700">
          <w:marLeft w:val="0"/>
          <w:marRight w:val="0"/>
          <w:marTop w:val="0"/>
          <w:marBottom w:val="0"/>
          <w:divBdr>
            <w:top w:val="none" w:sz="0" w:space="0" w:color="auto"/>
            <w:left w:val="none" w:sz="0" w:space="0" w:color="auto"/>
            <w:bottom w:val="none" w:sz="0" w:space="0" w:color="auto"/>
            <w:right w:val="none" w:sz="0" w:space="0" w:color="auto"/>
          </w:divBdr>
        </w:div>
      </w:divsChild>
    </w:div>
    <w:div w:id="431248523">
      <w:bodyDiv w:val="1"/>
      <w:marLeft w:val="0"/>
      <w:marRight w:val="0"/>
      <w:marTop w:val="0"/>
      <w:marBottom w:val="0"/>
      <w:divBdr>
        <w:top w:val="none" w:sz="0" w:space="0" w:color="auto"/>
        <w:left w:val="none" w:sz="0" w:space="0" w:color="auto"/>
        <w:bottom w:val="none" w:sz="0" w:space="0" w:color="auto"/>
        <w:right w:val="none" w:sz="0" w:space="0" w:color="auto"/>
      </w:divBdr>
    </w:div>
    <w:div w:id="441069499">
      <w:bodyDiv w:val="1"/>
      <w:marLeft w:val="0"/>
      <w:marRight w:val="0"/>
      <w:marTop w:val="0"/>
      <w:marBottom w:val="0"/>
      <w:divBdr>
        <w:top w:val="none" w:sz="0" w:space="0" w:color="auto"/>
        <w:left w:val="none" w:sz="0" w:space="0" w:color="auto"/>
        <w:bottom w:val="none" w:sz="0" w:space="0" w:color="auto"/>
        <w:right w:val="none" w:sz="0" w:space="0" w:color="auto"/>
      </w:divBdr>
    </w:div>
    <w:div w:id="550463146">
      <w:bodyDiv w:val="1"/>
      <w:marLeft w:val="0"/>
      <w:marRight w:val="0"/>
      <w:marTop w:val="0"/>
      <w:marBottom w:val="0"/>
      <w:divBdr>
        <w:top w:val="none" w:sz="0" w:space="0" w:color="auto"/>
        <w:left w:val="none" w:sz="0" w:space="0" w:color="auto"/>
        <w:bottom w:val="none" w:sz="0" w:space="0" w:color="auto"/>
        <w:right w:val="none" w:sz="0" w:space="0" w:color="auto"/>
      </w:divBdr>
    </w:div>
    <w:div w:id="577641053">
      <w:bodyDiv w:val="1"/>
      <w:marLeft w:val="0"/>
      <w:marRight w:val="0"/>
      <w:marTop w:val="0"/>
      <w:marBottom w:val="0"/>
      <w:divBdr>
        <w:top w:val="none" w:sz="0" w:space="0" w:color="auto"/>
        <w:left w:val="none" w:sz="0" w:space="0" w:color="auto"/>
        <w:bottom w:val="none" w:sz="0" w:space="0" w:color="auto"/>
        <w:right w:val="none" w:sz="0" w:space="0" w:color="auto"/>
      </w:divBdr>
    </w:div>
    <w:div w:id="651257829">
      <w:bodyDiv w:val="1"/>
      <w:marLeft w:val="0"/>
      <w:marRight w:val="0"/>
      <w:marTop w:val="0"/>
      <w:marBottom w:val="0"/>
      <w:divBdr>
        <w:top w:val="none" w:sz="0" w:space="0" w:color="auto"/>
        <w:left w:val="none" w:sz="0" w:space="0" w:color="auto"/>
        <w:bottom w:val="none" w:sz="0" w:space="0" w:color="auto"/>
        <w:right w:val="none" w:sz="0" w:space="0" w:color="auto"/>
      </w:divBdr>
    </w:div>
    <w:div w:id="673073953">
      <w:bodyDiv w:val="1"/>
      <w:marLeft w:val="0"/>
      <w:marRight w:val="0"/>
      <w:marTop w:val="0"/>
      <w:marBottom w:val="0"/>
      <w:divBdr>
        <w:top w:val="none" w:sz="0" w:space="0" w:color="auto"/>
        <w:left w:val="none" w:sz="0" w:space="0" w:color="auto"/>
        <w:bottom w:val="none" w:sz="0" w:space="0" w:color="auto"/>
        <w:right w:val="none" w:sz="0" w:space="0" w:color="auto"/>
      </w:divBdr>
    </w:div>
    <w:div w:id="816263343">
      <w:bodyDiv w:val="1"/>
      <w:marLeft w:val="0"/>
      <w:marRight w:val="0"/>
      <w:marTop w:val="0"/>
      <w:marBottom w:val="0"/>
      <w:divBdr>
        <w:top w:val="none" w:sz="0" w:space="0" w:color="auto"/>
        <w:left w:val="none" w:sz="0" w:space="0" w:color="auto"/>
        <w:bottom w:val="none" w:sz="0" w:space="0" w:color="auto"/>
        <w:right w:val="none" w:sz="0" w:space="0" w:color="auto"/>
      </w:divBdr>
      <w:divsChild>
        <w:div w:id="1630864192">
          <w:marLeft w:val="0"/>
          <w:marRight w:val="0"/>
          <w:marTop w:val="0"/>
          <w:marBottom w:val="0"/>
          <w:divBdr>
            <w:top w:val="none" w:sz="0" w:space="0" w:color="auto"/>
            <w:left w:val="none" w:sz="0" w:space="0" w:color="auto"/>
            <w:bottom w:val="none" w:sz="0" w:space="0" w:color="auto"/>
            <w:right w:val="none" w:sz="0" w:space="0" w:color="auto"/>
          </w:divBdr>
        </w:div>
      </w:divsChild>
    </w:div>
    <w:div w:id="880940977">
      <w:bodyDiv w:val="1"/>
      <w:marLeft w:val="0"/>
      <w:marRight w:val="0"/>
      <w:marTop w:val="0"/>
      <w:marBottom w:val="0"/>
      <w:divBdr>
        <w:top w:val="none" w:sz="0" w:space="0" w:color="auto"/>
        <w:left w:val="none" w:sz="0" w:space="0" w:color="auto"/>
        <w:bottom w:val="none" w:sz="0" w:space="0" w:color="auto"/>
        <w:right w:val="none" w:sz="0" w:space="0" w:color="auto"/>
      </w:divBdr>
    </w:div>
    <w:div w:id="974793411">
      <w:bodyDiv w:val="1"/>
      <w:marLeft w:val="0"/>
      <w:marRight w:val="0"/>
      <w:marTop w:val="0"/>
      <w:marBottom w:val="0"/>
      <w:divBdr>
        <w:top w:val="none" w:sz="0" w:space="0" w:color="auto"/>
        <w:left w:val="none" w:sz="0" w:space="0" w:color="auto"/>
        <w:bottom w:val="none" w:sz="0" w:space="0" w:color="auto"/>
        <w:right w:val="none" w:sz="0" w:space="0" w:color="auto"/>
      </w:divBdr>
    </w:div>
    <w:div w:id="1157453489">
      <w:bodyDiv w:val="1"/>
      <w:marLeft w:val="0"/>
      <w:marRight w:val="0"/>
      <w:marTop w:val="0"/>
      <w:marBottom w:val="0"/>
      <w:divBdr>
        <w:top w:val="none" w:sz="0" w:space="0" w:color="auto"/>
        <w:left w:val="none" w:sz="0" w:space="0" w:color="auto"/>
        <w:bottom w:val="none" w:sz="0" w:space="0" w:color="auto"/>
        <w:right w:val="none" w:sz="0" w:space="0" w:color="auto"/>
      </w:divBdr>
    </w:div>
    <w:div w:id="1188786200">
      <w:bodyDiv w:val="1"/>
      <w:marLeft w:val="0"/>
      <w:marRight w:val="0"/>
      <w:marTop w:val="0"/>
      <w:marBottom w:val="0"/>
      <w:divBdr>
        <w:top w:val="none" w:sz="0" w:space="0" w:color="auto"/>
        <w:left w:val="none" w:sz="0" w:space="0" w:color="auto"/>
        <w:bottom w:val="none" w:sz="0" w:space="0" w:color="auto"/>
        <w:right w:val="none" w:sz="0" w:space="0" w:color="auto"/>
      </w:divBdr>
    </w:div>
    <w:div w:id="1285501334">
      <w:bodyDiv w:val="1"/>
      <w:marLeft w:val="0"/>
      <w:marRight w:val="0"/>
      <w:marTop w:val="0"/>
      <w:marBottom w:val="0"/>
      <w:divBdr>
        <w:top w:val="none" w:sz="0" w:space="0" w:color="auto"/>
        <w:left w:val="none" w:sz="0" w:space="0" w:color="auto"/>
        <w:bottom w:val="none" w:sz="0" w:space="0" w:color="auto"/>
        <w:right w:val="none" w:sz="0" w:space="0" w:color="auto"/>
      </w:divBdr>
    </w:div>
    <w:div w:id="1352680940">
      <w:bodyDiv w:val="1"/>
      <w:marLeft w:val="0"/>
      <w:marRight w:val="0"/>
      <w:marTop w:val="0"/>
      <w:marBottom w:val="0"/>
      <w:divBdr>
        <w:top w:val="none" w:sz="0" w:space="0" w:color="auto"/>
        <w:left w:val="none" w:sz="0" w:space="0" w:color="auto"/>
        <w:bottom w:val="none" w:sz="0" w:space="0" w:color="auto"/>
        <w:right w:val="none" w:sz="0" w:space="0" w:color="auto"/>
      </w:divBdr>
    </w:div>
    <w:div w:id="1410806864">
      <w:bodyDiv w:val="1"/>
      <w:marLeft w:val="0"/>
      <w:marRight w:val="0"/>
      <w:marTop w:val="0"/>
      <w:marBottom w:val="0"/>
      <w:divBdr>
        <w:top w:val="none" w:sz="0" w:space="0" w:color="auto"/>
        <w:left w:val="none" w:sz="0" w:space="0" w:color="auto"/>
        <w:bottom w:val="none" w:sz="0" w:space="0" w:color="auto"/>
        <w:right w:val="none" w:sz="0" w:space="0" w:color="auto"/>
      </w:divBdr>
    </w:div>
    <w:div w:id="2018344517">
      <w:bodyDiv w:val="1"/>
      <w:marLeft w:val="0"/>
      <w:marRight w:val="0"/>
      <w:marTop w:val="0"/>
      <w:marBottom w:val="0"/>
      <w:divBdr>
        <w:top w:val="none" w:sz="0" w:space="0" w:color="auto"/>
        <w:left w:val="none" w:sz="0" w:space="0" w:color="auto"/>
        <w:bottom w:val="none" w:sz="0" w:space="0" w:color="auto"/>
        <w:right w:val="none" w:sz="0" w:space="0" w:color="auto"/>
      </w:divBdr>
    </w:div>
    <w:div w:id="2083215867">
      <w:bodyDiv w:val="1"/>
      <w:marLeft w:val="0"/>
      <w:marRight w:val="0"/>
      <w:marTop w:val="0"/>
      <w:marBottom w:val="0"/>
      <w:divBdr>
        <w:top w:val="none" w:sz="0" w:space="0" w:color="auto"/>
        <w:left w:val="none" w:sz="0" w:space="0" w:color="auto"/>
        <w:bottom w:val="none" w:sz="0" w:space="0" w:color="auto"/>
        <w:right w:val="none" w:sz="0" w:space="0" w:color="auto"/>
      </w:divBdr>
    </w:div>
    <w:div w:id="212619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634897381195225099</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634897381195225099</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634897381195225099</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 ma:contentTypeDescription="Create a new document." ma:contentTypeScope="" ma:versionID="780df7d8d3aed91d5a48033825ff26f2">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b1922f39e7398e9d1155d52ca26de859"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UNITBOM-1781-31</_dlc_DocId>
    <_dlc_DocIdUrl xmlns="bf4c0e24-4363-4a2c-98c4-ba38f29833df">
      <Url>https://intranet.undp.org/unit/bom/pso/_layouts/DocIdRedir.aspx?ID=UNITBOM-1781-31</Url>
      <Description>UNITBOM-1781-31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F1EBC-D09A-4485-91E9-ED139017C92A}">
  <ds:schemaRefs>
    <ds:schemaRef ds:uri="http://schemas.microsoft.com/sharepoint/events"/>
  </ds:schemaRefs>
</ds:datastoreItem>
</file>

<file path=customXml/itemProps2.xml><?xml version="1.0" encoding="utf-8"?>
<ds:datastoreItem xmlns:ds="http://schemas.openxmlformats.org/officeDocument/2006/customXml" ds:itemID="{00C503B9-3895-421A-ACCF-166A683AC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4.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5.xml><?xml version="1.0" encoding="utf-8"?>
<ds:datastoreItem xmlns:ds="http://schemas.openxmlformats.org/officeDocument/2006/customXml" ds:itemID="{DCB680E9-E336-43F9-AF41-C23C83DCF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11143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Nivesh SOOD</dc:creator>
  <cp:lastModifiedBy>Getachew Araya</cp:lastModifiedBy>
  <cp:revision>3</cp:revision>
  <cp:lastPrinted>2015-09-02T08:48:00Z</cp:lastPrinted>
  <dcterms:created xsi:type="dcterms:W3CDTF">2018-07-13T10:51:00Z</dcterms:created>
  <dcterms:modified xsi:type="dcterms:W3CDTF">2018-07-13T10:52:00Z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f33bece7-c656-43f6-b20e-7510aac5aa65</vt:lpwstr>
  </property>
</Properties>
</file>