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5764" w14:textId="64FD8B55" w:rsidR="00C878D8" w:rsidRPr="00387EEA" w:rsidRDefault="00C878D8" w:rsidP="00387EEA">
      <w:pPr>
        <w:spacing w:after="0" w:line="240" w:lineRule="auto"/>
        <w:jc w:val="center"/>
        <w:rPr>
          <w:rFonts w:eastAsia="Times New Roman" w:cs="Times New Roman"/>
          <w:lang w:val="es-DO"/>
        </w:rPr>
      </w:pPr>
      <w:r w:rsidRPr="00FF5490">
        <w:rPr>
          <w:rFonts w:eastAsia="Times New Roman" w:cs="Times New Roman"/>
          <w:noProof/>
          <w:lang w:val="es-DO"/>
        </w:rPr>
        <w:drawing>
          <wp:anchor distT="0" distB="0" distL="114300" distR="114300" simplePos="0" relativeHeight="251658240" behindDoc="0" locked="0" layoutInCell="1" allowOverlap="1" wp14:anchorId="477D5235" wp14:editId="179404D4">
            <wp:simplePos x="0" y="0"/>
            <wp:positionH relativeFrom="margin">
              <wp:align>right</wp:align>
            </wp:positionH>
            <wp:positionV relativeFrom="paragraph">
              <wp:posOffset>-411480</wp:posOffset>
            </wp:positionV>
            <wp:extent cx="518160" cy="1217075"/>
            <wp:effectExtent l="0" t="0" r="0" b="2540"/>
            <wp:wrapNone/>
            <wp:docPr id="2" name="Picture 2" descr="A close up of a blu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UD_Logo-azul-tagline-azu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160" cy="1217075"/>
                    </a:xfrm>
                    <a:prstGeom prst="rect">
                      <a:avLst/>
                    </a:prstGeom>
                  </pic:spPr>
                </pic:pic>
              </a:graphicData>
            </a:graphic>
          </wp:anchor>
        </w:drawing>
      </w:r>
      <w:r w:rsidRPr="00FF5490">
        <w:rPr>
          <w:rFonts w:eastAsia="Times New Roman" w:cs="Times New Roman"/>
          <w:b/>
          <w:sz w:val="32"/>
          <w:szCs w:val="32"/>
          <w:u w:val="single"/>
          <w:lang w:val="es-DO"/>
        </w:rPr>
        <w:t>Convocatoria de propuestas para subvenciones</w:t>
      </w:r>
    </w:p>
    <w:p w14:paraId="2286285C" w14:textId="39E7B489" w:rsidR="00E356B9" w:rsidRPr="00FF5490" w:rsidRDefault="00166A94" w:rsidP="0070409C">
      <w:pPr>
        <w:jc w:val="center"/>
        <w:rPr>
          <w:rFonts w:eastAsia="Times New Roman" w:cs="Arial"/>
          <w:sz w:val="36"/>
          <w:szCs w:val="36"/>
          <w:lang w:val="es-DO"/>
        </w:rPr>
      </w:pPr>
      <w:hyperlink r:id="rId12" w:anchor="page=2" w:tooltip="Page 2" w:history="1">
        <w:r w:rsidR="00387EEA" w:rsidRPr="00387EEA">
          <w:rPr>
            <w:lang w:val="es-DO"/>
          </w:rPr>
          <w:t xml:space="preserve"> </w:t>
        </w:r>
        <w:r w:rsidR="00387EEA">
          <w:rPr>
            <w:bCs/>
            <w:sz w:val="36"/>
            <w:szCs w:val="36"/>
            <w:lang w:val="es-DO"/>
          </w:rPr>
          <w:t>P</w:t>
        </w:r>
        <w:r w:rsidR="00387EEA" w:rsidRPr="00387EEA">
          <w:rPr>
            <w:bCs/>
            <w:sz w:val="36"/>
            <w:szCs w:val="36"/>
            <w:lang w:val="es-DO"/>
          </w:rPr>
          <w:t xml:space="preserve">rograma </w:t>
        </w:r>
        <w:r w:rsidR="00387EEA">
          <w:rPr>
            <w:bCs/>
            <w:sz w:val="36"/>
            <w:szCs w:val="36"/>
            <w:lang w:val="es-DO"/>
          </w:rPr>
          <w:t>S</w:t>
        </w:r>
        <w:r w:rsidR="00C878D8" w:rsidRPr="00FF5490">
          <w:rPr>
            <w:bCs/>
            <w:sz w:val="36"/>
            <w:szCs w:val="36"/>
            <w:lang w:val="es-DO"/>
          </w:rPr>
          <w:t>er LGBTI en El Caribe</w:t>
        </w:r>
      </w:hyperlink>
      <w:r w:rsidR="0070409C" w:rsidRPr="00FF5490">
        <w:rPr>
          <w:rFonts w:eastAsia="Times New Roman" w:cs="Times New Roman"/>
          <w:sz w:val="36"/>
          <w:szCs w:val="36"/>
          <w:lang w:val="es-DO"/>
        </w:rPr>
        <w:t xml:space="preserve"> </w:t>
      </w:r>
      <w:hyperlink r:id="rId13" w:anchor="page=4" w:tooltip="Page 4" w:history="1"/>
    </w:p>
    <w:p w14:paraId="0FC71323" w14:textId="77777777" w:rsidR="00E356B9" w:rsidRPr="00FF5490" w:rsidRDefault="00E356B9" w:rsidP="00807DDE">
      <w:pPr>
        <w:spacing w:after="0" w:line="240" w:lineRule="auto"/>
        <w:jc w:val="both"/>
        <w:rPr>
          <w:rFonts w:eastAsia="Times New Roman" w:cs="Arial"/>
          <w:sz w:val="24"/>
          <w:szCs w:val="24"/>
          <w:vertAlign w:val="subscript"/>
          <w:lang w:val="es-DO"/>
        </w:rPr>
      </w:pPr>
    </w:p>
    <w:p w14:paraId="6335E4A7" w14:textId="3E5E9880" w:rsidR="00E356B9" w:rsidRPr="00FF5490" w:rsidRDefault="00C878D8" w:rsidP="00807DDE">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Antecedentes</w:t>
      </w:r>
    </w:p>
    <w:p w14:paraId="448F6E47" w14:textId="4923DAA7" w:rsidR="0070409C" w:rsidRPr="00FF5490" w:rsidRDefault="0070409C" w:rsidP="0070409C">
      <w:pPr>
        <w:pStyle w:val="ListParagraph"/>
        <w:spacing w:after="0" w:line="240" w:lineRule="auto"/>
        <w:ind w:left="1080"/>
        <w:jc w:val="both"/>
        <w:rPr>
          <w:rFonts w:eastAsia="Times New Roman" w:cs="Arial"/>
          <w:b/>
          <w:sz w:val="24"/>
          <w:szCs w:val="24"/>
          <w:lang w:val="es-DO"/>
        </w:rPr>
      </w:pPr>
    </w:p>
    <w:p w14:paraId="775351A2" w14:textId="4590431D" w:rsidR="00C878D8" w:rsidRPr="00FF5490" w:rsidRDefault="00C878D8" w:rsidP="00C878D8">
      <w:pPr>
        <w:spacing w:after="0" w:line="240" w:lineRule="auto"/>
        <w:jc w:val="both"/>
        <w:rPr>
          <w:rFonts w:ascii="Calibri" w:hAnsi="Calibri" w:cs="Calibri"/>
          <w:lang w:val="es-DO"/>
        </w:rPr>
      </w:pPr>
      <w:r w:rsidRPr="00FF5490">
        <w:rPr>
          <w:rFonts w:ascii="Calibri" w:hAnsi="Calibri" w:cs="Calibri"/>
          <w:lang w:val="es-DO"/>
        </w:rPr>
        <w:t>Ser LGBTI en el Caribe es un programa regional que tiene como objetivo mejorar el conocimiento, las asociaciones y las capacidades de las comunidades LGBTI, la sociedad civil y los Estados para reducir las violaciones de los derechos humanos y las actitudes negativas hacia las personas LGBTI en el Caribe. E</w:t>
      </w:r>
      <w:r w:rsidR="00DD1A33">
        <w:rPr>
          <w:rFonts w:ascii="Calibri" w:hAnsi="Calibri" w:cs="Calibri"/>
          <w:lang w:val="es-DO"/>
        </w:rPr>
        <w:t>ste</w:t>
      </w:r>
      <w:r w:rsidRPr="00FF5490">
        <w:rPr>
          <w:rFonts w:ascii="Calibri" w:hAnsi="Calibri" w:cs="Calibri"/>
          <w:lang w:val="es-DO"/>
        </w:rPr>
        <w:t xml:space="preserve"> programa regional tiene un enfoque a nivel de país en Barbados, República Dominicana, Granada, Guyana, Haití, Jamaica y Santa Lucía, así como actividades regionales. Para lograr sus objetivos, es crucial que el proyecto responda a las experiencias y necesidades de la comunidad LGBTI en el Caribe.</w:t>
      </w:r>
    </w:p>
    <w:p w14:paraId="5C253CBE" w14:textId="77777777" w:rsidR="00C878D8" w:rsidRPr="00FF5490" w:rsidRDefault="00C878D8" w:rsidP="00C878D8">
      <w:pPr>
        <w:spacing w:after="0" w:line="240" w:lineRule="auto"/>
        <w:jc w:val="both"/>
        <w:rPr>
          <w:rFonts w:ascii="Calibri" w:hAnsi="Calibri" w:cs="Calibri"/>
          <w:lang w:val="es-DO"/>
        </w:rPr>
      </w:pPr>
    </w:p>
    <w:p w14:paraId="4D824F15" w14:textId="17D8A582" w:rsidR="003C4698" w:rsidRPr="00FF5490" w:rsidRDefault="00C878D8" w:rsidP="00C878D8">
      <w:pPr>
        <w:spacing w:after="0" w:line="240" w:lineRule="auto"/>
        <w:jc w:val="both"/>
        <w:rPr>
          <w:rFonts w:ascii="Calibri" w:hAnsi="Calibri" w:cs="Calibri"/>
          <w:lang w:val="es-DO"/>
        </w:rPr>
      </w:pPr>
      <w:r w:rsidRPr="00FF5490">
        <w:rPr>
          <w:rFonts w:ascii="Calibri" w:hAnsi="Calibri" w:cs="Calibri"/>
          <w:lang w:val="es-DO"/>
        </w:rPr>
        <w:t>El programa es una colaboración entre gobiernos, sociedad civil, instituciones regionales y otras partes interesadas para promover la inclusión social de las personas lesbianas, gays, bisexuales, transgénero e intersexuales</w:t>
      </w:r>
      <w:r w:rsidR="00DD1A33">
        <w:rPr>
          <w:rFonts w:ascii="Calibri" w:hAnsi="Calibri" w:cs="Calibri"/>
          <w:lang w:val="es-DO"/>
        </w:rPr>
        <w:t xml:space="preserve"> (LGBTI)</w:t>
      </w:r>
      <w:r w:rsidRPr="00FF5490">
        <w:rPr>
          <w:rFonts w:ascii="Calibri" w:hAnsi="Calibri" w:cs="Calibri"/>
          <w:lang w:val="es-DO"/>
        </w:rPr>
        <w:t>. El programa cuenta con el apoyo de la Agencia de los Estados Unidos para el Desarrollo Internacional (USAID).</w:t>
      </w:r>
    </w:p>
    <w:p w14:paraId="39AAAA81" w14:textId="77777777" w:rsidR="00C878D8" w:rsidRPr="00FF5490" w:rsidRDefault="00C878D8" w:rsidP="00C878D8">
      <w:pPr>
        <w:spacing w:after="0" w:line="240" w:lineRule="auto"/>
        <w:jc w:val="both"/>
        <w:rPr>
          <w:rFonts w:eastAsia="Times New Roman" w:cs="Arial"/>
          <w:b/>
          <w:sz w:val="24"/>
          <w:szCs w:val="24"/>
          <w:lang w:val="es-DO"/>
        </w:rPr>
      </w:pPr>
    </w:p>
    <w:p w14:paraId="1FE7B095" w14:textId="2549C9F8" w:rsidR="00E356B9" w:rsidRPr="00FF5490" w:rsidRDefault="006265AA" w:rsidP="00807DDE">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Propósito</w:t>
      </w:r>
      <w:r w:rsidR="00C878D8" w:rsidRPr="00FF5490">
        <w:rPr>
          <w:rFonts w:eastAsia="Times New Roman" w:cs="Arial"/>
          <w:b/>
          <w:sz w:val="24"/>
          <w:szCs w:val="24"/>
          <w:lang w:val="es-DO"/>
        </w:rPr>
        <w:t xml:space="preserve"> de las subvenciones </w:t>
      </w:r>
    </w:p>
    <w:p w14:paraId="22248EA5" w14:textId="77777777" w:rsidR="00296DB5" w:rsidRPr="00FF5490" w:rsidRDefault="00296DB5" w:rsidP="00807DDE">
      <w:pPr>
        <w:spacing w:after="0" w:line="240" w:lineRule="auto"/>
        <w:jc w:val="both"/>
        <w:rPr>
          <w:rFonts w:eastAsia="Times New Roman" w:cs="Arial"/>
          <w:sz w:val="24"/>
          <w:szCs w:val="24"/>
          <w:lang w:val="es-DO"/>
        </w:rPr>
      </w:pPr>
      <w:bookmarkStart w:id="0" w:name="_Hlk6922736"/>
    </w:p>
    <w:bookmarkEnd w:id="0"/>
    <w:p w14:paraId="3FD7474E" w14:textId="4EFA196F" w:rsidR="00C878D8" w:rsidRPr="00FF5490" w:rsidRDefault="00C878D8" w:rsidP="00C878D8">
      <w:pPr>
        <w:spacing w:after="0" w:line="240" w:lineRule="auto"/>
        <w:jc w:val="both"/>
        <w:rPr>
          <w:rFonts w:ascii="Calibri" w:hAnsi="Calibri" w:cs="Calibri"/>
          <w:lang w:val="es-DO"/>
        </w:rPr>
      </w:pPr>
      <w:r w:rsidRPr="00FF5490">
        <w:rPr>
          <w:rFonts w:ascii="Calibri" w:hAnsi="Calibri" w:cs="Calibri"/>
          <w:lang w:val="es-DO"/>
        </w:rPr>
        <w:t xml:space="preserve">Esta convocatoria de propuestas pretende apoyar y fortalecer la capacidad de las </w:t>
      </w:r>
      <w:r w:rsidR="003934C1">
        <w:rPr>
          <w:rFonts w:ascii="Calibri" w:hAnsi="Calibri" w:cs="Calibri"/>
          <w:lang w:val="es-DO"/>
        </w:rPr>
        <w:t xml:space="preserve">Organizaciones de la Sociedad civil/Organizaciones no Gubernamentales/Organizaciones de Base Comunitaria (en adelante </w:t>
      </w:r>
      <w:r w:rsidRPr="00FF5490">
        <w:rPr>
          <w:rFonts w:ascii="Calibri" w:hAnsi="Calibri" w:cs="Calibri"/>
          <w:lang w:val="es-DO"/>
        </w:rPr>
        <w:t>OSC / ONG / OBC</w:t>
      </w:r>
      <w:r w:rsidR="003934C1">
        <w:rPr>
          <w:rFonts w:ascii="Calibri" w:hAnsi="Calibri" w:cs="Calibri"/>
          <w:lang w:val="es-DO"/>
        </w:rPr>
        <w:t>)</w:t>
      </w:r>
      <w:r w:rsidR="00ED1C4B">
        <w:rPr>
          <w:rFonts w:ascii="Calibri" w:hAnsi="Calibri" w:cs="Calibri"/>
          <w:lang w:val="es-DO"/>
        </w:rPr>
        <w:t xml:space="preserve"> </w:t>
      </w:r>
      <w:r w:rsidRPr="00FF5490">
        <w:rPr>
          <w:rFonts w:ascii="Calibri" w:hAnsi="Calibri" w:cs="Calibri"/>
          <w:lang w:val="es-DO"/>
        </w:rPr>
        <w:t>que trabajan en temas LGBTI para participar activamente y entregar resultados que respondan a las siete áreas prioritarias nacionales acordadas durant</w:t>
      </w:r>
      <w:r w:rsidR="006301D6">
        <w:rPr>
          <w:rFonts w:ascii="Calibri" w:hAnsi="Calibri" w:cs="Calibri"/>
          <w:lang w:val="es-DO"/>
        </w:rPr>
        <w:t>e el Diálogo Nacional LGBTI 2019</w:t>
      </w:r>
      <w:bookmarkStart w:id="1" w:name="_GoBack"/>
      <w:bookmarkEnd w:id="1"/>
      <w:r w:rsidRPr="00FF5490">
        <w:rPr>
          <w:rFonts w:ascii="Calibri" w:hAnsi="Calibri" w:cs="Calibri"/>
          <w:lang w:val="es-DO"/>
        </w:rPr>
        <w:t>:</w:t>
      </w:r>
    </w:p>
    <w:p w14:paraId="40D74ECE" w14:textId="77777777" w:rsidR="00C878D8" w:rsidRPr="00FF5490" w:rsidRDefault="00C878D8" w:rsidP="00C878D8">
      <w:pPr>
        <w:spacing w:after="0" w:line="240" w:lineRule="auto"/>
        <w:jc w:val="both"/>
        <w:rPr>
          <w:rFonts w:ascii="Calibri" w:hAnsi="Calibri" w:cs="Calibri"/>
          <w:lang w:val="es-DO"/>
        </w:rPr>
      </w:pPr>
    </w:p>
    <w:p w14:paraId="4D1A4930" w14:textId="77777777" w:rsidR="00C878D8" w:rsidRPr="00FF5490" w:rsidRDefault="00C878D8" w:rsidP="00C878D8">
      <w:pPr>
        <w:pStyle w:val="ListParagraph"/>
        <w:numPr>
          <w:ilvl w:val="0"/>
          <w:numId w:val="15"/>
        </w:numPr>
        <w:spacing w:after="0" w:line="240" w:lineRule="auto"/>
        <w:jc w:val="both"/>
        <w:rPr>
          <w:rFonts w:ascii="Calibri" w:hAnsi="Calibri" w:cs="Calibri"/>
          <w:lang w:val="es-DO"/>
        </w:rPr>
      </w:pPr>
      <w:r w:rsidRPr="00FF5490">
        <w:rPr>
          <w:rFonts w:ascii="Calibri" w:hAnsi="Calibri" w:cs="Calibri"/>
          <w:lang w:val="es-DO"/>
        </w:rPr>
        <w:t>Salud</w:t>
      </w:r>
    </w:p>
    <w:p w14:paraId="1EC64DB0" w14:textId="77777777" w:rsidR="00C878D8" w:rsidRPr="00FF5490" w:rsidRDefault="00C878D8" w:rsidP="00C878D8">
      <w:pPr>
        <w:pStyle w:val="ListParagraph"/>
        <w:numPr>
          <w:ilvl w:val="0"/>
          <w:numId w:val="15"/>
        </w:numPr>
        <w:spacing w:after="0" w:line="240" w:lineRule="auto"/>
        <w:jc w:val="both"/>
        <w:rPr>
          <w:rFonts w:ascii="Calibri" w:hAnsi="Calibri" w:cs="Calibri"/>
          <w:lang w:val="es-DO"/>
        </w:rPr>
      </w:pPr>
      <w:r w:rsidRPr="00FF5490">
        <w:rPr>
          <w:rFonts w:ascii="Calibri" w:hAnsi="Calibri" w:cs="Calibri"/>
          <w:lang w:val="es-DO"/>
        </w:rPr>
        <w:t>Empleo</w:t>
      </w:r>
    </w:p>
    <w:p w14:paraId="4239C4C8" w14:textId="4A6B8913" w:rsidR="00C878D8" w:rsidRPr="00FF5490" w:rsidRDefault="00C878D8" w:rsidP="00C878D8">
      <w:pPr>
        <w:pStyle w:val="ListParagraph"/>
        <w:numPr>
          <w:ilvl w:val="0"/>
          <w:numId w:val="15"/>
        </w:numPr>
        <w:spacing w:after="0" w:line="240" w:lineRule="auto"/>
        <w:jc w:val="both"/>
        <w:rPr>
          <w:rFonts w:ascii="Calibri" w:hAnsi="Calibri" w:cs="Calibri"/>
          <w:lang w:val="es-DO"/>
        </w:rPr>
      </w:pPr>
      <w:r w:rsidRPr="00FF5490">
        <w:rPr>
          <w:rFonts w:ascii="Calibri" w:hAnsi="Calibri" w:cs="Calibri"/>
          <w:lang w:val="es-DO"/>
        </w:rPr>
        <w:t>Educación</w:t>
      </w:r>
    </w:p>
    <w:p w14:paraId="5CE70D86" w14:textId="77777777" w:rsidR="00C878D8" w:rsidRPr="00FF5490" w:rsidRDefault="00C878D8" w:rsidP="00C878D8">
      <w:pPr>
        <w:pStyle w:val="ListParagraph"/>
        <w:numPr>
          <w:ilvl w:val="0"/>
          <w:numId w:val="15"/>
        </w:numPr>
        <w:spacing w:after="0" w:line="240" w:lineRule="auto"/>
        <w:jc w:val="both"/>
        <w:rPr>
          <w:rFonts w:ascii="Calibri" w:hAnsi="Calibri" w:cs="Calibri"/>
          <w:lang w:val="es-DO"/>
        </w:rPr>
      </w:pPr>
      <w:r w:rsidRPr="00FF5490">
        <w:rPr>
          <w:rFonts w:ascii="Calibri" w:hAnsi="Calibri" w:cs="Calibri"/>
          <w:lang w:val="es-DO"/>
        </w:rPr>
        <w:t>Seguridad ciudadana</w:t>
      </w:r>
    </w:p>
    <w:p w14:paraId="21C68F14" w14:textId="1A767A11" w:rsidR="00C878D8" w:rsidRPr="00FF5490" w:rsidRDefault="00C878D8" w:rsidP="00C878D8">
      <w:pPr>
        <w:pStyle w:val="ListParagraph"/>
        <w:numPr>
          <w:ilvl w:val="0"/>
          <w:numId w:val="15"/>
        </w:numPr>
        <w:spacing w:after="0" w:line="240" w:lineRule="auto"/>
        <w:jc w:val="both"/>
        <w:rPr>
          <w:rFonts w:ascii="Calibri" w:hAnsi="Calibri" w:cs="Calibri"/>
          <w:lang w:val="es-DO"/>
        </w:rPr>
      </w:pPr>
      <w:r w:rsidRPr="00FF5490">
        <w:rPr>
          <w:rFonts w:ascii="Calibri" w:hAnsi="Calibri" w:cs="Calibri"/>
          <w:lang w:val="es-DO"/>
        </w:rPr>
        <w:t>Acceso a la justicia</w:t>
      </w:r>
    </w:p>
    <w:p w14:paraId="6FE73D61" w14:textId="4E35A1B0" w:rsidR="00C878D8" w:rsidRPr="00FF5490" w:rsidRDefault="00C878D8" w:rsidP="00C878D8">
      <w:pPr>
        <w:pStyle w:val="ListParagraph"/>
        <w:numPr>
          <w:ilvl w:val="0"/>
          <w:numId w:val="15"/>
        </w:numPr>
        <w:spacing w:after="0" w:line="240" w:lineRule="auto"/>
        <w:jc w:val="both"/>
        <w:rPr>
          <w:rFonts w:ascii="Calibri" w:hAnsi="Calibri" w:cs="Calibri"/>
          <w:lang w:val="es-DO"/>
        </w:rPr>
      </w:pPr>
      <w:r w:rsidRPr="00FF5490">
        <w:rPr>
          <w:rFonts w:ascii="Calibri" w:hAnsi="Calibri" w:cs="Calibri"/>
          <w:lang w:val="es-DO"/>
        </w:rPr>
        <w:t>Legislación inclusiv</w:t>
      </w:r>
      <w:r w:rsidR="00502C21" w:rsidRPr="00FF5490">
        <w:rPr>
          <w:rFonts w:ascii="Calibri" w:hAnsi="Calibri" w:cs="Calibri"/>
          <w:lang w:val="es-DO"/>
        </w:rPr>
        <w:t>a</w:t>
      </w:r>
    </w:p>
    <w:p w14:paraId="5E1708E5" w14:textId="4597E98A" w:rsidR="00101C5B" w:rsidRPr="00FF5490" w:rsidRDefault="00C878D8" w:rsidP="00C878D8">
      <w:pPr>
        <w:pStyle w:val="ListParagraph"/>
        <w:numPr>
          <w:ilvl w:val="0"/>
          <w:numId w:val="15"/>
        </w:numPr>
        <w:spacing w:after="0" w:line="240" w:lineRule="auto"/>
        <w:jc w:val="both"/>
        <w:rPr>
          <w:rFonts w:ascii="Calibri" w:hAnsi="Calibri" w:cs="Calibri"/>
          <w:lang w:val="es-DO"/>
        </w:rPr>
      </w:pPr>
      <w:r w:rsidRPr="00FF5490">
        <w:rPr>
          <w:rFonts w:ascii="Calibri" w:hAnsi="Calibri" w:cs="Calibri"/>
          <w:lang w:val="es-DO"/>
        </w:rPr>
        <w:t>Participación política</w:t>
      </w:r>
    </w:p>
    <w:p w14:paraId="17113C66" w14:textId="77777777" w:rsidR="00C878D8" w:rsidRPr="00FF5490" w:rsidRDefault="00C878D8" w:rsidP="00C878D8">
      <w:pPr>
        <w:spacing w:after="0" w:line="240" w:lineRule="auto"/>
        <w:jc w:val="both"/>
        <w:rPr>
          <w:rFonts w:eastAsia="Times New Roman" w:cs="Arial"/>
          <w:sz w:val="24"/>
          <w:szCs w:val="24"/>
          <w:lang w:val="es-DO"/>
        </w:rPr>
      </w:pPr>
    </w:p>
    <w:p w14:paraId="14AB14E0" w14:textId="648EE7CB" w:rsidR="00326581" w:rsidRPr="00FF5490" w:rsidRDefault="008D7FD4" w:rsidP="00C878D8">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Resultados esperados</w:t>
      </w:r>
    </w:p>
    <w:p w14:paraId="39E77BCC" w14:textId="77777777" w:rsidR="009C52ED" w:rsidRPr="00FF5490" w:rsidRDefault="009C52ED" w:rsidP="009C52ED">
      <w:pPr>
        <w:pStyle w:val="ListParagraph"/>
        <w:spacing w:after="0" w:line="240" w:lineRule="auto"/>
        <w:ind w:left="1080"/>
        <w:jc w:val="both"/>
        <w:rPr>
          <w:rFonts w:eastAsia="Times New Roman" w:cs="Arial"/>
          <w:b/>
          <w:sz w:val="24"/>
          <w:szCs w:val="24"/>
          <w:lang w:val="es-DO"/>
        </w:rPr>
      </w:pPr>
    </w:p>
    <w:p w14:paraId="730BC1A7" w14:textId="16B61063" w:rsidR="008D7FD4" w:rsidRPr="00FF5490" w:rsidRDefault="008D7FD4" w:rsidP="008D7FD4">
      <w:pPr>
        <w:spacing w:after="200" w:line="276" w:lineRule="auto"/>
        <w:jc w:val="both"/>
        <w:rPr>
          <w:rFonts w:eastAsia="Times New Roman" w:cs="Arial"/>
          <w:lang w:val="es-DO"/>
        </w:rPr>
      </w:pPr>
      <w:r w:rsidRPr="00FF5490">
        <w:rPr>
          <w:rFonts w:eastAsia="Times New Roman" w:cs="Arial"/>
          <w:lang w:val="es-DO"/>
        </w:rPr>
        <w:t xml:space="preserve">Se espera que los beneficiarios potenciales utilicen fondos de las subvenciones para entregar resultados alineados con los objetivos del </w:t>
      </w:r>
      <w:r w:rsidR="00387EEA">
        <w:rPr>
          <w:rFonts w:eastAsia="Times New Roman" w:cs="Arial"/>
          <w:lang w:val="es-DO"/>
        </w:rPr>
        <w:t>programa</w:t>
      </w:r>
      <w:r w:rsidRPr="00FF5490">
        <w:rPr>
          <w:rFonts w:eastAsia="Times New Roman" w:cs="Arial"/>
          <w:lang w:val="es-DO"/>
        </w:rPr>
        <w:t xml:space="preserve"> </w:t>
      </w:r>
      <w:r w:rsidR="00387EEA">
        <w:rPr>
          <w:rFonts w:eastAsia="Times New Roman" w:cs="Arial"/>
          <w:lang w:val="es-DO"/>
        </w:rPr>
        <w:t>Ser LGBTI en El Caribe</w:t>
      </w:r>
      <w:r w:rsidRPr="00FF5490">
        <w:rPr>
          <w:rFonts w:eastAsia="Times New Roman" w:cs="Arial"/>
          <w:lang w:val="es-DO"/>
        </w:rPr>
        <w:t>:</w:t>
      </w:r>
    </w:p>
    <w:p w14:paraId="25112359" w14:textId="77777777" w:rsidR="008D7FD4" w:rsidRPr="00FF5490" w:rsidRDefault="008D7FD4" w:rsidP="008D7FD4">
      <w:pPr>
        <w:pStyle w:val="ListParagraph"/>
        <w:spacing w:after="200" w:line="276" w:lineRule="auto"/>
        <w:ind w:left="1080"/>
        <w:jc w:val="both"/>
        <w:rPr>
          <w:rFonts w:eastAsia="Times New Roman" w:cs="Arial"/>
          <w:lang w:val="es-DO"/>
        </w:rPr>
      </w:pPr>
    </w:p>
    <w:p w14:paraId="5F334A9A" w14:textId="6F691657" w:rsidR="008D7FD4" w:rsidRPr="00FF5490" w:rsidRDefault="008D7FD4" w:rsidP="008D7FD4">
      <w:pPr>
        <w:pStyle w:val="ListParagraph"/>
        <w:numPr>
          <w:ilvl w:val="1"/>
          <w:numId w:val="2"/>
        </w:numPr>
        <w:spacing w:after="200" w:line="276" w:lineRule="auto"/>
        <w:jc w:val="both"/>
        <w:rPr>
          <w:rFonts w:eastAsia="Times New Roman" w:cs="Arial"/>
          <w:lang w:val="es-DO"/>
        </w:rPr>
      </w:pPr>
      <w:r w:rsidRPr="00FF5490">
        <w:rPr>
          <w:rFonts w:eastAsia="Times New Roman" w:cs="Arial"/>
          <w:lang w:val="es-DO"/>
        </w:rPr>
        <w:t>Fortalecer el conocimiento y datos sobre los derechos de las personas LGBTI y mejorar la capacidad de los gobiernos, la sociedad civil y organizaciones LGBTI para abordar y reducir la desigualdad, exclusión, violencia y discriminación que sufren las personas LGBTI.</w:t>
      </w:r>
    </w:p>
    <w:p w14:paraId="323974BB" w14:textId="48CF9927" w:rsidR="008D7FD4" w:rsidRPr="00FF5490" w:rsidRDefault="008D7FD4" w:rsidP="008D7FD4">
      <w:pPr>
        <w:pStyle w:val="ListParagraph"/>
        <w:numPr>
          <w:ilvl w:val="1"/>
          <w:numId w:val="2"/>
        </w:numPr>
        <w:spacing w:after="200" w:line="276" w:lineRule="auto"/>
        <w:jc w:val="both"/>
        <w:rPr>
          <w:rFonts w:eastAsia="Times New Roman" w:cs="Arial"/>
          <w:lang w:val="es-DO"/>
        </w:rPr>
      </w:pPr>
      <w:r w:rsidRPr="00FF5490">
        <w:rPr>
          <w:rFonts w:eastAsia="Times New Roman" w:cs="Arial"/>
          <w:lang w:val="es-DO"/>
        </w:rPr>
        <w:t>Aumentar la conciencia sobre la violencia y discriminación homofóbica y transfóbica y fortalecer la capacidad de las organizaciones de la sociedad civil para desafiar las actitudes negativas hacia las personas LGBTI, incluso mediante la participación de funcionarios gubernamentales, parlamentarios, partidos políticos, sindicatos, líderes religiosos, la sociedad civil, los medios de comunicación y la población general</w:t>
      </w:r>
    </w:p>
    <w:p w14:paraId="6DBB6D2C" w14:textId="67E1B898" w:rsidR="008D7FD4" w:rsidRPr="00FF5490" w:rsidRDefault="008D7FD4" w:rsidP="008D7FD4">
      <w:pPr>
        <w:spacing w:after="200" w:line="276" w:lineRule="auto"/>
        <w:jc w:val="both"/>
        <w:rPr>
          <w:rFonts w:eastAsia="Times New Roman" w:cs="Arial"/>
          <w:lang w:val="es-DO"/>
        </w:rPr>
      </w:pPr>
      <w:r w:rsidRPr="00FF5490">
        <w:rPr>
          <w:rFonts w:eastAsia="Times New Roman" w:cs="Arial"/>
          <w:lang w:val="es-DO"/>
        </w:rPr>
        <w:lastRenderedPageBreak/>
        <w:t xml:space="preserve">Las propuestas recibidas deben cumplir con los objetivos de este </w:t>
      </w:r>
      <w:r w:rsidR="00387EEA">
        <w:rPr>
          <w:rFonts w:eastAsia="Times New Roman" w:cs="Arial"/>
          <w:lang w:val="es-DO"/>
        </w:rPr>
        <w:t>programa</w:t>
      </w:r>
      <w:r w:rsidRPr="00FF5490">
        <w:rPr>
          <w:rFonts w:eastAsia="Times New Roman" w:cs="Arial"/>
          <w:lang w:val="es-DO"/>
        </w:rPr>
        <w:t xml:space="preserve">, </w:t>
      </w:r>
      <w:r w:rsidR="003934C1">
        <w:rPr>
          <w:rFonts w:eastAsia="Times New Roman" w:cs="Arial"/>
          <w:lang w:val="es-DO"/>
        </w:rPr>
        <w:t>implementando</w:t>
      </w:r>
      <w:r w:rsidRPr="00FF5490">
        <w:rPr>
          <w:rFonts w:eastAsia="Times New Roman" w:cs="Arial"/>
          <w:lang w:val="es-DO"/>
        </w:rPr>
        <w:t xml:space="preserve"> actividades que aborden </w:t>
      </w:r>
      <w:r w:rsidR="00DD1A33">
        <w:rPr>
          <w:rFonts w:eastAsia="Times New Roman" w:cs="Arial"/>
          <w:lang w:val="es-DO"/>
        </w:rPr>
        <w:t xml:space="preserve">al menos una de </w:t>
      </w:r>
      <w:r w:rsidRPr="00FF5490">
        <w:rPr>
          <w:rFonts w:eastAsia="Times New Roman" w:cs="Arial"/>
          <w:lang w:val="es-DO"/>
        </w:rPr>
        <w:t>las siete áreas prioritarias.</w:t>
      </w:r>
    </w:p>
    <w:p w14:paraId="30EE7805" w14:textId="59739754" w:rsidR="008D7FD4" w:rsidRPr="00FF5490" w:rsidRDefault="003934C1" w:rsidP="008D7FD4">
      <w:pPr>
        <w:spacing w:after="200" w:line="276" w:lineRule="auto"/>
        <w:jc w:val="both"/>
        <w:rPr>
          <w:rFonts w:eastAsia="Times New Roman" w:cs="Arial"/>
          <w:lang w:val="es-DO"/>
        </w:rPr>
      </w:pPr>
      <w:r>
        <w:rPr>
          <w:rFonts w:eastAsia="Times New Roman" w:cs="Arial"/>
          <w:lang w:val="es-DO"/>
        </w:rPr>
        <w:t>E</w:t>
      </w:r>
      <w:r w:rsidR="008D7FD4" w:rsidRPr="00FF5490">
        <w:rPr>
          <w:rFonts w:eastAsia="Times New Roman" w:cs="Arial"/>
          <w:lang w:val="es-DO"/>
        </w:rPr>
        <w:t>jemplos de resultados que se considerarían para esta convocatoria de propuestas incluyen, entre otros:</w:t>
      </w:r>
    </w:p>
    <w:p w14:paraId="71599CF9" w14:textId="57BFCDA6" w:rsidR="008D7FD4" w:rsidRPr="00FF5490" w:rsidRDefault="008D7FD4" w:rsidP="008D7FD4">
      <w:pPr>
        <w:pStyle w:val="ListParagraph"/>
        <w:numPr>
          <w:ilvl w:val="0"/>
          <w:numId w:val="17"/>
        </w:numPr>
        <w:spacing w:after="200" w:line="276" w:lineRule="auto"/>
        <w:jc w:val="both"/>
        <w:rPr>
          <w:rFonts w:eastAsia="Times New Roman" w:cs="Arial"/>
          <w:lang w:val="es-DO"/>
        </w:rPr>
      </w:pPr>
      <w:r w:rsidRPr="00FF5490">
        <w:rPr>
          <w:rFonts w:eastAsia="Times New Roman" w:cs="Arial"/>
          <w:lang w:val="es-DO"/>
        </w:rPr>
        <w:t>Mejorar el apoyo del gobierno a las iniciativas relacionadas con los derechos humanos de la comunidad LGBTI, a través de intervenciones de promoción;</w:t>
      </w:r>
    </w:p>
    <w:p w14:paraId="15E7F971" w14:textId="2121D25A" w:rsidR="008D7FD4" w:rsidRPr="00FF5490" w:rsidRDefault="008D7FD4" w:rsidP="008D7FD4">
      <w:pPr>
        <w:pStyle w:val="ListParagraph"/>
        <w:numPr>
          <w:ilvl w:val="0"/>
          <w:numId w:val="17"/>
        </w:numPr>
        <w:spacing w:after="200" w:line="276" w:lineRule="auto"/>
        <w:jc w:val="both"/>
        <w:rPr>
          <w:rFonts w:eastAsia="Times New Roman" w:cs="Arial"/>
          <w:lang w:val="es-DO"/>
        </w:rPr>
      </w:pPr>
      <w:r w:rsidRPr="00FF5490">
        <w:rPr>
          <w:rFonts w:eastAsia="Times New Roman" w:cs="Arial"/>
          <w:lang w:val="es-DO"/>
        </w:rPr>
        <w:t xml:space="preserve">Aumentar la comprensión de los </w:t>
      </w:r>
      <w:r w:rsidR="00C70A05" w:rsidRPr="00FF5490">
        <w:rPr>
          <w:rFonts w:eastAsia="Times New Roman" w:cs="Arial"/>
          <w:lang w:val="es-DO"/>
        </w:rPr>
        <w:t>desafíos</w:t>
      </w:r>
      <w:r w:rsidRPr="00FF5490">
        <w:rPr>
          <w:rFonts w:eastAsia="Times New Roman" w:cs="Arial"/>
          <w:lang w:val="es-DO"/>
        </w:rPr>
        <w:t xml:space="preserve"> legales y las políticas </w:t>
      </w:r>
      <w:r w:rsidR="00C70A05" w:rsidRPr="00FF5490">
        <w:rPr>
          <w:rFonts w:eastAsia="Times New Roman" w:cs="Arial"/>
          <w:lang w:val="es-DO"/>
        </w:rPr>
        <w:t>locales</w:t>
      </w:r>
      <w:r w:rsidRPr="00FF5490">
        <w:rPr>
          <w:rFonts w:eastAsia="Times New Roman" w:cs="Arial"/>
          <w:lang w:val="es-DO"/>
        </w:rPr>
        <w:t xml:space="preserve"> relacionadas con la inclusión socioeconómica de las personas LGBTI;</w:t>
      </w:r>
    </w:p>
    <w:p w14:paraId="0FC9F34A" w14:textId="5A358E24" w:rsidR="009C52ED" w:rsidRPr="00FF5490" w:rsidRDefault="008D7FD4" w:rsidP="008D7FD4">
      <w:pPr>
        <w:pStyle w:val="ListParagraph"/>
        <w:numPr>
          <w:ilvl w:val="0"/>
          <w:numId w:val="17"/>
        </w:numPr>
        <w:spacing w:after="200" w:line="276" w:lineRule="auto"/>
        <w:jc w:val="both"/>
        <w:rPr>
          <w:lang w:val="es-DO"/>
        </w:rPr>
      </w:pPr>
      <w:r w:rsidRPr="00FF5490">
        <w:rPr>
          <w:rFonts w:eastAsia="Times New Roman" w:cs="Arial"/>
          <w:lang w:val="es-DO"/>
        </w:rPr>
        <w:t xml:space="preserve">Mejorar </w:t>
      </w:r>
      <w:r w:rsidR="00C70A05" w:rsidRPr="00FF5490">
        <w:rPr>
          <w:rFonts w:eastAsia="Times New Roman" w:cs="Arial"/>
          <w:lang w:val="es-DO"/>
        </w:rPr>
        <w:t>el conocimiento y</w:t>
      </w:r>
      <w:r w:rsidRPr="00FF5490">
        <w:rPr>
          <w:rFonts w:eastAsia="Times New Roman" w:cs="Arial"/>
          <w:lang w:val="es-DO"/>
        </w:rPr>
        <w:t xml:space="preserve"> datos de las situaciones de violencia, estigma y discriminación que enfrentan las personas LGBTI en el país para la promoción de políticas públicas.</w:t>
      </w:r>
    </w:p>
    <w:p w14:paraId="079C1F72" w14:textId="77777777" w:rsidR="008D7FD4" w:rsidRPr="00FF5490" w:rsidRDefault="008D7FD4" w:rsidP="008D7FD4">
      <w:pPr>
        <w:pStyle w:val="ListParagraph"/>
        <w:spacing w:after="200" w:line="276" w:lineRule="auto"/>
        <w:jc w:val="both"/>
        <w:rPr>
          <w:lang w:val="es-DO"/>
        </w:rPr>
      </w:pPr>
    </w:p>
    <w:p w14:paraId="78DB5605" w14:textId="4FA999B6" w:rsidR="005111A4" w:rsidRPr="00FF5490" w:rsidRDefault="00C70A05" w:rsidP="008D7FD4">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Actividades</w:t>
      </w:r>
    </w:p>
    <w:p w14:paraId="45220E8F" w14:textId="77777777" w:rsidR="009C52ED" w:rsidRPr="00FF5490" w:rsidRDefault="009C52ED" w:rsidP="00AA66CA">
      <w:pPr>
        <w:spacing w:after="0"/>
        <w:jc w:val="both"/>
        <w:rPr>
          <w:lang w:val="es-DO"/>
        </w:rPr>
      </w:pPr>
      <w:bookmarkStart w:id="2" w:name="_Hlk6923102"/>
    </w:p>
    <w:bookmarkEnd w:id="2"/>
    <w:p w14:paraId="477A56EF" w14:textId="6A211011" w:rsidR="00C70A05" w:rsidRPr="00FF5490" w:rsidRDefault="00C70A05" w:rsidP="00C70A05">
      <w:pPr>
        <w:spacing w:after="0" w:line="240" w:lineRule="auto"/>
        <w:jc w:val="both"/>
        <w:rPr>
          <w:lang w:val="es-DO"/>
        </w:rPr>
      </w:pPr>
      <w:r w:rsidRPr="00FF5490">
        <w:rPr>
          <w:lang w:val="es-DO"/>
        </w:rPr>
        <w:t xml:space="preserve">A modo ilustrativo </w:t>
      </w:r>
      <w:r w:rsidR="008A2FF3" w:rsidRPr="00FF5490">
        <w:rPr>
          <w:lang w:val="es-DO"/>
        </w:rPr>
        <w:t>alguna de las actividades para el apoyo financiero puede</w:t>
      </w:r>
      <w:r w:rsidRPr="00FF5490">
        <w:rPr>
          <w:lang w:val="es-DO"/>
        </w:rPr>
        <w:t xml:space="preserve"> incluir, entre otras:</w:t>
      </w:r>
    </w:p>
    <w:p w14:paraId="3B65FBB2" w14:textId="77777777" w:rsidR="00C70A05" w:rsidRPr="00FF5490" w:rsidRDefault="00C70A05" w:rsidP="00C70A05">
      <w:pPr>
        <w:spacing w:after="0" w:line="240" w:lineRule="auto"/>
        <w:jc w:val="both"/>
        <w:rPr>
          <w:lang w:val="es-DO"/>
        </w:rPr>
      </w:pPr>
    </w:p>
    <w:p w14:paraId="5275B295" w14:textId="762EC87A" w:rsidR="00C70A05" w:rsidRPr="00FF5490" w:rsidRDefault="00C70A05" w:rsidP="00C70A05">
      <w:pPr>
        <w:pStyle w:val="ListParagraph"/>
        <w:numPr>
          <w:ilvl w:val="0"/>
          <w:numId w:val="17"/>
        </w:numPr>
        <w:spacing w:after="0" w:line="240" w:lineRule="auto"/>
        <w:jc w:val="both"/>
        <w:rPr>
          <w:lang w:val="es-DO"/>
        </w:rPr>
      </w:pPr>
      <w:r w:rsidRPr="00FF5490">
        <w:rPr>
          <w:lang w:val="es-DO"/>
        </w:rPr>
        <w:t xml:space="preserve">Prioridades mencionadas en el marco del </w:t>
      </w:r>
      <w:r w:rsidR="00982FE3">
        <w:rPr>
          <w:lang w:val="es-DO"/>
        </w:rPr>
        <w:t>D</w:t>
      </w:r>
      <w:r w:rsidRPr="00FF5490">
        <w:rPr>
          <w:lang w:val="es-DO"/>
        </w:rPr>
        <w:t xml:space="preserve">iálogo </w:t>
      </w:r>
      <w:r w:rsidR="00982FE3">
        <w:rPr>
          <w:lang w:val="es-DO"/>
        </w:rPr>
        <w:t>N</w:t>
      </w:r>
      <w:r w:rsidRPr="00FF5490">
        <w:rPr>
          <w:lang w:val="es-DO"/>
        </w:rPr>
        <w:t>acional;</w:t>
      </w:r>
    </w:p>
    <w:p w14:paraId="0850CC95" w14:textId="00D245DC" w:rsidR="00C70A05" w:rsidRPr="00FF5490" w:rsidRDefault="00C70A05" w:rsidP="00C70A05">
      <w:pPr>
        <w:pStyle w:val="ListParagraph"/>
        <w:numPr>
          <w:ilvl w:val="0"/>
          <w:numId w:val="17"/>
        </w:numPr>
        <w:spacing w:after="0" w:line="240" w:lineRule="auto"/>
        <w:jc w:val="both"/>
        <w:rPr>
          <w:lang w:val="es-DO"/>
        </w:rPr>
      </w:pPr>
      <w:r w:rsidRPr="00FF5490">
        <w:rPr>
          <w:lang w:val="es-DO"/>
        </w:rPr>
        <w:t>Enfoques innovadores sobre la inclusión de nuevas tecnologías para la promoción de los derechos LGBTI en la región del Caribe.</w:t>
      </w:r>
    </w:p>
    <w:p w14:paraId="1EC52A6D" w14:textId="7BCDE2CF" w:rsidR="00C70A05" w:rsidRPr="00FF5490" w:rsidRDefault="00C70A05" w:rsidP="00C70A05">
      <w:pPr>
        <w:pStyle w:val="ListParagraph"/>
        <w:numPr>
          <w:ilvl w:val="0"/>
          <w:numId w:val="17"/>
        </w:numPr>
        <w:spacing w:after="0" w:line="240" w:lineRule="auto"/>
        <w:jc w:val="both"/>
        <w:rPr>
          <w:lang w:val="es-DO"/>
        </w:rPr>
      </w:pPr>
      <w:r w:rsidRPr="00FF5490">
        <w:rPr>
          <w:lang w:val="es-DO"/>
        </w:rPr>
        <w:t xml:space="preserve">Participación de las </w:t>
      </w:r>
      <w:r w:rsidR="003934C1" w:rsidRPr="00FF5490">
        <w:rPr>
          <w:rFonts w:ascii="Calibri" w:hAnsi="Calibri" w:cs="Calibri"/>
          <w:lang w:val="es-DO"/>
        </w:rPr>
        <w:t>OSC / ONG / OBC</w:t>
      </w:r>
      <w:r w:rsidRPr="00FF5490">
        <w:rPr>
          <w:lang w:val="es-DO"/>
        </w:rPr>
        <w:t xml:space="preserve"> en reuniones con el gobierno / otros representantes de la sociedad civil para proporcionar información técnica sobre nuevos marcos legislativos, como proyectos de ley contra la discriminación, leyes de identidad de género, etc.</w:t>
      </w:r>
    </w:p>
    <w:p w14:paraId="0CF95737" w14:textId="740FE9DF" w:rsidR="00C70A05" w:rsidRPr="00FF5490" w:rsidRDefault="00C70A05" w:rsidP="00C70A05">
      <w:pPr>
        <w:pStyle w:val="ListParagraph"/>
        <w:numPr>
          <w:ilvl w:val="0"/>
          <w:numId w:val="17"/>
        </w:numPr>
        <w:spacing w:after="0" w:line="240" w:lineRule="auto"/>
        <w:jc w:val="both"/>
        <w:rPr>
          <w:lang w:val="es-DO"/>
        </w:rPr>
      </w:pPr>
      <w:r w:rsidRPr="00FF5490">
        <w:rPr>
          <w:lang w:val="es-DO"/>
        </w:rPr>
        <w:t>Desarrollo de estrategias de comunicación que contribuyan a los esfuerzos para abordar las barreras estructurales que impiden el acceso a los derechos humanos de las poblaciones LGBTI y / o para abordar el estigma y la discriminación.</w:t>
      </w:r>
    </w:p>
    <w:p w14:paraId="5493949F" w14:textId="40AC367B" w:rsidR="00C70A05" w:rsidRPr="00FF5490" w:rsidRDefault="00C70A05" w:rsidP="00C70A05">
      <w:pPr>
        <w:pStyle w:val="ListParagraph"/>
        <w:numPr>
          <w:ilvl w:val="0"/>
          <w:numId w:val="17"/>
        </w:numPr>
        <w:spacing w:after="0" w:line="240" w:lineRule="auto"/>
        <w:jc w:val="both"/>
        <w:rPr>
          <w:lang w:val="es-DO"/>
        </w:rPr>
      </w:pPr>
      <w:r w:rsidRPr="00FF5490">
        <w:rPr>
          <w:lang w:val="es-DO"/>
        </w:rPr>
        <w:t>Establecer</w:t>
      </w:r>
      <w:r w:rsidR="008A2FF3" w:rsidRPr="00FF5490">
        <w:rPr>
          <w:lang w:val="es-DO"/>
        </w:rPr>
        <w:t xml:space="preserve"> o fortalecer</w:t>
      </w:r>
      <w:r w:rsidRPr="00FF5490">
        <w:rPr>
          <w:lang w:val="es-DO"/>
        </w:rPr>
        <w:t xml:space="preserve"> un</w:t>
      </w:r>
      <w:r w:rsidR="008A2FF3" w:rsidRPr="00FF5490">
        <w:rPr>
          <w:lang w:val="es-DO"/>
        </w:rPr>
        <w:t>a base de datos</w:t>
      </w:r>
      <w:r w:rsidRPr="00FF5490">
        <w:rPr>
          <w:lang w:val="es-DO"/>
        </w:rPr>
        <w:t xml:space="preserve"> de violaciones de derechos humanos contra personas LGBTI</w:t>
      </w:r>
    </w:p>
    <w:p w14:paraId="3CB98814" w14:textId="24830E05" w:rsidR="00C70A05" w:rsidRPr="00FF5490" w:rsidRDefault="00C70A05" w:rsidP="00C70A05">
      <w:pPr>
        <w:pStyle w:val="ListParagraph"/>
        <w:numPr>
          <w:ilvl w:val="0"/>
          <w:numId w:val="17"/>
        </w:numPr>
        <w:spacing w:after="0" w:line="240" w:lineRule="auto"/>
        <w:jc w:val="both"/>
        <w:rPr>
          <w:lang w:val="es-DO"/>
        </w:rPr>
      </w:pPr>
      <w:r w:rsidRPr="00FF5490">
        <w:rPr>
          <w:lang w:val="es-DO"/>
        </w:rPr>
        <w:t xml:space="preserve">Mejorar la capacidad de las </w:t>
      </w:r>
      <w:r w:rsidR="003934C1" w:rsidRPr="00FF5490">
        <w:rPr>
          <w:rFonts w:ascii="Calibri" w:hAnsi="Calibri" w:cs="Calibri"/>
          <w:lang w:val="es-DO"/>
        </w:rPr>
        <w:t>OSC / ONG / OBC</w:t>
      </w:r>
      <w:r w:rsidRPr="00FF5490">
        <w:rPr>
          <w:lang w:val="es-DO"/>
        </w:rPr>
        <w:t xml:space="preserve"> para recopilar y monitorear casos de discriminación y violaciones de los derechos humanos.</w:t>
      </w:r>
    </w:p>
    <w:p w14:paraId="34A64BD2" w14:textId="063F53C9" w:rsidR="00C70A05" w:rsidRPr="00FF5490" w:rsidRDefault="00C70A05" w:rsidP="00C70A05">
      <w:pPr>
        <w:pStyle w:val="ListParagraph"/>
        <w:numPr>
          <w:ilvl w:val="0"/>
          <w:numId w:val="17"/>
        </w:numPr>
        <w:spacing w:after="0" w:line="240" w:lineRule="auto"/>
        <w:jc w:val="both"/>
        <w:rPr>
          <w:lang w:val="es-DO"/>
        </w:rPr>
      </w:pPr>
      <w:r w:rsidRPr="00FF5490">
        <w:rPr>
          <w:lang w:val="es-DO"/>
        </w:rPr>
        <w:t>Sesiones de capacitación para periodistas, parlamentarios y servidores públicos sobre los derechos humanos de las personas LGBTI.</w:t>
      </w:r>
    </w:p>
    <w:p w14:paraId="6AB787FC" w14:textId="09829162" w:rsidR="00C70A05" w:rsidRPr="00FF5490" w:rsidRDefault="00C70A05" w:rsidP="00C70A05">
      <w:pPr>
        <w:pStyle w:val="ListParagraph"/>
        <w:numPr>
          <w:ilvl w:val="0"/>
          <w:numId w:val="17"/>
        </w:numPr>
        <w:spacing w:after="0" w:line="240" w:lineRule="auto"/>
        <w:jc w:val="both"/>
        <w:rPr>
          <w:lang w:val="es-DO"/>
        </w:rPr>
      </w:pPr>
      <w:r w:rsidRPr="00FF5490">
        <w:rPr>
          <w:lang w:val="es-DO"/>
        </w:rPr>
        <w:t>Elaboración de un protocolo y material de capacitación sobre salud mental y personas LGBTI para psiquiatras y psicólogos del sector público.</w:t>
      </w:r>
    </w:p>
    <w:p w14:paraId="1DE8C071" w14:textId="42D0A255" w:rsidR="00C70A05" w:rsidRDefault="00C70A05" w:rsidP="00C70A05">
      <w:pPr>
        <w:pStyle w:val="ListParagraph"/>
        <w:numPr>
          <w:ilvl w:val="0"/>
          <w:numId w:val="17"/>
        </w:numPr>
        <w:spacing w:after="0" w:line="240" w:lineRule="auto"/>
        <w:jc w:val="both"/>
        <w:rPr>
          <w:lang w:val="es-DO"/>
        </w:rPr>
      </w:pPr>
      <w:r w:rsidRPr="00FF5490">
        <w:rPr>
          <w:lang w:val="es-DO"/>
        </w:rPr>
        <w:t>Crear conocimiento sobre las realidades de las personas intersexuales.</w:t>
      </w:r>
    </w:p>
    <w:p w14:paraId="58F0803A" w14:textId="75F216D2" w:rsidR="00ED1C4B" w:rsidRDefault="00ED1C4B" w:rsidP="00C70A05">
      <w:pPr>
        <w:pStyle w:val="ListParagraph"/>
        <w:numPr>
          <w:ilvl w:val="0"/>
          <w:numId w:val="17"/>
        </w:numPr>
        <w:spacing w:after="0" w:line="240" w:lineRule="auto"/>
        <w:jc w:val="both"/>
        <w:rPr>
          <w:lang w:val="es-DO"/>
        </w:rPr>
      </w:pPr>
      <w:r>
        <w:rPr>
          <w:lang w:val="es-PA"/>
        </w:rPr>
        <w:t>Abogacía para la prohibición de procedimientos y cirugías innecesarias en la niñez intersex.</w:t>
      </w:r>
    </w:p>
    <w:p w14:paraId="633A632D" w14:textId="31682D13" w:rsidR="00ED1C4B" w:rsidRPr="00FF5490" w:rsidRDefault="00ED1C4B" w:rsidP="00C70A05">
      <w:pPr>
        <w:pStyle w:val="ListParagraph"/>
        <w:numPr>
          <w:ilvl w:val="0"/>
          <w:numId w:val="17"/>
        </w:numPr>
        <w:spacing w:after="0" w:line="240" w:lineRule="auto"/>
        <w:jc w:val="both"/>
        <w:rPr>
          <w:lang w:val="es-DO"/>
        </w:rPr>
      </w:pPr>
      <w:r>
        <w:rPr>
          <w:lang w:val="es-PA"/>
        </w:rPr>
        <w:t>Abogacía para la prohibición de las terapias de conversión LGBTI.</w:t>
      </w:r>
    </w:p>
    <w:p w14:paraId="052B6621" w14:textId="7FDD8B67" w:rsidR="00C70A05" w:rsidRPr="00FF5490" w:rsidRDefault="00C70A05" w:rsidP="00C70A05">
      <w:pPr>
        <w:pStyle w:val="ListParagraph"/>
        <w:numPr>
          <w:ilvl w:val="0"/>
          <w:numId w:val="17"/>
        </w:numPr>
        <w:spacing w:after="0" w:line="240" w:lineRule="auto"/>
        <w:jc w:val="both"/>
        <w:rPr>
          <w:lang w:val="es-DO"/>
        </w:rPr>
      </w:pPr>
      <w:r w:rsidRPr="00FF5490">
        <w:rPr>
          <w:lang w:val="es-DO"/>
        </w:rPr>
        <w:t>Desarrollar un plan de estudios sobre Orientación Sexual e Identidad de Género para universidades y / o escuelas.</w:t>
      </w:r>
    </w:p>
    <w:p w14:paraId="6CF9A081" w14:textId="3C20D4EF" w:rsidR="00C70A05" w:rsidRPr="00FF5490" w:rsidRDefault="00C70A05" w:rsidP="00C70A05">
      <w:pPr>
        <w:pStyle w:val="ListParagraph"/>
        <w:numPr>
          <w:ilvl w:val="0"/>
          <w:numId w:val="17"/>
        </w:numPr>
        <w:spacing w:after="0" w:line="240" w:lineRule="auto"/>
        <w:jc w:val="both"/>
        <w:rPr>
          <w:lang w:val="es-DO"/>
        </w:rPr>
      </w:pPr>
      <w:r w:rsidRPr="00FF5490">
        <w:rPr>
          <w:lang w:val="es-DO"/>
        </w:rPr>
        <w:t>Sesiones de capacitación para el sector privado y la administración pública sobre inclusión laboral LGBTI.</w:t>
      </w:r>
    </w:p>
    <w:p w14:paraId="3F8F6E9F" w14:textId="660D7FEB" w:rsidR="00C70A05" w:rsidRPr="00FF5490" w:rsidRDefault="00C70A05" w:rsidP="00C70A05">
      <w:pPr>
        <w:pStyle w:val="ListParagraph"/>
        <w:numPr>
          <w:ilvl w:val="0"/>
          <w:numId w:val="17"/>
        </w:numPr>
        <w:spacing w:after="0" w:line="240" w:lineRule="auto"/>
        <w:jc w:val="both"/>
        <w:rPr>
          <w:lang w:val="es-DO"/>
        </w:rPr>
      </w:pPr>
      <w:r w:rsidRPr="00FF5490">
        <w:rPr>
          <w:lang w:val="es-DO"/>
        </w:rPr>
        <w:t>Promoción del emprendimiento LGBTI y el desarrollo de pequeñas y medianas empresas.</w:t>
      </w:r>
    </w:p>
    <w:p w14:paraId="7C93AA0B" w14:textId="500328FB" w:rsidR="00C70A05" w:rsidRPr="00FF5490" w:rsidRDefault="00C70A05" w:rsidP="00C70A05">
      <w:pPr>
        <w:pStyle w:val="ListParagraph"/>
        <w:numPr>
          <w:ilvl w:val="0"/>
          <w:numId w:val="17"/>
        </w:numPr>
        <w:spacing w:after="0" w:line="240" w:lineRule="auto"/>
        <w:jc w:val="both"/>
        <w:rPr>
          <w:lang w:val="es-DO"/>
        </w:rPr>
      </w:pPr>
      <w:r w:rsidRPr="00FF5490">
        <w:rPr>
          <w:lang w:val="es-DO"/>
        </w:rPr>
        <w:t>Capacitar a líderes LGBTI para que participen efectivamente en procesos democráticos y dirijan organizaciones.</w:t>
      </w:r>
    </w:p>
    <w:p w14:paraId="47EF517F" w14:textId="20100CDE" w:rsidR="00C70A05" w:rsidRPr="00FF5490" w:rsidRDefault="00C70A05" w:rsidP="00C70A05">
      <w:pPr>
        <w:pStyle w:val="ListParagraph"/>
        <w:numPr>
          <w:ilvl w:val="0"/>
          <w:numId w:val="17"/>
        </w:numPr>
        <w:spacing w:after="0" w:line="240" w:lineRule="auto"/>
        <w:jc w:val="both"/>
        <w:rPr>
          <w:lang w:val="es-DO"/>
        </w:rPr>
      </w:pPr>
      <w:r w:rsidRPr="00FF5490">
        <w:rPr>
          <w:lang w:val="es-DO"/>
        </w:rPr>
        <w:t>Actualización de manuales electorales y capacitaciones a funcionarios electorales sobre cómo ser sensibles a las personas LGBTI.</w:t>
      </w:r>
    </w:p>
    <w:p w14:paraId="43164563" w14:textId="02FBB3A4" w:rsidR="00C70A05" w:rsidRPr="00FF5490" w:rsidRDefault="00C70A05" w:rsidP="00C70A05">
      <w:pPr>
        <w:pStyle w:val="ListParagraph"/>
        <w:numPr>
          <w:ilvl w:val="0"/>
          <w:numId w:val="17"/>
        </w:numPr>
        <w:spacing w:after="0" w:line="240" w:lineRule="auto"/>
        <w:jc w:val="both"/>
        <w:rPr>
          <w:lang w:val="es-DO"/>
        </w:rPr>
      </w:pPr>
      <w:r w:rsidRPr="00FF5490">
        <w:rPr>
          <w:lang w:val="es-DO"/>
        </w:rPr>
        <w:t>Establecimiento de acuerdos con instituciones públicas para centrarse en las brechas en el acceso no discriminatorio a la salud, la vivienda, el empleo, la educación, la seguridad ciudadana, la justicia y la participación política.</w:t>
      </w:r>
    </w:p>
    <w:p w14:paraId="4870AF0C" w14:textId="7AEC8561" w:rsidR="00C70A05" w:rsidRPr="00FF5490" w:rsidRDefault="00C70A05" w:rsidP="00C70A05">
      <w:pPr>
        <w:pStyle w:val="ListParagraph"/>
        <w:numPr>
          <w:ilvl w:val="0"/>
          <w:numId w:val="17"/>
        </w:numPr>
        <w:spacing w:after="0" w:line="240" w:lineRule="auto"/>
        <w:jc w:val="both"/>
        <w:rPr>
          <w:lang w:val="es-DO"/>
        </w:rPr>
      </w:pPr>
      <w:r w:rsidRPr="00FF5490">
        <w:rPr>
          <w:lang w:val="es-DO"/>
        </w:rPr>
        <w:lastRenderedPageBreak/>
        <w:t>Creación de curso masivo abierto en línea (MOOC</w:t>
      </w:r>
      <w:r w:rsidR="003934C1">
        <w:rPr>
          <w:lang w:val="es-DO"/>
        </w:rPr>
        <w:t>, por sus siglas en inglés</w:t>
      </w:r>
      <w:r w:rsidRPr="00FF5490">
        <w:rPr>
          <w:lang w:val="es-DO"/>
        </w:rPr>
        <w:t xml:space="preserve">) sobre el acceso </w:t>
      </w:r>
      <w:r w:rsidR="003934C1">
        <w:rPr>
          <w:lang w:val="es-DO"/>
        </w:rPr>
        <w:t xml:space="preserve"> de las personas </w:t>
      </w:r>
      <w:r w:rsidRPr="00FF5490">
        <w:rPr>
          <w:lang w:val="es-DO"/>
        </w:rPr>
        <w:t xml:space="preserve">LGBTI a la justicia </w:t>
      </w:r>
      <w:r w:rsidR="00982FE3">
        <w:rPr>
          <w:lang w:val="es-DO"/>
        </w:rPr>
        <w:t xml:space="preserve">destinado a </w:t>
      </w:r>
      <w:r w:rsidRPr="00FF5490">
        <w:rPr>
          <w:lang w:val="es-DO"/>
        </w:rPr>
        <w:t>abogados, jueces, fiscales, defensores públicos y</w:t>
      </w:r>
      <w:r w:rsidR="00982FE3">
        <w:rPr>
          <w:lang w:val="es-DO"/>
        </w:rPr>
        <w:t>/o</w:t>
      </w:r>
      <w:r w:rsidRPr="00FF5490">
        <w:rPr>
          <w:lang w:val="es-DO"/>
        </w:rPr>
        <w:t xml:space="preserve"> estudiantes de </w:t>
      </w:r>
      <w:r w:rsidR="00982FE3">
        <w:rPr>
          <w:lang w:val="es-DO"/>
        </w:rPr>
        <w:t>la carrera de D</w:t>
      </w:r>
      <w:r w:rsidRPr="00FF5490">
        <w:rPr>
          <w:lang w:val="es-DO"/>
        </w:rPr>
        <w:t>erecho.</w:t>
      </w:r>
    </w:p>
    <w:p w14:paraId="25F82F29" w14:textId="49628803" w:rsidR="00C70A05" w:rsidRPr="00FF5490" w:rsidRDefault="00C70A05" w:rsidP="00C70A05">
      <w:pPr>
        <w:pStyle w:val="ListParagraph"/>
        <w:numPr>
          <w:ilvl w:val="0"/>
          <w:numId w:val="17"/>
        </w:numPr>
        <w:spacing w:after="0" w:line="240" w:lineRule="auto"/>
        <w:jc w:val="both"/>
        <w:rPr>
          <w:lang w:val="es-DO"/>
        </w:rPr>
      </w:pPr>
      <w:r w:rsidRPr="00FF5490">
        <w:rPr>
          <w:lang w:val="es-DO"/>
        </w:rPr>
        <w:t xml:space="preserve">Creación de protocolos para jueces, abogados fiscales y defensores públicos sobre el acceso </w:t>
      </w:r>
      <w:r w:rsidR="003934C1">
        <w:rPr>
          <w:lang w:val="es-DO"/>
        </w:rPr>
        <w:t xml:space="preserve">de las personas </w:t>
      </w:r>
      <w:r w:rsidRPr="00FF5490">
        <w:rPr>
          <w:lang w:val="es-DO"/>
        </w:rPr>
        <w:t>LGBTI a la justicia.</w:t>
      </w:r>
    </w:p>
    <w:p w14:paraId="3D35FC88" w14:textId="43FFD3E6" w:rsidR="00C70A05" w:rsidRPr="00FF5490" w:rsidRDefault="00C70A05" w:rsidP="00C70A05">
      <w:pPr>
        <w:pStyle w:val="ListParagraph"/>
        <w:numPr>
          <w:ilvl w:val="0"/>
          <w:numId w:val="17"/>
        </w:numPr>
        <w:spacing w:after="0" w:line="240" w:lineRule="auto"/>
        <w:jc w:val="both"/>
        <w:rPr>
          <w:lang w:val="es-DO"/>
        </w:rPr>
      </w:pPr>
      <w:r w:rsidRPr="00FF5490">
        <w:rPr>
          <w:lang w:val="es-DO"/>
        </w:rPr>
        <w:t>Otras actividades de desarrollo de capacidades donde hay evidencia comprobada de la contribución positiva de este tipo de actividades a la reducción del estigma y la discriminación contra la</w:t>
      </w:r>
      <w:r w:rsidR="008A2FF3" w:rsidRPr="00FF5490">
        <w:rPr>
          <w:lang w:val="es-DO"/>
        </w:rPr>
        <w:t xml:space="preserve">s personas </w:t>
      </w:r>
      <w:r w:rsidRPr="00FF5490">
        <w:rPr>
          <w:lang w:val="es-DO"/>
        </w:rPr>
        <w:t>LGBTI.</w:t>
      </w:r>
    </w:p>
    <w:p w14:paraId="0E847CBE" w14:textId="77777777" w:rsidR="00C70A05" w:rsidRPr="00FF5490" w:rsidRDefault="00C70A05" w:rsidP="00C70A05">
      <w:pPr>
        <w:spacing w:after="0" w:line="240" w:lineRule="auto"/>
        <w:jc w:val="both"/>
        <w:rPr>
          <w:lang w:val="es-DO"/>
        </w:rPr>
      </w:pPr>
    </w:p>
    <w:p w14:paraId="35F1A695" w14:textId="155EA2DB" w:rsidR="00DA5FFB" w:rsidRPr="00FF5490" w:rsidRDefault="00C70A05" w:rsidP="00C70A05">
      <w:pPr>
        <w:spacing w:after="0" w:line="240" w:lineRule="auto"/>
        <w:jc w:val="both"/>
        <w:rPr>
          <w:lang w:val="es-DO"/>
        </w:rPr>
      </w:pPr>
      <w:r w:rsidRPr="00FF5490">
        <w:rPr>
          <w:lang w:val="es-DO"/>
        </w:rPr>
        <w:t>Las actividades deben estar en línea con los esfuerzos</w:t>
      </w:r>
      <w:r w:rsidR="002A6D2D">
        <w:rPr>
          <w:lang w:val="es-DO"/>
        </w:rPr>
        <w:t xml:space="preserve"> que</w:t>
      </w:r>
      <w:r w:rsidRPr="00FF5490">
        <w:rPr>
          <w:lang w:val="es-DO"/>
        </w:rPr>
        <w:t xml:space="preserve"> internacionalmente </w:t>
      </w:r>
      <w:r w:rsidR="002A6D2D">
        <w:rPr>
          <w:lang w:val="es-DO"/>
        </w:rPr>
        <w:t xml:space="preserve">han sido </w:t>
      </w:r>
      <w:r w:rsidRPr="00FF5490">
        <w:rPr>
          <w:lang w:val="es-DO"/>
        </w:rPr>
        <w:t>aceptados</w:t>
      </w:r>
      <w:r w:rsidR="002A6D2D">
        <w:rPr>
          <w:lang w:val="es-DO"/>
        </w:rPr>
        <w:t xml:space="preserve"> como aptos</w:t>
      </w:r>
      <w:r w:rsidRPr="00FF5490">
        <w:rPr>
          <w:lang w:val="es-DO"/>
        </w:rPr>
        <w:t xml:space="preserve"> para promover los derechos humanos y / o reducir el estigma y la discriminación y / o desarrollar la capacidad de las OSC / ONG / OBC para abordar los desafíos clave</w:t>
      </w:r>
      <w:r w:rsidR="008A2FF3" w:rsidRPr="00FF5490">
        <w:rPr>
          <w:lang w:val="es-DO"/>
        </w:rPr>
        <w:t>s</w:t>
      </w:r>
      <w:r w:rsidRPr="00FF5490">
        <w:rPr>
          <w:lang w:val="es-DO"/>
        </w:rPr>
        <w:t xml:space="preserve"> relacionados con las </w:t>
      </w:r>
      <w:r w:rsidR="008A2FF3" w:rsidRPr="00FF5490">
        <w:rPr>
          <w:lang w:val="es-DO"/>
        </w:rPr>
        <w:t>personas LGBTI</w:t>
      </w:r>
      <w:r w:rsidRPr="00FF5490">
        <w:rPr>
          <w:lang w:val="es-DO"/>
        </w:rPr>
        <w:t>.</w:t>
      </w:r>
    </w:p>
    <w:p w14:paraId="50B266B6" w14:textId="77777777" w:rsidR="00C70A05" w:rsidRPr="00FF5490" w:rsidRDefault="00C70A05" w:rsidP="00C70A05">
      <w:pPr>
        <w:spacing w:after="0" w:line="240" w:lineRule="auto"/>
        <w:jc w:val="both"/>
        <w:rPr>
          <w:rFonts w:eastAsia="Times New Roman" w:cs="Arial"/>
          <w:sz w:val="24"/>
          <w:szCs w:val="24"/>
          <w:lang w:val="es-DO"/>
        </w:rPr>
      </w:pPr>
    </w:p>
    <w:p w14:paraId="75075631" w14:textId="6939EEB8" w:rsidR="009C52ED" w:rsidRPr="00FF5490" w:rsidRDefault="008A2FF3" w:rsidP="008A2FF3">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Criterios de elegibilidad</w:t>
      </w:r>
    </w:p>
    <w:p w14:paraId="1CF4D766" w14:textId="77777777" w:rsidR="008A2FF3" w:rsidRPr="00FF5490" w:rsidRDefault="008A2FF3" w:rsidP="00807DDE">
      <w:pPr>
        <w:spacing w:after="0" w:line="240" w:lineRule="auto"/>
        <w:jc w:val="both"/>
        <w:rPr>
          <w:rFonts w:eastAsia="Times New Roman" w:cs="Arial"/>
          <w:lang w:val="es-DO"/>
        </w:rPr>
      </w:pPr>
      <w:bookmarkStart w:id="3" w:name="_Hlk6923274"/>
    </w:p>
    <w:p w14:paraId="38E846B5" w14:textId="77777777" w:rsidR="008A2FF3" w:rsidRPr="00FF5490" w:rsidRDefault="008A2FF3" w:rsidP="008A2FF3">
      <w:pPr>
        <w:spacing w:after="0" w:line="240" w:lineRule="auto"/>
        <w:jc w:val="both"/>
        <w:rPr>
          <w:rFonts w:eastAsia="Times New Roman" w:cs="Arial"/>
          <w:lang w:val="es-DO"/>
        </w:rPr>
      </w:pPr>
      <w:r w:rsidRPr="00FF5490">
        <w:rPr>
          <w:rFonts w:eastAsia="Times New Roman" w:cs="Arial"/>
          <w:lang w:val="es-DO"/>
        </w:rPr>
        <w:t>Las OSC / ONG / CBO interesadas deben cumplir con los siguientes criterios para ser elegibles para la selección.</w:t>
      </w:r>
    </w:p>
    <w:p w14:paraId="41ED4DAB" w14:textId="77777777" w:rsidR="008A2FF3" w:rsidRPr="00FF5490" w:rsidRDefault="008A2FF3" w:rsidP="008A2FF3">
      <w:pPr>
        <w:spacing w:after="0" w:line="240" w:lineRule="auto"/>
        <w:jc w:val="both"/>
        <w:rPr>
          <w:rFonts w:eastAsia="Times New Roman" w:cs="Arial"/>
          <w:lang w:val="es-DO"/>
        </w:rPr>
      </w:pPr>
    </w:p>
    <w:p w14:paraId="47C970A3" w14:textId="2D3C9AB3"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Experiencia comprobada en el trabajo en temas LGBTI.</w:t>
      </w:r>
    </w:p>
    <w:p w14:paraId="15F2FD0D" w14:textId="239763B6"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Las propuestas deben centrarse en los temas (salud, empleo, educación, seguridad ciudadana, acceso a la justicia, legislación inclusiva y</w:t>
      </w:r>
      <w:r w:rsidR="002A6D2D">
        <w:rPr>
          <w:rFonts w:eastAsia="Times New Roman" w:cs="Arial"/>
          <w:lang w:val="es-DO"/>
        </w:rPr>
        <w:t>/o</w:t>
      </w:r>
      <w:r w:rsidRPr="00FF5490">
        <w:rPr>
          <w:rFonts w:eastAsia="Times New Roman" w:cs="Arial"/>
          <w:lang w:val="es-DO"/>
        </w:rPr>
        <w:t xml:space="preserve"> participación política) identificados en la Sección </w:t>
      </w:r>
      <w:r w:rsidR="00502C21" w:rsidRPr="00FF5490">
        <w:rPr>
          <w:rFonts w:eastAsia="Times New Roman" w:cs="Arial"/>
          <w:lang w:val="es-DO"/>
        </w:rPr>
        <w:t>2.</w:t>
      </w:r>
    </w:p>
    <w:p w14:paraId="25E29B6A" w14:textId="04409ACD"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 xml:space="preserve">Las OSC / ONG / OBC deben tener experiencia establecida en la implementación de actividades similares </w:t>
      </w:r>
      <w:r w:rsidR="00502C21" w:rsidRPr="00FF5490">
        <w:rPr>
          <w:rFonts w:eastAsia="Times New Roman" w:cs="Arial"/>
          <w:lang w:val="es-DO"/>
        </w:rPr>
        <w:t>o</w:t>
      </w:r>
      <w:r w:rsidRPr="00FF5490">
        <w:rPr>
          <w:rFonts w:eastAsia="Times New Roman" w:cs="Arial"/>
          <w:lang w:val="es-DO"/>
        </w:rPr>
        <w:t xml:space="preserve"> relacionadas.</w:t>
      </w:r>
    </w:p>
    <w:p w14:paraId="0170F420" w14:textId="5EC5E06F"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Las OSC / ONG / OBC deben estar legalmente registradas</w:t>
      </w:r>
      <w:r w:rsidR="006265AA">
        <w:rPr>
          <w:rFonts w:eastAsia="Times New Roman" w:cs="Arial"/>
          <w:lang w:val="es-DO"/>
        </w:rPr>
        <w:t xml:space="preserve"> en República Dominicana</w:t>
      </w:r>
      <w:r w:rsidRPr="00FF5490">
        <w:rPr>
          <w:rFonts w:eastAsia="Times New Roman" w:cs="Arial"/>
          <w:lang w:val="es-DO"/>
        </w:rPr>
        <w:t>, las organizaciones que no están legalmente registradas pueden presentar propuestas junto con otras organizaciones como coalición.</w:t>
      </w:r>
      <w:r w:rsidR="000F72CF">
        <w:rPr>
          <w:rFonts w:eastAsia="Times New Roman" w:cs="Arial"/>
          <w:lang w:val="es-DO"/>
        </w:rPr>
        <w:t xml:space="preserve"> En el caso de tratarse de coalición, la organización principal que presente la propuesta deberá cumplir con todos los requisitos de elegibilidad; </w:t>
      </w:r>
    </w:p>
    <w:p w14:paraId="65520F18" w14:textId="3F8420E8"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Las OSC / ONG / OBC deben tener una cuenta bancaria a su nombre.</w:t>
      </w:r>
    </w:p>
    <w:p w14:paraId="1819F0A7" w14:textId="078EC269" w:rsidR="008A2FF3" w:rsidRPr="00FF5490"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Al colaborar con una institución pública o privada, se adjuntará una carta de la institución correspondiente que acepte la colaboración.</w:t>
      </w:r>
    </w:p>
    <w:p w14:paraId="3631E8F2" w14:textId="674430EA" w:rsidR="008A2FF3" w:rsidRDefault="008A2FF3" w:rsidP="008A2FF3">
      <w:pPr>
        <w:pStyle w:val="ListParagraph"/>
        <w:numPr>
          <w:ilvl w:val="0"/>
          <w:numId w:val="19"/>
        </w:numPr>
        <w:spacing w:after="0" w:line="240" w:lineRule="auto"/>
        <w:jc w:val="both"/>
        <w:rPr>
          <w:rFonts w:eastAsia="Times New Roman" w:cs="Arial"/>
          <w:lang w:val="es-DO"/>
        </w:rPr>
      </w:pPr>
      <w:r w:rsidRPr="00FF5490">
        <w:rPr>
          <w:rFonts w:eastAsia="Times New Roman" w:cs="Arial"/>
          <w:lang w:val="es-DO"/>
        </w:rPr>
        <w:t>Se debe incluir una copia de los documentos fundacionales y la certificación del registro legal en la propuesta.</w:t>
      </w:r>
    </w:p>
    <w:p w14:paraId="3E1569FC" w14:textId="4290472B" w:rsidR="006265AA" w:rsidRPr="00FF5490" w:rsidRDefault="006265AA" w:rsidP="008A2FF3">
      <w:pPr>
        <w:pStyle w:val="ListParagraph"/>
        <w:numPr>
          <w:ilvl w:val="0"/>
          <w:numId w:val="19"/>
        </w:numPr>
        <w:spacing w:after="0" w:line="240" w:lineRule="auto"/>
        <w:jc w:val="both"/>
        <w:rPr>
          <w:rFonts w:eastAsia="Times New Roman" w:cs="Arial"/>
          <w:lang w:val="es-DO"/>
        </w:rPr>
      </w:pPr>
      <w:r w:rsidRPr="006265AA">
        <w:rPr>
          <w:rFonts w:eastAsia="Times New Roman" w:cs="Arial"/>
          <w:lang w:val="es-DO"/>
        </w:rPr>
        <w:t xml:space="preserve">Solo serán elegibles organizaciones LGBTI*. </w:t>
      </w:r>
    </w:p>
    <w:p w14:paraId="33C2612F" w14:textId="77777777" w:rsidR="008A2FF3" w:rsidRPr="00FF5490" w:rsidRDefault="008A2FF3" w:rsidP="008A2FF3">
      <w:pPr>
        <w:spacing w:after="0" w:line="240" w:lineRule="auto"/>
        <w:jc w:val="both"/>
        <w:rPr>
          <w:rFonts w:eastAsia="Times New Roman" w:cs="Arial"/>
          <w:lang w:val="es-DO"/>
        </w:rPr>
      </w:pPr>
    </w:p>
    <w:p w14:paraId="11B89177" w14:textId="37E7E951" w:rsidR="00E356B9" w:rsidRDefault="008A2FF3" w:rsidP="008A2FF3">
      <w:pPr>
        <w:spacing w:after="0" w:line="240" w:lineRule="auto"/>
        <w:jc w:val="both"/>
        <w:rPr>
          <w:rFonts w:eastAsia="Times New Roman" w:cs="Arial"/>
          <w:sz w:val="24"/>
          <w:szCs w:val="24"/>
          <w:lang w:val="es-DO"/>
        </w:rPr>
      </w:pPr>
      <w:r w:rsidRPr="00FF5490">
        <w:rPr>
          <w:rFonts w:eastAsia="Times New Roman" w:cs="Arial"/>
          <w:lang w:val="es-DO"/>
        </w:rPr>
        <w:t>Será posible que una coalición de OSC / ONG / OBC presente propuestas. En tal caso, debe adjuntarse a la propuesta una carta firmada por cada parte de la organización de la propuesta conjunta que indique la voluntad de participar en dicha coalición. En el caso de las coaliciones, la OSC / ONG / CBO líder/responsable debe ser una organización LGBTI.</w:t>
      </w:r>
      <w:r w:rsidR="00DA5FFB" w:rsidRPr="00FF5490">
        <w:rPr>
          <w:rFonts w:eastAsia="Times New Roman" w:cs="Arial"/>
          <w:sz w:val="24"/>
          <w:szCs w:val="24"/>
          <w:lang w:val="es-DO"/>
        </w:rPr>
        <w:t xml:space="preserve">  </w:t>
      </w:r>
      <w:bookmarkEnd w:id="3"/>
    </w:p>
    <w:p w14:paraId="56EEAAA8" w14:textId="1D15CDE5" w:rsidR="00387EEA" w:rsidRDefault="00387EEA" w:rsidP="008A2FF3">
      <w:pPr>
        <w:spacing w:after="0" w:line="240" w:lineRule="auto"/>
        <w:jc w:val="both"/>
        <w:rPr>
          <w:rFonts w:eastAsia="Times New Roman" w:cs="Arial"/>
          <w:sz w:val="24"/>
          <w:szCs w:val="24"/>
          <w:lang w:val="es-DO"/>
        </w:rPr>
      </w:pPr>
    </w:p>
    <w:p w14:paraId="68887C04" w14:textId="165CC893" w:rsidR="00387EEA" w:rsidRPr="00ED1C4B" w:rsidRDefault="00387EEA" w:rsidP="008A2FF3">
      <w:pPr>
        <w:spacing w:after="0" w:line="240" w:lineRule="auto"/>
        <w:jc w:val="both"/>
        <w:rPr>
          <w:rFonts w:eastAsia="Times New Roman" w:cs="Arial"/>
          <w:i/>
          <w:iCs/>
          <w:sz w:val="24"/>
          <w:szCs w:val="24"/>
          <w:lang w:val="es-DO"/>
        </w:rPr>
      </w:pPr>
      <w:r w:rsidRPr="00ED1C4B">
        <w:rPr>
          <w:rFonts w:eastAsia="Times New Roman" w:cs="Arial"/>
          <w:i/>
          <w:iCs/>
          <w:sz w:val="24"/>
          <w:szCs w:val="24"/>
          <w:lang w:val="es-DO"/>
        </w:rPr>
        <w:t>*Las organizaciones son LGBTI si más de la mitad de su personal y la junta directiva son personas que se identifican como miembros de la comunidad LGBTI y/o los objetivos y la misión principal de la organización establecen claramente un enfoque LGBTI.</w:t>
      </w:r>
    </w:p>
    <w:p w14:paraId="00875F23" w14:textId="645969E0" w:rsidR="00387EEA" w:rsidRDefault="00387EEA" w:rsidP="008A2FF3">
      <w:pPr>
        <w:spacing w:after="0" w:line="240" w:lineRule="auto"/>
        <w:jc w:val="both"/>
        <w:rPr>
          <w:rFonts w:eastAsia="Times New Roman" w:cs="Arial"/>
          <w:sz w:val="24"/>
          <w:szCs w:val="24"/>
          <w:lang w:val="es-DO"/>
        </w:rPr>
      </w:pPr>
    </w:p>
    <w:p w14:paraId="7D0CE0ED" w14:textId="77777777" w:rsidR="008A2FF3" w:rsidRPr="00FF5490" w:rsidRDefault="008A2FF3" w:rsidP="008A2FF3">
      <w:pPr>
        <w:spacing w:after="0" w:line="240" w:lineRule="auto"/>
        <w:jc w:val="both"/>
        <w:rPr>
          <w:rFonts w:eastAsia="Times New Roman" w:cs="Times New Roman"/>
          <w:sz w:val="24"/>
          <w:szCs w:val="24"/>
          <w:lang w:val="es-DO"/>
        </w:rPr>
      </w:pPr>
    </w:p>
    <w:p w14:paraId="2A951082" w14:textId="4B65ABFD" w:rsidR="00D51844" w:rsidRPr="00FF5490" w:rsidRDefault="00502C21" w:rsidP="00502C21">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Metodología propuesta, enfoque y plan de implementación</w:t>
      </w:r>
    </w:p>
    <w:p w14:paraId="42270AEB" w14:textId="475BE8C9" w:rsidR="00276175" w:rsidRPr="00FF5490" w:rsidRDefault="007C3B51" w:rsidP="00807DDE">
      <w:pPr>
        <w:spacing w:after="0" w:line="240" w:lineRule="auto"/>
        <w:jc w:val="both"/>
        <w:rPr>
          <w:rFonts w:eastAsia="Times New Roman" w:cs="Arial"/>
          <w:lang w:val="es-DO"/>
        </w:rPr>
      </w:pPr>
      <w:r w:rsidRPr="00ED1C4B">
        <w:rPr>
          <w:rFonts w:eastAsia="Times New Roman" w:cs="Arial"/>
          <w:b/>
          <w:bCs/>
          <w:lang w:val="es-DO"/>
        </w:rPr>
        <w:t>Todas las propuestas deben ser sometidas a través del formulario de aplicación anexo</w:t>
      </w:r>
      <w:r w:rsidRPr="00FF5490">
        <w:rPr>
          <w:rFonts w:eastAsia="Times New Roman" w:cs="Arial"/>
          <w:lang w:val="es-DO"/>
        </w:rPr>
        <w:t>.</w:t>
      </w:r>
      <w:r w:rsidR="004477D3" w:rsidRPr="00FF5490">
        <w:rPr>
          <w:rFonts w:eastAsia="Times New Roman" w:cs="Arial"/>
          <w:lang w:val="es-DO"/>
        </w:rPr>
        <w:t xml:space="preserve"> </w:t>
      </w:r>
      <w:r w:rsidRPr="00FF5490">
        <w:rPr>
          <w:rFonts w:eastAsia="Times New Roman" w:cs="Arial"/>
          <w:lang w:val="es-DO"/>
        </w:rPr>
        <w:t xml:space="preserve">Esta </w:t>
      </w:r>
      <w:r w:rsidR="000B594E" w:rsidRPr="00FF5490">
        <w:rPr>
          <w:rFonts w:eastAsia="Times New Roman" w:cs="Arial"/>
          <w:lang w:val="es-DO"/>
        </w:rPr>
        <w:t>sección</w:t>
      </w:r>
      <w:r w:rsidRPr="00FF5490">
        <w:rPr>
          <w:rFonts w:eastAsia="Times New Roman" w:cs="Arial"/>
          <w:lang w:val="es-DO"/>
        </w:rPr>
        <w:t xml:space="preserve"> </w:t>
      </w:r>
      <w:r w:rsidR="000B594E" w:rsidRPr="00FF5490">
        <w:rPr>
          <w:rFonts w:eastAsia="Times New Roman" w:cs="Arial"/>
          <w:lang w:val="es-DO"/>
        </w:rPr>
        <w:t>debería</w:t>
      </w:r>
      <w:r w:rsidRPr="00FF5490">
        <w:rPr>
          <w:rFonts w:eastAsia="Times New Roman" w:cs="Arial"/>
          <w:lang w:val="es-DO"/>
        </w:rPr>
        <w:t xml:space="preserve"> demostrar que la OSC/ONG/OBC abordara los </w:t>
      </w:r>
      <w:r w:rsidR="000B594E" w:rsidRPr="00FF5490">
        <w:rPr>
          <w:rFonts w:eastAsia="Times New Roman" w:cs="Arial"/>
          <w:lang w:val="es-DO"/>
        </w:rPr>
        <w:t>desafíos</w:t>
      </w:r>
      <w:r w:rsidRPr="00FF5490">
        <w:rPr>
          <w:rFonts w:eastAsia="Times New Roman" w:cs="Arial"/>
          <w:lang w:val="es-DO"/>
        </w:rPr>
        <w:t xml:space="preserve"> particulares por los cuales está requiriendo fondos</w:t>
      </w:r>
      <w:r w:rsidR="003A7338" w:rsidRPr="00FF5490">
        <w:rPr>
          <w:rFonts w:eastAsia="Times New Roman" w:cs="Arial"/>
          <w:lang w:val="es-DO"/>
        </w:rPr>
        <w:t>,</w:t>
      </w:r>
      <w:r w:rsidR="00E356B9" w:rsidRPr="00FF5490">
        <w:rPr>
          <w:rFonts w:eastAsia="Times New Roman" w:cs="Arial"/>
          <w:lang w:val="es-DO"/>
        </w:rPr>
        <w:t xml:space="preserve"> </w:t>
      </w:r>
      <w:r w:rsidRPr="00FF5490">
        <w:rPr>
          <w:rFonts w:eastAsia="Times New Roman" w:cs="Arial"/>
          <w:lang w:val="es-DO"/>
        </w:rPr>
        <w:t xml:space="preserve">al identificar los componentes específicos </w:t>
      </w:r>
      <w:r w:rsidR="000B594E" w:rsidRPr="00FF5490">
        <w:rPr>
          <w:rFonts w:eastAsia="Times New Roman" w:cs="Arial"/>
          <w:lang w:val="es-DO"/>
        </w:rPr>
        <w:t>y proveyendo una descripción detallada del rendimiento propuesto.</w:t>
      </w:r>
      <w:r w:rsidR="00E356B9" w:rsidRPr="00FF5490">
        <w:rPr>
          <w:rFonts w:eastAsia="Times New Roman" w:cs="Arial"/>
          <w:lang w:val="es-DO"/>
        </w:rPr>
        <w:t xml:space="preserve"> </w:t>
      </w:r>
      <w:r w:rsidR="000B594E" w:rsidRPr="00FF5490">
        <w:rPr>
          <w:rFonts w:eastAsia="Times New Roman" w:cs="Arial"/>
          <w:lang w:val="es-DO"/>
        </w:rPr>
        <w:t>Se deberá considerar las condiciones locales y el ambiente operativo en el cual la propuesta de proyecto será implementada</w:t>
      </w:r>
      <w:r w:rsidR="00E356B9" w:rsidRPr="00FF5490">
        <w:rPr>
          <w:rFonts w:eastAsia="Times New Roman" w:cs="Arial"/>
          <w:lang w:val="es-DO"/>
        </w:rPr>
        <w:t xml:space="preserve">. </w:t>
      </w:r>
    </w:p>
    <w:p w14:paraId="55DADEA5" w14:textId="0B38BA0D" w:rsidR="006B6A44" w:rsidRPr="00FF5490" w:rsidRDefault="000B594E" w:rsidP="00C70A05">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lastRenderedPageBreak/>
        <w:t xml:space="preserve">Duración y Presupuesto </w:t>
      </w:r>
    </w:p>
    <w:p w14:paraId="020CD4F8" w14:textId="77777777" w:rsidR="003A7338" w:rsidRPr="00FF5490" w:rsidRDefault="003A7338" w:rsidP="00807DDE">
      <w:pPr>
        <w:spacing w:after="0" w:line="240" w:lineRule="auto"/>
        <w:jc w:val="both"/>
        <w:rPr>
          <w:rFonts w:eastAsia="Times New Roman" w:cs="Arial"/>
          <w:lang w:val="es-DO"/>
        </w:rPr>
      </w:pPr>
    </w:p>
    <w:p w14:paraId="489C367C" w14:textId="0628317A" w:rsidR="00276175" w:rsidRPr="00FF5490" w:rsidRDefault="000B594E" w:rsidP="00807DDE">
      <w:pPr>
        <w:spacing w:after="0" w:line="240" w:lineRule="auto"/>
        <w:jc w:val="both"/>
        <w:rPr>
          <w:rFonts w:eastAsia="Times New Roman" w:cs="Arial"/>
          <w:lang w:val="es-DO"/>
        </w:rPr>
      </w:pPr>
      <w:r w:rsidRPr="00FF5490">
        <w:rPr>
          <w:rFonts w:eastAsia="Times New Roman" w:cs="Arial"/>
          <w:lang w:val="es-DO"/>
        </w:rPr>
        <w:t xml:space="preserve">Un total de </w:t>
      </w:r>
      <w:r w:rsidR="00101C5B" w:rsidRPr="00FF5490">
        <w:rPr>
          <w:rFonts w:eastAsia="Times New Roman" w:cs="Arial"/>
          <w:lang w:val="es-DO"/>
        </w:rPr>
        <w:t>US</w:t>
      </w:r>
      <w:r w:rsidRPr="00FF5490">
        <w:rPr>
          <w:rFonts w:eastAsia="Times New Roman" w:cs="Arial"/>
          <w:lang w:val="es-DO"/>
        </w:rPr>
        <w:t>D</w:t>
      </w:r>
      <w:r w:rsidR="00101C5B" w:rsidRPr="00FF5490">
        <w:rPr>
          <w:rFonts w:eastAsia="Times New Roman" w:cs="Arial"/>
          <w:lang w:val="es-DO"/>
        </w:rPr>
        <w:t xml:space="preserve"> 70,000.00 </w:t>
      </w:r>
      <w:r w:rsidRPr="00FF5490">
        <w:rPr>
          <w:rFonts w:eastAsia="Times New Roman" w:cs="Arial"/>
          <w:lang w:val="es-DO"/>
        </w:rPr>
        <w:t xml:space="preserve">está disponible para aproximadamente siete </w:t>
      </w:r>
      <w:r w:rsidR="00FE5403" w:rsidRPr="00FF5490">
        <w:rPr>
          <w:rFonts w:eastAsia="Times New Roman" w:cs="Arial"/>
          <w:lang w:val="es-DO"/>
        </w:rPr>
        <w:t>(</w:t>
      </w:r>
      <w:r w:rsidR="00332D94" w:rsidRPr="00FF5490">
        <w:rPr>
          <w:rFonts w:eastAsia="Times New Roman" w:cs="Arial"/>
          <w:lang w:val="es-DO"/>
        </w:rPr>
        <w:t>7</w:t>
      </w:r>
      <w:r w:rsidR="00FE5403" w:rsidRPr="00FF5490">
        <w:rPr>
          <w:rFonts w:eastAsia="Times New Roman" w:cs="Arial"/>
          <w:lang w:val="es-DO"/>
        </w:rPr>
        <w:t xml:space="preserve">) </w:t>
      </w:r>
      <w:r w:rsidRPr="00FF5490">
        <w:rPr>
          <w:rFonts w:eastAsia="Times New Roman" w:cs="Arial"/>
          <w:lang w:val="es-DO"/>
        </w:rPr>
        <w:t>subvenciones</w:t>
      </w:r>
      <w:r w:rsidR="003C4B98" w:rsidRPr="00FF5490">
        <w:rPr>
          <w:rFonts w:eastAsia="Times New Roman" w:cs="Arial"/>
          <w:lang w:val="es-DO"/>
        </w:rPr>
        <w:t>, US</w:t>
      </w:r>
      <w:r w:rsidRPr="00FF5490">
        <w:rPr>
          <w:rFonts w:eastAsia="Times New Roman" w:cs="Arial"/>
          <w:lang w:val="es-DO"/>
        </w:rPr>
        <w:t>D</w:t>
      </w:r>
      <w:r w:rsidR="003C4B98" w:rsidRPr="00FF5490">
        <w:rPr>
          <w:rFonts w:eastAsia="Times New Roman" w:cs="Arial"/>
          <w:lang w:val="es-DO"/>
        </w:rPr>
        <w:t xml:space="preserve"> 10,000 </w:t>
      </w:r>
      <w:r w:rsidRPr="00FF5490">
        <w:rPr>
          <w:rFonts w:eastAsia="Times New Roman" w:cs="Arial"/>
          <w:lang w:val="es-DO"/>
        </w:rPr>
        <w:t>por área temática</w:t>
      </w:r>
      <w:r w:rsidR="003C4B98" w:rsidRPr="00FF5490">
        <w:rPr>
          <w:rFonts w:eastAsia="Times New Roman" w:cs="Arial"/>
          <w:lang w:val="es-DO"/>
        </w:rPr>
        <w:t xml:space="preserve">. </w:t>
      </w:r>
      <w:r w:rsidRPr="00FF5490">
        <w:rPr>
          <w:rFonts w:eastAsia="Times New Roman" w:cs="Arial"/>
          <w:lang w:val="es-DO"/>
        </w:rPr>
        <w:t xml:space="preserve">El periodo de tiempo para la implementación de las subvenciones </w:t>
      </w:r>
      <w:r w:rsidR="00627936" w:rsidRPr="00FF5490">
        <w:rPr>
          <w:rFonts w:eastAsia="Times New Roman" w:cs="Arial"/>
          <w:lang w:val="es-DO"/>
        </w:rPr>
        <w:t>es de un máximo de</w:t>
      </w:r>
      <w:r w:rsidR="002B1AFA" w:rsidRPr="00FF5490">
        <w:rPr>
          <w:rFonts w:eastAsia="Times New Roman" w:cs="Arial"/>
          <w:lang w:val="es-DO"/>
        </w:rPr>
        <w:t xml:space="preserve"> </w:t>
      </w:r>
      <w:r w:rsidR="00627936" w:rsidRPr="00FF5490">
        <w:rPr>
          <w:rFonts w:eastAsia="Times New Roman" w:cs="Arial"/>
          <w:lang w:val="es-DO"/>
        </w:rPr>
        <w:t>diez</w:t>
      </w:r>
      <w:r w:rsidR="001E2539" w:rsidRPr="00FF5490">
        <w:rPr>
          <w:rFonts w:eastAsia="Times New Roman" w:cs="Arial"/>
          <w:lang w:val="es-DO"/>
        </w:rPr>
        <w:t xml:space="preserve"> </w:t>
      </w:r>
      <w:r w:rsidR="00807DDE" w:rsidRPr="00FF5490">
        <w:rPr>
          <w:rFonts w:eastAsia="Times New Roman" w:cs="Arial"/>
          <w:lang w:val="es-DO"/>
        </w:rPr>
        <w:t>(</w:t>
      </w:r>
      <w:r w:rsidR="00627936" w:rsidRPr="00FF5490">
        <w:rPr>
          <w:rFonts w:eastAsia="Times New Roman" w:cs="Arial"/>
          <w:lang w:val="es-DO"/>
        </w:rPr>
        <w:t>10</w:t>
      </w:r>
      <w:r w:rsidR="00807DDE" w:rsidRPr="00FF5490">
        <w:rPr>
          <w:rFonts w:eastAsia="Times New Roman" w:cs="Arial"/>
          <w:lang w:val="es-DO"/>
        </w:rPr>
        <w:t>) m</w:t>
      </w:r>
      <w:r w:rsidR="00627936" w:rsidRPr="00FF5490">
        <w:rPr>
          <w:rFonts w:eastAsia="Times New Roman" w:cs="Arial"/>
          <w:lang w:val="es-DO"/>
        </w:rPr>
        <w:t>e</w:t>
      </w:r>
      <w:r w:rsidR="00807DDE" w:rsidRPr="00FF5490">
        <w:rPr>
          <w:rFonts w:eastAsia="Times New Roman" w:cs="Arial"/>
          <w:lang w:val="es-DO"/>
        </w:rPr>
        <w:t>s</w:t>
      </w:r>
      <w:r w:rsidR="00627936" w:rsidRPr="00FF5490">
        <w:rPr>
          <w:rFonts w:eastAsia="Times New Roman" w:cs="Arial"/>
          <w:lang w:val="es-DO"/>
        </w:rPr>
        <w:t>es</w:t>
      </w:r>
      <w:r w:rsidR="002B1AFA" w:rsidRPr="00FF5490">
        <w:rPr>
          <w:rFonts w:eastAsia="Times New Roman" w:cs="Arial"/>
          <w:lang w:val="es-DO"/>
        </w:rPr>
        <w:t xml:space="preserve">, </w:t>
      </w:r>
      <w:r w:rsidR="00627936" w:rsidRPr="00FF5490">
        <w:rPr>
          <w:rFonts w:eastAsia="Times New Roman" w:cs="Arial"/>
          <w:lang w:val="es-DO"/>
        </w:rPr>
        <w:t>iniciando el primero de</w:t>
      </w:r>
      <w:r w:rsidR="005C6BCE" w:rsidRPr="00FF5490">
        <w:rPr>
          <w:rFonts w:eastAsia="Times New Roman" w:cs="Arial"/>
          <w:lang w:val="es-DO"/>
        </w:rPr>
        <w:t xml:space="preserve"> </w:t>
      </w:r>
      <w:r w:rsidR="00627936" w:rsidRPr="00FF5490">
        <w:rPr>
          <w:rFonts w:eastAsia="Times New Roman" w:cs="Arial"/>
          <w:lang w:val="es-DO"/>
        </w:rPr>
        <w:t>Septiembre</w:t>
      </w:r>
      <w:r w:rsidR="00DA5FFB" w:rsidRPr="00FF5490">
        <w:rPr>
          <w:rFonts w:eastAsia="Times New Roman" w:cs="Arial"/>
          <w:lang w:val="es-DO"/>
        </w:rPr>
        <w:t xml:space="preserve"> </w:t>
      </w:r>
      <w:r w:rsidR="002B1AFA" w:rsidRPr="00FF5490">
        <w:rPr>
          <w:rFonts w:eastAsia="Times New Roman" w:cs="Arial"/>
          <w:lang w:val="es-DO"/>
        </w:rPr>
        <w:t xml:space="preserve">2019 </w:t>
      </w:r>
      <w:r w:rsidR="00627936" w:rsidRPr="00FF5490">
        <w:rPr>
          <w:rFonts w:eastAsia="Times New Roman" w:cs="Arial"/>
          <w:lang w:val="es-DO"/>
        </w:rPr>
        <w:t>al</w:t>
      </w:r>
      <w:r w:rsidR="002B1AFA" w:rsidRPr="00FF5490">
        <w:rPr>
          <w:rFonts w:eastAsia="Times New Roman" w:cs="Arial"/>
          <w:lang w:val="es-DO"/>
        </w:rPr>
        <w:t xml:space="preserve"> </w:t>
      </w:r>
      <w:r w:rsidR="00627936" w:rsidRPr="00FF5490">
        <w:rPr>
          <w:rFonts w:eastAsia="Times New Roman" w:cs="Arial"/>
          <w:lang w:val="es-DO"/>
        </w:rPr>
        <w:t>primero de</w:t>
      </w:r>
      <w:r w:rsidR="005C6BCE" w:rsidRPr="00FF5490">
        <w:rPr>
          <w:rFonts w:eastAsia="Times New Roman" w:cs="Arial"/>
          <w:lang w:val="es-DO"/>
        </w:rPr>
        <w:t xml:space="preserve"> </w:t>
      </w:r>
      <w:r w:rsidR="00627936" w:rsidRPr="00FF5490">
        <w:rPr>
          <w:rFonts w:eastAsia="Times New Roman" w:cs="Arial"/>
          <w:lang w:val="es-DO"/>
        </w:rPr>
        <w:t>julio de</w:t>
      </w:r>
      <w:r w:rsidR="00332D94" w:rsidRPr="00FF5490">
        <w:rPr>
          <w:rFonts w:eastAsia="Times New Roman" w:cs="Arial"/>
          <w:lang w:val="es-DO"/>
        </w:rPr>
        <w:t xml:space="preserve"> 2020</w:t>
      </w:r>
      <w:r w:rsidR="00807DDE" w:rsidRPr="00FF5490">
        <w:rPr>
          <w:rFonts w:eastAsia="Times New Roman" w:cs="Arial"/>
          <w:lang w:val="es-DO"/>
        </w:rPr>
        <w:t xml:space="preserve">. </w:t>
      </w:r>
      <w:r w:rsidR="00627936" w:rsidRPr="00FF5490">
        <w:rPr>
          <w:rFonts w:eastAsia="Times New Roman" w:cs="Arial"/>
          <w:lang w:val="es-DO"/>
        </w:rPr>
        <w:t>Los costos administrativos no deberían superar el 10% del total del presupuesto.</w:t>
      </w:r>
      <w:r w:rsidR="004373C5" w:rsidRPr="00FF5490">
        <w:rPr>
          <w:rFonts w:eastAsia="Times New Roman" w:cs="Arial"/>
          <w:lang w:val="es-DO"/>
        </w:rPr>
        <w:t xml:space="preserve"> </w:t>
      </w:r>
      <w:r w:rsidR="00627936" w:rsidRPr="00FF5490">
        <w:rPr>
          <w:rFonts w:eastAsia="Times New Roman" w:cs="Arial"/>
          <w:lang w:val="es-DO"/>
        </w:rPr>
        <w:t>Los fondos serán desembolsados en una suma global</w:t>
      </w:r>
      <w:r w:rsidR="002B1AFA" w:rsidRPr="00FF5490">
        <w:rPr>
          <w:rFonts w:eastAsia="Times New Roman" w:cs="Arial"/>
          <w:lang w:val="es-DO"/>
        </w:rPr>
        <w:t xml:space="preserve">. </w:t>
      </w:r>
    </w:p>
    <w:p w14:paraId="2BE30505" w14:textId="77777777" w:rsidR="002B1AFA" w:rsidRPr="00FF5490" w:rsidRDefault="002B1AFA" w:rsidP="00807DDE">
      <w:pPr>
        <w:spacing w:after="0" w:line="240" w:lineRule="auto"/>
        <w:jc w:val="both"/>
        <w:rPr>
          <w:rFonts w:eastAsia="Times New Roman" w:cs="Arial"/>
          <w:sz w:val="24"/>
          <w:szCs w:val="24"/>
          <w:lang w:val="es-DO"/>
        </w:rPr>
      </w:pPr>
    </w:p>
    <w:p w14:paraId="3F445FB7" w14:textId="228F82B4" w:rsidR="00326581" w:rsidRPr="00FF5490" w:rsidRDefault="00627936" w:rsidP="00C70A05">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Estructura de gestión y recursos (personal clave</w:t>
      </w:r>
      <w:r w:rsidR="00E356B9" w:rsidRPr="00FF5490">
        <w:rPr>
          <w:rFonts w:eastAsia="Times New Roman" w:cs="Arial"/>
          <w:b/>
          <w:sz w:val="24"/>
          <w:szCs w:val="24"/>
          <w:lang w:val="es-DO"/>
        </w:rPr>
        <w:t>)</w:t>
      </w:r>
      <w:r w:rsidRPr="00FF5490">
        <w:rPr>
          <w:rFonts w:eastAsia="Times New Roman" w:cs="Arial"/>
          <w:b/>
          <w:sz w:val="24"/>
          <w:szCs w:val="24"/>
          <w:lang w:val="es-DO"/>
        </w:rPr>
        <w:t xml:space="preserve"> </w:t>
      </w:r>
    </w:p>
    <w:p w14:paraId="6DA10C03" w14:textId="77777777" w:rsidR="003A7338" w:rsidRPr="00FF5490" w:rsidRDefault="003A7338" w:rsidP="00807DDE">
      <w:pPr>
        <w:spacing w:after="0" w:line="240" w:lineRule="auto"/>
        <w:jc w:val="both"/>
        <w:rPr>
          <w:rFonts w:eastAsia="Times New Roman" w:cs="Arial"/>
          <w:lang w:val="es-DO"/>
        </w:rPr>
      </w:pPr>
    </w:p>
    <w:p w14:paraId="7C79EEBD" w14:textId="6E5E757B" w:rsidR="00276175" w:rsidRPr="00FF5490" w:rsidRDefault="00627936" w:rsidP="00807DDE">
      <w:pPr>
        <w:spacing w:after="0" w:line="240" w:lineRule="auto"/>
        <w:jc w:val="both"/>
        <w:rPr>
          <w:rFonts w:eastAsia="Times New Roman" w:cs="Arial"/>
          <w:lang w:val="es-DO"/>
        </w:rPr>
      </w:pPr>
      <w:r w:rsidRPr="00FF5490">
        <w:rPr>
          <w:rFonts w:eastAsia="Times New Roman" w:cs="Arial"/>
          <w:lang w:val="es-DO"/>
        </w:rPr>
        <w:t>Esta sección debe incluir una descripción completa de la estructura de gestión e información sobre el personal clave (incluid</w:t>
      </w:r>
      <w:r w:rsidR="00195962" w:rsidRPr="00FF5490">
        <w:rPr>
          <w:rFonts w:eastAsia="Times New Roman" w:cs="Arial"/>
          <w:lang w:val="es-DO"/>
        </w:rPr>
        <w:t>a</w:t>
      </w:r>
      <w:r w:rsidRPr="00FF5490">
        <w:rPr>
          <w:rFonts w:eastAsia="Times New Roman" w:cs="Arial"/>
          <w:lang w:val="es-DO"/>
        </w:rPr>
        <w:t xml:space="preserve"> </w:t>
      </w:r>
      <w:r w:rsidR="00195962" w:rsidRPr="00FF5490">
        <w:rPr>
          <w:rFonts w:eastAsia="Times New Roman" w:cs="Arial"/>
          <w:lang w:val="es-DO"/>
        </w:rPr>
        <w:t>la</w:t>
      </w:r>
      <w:r w:rsidR="00C61DA1" w:rsidRPr="00FF5490">
        <w:rPr>
          <w:rFonts w:eastAsia="Times New Roman" w:cs="Arial"/>
          <w:lang w:val="es-DO"/>
        </w:rPr>
        <w:t>s</w:t>
      </w:r>
      <w:r w:rsidR="00195962" w:rsidRPr="00FF5490">
        <w:rPr>
          <w:rFonts w:eastAsia="Times New Roman" w:cs="Arial"/>
          <w:lang w:val="es-DO"/>
        </w:rPr>
        <w:t xml:space="preserve"> hoja</w:t>
      </w:r>
      <w:r w:rsidR="00C61DA1" w:rsidRPr="00FF5490">
        <w:rPr>
          <w:rFonts w:eastAsia="Times New Roman" w:cs="Arial"/>
          <w:lang w:val="es-DO"/>
        </w:rPr>
        <w:t>s</w:t>
      </w:r>
      <w:r w:rsidR="00195962" w:rsidRPr="00FF5490">
        <w:rPr>
          <w:rFonts w:eastAsia="Times New Roman" w:cs="Arial"/>
          <w:lang w:val="es-DO"/>
        </w:rPr>
        <w:t xml:space="preserve"> de vida</w:t>
      </w:r>
      <w:r w:rsidRPr="00FF5490">
        <w:rPr>
          <w:rFonts w:eastAsia="Times New Roman" w:cs="Arial"/>
          <w:lang w:val="es-DO"/>
        </w:rPr>
        <w:t xml:space="preserve">) que se asignará para respaldar la implementación de la metodología propuesta, definiendo claramente las funciones y responsabilidades con respecto a la propuesta </w:t>
      </w:r>
      <w:r w:rsidR="00195962" w:rsidRPr="00FF5490">
        <w:rPr>
          <w:rFonts w:eastAsia="Times New Roman" w:cs="Arial"/>
          <w:lang w:val="es-DO"/>
        </w:rPr>
        <w:t>metodológica</w:t>
      </w:r>
      <w:r w:rsidRPr="00FF5490">
        <w:rPr>
          <w:rFonts w:eastAsia="Times New Roman" w:cs="Arial"/>
          <w:lang w:val="es-DO"/>
        </w:rPr>
        <w:t>. L</w:t>
      </w:r>
      <w:r w:rsidR="00195962" w:rsidRPr="00FF5490">
        <w:rPr>
          <w:rFonts w:eastAsia="Times New Roman" w:cs="Arial"/>
          <w:lang w:val="es-DO"/>
        </w:rPr>
        <w:t>a</w:t>
      </w:r>
      <w:r w:rsidRPr="00FF5490">
        <w:rPr>
          <w:rFonts w:eastAsia="Times New Roman" w:cs="Arial"/>
          <w:lang w:val="es-DO"/>
        </w:rPr>
        <w:t xml:space="preserve">s </w:t>
      </w:r>
      <w:r w:rsidR="00195962" w:rsidRPr="00FF5490">
        <w:rPr>
          <w:rFonts w:eastAsia="Times New Roman" w:cs="Arial"/>
          <w:lang w:val="es-DO"/>
        </w:rPr>
        <w:t>hojas de vida</w:t>
      </w:r>
      <w:r w:rsidRPr="00FF5490">
        <w:rPr>
          <w:rFonts w:eastAsia="Times New Roman" w:cs="Arial"/>
          <w:lang w:val="es-DO"/>
        </w:rPr>
        <w:t xml:space="preserve"> deben establecer competencia y demostrar calificaciones en áreas relevantes para la propuesta de proyecto.</w:t>
      </w:r>
    </w:p>
    <w:p w14:paraId="1261F284" w14:textId="77777777" w:rsidR="00627936" w:rsidRPr="00FF5490" w:rsidRDefault="00627936" w:rsidP="00807DDE">
      <w:pPr>
        <w:spacing w:after="0" w:line="240" w:lineRule="auto"/>
        <w:jc w:val="both"/>
        <w:rPr>
          <w:rFonts w:eastAsia="Times New Roman" w:cs="Arial"/>
          <w:sz w:val="24"/>
          <w:szCs w:val="24"/>
          <w:lang w:val="es-DO"/>
        </w:rPr>
      </w:pPr>
    </w:p>
    <w:p w14:paraId="6CC8D346" w14:textId="131410B7" w:rsidR="00E26935" w:rsidRPr="00FF5490" w:rsidRDefault="00627936" w:rsidP="00C70A05">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 xml:space="preserve">Criterios de Evaluación y Metodología </w:t>
      </w:r>
    </w:p>
    <w:p w14:paraId="34259039" w14:textId="77777777" w:rsidR="003A7338" w:rsidRPr="00FF5490" w:rsidRDefault="003A7338" w:rsidP="00807DDE">
      <w:pPr>
        <w:spacing w:after="0" w:line="240" w:lineRule="auto"/>
        <w:jc w:val="both"/>
        <w:rPr>
          <w:rFonts w:eastAsia="Times New Roman" w:cs="Arial"/>
          <w:lang w:val="es-DO"/>
        </w:rPr>
      </w:pPr>
    </w:p>
    <w:p w14:paraId="6F5E2621" w14:textId="796DF870" w:rsidR="00E26935" w:rsidRPr="00FF5490" w:rsidRDefault="00627936" w:rsidP="00807DDE">
      <w:pPr>
        <w:spacing w:after="0" w:line="240" w:lineRule="auto"/>
        <w:jc w:val="both"/>
        <w:rPr>
          <w:rFonts w:eastAsia="Times New Roman" w:cs="Arial"/>
          <w:lang w:val="es-DO"/>
        </w:rPr>
      </w:pPr>
      <w:r w:rsidRPr="00FF5490">
        <w:rPr>
          <w:rFonts w:eastAsia="Times New Roman" w:cs="Arial"/>
          <w:lang w:val="es-DO"/>
        </w:rPr>
        <w:t>Las aplicaciones serán evaluadas por un comité basado en los siguientes criterios</w:t>
      </w:r>
      <w:r w:rsidR="00E356B9" w:rsidRPr="00FF5490">
        <w:rPr>
          <w:rFonts w:eastAsia="Times New Roman" w:cs="Arial"/>
          <w:lang w:val="es-DO"/>
        </w:rPr>
        <w:t>:</w:t>
      </w:r>
    </w:p>
    <w:p w14:paraId="7D42DD98" w14:textId="77777777" w:rsidR="003A7338" w:rsidRPr="00FF5490" w:rsidRDefault="003A7338" w:rsidP="00807DDE">
      <w:pPr>
        <w:spacing w:after="0" w:line="240" w:lineRule="auto"/>
        <w:jc w:val="both"/>
        <w:rPr>
          <w:rFonts w:eastAsia="Times New Roman" w:cs="Arial"/>
          <w:lang w:val="es-DO"/>
        </w:rPr>
      </w:pPr>
    </w:p>
    <w:p w14:paraId="02CD3443" w14:textId="647EE66F" w:rsidR="00C61DA1" w:rsidRPr="00FF5490" w:rsidRDefault="00C61DA1" w:rsidP="00C61DA1">
      <w:pPr>
        <w:pStyle w:val="ListParagraph"/>
        <w:numPr>
          <w:ilvl w:val="1"/>
          <w:numId w:val="2"/>
        </w:numPr>
        <w:jc w:val="both"/>
        <w:rPr>
          <w:rFonts w:eastAsia="Times New Roman" w:cs="Arial"/>
          <w:u w:val="single"/>
          <w:lang w:val="es-DO"/>
        </w:rPr>
      </w:pPr>
      <w:r w:rsidRPr="00FF5490">
        <w:rPr>
          <w:rFonts w:eastAsia="Times New Roman" w:cs="Arial"/>
          <w:u w:val="single"/>
          <w:lang w:val="es-DO"/>
        </w:rPr>
        <w:t>Coherencia con los objetivos de la subvención:</w:t>
      </w:r>
      <w:r w:rsidRPr="00FF5490">
        <w:rPr>
          <w:rFonts w:eastAsia="Times New Roman" w:cs="Arial"/>
          <w:lang w:val="es-DO"/>
        </w:rPr>
        <w:t xml:space="preserve"> la propuesta debe demostrar la comprensión de las tareas a realizar, el conocimiento de las poblaciones LGBTI y la experiencia en abordar cuestiones relacionadas con la orientación sexual, la identidad de género y / o el </w:t>
      </w:r>
      <w:r w:rsidR="00982FE3">
        <w:rPr>
          <w:rFonts w:eastAsia="Times New Roman" w:cs="Arial"/>
          <w:lang w:val="es-DO"/>
        </w:rPr>
        <w:t xml:space="preserve">estatus </w:t>
      </w:r>
      <w:r w:rsidRPr="00FF5490">
        <w:rPr>
          <w:rFonts w:eastAsia="Times New Roman" w:cs="Arial"/>
          <w:lang w:val="es-DO"/>
        </w:rPr>
        <w:t>intersexual.</w:t>
      </w:r>
    </w:p>
    <w:p w14:paraId="155A9E5F" w14:textId="59743255" w:rsidR="00C61DA1" w:rsidRPr="00FF5490" w:rsidRDefault="00C61DA1" w:rsidP="00C61DA1">
      <w:pPr>
        <w:pStyle w:val="ListParagraph"/>
        <w:numPr>
          <w:ilvl w:val="1"/>
          <w:numId w:val="2"/>
        </w:numPr>
        <w:jc w:val="both"/>
        <w:rPr>
          <w:rFonts w:eastAsia="Times New Roman" w:cs="Arial"/>
          <w:u w:val="single"/>
          <w:lang w:val="es-DO"/>
        </w:rPr>
      </w:pPr>
      <w:r w:rsidRPr="00FF5490">
        <w:rPr>
          <w:rFonts w:eastAsia="Times New Roman" w:cs="Arial"/>
          <w:u w:val="single"/>
          <w:lang w:val="es-DO"/>
        </w:rPr>
        <w:t>Capacidad de la organización:</w:t>
      </w:r>
      <w:r w:rsidRPr="00FF5490">
        <w:rPr>
          <w:rFonts w:eastAsia="Times New Roman" w:cs="Arial"/>
          <w:lang w:val="es-DO"/>
        </w:rPr>
        <w:t xml:space="preserve"> las OSC / ONG / OBC deben demostrar la capacidad de gestionar eficazmente los fondos de subvención, así como la capacidad institucional necesaria para la implementación del proyecto. Adjunte acuerdos de subvención relevantes o evaluaciones de proyectos anteriores implementados por la organización.</w:t>
      </w:r>
    </w:p>
    <w:p w14:paraId="507A668C" w14:textId="28062831" w:rsidR="00C61DA1" w:rsidRPr="00FF5490" w:rsidRDefault="00C61DA1" w:rsidP="00C61DA1">
      <w:pPr>
        <w:pStyle w:val="ListParagraph"/>
        <w:numPr>
          <w:ilvl w:val="1"/>
          <w:numId w:val="2"/>
        </w:numPr>
        <w:jc w:val="both"/>
        <w:rPr>
          <w:rFonts w:eastAsia="Times New Roman" w:cs="Arial"/>
          <w:u w:val="single"/>
          <w:lang w:val="es-DO"/>
        </w:rPr>
      </w:pPr>
      <w:r w:rsidRPr="00FF5490">
        <w:rPr>
          <w:rFonts w:eastAsia="Times New Roman" w:cs="Arial"/>
          <w:u w:val="single"/>
          <w:lang w:val="es-DO"/>
        </w:rPr>
        <w:t>Propuesta técnica sólida:</w:t>
      </w:r>
      <w:r w:rsidRPr="00FF5490">
        <w:rPr>
          <w:rFonts w:eastAsia="Times New Roman" w:cs="Arial"/>
          <w:lang w:val="es-DO"/>
        </w:rPr>
        <w:t xml:space="preserve"> la propuesta debe definir claramente su estrategia de implementación detallando un plan de proyecto paso a paso y un presupuesto detallado, grupos objetivo y plazos claros para la duración de la actividad.</w:t>
      </w:r>
    </w:p>
    <w:p w14:paraId="1698596F" w14:textId="2D3CA603" w:rsidR="00E356B9" w:rsidRPr="00FF5490" w:rsidRDefault="00C61DA1" w:rsidP="00C61DA1">
      <w:pPr>
        <w:pStyle w:val="ListParagraph"/>
        <w:numPr>
          <w:ilvl w:val="1"/>
          <w:numId w:val="2"/>
        </w:numPr>
        <w:jc w:val="both"/>
        <w:rPr>
          <w:sz w:val="24"/>
          <w:szCs w:val="24"/>
          <w:lang w:val="es-DO"/>
        </w:rPr>
      </w:pPr>
      <w:r w:rsidRPr="00FF5490">
        <w:rPr>
          <w:rFonts w:eastAsia="Times New Roman" w:cs="Arial"/>
          <w:u w:val="single"/>
          <w:lang w:val="es-DO"/>
        </w:rPr>
        <w:t xml:space="preserve">Experiencia y </w:t>
      </w:r>
      <w:r w:rsidR="00BF19C2" w:rsidRPr="00FF5490">
        <w:rPr>
          <w:rFonts w:eastAsia="Times New Roman" w:cs="Arial"/>
          <w:u w:val="single"/>
          <w:lang w:val="es-DO"/>
        </w:rPr>
        <w:t>experticia</w:t>
      </w:r>
      <w:r w:rsidRPr="00FF5490">
        <w:rPr>
          <w:rFonts w:eastAsia="Times New Roman" w:cs="Arial"/>
          <w:u w:val="single"/>
          <w:lang w:val="es-DO"/>
        </w:rPr>
        <w:t>:</w:t>
      </w:r>
      <w:r w:rsidRPr="00FF5490">
        <w:rPr>
          <w:rFonts w:eastAsia="Times New Roman" w:cs="Arial"/>
          <w:lang w:val="es-DO"/>
        </w:rPr>
        <w:t xml:space="preserve"> Las OSC / ONG / OBC deben demostrar que el personal de la organización tiene experiencia previa en campos relacionados, habilidades y capacitación necesarias para implementar las actividades.</w:t>
      </w:r>
    </w:p>
    <w:p w14:paraId="61E39B69" w14:textId="77777777" w:rsidR="00C61DA1" w:rsidRPr="00FF5490" w:rsidRDefault="00C61DA1" w:rsidP="00C61DA1">
      <w:pPr>
        <w:pStyle w:val="ListParagraph"/>
        <w:ind w:left="1440"/>
        <w:jc w:val="both"/>
        <w:rPr>
          <w:sz w:val="24"/>
          <w:szCs w:val="24"/>
          <w:lang w:val="es-DO"/>
        </w:rPr>
      </w:pPr>
    </w:p>
    <w:p w14:paraId="6A3FBF18" w14:textId="31B42CF5" w:rsidR="001C6295" w:rsidRPr="00FF5490" w:rsidRDefault="00FF5490" w:rsidP="00FF5490">
      <w:pPr>
        <w:pStyle w:val="ListParagraph"/>
        <w:numPr>
          <w:ilvl w:val="0"/>
          <w:numId w:val="2"/>
        </w:numPr>
        <w:spacing w:after="0" w:line="240" w:lineRule="auto"/>
        <w:jc w:val="both"/>
        <w:rPr>
          <w:rFonts w:eastAsia="Times New Roman" w:cs="Arial"/>
          <w:b/>
          <w:sz w:val="24"/>
          <w:szCs w:val="24"/>
          <w:lang w:val="es-DO"/>
        </w:rPr>
      </w:pPr>
      <w:r w:rsidRPr="00FF5490">
        <w:rPr>
          <w:rFonts w:eastAsia="Times New Roman" w:cs="Arial"/>
          <w:b/>
          <w:sz w:val="24"/>
          <w:szCs w:val="24"/>
          <w:lang w:val="es-DO"/>
        </w:rPr>
        <w:t>Presentación del paquete de solicitud</w:t>
      </w:r>
    </w:p>
    <w:p w14:paraId="0DDD2059" w14:textId="77777777" w:rsidR="00FF5490" w:rsidRPr="00FF5490" w:rsidRDefault="00FF5490" w:rsidP="00FF5490">
      <w:pPr>
        <w:spacing w:after="0" w:line="240" w:lineRule="auto"/>
        <w:rPr>
          <w:sz w:val="24"/>
          <w:szCs w:val="24"/>
          <w:lang w:val="es-DO"/>
        </w:rPr>
      </w:pPr>
    </w:p>
    <w:p w14:paraId="43E4F415" w14:textId="5C857719" w:rsidR="00B070A8" w:rsidRPr="00FF5490" w:rsidRDefault="00FF5490" w:rsidP="00387EEA">
      <w:pPr>
        <w:spacing w:after="0" w:line="240" w:lineRule="auto"/>
        <w:jc w:val="both"/>
        <w:rPr>
          <w:sz w:val="24"/>
          <w:szCs w:val="24"/>
          <w:lang w:val="es-DO"/>
        </w:rPr>
      </w:pPr>
      <w:r w:rsidRPr="00FF5490">
        <w:rPr>
          <w:sz w:val="24"/>
          <w:szCs w:val="24"/>
          <w:lang w:val="es-DO"/>
        </w:rPr>
        <w:t xml:space="preserve">La propuesta y los documentos de respaldo deben enviarse por correo electrónico a </w:t>
      </w:r>
      <w:hyperlink r:id="rId14" w:history="1">
        <w:r w:rsidRPr="00A14EB1">
          <w:rPr>
            <w:rStyle w:val="Hyperlink"/>
            <w:sz w:val="24"/>
            <w:szCs w:val="24"/>
            <w:lang w:val="es-DO"/>
          </w:rPr>
          <w:t>cristhian.jimenez@undp.org</w:t>
        </w:r>
      </w:hyperlink>
      <w:r w:rsidRPr="00FF5490">
        <w:rPr>
          <w:sz w:val="24"/>
          <w:szCs w:val="24"/>
          <w:lang w:val="es-DO"/>
        </w:rPr>
        <w:t xml:space="preserve">. Las preguntas sobre esta convocatoria de propuestas también deben dirigirse a </w:t>
      </w:r>
      <w:hyperlink r:id="rId15" w:history="1">
        <w:r w:rsidRPr="00A14EB1">
          <w:rPr>
            <w:rStyle w:val="Hyperlink"/>
            <w:sz w:val="24"/>
            <w:szCs w:val="24"/>
            <w:lang w:val="es-DO"/>
          </w:rPr>
          <w:t>cristhian.jimenez@undp.org</w:t>
        </w:r>
      </w:hyperlink>
      <w:r w:rsidR="00ED1C4B">
        <w:rPr>
          <w:rStyle w:val="Hyperlink"/>
          <w:sz w:val="24"/>
          <w:szCs w:val="24"/>
          <w:lang w:val="es-DO"/>
        </w:rPr>
        <w:t>.</w:t>
      </w:r>
      <w:r>
        <w:rPr>
          <w:sz w:val="24"/>
          <w:szCs w:val="24"/>
          <w:lang w:val="es-DO"/>
        </w:rPr>
        <w:t xml:space="preserve"> </w:t>
      </w:r>
    </w:p>
    <w:p w14:paraId="13DB02F3" w14:textId="77777777" w:rsidR="00FF5490" w:rsidRPr="00FF5490" w:rsidRDefault="00FF5490" w:rsidP="00B070A8">
      <w:pPr>
        <w:spacing w:after="0" w:line="240" w:lineRule="auto"/>
        <w:jc w:val="center"/>
        <w:rPr>
          <w:b/>
          <w:bCs/>
          <w:sz w:val="24"/>
          <w:szCs w:val="24"/>
          <w:lang w:val="es-DO"/>
        </w:rPr>
      </w:pPr>
    </w:p>
    <w:p w14:paraId="275BA1A0" w14:textId="329B6595" w:rsidR="008A2FF3" w:rsidRPr="00FF5490" w:rsidRDefault="008A2FF3" w:rsidP="00B070A8">
      <w:pPr>
        <w:spacing w:after="0" w:line="240" w:lineRule="auto"/>
        <w:jc w:val="center"/>
        <w:rPr>
          <w:b/>
          <w:bCs/>
          <w:sz w:val="24"/>
          <w:szCs w:val="24"/>
          <w:lang w:val="es-DO"/>
        </w:rPr>
      </w:pPr>
      <w:r w:rsidRPr="00FF5490">
        <w:rPr>
          <w:b/>
          <w:bCs/>
          <w:sz w:val="24"/>
          <w:szCs w:val="24"/>
          <w:lang w:val="es-DO"/>
        </w:rPr>
        <w:t>Asunto: Propuesta subvención Proyecto Ser LGBTI en El Caribe</w:t>
      </w:r>
    </w:p>
    <w:p w14:paraId="5D7BFAA1" w14:textId="11169F5F" w:rsidR="008A2FF3" w:rsidRPr="00FF5490" w:rsidRDefault="00C70A05" w:rsidP="008A2FF3">
      <w:pPr>
        <w:spacing w:after="0" w:line="240" w:lineRule="auto"/>
        <w:jc w:val="center"/>
        <w:rPr>
          <w:b/>
          <w:sz w:val="24"/>
          <w:szCs w:val="24"/>
          <w:lang w:val="es-DO"/>
        </w:rPr>
      </w:pPr>
      <w:r w:rsidRPr="00FF5490">
        <w:rPr>
          <w:b/>
          <w:sz w:val="24"/>
          <w:szCs w:val="24"/>
          <w:lang w:val="es-DO"/>
        </w:rPr>
        <w:t>Atención a</w:t>
      </w:r>
      <w:r w:rsidR="00CA743D" w:rsidRPr="00FF5490">
        <w:rPr>
          <w:b/>
          <w:sz w:val="24"/>
          <w:szCs w:val="24"/>
          <w:lang w:val="es-DO"/>
        </w:rPr>
        <w:t xml:space="preserve">: </w:t>
      </w:r>
      <w:r w:rsidR="001E2539" w:rsidRPr="00FF5490">
        <w:rPr>
          <w:b/>
          <w:sz w:val="24"/>
          <w:szCs w:val="24"/>
          <w:lang w:val="es-DO"/>
        </w:rPr>
        <w:t>Cristhian Manuel Jiménez</w:t>
      </w:r>
      <w:r w:rsidR="008A2FF3" w:rsidRPr="00FF5490">
        <w:rPr>
          <w:b/>
          <w:sz w:val="24"/>
          <w:szCs w:val="24"/>
          <w:lang w:val="es-DO"/>
        </w:rPr>
        <w:t xml:space="preserve">, Asistente Técnico, PNUD República Dominicana </w:t>
      </w:r>
    </w:p>
    <w:p w14:paraId="17D1BD22" w14:textId="61A7D713" w:rsidR="00CA743D" w:rsidRPr="00FF5490" w:rsidRDefault="00CA743D" w:rsidP="00B070A8">
      <w:pPr>
        <w:spacing w:after="0" w:line="240" w:lineRule="auto"/>
        <w:jc w:val="center"/>
        <w:rPr>
          <w:b/>
          <w:sz w:val="24"/>
          <w:szCs w:val="24"/>
          <w:lang w:val="es-DO"/>
        </w:rPr>
      </w:pPr>
    </w:p>
    <w:p w14:paraId="5264A3D2" w14:textId="7C2726BA" w:rsidR="00DA1EB6" w:rsidRDefault="00CA743D" w:rsidP="00807DDE">
      <w:pPr>
        <w:jc w:val="both"/>
        <w:rPr>
          <w:sz w:val="24"/>
          <w:szCs w:val="24"/>
          <w:lang w:val="es-DO"/>
        </w:rPr>
      </w:pPr>
      <w:r w:rsidRPr="00FF5490">
        <w:rPr>
          <w:b/>
          <w:sz w:val="24"/>
          <w:szCs w:val="24"/>
          <w:lang w:val="es-DO"/>
        </w:rPr>
        <w:t xml:space="preserve"> </w:t>
      </w:r>
      <w:r w:rsidRPr="00FF5490">
        <w:rPr>
          <w:sz w:val="24"/>
          <w:szCs w:val="24"/>
          <w:lang w:val="es-DO"/>
        </w:rPr>
        <w:t xml:space="preserve"> </w:t>
      </w:r>
      <w:r w:rsidR="006265AA" w:rsidRPr="006265AA">
        <w:rPr>
          <w:b/>
          <w:sz w:val="24"/>
          <w:szCs w:val="24"/>
          <w:u w:val="single"/>
          <w:lang w:val="es-DO"/>
        </w:rPr>
        <w:t>Plazo de presentación de</w:t>
      </w:r>
      <w:r w:rsidR="006265AA">
        <w:rPr>
          <w:b/>
          <w:sz w:val="24"/>
          <w:szCs w:val="24"/>
          <w:u w:val="single"/>
          <w:lang w:val="es-DO"/>
        </w:rPr>
        <w:t xml:space="preserve"> las propuestas</w:t>
      </w:r>
      <w:r w:rsidR="006265AA" w:rsidRPr="006265AA">
        <w:rPr>
          <w:b/>
          <w:sz w:val="24"/>
          <w:szCs w:val="24"/>
          <w:u w:val="single"/>
          <w:lang w:val="es-DO"/>
        </w:rPr>
        <w:t>:</w:t>
      </w:r>
      <w:r w:rsidR="006265AA" w:rsidRPr="006265AA">
        <w:rPr>
          <w:sz w:val="24"/>
          <w:szCs w:val="24"/>
          <w:lang w:val="es-DO"/>
        </w:rPr>
        <w:t xml:space="preserve"> </w:t>
      </w:r>
      <w:r w:rsidR="006265AA">
        <w:rPr>
          <w:sz w:val="24"/>
          <w:szCs w:val="24"/>
          <w:lang w:val="es-DO"/>
        </w:rPr>
        <w:t>26</w:t>
      </w:r>
      <w:r w:rsidR="006265AA" w:rsidRPr="006265AA">
        <w:rPr>
          <w:sz w:val="24"/>
          <w:szCs w:val="24"/>
          <w:lang w:val="es-DO"/>
        </w:rPr>
        <w:t>/0</w:t>
      </w:r>
      <w:r w:rsidR="006265AA">
        <w:rPr>
          <w:sz w:val="24"/>
          <w:szCs w:val="24"/>
          <w:lang w:val="es-DO"/>
        </w:rPr>
        <w:t>8</w:t>
      </w:r>
      <w:r w:rsidR="006265AA" w:rsidRPr="006265AA">
        <w:rPr>
          <w:sz w:val="24"/>
          <w:szCs w:val="24"/>
          <w:lang w:val="es-DO"/>
        </w:rPr>
        <w:t xml:space="preserve">/2019 a las </w:t>
      </w:r>
      <w:r w:rsidR="006265AA">
        <w:rPr>
          <w:sz w:val="24"/>
          <w:szCs w:val="24"/>
          <w:lang w:val="es-DO"/>
        </w:rPr>
        <w:t>05</w:t>
      </w:r>
      <w:r w:rsidR="006265AA" w:rsidRPr="006265AA">
        <w:rPr>
          <w:sz w:val="24"/>
          <w:szCs w:val="24"/>
          <w:lang w:val="es-DO"/>
        </w:rPr>
        <w:t>:00</w:t>
      </w:r>
      <w:r w:rsidR="006265AA">
        <w:rPr>
          <w:sz w:val="24"/>
          <w:szCs w:val="24"/>
          <w:lang w:val="es-DO"/>
        </w:rPr>
        <w:t>PM</w:t>
      </w:r>
      <w:r w:rsidR="006265AA" w:rsidRPr="006265AA">
        <w:rPr>
          <w:sz w:val="24"/>
          <w:szCs w:val="24"/>
          <w:lang w:val="es-DO"/>
        </w:rPr>
        <w:t xml:space="preserve"> (fecha y hora de </w:t>
      </w:r>
      <w:r w:rsidR="006265AA">
        <w:rPr>
          <w:sz w:val="24"/>
          <w:szCs w:val="24"/>
          <w:lang w:val="es-DO"/>
        </w:rPr>
        <w:t>Santo Domingo, República Dominicana</w:t>
      </w:r>
      <w:r w:rsidR="006265AA" w:rsidRPr="006265AA">
        <w:rPr>
          <w:sz w:val="24"/>
          <w:szCs w:val="24"/>
          <w:lang w:val="es-DO"/>
        </w:rPr>
        <w:t>)</w:t>
      </w:r>
    </w:p>
    <w:p w14:paraId="0505A29D" w14:textId="77777777" w:rsidR="00387EEA" w:rsidRPr="00FF5490" w:rsidRDefault="00387EEA" w:rsidP="00807DDE">
      <w:pPr>
        <w:jc w:val="both"/>
        <w:rPr>
          <w:lang w:val="es-DO"/>
        </w:rPr>
      </w:pPr>
    </w:p>
    <w:p w14:paraId="028EA2AF" w14:textId="0029628C" w:rsidR="00267268" w:rsidRPr="008A2FF3" w:rsidRDefault="00267268" w:rsidP="00267268">
      <w:pPr>
        <w:jc w:val="right"/>
        <w:rPr>
          <w:b/>
          <w:lang w:val="es-DO"/>
        </w:rPr>
      </w:pPr>
      <w:r w:rsidRPr="008A2FF3">
        <w:rPr>
          <w:b/>
          <w:lang w:val="es-DO"/>
        </w:rPr>
        <w:lastRenderedPageBreak/>
        <w:t>Anex</w:t>
      </w:r>
      <w:r w:rsidR="008A2FF3" w:rsidRPr="008A2FF3">
        <w:rPr>
          <w:b/>
          <w:lang w:val="es-DO"/>
        </w:rPr>
        <w:t>o</w:t>
      </w:r>
      <w:r w:rsidRPr="008A2FF3">
        <w:rPr>
          <w:b/>
          <w:lang w:val="es-DO"/>
        </w:rPr>
        <w:t xml:space="preserve"> 1</w:t>
      </w:r>
    </w:p>
    <w:p w14:paraId="3503B272" w14:textId="56B1388B" w:rsidR="00267268" w:rsidRPr="008A2FF3" w:rsidRDefault="008A2FF3" w:rsidP="00267268">
      <w:pPr>
        <w:jc w:val="center"/>
        <w:rPr>
          <w:b/>
          <w:sz w:val="28"/>
          <w:szCs w:val="28"/>
          <w:lang w:val="es-DO"/>
        </w:rPr>
      </w:pPr>
      <w:r w:rsidRPr="008A2FF3">
        <w:rPr>
          <w:b/>
          <w:sz w:val="28"/>
          <w:szCs w:val="28"/>
          <w:lang w:val="es-DO"/>
        </w:rPr>
        <w:t>Evaluación de Expresión de Interés</w:t>
      </w:r>
    </w:p>
    <w:tbl>
      <w:tblPr>
        <w:tblStyle w:val="TableGrid"/>
        <w:tblpPr w:leftFromText="180" w:rightFromText="180" w:vertAnchor="page" w:horzAnchor="margin" w:tblpY="2601"/>
        <w:tblW w:w="9985" w:type="dxa"/>
        <w:tblLayout w:type="fixed"/>
        <w:tblLook w:val="04A0" w:firstRow="1" w:lastRow="0" w:firstColumn="1" w:lastColumn="0" w:noHBand="0" w:noVBand="1"/>
      </w:tblPr>
      <w:tblGrid>
        <w:gridCol w:w="496"/>
        <w:gridCol w:w="4809"/>
        <w:gridCol w:w="1440"/>
        <w:gridCol w:w="540"/>
        <w:gridCol w:w="540"/>
        <w:gridCol w:w="720"/>
        <w:gridCol w:w="720"/>
        <w:gridCol w:w="720"/>
      </w:tblGrid>
      <w:tr w:rsidR="00627936" w14:paraId="466DEA1E" w14:textId="77777777" w:rsidTr="00627936">
        <w:trPr>
          <w:trHeight w:val="50"/>
        </w:trPr>
        <w:tc>
          <w:tcPr>
            <w:tcW w:w="496" w:type="dxa"/>
          </w:tcPr>
          <w:p w14:paraId="3A5531CC" w14:textId="77777777" w:rsidR="00627936" w:rsidRPr="008A2FF3" w:rsidRDefault="00627936" w:rsidP="00627936">
            <w:pPr>
              <w:rPr>
                <w:lang w:val="es-DO"/>
              </w:rPr>
            </w:pPr>
          </w:p>
        </w:tc>
        <w:tc>
          <w:tcPr>
            <w:tcW w:w="4809" w:type="dxa"/>
          </w:tcPr>
          <w:p w14:paraId="716430C7" w14:textId="77777777" w:rsidR="00627936" w:rsidRPr="008A2FF3" w:rsidRDefault="00627936" w:rsidP="00627936">
            <w:pPr>
              <w:rPr>
                <w:lang w:val="es-DO"/>
              </w:rPr>
            </w:pPr>
          </w:p>
        </w:tc>
        <w:tc>
          <w:tcPr>
            <w:tcW w:w="1440" w:type="dxa"/>
          </w:tcPr>
          <w:p w14:paraId="2BB0420C" w14:textId="202A4961" w:rsidR="00627936" w:rsidRPr="00FA30E8" w:rsidRDefault="00C37596" w:rsidP="00627936">
            <w:pPr>
              <w:jc w:val="center"/>
              <w:rPr>
                <w:b/>
              </w:rPr>
            </w:pPr>
            <w:r w:rsidRPr="00C37596">
              <w:rPr>
                <w:b/>
              </w:rPr>
              <w:t>Puntaje Obtenible</w:t>
            </w:r>
          </w:p>
        </w:tc>
        <w:tc>
          <w:tcPr>
            <w:tcW w:w="3240" w:type="dxa"/>
            <w:gridSpan w:val="5"/>
          </w:tcPr>
          <w:p w14:paraId="23E294A9" w14:textId="5A996A76" w:rsidR="00627936" w:rsidRPr="00FA30E8" w:rsidRDefault="00C37596" w:rsidP="00627936">
            <w:pPr>
              <w:jc w:val="center"/>
              <w:rPr>
                <w:b/>
              </w:rPr>
            </w:pPr>
            <w:r w:rsidRPr="00C37596">
              <w:rPr>
                <w:b/>
              </w:rPr>
              <w:t>Solicitante</w:t>
            </w:r>
          </w:p>
        </w:tc>
      </w:tr>
      <w:tr w:rsidR="00627936" w14:paraId="2B0ADBC0" w14:textId="77777777" w:rsidTr="00627936">
        <w:tc>
          <w:tcPr>
            <w:tcW w:w="496" w:type="dxa"/>
            <w:shd w:val="clear" w:color="auto" w:fill="D9D9D9" w:themeFill="background1" w:themeFillShade="D9"/>
          </w:tcPr>
          <w:p w14:paraId="01BB48C2" w14:textId="77777777" w:rsidR="00627936" w:rsidRPr="003303AC" w:rsidRDefault="00627936" w:rsidP="00627936">
            <w:pPr>
              <w:rPr>
                <w:b/>
              </w:rPr>
            </w:pPr>
            <w:r w:rsidRPr="003303AC">
              <w:rPr>
                <w:b/>
              </w:rPr>
              <w:t>1</w:t>
            </w:r>
          </w:p>
        </w:tc>
        <w:tc>
          <w:tcPr>
            <w:tcW w:w="4809" w:type="dxa"/>
            <w:shd w:val="clear" w:color="auto" w:fill="D9D9D9" w:themeFill="background1" w:themeFillShade="D9"/>
          </w:tcPr>
          <w:p w14:paraId="08E2F560" w14:textId="1C0DD54F" w:rsidR="00627936" w:rsidRPr="00C37596" w:rsidRDefault="00C37596" w:rsidP="00627936">
            <w:pPr>
              <w:jc w:val="center"/>
              <w:rPr>
                <w:b/>
                <w:lang w:val="es-DO"/>
              </w:rPr>
            </w:pPr>
            <w:r w:rsidRPr="00C37596">
              <w:rPr>
                <w:b/>
                <w:lang w:val="es-DO"/>
              </w:rPr>
              <w:t>Coherencia con los objetivos de la subvención.</w:t>
            </w:r>
          </w:p>
        </w:tc>
        <w:tc>
          <w:tcPr>
            <w:tcW w:w="1440" w:type="dxa"/>
            <w:shd w:val="clear" w:color="auto" w:fill="D9D9D9" w:themeFill="background1" w:themeFillShade="D9"/>
          </w:tcPr>
          <w:p w14:paraId="05EC0E84" w14:textId="77777777" w:rsidR="00627936" w:rsidRPr="00FA30E8" w:rsidRDefault="00627936" w:rsidP="00627936">
            <w:pPr>
              <w:jc w:val="center"/>
              <w:rPr>
                <w:b/>
              </w:rPr>
            </w:pPr>
            <w:r w:rsidRPr="00FA30E8">
              <w:rPr>
                <w:b/>
              </w:rPr>
              <w:t>30</w:t>
            </w:r>
          </w:p>
        </w:tc>
        <w:tc>
          <w:tcPr>
            <w:tcW w:w="540" w:type="dxa"/>
            <w:shd w:val="clear" w:color="auto" w:fill="D9D9D9" w:themeFill="background1" w:themeFillShade="D9"/>
          </w:tcPr>
          <w:p w14:paraId="4BF58F9F" w14:textId="77777777" w:rsidR="00627936" w:rsidRPr="00FA30E8" w:rsidRDefault="00627936" w:rsidP="00627936">
            <w:pPr>
              <w:jc w:val="center"/>
              <w:rPr>
                <w:b/>
              </w:rPr>
            </w:pPr>
            <w:r w:rsidRPr="00FA30E8">
              <w:rPr>
                <w:b/>
              </w:rPr>
              <w:t>A</w:t>
            </w:r>
          </w:p>
        </w:tc>
        <w:tc>
          <w:tcPr>
            <w:tcW w:w="540" w:type="dxa"/>
            <w:shd w:val="clear" w:color="auto" w:fill="D9D9D9" w:themeFill="background1" w:themeFillShade="D9"/>
          </w:tcPr>
          <w:p w14:paraId="2693A1C1" w14:textId="77777777" w:rsidR="00627936" w:rsidRPr="00FA30E8" w:rsidRDefault="00627936" w:rsidP="00627936">
            <w:pPr>
              <w:jc w:val="center"/>
              <w:rPr>
                <w:b/>
              </w:rPr>
            </w:pPr>
            <w:r w:rsidRPr="00FA30E8">
              <w:rPr>
                <w:b/>
              </w:rPr>
              <w:t>B</w:t>
            </w:r>
          </w:p>
        </w:tc>
        <w:tc>
          <w:tcPr>
            <w:tcW w:w="720" w:type="dxa"/>
            <w:shd w:val="clear" w:color="auto" w:fill="D9D9D9" w:themeFill="background1" w:themeFillShade="D9"/>
          </w:tcPr>
          <w:p w14:paraId="08B137A4" w14:textId="77777777" w:rsidR="00627936" w:rsidRPr="00FA30E8" w:rsidRDefault="00627936" w:rsidP="00627936">
            <w:pPr>
              <w:jc w:val="center"/>
              <w:rPr>
                <w:b/>
              </w:rPr>
            </w:pPr>
            <w:r w:rsidRPr="00FA30E8">
              <w:rPr>
                <w:b/>
              </w:rPr>
              <w:t>C</w:t>
            </w:r>
          </w:p>
        </w:tc>
        <w:tc>
          <w:tcPr>
            <w:tcW w:w="720" w:type="dxa"/>
            <w:shd w:val="clear" w:color="auto" w:fill="D9D9D9" w:themeFill="background1" w:themeFillShade="D9"/>
          </w:tcPr>
          <w:p w14:paraId="11B04FD8" w14:textId="77777777" w:rsidR="00627936" w:rsidRPr="00FA30E8" w:rsidRDefault="00627936" w:rsidP="00627936">
            <w:pPr>
              <w:jc w:val="center"/>
              <w:rPr>
                <w:b/>
              </w:rPr>
            </w:pPr>
            <w:r w:rsidRPr="00FA30E8">
              <w:rPr>
                <w:b/>
              </w:rPr>
              <w:t>D</w:t>
            </w:r>
          </w:p>
        </w:tc>
        <w:tc>
          <w:tcPr>
            <w:tcW w:w="720" w:type="dxa"/>
            <w:shd w:val="clear" w:color="auto" w:fill="D9D9D9" w:themeFill="background1" w:themeFillShade="D9"/>
          </w:tcPr>
          <w:p w14:paraId="33F3CCF6" w14:textId="77777777" w:rsidR="00627936" w:rsidRPr="00FA30E8" w:rsidRDefault="00627936" w:rsidP="00627936">
            <w:pPr>
              <w:jc w:val="center"/>
              <w:rPr>
                <w:b/>
              </w:rPr>
            </w:pPr>
            <w:r w:rsidRPr="00FA30E8">
              <w:rPr>
                <w:b/>
              </w:rPr>
              <w:t>E</w:t>
            </w:r>
          </w:p>
        </w:tc>
      </w:tr>
      <w:tr w:rsidR="00627936" w14:paraId="5FBCBB7E" w14:textId="77777777" w:rsidTr="00627936">
        <w:tc>
          <w:tcPr>
            <w:tcW w:w="496" w:type="dxa"/>
          </w:tcPr>
          <w:p w14:paraId="5A9D1B2E" w14:textId="77777777" w:rsidR="00627936" w:rsidRDefault="00627936" w:rsidP="00627936">
            <w:r>
              <w:t>1.1</w:t>
            </w:r>
          </w:p>
        </w:tc>
        <w:tc>
          <w:tcPr>
            <w:tcW w:w="4809" w:type="dxa"/>
          </w:tcPr>
          <w:p w14:paraId="5828AA06" w14:textId="50515EF6" w:rsidR="00627936" w:rsidRPr="00C37596" w:rsidRDefault="00C37596" w:rsidP="00627936">
            <w:pPr>
              <w:rPr>
                <w:lang w:val="es-DO"/>
              </w:rPr>
            </w:pPr>
            <w:r w:rsidRPr="00C37596">
              <w:rPr>
                <w:lang w:val="es-DO"/>
              </w:rPr>
              <w:t>¿Responde la propuesta a las siete áreas prioritarias nacionales acordadas durante el Diálogo Nacional</w:t>
            </w:r>
            <w:r>
              <w:rPr>
                <w:lang w:val="es-DO"/>
              </w:rPr>
              <w:t xml:space="preserve"> </w:t>
            </w:r>
            <w:r w:rsidRPr="00C37596">
              <w:rPr>
                <w:lang w:val="es-DO"/>
              </w:rPr>
              <w:t>LGBTI (Salud, Empleo, Educación, Seguridad Ciudadana, Acceso a la Justicia, Legislación Inclusiva, ¿Participación Política)?</w:t>
            </w:r>
          </w:p>
        </w:tc>
        <w:tc>
          <w:tcPr>
            <w:tcW w:w="1440" w:type="dxa"/>
          </w:tcPr>
          <w:p w14:paraId="2B0F7AC1" w14:textId="77777777" w:rsidR="00627936" w:rsidRDefault="00627936" w:rsidP="00627936">
            <w:pPr>
              <w:jc w:val="center"/>
            </w:pPr>
            <w:r>
              <w:t>15</w:t>
            </w:r>
          </w:p>
        </w:tc>
        <w:tc>
          <w:tcPr>
            <w:tcW w:w="540" w:type="dxa"/>
          </w:tcPr>
          <w:p w14:paraId="0BE4F809" w14:textId="77777777" w:rsidR="00627936" w:rsidRDefault="00627936" w:rsidP="00627936">
            <w:pPr>
              <w:jc w:val="center"/>
            </w:pPr>
          </w:p>
        </w:tc>
        <w:tc>
          <w:tcPr>
            <w:tcW w:w="540" w:type="dxa"/>
          </w:tcPr>
          <w:p w14:paraId="6A0C3467" w14:textId="77777777" w:rsidR="00627936" w:rsidRDefault="00627936" w:rsidP="00627936">
            <w:pPr>
              <w:jc w:val="center"/>
            </w:pPr>
          </w:p>
        </w:tc>
        <w:tc>
          <w:tcPr>
            <w:tcW w:w="720" w:type="dxa"/>
          </w:tcPr>
          <w:p w14:paraId="71434A07" w14:textId="77777777" w:rsidR="00627936" w:rsidRDefault="00627936" w:rsidP="00627936">
            <w:pPr>
              <w:jc w:val="center"/>
            </w:pPr>
          </w:p>
        </w:tc>
        <w:tc>
          <w:tcPr>
            <w:tcW w:w="720" w:type="dxa"/>
          </w:tcPr>
          <w:p w14:paraId="3D7BDCFD" w14:textId="77777777" w:rsidR="00627936" w:rsidRDefault="00627936" w:rsidP="00627936">
            <w:pPr>
              <w:jc w:val="center"/>
            </w:pPr>
          </w:p>
        </w:tc>
        <w:tc>
          <w:tcPr>
            <w:tcW w:w="720" w:type="dxa"/>
          </w:tcPr>
          <w:p w14:paraId="53D9A5DC" w14:textId="77777777" w:rsidR="00627936" w:rsidRDefault="00627936" w:rsidP="00627936">
            <w:pPr>
              <w:jc w:val="center"/>
            </w:pPr>
          </w:p>
        </w:tc>
      </w:tr>
      <w:tr w:rsidR="00627936" w14:paraId="4645BBC7" w14:textId="77777777" w:rsidTr="00627936">
        <w:tc>
          <w:tcPr>
            <w:tcW w:w="496" w:type="dxa"/>
          </w:tcPr>
          <w:p w14:paraId="6671B10E" w14:textId="77777777" w:rsidR="00627936" w:rsidRDefault="00627936" w:rsidP="00627936">
            <w:r>
              <w:t>1.2</w:t>
            </w:r>
          </w:p>
        </w:tc>
        <w:tc>
          <w:tcPr>
            <w:tcW w:w="4809" w:type="dxa"/>
          </w:tcPr>
          <w:p w14:paraId="32A24F96" w14:textId="56C5E3EF" w:rsidR="00627936" w:rsidRPr="00C37596" w:rsidRDefault="00C37596" w:rsidP="00627936">
            <w:pPr>
              <w:rPr>
                <w:lang w:val="es-DO"/>
              </w:rPr>
            </w:pPr>
            <w:r>
              <w:rPr>
                <w:lang w:val="es-DO"/>
              </w:rPr>
              <w:t xml:space="preserve">Las </w:t>
            </w:r>
            <w:r w:rsidRPr="00C37596">
              <w:rPr>
                <w:lang w:val="es-DO"/>
              </w:rPr>
              <w:t>Intervenciones de alto impacto respo</w:t>
            </w:r>
            <w:r>
              <w:rPr>
                <w:lang w:val="es-DO"/>
              </w:rPr>
              <w:t>nden</w:t>
            </w:r>
            <w:r w:rsidRPr="00C37596">
              <w:rPr>
                <w:lang w:val="es-DO"/>
              </w:rPr>
              <w:t xml:space="preserve"> a las necesidades establecidas en la convocatoria de propuestas.</w:t>
            </w:r>
          </w:p>
        </w:tc>
        <w:tc>
          <w:tcPr>
            <w:tcW w:w="1440" w:type="dxa"/>
          </w:tcPr>
          <w:p w14:paraId="17D3FDBE" w14:textId="77777777" w:rsidR="00627936" w:rsidRDefault="00627936" w:rsidP="00627936">
            <w:pPr>
              <w:jc w:val="center"/>
            </w:pPr>
            <w:r>
              <w:t>15</w:t>
            </w:r>
          </w:p>
        </w:tc>
        <w:tc>
          <w:tcPr>
            <w:tcW w:w="540" w:type="dxa"/>
          </w:tcPr>
          <w:p w14:paraId="3ABA2A1B" w14:textId="77777777" w:rsidR="00627936" w:rsidRDefault="00627936" w:rsidP="00627936">
            <w:pPr>
              <w:jc w:val="center"/>
            </w:pPr>
          </w:p>
        </w:tc>
        <w:tc>
          <w:tcPr>
            <w:tcW w:w="540" w:type="dxa"/>
          </w:tcPr>
          <w:p w14:paraId="12EE1D9C" w14:textId="77777777" w:rsidR="00627936" w:rsidRDefault="00627936" w:rsidP="00627936">
            <w:pPr>
              <w:jc w:val="center"/>
            </w:pPr>
          </w:p>
        </w:tc>
        <w:tc>
          <w:tcPr>
            <w:tcW w:w="720" w:type="dxa"/>
          </w:tcPr>
          <w:p w14:paraId="53F2AE4E" w14:textId="77777777" w:rsidR="00627936" w:rsidRDefault="00627936" w:rsidP="00627936">
            <w:pPr>
              <w:jc w:val="center"/>
            </w:pPr>
          </w:p>
        </w:tc>
        <w:tc>
          <w:tcPr>
            <w:tcW w:w="720" w:type="dxa"/>
          </w:tcPr>
          <w:p w14:paraId="2015CEDD" w14:textId="77777777" w:rsidR="00627936" w:rsidRDefault="00627936" w:rsidP="00627936">
            <w:pPr>
              <w:jc w:val="center"/>
            </w:pPr>
          </w:p>
        </w:tc>
        <w:tc>
          <w:tcPr>
            <w:tcW w:w="720" w:type="dxa"/>
          </w:tcPr>
          <w:p w14:paraId="7FADB6AB" w14:textId="77777777" w:rsidR="00627936" w:rsidRDefault="00627936" w:rsidP="00627936">
            <w:pPr>
              <w:jc w:val="center"/>
            </w:pPr>
          </w:p>
        </w:tc>
      </w:tr>
      <w:tr w:rsidR="00627936" w14:paraId="63C41D34" w14:textId="77777777" w:rsidTr="00627936">
        <w:tc>
          <w:tcPr>
            <w:tcW w:w="496" w:type="dxa"/>
            <w:shd w:val="clear" w:color="auto" w:fill="D9D9D9" w:themeFill="background1" w:themeFillShade="D9"/>
          </w:tcPr>
          <w:p w14:paraId="7C418C4B" w14:textId="77777777" w:rsidR="00627936" w:rsidRPr="003303AC" w:rsidRDefault="00627936" w:rsidP="00627936">
            <w:pPr>
              <w:rPr>
                <w:b/>
              </w:rPr>
            </w:pPr>
            <w:r w:rsidRPr="003303AC">
              <w:rPr>
                <w:b/>
              </w:rPr>
              <w:t>2</w:t>
            </w:r>
          </w:p>
        </w:tc>
        <w:tc>
          <w:tcPr>
            <w:tcW w:w="4809" w:type="dxa"/>
            <w:shd w:val="clear" w:color="auto" w:fill="D9D9D9" w:themeFill="background1" w:themeFillShade="D9"/>
          </w:tcPr>
          <w:p w14:paraId="79B012A0" w14:textId="6A2CE959" w:rsidR="00627936" w:rsidRPr="00F31E20" w:rsidRDefault="00C37596" w:rsidP="00627936">
            <w:pPr>
              <w:jc w:val="center"/>
              <w:rPr>
                <w:b/>
              </w:rPr>
            </w:pPr>
            <w:r w:rsidRPr="00C37596">
              <w:rPr>
                <w:b/>
              </w:rPr>
              <w:t>Propuesta técnica sólida</w:t>
            </w:r>
          </w:p>
        </w:tc>
        <w:tc>
          <w:tcPr>
            <w:tcW w:w="1440" w:type="dxa"/>
            <w:shd w:val="clear" w:color="auto" w:fill="D9D9D9" w:themeFill="background1" w:themeFillShade="D9"/>
          </w:tcPr>
          <w:p w14:paraId="72C78E37" w14:textId="77777777" w:rsidR="00627936" w:rsidRPr="00FA30E8" w:rsidRDefault="00627936" w:rsidP="00627936">
            <w:pPr>
              <w:jc w:val="center"/>
              <w:rPr>
                <w:b/>
              </w:rPr>
            </w:pPr>
            <w:r>
              <w:rPr>
                <w:b/>
              </w:rPr>
              <w:t>4</w:t>
            </w:r>
            <w:r w:rsidRPr="00FA30E8">
              <w:rPr>
                <w:b/>
              </w:rPr>
              <w:t>5</w:t>
            </w:r>
          </w:p>
        </w:tc>
        <w:tc>
          <w:tcPr>
            <w:tcW w:w="540" w:type="dxa"/>
            <w:shd w:val="clear" w:color="auto" w:fill="D9D9D9" w:themeFill="background1" w:themeFillShade="D9"/>
          </w:tcPr>
          <w:p w14:paraId="6CA7CB30" w14:textId="77777777" w:rsidR="00627936" w:rsidRPr="00FA30E8" w:rsidRDefault="00627936" w:rsidP="00627936">
            <w:pPr>
              <w:jc w:val="center"/>
              <w:rPr>
                <w:b/>
              </w:rPr>
            </w:pPr>
            <w:r w:rsidRPr="00FA30E8">
              <w:rPr>
                <w:b/>
              </w:rPr>
              <w:t>A</w:t>
            </w:r>
          </w:p>
        </w:tc>
        <w:tc>
          <w:tcPr>
            <w:tcW w:w="540" w:type="dxa"/>
            <w:shd w:val="clear" w:color="auto" w:fill="D9D9D9" w:themeFill="background1" w:themeFillShade="D9"/>
          </w:tcPr>
          <w:p w14:paraId="7C2AF056" w14:textId="77777777" w:rsidR="00627936" w:rsidRPr="00FA30E8" w:rsidRDefault="00627936" w:rsidP="00627936">
            <w:pPr>
              <w:jc w:val="center"/>
              <w:rPr>
                <w:b/>
              </w:rPr>
            </w:pPr>
            <w:r w:rsidRPr="00FA30E8">
              <w:rPr>
                <w:b/>
              </w:rPr>
              <w:t>B</w:t>
            </w:r>
          </w:p>
        </w:tc>
        <w:tc>
          <w:tcPr>
            <w:tcW w:w="720" w:type="dxa"/>
            <w:shd w:val="clear" w:color="auto" w:fill="D9D9D9" w:themeFill="background1" w:themeFillShade="D9"/>
          </w:tcPr>
          <w:p w14:paraId="165315D8" w14:textId="77777777" w:rsidR="00627936" w:rsidRPr="00FA30E8" w:rsidRDefault="00627936" w:rsidP="00627936">
            <w:pPr>
              <w:jc w:val="center"/>
              <w:rPr>
                <w:b/>
              </w:rPr>
            </w:pPr>
            <w:r w:rsidRPr="00FA30E8">
              <w:rPr>
                <w:b/>
              </w:rPr>
              <w:t>C</w:t>
            </w:r>
          </w:p>
        </w:tc>
        <w:tc>
          <w:tcPr>
            <w:tcW w:w="720" w:type="dxa"/>
            <w:shd w:val="clear" w:color="auto" w:fill="D9D9D9" w:themeFill="background1" w:themeFillShade="D9"/>
          </w:tcPr>
          <w:p w14:paraId="0C79CA07" w14:textId="77777777" w:rsidR="00627936" w:rsidRPr="00FA30E8" w:rsidRDefault="00627936" w:rsidP="00627936">
            <w:pPr>
              <w:jc w:val="center"/>
              <w:rPr>
                <w:b/>
              </w:rPr>
            </w:pPr>
            <w:r w:rsidRPr="00FA30E8">
              <w:rPr>
                <w:b/>
              </w:rPr>
              <w:t>D</w:t>
            </w:r>
          </w:p>
        </w:tc>
        <w:tc>
          <w:tcPr>
            <w:tcW w:w="720" w:type="dxa"/>
            <w:shd w:val="clear" w:color="auto" w:fill="D9D9D9" w:themeFill="background1" w:themeFillShade="D9"/>
          </w:tcPr>
          <w:p w14:paraId="374817C1" w14:textId="77777777" w:rsidR="00627936" w:rsidRPr="00FA30E8" w:rsidRDefault="00627936" w:rsidP="00627936">
            <w:pPr>
              <w:jc w:val="center"/>
              <w:rPr>
                <w:b/>
              </w:rPr>
            </w:pPr>
            <w:r w:rsidRPr="00FA30E8">
              <w:rPr>
                <w:b/>
              </w:rPr>
              <w:t>E</w:t>
            </w:r>
          </w:p>
        </w:tc>
      </w:tr>
      <w:tr w:rsidR="00627936" w14:paraId="5557CAF0" w14:textId="77777777" w:rsidTr="00627936">
        <w:tc>
          <w:tcPr>
            <w:tcW w:w="496" w:type="dxa"/>
          </w:tcPr>
          <w:p w14:paraId="75A148C7" w14:textId="77777777" w:rsidR="00627936" w:rsidRDefault="00627936" w:rsidP="00627936">
            <w:r>
              <w:t>2.1</w:t>
            </w:r>
          </w:p>
        </w:tc>
        <w:tc>
          <w:tcPr>
            <w:tcW w:w="4809" w:type="dxa"/>
          </w:tcPr>
          <w:p w14:paraId="4771E1EB" w14:textId="645DFC9A" w:rsidR="00627936" w:rsidRPr="00C37596" w:rsidRDefault="00C37596" w:rsidP="00627936">
            <w:pPr>
              <w:rPr>
                <w:lang w:val="es-DO"/>
              </w:rPr>
            </w:pPr>
            <w:r w:rsidRPr="00C37596">
              <w:rPr>
                <w:lang w:val="es-DO"/>
              </w:rPr>
              <w:t>¿La propuesta identifica claramente una estrategia para la implementación, incluyendo un cronograma detallado?</w:t>
            </w:r>
          </w:p>
        </w:tc>
        <w:tc>
          <w:tcPr>
            <w:tcW w:w="1440" w:type="dxa"/>
          </w:tcPr>
          <w:p w14:paraId="76F4D64D" w14:textId="77777777" w:rsidR="00627936" w:rsidRDefault="00627936" w:rsidP="00627936">
            <w:pPr>
              <w:jc w:val="center"/>
            </w:pPr>
            <w:r>
              <w:t>20</w:t>
            </w:r>
          </w:p>
        </w:tc>
        <w:tc>
          <w:tcPr>
            <w:tcW w:w="540" w:type="dxa"/>
          </w:tcPr>
          <w:p w14:paraId="29CE3153" w14:textId="77777777" w:rsidR="00627936" w:rsidRDefault="00627936" w:rsidP="00627936">
            <w:pPr>
              <w:jc w:val="center"/>
            </w:pPr>
          </w:p>
        </w:tc>
        <w:tc>
          <w:tcPr>
            <w:tcW w:w="540" w:type="dxa"/>
          </w:tcPr>
          <w:p w14:paraId="6646FF9D" w14:textId="77777777" w:rsidR="00627936" w:rsidRDefault="00627936" w:rsidP="00627936">
            <w:pPr>
              <w:jc w:val="center"/>
            </w:pPr>
          </w:p>
        </w:tc>
        <w:tc>
          <w:tcPr>
            <w:tcW w:w="720" w:type="dxa"/>
          </w:tcPr>
          <w:p w14:paraId="4CC9084B" w14:textId="77777777" w:rsidR="00627936" w:rsidRDefault="00627936" w:rsidP="00627936">
            <w:pPr>
              <w:jc w:val="center"/>
            </w:pPr>
          </w:p>
        </w:tc>
        <w:tc>
          <w:tcPr>
            <w:tcW w:w="720" w:type="dxa"/>
          </w:tcPr>
          <w:p w14:paraId="5750126A" w14:textId="77777777" w:rsidR="00627936" w:rsidRDefault="00627936" w:rsidP="00627936">
            <w:pPr>
              <w:jc w:val="center"/>
            </w:pPr>
          </w:p>
        </w:tc>
        <w:tc>
          <w:tcPr>
            <w:tcW w:w="720" w:type="dxa"/>
          </w:tcPr>
          <w:p w14:paraId="35DF5F4D" w14:textId="77777777" w:rsidR="00627936" w:rsidRDefault="00627936" w:rsidP="00627936">
            <w:pPr>
              <w:jc w:val="center"/>
            </w:pPr>
          </w:p>
        </w:tc>
      </w:tr>
      <w:tr w:rsidR="00627936" w14:paraId="46A06763" w14:textId="77777777" w:rsidTr="00627936">
        <w:tc>
          <w:tcPr>
            <w:tcW w:w="496" w:type="dxa"/>
          </w:tcPr>
          <w:p w14:paraId="24113B58" w14:textId="77777777" w:rsidR="00627936" w:rsidRDefault="00627936" w:rsidP="00627936">
            <w:r>
              <w:t>2.2</w:t>
            </w:r>
          </w:p>
        </w:tc>
        <w:tc>
          <w:tcPr>
            <w:tcW w:w="4809" w:type="dxa"/>
          </w:tcPr>
          <w:p w14:paraId="441E76DC" w14:textId="673437E6" w:rsidR="00627936" w:rsidRPr="00C37596" w:rsidRDefault="00C37596" w:rsidP="00627936">
            <w:pPr>
              <w:rPr>
                <w:lang w:val="es-DO"/>
              </w:rPr>
            </w:pPr>
            <w:r w:rsidRPr="00C37596">
              <w:rPr>
                <w:lang w:val="es-DO"/>
              </w:rPr>
              <w:t>¿El presupuesto detallado refleja las actividades propuestas y los objetivos generales de la propuesta?</w:t>
            </w:r>
          </w:p>
        </w:tc>
        <w:tc>
          <w:tcPr>
            <w:tcW w:w="1440" w:type="dxa"/>
          </w:tcPr>
          <w:p w14:paraId="5FC2B23B" w14:textId="77777777" w:rsidR="00627936" w:rsidRDefault="00627936" w:rsidP="00627936">
            <w:pPr>
              <w:jc w:val="center"/>
            </w:pPr>
            <w:r>
              <w:t>15</w:t>
            </w:r>
          </w:p>
        </w:tc>
        <w:tc>
          <w:tcPr>
            <w:tcW w:w="540" w:type="dxa"/>
          </w:tcPr>
          <w:p w14:paraId="4B3C793E" w14:textId="77777777" w:rsidR="00627936" w:rsidRDefault="00627936" w:rsidP="00627936">
            <w:pPr>
              <w:jc w:val="center"/>
            </w:pPr>
          </w:p>
        </w:tc>
        <w:tc>
          <w:tcPr>
            <w:tcW w:w="540" w:type="dxa"/>
          </w:tcPr>
          <w:p w14:paraId="6A042A5E" w14:textId="77777777" w:rsidR="00627936" w:rsidRDefault="00627936" w:rsidP="00627936">
            <w:pPr>
              <w:jc w:val="center"/>
            </w:pPr>
          </w:p>
        </w:tc>
        <w:tc>
          <w:tcPr>
            <w:tcW w:w="720" w:type="dxa"/>
          </w:tcPr>
          <w:p w14:paraId="3CDA591A" w14:textId="77777777" w:rsidR="00627936" w:rsidRDefault="00627936" w:rsidP="00627936">
            <w:pPr>
              <w:jc w:val="center"/>
            </w:pPr>
          </w:p>
        </w:tc>
        <w:tc>
          <w:tcPr>
            <w:tcW w:w="720" w:type="dxa"/>
          </w:tcPr>
          <w:p w14:paraId="1F990514" w14:textId="77777777" w:rsidR="00627936" w:rsidRDefault="00627936" w:rsidP="00627936">
            <w:pPr>
              <w:jc w:val="center"/>
            </w:pPr>
          </w:p>
        </w:tc>
        <w:tc>
          <w:tcPr>
            <w:tcW w:w="720" w:type="dxa"/>
          </w:tcPr>
          <w:p w14:paraId="4C648072" w14:textId="77777777" w:rsidR="00627936" w:rsidRDefault="00627936" w:rsidP="00627936">
            <w:pPr>
              <w:jc w:val="center"/>
            </w:pPr>
          </w:p>
        </w:tc>
      </w:tr>
      <w:tr w:rsidR="00627936" w14:paraId="52B5E404" w14:textId="77777777" w:rsidTr="00627936">
        <w:tc>
          <w:tcPr>
            <w:tcW w:w="496" w:type="dxa"/>
          </w:tcPr>
          <w:p w14:paraId="12AB0FDE" w14:textId="77777777" w:rsidR="00627936" w:rsidRDefault="00627936" w:rsidP="00627936">
            <w:r>
              <w:t>2.3</w:t>
            </w:r>
          </w:p>
        </w:tc>
        <w:tc>
          <w:tcPr>
            <w:tcW w:w="4809" w:type="dxa"/>
          </w:tcPr>
          <w:p w14:paraId="478C7564" w14:textId="4BE70D8B" w:rsidR="00627936" w:rsidRPr="00C37596" w:rsidRDefault="00C37596" w:rsidP="00627936">
            <w:pPr>
              <w:rPr>
                <w:lang w:val="es-DO"/>
              </w:rPr>
            </w:pPr>
            <w:r w:rsidRPr="00C37596">
              <w:rPr>
                <w:lang w:val="es-DO"/>
              </w:rPr>
              <w:t>¿El plan de monitoreo y evaluación está en línea con las actividades propuestas?</w:t>
            </w:r>
          </w:p>
        </w:tc>
        <w:tc>
          <w:tcPr>
            <w:tcW w:w="1440" w:type="dxa"/>
          </w:tcPr>
          <w:p w14:paraId="72804A94" w14:textId="77777777" w:rsidR="00627936" w:rsidRDefault="00627936" w:rsidP="00627936">
            <w:pPr>
              <w:jc w:val="center"/>
            </w:pPr>
            <w:r>
              <w:t>10</w:t>
            </w:r>
          </w:p>
        </w:tc>
        <w:tc>
          <w:tcPr>
            <w:tcW w:w="540" w:type="dxa"/>
          </w:tcPr>
          <w:p w14:paraId="3EB9F405" w14:textId="77777777" w:rsidR="00627936" w:rsidRDefault="00627936" w:rsidP="00627936">
            <w:pPr>
              <w:jc w:val="center"/>
            </w:pPr>
          </w:p>
        </w:tc>
        <w:tc>
          <w:tcPr>
            <w:tcW w:w="540" w:type="dxa"/>
          </w:tcPr>
          <w:p w14:paraId="7ED33F27" w14:textId="77777777" w:rsidR="00627936" w:rsidRDefault="00627936" w:rsidP="00627936">
            <w:pPr>
              <w:jc w:val="center"/>
            </w:pPr>
          </w:p>
        </w:tc>
        <w:tc>
          <w:tcPr>
            <w:tcW w:w="720" w:type="dxa"/>
          </w:tcPr>
          <w:p w14:paraId="092AA51F" w14:textId="77777777" w:rsidR="00627936" w:rsidRDefault="00627936" w:rsidP="00627936">
            <w:pPr>
              <w:jc w:val="center"/>
            </w:pPr>
          </w:p>
        </w:tc>
        <w:tc>
          <w:tcPr>
            <w:tcW w:w="720" w:type="dxa"/>
          </w:tcPr>
          <w:p w14:paraId="440D43BE" w14:textId="77777777" w:rsidR="00627936" w:rsidRDefault="00627936" w:rsidP="00627936">
            <w:pPr>
              <w:jc w:val="center"/>
            </w:pPr>
          </w:p>
        </w:tc>
        <w:tc>
          <w:tcPr>
            <w:tcW w:w="720" w:type="dxa"/>
          </w:tcPr>
          <w:p w14:paraId="4BECB3AD" w14:textId="77777777" w:rsidR="00627936" w:rsidRDefault="00627936" w:rsidP="00627936">
            <w:pPr>
              <w:jc w:val="center"/>
            </w:pPr>
          </w:p>
        </w:tc>
      </w:tr>
      <w:tr w:rsidR="00627936" w14:paraId="0B70494A" w14:textId="77777777" w:rsidTr="00627936">
        <w:trPr>
          <w:trHeight w:val="486"/>
        </w:trPr>
        <w:tc>
          <w:tcPr>
            <w:tcW w:w="496" w:type="dxa"/>
            <w:shd w:val="clear" w:color="auto" w:fill="D9D9D9" w:themeFill="background1" w:themeFillShade="D9"/>
          </w:tcPr>
          <w:p w14:paraId="26F94412" w14:textId="77777777" w:rsidR="00627936" w:rsidRPr="003303AC" w:rsidRDefault="00627936" w:rsidP="00627936">
            <w:pPr>
              <w:rPr>
                <w:b/>
              </w:rPr>
            </w:pPr>
            <w:r w:rsidRPr="003303AC">
              <w:rPr>
                <w:b/>
              </w:rPr>
              <w:t>3</w:t>
            </w:r>
          </w:p>
        </w:tc>
        <w:tc>
          <w:tcPr>
            <w:tcW w:w="4809" w:type="dxa"/>
            <w:shd w:val="clear" w:color="auto" w:fill="D9D9D9" w:themeFill="background1" w:themeFillShade="D9"/>
          </w:tcPr>
          <w:p w14:paraId="43B53F7B" w14:textId="596DA2B2" w:rsidR="00627936" w:rsidRPr="00FA30E8" w:rsidRDefault="00C37596" w:rsidP="00627936">
            <w:pPr>
              <w:jc w:val="center"/>
              <w:rPr>
                <w:b/>
              </w:rPr>
            </w:pPr>
            <w:r w:rsidRPr="00C37596">
              <w:rPr>
                <w:b/>
              </w:rPr>
              <w:t>Capacidad de la organización</w:t>
            </w:r>
          </w:p>
        </w:tc>
        <w:tc>
          <w:tcPr>
            <w:tcW w:w="1440" w:type="dxa"/>
            <w:shd w:val="clear" w:color="auto" w:fill="D9D9D9" w:themeFill="background1" w:themeFillShade="D9"/>
          </w:tcPr>
          <w:p w14:paraId="1B511C77" w14:textId="77777777" w:rsidR="00627936" w:rsidRPr="00FA30E8" w:rsidRDefault="00627936" w:rsidP="00627936">
            <w:pPr>
              <w:jc w:val="center"/>
              <w:rPr>
                <w:b/>
              </w:rPr>
            </w:pPr>
            <w:r>
              <w:rPr>
                <w:b/>
              </w:rPr>
              <w:t>2</w:t>
            </w:r>
            <w:r w:rsidRPr="00FA30E8">
              <w:rPr>
                <w:b/>
              </w:rPr>
              <w:t>5</w:t>
            </w:r>
          </w:p>
        </w:tc>
        <w:tc>
          <w:tcPr>
            <w:tcW w:w="540" w:type="dxa"/>
            <w:shd w:val="clear" w:color="auto" w:fill="D9D9D9" w:themeFill="background1" w:themeFillShade="D9"/>
          </w:tcPr>
          <w:p w14:paraId="11BDBF59" w14:textId="77777777" w:rsidR="00627936" w:rsidRPr="00FA30E8" w:rsidRDefault="00627936" w:rsidP="00627936">
            <w:pPr>
              <w:jc w:val="center"/>
              <w:rPr>
                <w:b/>
              </w:rPr>
            </w:pPr>
            <w:r w:rsidRPr="00FA30E8">
              <w:rPr>
                <w:b/>
              </w:rPr>
              <w:t>A</w:t>
            </w:r>
          </w:p>
        </w:tc>
        <w:tc>
          <w:tcPr>
            <w:tcW w:w="540" w:type="dxa"/>
            <w:shd w:val="clear" w:color="auto" w:fill="D9D9D9" w:themeFill="background1" w:themeFillShade="D9"/>
          </w:tcPr>
          <w:p w14:paraId="37628310" w14:textId="77777777" w:rsidR="00627936" w:rsidRPr="00FA30E8" w:rsidRDefault="00627936" w:rsidP="00627936">
            <w:pPr>
              <w:jc w:val="center"/>
              <w:rPr>
                <w:b/>
              </w:rPr>
            </w:pPr>
            <w:r w:rsidRPr="00FA30E8">
              <w:rPr>
                <w:b/>
              </w:rPr>
              <w:t>B</w:t>
            </w:r>
          </w:p>
        </w:tc>
        <w:tc>
          <w:tcPr>
            <w:tcW w:w="720" w:type="dxa"/>
            <w:shd w:val="clear" w:color="auto" w:fill="D9D9D9" w:themeFill="background1" w:themeFillShade="D9"/>
          </w:tcPr>
          <w:p w14:paraId="594ACC76" w14:textId="77777777" w:rsidR="00627936" w:rsidRPr="00FA30E8" w:rsidRDefault="00627936" w:rsidP="00627936">
            <w:pPr>
              <w:jc w:val="center"/>
              <w:rPr>
                <w:b/>
              </w:rPr>
            </w:pPr>
            <w:r w:rsidRPr="00FA30E8">
              <w:rPr>
                <w:b/>
              </w:rPr>
              <w:t>C</w:t>
            </w:r>
          </w:p>
        </w:tc>
        <w:tc>
          <w:tcPr>
            <w:tcW w:w="720" w:type="dxa"/>
            <w:shd w:val="clear" w:color="auto" w:fill="D9D9D9" w:themeFill="background1" w:themeFillShade="D9"/>
          </w:tcPr>
          <w:p w14:paraId="2592A7EE" w14:textId="77777777" w:rsidR="00627936" w:rsidRPr="00FA30E8" w:rsidRDefault="00627936" w:rsidP="00627936">
            <w:pPr>
              <w:jc w:val="center"/>
              <w:rPr>
                <w:b/>
              </w:rPr>
            </w:pPr>
            <w:r w:rsidRPr="00FA30E8">
              <w:rPr>
                <w:b/>
              </w:rPr>
              <w:t>D</w:t>
            </w:r>
          </w:p>
        </w:tc>
        <w:tc>
          <w:tcPr>
            <w:tcW w:w="720" w:type="dxa"/>
            <w:shd w:val="clear" w:color="auto" w:fill="D9D9D9" w:themeFill="background1" w:themeFillShade="D9"/>
          </w:tcPr>
          <w:p w14:paraId="06411FDE" w14:textId="77777777" w:rsidR="00627936" w:rsidRPr="00FA30E8" w:rsidRDefault="00627936" w:rsidP="00627936">
            <w:pPr>
              <w:jc w:val="center"/>
              <w:rPr>
                <w:b/>
              </w:rPr>
            </w:pPr>
            <w:r w:rsidRPr="00FA30E8">
              <w:rPr>
                <w:b/>
              </w:rPr>
              <w:t>E</w:t>
            </w:r>
          </w:p>
        </w:tc>
      </w:tr>
      <w:tr w:rsidR="00627936" w:rsidRPr="006301D6" w14:paraId="4A68638E" w14:textId="77777777" w:rsidTr="00627936">
        <w:tc>
          <w:tcPr>
            <w:tcW w:w="496" w:type="dxa"/>
          </w:tcPr>
          <w:p w14:paraId="6DB853DA" w14:textId="77777777" w:rsidR="00627936" w:rsidRDefault="00627936" w:rsidP="00627936">
            <w:r>
              <w:t>3.1</w:t>
            </w:r>
          </w:p>
        </w:tc>
        <w:tc>
          <w:tcPr>
            <w:tcW w:w="4809" w:type="dxa"/>
          </w:tcPr>
          <w:p w14:paraId="5375C655" w14:textId="3194D34D" w:rsidR="00627936" w:rsidRPr="00C37596" w:rsidRDefault="00C37596" w:rsidP="00627936">
            <w:pPr>
              <w:rPr>
                <w:lang w:val="es-DO"/>
              </w:rPr>
            </w:pPr>
            <w:r w:rsidRPr="00C37596">
              <w:rPr>
                <w:lang w:val="es-DO"/>
              </w:rPr>
              <w:t>¿El personal de la organización tiene</w:t>
            </w:r>
          </w:p>
        </w:tc>
        <w:tc>
          <w:tcPr>
            <w:tcW w:w="1440" w:type="dxa"/>
          </w:tcPr>
          <w:p w14:paraId="684699B2" w14:textId="77777777" w:rsidR="00627936" w:rsidRPr="00C37596" w:rsidRDefault="00627936" w:rsidP="00627936">
            <w:pPr>
              <w:rPr>
                <w:lang w:val="es-DO"/>
              </w:rPr>
            </w:pPr>
          </w:p>
        </w:tc>
        <w:tc>
          <w:tcPr>
            <w:tcW w:w="540" w:type="dxa"/>
          </w:tcPr>
          <w:p w14:paraId="7783344D" w14:textId="77777777" w:rsidR="00627936" w:rsidRPr="00C37596" w:rsidRDefault="00627936" w:rsidP="00627936">
            <w:pPr>
              <w:jc w:val="center"/>
              <w:rPr>
                <w:lang w:val="es-DO"/>
              </w:rPr>
            </w:pPr>
          </w:p>
        </w:tc>
        <w:tc>
          <w:tcPr>
            <w:tcW w:w="540" w:type="dxa"/>
          </w:tcPr>
          <w:p w14:paraId="7F7A6ABA" w14:textId="77777777" w:rsidR="00627936" w:rsidRPr="00C37596" w:rsidRDefault="00627936" w:rsidP="00627936">
            <w:pPr>
              <w:jc w:val="center"/>
              <w:rPr>
                <w:lang w:val="es-DO"/>
              </w:rPr>
            </w:pPr>
          </w:p>
        </w:tc>
        <w:tc>
          <w:tcPr>
            <w:tcW w:w="720" w:type="dxa"/>
          </w:tcPr>
          <w:p w14:paraId="165D4C0C" w14:textId="77777777" w:rsidR="00627936" w:rsidRPr="00C37596" w:rsidRDefault="00627936" w:rsidP="00627936">
            <w:pPr>
              <w:jc w:val="center"/>
              <w:rPr>
                <w:lang w:val="es-DO"/>
              </w:rPr>
            </w:pPr>
          </w:p>
        </w:tc>
        <w:tc>
          <w:tcPr>
            <w:tcW w:w="720" w:type="dxa"/>
          </w:tcPr>
          <w:p w14:paraId="143B202F" w14:textId="77777777" w:rsidR="00627936" w:rsidRPr="00C37596" w:rsidRDefault="00627936" w:rsidP="00627936">
            <w:pPr>
              <w:jc w:val="center"/>
              <w:rPr>
                <w:lang w:val="es-DO"/>
              </w:rPr>
            </w:pPr>
          </w:p>
        </w:tc>
        <w:tc>
          <w:tcPr>
            <w:tcW w:w="720" w:type="dxa"/>
          </w:tcPr>
          <w:p w14:paraId="3B4E6AEA" w14:textId="77777777" w:rsidR="00627936" w:rsidRPr="00C37596" w:rsidRDefault="00627936" w:rsidP="00627936">
            <w:pPr>
              <w:jc w:val="center"/>
              <w:rPr>
                <w:lang w:val="es-DO"/>
              </w:rPr>
            </w:pPr>
          </w:p>
        </w:tc>
      </w:tr>
      <w:tr w:rsidR="00627936" w14:paraId="349EB193" w14:textId="77777777" w:rsidTr="00627936">
        <w:tc>
          <w:tcPr>
            <w:tcW w:w="496" w:type="dxa"/>
          </w:tcPr>
          <w:p w14:paraId="21C0228B" w14:textId="77777777" w:rsidR="00627936" w:rsidRPr="00C37596" w:rsidRDefault="00627936" w:rsidP="00627936">
            <w:pPr>
              <w:rPr>
                <w:lang w:val="es-DO"/>
              </w:rPr>
            </w:pPr>
          </w:p>
        </w:tc>
        <w:tc>
          <w:tcPr>
            <w:tcW w:w="4809" w:type="dxa"/>
          </w:tcPr>
          <w:p w14:paraId="62F9EDCF" w14:textId="64CF0480" w:rsidR="00627936" w:rsidRPr="00AA7113" w:rsidRDefault="00C37596" w:rsidP="00627936">
            <w:pPr>
              <w:pStyle w:val="ListParagraph"/>
              <w:numPr>
                <w:ilvl w:val="0"/>
                <w:numId w:val="14"/>
              </w:numPr>
            </w:pPr>
            <w:r>
              <w:t xml:space="preserve">Experiencia relevante </w:t>
            </w:r>
          </w:p>
        </w:tc>
        <w:tc>
          <w:tcPr>
            <w:tcW w:w="1440" w:type="dxa"/>
          </w:tcPr>
          <w:p w14:paraId="29250AB2" w14:textId="77777777" w:rsidR="00627936" w:rsidRDefault="00627936" w:rsidP="00627936">
            <w:pPr>
              <w:jc w:val="center"/>
            </w:pPr>
            <w:r>
              <w:t>5</w:t>
            </w:r>
          </w:p>
        </w:tc>
        <w:tc>
          <w:tcPr>
            <w:tcW w:w="540" w:type="dxa"/>
          </w:tcPr>
          <w:p w14:paraId="0D18291B" w14:textId="77777777" w:rsidR="00627936" w:rsidRDefault="00627936" w:rsidP="00627936">
            <w:pPr>
              <w:jc w:val="center"/>
            </w:pPr>
          </w:p>
        </w:tc>
        <w:tc>
          <w:tcPr>
            <w:tcW w:w="540" w:type="dxa"/>
          </w:tcPr>
          <w:p w14:paraId="72EDAD7F" w14:textId="77777777" w:rsidR="00627936" w:rsidRDefault="00627936" w:rsidP="00627936">
            <w:pPr>
              <w:jc w:val="center"/>
            </w:pPr>
          </w:p>
        </w:tc>
        <w:tc>
          <w:tcPr>
            <w:tcW w:w="720" w:type="dxa"/>
          </w:tcPr>
          <w:p w14:paraId="2325E649" w14:textId="77777777" w:rsidR="00627936" w:rsidRDefault="00627936" w:rsidP="00627936">
            <w:pPr>
              <w:jc w:val="center"/>
            </w:pPr>
          </w:p>
        </w:tc>
        <w:tc>
          <w:tcPr>
            <w:tcW w:w="720" w:type="dxa"/>
          </w:tcPr>
          <w:p w14:paraId="00004FD2" w14:textId="77777777" w:rsidR="00627936" w:rsidRDefault="00627936" w:rsidP="00627936">
            <w:pPr>
              <w:jc w:val="center"/>
            </w:pPr>
          </w:p>
        </w:tc>
        <w:tc>
          <w:tcPr>
            <w:tcW w:w="720" w:type="dxa"/>
          </w:tcPr>
          <w:p w14:paraId="2702E1D7" w14:textId="77777777" w:rsidR="00627936" w:rsidRDefault="00627936" w:rsidP="00627936">
            <w:pPr>
              <w:jc w:val="center"/>
            </w:pPr>
          </w:p>
        </w:tc>
      </w:tr>
      <w:tr w:rsidR="00627936" w14:paraId="40A3215B" w14:textId="77777777" w:rsidTr="00627936">
        <w:tc>
          <w:tcPr>
            <w:tcW w:w="496" w:type="dxa"/>
          </w:tcPr>
          <w:p w14:paraId="470F2C11" w14:textId="77777777" w:rsidR="00627936" w:rsidRDefault="00627936" w:rsidP="00627936"/>
        </w:tc>
        <w:tc>
          <w:tcPr>
            <w:tcW w:w="4809" w:type="dxa"/>
          </w:tcPr>
          <w:p w14:paraId="2C1A75F3" w14:textId="65467785" w:rsidR="00627936" w:rsidRPr="00C37596" w:rsidRDefault="00C37596" w:rsidP="00627936">
            <w:pPr>
              <w:pStyle w:val="ListParagraph"/>
              <w:numPr>
                <w:ilvl w:val="0"/>
                <w:numId w:val="14"/>
              </w:numPr>
              <w:rPr>
                <w:lang w:val="es-DO"/>
              </w:rPr>
            </w:pPr>
            <w:r w:rsidRPr="00C37596">
              <w:rPr>
                <w:lang w:val="es-DO"/>
              </w:rPr>
              <w:t>Capacitación necesaria para implementar actividades</w:t>
            </w:r>
          </w:p>
        </w:tc>
        <w:tc>
          <w:tcPr>
            <w:tcW w:w="1440" w:type="dxa"/>
          </w:tcPr>
          <w:p w14:paraId="0E2BA2BA" w14:textId="77777777" w:rsidR="00627936" w:rsidRDefault="00627936" w:rsidP="00627936">
            <w:pPr>
              <w:jc w:val="center"/>
            </w:pPr>
            <w:r>
              <w:t>5</w:t>
            </w:r>
          </w:p>
        </w:tc>
        <w:tc>
          <w:tcPr>
            <w:tcW w:w="540" w:type="dxa"/>
          </w:tcPr>
          <w:p w14:paraId="3B0E7CEE" w14:textId="77777777" w:rsidR="00627936" w:rsidRDefault="00627936" w:rsidP="00627936">
            <w:pPr>
              <w:jc w:val="center"/>
            </w:pPr>
          </w:p>
        </w:tc>
        <w:tc>
          <w:tcPr>
            <w:tcW w:w="540" w:type="dxa"/>
          </w:tcPr>
          <w:p w14:paraId="35DB9B9D" w14:textId="77777777" w:rsidR="00627936" w:rsidRDefault="00627936" w:rsidP="00627936">
            <w:pPr>
              <w:jc w:val="center"/>
            </w:pPr>
          </w:p>
        </w:tc>
        <w:tc>
          <w:tcPr>
            <w:tcW w:w="720" w:type="dxa"/>
          </w:tcPr>
          <w:p w14:paraId="44EDB81E" w14:textId="77777777" w:rsidR="00627936" w:rsidRDefault="00627936" w:rsidP="00627936">
            <w:pPr>
              <w:jc w:val="center"/>
            </w:pPr>
          </w:p>
        </w:tc>
        <w:tc>
          <w:tcPr>
            <w:tcW w:w="720" w:type="dxa"/>
          </w:tcPr>
          <w:p w14:paraId="6EBD27D2" w14:textId="77777777" w:rsidR="00627936" w:rsidRDefault="00627936" w:rsidP="00627936">
            <w:pPr>
              <w:jc w:val="center"/>
            </w:pPr>
          </w:p>
        </w:tc>
        <w:tc>
          <w:tcPr>
            <w:tcW w:w="720" w:type="dxa"/>
          </w:tcPr>
          <w:p w14:paraId="69AD83B8" w14:textId="77777777" w:rsidR="00627936" w:rsidRDefault="00627936" w:rsidP="00627936">
            <w:pPr>
              <w:jc w:val="center"/>
            </w:pPr>
          </w:p>
        </w:tc>
      </w:tr>
      <w:tr w:rsidR="00627936" w14:paraId="6944F5DE" w14:textId="77777777" w:rsidTr="00627936">
        <w:tc>
          <w:tcPr>
            <w:tcW w:w="496" w:type="dxa"/>
          </w:tcPr>
          <w:p w14:paraId="4D436F08" w14:textId="77777777" w:rsidR="00627936" w:rsidRDefault="00627936" w:rsidP="00627936"/>
        </w:tc>
        <w:tc>
          <w:tcPr>
            <w:tcW w:w="4809" w:type="dxa"/>
          </w:tcPr>
          <w:p w14:paraId="2F0770FB" w14:textId="4C9185DC" w:rsidR="00627936" w:rsidRDefault="00C37596" w:rsidP="00627936">
            <w:pPr>
              <w:pStyle w:val="ListParagraph"/>
              <w:numPr>
                <w:ilvl w:val="0"/>
                <w:numId w:val="14"/>
              </w:numPr>
            </w:pPr>
            <w:r w:rsidRPr="00C37596">
              <w:t>Conocimiento del contexto nacional.</w:t>
            </w:r>
          </w:p>
        </w:tc>
        <w:tc>
          <w:tcPr>
            <w:tcW w:w="1440" w:type="dxa"/>
          </w:tcPr>
          <w:p w14:paraId="4B861650" w14:textId="77777777" w:rsidR="00627936" w:rsidRDefault="00627936" w:rsidP="00627936">
            <w:pPr>
              <w:jc w:val="center"/>
            </w:pPr>
            <w:r>
              <w:t>5</w:t>
            </w:r>
          </w:p>
        </w:tc>
        <w:tc>
          <w:tcPr>
            <w:tcW w:w="540" w:type="dxa"/>
          </w:tcPr>
          <w:p w14:paraId="7212DFB0" w14:textId="77777777" w:rsidR="00627936" w:rsidRDefault="00627936" w:rsidP="00627936">
            <w:pPr>
              <w:jc w:val="center"/>
            </w:pPr>
          </w:p>
        </w:tc>
        <w:tc>
          <w:tcPr>
            <w:tcW w:w="540" w:type="dxa"/>
          </w:tcPr>
          <w:p w14:paraId="591C60F7" w14:textId="77777777" w:rsidR="00627936" w:rsidRDefault="00627936" w:rsidP="00627936">
            <w:pPr>
              <w:jc w:val="center"/>
            </w:pPr>
          </w:p>
        </w:tc>
        <w:tc>
          <w:tcPr>
            <w:tcW w:w="720" w:type="dxa"/>
          </w:tcPr>
          <w:p w14:paraId="30C0D1A7" w14:textId="77777777" w:rsidR="00627936" w:rsidRDefault="00627936" w:rsidP="00627936">
            <w:pPr>
              <w:jc w:val="center"/>
            </w:pPr>
          </w:p>
        </w:tc>
        <w:tc>
          <w:tcPr>
            <w:tcW w:w="720" w:type="dxa"/>
          </w:tcPr>
          <w:p w14:paraId="7037B90D" w14:textId="77777777" w:rsidR="00627936" w:rsidRDefault="00627936" w:rsidP="00627936">
            <w:pPr>
              <w:jc w:val="center"/>
            </w:pPr>
          </w:p>
        </w:tc>
        <w:tc>
          <w:tcPr>
            <w:tcW w:w="720" w:type="dxa"/>
          </w:tcPr>
          <w:p w14:paraId="24C30935" w14:textId="77777777" w:rsidR="00627936" w:rsidRDefault="00627936" w:rsidP="00627936">
            <w:pPr>
              <w:jc w:val="center"/>
            </w:pPr>
          </w:p>
        </w:tc>
      </w:tr>
      <w:tr w:rsidR="00627936" w14:paraId="2AEBE201" w14:textId="77777777" w:rsidTr="00627936">
        <w:tc>
          <w:tcPr>
            <w:tcW w:w="496" w:type="dxa"/>
          </w:tcPr>
          <w:p w14:paraId="159927A8" w14:textId="77777777" w:rsidR="00627936" w:rsidRDefault="00627936" w:rsidP="00627936">
            <w:r>
              <w:t>3.2</w:t>
            </w:r>
          </w:p>
        </w:tc>
        <w:tc>
          <w:tcPr>
            <w:tcW w:w="4809" w:type="dxa"/>
          </w:tcPr>
          <w:p w14:paraId="2F9321FD" w14:textId="2392B37A" w:rsidR="00627936" w:rsidRPr="00C37596" w:rsidRDefault="00C37596" w:rsidP="00627936">
            <w:pPr>
              <w:rPr>
                <w:lang w:val="es-DO"/>
              </w:rPr>
            </w:pPr>
            <w:r w:rsidRPr="00C37596">
              <w:rPr>
                <w:lang w:val="es-DO"/>
              </w:rPr>
              <w:t>¿Ha demostrado la organización la capacidad de administrar fondos de subvenciones?</w:t>
            </w:r>
          </w:p>
        </w:tc>
        <w:tc>
          <w:tcPr>
            <w:tcW w:w="1440" w:type="dxa"/>
          </w:tcPr>
          <w:p w14:paraId="3A8BA51A" w14:textId="77777777" w:rsidR="00627936" w:rsidRDefault="00627936" w:rsidP="00627936">
            <w:pPr>
              <w:jc w:val="center"/>
            </w:pPr>
            <w:r>
              <w:t>10</w:t>
            </w:r>
          </w:p>
        </w:tc>
        <w:tc>
          <w:tcPr>
            <w:tcW w:w="540" w:type="dxa"/>
          </w:tcPr>
          <w:p w14:paraId="1A49A725" w14:textId="77777777" w:rsidR="00627936" w:rsidRDefault="00627936" w:rsidP="00627936">
            <w:pPr>
              <w:jc w:val="center"/>
            </w:pPr>
          </w:p>
        </w:tc>
        <w:tc>
          <w:tcPr>
            <w:tcW w:w="540" w:type="dxa"/>
          </w:tcPr>
          <w:p w14:paraId="169E01F9" w14:textId="77777777" w:rsidR="00627936" w:rsidRDefault="00627936" w:rsidP="00627936">
            <w:pPr>
              <w:jc w:val="center"/>
            </w:pPr>
          </w:p>
        </w:tc>
        <w:tc>
          <w:tcPr>
            <w:tcW w:w="720" w:type="dxa"/>
          </w:tcPr>
          <w:p w14:paraId="46BE6487" w14:textId="77777777" w:rsidR="00627936" w:rsidRDefault="00627936" w:rsidP="00627936">
            <w:pPr>
              <w:jc w:val="center"/>
            </w:pPr>
          </w:p>
        </w:tc>
        <w:tc>
          <w:tcPr>
            <w:tcW w:w="720" w:type="dxa"/>
          </w:tcPr>
          <w:p w14:paraId="11237C4B" w14:textId="77777777" w:rsidR="00627936" w:rsidRDefault="00627936" w:rsidP="00627936">
            <w:pPr>
              <w:jc w:val="center"/>
            </w:pPr>
          </w:p>
        </w:tc>
        <w:tc>
          <w:tcPr>
            <w:tcW w:w="720" w:type="dxa"/>
          </w:tcPr>
          <w:p w14:paraId="1963F648" w14:textId="77777777" w:rsidR="00627936" w:rsidRDefault="00627936" w:rsidP="00627936">
            <w:pPr>
              <w:jc w:val="center"/>
            </w:pPr>
          </w:p>
        </w:tc>
      </w:tr>
      <w:tr w:rsidR="00627936" w14:paraId="5121A730" w14:textId="77777777" w:rsidTr="00627936">
        <w:tc>
          <w:tcPr>
            <w:tcW w:w="496" w:type="dxa"/>
          </w:tcPr>
          <w:p w14:paraId="3649FC88" w14:textId="77777777" w:rsidR="00627936" w:rsidRDefault="00627936" w:rsidP="00627936"/>
        </w:tc>
        <w:tc>
          <w:tcPr>
            <w:tcW w:w="4809" w:type="dxa"/>
          </w:tcPr>
          <w:p w14:paraId="4F69C1C6" w14:textId="77777777" w:rsidR="00627936" w:rsidRPr="00AC4756" w:rsidRDefault="00627936" w:rsidP="00627936"/>
        </w:tc>
        <w:tc>
          <w:tcPr>
            <w:tcW w:w="1440" w:type="dxa"/>
          </w:tcPr>
          <w:p w14:paraId="273BB700" w14:textId="77777777" w:rsidR="00627936" w:rsidRDefault="00627936" w:rsidP="00627936">
            <w:pPr>
              <w:jc w:val="center"/>
            </w:pPr>
          </w:p>
        </w:tc>
        <w:tc>
          <w:tcPr>
            <w:tcW w:w="540" w:type="dxa"/>
          </w:tcPr>
          <w:p w14:paraId="38E84E52" w14:textId="77777777" w:rsidR="00627936" w:rsidRDefault="00627936" w:rsidP="00627936">
            <w:pPr>
              <w:jc w:val="center"/>
            </w:pPr>
          </w:p>
        </w:tc>
        <w:tc>
          <w:tcPr>
            <w:tcW w:w="540" w:type="dxa"/>
          </w:tcPr>
          <w:p w14:paraId="43117907" w14:textId="77777777" w:rsidR="00627936" w:rsidRDefault="00627936" w:rsidP="00627936">
            <w:pPr>
              <w:jc w:val="center"/>
            </w:pPr>
          </w:p>
        </w:tc>
        <w:tc>
          <w:tcPr>
            <w:tcW w:w="720" w:type="dxa"/>
          </w:tcPr>
          <w:p w14:paraId="105CE833" w14:textId="77777777" w:rsidR="00627936" w:rsidRDefault="00627936" w:rsidP="00627936">
            <w:pPr>
              <w:jc w:val="center"/>
            </w:pPr>
          </w:p>
        </w:tc>
        <w:tc>
          <w:tcPr>
            <w:tcW w:w="720" w:type="dxa"/>
          </w:tcPr>
          <w:p w14:paraId="57449A28" w14:textId="77777777" w:rsidR="00627936" w:rsidRDefault="00627936" w:rsidP="00627936">
            <w:pPr>
              <w:jc w:val="center"/>
            </w:pPr>
          </w:p>
        </w:tc>
        <w:tc>
          <w:tcPr>
            <w:tcW w:w="720" w:type="dxa"/>
          </w:tcPr>
          <w:p w14:paraId="7DDAE21E" w14:textId="77777777" w:rsidR="00627936" w:rsidRDefault="00627936" w:rsidP="00627936">
            <w:pPr>
              <w:jc w:val="center"/>
            </w:pPr>
          </w:p>
        </w:tc>
      </w:tr>
      <w:tr w:rsidR="00627936" w14:paraId="5F8A61C2" w14:textId="77777777" w:rsidTr="00627936">
        <w:tc>
          <w:tcPr>
            <w:tcW w:w="496" w:type="dxa"/>
          </w:tcPr>
          <w:p w14:paraId="1317B3E2" w14:textId="77777777" w:rsidR="00627936" w:rsidRDefault="00627936" w:rsidP="00627936"/>
        </w:tc>
        <w:tc>
          <w:tcPr>
            <w:tcW w:w="4809" w:type="dxa"/>
          </w:tcPr>
          <w:p w14:paraId="0F5C979B" w14:textId="77777777" w:rsidR="00627936" w:rsidRPr="00FA30E8" w:rsidRDefault="00627936" w:rsidP="00627936">
            <w:pPr>
              <w:pStyle w:val="ListParagraph"/>
              <w:rPr>
                <w:b/>
              </w:rPr>
            </w:pPr>
            <w:r w:rsidRPr="00FA30E8">
              <w:rPr>
                <w:b/>
              </w:rPr>
              <w:t>TOTAL</w:t>
            </w:r>
          </w:p>
        </w:tc>
        <w:tc>
          <w:tcPr>
            <w:tcW w:w="1440" w:type="dxa"/>
          </w:tcPr>
          <w:p w14:paraId="6E30D91E" w14:textId="77777777" w:rsidR="00627936" w:rsidRPr="00FA30E8" w:rsidRDefault="00627936" w:rsidP="00627936">
            <w:pPr>
              <w:jc w:val="center"/>
              <w:rPr>
                <w:b/>
              </w:rPr>
            </w:pPr>
            <w:r w:rsidRPr="00FA30E8">
              <w:rPr>
                <w:b/>
              </w:rPr>
              <w:t>100</w:t>
            </w:r>
          </w:p>
        </w:tc>
        <w:tc>
          <w:tcPr>
            <w:tcW w:w="540" w:type="dxa"/>
          </w:tcPr>
          <w:p w14:paraId="63063C7F" w14:textId="77777777" w:rsidR="00627936" w:rsidRDefault="00627936" w:rsidP="00627936">
            <w:pPr>
              <w:jc w:val="center"/>
            </w:pPr>
          </w:p>
        </w:tc>
        <w:tc>
          <w:tcPr>
            <w:tcW w:w="540" w:type="dxa"/>
          </w:tcPr>
          <w:p w14:paraId="014BC3DC" w14:textId="77777777" w:rsidR="00627936" w:rsidRDefault="00627936" w:rsidP="00627936">
            <w:pPr>
              <w:jc w:val="center"/>
            </w:pPr>
          </w:p>
        </w:tc>
        <w:tc>
          <w:tcPr>
            <w:tcW w:w="720" w:type="dxa"/>
          </w:tcPr>
          <w:p w14:paraId="52A57BBA" w14:textId="77777777" w:rsidR="00627936" w:rsidRDefault="00627936" w:rsidP="00627936">
            <w:pPr>
              <w:jc w:val="center"/>
            </w:pPr>
          </w:p>
        </w:tc>
        <w:tc>
          <w:tcPr>
            <w:tcW w:w="720" w:type="dxa"/>
          </w:tcPr>
          <w:p w14:paraId="3188803D" w14:textId="77777777" w:rsidR="00627936" w:rsidRDefault="00627936" w:rsidP="00627936">
            <w:pPr>
              <w:jc w:val="center"/>
            </w:pPr>
          </w:p>
        </w:tc>
        <w:tc>
          <w:tcPr>
            <w:tcW w:w="720" w:type="dxa"/>
          </w:tcPr>
          <w:p w14:paraId="5CAC7827" w14:textId="77777777" w:rsidR="00627936" w:rsidRDefault="00627936" w:rsidP="00627936">
            <w:pPr>
              <w:jc w:val="center"/>
            </w:pPr>
          </w:p>
        </w:tc>
      </w:tr>
    </w:tbl>
    <w:p w14:paraId="52670F7E" w14:textId="06794E43" w:rsidR="00267268" w:rsidRDefault="00267268" w:rsidP="00807DDE">
      <w:pPr>
        <w:jc w:val="both"/>
      </w:pPr>
    </w:p>
    <w:p w14:paraId="76BC207A" w14:textId="2A36D4BE" w:rsidR="00170C8B" w:rsidRDefault="00170C8B" w:rsidP="00807DDE">
      <w:pPr>
        <w:jc w:val="both"/>
      </w:pPr>
    </w:p>
    <w:p w14:paraId="148C5092" w14:textId="65FBB8D2" w:rsidR="00170C8B" w:rsidRDefault="00170C8B" w:rsidP="00807DDE">
      <w:pPr>
        <w:jc w:val="both"/>
      </w:pPr>
    </w:p>
    <w:p w14:paraId="04EE2A95" w14:textId="3FE444E2" w:rsidR="00170C8B" w:rsidRDefault="00170C8B" w:rsidP="00807DDE">
      <w:pPr>
        <w:jc w:val="both"/>
      </w:pPr>
    </w:p>
    <w:p w14:paraId="33337921" w14:textId="58BAB776" w:rsidR="00170C8B" w:rsidRDefault="00170C8B" w:rsidP="00807DDE">
      <w:pPr>
        <w:jc w:val="both"/>
      </w:pPr>
    </w:p>
    <w:p w14:paraId="0E1D06DB" w14:textId="0A9CC2FF" w:rsidR="00170C8B" w:rsidRDefault="00170C8B" w:rsidP="00807DDE">
      <w:pPr>
        <w:jc w:val="both"/>
      </w:pPr>
    </w:p>
    <w:p w14:paraId="3AF17665" w14:textId="5C57DEA6" w:rsidR="00170C8B" w:rsidRDefault="00170C8B" w:rsidP="00807DDE">
      <w:pPr>
        <w:jc w:val="both"/>
      </w:pPr>
    </w:p>
    <w:p w14:paraId="32057DF7" w14:textId="17BE49A5" w:rsidR="00170C8B" w:rsidRDefault="00170C8B" w:rsidP="00807DDE">
      <w:pPr>
        <w:jc w:val="both"/>
      </w:pPr>
    </w:p>
    <w:p w14:paraId="7A1BFB68" w14:textId="1E88B507" w:rsidR="00170C8B" w:rsidRDefault="00170C8B" w:rsidP="00807DDE">
      <w:pPr>
        <w:jc w:val="both"/>
      </w:pPr>
    </w:p>
    <w:sectPr w:rsidR="00170C8B" w:rsidSect="00B070A8">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029F" w14:textId="77777777" w:rsidR="00166A94" w:rsidRDefault="00166A94" w:rsidP="00C05964">
      <w:pPr>
        <w:spacing w:after="0" w:line="240" w:lineRule="auto"/>
      </w:pPr>
      <w:r>
        <w:separator/>
      </w:r>
    </w:p>
  </w:endnote>
  <w:endnote w:type="continuationSeparator" w:id="0">
    <w:p w14:paraId="6B45AEFD" w14:textId="77777777" w:rsidR="00166A94" w:rsidRDefault="00166A94" w:rsidP="00C0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9FC95" w14:textId="77777777" w:rsidR="00166A94" w:rsidRDefault="00166A94" w:rsidP="00C05964">
      <w:pPr>
        <w:spacing w:after="0" w:line="240" w:lineRule="auto"/>
      </w:pPr>
      <w:r>
        <w:separator/>
      </w:r>
    </w:p>
  </w:footnote>
  <w:footnote w:type="continuationSeparator" w:id="0">
    <w:p w14:paraId="2B15807D" w14:textId="77777777" w:rsidR="00166A94" w:rsidRDefault="00166A94" w:rsidP="00C05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EC6"/>
    <w:multiLevelType w:val="hybridMultilevel"/>
    <w:tmpl w:val="71F09DC0"/>
    <w:lvl w:ilvl="0" w:tplc="840C6600">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1" w15:restartNumberingAfterBreak="0">
    <w:nsid w:val="09077F57"/>
    <w:multiLevelType w:val="hybridMultilevel"/>
    <w:tmpl w:val="0900AAFA"/>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A7D0619"/>
    <w:multiLevelType w:val="hybridMultilevel"/>
    <w:tmpl w:val="749845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50934"/>
    <w:multiLevelType w:val="hybridMultilevel"/>
    <w:tmpl w:val="5FA49C4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E741875"/>
    <w:multiLevelType w:val="hybridMultilevel"/>
    <w:tmpl w:val="FF3891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C35AB2"/>
    <w:multiLevelType w:val="multilevel"/>
    <w:tmpl w:val="340E5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8129DF"/>
    <w:multiLevelType w:val="multilevel"/>
    <w:tmpl w:val="FC784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76BF1"/>
    <w:multiLevelType w:val="hybridMultilevel"/>
    <w:tmpl w:val="403CA0E6"/>
    <w:lvl w:ilvl="0" w:tplc="FE7C6044">
      <w:start w:val="1"/>
      <w:numFmt w:val="decimal"/>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D30713D"/>
    <w:multiLevelType w:val="hybridMultilevel"/>
    <w:tmpl w:val="00BEB2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83471"/>
    <w:multiLevelType w:val="hybridMultilevel"/>
    <w:tmpl w:val="4B80D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F25DE"/>
    <w:multiLevelType w:val="hybridMultilevel"/>
    <w:tmpl w:val="0B68F1C8"/>
    <w:lvl w:ilvl="0" w:tplc="4272627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A6C64"/>
    <w:multiLevelType w:val="hybridMultilevel"/>
    <w:tmpl w:val="110C7D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BC1218"/>
    <w:multiLevelType w:val="hybridMultilevel"/>
    <w:tmpl w:val="4CB89D2E"/>
    <w:lvl w:ilvl="0" w:tplc="1C0A000F">
      <w:start w:val="1"/>
      <w:numFmt w:val="decimal"/>
      <w:lvlText w:val="%1."/>
      <w:lvlJc w:val="left"/>
      <w:pPr>
        <w:ind w:left="1080" w:hanging="720"/>
      </w:pPr>
      <w:rPr>
        <w:rFonts w:hint="default"/>
      </w:rPr>
    </w:lvl>
    <w:lvl w:ilvl="1" w:tplc="DBA4AD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F6382"/>
    <w:multiLevelType w:val="hybridMultilevel"/>
    <w:tmpl w:val="63726C9A"/>
    <w:lvl w:ilvl="0" w:tplc="1C0A0001">
      <w:start w:val="1"/>
      <w:numFmt w:val="bullet"/>
      <w:lvlText w:val=""/>
      <w:lvlJc w:val="left"/>
      <w:pPr>
        <w:ind w:left="720" w:hanging="720"/>
      </w:pPr>
      <w:rPr>
        <w:rFonts w:ascii="Symbol" w:hAnsi="Symbol" w:hint="default"/>
      </w:rPr>
    </w:lvl>
    <w:lvl w:ilvl="1" w:tplc="DBA4AD50">
      <w:start w:val="1"/>
      <w:numFmt w:val="decimal"/>
      <w:lvlText w:val="%2."/>
      <w:lvlJc w:val="left"/>
      <w:pPr>
        <w:ind w:left="1080" w:hanging="360"/>
      </w:pPr>
      <w:rPr>
        <w:rFonts w:hint="default"/>
      </w:rPr>
    </w:lvl>
    <w:lvl w:ilvl="2" w:tplc="3DFEA364">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B4756C"/>
    <w:multiLevelType w:val="hybridMultilevel"/>
    <w:tmpl w:val="1D443F5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5CDA5926"/>
    <w:multiLevelType w:val="hybridMultilevel"/>
    <w:tmpl w:val="33FEF04A"/>
    <w:lvl w:ilvl="0" w:tplc="1C0A0019">
      <w:start w:val="7"/>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6" w15:restartNumberingAfterBreak="0">
    <w:nsid w:val="60B24EDF"/>
    <w:multiLevelType w:val="hybridMultilevel"/>
    <w:tmpl w:val="1356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A1B8A"/>
    <w:multiLevelType w:val="hybridMultilevel"/>
    <w:tmpl w:val="60C24F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67E50A78"/>
    <w:multiLevelType w:val="hybridMultilevel"/>
    <w:tmpl w:val="C2CA6E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68611796"/>
    <w:multiLevelType w:val="multilevel"/>
    <w:tmpl w:val="5A98ED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A520BF"/>
    <w:multiLevelType w:val="hybridMultilevel"/>
    <w:tmpl w:val="76425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F0875"/>
    <w:multiLevelType w:val="hybridMultilevel"/>
    <w:tmpl w:val="3CFE47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761E1D32"/>
    <w:multiLevelType w:val="hybridMultilevel"/>
    <w:tmpl w:val="E8800DAE"/>
    <w:lvl w:ilvl="0" w:tplc="1C0A000F">
      <w:start w:val="1"/>
      <w:numFmt w:val="decimal"/>
      <w:lvlText w:val="%1."/>
      <w:lvlJc w:val="left"/>
      <w:pPr>
        <w:ind w:left="1440" w:hanging="720"/>
      </w:pPr>
      <w:rPr>
        <w:rFonts w:hint="default"/>
      </w:rPr>
    </w:lvl>
    <w:lvl w:ilvl="1" w:tplc="DBA4AD50">
      <w:start w:val="1"/>
      <w:numFmt w:val="decimal"/>
      <w:lvlText w:val="%2."/>
      <w:lvlJc w:val="left"/>
      <w:pPr>
        <w:ind w:left="1800" w:hanging="360"/>
      </w:pPr>
      <w:rPr>
        <w:rFonts w:hint="default"/>
      </w:rPr>
    </w:lvl>
    <w:lvl w:ilvl="2" w:tplc="3DFEA364">
      <w:numFmt w:val="bullet"/>
      <w:lvlText w:val="•"/>
      <w:lvlJc w:val="left"/>
      <w:pPr>
        <w:ind w:left="2700" w:hanging="360"/>
      </w:pPr>
      <w:rPr>
        <w:rFonts w:ascii="Calibri" w:eastAsia="Times New Roman"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10"/>
  </w:num>
  <w:num w:numId="4">
    <w:abstractNumId w:val="20"/>
  </w:num>
  <w:num w:numId="5">
    <w:abstractNumId w:val="4"/>
  </w:num>
  <w:num w:numId="6">
    <w:abstractNumId w:val="0"/>
  </w:num>
  <w:num w:numId="7">
    <w:abstractNumId w:val="19"/>
  </w:num>
  <w:num w:numId="8">
    <w:abstractNumId w:val="3"/>
  </w:num>
  <w:num w:numId="9">
    <w:abstractNumId w:val="15"/>
  </w:num>
  <w:num w:numId="10">
    <w:abstractNumId w:val="6"/>
  </w:num>
  <w:num w:numId="11">
    <w:abstractNumId w:val="11"/>
  </w:num>
  <w:num w:numId="12">
    <w:abstractNumId w:val="9"/>
  </w:num>
  <w:num w:numId="13">
    <w:abstractNumId w:val="2"/>
  </w:num>
  <w:num w:numId="14">
    <w:abstractNumId w:val="8"/>
  </w:num>
  <w:num w:numId="15">
    <w:abstractNumId w:val="22"/>
  </w:num>
  <w:num w:numId="16">
    <w:abstractNumId w:val="18"/>
  </w:num>
  <w:num w:numId="17">
    <w:abstractNumId w:val="13"/>
  </w:num>
  <w:num w:numId="18">
    <w:abstractNumId w:val="17"/>
  </w:num>
  <w:num w:numId="19">
    <w:abstractNumId w:val="14"/>
  </w:num>
  <w:num w:numId="20">
    <w:abstractNumId w:val="1"/>
  </w:num>
  <w:num w:numId="21">
    <w:abstractNumId w:val="5"/>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B9"/>
    <w:rsid w:val="00001682"/>
    <w:rsid w:val="00006069"/>
    <w:rsid w:val="000377E4"/>
    <w:rsid w:val="00082D34"/>
    <w:rsid w:val="00083DB0"/>
    <w:rsid w:val="00090774"/>
    <w:rsid w:val="000B594E"/>
    <w:rsid w:val="000C542B"/>
    <w:rsid w:val="000C764C"/>
    <w:rsid w:val="000D13E1"/>
    <w:rsid w:val="000F0611"/>
    <w:rsid w:val="000F72CF"/>
    <w:rsid w:val="00101C5B"/>
    <w:rsid w:val="00110C2E"/>
    <w:rsid w:val="00112CE7"/>
    <w:rsid w:val="00140052"/>
    <w:rsid w:val="00140B87"/>
    <w:rsid w:val="00166A94"/>
    <w:rsid w:val="00170C8B"/>
    <w:rsid w:val="0018608E"/>
    <w:rsid w:val="00192CF9"/>
    <w:rsid w:val="00195962"/>
    <w:rsid w:val="001A54C7"/>
    <w:rsid w:val="001B7B78"/>
    <w:rsid w:val="001C6295"/>
    <w:rsid w:val="001E2539"/>
    <w:rsid w:val="002048CF"/>
    <w:rsid w:val="00221B74"/>
    <w:rsid w:val="00225332"/>
    <w:rsid w:val="00230D5D"/>
    <w:rsid w:val="0023246D"/>
    <w:rsid w:val="00232C11"/>
    <w:rsid w:val="0024281D"/>
    <w:rsid w:val="002463AF"/>
    <w:rsid w:val="002641F6"/>
    <w:rsid w:val="00264DD5"/>
    <w:rsid w:val="00267268"/>
    <w:rsid w:val="002679A9"/>
    <w:rsid w:val="0027295F"/>
    <w:rsid w:val="00276175"/>
    <w:rsid w:val="002940BD"/>
    <w:rsid w:val="00296DB5"/>
    <w:rsid w:val="002A6D2D"/>
    <w:rsid w:val="002A7275"/>
    <w:rsid w:val="002B1AFA"/>
    <w:rsid w:val="002B323F"/>
    <w:rsid w:val="002C1FAA"/>
    <w:rsid w:val="002F4450"/>
    <w:rsid w:val="00301B74"/>
    <w:rsid w:val="00303820"/>
    <w:rsid w:val="00326581"/>
    <w:rsid w:val="00327ABA"/>
    <w:rsid w:val="00332D94"/>
    <w:rsid w:val="00336153"/>
    <w:rsid w:val="00355D94"/>
    <w:rsid w:val="003760EC"/>
    <w:rsid w:val="00387EEA"/>
    <w:rsid w:val="003924E0"/>
    <w:rsid w:val="003934C1"/>
    <w:rsid w:val="00397DF3"/>
    <w:rsid w:val="003A7338"/>
    <w:rsid w:val="003A7CCB"/>
    <w:rsid w:val="003B65A4"/>
    <w:rsid w:val="003C4698"/>
    <w:rsid w:val="003C4B98"/>
    <w:rsid w:val="003D193C"/>
    <w:rsid w:val="003E6D92"/>
    <w:rsid w:val="00402DAE"/>
    <w:rsid w:val="00426ADA"/>
    <w:rsid w:val="004373C5"/>
    <w:rsid w:val="0044292D"/>
    <w:rsid w:val="004477D3"/>
    <w:rsid w:val="004662DB"/>
    <w:rsid w:val="00493389"/>
    <w:rsid w:val="004C0F89"/>
    <w:rsid w:val="004D7056"/>
    <w:rsid w:val="004E36AA"/>
    <w:rsid w:val="00502C21"/>
    <w:rsid w:val="005111A4"/>
    <w:rsid w:val="0054113B"/>
    <w:rsid w:val="005710FB"/>
    <w:rsid w:val="00576B73"/>
    <w:rsid w:val="005841A9"/>
    <w:rsid w:val="0059007F"/>
    <w:rsid w:val="00590FA7"/>
    <w:rsid w:val="00591BD9"/>
    <w:rsid w:val="005A308A"/>
    <w:rsid w:val="005C6BCE"/>
    <w:rsid w:val="005F5AAB"/>
    <w:rsid w:val="005F68A2"/>
    <w:rsid w:val="0062559E"/>
    <w:rsid w:val="006265AA"/>
    <w:rsid w:val="00627936"/>
    <w:rsid w:val="006301D6"/>
    <w:rsid w:val="00643EA0"/>
    <w:rsid w:val="00645D73"/>
    <w:rsid w:val="00651296"/>
    <w:rsid w:val="00662345"/>
    <w:rsid w:val="006B6A44"/>
    <w:rsid w:val="006C111B"/>
    <w:rsid w:val="006E3B96"/>
    <w:rsid w:val="00703C32"/>
    <w:rsid w:val="0070409C"/>
    <w:rsid w:val="0071569E"/>
    <w:rsid w:val="00723218"/>
    <w:rsid w:val="007450DE"/>
    <w:rsid w:val="0074665D"/>
    <w:rsid w:val="00747CF6"/>
    <w:rsid w:val="007B22AE"/>
    <w:rsid w:val="007C3B51"/>
    <w:rsid w:val="007C46A3"/>
    <w:rsid w:val="007D4D7C"/>
    <w:rsid w:val="007D7BE4"/>
    <w:rsid w:val="00804FAD"/>
    <w:rsid w:val="00807DDE"/>
    <w:rsid w:val="0081226C"/>
    <w:rsid w:val="00823253"/>
    <w:rsid w:val="00826FC5"/>
    <w:rsid w:val="008665BA"/>
    <w:rsid w:val="00891E04"/>
    <w:rsid w:val="00894641"/>
    <w:rsid w:val="008A2FF3"/>
    <w:rsid w:val="008D0028"/>
    <w:rsid w:val="008D5225"/>
    <w:rsid w:val="008D7094"/>
    <w:rsid w:val="008D7FD4"/>
    <w:rsid w:val="008E3ABD"/>
    <w:rsid w:val="008F1846"/>
    <w:rsid w:val="00903059"/>
    <w:rsid w:val="009200EB"/>
    <w:rsid w:val="00946FED"/>
    <w:rsid w:val="0096452D"/>
    <w:rsid w:val="00976F6A"/>
    <w:rsid w:val="009818AA"/>
    <w:rsid w:val="00982FE3"/>
    <w:rsid w:val="009B083C"/>
    <w:rsid w:val="009B7BBE"/>
    <w:rsid w:val="009C33C7"/>
    <w:rsid w:val="009C52ED"/>
    <w:rsid w:val="009D2531"/>
    <w:rsid w:val="009D4CCD"/>
    <w:rsid w:val="009E0E2F"/>
    <w:rsid w:val="00A07D7A"/>
    <w:rsid w:val="00A12CC0"/>
    <w:rsid w:val="00A2699B"/>
    <w:rsid w:val="00A27A4F"/>
    <w:rsid w:val="00A3026B"/>
    <w:rsid w:val="00A32F60"/>
    <w:rsid w:val="00A5676D"/>
    <w:rsid w:val="00A56DC2"/>
    <w:rsid w:val="00A743DF"/>
    <w:rsid w:val="00A7794C"/>
    <w:rsid w:val="00AA165A"/>
    <w:rsid w:val="00AA55E1"/>
    <w:rsid w:val="00AA66CA"/>
    <w:rsid w:val="00AA7113"/>
    <w:rsid w:val="00AB162A"/>
    <w:rsid w:val="00AB5322"/>
    <w:rsid w:val="00AC4756"/>
    <w:rsid w:val="00AD69A3"/>
    <w:rsid w:val="00B0120D"/>
    <w:rsid w:val="00B056C9"/>
    <w:rsid w:val="00B070A8"/>
    <w:rsid w:val="00B24C1F"/>
    <w:rsid w:val="00B40B74"/>
    <w:rsid w:val="00B40FCA"/>
    <w:rsid w:val="00B43E59"/>
    <w:rsid w:val="00B56057"/>
    <w:rsid w:val="00B70A8A"/>
    <w:rsid w:val="00B8576B"/>
    <w:rsid w:val="00B87D04"/>
    <w:rsid w:val="00B95948"/>
    <w:rsid w:val="00BA0C75"/>
    <w:rsid w:val="00BA43D3"/>
    <w:rsid w:val="00BA67DE"/>
    <w:rsid w:val="00BB051A"/>
    <w:rsid w:val="00BB0849"/>
    <w:rsid w:val="00BB2E39"/>
    <w:rsid w:val="00BB3398"/>
    <w:rsid w:val="00BC30D6"/>
    <w:rsid w:val="00BC4770"/>
    <w:rsid w:val="00BC75A2"/>
    <w:rsid w:val="00BE25DD"/>
    <w:rsid w:val="00BE4D0D"/>
    <w:rsid w:val="00BF072E"/>
    <w:rsid w:val="00BF19C2"/>
    <w:rsid w:val="00C018DD"/>
    <w:rsid w:val="00C05964"/>
    <w:rsid w:val="00C07912"/>
    <w:rsid w:val="00C1113A"/>
    <w:rsid w:val="00C1233F"/>
    <w:rsid w:val="00C23B2E"/>
    <w:rsid w:val="00C24327"/>
    <w:rsid w:val="00C25A5C"/>
    <w:rsid w:val="00C37596"/>
    <w:rsid w:val="00C408AF"/>
    <w:rsid w:val="00C436D1"/>
    <w:rsid w:val="00C471D4"/>
    <w:rsid w:val="00C61DA1"/>
    <w:rsid w:val="00C65F24"/>
    <w:rsid w:val="00C70A05"/>
    <w:rsid w:val="00C878D8"/>
    <w:rsid w:val="00C94433"/>
    <w:rsid w:val="00C97DA1"/>
    <w:rsid w:val="00CA743D"/>
    <w:rsid w:val="00CB2877"/>
    <w:rsid w:val="00CE23C5"/>
    <w:rsid w:val="00CE36D5"/>
    <w:rsid w:val="00CF24EA"/>
    <w:rsid w:val="00CF33ED"/>
    <w:rsid w:val="00CF622D"/>
    <w:rsid w:val="00D01D86"/>
    <w:rsid w:val="00D13E37"/>
    <w:rsid w:val="00D1526D"/>
    <w:rsid w:val="00D2412B"/>
    <w:rsid w:val="00D41F8D"/>
    <w:rsid w:val="00D4387B"/>
    <w:rsid w:val="00D46024"/>
    <w:rsid w:val="00D51844"/>
    <w:rsid w:val="00D90612"/>
    <w:rsid w:val="00DA1EB6"/>
    <w:rsid w:val="00DA5FFB"/>
    <w:rsid w:val="00DB6EA6"/>
    <w:rsid w:val="00DC620F"/>
    <w:rsid w:val="00DD0F93"/>
    <w:rsid w:val="00DD1A33"/>
    <w:rsid w:val="00E00378"/>
    <w:rsid w:val="00E26935"/>
    <w:rsid w:val="00E27FF4"/>
    <w:rsid w:val="00E30CDD"/>
    <w:rsid w:val="00E31A2C"/>
    <w:rsid w:val="00E356B9"/>
    <w:rsid w:val="00E45094"/>
    <w:rsid w:val="00E52DB1"/>
    <w:rsid w:val="00E71171"/>
    <w:rsid w:val="00E72AD7"/>
    <w:rsid w:val="00E91A2E"/>
    <w:rsid w:val="00EA6547"/>
    <w:rsid w:val="00EC667F"/>
    <w:rsid w:val="00ED1C4B"/>
    <w:rsid w:val="00EE1953"/>
    <w:rsid w:val="00EF1137"/>
    <w:rsid w:val="00F0692F"/>
    <w:rsid w:val="00F20492"/>
    <w:rsid w:val="00F27F62"/>
    <w:rsid w:val="00F546A9"/>
    <w:rsid w:val="00F549F3"/>
    <w:rsid w:val="00F555BB"/>
    <w:rsid w:val="00F72317"/>
    <w:rsid w:val="00F72597"/>
    <w:rsid w:val="00F9261A"/>
    <w:rsid w:val="00FA6184"/>
    <w:rsid w:val="00FB013A"/>
    <w:rsid w:val="00FC5523"/>
    <w:rsid w:val="00FE05B9"/>
    <w:rsid w:val="00FE5403"/>
    <w:rsid w:val="00FE6847"/>
    <w:rsid w:val="00FF014B"/>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6296"/>
  <w15:chartTrackingRefBased/>
  <w15:docId w15:val="{D31B6AE7-6589-40B8-B93B-4B5AB80B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B9"/>
    <w:rPr>
      <w:color w:val="0000FF"/>
      <w:u w:val="single"/>
    </w:rPr>
  </w:style>
  <w:style w:type="paragraph" w:styleId="ListParagraph">
    <w:name w:val="List Paragraph"/>
    <w:basedOn w:val="Normal"/>
    <w:uiPriority w:val="34"/>
    <w:qFormat/>
    <w:rsid w:val="00F9261A"/>
    <w:pPr>
      <w:ind w:left="720"/>
      <w:contextualSpacing/>
    </w:pPr>
  </w:style>
  <w:style w:type="table" w:styleId="TableGrid">
    <w:name w:val="Table Grid"/>
    <w:basedOn w:val="TableNormal"/>
    <w:uiPriority w:val="39"/>
    <w:rsid w:val="0026726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4450"/>
    <w:rPr>
      <w:sz w:val="16"/>
      <w:szCs w:val="16"/>
    </w:rPr>
  </w:style>
  <w:style w:type="paragraph" w:styleId="CommentText">
    <w:name w:val="annotation text"/>
    <w:basedOn w:val="Normal"/>
    <w:link w:val="CommentTextChar"/>
    <w:uiPriority w:val="99"/>
    <w:semiHidden/>
    <w:unhideWhenUsed/>
    <w:rsid w:val="002F4450"/>
    <w:pPr>
      <w:spacing w:line="240" w:lineRule="auto"/>
    </w:pPr>
    <w:rPr>
      <w:sz w:val="20"/>
      <w:szCs w:val="20"/>
    </w:rPr>
  </w:style>
  <w:style w:type="character" w:customStyle="1" w:styleId="CommentTextChar">
    <w:name w:val="Comment Text Char"/>
    <w:basedOn w:val="DefaultParagraphFont"/>
    <w:link w:val="CommentText"/>
    <w:uiPriority w:val="99"/>
    <w:semiHidden/>
    <w:rsid w:val="002F4450"/>
    <w:rPr>
      <w:sz w:val="20"/>
      <w:szCs w:val="20"/>
    </w:rPr>
  </w:style>
  <w:style w:type="paragraph" w:styleId="CommentSubject">
    <w:name w:val="annotation subject"/>
    <w:basedOn w:val="CommentText"/>
    <w:next w:val="CommentText"/>
    <w:link w:val="CommentSubjectChar"/>
    <w:uiPriority w:val="99"/>
    <w:semiHidden/>
    <w:unhideWhenUsed/>
    <w:rsid w:val="002F4450"/>
    <w:rPr>
      <w:b/>
      <w:bCs/>
    </w:rPr>
  </w:style>
  <w:style w:type="character" w:customStyle="1" w:styleId="CommentSubjectChar">
    <w:name w:val="Comment Subject Char"/>
    <w:basedOn w:val="CommentTextChar"/>
    <w:link w:val="CommentSubject"/>
    <w:uiPriority w:val="99"/>
    <w:semiHidden/>
    <w:rsid w:val="002F4450"/>
    <w:rPr>
      <w:b/>
      <w:bCs/>
      <w:sz w:val="20"/>
      <w:szCs w:val="20"/>
    </w:rPr>
  </w:style>
  <w:style w:type="paragraph" w:styleId="BalloonText">
    <w:name w:val="Balloon Text"/>
    <w:basedOn w:val="Normal"/>
    <w:link w:val="BalloonTextChar"/>
    <w:uiPriority w:val="99"/>
    <w:semiHidden/>
    <w:unhideWhenUsed/>
    <w:rsid w:val="002F4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50"/>
    <w:rPr>
      <w:rFonts w:ascii="Segoe UI" w:hAnsi="Segoe UI" w:cs="Segoe UI"/>
      <w:sz w:val="18"/>
      <w:szCs w:val="18"/>
    </w:rPr>
  </w:style>
  <w:style w:type="paragraph" w:styleId="FootnoteText">
    <w:name w:val="footnote text"/>
    <w:basedOn w:val="Normal"/>
    <w:link w:val="FootnoteTextChar"/>
    <w:uiPriority w:val="99"/>
    <w:semiHidden/>
    <w:unhideWhenUsed/>
    <w:rsid w:val="00C05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964"/>
    <w:rPr>
      <w:sz w:val="20"/>
      <w:szCs w:val="20"/>
    </w:rPr>
  </w:style>
  <w:style w:type="character" w:styleId="FootnoteReference">
    <w:name w:val="footnote reference"/>
    <w:basedOn w:val="DefaultParagraphFont"/>
    <w:uiPriority w:val="99"/>
    <w:semiHidden/>
    <w:unhideWhenUsed/>
    <w:rsid w:val="00C05964"/>
    <w:rPr>
      <w:vertAlign w:val="superscript"/>
    </w:rPr>
  </w:style>
  <w:style w:type="character" w:styleId="UnresolvedMention">
    <w:name w:val="Unresolved Mention"/>
    <w:basedOn w:val="DefaultParagraphFont"/>
    <w:uiPriority w:val="99"/>
    <w:semiHidden/>
    <w:unhideWhenUsed/>
    <w:rsid w:val="001E2539"/>
    <w:rPr>
      <w:color w:val="605E5C"/>
      <w:shd w:val="clear" w:color="auto" w:fill="E1DFDD"/>
    </w:rPr>
  </w:style>
  <w:style w:type="paragraph" w:styleId="Revision">
    <w:name w:val="Revision"/>
    <w:hidden/>
    <w:uiPriority w:val="99"/>
    <w:semiHidden/>
    <w:rsid w:val="00D51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318">
      <w:bodyDiv w:val="1"/>
      <w:marLeft w:val="0"/>
      <w:marRight w:val="0"/>
      <w:marTop w:val="0"/>
      <w:marBottom w:val="0"/>
      <w:divBdr>
        <w:top w:val="none" w:sz="0" w:space="0" w:color="auto"/>
        <w:left w:val="none" w:sz="0" w:space="0" w:color="auto"/>
        <w:bottom w:val="none" w:sz="0" w:space="0" w:color="auto"/>
        <w:right w:val="none" w:sz="0" w:space="0" w:color="auto"/>
      </w:divBdr>
      <w:divsChild>
        <w:div w:id="1432823771">
          <w:marLeft w:val="0"/>
          <w:marRight w:val="0"/>
          <w:marTop w:val="0"/>
          <w:marBottom w:val="0"/>
          <w:divBdr>
            <w:top w:val="none" w:sz="0" w:space="0" w:color="auto"/>
            <w:left w:val="none" w:sz="0" w:space="0" w:color="auto"/>
            <w:bottom w:val="none" w:sz="0" w:space="0" w:color="auto"/>
            <w:right w:val="none" w:sz="0" w:space="0" w:color="auto"/>
          </w:divBdr>
          <w:divsChild>
            <w:div w:id="1141463582">
              <w:marLeft w:val="0"/>
              <w:marRight w:val="0"/>
              <w:marTop w:val="0"/>
              <w:marBottom w:val="0"/>
              <w:divBdr>
                <w:top w:val="none" w:sz="0" w:space="0" w:color="auto"/>
                <w:left w:val="none" w:sz="0" w:space="0" w:color="auto"/>
                <w:bottom w:val="none" w:sz="0" w:space="0" w:color="auto"/>
                <w:right w:val="none" w:sz="0" w:space="0" w:color="auto"/>
              </w:divBdr>
              <w:divsChild>
                <w:div w:id="22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0280">
      <w:bodyDiv w:val="1"/>
      <w:marLeft w:val="0"/>
      <w:marRight w:val="0"/>
      <w:marTop w:val="0"/>
      <w:marBottom w:val="0"/>
      <w:divBdr>
        <w:top w:val="none" w:sz="0" w:space="0" w:color="auto"/>
        <w:left w:val="none" w:sz="0" w:space="0" w:color="auto"/>
        <w:bottom w:val="none" w:sz="0" w:space="0" w:color="auto"/>
        <w:right w:val="none" w:sz="0" w:space="0" w:color="auto"/>
      </w:divBdr>
    </w:div>
    <w:div w:id="217058028">
      <w:bodyDiv w:val="1"/>
      <w:marLeft w:val="0"/>
      <w:marRight w:val="0"/>
      <w:marTop w:val="0"/>
      <w:marBottom w:val="0"/>
      <w:divBdr>
        <w:top w:val="none" w:sz="0" w:space="0" w:color="auto"/>
        <w:left w:val="none" w:sz="0" w:space="0" w:color="auto"/>
        <w:bottom w:val="none" w:sz="0" w:space="0" w:color="auto"/>
        <w:right w:val="none" w:sz="0" w:space="0" w:color="auto"/>
      </w:divBdr>
    </w:div>
    <w:div w:id="370302293">
      <w:bodyDiv w:val="1"/>
      <w:marLeft w:val="0"/>
      <w:marRight w:val="0"/>
      <w:marTop w:val="0"/>
      <w:marBottom w:val="0"/>
      <w:divBdr>
        <w:top w:val="none" w:sz="0" w:space="0" w:color="auto"/>
        <w:left w:val="none" w:sz="0" w:space="0" w:color="auto"/>
        <w:bottom w:val="none" w:sz="0" w:space="0" w:color="auto"/>
        <w:right w:val="none" w:sz="0" w:space="0" w:color="auto"/>
      </w:divBdr>
    </w:div>
    <w:div w:id="524826156">
      <w:bodyDiv w:val="1"/>
      <w:marLeft w:val="0"/>
      <w:marRight w:val="0"/>
      <w:marTop w:val="0"/>
      <w:marBottom w:val="0"/>
      <w:divBdr>
        <w:top w:val="none" w:sz="0" w:space="0" w:color="auto"/>
        <w:left w:val="none" w:sz="0" w:space="0" w:color="auto"/>
        <w:bottom w:val="none" w:sz="0" w:space="0" w:color="auto"/>
        <w:right w:val="none" w:sz="0" w:space="0" w:color="auto"/>
      </w:divBdr>
      <w:divsChild>
        <w:div w:id="1045257360">
          <w:marLeft w:val="0"/>
          <w:marRight w:val="0"/>
          <w:marTop w:val="0"/>
          <w:marBottom w:val="0"/>
          <w:divBdr>
            <w:top w:val="none" w:sz="0" w:space="0" w:color="auto"/>
            <w:left w:val="none" w:sz="0" w:space="0" w:color="auto"/>
            <w:bottom w:val="none" w:sz="0" w:space="0" w:color="auto"/>
            <w:right w:val="none" w:sz="0" w:space="0" w:color="auto"/>
          </w:divBdr>
          <w:divsChild>
            <w:div w:id="1291326487">
              <w:marLeft w:val="0"/>
              <w:marRight w:val="0"/>
              <w:marTop w:val="0"/>
              <w:marBottom w:val="0"/>
              <w:divBdr>
                <w:top w:val="none" w:sz="0" w:space="0" w:color="auto"/>
                <w:left w:val="none" w:sz="0" w:space="0" w:color="auto"/>
                <w:bottom w:val="none" w:sz="0" w:space="0" w:color="auto"/>
                <w:right w:val="none" w:sz="0" w:space="0" w:color="auto"/>
              </w:divBdr>
              <w:divsChild>
                <w:div w:id="535851491">
                  <w:marLeft w:val="-240"/>
                  <w:marRight w:val="-240"/>
                  <w:marTop w:val="0"/>
                  <w:marBottom w:val="0"/>
                  <w:divBdr>
                    <w:top w:val="none" w:sz="0" w:space="0" w:color="auto"/>
                    <w:left w:val="none" w:sz="0" w:space="0" w:color="auto"/>
                    <w:bottom w:val="none" w:sz="0" w:space="0" w:color="auto"/>
                    <w:right w:val="none" w:sz="0" w:space="0" w:color="auto"/>
                  </w:divBdr>
                  <w:divsChild>
                    <w:div w:id="11731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4429">
      <w:bodyDiv w:val="1"/>
      <w:marLeft w:val="0"/>
      <w:marRight w:val="0"/>
      <w:marTop w:val="0"/>
      <w:marBottom w:val="0"/>
      <w:divBdr>
        <w:top w:val="none" w:sz="0" w:space="0" w:color="auto"/>
        <w:left w:val="none" w:sz="0" w:space="0" w:color="auto"/>
        <w:bottom w:val="none" w:sz="0" w:space="0" w:color="auto"/>
        <w:right w:val="none" w:sz="0" w:space="0" w:color="auto"/>
      </w:divBdr>
      <w:divsChild>
        <w:div w:id="1189221462">
          <w:marLeft w:val="0"/>
          <w:marRight w:val="0"/>
          <w:marTop w:val="0"/>
          <w:marBottom w:val="0"/>
          <w:divBdr>
            <w:top w:val="none" w:sz="0" w:space="0" w:color="auto"/>
            <w:left w:val="none" w:sz="0" w:space="0" w:color="auto"/>
            <w:bottom w:val="none" w:sz="0" w:space="0" w:color="auto"/>
            <w:right w:val="none" w:sz="0" w:space="0" w:color="auto"/>
          </w:divBdr>
          <w:divsChild>
            <w:div w:id="654575662">
              <w:marLeft w:val="0"/>
              <w:marRight w:val="0"/>
              <w:marTop w:val="0"/>
              <w:marBottom w:val="0"/>
              <w:divBdr>
                <w:top w:val="none" w:sz="0" w:space="0" w:color="auto"/>
                <w:left w:val="none" w:sz="0" w:space="0" w:color="auto"/>
                <w:bottom w:val="none" w:sz="0" w:space="0" w:color="auto"/>
                <w:right w:val="none" w:sz="0" w:space="0" w:color="auto"/>
              </w:divBdr>
              <w:divsChild>
                <w:div w:id="11567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9133">
      <w:bodyDiv w:val="1"/>
      <w:marLeft w:val="0"/>
      <w:marRight w:val="0"/>
      <w:marTop w:val="0"/>
      <w:marBottom w:val="0"/>
      <w:divBdr>
        <w:top w:val="none" w:sz="0" w:space="0" w:color="auto"/>
        <w:left w:val="none" w:sz="0" w:space="0" w:color="auto"/>
        <w:bottom w:val="none" w:sz="0" w:space="0" w:color="auto"/>
        <w:right w:val="none" w:sz="0" w:space="0" w:color="auto"/>
      </w:divBdr>
      <w:divsChild>
        <w:div w:id="1902712214">
          <w:marLeft w:val="0"/>
          <w:marRight w:val="0"/>
          <w:marTop w:val="0"/>
          <w:marBottom w:val="0"/>
          <w:divBdr>
            <w:top w:val="none" w:sz="0" w:space="0" w:color="auto"/>
            <w:left w:val="none" w:sz="0" w:space="0" w:color="auto"/>
            <w:bottom w:val="none" w:sz="0" w:space="0" w:color="auto"/>
            <w:right w:val="none" w:sz="0" w:space="0" w:color="auto"/>
          </w:divBdr>
          <w:divsChild>
            <w:div w:id="1900700105">
              <w:marLeft w:val="0"/>
              <w:marRight w:val="0"/>
              <w:marTop w:val="0"/>
              <w:marBottom w:val="0"/>
              <w:divBdr>
                <w:top w:val="none" w:sz="0" w:space="0" w:color="auto"/>
                <w:left w:val="none" w:sz="0" w:space="0" w:color="auto"/>
                <w:bottom w:val="none" w:sz="0" w:space="0" w:color="auto"/>
                <w:right w:val="none" w:sz="0" w:space="0" w:color="auto"/>
              </w:divBdr>
              <w:divsChild>
                <w:div w:id="17289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0210">
      <w:bodyDiv w:val="1"/>
      <w:marLeft w:val="0"/>
      <w:marRight w:val="0"/>
      <w:marTop w:val="0"/>
      <w:marBottom w:val="0"/>
      <w:divBdr>
        <w:top w:val="none" w:sz="0" w:space="0" w:color="auto"/>
        <w:left w:val="none" w:sz="0" w:space="0" w:color="auto"/>
        <w:bottom w:val="none" w:sz="0" w:space="0" w:color="auto"/>
        <w:right w:val="none" w:sz="0" w:space="0" w:color="auto"/>
      </w:divBdr>
    </w:div>
    <w:div w:id="1045178407">
      <w:bodyDiv w:val="1"/>
      <w:marLeft w:val="0"/>
      <w:marRight w:val="0"/>
      <w:marTop w:val="0"/>
      <w:marBottom w:val="0"/>
      <w:divBdr>
        <w:top w:val="none" w:sz="0" w:space="0" w:color="auto"/>
        <w:left w:val="none" w:sz="0" w:space="0" w:color="auto"/>
        <w:bottom w:val="none" w:sz="0" w:space="0" w:color="auto"/>
        <w:right w:val="none" w:sz="0" w:space="0" w:color="auto"/>
      </w:divBdr>
    </w:div>
    <w:div w:id="1099104754">
      <w:bodyDiv w:val="1"/>
      <w:marLeft w:val="0"/>
      <w:marRight w:val="0"/>
      <w:marTop w:val="0"/>
      <w:marBottom w:val="0"/>
      <w:divBdr>
        <w:top w:val="none" w:sz="0" w:space="0" w:color="auto"/>
        <w:left w:val="none" w:sz="0" w:space="0" w:color="auto"/>
        <w:bottom w:val="none" w:sz="0" w:space="0" w:color="auto"/>
        <w:right w:val="none" w:sz="0" w:space="0" w:color="auto"/>
      </w:divBdr>
      <w:divsChild>
        <w:div w:id="432558181">
          <w:marLeft w:val="0"/>
          <w:marRight w:val="0"/>
          <w:marTop w:val="0"/>
          <w:marBottom w:val="0"/>
          <w:divBdr>
            <w:top w:val="none" w:sz="0" w:space="0" w:color="auto"/>
            <w:left w:val="none" w:sz="0" w:space="0" w:color="auto"/>
            <w:bottom w:val="none" w:sz="0" w:space="0" w:color="auto"/>
            <w:right w:val="none" w:sz="0" w:space="0" w:color="auto"/>
          </w:divBdr>
          <w:divsChild>
            <w:div w:id="1987931705">
              <w:marLeft w:val="0"/>
              <w:marRight w:val="0"/>
              <w:marTop w:val="0"/>
              <w:marBottom w:val="0"/>
              <w:divBdr>
                <w:top w:val="none" w:sz="0" w:space="0" w:color="auto"/>
                <w:left w:val="none" w:sz="0" w:space="0" w:color="auto"/>
                <w:bottom w:val="none" w:sz="0" w:space="0" w:color="auto"/>
                <w:right w:val="none" w:sz="0" w:space="0" w:color="auto"/>
              </w:divBdr>
              <w:divsChild>
                <w:div w:id="11939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curement-notices.undp.org/view_file.cfm?doc_id=1041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curement-notices.undp.org/view_file.cfm?doc_id=1041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risthian.jimenez@und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sthian.jimene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1" ma:contentTypeDescription="Create a new document." ma:contentTypeScope="" ma:versionID="be1b14e41aeab274ec21ef5251a5ccf8">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d8b3ea21b4efb1be51aa4ac6573dd89a"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E0AA-2015-41EF-8647-728605793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C4B8B-D190-4887-BA2F-E8A9DFBFB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D346A-452B-4797-9C1C-684D4B1BC62D}">
  <ds:schemaRefs>
    <ds:schemaRef ds:uri="http://schemas.microsoft.com/sharepoint/v3/contenttype/forms"/>
  </ds:schemaRefs>
</ds:datastoreItem>
</file>

<file path=customXml/itemProps4.xml><?xml version="1.0" encoding="utf-8"?>
<ds:datastoreItem xmlns:ds="http://schemas.openxmlformats.org/officeDocument/2006/customXml" ds:itemID="{3591CC6F-D9FD-40D6-A0D7-70CAAC50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Nyreese Castro</dc:creator>
  <cp:keywords/>
  <dc:description/>
  <cp:lastModifiedBy>Xiomara Carolina Acuna</cp:lastModifiedBy>
  <cp:revision>2</cp:revision>
  <cp:lastPrinted>2019-07-23T18:07:00Z</cp:lastPrinted>
  <dcterms:created xsi:type="dcterms:W3CDTF">2019-08-05T19:49:00Z</dcterms:created>
  <dcterms:modified xsi:type="dcterms:W3CDTF">2019-08-05T19:49:00Z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ies>
</file>