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96"/>
        <w:gridCol w:w="4797"/>
      </w:tblGrid>
      <w:tr w:rsidR="004422C5" w:rsidRPr="003B2606" w14:paraId="50925879" w14:textId="77777777" w:rsidTr="004422C5">
        <w:trPr>
          <w:trHeight w:val="360"/>
        </w:trPr>
        <w:tc>
          <w:tcPr>
            <w:tcW w:w="9593" w:type="dxa"/>
            <w:gridSpan w:val="2"/>
            <w:tcBorders>
              <w:top w:val="nil"/>
              <w:left w:val="nil"/>
              <w:right w:val="nil"/>
            </w:tcBorders>
          </w:tcPr>
          <w:p w14:paraId="4AD10AA6" w14:textId="1BD4BCE2" w:rsidR="00BE29ED" w:rsidRPr="003B2606" w:rsidRDefault="004422C5" w:rsidP="00BE29ED">
            <w:pPr>
              <w:pStyle w:val="Header"/>
              <w:spacing w:after="240"/>
              <w:jc w:val="center"/>
              <w:rPr>
                <w:b/>
                <w:bCs/>
                <w:sz w:val="24"/>
                <w:szCs w:val="24"/>
              </w:rPr>
            </w:pPr>
            <w:bookmarkStart w:id="0" w:name="_Toc506025961"/>
            <w:r w:rsidRPr="003B2606">
              <w:rPr>
                <w:b/>
                <w:sz w:val="24"/>
              </w:rPr>
              <w:t xml:space="preserve">Annex </w:t>
            </w:r>
            <w:r w:rsidR="00661B16">
              <w:rPr>
                <w:b/>
                <w:sz w:val="24"/>
              </w:rPr>
              <w:t>9</w:t>
            </w:r>
            <w:r w:rsidR="0066261B" w:rsidRPr="003B2606">
              <w:rPr>
                <w:b/>
                <w:sz w:val="24"/>
              </w:rPr>
              <w:t>.</w:t>
            </w:r>
            <w:r w:rsidRPr="003B2606">
              <w:rPr>
                <w:b/>
                <w:sz w:val="24"/>
                <w:szCs w:val="24"/>
              </w:rPr>
              <w:t xml:space="preserve"> </w:t>
            </w:r>
            <w:r w:rsidR="00CA5CC5" w:rsidRPr="003B2606">
              <w:rPr>
                <w:b/>
                <w:bCs/>
                <w:sz w:val="24"/>
                <w:szCs w:val="24"/>
              </w:rPr>
              <w:t xml:space="preserve">Gender Analysis and </w:t>
            </w:r>
            <w:r w:rsidR="009A45C8">
              <w:rPr>
                <w:b/>
                <w:bCs/>
                <w:sz w:val="24"/>
                <w:szCs w:val="24"/>
              </w:rPr>
              <w:t xml:space="preserve">Gender </w:t>
            </w:r>
            <w:r w:rsidR="00CA5CC5" w:rsidRPr="003B2606">
              <w:rPr>
                <w:b/>
                <w:bCs/>
                <w:sz w:val="24"/>
                <w:szCs w:val="24"/>
              </w:rPr>
              <w:t>Action Plan</w:t>
            </w:r>
          </w:p>
        </w:tc>
      </w:tr>
      <w:tr w:rsidR="00E26593" w:rsidRPr="00300E30" w14:paraId="17162F8D" w14:textId="77777777" w:rsidTr="009811DA">
        <w:tc>
          <w:tcPr>
            <w:tcW w:w="9593" w:type="dxa"/>
            <w:gridSpan w:val="2"/>
          </w:tcPr>
          <w:p w14:paraId="3B6E71F2" w14:textId="6040EE30" w:rsidR="00E26593" w:rsidRPr="00300E30" w:rsidRDefault="00E26593" w:rsidP="009811DA">
            <w:pPr>
              <w:keepNext/>
              <w:keepLines/>
              <w:spacing w:before="40" w:after="40"/>
              <w:jc w:val="left"/>
              <w:outlineLvl w:val="0"/>
              <w:rPr>
                <w:rFonts w:ascii="Calibri" w:eastAsiaTheme="majorEastAsia" w:hAnsi="Calibri" w:cs="Calibri"/>
                <w:b/>
                <w:bCs/>
                <w:szCs w:val="28"/>
              </w:rPr>
            </w:pPr>
            <w:r w:rsidRPr="00300E30">
              <w:rPr>
                <w:rFonts w:ascii="Calibri" w:hAnsi="Calibri" w:cs="Calibri"/>
                <w:b/>
                <w:bCs/>
              </w:rPr>
              <w:t xml:space="preserve">Project: </w:t>
            </w:r>
            <w:bookmarkStart w:id="1" w:name="_Hlk507836794"/>
            <w:r w:rsidR="00661B16" w:rsidRPr="00036AF4">
              <w:rPr>
                <w:rFonts w:cstheme="minorHAnsi"/>
                <w:bCs/>
                <w:color w:val="000000"/>
                <w:szCs w:val="20"/>
              </w:rPr>
              <w:t xml:space="preserve">Expanding the Coverage </w:t>
            </w:r>
            <w:bookmarkEnd w:id="1"/>
            <w:r w:rsidR="00661B16" w:rsidRPr="00036AF4">
              <w:rPr>
                <w:rFonts w:cstheme="minorHAnsi"/>
                <w:bCs/>
                <w:color w:val="000000"/>
                <w:szCs w:val="20"/>
              </w:rPr>
              <w:t>and Strengthening the Management of Wetland Protected Areas in Sichuan Province, China</w:t>
            </w:r>
          </w:p>
        </w:tc>
      </w:tr>
      <w:tr w:rsidR="00E26593" w:rsidRPr="00300E30" w14:paraId="3729E659" w14:textId="77777777" w:rsidTr="009811DA">
        <w:tc>
          <w:tcPr>
            <w:tcW w:w="4796" w:type="dxa"/>
          </w:tcPr>
          <w:p w14:paraId="492AF782" w14:textId="4D7DE83F" w:rsidR="00E26593" w:rsidRPr="00300E30" w:rsidRDefault="00E26593" w:rsidP="009811DA">
            <w:pPr>
              <w:keepNext/>
              <w:keepLines/>
              <w:spacing w:before="40" w:after="40"/>
              <w:jc w:val="center"/>
              <w:outlineLvl w:val="0"/>
              <w:rPr>
                <w:rFonts w:ascii="Calibri" w:eastAsiaTheme="majorEastAsia" w:hAnsi="Calibri" w:cs="Calibri"/>
                <w:b/>
                <w:bCs/>
                <w:szCs w:val="28"/>
              </w:rPr>
            </w:pPr>
            <w:r w:rsidRPr="00300E30">
              <w:rPr>
                <w:rFonts w:ascii="Calibri" w:hAnsi="Calibri" w:cs="Calibri"/>
                <w:b/>
                <w:bCs/>
              </w:rPr>
              <w:t xml:space="preserve">UNDP PIMS: </w:t>
            </w:r>
            <w:r>
              <w:rPr>
                <w:rFonts w:ascii="Calibri" w:hAnsi="Calibri" w:cs="Calibri"/>
              </w:rPr>
              <w:t>66</w:t>
            </w:r>
            <w:r w:rsidR="00661B16">
              <w:rPr>
                <w:rFonts w:ascii="Calibri" w:hAnsi="Calibri" w:cs="Calibri"/>
              </w:rPr>
              <w:t>69</w:t>
            </w:r>
          </w:p>
        </w:tc>
        <w:tc>
          <w:tcPr>
            <w:tcW w:w="4797" w:type="dxa"/>
          </w:tcPr>
          <w:p w14:paraId="1066146A" w14:textId="7868C766" w:rsidR="00E26593" w:rsidRPr="00300E30" w:rsidRDefault="00E26593" w:rsidP="009811DA">
            <w:pPr>
              <w:keepNext/>
              <w:keepLines/>
              <w:spacing w:before="40" w:after="40"/>
              <w:jc w:val="center"/>
              <w:outlineLvl w:val="0"/>
              <w:rPr>
                <w:rFonts w:ascii="Calibri" w:eastAsiaTheme="majorEastAsia" w:hAnsi="Calibri" w:cs="Calibri"/>
                <w:b/>
                <w:bCs/>
                <w:szCs w:val="28"/>
              </w:rPr>
            </w:pPr>
            <w:r w:rsidRPr="00300E30">
              <w:rPr>
                <w:rFonts w:ascii="Calibri" w:hAnsi="Calibri" w:cs="Calibri"/>
                <w:b/>
                <w:bCs/>
              </w:rPr>
              <w:t xml:space="preserve">GEF Project ID: </w:t>
            </w:r>
            <w:r w:rsidR="00661B16" w:rsidRPr="00661B16">
              <w:rPr>
                <w:rFonts w:ascii="Calibri" w:hAnsi="Calibri" w:cs="Calibri"/>
              </w:rPr>
              <w:t>9462</w:t>
            </w:r>
          </w:p>
        </w:tc>
      </w:tr>
    </w:tbl>
    <w:p w14:paraId="413C504A" w14:textId="7B360DDB" w:rsidR="00CD177B" w:rsidRPr="003B2606" w:rsidRDefault="00CD177B" w:rsidP="00421EFC">
      <w:pPr>
        <w:pStyle w:val="Heading1"/>
        <w:rPr>
          <w:color w:val="002060"/>
        </w:rPr>
      </w:pPr>
      <w:r w:rsidRPr="003B2606">
        <w:rPr>
          <w:color w:val="002060"/>
        </w:rPr>
        <w:t>Introduction</w:t>
      </w:r>
      <w:bookmarkEnd w:id="0"/>
    </w:p>
    <w:p w14:paraId="63BE8AAF" w14:textId="437E6C3D" w:rsidR="00D817B9" w:rsidRPr="003B2606" w:rsidRDefault="00D817B9" w:rsidP="00D817B9">
      <w:r w:rsidRPr="003B2606">
        <w:t xml:space="preserve">This document presents </w:t>
      </w:r>
      <w:r w:rsidR="000A4F99" w:rsidRPr="003B2606">
        <w:t xml:space="preserve">the </w:t>
      </w:r>
      <w:r w:rsidRPr="003B2606">
        <w:t>gender analysis and</w:t>
      </w:r>
      <w:r w:rsidR="00661B16">
        <w:t xml:space="preserve"> gender</w:t>
      </w:r>
      <w:r w:rsidRPr="003B2606">
        <w:t xml:space="preserve"> action plan for the UNDP-GEF pr</w:t>
      </w:r>
      <w:r w:rsidR="005D634E" w:rsidRPr="003B2606">
        <w:t>oject “</w:t>
      </w:r>
      <w:r w:rsidR="00661B16" w:rsidRPr="00036AF4">
        <w:rPr>
          <w:rFonts w:cstheme="minorHAnsi"/>
          <w:bCs/>
          <w:color w:val="000000"/>
          <w:szCs w:val="20"/>
        </w:rPr>
        <w:t>Expanding the Coverage and Strengthening the Management of Wetland Protected Areas in Sichuan Province, China</w:t>
      </w:r>
      <w:r w:rsidR="0045344C" w:rsidRPr="003B2606">
        <w:rPr>
          <w:szCs w:val="20"/>
          <w:lang w:eastAsia="zh-CN"/>
        </w:rPr>
        <w:t>”</w:t>
      </w:r>
      <w:r w:rsidR="005D634E" w:rsidRPr="003B2606">
        <w:t>.</w:t>
      </w:r>
    </w:p>
    <w:p w14:paraId="65408C0E" w14:textId="67196A9F" w:rsidR="0006498B" w:rsidRPr="003B2606" w:rsidRDefault="0006498B" w:rsidP="000E6730">
      <w:pPr>
        <w:pStyle w:val="Heading2"/>
      </w:pPr>
      <w:r w:rsidRPr="003B2606">
        <w:t>Project Overview</w:t>
      </w:r>
    </w:p>
    <w:p w14:paraId="0DEDF5F6" w14:textId="44EBDEB0" w:rsidR="0038265A" w:rsidRPr="003B2606" w:rsidRDefault="00661B16" w:rsidP="00620AB8">
      <w:r w:rsidRPr="00B35FD7">
        <w:rPr>
          <w:rFonts w:cstheme="minorHAnsi"/>
          <w:szCs w:val="20"/>
        </w:rPr>
        <w:t>The project aims to result in improved management of 767,766 ha of wetland protected areas in Sichuan Province</w:t>
      </w:r>
      <w:r>
        <w:rPr>
          <w:rFonts w:cstheme="minorHAnsi"/>
          <w:szCs w:val="20"/>
        </w:rPr>
        <w:t>, through strengthened knowledge transfer, information exchange, capacity building, community engagement, and environmental education. Improved management will be facilitated through the establishment of the Sichuan network of wetland protected areas, including 39 wetland parks and 40 wetland nature reserves. Interventions are planned in two of the wetland protected areas in the network, namely the 3,729 ha Qionghai National Wetland Park and the 588 ha Baihetan National Wetland Park. The project strategy includes formulation and implementation of innovative conservation agreements between the protected areas and local communities for sustainable utilization of wetland resources and genuine community involvement in the conservation of wetland biodiversity and ecosystems. Alternative livelihood ventures, including ecotourism, to reduce unsustainable practices and strengthen the well-being and resilience of local communities. A total of 3,000 people, of whom 1,500 are women, are expected to directly benefit from the GEF investment, including training on wetland protected area planning, management, and monitoring; participation in environmental education programs; capacity development on sustainable utilization of wetland resources and engagement in alternative livelihoods; and enhanced knowledge sharing. An estimated 30,800 tCO2e of greenhouse gas emissions avoided are expected as a co-benefit of the improved management practices of the Qionghai Lake and Baihetan national wetland parks</w:t>
      </w:r>
      <w:r>
        <w:t>.</w:t>
      </w:r>
      <w:r w:rsidR="00620AB8" w:rsidRPr="003B2606">
        <w:t xml:space="preserve"> </w:t>
      </w:r>
    </w:p>
    <w:p w14:paraId="437AA86C" w14:textId="466DBE9B" w:rsidR="000E6730" w:rsidRPr="003B2606" w:rsidRDefault="000E6730" w:rsidP="000E6730">
      <w:pPr>
        <w:pStyle w:val="Heading2"/>
      </w:pPr>
      <w:r w:rsidRPr="003B2606">
        <w:t xml:space="preserve">Gender Mainstreaming </w:t>
      </w:r>
      <w:r w:rsidR="00D817B9" w:rsidRPr="003B2606">
        <w:t>Strategy</w:t>
      </w:r>
      <w:r w:rsidR="00D265DA" w:rsidRPr="003B2606">
        <w:t xml:space="preserve"> for the Project</w:t>
      </w:r>
    </w:p>
    <w:p w14:paraId="4295E8F3" w14:textId="14F2A743" w:rsidR="00916535" w:rsidRDefault="00D90170" w:rsidP="0006498B">
      <w:r>
        <w:t>T</w:t>
      </w:r>
      <w:r w:rsidR="00C564FB">
        <w:t xml:space="preserve">he project will take into account the different </w:t>
      </w:r>
      <w:r w:rsidR="00C564FB" w:rsidRPr="00C564FB">
        <w:t>roles an</w:t>
      </w:r>
      <w:r w:rsidR="00335A36">
        <w:t>d responsibilities of women and men</w:t>
      </w:r>
      <w:r w:rsidR="00C564FB" w:rsidRPr="00C564FB">
        <w:t xml:space="preserve"> </w:t>
      </w:r>
      <w:r w:rsidR="00E072DB">
        <w:t>relating to natural resources management</w:t>
      </w:r>
      <w:r>
        <w:t xml:space="preserve">, </w:t>
      </w:r>
      <w:r w:rsidR="00E072DB">
        <w:t xml:space="preserve">specifically, </w:t>
      </w:r>
      <w:r w:rsidR="00800568" w:rsidRPr="003B2606">
        <w:t xml:space="preserve">through the </w:t>
      </w:r>
      <w:r w:rsidR="00060501" w:rsidRPr="003B2606">
        <w:t>following processes and actions:</w:t>
      </w:r>
    </w:p>
    <w:p w14:paraId="7FA37592" w14:textId="6F15FE1E" w:rsidR="00306A57" w:rsidRPr="003B2606" w:rsidRDefault="00D90170" w:rsidP="003E511F">
      <w:pPr>
        <w:pStyle w:val="ListParagraph"/>
        <w:numPr>
          <w:ilvl w:val="0"/>
          <w:numId w:val="7"/>
        </w:numPr>
      </w:pPr>
      <w:r>
        <w:t>C</w:t>
      </w:r>
      <w:r w:rsidR="00306A57">
        <w:t>onsult women involved</w:t>
      </w:r>
      <w:r>
        <w:t xml:space="preserve"> with</w:t>
      </w:r>
      <w:r w:rsidR="00306A57">
        <w:t xml:space="preserve"> and affected by the project to understand their needs, </w:t>
      </w:r>
      <w:r w:rsidR="00335A36">
        <w:t xml:space="preserve">roles, </w:t>
      </w:r>
      <w:r w:rsidR="00306A57">
        <w:t xml:space="preserve">expectations and inputs </w:t>
      </w:r>
      <w:r w:rsidR="00306A57" w:rsidRPr="003B2606">
        <w:t>associated with project interventions</w:t>
      </w:r>
      <w:r w:rsidR="003E511F">
        <w:t xml:space="preserve"> and outputs as well as their unique challenges and barriers in preventi</w:t>
      </w:r>
      <w:r w:rsidR="00335A36">
        <w:t>ng them from equal participation and benefits</w:t>
      </w:r>
      <w:r w:rsidR="003E511F">
        <w:t xml:space="preserve"> from the project</w:t>
      </w:r>
      <w:r>
        <w:t>.</w:t>
      </w:r>
    </w:p>
    <w:p w14:paraId="47845902" w14:textId="689E13B5" w:rsidR="001D0CEE" w:rsidRPr="003B2606" w:rsidRDefault="003E511F" w:rsidP="0006498B">
      <w:pPr>
        <w:pStyle w:val="ListParagraph"/>
        <w:numPr>
          <w:ilvl w:val="0"/>
          <w:numId w:val="7"/>
        </w:numPr>
      </w:pPr>
      <w:r>
        <w:t xml:space="preserve">Identify </w:t>
      </w:r>
      <w:r w:rsidR="001D0CEE" w:rsidRPr="003B2606">
        <w:t xml:space="preserve">opportunities </w:t>
      </w:r>
      <w:r>
        <w:t xml:space="preserve">and means </w:t>
      </w:r>
      <w:r w:rsidR="001D0CEE" w:rsidRPr="003B2606">
        <w:t xml:space="preserve">to address </w:t>
      </w:r>
      <w:r w:rsidR="00335A36">
        <w:t xml:space="preserve">the </w:t>
      </w:r>
      <w:r w:rsidR="001D0CEE" w:rsidRPr="003B2606">
        <w:t xml:space="preserve">barriers and challenges faced by women due to </w:t>
      </w:r>
      <w:r w:rsidR="00394DA7" w:rsidRPr="003B2606">
        <w:t xml:space="preserve">socioeconomic </w:t>
      </w:r>
      <w:r w:rsidR="001D0CEE" w:rsidRPr="003B2606">
        <w:t>constraints imposed by their gender roles</w:t>
      </w:r>
      <w:r w:rsidR="000A4F99" w:rsidRPr="003B2606">
        <w:t>.</w:t>
      </w:r>
    </w:p>
    <w:p w14:paraId="0AA17573" w14:textId="2A899B82" w:rsidR="0006498B" w:rsidRPr="003B2606" w:rsidRDefault="003E511F" w:rsidP="0006498B">
      <w:pPr>
        <w:pStyle w:val="ListParagraph"/>
        <w:numPr>
          <w:ilvl w:val="0"/>
          <w:numId w:val="7"/>
        </w:numPr>
      </w:pPr>
      <w:r>
        <w:t xml:space="preserve">Apply </w:t>
      </w:r>
      <w:r w:rsidR="00394DA7" w:rsidRPr="003B2606">
        <w:t>gender-responsive measures into the project logical framework, monitoring, evaluation &amp; reporting process such as gender-sensitive indicators, sex-disaggregated targets and reporting requirements</w:t>
      </w:r>
      <w:r>
        <w:t xml:space="preserve"> and targeted budgeting to promote women empowerment</w:t>
      </w:r>
      <w:r w:rsidR="00D90170">
        <w:t>.</w:t>
      </w:r>
    </w:p>
    <w:p w14:paraId="64F05059" w14:textId="2E853DD0" w:rsidR="0006498B" w:rsidRPr="003B2606" w:rsidRDefault="001C31D3" w:rsidP="00591AF7">
      <w:pPr>
        <w:pStyle w:val="ListParagraph"/>
        <w:numPr>
          <w:ilvl w:val="0"/>
          <w:numId w:val="7"/>
        </w:numPr>
      </w:pPr>
      <w:r>
        <w:t>Adopt</w:t>
      </w:r>
      <w:r w:rsidR="00591AF7">
        <w:t xml:space="preserve"> equal opportunity </w:t>
      </w:r>
      <w:r>
        <w:t xml:space="preserve">policy </w:t>
      </w:r>
      <w:r w:rsidR="0006498B" w:rsidRPr="003B2606">
        <w:t>in the recruitment of project implementation staff</w:t>
      </w:r>
      <w:r w:rsidR="00591AF7">
        <w:t xml:space="preserve">, consultants and </w:t>
      </w:r>
      <w:r w:rsidR="00BF5998" w:rsidRPr="003B2606">
        <w:t>service providers</w:t>
      </w:r>
      <w:r w:rsidR="00394DA7" w:rsidRPr="003B2606">
        <w:t>.</w:t>
      </w:r>
    </w:p>
    <w:p w14:paraId="4B170322" w14:textId="63E64F12" w:rsidR="00832E5A" w:rsidRPr="003B2606" w:rsidRDefault="000D0933" w:rsidP="0006498B">
      <w:r w:rsidRPr="003B2606">
        <w:t xml:space="preserve">The gender mainstreaming strategy </w:t>
      </w:r>
      <w:r w:rsidR="000A4F99" w:rsidRPr="003B2606">
        <w:t>is also consistent with</w:t>
      </w:r>
      <w:r w:rsidRPr="003B2606">
        <w:t xml:space="preserve"> Sustainable Development Goal (SDG) 5, specifically Target 5.4: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973"/>
      </w:tblGrid>
      <w:tr w:rsidR="000D0933" w:rsidRPr="003B2606" w14:paraId="3DF08253" w14:textId="77777777" w:rsidTr="000D0933">
        <w:tc>
          <w:tcPr>
            <w:tcW w:w="1620" w:type="dxa"/>
          </w:tcPr>
          <w:p w14:paraId="1F8DC785" w14:textId="240F44A3" w:rsidR="000D0933" w:rsidRPr="003B2606" w:rsidRDefault="000D0933" w:rsidP="000D0933">
            <w:pPr>
              <w:jc w:val="center"/>
            </w:pPr>
            <w:r w:rsidRPr="003B2606">
              <w:rPr>
                <w:noProof/>
                <w:szCs w:val="20"/>
                <w:lang w:val="en-GB" w:eastAsia="en-GB"/>
              </w:rPr>
              <w:drawing>
                <wp:inline distT="0" distB="0" distL="0" distR="0" wp14:anchorId="78C8E2D9" wp14:editId="679B0E1C">
                  <wp:extent cx="804291" cy="8042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 5 icon gen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081" cy="812081"/>
                          </a:xfrm>
                          <a:prstGeom prst="rect">
                            <a:avLst/>
                          </a:prstGeom>
                        </pic:spPr>
                      </pic:pic>
                    </a:graphicData>
                  </a:graphic>
                </wp:inline>
              </w:drawing>
            </w:r>
          </w:p>
        </w:tc>
        <w:tc>
          <w:tcPr>
            <w:tcW w:w="7973" w:type="dxa"/>
          </w:tcPr>
          <w:p w14:paraId="1D2C0CB7" w14:textId="45A05358" w:rsidR="000D0933" w:rsidRPr="003B2606" w:rsidRDefault="000D0933" w:rsidP="000D0933">
            <w:r w:rsidRPr="003B2606">
              <w:rPr>
                <w:b/>
              </w:rPr>
              <w:t>SDG 5</w:t>
            </w:r>
            <w:r w:rsidRPr="003B2606">
              <w:t xml:space="preserve">: Achieve gender equality and empower all women and girls, </w:t>
            </w:r>
            <w:r w:rsidRPr="003B2606">
              <w:rPr>
                <w:b/>
              </w:rPr>
              <w:t>Target</w:t>
            </w:r>
            <w:r w:rsidRPr="003B2606">
              <w:rPr>
                <w:rFonts w:ascii="Arial" w:hAnsi="Arial" w:cs="Arial"/>
                <w:b/>
              </w:rPr>
              <w:t xml:space="preserve"> </w:t>
            </w:r>
            <w:r w:rsidRPr="003B2606">
              <w:rPr>
                <w:b/>
              </w:rPr>
              <w:t>5.4</w:t>
            </w:r>
            <w:r w:rsidRPr="003B2606">
              <w:t>: Undertake reforms to give women equal rights to economic resources, as well as access to ownership and control over land and other forms of property, financial services, inheritance and natural resources, in accordance with national laws.</w:t>
            </w:r>
          </w:p>
        </w:tc>
      </w:tr>
    </w:tbl>
    <w:p w14:paraId="79C4B313" w14:textId="137FB547" w:rsidR="000E6730" w:rsidRPr="003B2606" w:rsidRDefault="000E6730" w:rsidP="000E6730">
      <w:pPr>
        <w:pStyle w:val="Heading2"/>
      </w:pPr>
      <w:r w:rsidRPr="003B2606">
        <w:lastRenderedPageBreak/>
        <w:t>Methodology</w:t>
      </w:r>
    </w:p>
    <w:p w14:paraId="4D225E9D" w14:textId="554330E2" w:rsidR="0006498B" w:rsidRPr="003B2606" w:rsidRDefault="00A83163" w:rsidP="0006498B">
      <w:pPr>
        <w:pStyle w:val="BodyGaramond11"/>
        <w:spacing w:before="120" w:after="120" w:line="240" w:lineRule="auto"/>
        <w:jc w:val="both"/>
        <w:rPr>
          <w:rFonts w:ascii="Calibri" w:hAnsi="Calibri" w:cs="Calibri"/>
          <w:sz w:val="20"/>
          <w:szCs w:val="20"/>
          <w:lang w:eastAsia="zh-CN"/>
        </w:rPr>
      </w:pPr>
      <w:r w:rsidRPr="003B2606">
        <w:rPr>
          <w:rFonts w:ascii="Calibri" w:hAnsi="Calibri" w:cs="Calibri"/>
          <w:sz w:val="20"/>
          <w:szCs w:val="20"/>
        </w:rPr>
        <w:t>This gender mainstreaming plan</w:t>
      </w:r>
      <w:r w:rsidR="0006498B" w:rsidRPr="003B2606">
        <w:rPr>
          <w:rFonts w:ascii="Calibri" w:hAnsi="Calibri" w:cs="Calibri"/>
          <w:sz w:val="20"/>
          <w:szCs w:val="20"/>
        </w:rPr>
        <w:t xml:space="preserve"> was developed in accordance with relevant sections of the UNDP Guidance Note on Gender Analysis</w:t>
      </w:r>
      <w:r w:rsidR="0006498B" w:rsidRPr="003B2606">
        <w:rPr>
          <w:rStyle w:val="FootnoteReference"/>
          <w:rFonts w:ascii="Calibri" w:hAnsi="Calibri" w:cs="Calibri"/>
          <w:sz w:val="20"/>
          <w:szCs w:val="20"/>
        </w:rPr>
        <w:footnoteReference w:id="1"/>
      </w:r>
      <w:r w:rsidR="0006498B" w:rsidRPr="003B2606">
        <w:rPr>
          <w:rFonts w:ascii="Calibri" w:hAnsi="Calibri" w:cs="Calibri"/>
          <w:sz w:val="20"/>
          <w:szCs w:val="20"/>
        </w:rPr>
        <w:t xml:space="preserve">, </w:t>
      </w:r>
      <w:r w:rsidR="0006498B" w:rsidRPr="003B2606">
        <w:rPr>
          <w:rFonts w:ascii="Calibri" w:hAnsi="Calibri" w:cs="Calibri"/>
          <w:sz w:val="20"/>
          <w:szCs w:val="20"/>
          <w:lang w:eastAsia="zh-CN"/>
        </w:rPr>
        <w:t xml:space="preserve">UNDP Gender Equality Strategy </w:t>
      </w:r>
      <w:r w:rsidR="00830951" w:rsidRPr="003B2606">
        <w:rPr>
          <w:rFonts w:ascii="Calibri" w:hAnsi="Calibri" w:cs="Calibri"/>
          <w:sz w:val="20"/>
          <w:szCs w:val="20"/>
          <w:lang w:eastAsia="zh-CN"/>
        </w:rPr>
        <w:t>2018</w:t>
      </w:r>
      <w:r w:rsidR="0006498B" w:rsidRPr="003B2606">
        <w:rPr>
          <w:rFonts w:ascii="Calibri" w:hAnsi="Calibri" w:cs="Calibri"/>
          <w:sz w:val="20"/>
          <w:szCs w:val="20"/>
          <w:lang w:eastAsia="zh-CN"/>
        </w:rPr>
        <w:t>-</w:t>
      </w:r>
      <w:r w:rsidR="00830951" w:rsidRPr="003B2606">
        <w:rPr>
          <w:rFonts w:ascii="Calibri" w:hAnsi="Calibri" w:cs="Calibri"/>
          <w:sz w:val="20"/>
          <w:szCs w:val="20"/>
          <w:lang w:eastAsia="zh-CN"/>
        </w:rPr>
        <w:t>2021</w:t>
      </w:r>
      <w:r w:rsidR="0006498B" w:rsidRPr="003B2606">
        <w:rPr>
          <w:rFonts w:ascii="Calibri" w:hAnsi="Calibri" w:cs="Calibri"/>
          <w:sz w:val="20"/>
          <w:szCs w:val="20"/>
          <w:lang w:eastAsia="zh-CN"/>
        </w:rPr>
        <w:t xml:space="preserve">, </w:t>
      </w:r>
      <w:r w:rsidR="0006498B" w:rsidRPr="003B2606">
        <w:rPr>
          <w:rFonts w:ascii="Calibri" w:hAnsi="Calibri" w:cs="Calibri"/>
          <w:sz w:val="20"/>
          <w:szCs w:val="20"/>
        </w:rPr>
        <w:t>UNDP Social and Environmental Standards</w:t>
      </w:r>
      <w:r w:rsidR="0006498B" w:rsidRPr="003B2606">
        <w:rPr>
          <w:rStyle w:val="FootnoteReference"/>
          <w:rFonts w:ascii="Calibri" w:hAnsi="Calibri" w:cs="Calibri"/>
          <w:sz w:val="20"/>
          <w:szCs w:val="20"/>
        </w:rPr>
        <w:footnoteReference w:id="2"/>
      </w:r>
      <w:r w:rsidR="0065078D" w:rsidRPr="003B2606">
        <w:rPr>
          <w:rFonts w:ascii="Calibri" w:hAnsi="Calibri" w:cs="Calibri"/>
          <w:sz w:val="20"/>
          <w:szCs w:val="20"/>
          <w:lang w:eastAsia="zh-CN"/>
        </w:rPr>
        <w:t xml:space="preserve"> and the GEF gender policy and guidelines</w:t>
      </w:r>
      <w:r w:rsidR="0065078D" w:rsidRPr="003B2606">
        <w:rPr>
          <w:rStyle w:val="FootnoteReference"/>
          <w:rFonts w:ascii="Calibri" w:hAnsi="Calibri" w:cs="Calibri"/>
          <w:sz w:val="20"/>
          <w:szCs w:val="20"/>
          <w:lang w:eastAsia="zh-CN"/>
        </w:rPr>
        <w:footnoteReference w:id="3"/>
      </w:r>
      <w:r w:rsidR="0065078D" w:rsidRPr="003B2606">
        <w:rPr>
          <w:rFonts w:ascii="Calibri" w:hAnsi="Calibri" w:cs="Calibri"/>
          <w:sz w:val="20"/>
          <w:szCs w:val="20"/>
          <w:lang w:eastAsia="zh-CN"/>
        </w:rPr>
        <w:t xml:space="preserve"> approved during the 53</w:t>
      </w:r>
      <w:r w:rsidR="0065078D" w:rsidRPr="003B2606">
        <w:rPr>
          <w:rFonts w:ascii="Calibri" w:hAnsi="Calibri" w:cs="Calibri"/>
          <w:sz w:val="20"/>
          <w:szCs w:val="20"/>
          <w:vertAlign w:val="superscript"/>
          <w:lang w:eastAsia="zh-CN"/>
        </w:rPr>
        <w:t>rd</w:t>
      </w:r>
      <w:r w:rsidR="0065078D" w:rsidRPr="003B2606">
        <w:rPr>
          <w:rFonts w:ascii="Calibri" w:hAnsi="Calibri" w:cs="Calibri"/>
          <w:sz w:val="20"/>
          <w:szCs w:val="20"/>
          <w:lang w:eastAsia="zh-CN"/>
        </w:rPr>
        <w:t xml:space="preserve"> Council Meeting in November 2017 and having an effective date of 1 July 2018</w:t>
      </w:r>
      <w:r w:rsidR="0006498B" w:rsidRPr="003B2606">
        <w:rPr>
          <w:rFonts w:ascii="Calibri" w:hAnsi="Calibri" w:cs="Calibri"/>
          <w:sz w:val="20"/>
          <w:szCs w:val="20"/>
          <w:lang w:eastAsia="zh-CN"/>
        </w:rPr>
        <w:t>.</w:t>
      </w:r>
      <w:r w:rsidR="0065078D" w:rsidRPr="003B2606">
        <w:rPr>
          <w:rFonts w:ascii="Calibri" w:hAnsi="Calibri" w:cs="Calibri"/>
          <w:sz w:val="20"/>
          <w:szCs w:val="20"/>
          <w:lang w:eastAsia="zh-CN"/>
        </w:rPr>
        <w:t xml:space="preserve"> The approved GEF gender policy is a shift from a gender-aware, “do no harm” approach, to a gender-responsive, “do good” approach, which better addresses the gender gaps critical to the achievement of global environmental benefits.</w:t>
      </w:r>
    </w:p>
    <w:p w14:paraId="650AA305" w14:textId="3A92E7E8" w:rsidR="00CD177B" w:rsidRPr="003B2606" w:rsidRDefault="0044630D" w:rsidP="00421EFC">
      <w:pPr>
        <w:pStyle w:val="Heading1"/>
        <w:rPr>
          <w:color w:val="002060"/>
        </w:rPr>
      </w:pPr>
      <w:r w:rsidRPr="003B2606">
        <w:rPr>
          <w:color w:val="002060"/>
        </w:rPr>
        <w:t>Gender Analysis</w:t>
      </w:r>
    </w:p>
    <w:p w14:paraId="5CBE8E3D" w14:textId="172F646C" w:rsidR="000F7F7E" w:rsidRPr="003B2606" w:rsidRDefault="000F7F7E" w:rsidP="000F7F7E">
      <w:pPr>
        <w:pStyle w:val="Heading2"/>
      </w:pPr>
      <w:r w:rsidRPr="003B2606">
        <w:t>Gender Situation in China</w:t>
      </w:r>
    </w:p>
    <w:p w14:paraId="29826AB8" w14:textId="77777777" w:rsidR="00120940" w:rsidRDefault="000F7F7E" w:rsidP="000F7F7E">
      <w:pPr>
        <w:rPr>
          <w:szCs w:val="20"/>
        </w:rPr>
      </w:pPr>
      <w:r w:rsidRPr="003B2606">
        <w:t>There have been substantive improvements in China over the past 30 years regarding human and gender development. China’s human development index (HDI)</w:t>
      </w:r>
      <w:r w:rsidRPr="003B2606">
        <w:rPr>
          <w:rStyle w:val="FootnoteReference"/>
        </w:rPr>
        <w:footnoteReference w:id="4"/>
      </w:r>
      <w:r w:rsidR="00F10EEE">
        <w:t xml:space="preserve"> for 2019 is 0.761</w:t>
      </w:r>
      <w:r w:rsidRPr="003B2606">
        <w:t>, repre</w:t>
      </w:r>
      <w:r w:rsidR="00F10EEE">
        <w:t>senting an increase of nearly 52.5</w:t>
      </w:r>
      <w:r w:rsidRPr="003B2606">
        <w:t>% si</w:t>
      </w:r>
      <w:r w:rsidR="00F10EEE">
        <w:t>nce 1990, when the HDI was 0.499</w:t>
      </w:r>
      <w:r w:rsidR="00120940">
        <w:t xml:space="preserve">. </w:t>
      </w:r>
      <w:r w:rsidR="00120940">
        <w:rPr>
          <w:szCs w:val="20"/>
        </w:rPr>
        <w:t xml:space="preserve">China’s 2019 HDI </w:t>
      </w:r>
      <w:r w:rsidR="00120940" w:rsidRPr="00120940">
        <w:t>of 0.761 is above the average of 0.753 for countries in the high human development group and above the average of 0.747 for countries in East Asia and the Pacific.</w:t>
      </w:r>
      <w:r w:rsidR="00120940">
        <w:rPr>
          <w:szCs w:val="20"/>
        </w:rPr>
        <w:t xml:space="preserve"> </w:t>
      </w:r>
    </w:p>
    <w:p w14:paraId="7962D5DB" w14:textId="77777777" w:rsidR="00806556" w:rsidRDefault="000F7F7E" w:rsidP="00806556">
      <w:r w:rsidRPr="003B2606">
        <w:t>The separate measure of gender development, applying the gender development index (GDI)</w:t>
      </w:r>
      <w:r w:rsidRPr="003B2606">
        <w:rPr>
          <w:rStyle w:val="FootnoteReference"/>
        </w:rPr>
        <w:footnoteReference w:id="5"/>
      </w:r>
      <w:r w:rsidRPr="003B2606">
        <w:t xml:space="preserve"> also shows the situation in China is comparable to that in other high human developmen</w:t>
      </w:r>
      <w:r w:rsidR="00C17438">
        <w:t>t countries. China’s GDI in 2019 was 0.957</w:t>
      </w:r>
      <w:r w:rsidRPr="003B2606">
        <w:t>, slightly lower than the</w:t>
      </w:r>
      <w:r w:rsidR="00C17438">
        <w:t xml:space="preserve"> 0.961</w:t>
      </w:r>
      <w:r w:rsidRPr="003B2606">
        <w:t xml:space="preserve"> average for high HDI countries. China’s gender inequality index (GII), which reflects gender-based inequalities in the three dimensions of reproductive health, empowerment and econ</w:t>
      </w:r>
      <w:r w:rsidR="00C17438">
        <w:t>omic activity, was 0.168 in 2019</w:t>
      </w:r>
      <w:r w:rsidRPr="003B2606">
        <w:t>, placing the country at a ranking of 3</w:t>
      </w:r>
      <w:r w:rsidR="00C17438">
        <w:t>9 out of 162 countries. The 2020</w:t>
      </w:r>
      <w:r w:rsidRPr="003B2606">
        <w:t xml:space="preserve"> Human Development report further indicates that i</w:t>
      </w:r>
      <w:r w:rsidRPr="00147E7E">
        <w:t xml:space="preserve">n China, 24.9 percent of parliamentary seats are held by women, </w:t>
      </w:r>
      <w:r w:rsidR="00147E7E" w:rsidRPr="00147E7E">
        <w:t xml:space="preserve">76.0 </w:t>
      </w:r>
      <w:r w:rsidRPr="00147E7E">
        <w:t xml:space="preserve">percent of adult women have reached at least a secondary level of education compared to </w:t>
      </w:r>
      <w:r w:rsidR="00147E7E" w:rsidRPr="00147E7E">
        <w:t>83.3</w:t>
      </w:r>
      <w:r w:rsidRPr="00147E7E">
        <w:t xml:space="preserve"> percent of their male counterparts, and female participation in the labor market is </w:t>
      </w:r>
      <w:r w:rsidR="00147E7E" w:rsidRPr="00147E7E">
        <w:t>60.5</w:t>
      </w:r>
      <w:r w:rsidRPr="00147E7E">
        <w:t xml:space="preserve"> percent compared to </w:t>
      </w:r>
      <w:r w:rsidR="00147E7E" w:rsidRPr="00147E7E">
        <w:t>75.3</w:t>
      </w:r>
      <w:r w:rsidRPr="00147E7E">
        <w:t xml:space="preserve"> for men.</w:t>
      </w:r>
    </w:p>
    <w:p w14:paraId="6FD7F812" w14:textId="16EA2629" w:rsidR="000F7F7E" w:rsidRDefault="000F7F7E" w:rsidP="00053656">
      <w:r w:rsidRPr="003B2606">
        <w:rPr>
          <w:szCs w:val="20"/>
        </w:rPr>
        <w:t xml:space="preserve">Despite the positive improvements in gender equality as indicated by the UNDP indices, </w:t>
      </w:r>
      <w:r w:rsidR="00663CD5">
        <w:rPr>
          <w:szCs w:val="20"/>
        </w:rPr>
        <w:t xml:space="preserve">gender equality remains a long-term </w:t>
      </w:r>
      <w:r w:rsidR="00806556">
        <w:rPr>
          <w:szCs w:val="20"/>
        </w:rPr>
        <w:t xml:space="preserve">social, economic and cultural goal </w:t>
      </w:r>
      <w:r w:rsidR="00053656">
        <w:rPr>
          <w:szCs w:val="20"/>
        </w:rPr>
        <w:t xml:space="preserve">to achieve </w:t>
      </w:r>
      <w:r w:rsidR="00806556">
        <w:rPr>
          <w:szCs w:val="20"/>
        </w:rPr>
        <w:t xml:space="preserve">in China. </w:t>
      </w:r>
      <w:r w:rsidR="00053656">
        <w:rPr>
          <w:szCs w:val="20"/>
        </w:rPr>
        <w:t>As indicated by “Women and Men in China – Facts and Figures 2019”</w:t>
      </w:r>
      <w:r w:rsidR="00053656">
        <w:rPr>
          <w:rStyle w:val="FootnoteReference"/>
          <w:szCs w:val="20"/>
        </w:rPr>
        <w:footnoteReference w:id="6"/>
      </w:r>
      <w:r w:rsidR="00053656">
        <w:rPr>
          <w:szCs w:val="20"/>
        </w:rPr>
        <w:t xml:space="preserve">, </w:t>
      </w:r>
      <w:r w:rsidR="00053656">
        <w:t>w</w:t>
      </w:r>
      <w:r w:rsidR="00806556" w:rsidRPr="003B2606">
        <w:t>omen deputies account for 24.9 of the 13th National People’s Congress and 20.4% of the membership of the 13th National Committee of the CPPCC, far lower than men. There is just one woman in the 25-member Politburo of the Communist Party. In enterprises, women account for just 30% of decision-making positions. In the rural areas, only 11.1% of village committee directors were served by women in 2018.</w:t>
      </w:r>
      <w:r w:rsidR="00053656">
        <w:t xml:space="preserve"> </w:t>
      </w:r>
      <w:r w:rsidRPr="003B2606">
        <w:t>Women in rural and urban areas alike spend twice as much time on unpaid care work than men. Among the reasons for women employees losing a job, 32% is due to conflicts with taking care of the family while that for male employees was only 2.9%.</w:t>
      </w:r>
    </w:p>
    <w:p w14:paraId="5630FD19" w14:textId="7C1F96CD" w:rsidR="00916221" w:rsidRDefault="00BC371A" w:rsidP="00916221">
      <w:r>
        <w:t>Based on data</w:t>
      </w:r>
      <w:r w:rsidR="00716E25">
        <w:t xml:space="preserve"> of</w:t>
      </w:r>
      <w:r>
        <w:t xml:space="preserve"> Chinese General Social Survey 2013</w:t>
      </w:r>
      <w:r>
        <w:rPr>
          <w:rStyle w:val="FootnoteReference"/>
        </w:rPr>
        <w:footnoteReference w:id="7"/>
      </w:r>
      <w:r>
        <w:t xml:space="preserve">, </w:t>
      </w:r>
      <w:r w:rsidR="00916221">
        <w:t>as compared with men, w</w:t>
      </w:r>
      <w:r>
        <w:t xml:space="preserve">omen’s disadvantages in terms of income levels are still obvious. Men’s average incomes are roughly 32.4% higher than women’s. At the same time, the female labor force participation rate is only 75.7% and significantly lower than the male </w:t>
      </w:r>
      <w:r w:rsidR="00916221">
        <w:t>rate (94.9%). W</w:t>
      </w:r>
      <w:r>
        <w:t xml:space="preserve">omen work fewer hours in the labor market, working an average of 12 hours less per week than men. </w:t>
      </w:r>
      <w:r w:rsidR="00916221">
        <w:t>While women’s education levels are constantly improving, average education levels among men are still higher than those among women.</w:t>
      </w:r>
    </w:p>
    <w:p w14:paraId="2FC6B8A7" w14:textId="7EEC11C5" w:rsidR="00053656" w:rsidRPr="00E34914" w:rsidRDefault="00812D70" w:rsidP="00E34914">
      <w:r>
        <w:t>In China, like in many other countries in Asia, traditional</w:t>
      </w:r>
      <w:r w:rsidR="00916221">
        <w:t xml:space="preserve"> gender role attitudes </w:t>
      </w:r>
      <w:r>
        <w:t>are deeply rooted in the society and have a significant</w:t>
      </w:r>
      <w:r w:rsidR="00916221">
        <w:t xml:space="preserve"> impact on the income gap between men and women. </w:t>
      </w:r>
      <w:r w:rsidR="00E34914">
        <w:t xml:space="preserve">They also </w:t>
      </w:r>
      <w:r w:rsidR="00916221">
        <w:t>have a significantly negative correlation with women’s education levels, labor force participation rates, working hours, and occupational status.</w:t>
      </w:r>
    </w:p>
    <w:p w14:paraId="5A49B121" w14:textId="77777777" w:rsidR="000F7F7E" w:rsidRPr="003B2606" w:rsidRDefault="000F7F7E" w:rsidP="000F7F7E">
      <w:pPr>
        <w:widowControl w:val="0"/>
        <w:tabs>
          <w:tab w:val="left" w:pos="432"/>
        </w:tabs>
        <w:spacing w:before="60"/>
        <w:outlineLvl w:val="7"/>
        <w:rPr>
          <w:rFonts w:cs="Calibri"/>
          <w:lang w:eastAsia="zh-CN"/>
        </w:rPr>
      </w:pPr>
      <w:r w:rsidRPr="003B2606">
        <w:rPr>
          <w:rFonts w:cs="Calibri"/>
          <w:lang w:eastAsia="zh-CN"/>
        </w:rPr>
        <w:t>In China, an important stakeholder with respect to gender mainstreaming is the All-China Women’s Federation (ACWF), a women’s rights organization, responsible for promoting government policies on women and protecting women’s rights within the government. The ACWF is run from the national level, with active branch units at the provincial, municipal, county, township and village levels.</w:t>
      </w:r>
    </w:p>
    <w:p w14:paraId="71DDB133" w14:textId="48821000" w:rsidR="000F7F7E" w:rsidRPr="003B2606" w:rsidRDefault="000F7F7E" w:rsidP="000F7F7E">
      <w:pPr>
        <w:rPr>
          <w:szCs w:val="20"/>
        </w:rPr>
      </w:pPr>
      <w:r w:rsidRPr="003B2606">
        <w:rPr>
          <w:szCs w:val="20"/>
        </w:rPr>
        <w:lastRenderedPageBreak/>
        <w:t>To promote gender equality and empowerment of women, the Chinese government, the State Council Women and Children Working Committee</w:t>
      </w:r>
      <w:r w:rsidR="00716E25">
        <w:rPr>
          <w:szCs w:val="20"/>
        </w:rPr>
        <w:t xml:space="preserve"> (SCWCWC)</w:t>
      </w:r>
      <w:r w:rsidRPr="003B2606">
        <w:rPr>
          <w:szCs w:val="20"/>
        </w:rPr>
        <w:t xml:space="preserve"> supported by ACWF, formulated </w:t>
      </w:r>
      <w:r w:rsidRPr="003B2606">
        <w:rPr>
          <w:rFonts w:cs="Calibri"/>
        </w:rPr>
        <w:t xml:space="preserve">the National Program on </w:t>
      </w:r>
      <w:r w:rsidRPr="003B2606">
        <w:rPr>
          <w:rFonts w:cs="Calibri"/>
          <w:i/>
          <w:iCs/>
        </w:rPr>
        <w:t>the Development of Chinese Women</w:t>
      </w:r>
      <w:r w:rsidRPr="003B2606">
        <w:rPr>
          <w:rFonts w:cs="Calibri"/>
        </w:rPr>
        <w:t xml:space="preserve"> (2011-2020)</w:t>
      </w:r>
      <w:r w:rsidRPr="003B2606">
        <w:rPr>
          <w:rFonts w:cs="Calibri"/>
          <w:lang w:eastAsia="zh-CN"/>
        </w:rPr>
        <w:t xml:space="preserve"> in 2010 which set up clear goals and targets to narrow the gender gap in</w:t>
      </w:r>
      <w:r w:rsidRPr="003B2606">
        <w:rPr>
          <w:rFonts w:cs="Calibri"/>
        </w:rPr>
        <w:t xml:space="preserve"> seven fields, including </w:t>
      </w:r>
      <w:hyperlink r:id="rId9" w:history="1">
        <w:r w:rsidRPr="003B2606">
          <w:rPr>
            <w:rFonts w:cs="Calibri"/>
          </w:rPr>
          <w:t>health</w:t>
        </w:r>
      </w:hyperlink>
      <w:r w:rsidRPr="003B2606">
        <w:rPr>
          <w:rFonts w:cs="Calibri"/>
        </w:rPr>
        <w:t xml:space="preserve">, </w:t>
      </w:r>
      <w:hyperlink r:id="rId10" w:history="1">
        <w:r w:rsidRPr="003B2606">
          <w:rPr>
            <w:rFonts w:cs="Calibri"/>
          </w:rPr>
          <w:t>education</w:t>
        </w:r>
      </w:hyperlink>
      <w:r w:rsidRPr="003B2606">
        <w:rPr>
          <w:rFonts w:cs="Calibri"/>
        </w:rPr>
        <w:t xml:space="preserve">, economy, </w:t>
      </w:r>
      <w:hyperlink r:id="rId11" w:history="1">
        <w:r w:rsidRPr="003B2606">
          <w:rPr>
            <w:rFonts w:cs="Calibri"/>
          </w:rPr>
          <w:t>political</w:t>
        </w:r>
      </w:hyperlink>
      <w:r w:rsidRPr="003B2606">
        <w:rPr>
          <w:rFonts w:cs="Calibri"/>
        </w:rPr>
        <w:t xml:space="preserve"> participation, social </w:t>
      </w:r>
      <w:hyperlink r:id="rId12" w:history="1">
        <w:r w:rsidRPr="003B2606">
          <w:rPr>
            <w:rFonts w:cs="Calibri"/>
          </w:rPr>
          <w:t>security</w:t>
        </w:r>
      </w:hyperlink>
      <w:r w:rsidRPr="003B2606">
        <w:rPr>
          <w:rFonts w:cs="Calibri"/>
        </w:rPr>
        <w:t xml:space="preserve">, </w:t>
      </w:r>
      <w:hyperlink r:id="rId13" w:history="1">
        <w:r w:rsidRPr="003B2606">
          <w:rPr>
            <w:rFonts w:cs="Calibri"/>
          </w:rPr>
          <w:t>environment</w:t>
        </w:r>
      </w:hyperlink>
      <w:r w:rsidRPr="003B2606">
        <w:rPr>
          <w:rFonts w:cs="Calibri"/>
        </w:rPr>
        <w:t xml:space="preserve">, and </w:t>
      </w:r>
      <w:hyperlink r:id="rId14" w:history="1">
        <w:r w:rsidRPr="003B2606">
          <w:rPr>
            <w:rFonts w:cs="Calibri"/>
          </w:rPr>
          <w:t>law</w:t>
        </w:r>
      </w:hyperlink>
      <w:r w:rsidRPr="003B2606">
        <w:rPr>
          <w:rFonts w:cs="Calibri"/>
        </w:rPr>
        <w:t>. To understand the implementation results of the program, the National Bureau of Statistics of China conducted a comprehensive assessment in 2018. The results showed that the implementation had yielded positive results in most of the targets. At the same time, the report also acknowledged gaps in other areas</w:t>
      </w:r>
      <w:r w:rsidRPr="003B2606">
        <w:rPr>
          <w:rStyle w:val="FootnoteReference"/>
          <w:rFonts w:cs="Calibri"/>
        </w:rPr>
        <w:footnoteReference w:id="8"/>
      </w:r>
      <w:r w:rsidRPr="003B2606">
        <w:rPr>
          <w:rFonts w:cs="Calibri"/>
        </w:rPr>
        <w:t xml:space="preserve">. </w:t>
      </w:r>
      <w:r w:rsidR="00716E25">
        <w:rPr>
          <w:szCs w:val="20"/>
        </w:rPr>
        <w:t>It</w:t>
      </w:r>
      <w:r w:rsidRPr="003B2606">
        <w:rPr>
          <w:szCs w:val="20"/>
        </w:rPr>
        <w:t xml:space="preserve"> concluded that as of the end of 2018, most of the program targets were achieved ahead of the schedule. However, under the target of “Women and Health”, the screening rate of common </w:t>
      </w:r>
      <w:r w:rsidR="00B012A3" w:rsidRPr="003B2606">
        <w:rPr>
          <w:szCs w:val="20"/>
        </w:rPr>
        <w:t>gynecological</w:t>
      </w:r>
      <w:r w:rsidRPr="003B2606">
        <w:rPr>
          <w:szCs w:val="20"/>
        </w:rPr>
        <w:t xml:space="preserve"> diseases had fallen behind. So had the women’s membership rate in village committees and penetration rate of rural sanitary toilets. Much more still needs to be done to narrow the gap in maternal mortality rate between urban and rural areas and to increase the percentage of women receiving vocational education and training.</w:t>
      </w:r>
    </w:p>
    <w:p w14:paraId="402C5F9B" w14:textId="393B23EA" w:rsidR="008436B2" w:rsidRPr="003B2606" w:rsidRDefault="000F7F7E" w:rsidP="008436B2">
      <w:pPr>
        <w:rPr>
          <w:szCs w:val="20"/>
        </w:rPr>
      </w:pPr>
      <w:r w:rsidRPr="003B2606">
        <w:rPr>
          <w:szCs w:val="20"/>
        </w:rPr>
        <w:t>In 2018, the proportion of women in village committees was 24%. Although it was 0.9 percentage points higher than in 2017 and 2.6 percentage points higher than in 2010, there is still a gap with the</w:t>
      </w:r>
      <w:r w:rsidR="00D24CB8" w:rsidRPr="003B2606">
        <w:rPr>
          <w:szCs w:val="20"/>
        </w:rPr>
        <w:t xml:space="preserve"> program</w:t>
      </w:r>
      <w:r w:rsidRPr="003B2606">
        <w:rPr>
          <w:szCs w:val="20"/>
        </w:rPr>
        <w:t xml:space="preserve"> target of "reaching 30% or more"</w:t>
      </w:r>
      <w:r w:rsidR="008436B2" w:rsidRPr="008436B2">
        <w:rPr>
          <w:szCs w:val="20"/>
        </w:rPr>
        <w:t>.</w:t>
      </w:r>
    </w:p>
    <w:p w14:paraId="30CA590F" w14:textId="07F6A26E" w:rsidR="00E41023" w:rsidRPr="003B2606" w:rsidRDefault="00E41023" w:rsidP="00777B0C">
      <w:pPr>
        <w:pStyle w:val="Heading2"/>
      </w:pPr>
      <w:r w:rsidRPr="003B2606">
        <w:t>Gender Issues associated with</w:t>
      </w:r>
      <w:r w:rsidR="00DF5260">
        <w:t xml:space="preserve"> Covid-19</w:t>
      </w:r>
      <w:r w:rsidR="00B80560">
        <w:t xml:space="preserve"> Pandemic</w:t>
      </w:r>
      <w:r w:rsidRPr="003B2606">
        <w:t xml:space="preserve"> </w:t>
      </w:r>
      <w:r w:rsidR="00472664" w:rsidRPr="003B2606">
        <w:t>in China</w:t>
      </w:r>
    </w:p>
    <w:p w14:paraId="277CDDAB" w14:textId="0A3AC86A" w:rsidR="00B80560" w:rsidRDefault="00B80560" w:rsidP="00064549">
      <w:r w:rsidRPr="00B80560">
        <w:t xml:space="preserve">The COVID-19 pandemic has led to a dramatic </w:t>
      </w:r>
      <w:r>
        <w:t xml:space="preserve">economic and social disruption </w:t>
      </w:r>
      <w:r w:rsidRPr="00B80560">
        <w:t>and presents an unprecedented challen</w:t>
      </w:r>
      <w:r>
        <w:t xml:space="preserve">ge to public health, food security and workplace worldwide. In China, due to </w:t>
      </w:r>
      <w:r w:rsidR="00AA140A">
        <w:t>strict lockdown</w:t>
      </w:r>
      <w:r w:rsidR="00064549">
        <w:t>s</w:t>
      </w:r>
      <w:r w:rsidR="00AA140A">
        <w:t xml:space="preserve"> in the first wave, enterprises suffered extensive losses and employees from many small and medium sized enterpri</w:t>
      </w:r>
      <w:r w:rsidR="00064549">
        <w:t xml:space="preserve">ses faced threat of losing their livelihood. </w:t>
      </w:r>
    </w:p>
    <w:p w14:paraId="039CC659" w14:textId="6C22290D" w:rsidR="00652F86" w:rsidRDefault="00D90170" w:rsidP="00652F86">
      <w:r>
        <w:t>T</w:t>
      </w:r>
      <w:r w:rsidR="00064549">
        <w:t>he pandemic</w:t>
      </w:r>
      <w:r>
        <w:t xml:space="preserve"> ha</w:t>
      </w:r>
      <w:r w:rsidR="00064549">
        <w:t xml:space="preserve"> affected men and women differently due to different social, economic circumstances and different degree of vulnerability. </w:t>
      </w:r>
      <w:r w:rsidR="00652F86">
        <w:t>A research project by Gender and Covid-19 Network</w:t>
      </w:r>
      <w:r w:rsidR="00652F86">
        <w:rPr>
          <w:rStyle w:val="FootnoteReference"/>
        </w:rPr>
        <w:footnoteReference w:id="9"/>
      </w:r>
      <w:r w:rsidR="00436405">
        <w:t xml:space="preserve"> </w:t>
      </w:r>
      <w:r w:rsidR="00652F86">
        <w:t>examine</w:t>
      </w:r>
      <w:r w:rsidR="00436405">
        <w:t>d</w:t>
      </w:r>
      <w:r w:rsidR="00652F86">
        <w:t xml:space="preserve"> the economic, social and political gender effects of the outbreak in China. </w:t>
      </w:r>
      <w:r w:rsidR="004B4894">
        <w:t>It found that t</w:t>
      </w:r>
      <w:r w:rsidR="00652F86">
        <w:t>he experience of lockdown in Hubei saw a dramatic rise in reports of domesti</w:t>
      </w:r>
      <w:r w:rsidR="004B4894">
        <w:t>c violence against women</w:t>
      </w:r>
      <w:r w:rsidR="00652F86">
        <w:t xml:space="preserve">. </w:t>
      </w:r>
      <w:r w:rsidR="004B4894">
        <w:t>T</w:t>
      </w:r>
      <w:r w:rsidR="00652F86">
        <w:t>he rates of return to work for w</w:t>
      </w:r>
      <w:r w:rsidR="00C17CEB">
        <w:t>omen has been significantly lower</w:t>
      </w:r>
      <w:r w:rsidR="00652F86">
        <w:t xml:space="preserve"> than for men, and the care burden has been significantly higher for women than for men.  During the lockdown in affected areas, </w:t>
      </w:r>
      <w:r w:rsidR="004B4894">
        <w:t>gender</w:t>
      </w:r>
      <w:r w:rsidR="00C17CEB">
        <w:t>,</w:t>
      </w:r>
      <w:r w:rsidR="004B4894">
        <w:t xml:space="preserve"> along with factors such as </w:t>
      </w:r>
      <w:r w:rsidR="00652F86">
        <w:t>ethnicity, income</w:t>
      </w:r>
      <w:r w:rsidR="004B4894">
        <w:t xml:space="preserve"> level, and age have determining effect on people’s</w:t>
      </w:r>
      <w:r w:rsidR="00652F86">
        <w:t xml:space="preserve"> access to food, internet and information on the outbreak. </w:t>
      </w:r>
    </w:p>
    <w:p w14:paraId="0C274B66" w14:textId="74F54ACF" w:rsidR="00064549" w:rsidRPr="00AD3F96" w:rsidRDefault="001750A3" w:rsidP="00AD3F96">
      <w:r>
        <w:t>Another research examining</w:t>
      </w:r>
      <w:r w:rsidR="00652F86">
        <w:t xml:space="preserve"> the gendered impacts of the COVID-19 pandemic on the Chinese migrant</w:t>
      </w:r>
      <w:r w:rsidR="005D5874">
        <w:t xml:space="preserve"> worker</w:t>
      </w:r>
      <w:r w:rsidR="00652F86">
        <w:t>s who had returned to their hometowns for the Spring Festival b</w:t>
      </w:r>
      <w:r>
        <w:t>efore the Wuhan lockdown, conclude</w:t>
      </w:r>
      <w:r w:rsidR="00652F86">
        <w:t>s that women migrant</w:t>
      </w:r>
      <w:r w:rsidR="005D5874">
        <w:t xml:space="preserve"> workers were less likely than their male counterparts</w:t>
      </w:r>
      <w:r w:rsidR="00652F86">
        <w:t xml:space="preserve"> to return to the cities and also less likely to return to paid work after the pandemi</w:t>
      </w:r>
      <w:r>
        <w:t>c outbreak</w:t>
      </w:r>
      <w:r w:rsidR="00231967">
        <w:rPr>
          <w:rStyle w:val="FootnoteReference"/>
        </w:rPr>
        <w:footnoteReference w:id="10"/>
      </w:r>
      <w:r w:rsidR="00231967">
        <w:t>.</w:t>
      </w:r>
      <w:r>
        <w:t xml:space="preserve"> H</w:t>
      </w:r>
      <w:r w:rsidR="00652F86">
        <w:t>aving a preschool-age child had a strong negative effect on women migrants’ employment decisions, but it had no effect o</w:t>
      </w:r>
      <w:r w:rsidR="00AD3F96">
        <w:t xml:space="preserve">n men migrants’ decisions.  While the COVID-19 pandemic had negative employment consequences for Chinese migrant workers, women migrants were the hardest hit and more likely to withdraw from migration flows and paid work. Women’s caregiving roles are the main causes of their withdrawal. The pandemic has reinforced traditional gender roles and heightened labor market inequalities. As a result, the Covid-19 in China has caused a setback in the </w:t>
      </w:r>
      <w:r w:rsidR="00652F86">
        <w:t>progress made in pre-pandemic times in advancing Chinese rural women’</w:t>
      </w:r>
      <w:r w:rsidR="00AD3F96">
        <w:t>s position in the labor market.</w:t>
      </w:r>
    </w:p>
    <w:p w14:paraId="4631274A" w14:textId="1AF32D62" w:rsidR="007E68B7" w:rsidRPr="003B2606" w:rsidRDefault="00DF6E94" w:rsidP="00421EFC">
      <w:pPr>
        <w:pStyle w:val="Heading2"/>
      </w:pPr>
      <w:r w:rsidRPr="003B2606">
        <w:t xml:space="preserve">Gender Situation </w:t>
      </w:r>
      <w:r w:rsidR="00D50A1B">
        <w:t>in the project areas</w:t>
      </w:r>
    </w:p>
    <w:p w14:paraId="59E50833" w14:textId="77777777" w:rsidR="00D50A1B" w:rsidRDefault="00D50A1B" w:rsidP="00D50A1B">
      <w:r w:rsidRPr="002C341E">
        <w:rPr>
          <w:rFonts w:hint="eastAsia"/>
        </w:rPr>
        <w:t xml:space="preserve">The </w:t>
      </w:r>
      <w:r w:rsidRPr="002C341E">
        <w:t xml:space="preserve">general state </w:t>
      </w:r>
      <w:r w:rsidRPr="002C341E">
        <w:rPr>
          <w:rFonts w:hint="eastAsia"/>
        </w:rPr>
        <w:t>of gen</w:t>
      </w:r>
      <w:r w:rsidRPr="002C341E">
        <w:t xml:space="preserve">der equality in the project areas is rather high compared to other areas, especially comparing to other parts of Sichuan. Both Chengdu and </w:t>
      </w:r>
      <w:proofErr w:type="spellStart"/>
      <w:r w:rsidRPr="002C341E">
        <w:t>Xichang</w:t>
      </w:r>
      <w:proofErr w:type="spellEnd"/>
      <w:r w:rsidRPr="002C341E">
        <w:t xml:space="preserve"> have been awarded by the centr</w:t>
      </w:r>
      <w:r w:rsidRPr="002C341E">
        <w:rPr>
          <w:rFonts w:hint="eastAsia"/>
        </w:rPr>
        <w:t>al</w:t>
      </w:r>
      <w:r w:rsidRPr="002C341E">
        <w:t xml:space="preserve"> government</w:t>
      </w:r>
      <w:r w:rsidRPr="002C341E">
        <w:rPr>
          <w:rFonts w:hint="eastAsia"/>
        </w:rPr>
        <w:t xml:space="preserve"> </w:t>
      </w:r>
      <w:r w:rsidRPr="002C341E">
        <w:t xml:space="preserve">for outstanding work in promoting equity between women and men as </w:t>
      </w:r>
      <w:r w:rsidRPr="002C341E">
        <w:rPr>
          <w:rFonts w:hint="eastAsia"/>
        </w:rPr>
        <w:t xml:space="preserve">per </w:t>
      </w:r>
      <w:r w:rsidRPr="002C341E">
        <w:t>comprehensive standards</w:t>
      </w:r>
      <w:r w:rsidRPr="002C341E">
        <w:rPr>
          <w:rFonts w:hint="eastAsia"/>
        </w:rPr>
        <w:t xml:space="preserve"> </w:t>
      </w:r>
      <w:r w:rsidRPr="002C341E">
        <w:t>including education and employment</w:t>
      </w:r>
      <w:r>
        <w:t>,</w:t>
      </w:r>
      <w:r w:rsidRPr="002C341E">
        <w:t xml:space="preserve"> etc.</w:t>
      </w:r>
      <w:r>
        <w:t xml:space="preserve"> In </w:t>
      </w:r>
      <w:proofErr w:type="spellStart"/>
      <w:r>
        <w:t>Xichang</w:t>
      </w:r>
      <w:proofErr w:type="spellEnd"/>
      <w:r>
        <w:t xml:space="preserve"> City, altogether 1,600 women have been trained by the local Women’s Federation on national, provincial policies and legislation</w:t>
      </w:r>
      <w:r>
        <w:rPr>
          <w:rFonts w:hint="eastAsia"/>
        </w:rPr>
        <w:t xml:space="preserve"> </w:t>
      </w:r>
      <w:r>
        <w:t>relevant to gender equity in 2016. Women in the whole city including the government staff, farmers, businessmen, teachers, etc</w:t>
      </w:r>
      <w:r>
        <w:rPr>
          <w:rFonts w:hint="eastAsia"/>
        </w:rPr>
        <w:t>.</w:t>
      </w:r>
      <w:r>
        <w:t xml:space="preserve"> participated. The city government has established </w:t>
      </w:r>
      <w:r w:rsidRPr="004B73A8">
        <w:rPr>
          <w:i/>
        </w:rPr>
        <w:t>Women’s Home</w:t>
      </w:r>
      <w:r>
        <w:t xml:space="preserve"> in every administrative village, which could be used as information or management platform to communicate and mobilize farmers during the project implementation, especially women in the villages.</w:t>
      </w:r>
    </w:p>
    <w:p w14:paraId="5F8E0B65" w14:textId="05EB7C6F" w:rsidR="00F94F8C" w:rsidRPr="003B2606" w:rsidRDefault="00D50A1B" w:rsidP="00D50A1B">
      <w:pPr>
        <w:rPr>
          <w:szCs w:val="20"/>
        </w:rPr>
      </w:pPr>
      <w:r>
        <w:t xml:space="preserve">Women’s Federation is the governmental organization which is in charge of ensuring women’s equal positions and welfare to men. Both the Women’s Federation in </w:t>
      </w:r>
      <w:proofErr w:type="spellStart"/>
      <w:r>
        <w:t>Xichang</w:t>
      </w:r>
      <w:proofErr w:type="spellEnd"/>
      <w:r>
        <w:t xml:space="preserve"> and </w:t>
      </w:r>
      <w:proofErr w:type="spellStart"/>
      <w:r>
        <w:t>Xinjin</w:t>
      </w:r>
      <w:proofErr w:type="spellEnd"/>
      <w:r>
        <w:rPr>
          <w:rFonts w:hint="eastAsia"/>
        </w:rPr>
        <w:t xml:space="preserve"> </w:t>
      </w:r>
      <w:r>
        <w:t xml:space="preserve">have conducted some projects to support women’s </w:t>
      </w:r>
      <w:r>
        <w:lastRenderedPageBreak/>
        <w:t xml:space="preserve">income-generating activities, for example providing micro-credit to women in rural areas. Both the Women’s Federation in </w:t>
      </w:r>
      <w:proofErr w:type="spellStart"/>
      <w:r>
        <w:t>Xichang</w:t>
      </w:r>
      <w:proofErr w:type="spellEnd"/>
      <w:r>
        <w:t xml:space="preserve"> and </w:t>
      </w:r>
      <w:proofErr w:type="spellStart"/>
      <w:r>
        <w:t>Xijing</w:t>
      </w:r>
      <w:proofErr w:type="spellEnd"/>
      <w:r>
        <w:t xml:space="preserve"> could be important partners of project implementation</w:t>
      </w:r>
      <w:r w:rsidR="00AD784B">
        <w:rPr>
          <w:szCs w:val="20"/>
        </w:rPr>
        <w:t>.</w:t>
      </w:r>
    </w:p>
    <w:p w14:paraId="42CB2BFF" w14:textId="10A735A2" w:rsidR="00DE0A8B" w:rsidRPr="003B2606" w:rsidRDefault="0044630D" w:rsidP="00DE0A8B">
      <w:pPr>
        <w:pStyle w:val="Heading1"/>
        <w:rPr>
          <w:color w:val="002060"/>
        </w:rPr>
      </w:pPr>
      <w:r w:rsidRPr="003B2606">
        <w:rPr>
          <w:color w:val="002060"/>
        </w:rPr>
        <w:t>Gender Action Plan</w:t>
      </w:r>
    </w:p>
    <w:p w14:paraId="2FA985D4" w14:textId="21C2CFCA" w:rsidR="00DC5881" w:rsidRPr="003B2606" w:rsidRDefault="00DC5881" w:rsidP="00DE0A8B">
      <w:pPr>
        <w:pStyle w:val="Heading2"/>
      </w:pPr>
      <w:r w:rsidRPr="003B2606">
        <w:t>Project-Specific Gender Considerations</w:t>
      </w:r>
    </w:p>
    <w:p w14:paraId="091D0575" w14:textId="77777777" w:rsidR="00D50A1B" w:rsidRDefault="00D50A1B" w:rsidP="00D50A1B">
      <w:r>
        <w:rPr>
          <w:rFonts w:hint="eastAsia"/>
        </w:rPr>
        <w:t xml:space="preserve">Traditionally </w:t>
      </w:r>
      <w:r>
        <w:t xml:space="preserve">farmers had multiple uses of wetland resources, like fishing in the wetland, aquaculture around the wetland, cultivation and animal husbandry. Men and women, either in </w:t>
      </w:r>
      <w:proofErr w:type="spellStart"/>
      <w:r>
        <w:t>Xichang</w:t>
      </w:r>
      <w:proofErr w:type="spellEnd"/>
      <w:r>
        <w:t xml:space="preserve"> and </w:t>
      </w:r>
      <w:proofErr w:type="spellStart"/>
      <w:r>
        <w:t>Xinjin</w:t>
      </w:r>
      <w:proofErr w:type="spellEnd"/>
      <w:r>
        <w:t>, shared those works equally except fishing</w:t>
      </w:r>
      <w:r>
        <w:rPr>
          <w:rFonts w:hint="eastAsia"/>
        </w:rPr>
        <w:t>. Fish</w:t>
      </w:r>
      <w:r>
        <w:t>ing usually was undertaken by men, however, some women either help their husbands on fishing boats or get seasonal employment. Women have the same economic positions and decision-making power in general as those of men.</w:t>
      </w:r>
    </w:p>
    <w:p w14:paraId="39670F14" w14:textId="77777777" w:rsidR="00D50A1B" w:rsidRDefault="00D50A1B" w:rsidP="00D50A1B">
      <w:r>
        <w:rPr>
          <w:rFonts w:hint="eastAsia"/>
        </w:rPr>
        <w:t>D</w:t>
      </w:r>
      <w:r>
        <w:t>u</w:t>
      </w:r>
      <w:r>
        <w:rPr>
          <w:rFonts w:hint="eastAsia"/>
        </w:rPr>
        <w:t>e</w:t>
      </w:r>
      <w:r>
        <w:t xml:space="preserve"> to wetland park construction, </w:t>
      </w:r>
      <w:r>
        <w:rPr>
          <w:rFonts w:hint="eastAsia"/>
        </w:rPr>
        <w:t>farmer</w:t>
      </w:r>
      <w:r>
        <w:t xml:space="preserve">s received compensation including houses and cash, per household population and cultivated land area, and there was no difference in compensation between men and women. </w:t>
      </w:r>
    </w:p>
    <w:p w14:paraId="41BA473C" w14:textId="77777777" w:rsidR="00D50A1B" w:rsidRDefault="00D50A1B" w:rsidP="00D50A1B">
      <w:r>
        <w:t>Along with losing their access to wetland resources,</w:t>
      </w:r>
      <w:r>
        <w:rPr>
          <w:rFonts w:hint="eastAsia"/>
        </w:rPr>
        <w:t xml:space="preserve"> </w:t>
      </w:r>
      <w:r>
        <w:t>household economy has been transformed to tourism (home-stay) or non-farming employment (sanitation workers in the parks). The two non-traditional economic activities provide higher cash income than traditional fishing or farming. However, the changes of household economy in general resulted in women having more advantages than men.</w:t>
      </w:r>
      <w:r>
        <w:rPr>
          <w:rFonts w:hint="eastAsia"/>
        </w:rPr>
        <w:t xml:space="preserve"> </w:t>
      </w:r>
      <w:r>
        <w:t xml:space="preserve">For example, women usually are responsible for marketing, room preparation, front desk management, etc. which are quite important in the tourism business and increase women’s position in the family and society. </w:t>
      </w:r>
    </w:p>
    <w:p w14:paraId="224BA1E4" w14:textId="77777777" w:rsidR="00D50A1B" w:rsidRDefault="00D50A1B" w:rsidP="00D50A1B">
      <w:r>
        <w:t xml:space="preserve">Correspondently, there are men, particularly those in their 45 – 55 and still strong enough to undertake income-generating works but have difficulty in finding jobs in tourism, park management and other off-farm employment. Some started to play cards or other kinds of gambling to pass their time. Their esteem and social status also quickly decreased since the park construction. These 45 – 55 aged men </w:t>
      </w:r>
      <w:r w:rsidRPr="00D22555">
        <w:t>want to get certain rights of utilizing wetland resources and rehabilitate traditional farming.</w:t>
      </w:r>
    </w:p>
    <w:p w14:paraId="37A1364D" w14:textId="0081E970" w:rsidR="00AC6BBC" w:rsidRPr="000A4B2D" w:rsidRDefault="00D50A1B" w:rsidP="00AC6BBC">
      <w:pPr>
        <w:rPr>
          <w:rFonts w:cstheme="minorHAnsi"/>
          <w:color w:val="000000"/>
        </w:rPr>
      </w:pPr>
      <w:r>
        <w:t>Although being more success to find jobs in tourism and park management, most women still feel that working is not as hard as fishing and farming.</w:t>
      </w:r>
      <w:r w:rsidR="00AC6BBC">
        <w:rPr>
          <w:szCs w:val="20"/>
        </w:rPr>
        <w:t xml:space="preserve"> </w:t>
      </w:r>
    </w:p>
    <w:p w14:paraId="1523488F" w14:textId="52DA1C3B" w:rsidR="00DF22CA" w:rsidRPr="003B2606" w:rsidRDefault="00DF22CA" w:rsidP="00DE0A8B">
      <w:pPr>
        <w:pStyle w:val="Heading2"/>
      </w:pPr>
      <w:r w:rsidRPr="003B2606">
        <w:t xml:space="preserve">Gender </w:t>
      </w:r>
      <w:r w:rsidR="00574152" w:rsidRPr="003B2606">
        <w:t xml:space="preserve">Mainstreaming </w:t>
      </w:r>
      <w:r w:rsidR="005C0905" w:rsidRPr="003B2606">
        <w:t>Framework</w:t>
      </w:r>
    </w:p>
    <w:p w14:paraId="672234AF" w14:textId="77777777" w:rsidR="0006498B" w:rsidRPr="003B2606" w:rsidRDefault="0006498B" w:rsidP="0006498B">
      <w:pPr>
        <w:widowControl w:val="0"/>
        <w:tabs>
          <w:tab w:val="left" w:pos="432"/>
        </w:tabs>
        <w:spacing w:before="60"/>
        <w:outlineLvl w:val="7"/>
        <w:rPr>
          <w:szCs w:val="18"/>
        </w:rPr>
      </w:pPr>
      <w:r w:rsidRPr="003B2606">
        <w:rPr>
          <w:szCs w:val="18"/>
        </w:rPr>
        <w:t>The ways in which the project will support women’s participation and achieve direct benefits for women include the following:</w:t>
      </w:r>
    </w:p>
    <w:p w14:paraId="5B933CA0" w14:textId="7EDEEBFD" w:rsidR="00AA31DC" w:rsidRPr="003B2606" w:rsidRDefault="00AA31DC" w:rsidP="00AA31DC">
      <w:pPr>
        <w:pStyle w:val="ListParagraph"/>
        <w:numPr>
          <w:ilvl w:val="0"/>
          <w:numId w:val="8"/>
        </w:numPr>
        <w:jc w:val="both"/>
      </w:pPr>
      <w:r w:rsidRPr="003B2606">
        <w:t>As needed, organize separate consultations with women to ensure that they receive information about the specific activities and opportunities for them to voice their views, needs and preferences. For consultations in communities consisting primarily of ethnic minorities, communication will also be delivered in local languages and using cultural appropriate methods.</w:t>
      </w:r>
    </w:p>
    <w:p w14:paraId="3A89BF96" w14:textId="608E0362" w:rsidR="00AA31DC" w:rsidRPr="003B2606" w:rsidRDefault="00AA31DC" w:rsidP="00AA31DC">
      <w:pPr>
        <w:pStyle w:val="ListParagraph"/>
        <w:numPr>
          <w:ilvl w:val="0"/>
          <w:numId w:val="8"/>
        </w:numPr>
        <w:jc w:val="both"/>
      </w:pPr>
      <w:r w:rsidRPr="003B2606">
        <w:t>As part</w:t>
      </w:r>
      <w:r w:rsidR="00726B93">
        <w:t xml:space="preserve"> of the participatory</w:t>
      </w:r>
      <w:r w:rsidR="00A65FCB">
        <w:t xml:space="preserve"> rural</w:t>
      </w:r>
      <w:r w:rsidR="00726B93">
        <w:t xml:space="preserve"> </w:t>
      </w:r>
      <w:r w:rsidRPr="003B2606">
        <w:t>assessments, identification and recognition of areas where women play a key role in the cultivation, processing and marketing of traditional crops and livestock, and ide</w:t>
      </w:r>
      <w:r w:rsidR="00044899" w:rsidRPr="003B2606">
        <w:t>ntification of areas where women’s traditional experience</w:t>
      </w:r>
      <w:r w:rsidR="00C17D4A">
        <w:t>, knowledge</w:t>
      </w:r>
      <w:r w:rsidR="00044899" w:rsidRPr="003B2606">
        <w:t xml:space="preserve"> and capabilities</w:t>
      </w:r>
      <w:r w:rsidRPr="003B2606">
        <w:t xml:space="preserve"> could be </w:t>
      </w:r>
      <w:r w:rsidR="00044899" w:rsidRPr="003B2606">
        <w:t xml:space="preserve">tapped or further </w:t>
      </w:r>
      <w:r w:rsidRPr="003B2606">
        <w:t>developed.</w:t>
      </w:r>
    </w:p>
    <w:p w14:paraId="5187A1D3" w14:textId="6C01BEE3" w:rsidR="00AA31DC" w:rsidRPr="003B2606" w:rsidRDefault="008A3AF0" w:rsidP="00AA31DC">
      <w:pPr>
        <w:pStyle w:val="ListParagraph"/>
        <w:numPr>
          <w:ilvl w:val="0"/>
          <w:numId w:val="8"/>
        </w:numPr>
        <w:jc w:val="both"/>
      </w:pPr>
      <w:r w:rsidRPr="003B2606">
        <w:t>Equitable</w:t>
      </w:r>
      <w:r w:rsidR="00AA31DC" w:rsidRPr="003B2606">
        <w:t xml:space="preserve"> representation of women </w:t>
      </w:r>
      <w:r w:rsidR="00F75C38">
        <w:t xml:space="preserve">and gender-safeguard expertise </w:t>
      </w:r>
      <w:r w:rsidR="00AA31DC" w:rsidRPr="003B2606">
        <w:t xml:space="preserve">in </w:t>
      </w:r>
      <w:r w:rsidR="00A65FCB">
        <w:t>the cross-sectoral coordination mechanisms</w:t>
      </w:r>
      <w:r w:rsidR="00AA31DC" w:rsidRPr="003B2606">
        <w:t>.</w:t>
      </w:r>
    </w:p>
    <w:p w14:paraId="5B580EAA" w14:textId="427CAD7E" w:rsidR="00AA31DC" w:rsidRDefault="00AA31DC" w:rsidP="00AA31DC">
      <w:pPr>
        <w:pStyle w:val="ListParagraph"/>
        <w:numPr>
          <w:ilvl w:val="0"/>
          <w:numId w:val="8"/>
        </w:numPr>
        <w:jc w:val="both"/>
      </w:pPr>
      <w:r w:rsidRPr="003B2606">
        <w:t>Targeted training and technical assistance to women</w:t>
      </w:r>
      <w:r w:rsidR="00703AB3" w:rsidRPr="003B2606">
        <w:t xml:space="preserve"> beneficiaries, women gro</w:t>
      </w:r>
      <w:r w:rsidR="00C716C8">
        <w:t>ups and associations</w:t>
      </w:r>
      <w:r w:rsidRPr="003B2606">
        <w:t xml:space="preserve">, ensuring that </w:t>
      </w:r>
      <w:r w:rsidR="00A65FCB">
        <w:t>50</w:t>
      </w:r>
      <w:r w:rsidR="00703AB3" w:rsidRPr="003B2606">
        <w:t>% of direct beneficiaries of the project</w:t>
      </w:r>
      <w:r w:rsidRPr="003B2606">
        <w:t xml:space="preserve"> are women and that training supports them to achieve livelihood objectives</w:t>
      </w:r>
      <w:r w:rsidR="00703AB3" w:rsidRPr="003B2606">
        <w:t xml:space="preserve"> and empowerment</w:t>
      </w:r>
      <w:r w:rsidRPr="003B2606">
        <w:t>.</w:t>
      </w:r>
    </w:p>
    <w:p w14:paraId="44188C4C" w14:textId="2685C0C7" w:rsidR="00B12C2F" w:rsidRPr="00B12C2F" w:rsidRDefault="00B12C2F" w:rsidP="00B12C2F">
      <w:pPr>
        <w:pStyle w:val="Default"/>
        <w:numPr>
          <w:ilvl w:val="0"/>
          <w:numId w:val="8"/>
        </w:numPr>
        <w:spacing w:beforeLines="50" w:before="120" w:afterLines="50" w:after="120"/>
        <w:rPr>
          <w:rFonts w:ascii="Calibri" w:hAnsi="Calibri" w:cs="Times New Roman"/>
          <w:color w:val="auto"/>
          <w:sz w:val="20"/>
          <w:szCs w:val="22"/>
        </w:rPr>
      </w:pPr>
      <w:r w:rsidRPr="00B12C2F">
        <w:rPr>
          <w:rFonts w:ascii="Calibri" w:hAnsi="Calibri" w:cs="Times New Roman" w:hint="eastAsia"/>
          <w:color w:val="auto"/>
          <w:sz w:val="20"/>
          <w:szCs w:val="22"/>
        </w:rPr>
        <w:t>E</w:t>
      </w:r>
      <w:r w:rsidRPr="00B12C2F">
        <w:rPr>
          <w:rFonts w:ascii="Calibri" w:hAnsi="Calibri" w:cs="Times New Roman"/>
          <w:color w:val="auto"/>
          <w:sz w:val="20"/>
          <w:szCs w:val="22"/>
        </w:rPr>
        <w:t xml:space="preserve">nsure different interests </w:t>
      </w:r>
      <w:r w:rsidRPr="00B12C2F">
        <w:rPr>
          <w:rFonts w:ascii="Calibri" w:hAnsi="Calibri" w:cs="Times New Roman" w:hint="eastAsia"/>
          <w:color w:val="auto"/>
          <w:sz w:val="20"/>
          <w:szCs w:val="22"/>
        </w:rPr>
        <w:t>of</w:t>
      </w:r>
      <w:r w:rsidRPr="00B12C2F">
        <w:rPr>
          <w:rFonts w:ascii="Calibri" w:hAnsi="Calibri" w:cs="Times New Roman"/>
          <w:color w:val="auto"/>
          <w:sz w:val="20"/>
          <w:szCs w:val="22"/>
        </w:rPr>
        <w:t xml:space="preserve"> </w:t>
      </w:r>
      <w:r w:rsidRPr="00B12C2F">
        <w:rPr>
          <w:rFonts w:ascii="Calibri" w:hAnsi="Calibri" w:cs="Times New Roman" w:hint="eastAsia"/>
          <w:color w:val="auto"/>
          <w:sz w:val="20"/>
          <w:szCs w:val="22"/>
        </w:rPr>
        <w:t>both</w:t>
      </w:r>
      <w:r w:rsidRPr="00B12C2F">
        <w:rPr>
          <w:rFonts w:ascii="Calibri" w:hAnsi="Calibri" w:cs="Times New Roman"/>
          <w:color w:val="auto"/>
          <w:sz w:val="20"/>
          <w:szCs w:val="22"/>
        </w:rPr>
        <w:t xml:space="preserve"> men and women are incorporated into conservation agreement negotiation</w:t>
      </w:r>
      <w:r w:rsidRPr="00B12C2F">
        <w:rPr>
          <w:rFonts w:ascii="Calibri" w:hAnsi="Calibri" w:cs="Times New Roman"/>
          <w:color w:val="auto"/>
          <w:sz w:val="20"/>
          <w:szCs w:val="22"/>
        </w:rPr>
        <w:t>.</w:t>
      </w:r>
    </w:p>
    <w:p w14:paraId="5C3788FE" w14:textId="086987C7" w:rsidR="00AA31DC" w:rsidRPr="003B2606" w:rsidRDefault="00AA31DC" w:rsidP="00AA31DC">
      <w:pPr>
        <w:pStyle w:val="ListParagraph"/>
        <w:numPr>
          <w:ilvl w:val="0"/>
          <w:numId w:val="8"/>
        </w:numPr>
        <w:jc w:val="both"/>
      </w:pPr>
      <w:r w:rsidRPr="003B2606">
        <w:t>Targeted training of women professionals among provincial and local governmental units.</w:t>
      </w:r>
    </w:p>
    <w:p w14:paraId="598F4E11" w14:textId="3E5D06DE" w:rsidR="00AA31DC" w:rsidRDefault="00194CF1" w:rsidP="00AA31DC">
      <w:pPr>
        <w:pStyle w:val="ListParagraph"/>
        <w:numPr>
          <w:ilvl w:val="0"/>
          <w:numId w:val="8"/>
        </w:numPr>
        <w:jc w:val="both"/>
      </w:pPr>
      <w:r w:rsidRPr="003B2606">
        <w:t>Where feasible, supporting the e</w:t>
      </w:r>
      <w:r w:rsidR="00AA31DC" w:rsidRPr="003B2606">
        <w:t>stablishment of business ventures that are run by women or have a majority participation by women, and facilitating opportunities for women and women groups to participate in project activities aimed a</w:t>
      </w:r>
      <w:r w:rsidRPr="003B2606">
        <w:t>t introducing improved livelihoods activities</w:t>
      </w:r>
      <w:r w:rsidR="00AA31DC" w:rsidRPr="003B2606">
        <w:t>, developing niche markets, broadening partnerships with agricultural associations and enterprises, etc.</w:t>
      </w:r>
    </w:p>
    <w:p w14:paraId="69B2BB30" w14:textId="77777777" w:rsidR="00AA31DC" w:rsidRPr="003B2606" w:rsidRDefault="00AA31DC" w:rsidP="00AA31DC">
      <w:pPr>
        <w:pStyle w:val="ListParagraph"/>
        <w:numPr>
          <w:ilvl w:val="0"/>
          <w:numId w:val="8"/>
        </w:numPr>
        <w:jc w:val="both"/>
      </w:pPr>
      <w:r w:rsidRPr="003B2606">
        <w:t>Equal consideration of women in the baseline knowledge, attitudes and practices (KAP) survey, and targeted awareness-raising actions incorporated into the project knowledge management strategy and action plan.</w:t>
      </w:r>
    </w:p>
    <w:p w14:paraId="08C4188D" w14:textId="354B33F0" w:rsidR="00AA31DC" w:rsidRPr="003B2606" w:rsidRDefault="00AA31DC" w:rsidP="00AA31DC">
      <w:pPr>
        <w:pStyle w:val="ListParagraph"/>
        <w:numPr>
          <w:ilvl w:val="0"/>
          <w:numId w:val="8"/>
        </w:numPr>
        <w:jc w:val="both"/>
      </w:pPr>
      <w:r w:rsidRPr="003B2606">
        <w:lastRenderedPageBreak/>
        <w:t xml:space="preserve">Recruitment of a </w:t>
      </w:r>
      <w:r w:rsidR="00122252">
        <w:t>M&amp;E-</w:t>
      </w:r>
      <w:r w:rsidR="001C1CEA">
        <w:t>Safeguards</w:t>
      </w:r>
      <w:r w:rsidR="001C1CEA" w:rsidRPr="003B2606">
        <w:t xml:space="preserve"> </w:t>
      </w:r>
      <w:r w:rsidR="001C1CEA">
        <w:t>S</w:t>
      </w:r>
      <w:r w:rsidRPr="003B2606">
        <w:t>pecialist to support the gender mainstreaming objectives of the project.</w:t>
      </w:r>
    </w:p>
    <w:p w14:paraId="1307E93F" w14:textId="71BB6243" w:rsidR="00AA31DC" w:rsidRPr="00496AE0" w:rsidRDefault="00AA31DC" w:rsidP="00496AE0">
      <w:pPr>
        <w:pStyle w:val="ListParagraph"/>
        <w:numPr>
          <w:ilvl w:val="0"/>
          <w:numId w:val="8"/>
        </w:numPr>
        <w:jc w:val="both"/>
      </w:pPr>
      <w:r w:rsidRPr="003B2606">
        <w:t>Ensure and encourage equal opportunity recruitment of women for positions within the project management office, consultancies</w:t>
      </w:r>
      <w:r w:rsidR="001C1CEA">
        <w:t>,</w:t>
      </w:r>
      <w:r w:rsidRPr="003B2606">
        <w:t xml:space="preserve"> and other service providers.</w:t>
      </w:r>
    </w:p>
    <w:p w14:paraId="491CB897" w14:textId="4A132970" w:rsidR="00D96398" w:rsidRPr="00122252" w:rsidRDefault="00D96398" w:rsidP="00122252">
      <w:r w:rsidRPr="003B2606">
        <w:t>The gender mainstreaming framework for the project is outlined below.</w:t>
      </w:r>
    </w:p>
    <w:p w14:paraId="42034071" w14:textId="464E6F5D" w:rsidR="002A7C78" w:rsidRPr="003D78DC" w:rsidRDefault="002A7C78" w:rsidP="003D78DC">
      <w:pPr>
        <w:pStyle w:val="Caption"/>
        <w:keepNext/>
        <w:spacing w:before="120"/>
        <w:jc w:val="center"/>
        <w:rPr>
          <w:i/>
          <w:iCs/>
        </w:rPr>
      </w:pPr>
      <w:r w:rsidRPr="003D78DC">
        <w:rPr>
          <w:i/>
          <w:iCs/>
          <w:lang w:val="en-GB"/>
        </w:rPr>
        <w:t xml:space="preserve">Project </w:t>
      </w:r>
      <w:r w:rsidR="00965237" w:rsidRPr="003D78DC">
        <w:rPr>
          <w:i/>
          <w:iCs/>
          <w:lang w:val="en-GB"/>
        </w:rPr>
        <w:t>gender-mainstreaming</w:t>
      </w:r>
      <w:r w:rsidRPr="003D78DC">
        <w:rPr>
          <w:i/>
          <w:iCs/>
          <w:lang w:val="en-GB"/>
        </w:rPr>
        <w:t xml:space="preserve"> framework</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015"/>
      </w:tblGrid>
      <w:tr w:rsidR="00183189" w:rsidRPr="003D78DC" w14:paraId="019BD9BE" w14:textId="77777777" w:rsidTr="00B12C2F">
        <w:trPr>
          <w:trHeight w:val="305"/>
          <w:tblHeader/>
          <w:jc w:val="center"/>
        </w:trPr>
        <w:tc>
          <w:tcPr>
            <w:tcW w:w="2520" w:type="dxa"/>
            <w:tcBorders>
              <w:bottom w:val="single" w:sz="4" w:space="0" w:color="auto"/>
            </w:tcBorders>
            <w:shd w:val="clear" w:color="auto" w:fill="EEECE1" w:themeFill="background2"/>
          </w:tcPr>
          <w:p w14:paraId="6664DB81" w14:textId="77777777" w:rsidR="00183189" w:rsidRPr="003D78DC" w:rsidRDefault="00183189" w:rsidP="00985C1E">
            <w:pPr>
              <w:tabs>
                <w:tab w:val="left" w:pos="1440"/>
              </w:tabs>
              <w:spacing w:before="40" w:after="40"/>
              <w:jc w:val="center"/>
              <w:rPr>
                <w:rFonts w:eastAsia="Times New Roman"/>
                <w:b/>
                <w:color w:val="000000"/>
                <w:sz w:val="18"/>
                <w:szCs w:val="18"/>
                <w:lang w:eastAsia="en-GB"/>
              </w:rPr>
            </w:pPr>
            <w:r w:rsidRPr="003D78DC">
              <w:rPr>
                <w:rFonts w:eastAsia="Times New Roman"/>
                <w:b/>
                <w:color w:val="000000"/>
                <w:sz w:val="18"/>
                <w:szCs w:val="18"/>
                <w:lang w:eastAsia="en-GB"/>
              </w:rPr>
              <w:t>Strategic principle</w:t>
            </w:r>
          </w:p>
        </w:tc>
        <w:tc>
          <w:tcPr>
            <w:tcW w:w="7015" w:type="dxa"/>
            <w:tcBorders>
              <w:bottom w:val="single" w:sz="4" w:space="0" w:color="auto"/>
            </w:tcBorders>
            <w:shd w:val="clear" w:color="auto" w:fill="EEECE1" w:themeFill="background2"/>
          </w:tcPr>
          <w:p w14:paraId="4645DF7F" w14:textId="77777777" w:rsidR="00183189" w:rsidRPr="003D78DC" w:rsidRDefault="00183189" w:rsidP="00985C1E">
            <w:pPr>
              <w:tabs>
                <w:tab w:val="left" w:pos="1440"/>
              </w:tabs>
              <w:spacing w:before="40" w:after="40"/>
              <w:jc w:val="center"/>
              <w:rPr>
                <w:rFonts w:eastAsia="Times New Roman"/>
                <w:b/>
                <w:color w:val="000000"/>
                <w:sz w:val="18"/>
                <w:szCs w:val="18"/>
                <w:lang w:eastAsia="en-GB"/>
              </w:rPr>
            </w:pPr>
            <w:r w:rsidRPr="003D78DC">
              <w:rPr>
                <w:rFonts w:eastAsia="Times New Roman"/>
                <w:b/>
                <w:color w:val="000000"/>
                <w:sz w:val="18"/>
                <w:szCs w:val="18"/>
                <w:lang w:eastAsia="en-GB"/>
              </w:rPr>
              <w:t>Actions</w:t>
            </w:r>
          </w:p>
        </w:tc>
      </w:tr>
      <w:tr w:rsidR="00183189" w:rsidRPr="003D78DC" w14:paraId="2C731189" w14:textId="77777777" w:rsidTr="00B12C2F">
        <w:trPr>
          <w:trHeight w:val="410"/>
          <w:jc w:val="center"/>
        </w:trPr>
        <w:tc>
          <w:tcPr>
            <w:tcW w:w="2520" w:type="dxa"/>
            <w:shd w:val="clear" w:color="auto" w:fill="auto"/>
          </w:tcPr>
          <w:p w14:paraId="52FCEFE4" w14:textId="77777777" w:rsidR="00183189" w:rsidRPr="003D78DC" w:rsidRDefault="00183189" w:rsidP="00183189">
            <w:pPr>
              <w:pStyle w:val="ListParagraph"/>
              <w:numPr>
                <w:ilvl w:val="0"/>
                <w:numId w:val="19"/>
              </w:numPr>
              <w:spacing w:before="40" w:after="40"/>
              <w:ind w:left="155" w:hanging="205"/>
              <w:rPr>
                <w:rFonts w:cs="Cordia New"/>
                <w:color w:val="000000"/>
                <w:sz w:val="18"/>
                <w:szCs w:val="18"/>
                <w:lang w:eastAsia="en-GB"/>
              </w:rPr>
            </w:pPr>
            <w:r w:rsidRPr="003D78DC">
              <w:rPr>
                <w:rFonts w:cs="Cordia New"/>
                <w:color w:val="000000"/>
                <w:sz w:val="18"/>
                <w:szCs w:val="18"/>
                <w:lang w:eastAsia="en-GB"/>
              </w:rPr>
              <w:t>Facilitating women empowerment</w:t>
            </w:r>
          </w:p>
        </w:tc>
        <w:tc>
          <w:tcPr>
            <w:tcW w:w="7015" w:type="dxa"/>
            <w:shd w:val="clear" w:color="auto" w:fill="auto"/>
          </w:tcPr>
          <w:p w14:paraId="4C8BDB90" w14:textId="442CFEAD" w:rsidR="00183189" w:rsidRPr="003D78DC" w:rsidRDefault="00183189" w:rsidP="00985C1E">
            <w:pPr>
              <w:spacing w:before="40" w:after="40"/>
              <w:rPr>
                <w:rFonts w:eastAsia="Times New Roman"/>
                <w:color w:val="000000"/>
                <w:sz w:val="18"/>
                <w:szCs w:val="18"/>
                <w:lang w:eastAsia="en-GB"/>
              </w:rPr>
            </w:pPr>
            <w:r w:rsidRPr="003D78DC">
              <w:rPr>
                <w:rFonts w:eastAsia="Times New Roman"/>
                <w:color w:val="000000"/>
                <w:sz w:val="18"/>
                <w:szCs w:val="18"/>
                <w:lang w:eastAsia="en-GB"/>
              </w:rPr>
              <w:t>Ensure equitable representation of women in project decisi</w:t>
            </w:r>
            <w:r w:rsidR="00E03F1F" w:rsidRPr="003D78DC">
              <w:rPr>
                <w:rFonts w:eastAsia="Times New Roman"/>
                <w:color w:val="000000"/>
                <w:sz w:val="18"/>
                <w:szCs w:val="18"/>
                <w:lang w:eastAsia="en-GB"/>
              </w:rPr>
              <w:t>on-making bodies</w:t>
            </w:r>
            <w:r w:rsidRPr="003D78DC">
              <w:rPr>
                <w:rFonts w:eastAsia="Times New Roman"/>
                <w:color w:val="000000"/>
                <w:sz w:val="18"/>
                <w:szCs w:val="18"/>
                <w:lang w:eastAsia="en-GB"/>
              </w:rPr>
              <w:t>.</w:t>
            </w:r>
          </w:p>
        </w:tc>
      </w:tr>
      <w:tr w:rsidR="00183189" w:rsidRPr="003D78DC" w14:paraId="59E20CA9" w14:textId="77777777" w:rsidTr="00B12C2F">
        <w:trPr>
          <w:trHeight w:val="410"/>
          <w:jc w:val="center"/>
        </w:trPr>
        <w:tc>
          <w:tcPr>
            <w:tcW w:w="2520" w:type="dxa"/>
            <w:tcBorders>
              <w:bottom w:val="single" w:sz="4" w:space="0" w:color="auto"/>
            </w:tcBorders>
            <w:shd w:val="clear" w:color="auto" w:fill="auto"/>
          </w:tcPr>
          <w:p w14:paraId="55746FAA" w14:textId="77777777" w:rsidR="00183189" w:rsidRPr="003D78DC" w:rsidRDefault="00183189" w:rsidP="00183189">
            <w:pPr>
              <w:pStyle w:val="ListParagraph"/>
              <w:numPr>
                <w:ilvl w:val="0"/>
                <w:numId w:val="19"/>
              </w:numPr>
              <w:spacing w:before="40" w:after="40"/>
              <w:ind w:left="155" w:hanging="205"/>
              <w:rPr>
                <w:rFonts w:cs="Cordia New"/>
                <w:color w:val="000000"/>
                <w:sz w:val="18"/>
                <w:szCs w:val="18"/>
                <w:lang w:eastAsia="en-GB"/>
              </w:rPr>
            </w:pPr>
            <w:r w:rsidRPr="003D78DC">
              <w:rPr>
                <w:rFonts w:cs="Cordia New"/>
                <w:color w:val="000000"/>
                <w:sz w:val="18"/>
                <w:szCs w:val="18"/>
                <w:lang w:eastAsia="en-GB"/>
              </w:rPr>
              <w:t>Enhancing gender equality</w:t>
            </w:r>
          </w:p>
        </w:tc>
        <w:tc>
          <w:tcPr>
            <w:tcW w:w="7015" w:type="dxa"/>
            <w:tcBorders>
              <w:bottom w:val="single" w:sz="4" w:space="0" w:color="auto"/>
            </w:tcBorders>
            <w:shd w:val="clear" w:color="auto" w:fill="auto"/>
          </w:tcPr>
          <w:p w14:paraId="195480E8" w14:textId="0ED9CE75" w:rsidR="00183189" w:rsidRPr="003D78DC" w:rsidRDefault="00183189" w:rsidP="00183189">
            <w:pPr>
              <w:tabs>
                <w:tab w:val="left" w:pos="1440"/>
              </w:tabs>
              <w:spacing w:before="40" w:after="40"/>
              <w:rPr>
                <w:rFonts w:eastAsia="Times New Roman"/>
                <w:color w:val="000000"/>
                <w:sz w:val="18"/>
                <w:szCs w:val="18"/>
                <w:lang w:eastAsia="en-GB"/>
              </w:rPr>
            </w:pPr>
            <w:r w:rsidRPr="003D78DC">
              <w:rPr>
                <w:rFonts w:eastAsia="Times New Roman"/>
                <w:color w:val="000000"/>
                <w:sz w:val="18"/>
                <w:szCs w:val="18"/>
                <w:lang w:eastAsia="en-GB"/>
              </w:rPr>
              <w:t xml:space="preserve">Ensure equitable proportion </w:t>
            </w:r>
            <w:r w:rsidRPr="003D78DC">
              <w:rPr>
                <w:rFonts w:eastAsia="Times New Roman"/>
                <w:b/>
                <w:bCs/>
                <w:color w:val="000000"/>
                <w:sz w:val="18"/>
                <w:szCs w:val="18"/>
                <w:lang w:eastAsia="en-GB"/>
              </w:rPr>
              <w:t>(</w:t>
            </w:r>
            <w:r w:rsidR="00122252" w:rsidRPr="003D78DC">
              <w:rPr>
                <w:rFonts w:eastAsia="Times New Roman"/>
                <w:b/>
                <w:bCs/>
                <w:color w:val="000000"/>
                <w:sz w:val="18"/>
                <w:szCs w:val="18"/>
                <w:lang w:eastAsia="en-GB"/>
              </w:rPr>
              <w:t>5</w:t>
            </w:r>
            <w:r w:rsidRPr="003D78DC">
              <w:rPr>
                <w:rFonts w:eastAsia="Times New Roman"/>
                <w:b/>
                <w:bCs/>
                <w:color w:val="000000"/>
                <w:sz w:val="18"/>
                <w:szCs w:val="18"/>
                <w:lang w:eastAsia="en-GB"/>
              </w:rPr>
              <w:t>0%)</w:t>
            </w:r>
            <w:r w:rsidRPr="003D78DC">
              <w:rPr>
                <w:rFonts w:eastAsia="Times New Roman"/>
                <w:color w:val="000000"/>
                <w:sz w:val="18"/>
                <w:szCs w:val="18"/>
                <w:lang w:eastAsia="en-GB"/>
              </w:rPr>
              <w:t xml:space="preserve"> of benefits realized from the project will be delivered to women. </w:t>
            </w:r>
          </w:p>
        </w:tc>
      </w:tr>
      <w:tr w:rsidR="00183189" w:rsidRPr="003D78DC" w14:paraId="14CFB682" w14:textId="77777777" w:rsidTr="00B12C2F">
        <w:trPr>
          <w:trHeight w:val="410"/>
          <w:jc w:val="center"/>
        </w:trPr>
        <w:tc>
          <w:tcPr>
            <w:tcW w:w="2520" w:type="dxa"/>
            <w:tcBorders>
              <w:bottom w:val="single" w:sz="4" w:space="0" w:color="auto"/>
            </w:tcBorders>
            <w:shd w:val="clear" w:color="auto" w:fill="auto"/>
          </w:tcPr>
          <w:p w14:paraId="500C9B11" w14:textId="77777777" w:rsidR="00183189" w:rsidRPr="003D78DC" w:rsidRDefault="00183189" w:rsidP="00183189">
            <w:pPr>
              <w:pStyle w:val="ListParagraph"/>
              <w:numPr>
                <w:ilvl w:val="0"/>
                <w:numId w:val="19"/>
              </w:numPr>
              <w:spacing w:before="40" w:after="40"/>
              <w:ind w:left="155" w:hanging="205"/>
              <w:rPr>
                <w:rFonts w:cs="Cordia New"/>
                <w:color w:val="000000"/>
                <w:sz w:val="18"/>
                <w:szCs w:val="18"/>
                <w:lang w:eastAsia="en-GB"/>
              </w:rPr>
            </w:pPr>
            <w:r w:rsidRPr="003D78DC">
              <w:rPr>
                <w:rFonts w:cs="Cordia New"/>
                <w:color w:val="000000"/>
                <w:sz w:val="18"/>
                <w:szCs w:val="18"/>
                <w:lang w:eastAsia="en-GB"/>
              </w:rPr>
              <w:t xml:space="preserve">Ensuring gender integration </w:t>
            </w:r>
          </w:p>
        </w:tc>
        <w:tc>
          <w:tcPr>
            <w:tcW w:w="7015" w:type="dxa"/>
            <w:tcBorders>
              <w:bottom w:val="single" w:sz="4" w:space="0" w:color="auto"/>
            </w:tcBorders>
            <w:shd w:val="clear" w:color="auto" w:fill="auto"/>
          </w:tcPr>
          <w:p w14:paraId="2F095A08" w14:textId="13023CEF" w:rsidR="00183189" w:rsidRPr="00A65FCB" w:rsidRDefault="00183189" w:rsidP="00985C1E">
            <w:pPr>
              <w:spacing w:before="40" w:after="40"/>
              <w:rPr>
                <w:rFonts w:eastAsia="Times New Roman"/>
                <w:color w:val="000000"/>
                <w:sz w:val="18"/>
                <w:szCs w:val="18"/>
                <w:lang w:eastAsia="en-GB"/>
              </w:rPr>
            </w:pPr>
            <w:r w:rsidRPr="00A65FCB">
              <w:rPr>
                <w:color w:val="000000" w:themeColor="text1"/>
                <w:sz w:val="18"/>
                <w:szCs w:val="18"/>
              </w:rPr>
              <w:t>Ensure gender considerations are integr</w:t>
            </w:r>
            <w:r w:rsidR="00E03F1F" w:rsidRPr="00A65FCB">
              <w:rPr>
                <w:color w:val="000000" w:themeColor="text1"/>
                <w:sz w:val="18"/>
                <w:szCs w:val="18"/>
              </w:rPr>
              <w:t xml:space="preserve">ated into </w:t>
            </w:r>
            <w:r w:rsidR="00A65FCB" w:rsidRPr="00A65FCB">
              <w:rPr>
                <w:color w:val="000000" w:themeColor="text1"/>
                <w:sz w:val="18"/>
                <w:szCs w:val="18"/>
              </w:rPr>
              <w:t>policy amendments, wetland conservation strategies, management plans, and conservation agreements.</w:t>
            </w:r>
            <w:r w:rsidR="00E03F1F" w:rsidRPr="00A65FCB">
              <w:rPr>
                <w:color w:val="000000" w:themeColor="text1"/>
                <w:sz w:val="18"/>
                <w:szCs w:val="18"/>
              </w:rPr>
              <w:t xml:space="preserve"> </w:t>
            </w:r>
          </w:p>
        </w:tc>
      </w:tr>
      <w:tr w:rsidR="00183189" w:rsidRPr="003D78DC" w14:paraId="5BF019F1" w14:textId="77777777" w:rsidTr="00B12C2F">
        <w:trPr>
          <w:trHeight w:val="575"/>
          <w:jc w:val="center"/>
        </w:trPr>
        <w:tc>
          <w:tcPr>
            <w:tcW w:w="2520" w:type="dxa"/>
            <w:shd w:val="clear" w:color="auto" w:fill="auto"/>
          </w:tcPr>
          <w:p w14:paraId="7F994548" w14:textId="77777777" w:rsidR="00183189" w:rsidRPr="003D78DC" w:rsidRDefault="00183189" w:rsidP="00183189">
            <w:pPr>
              <w:pStyle w:val="ListParagraph"/>
              <w:numPr>
                <w:ilvl w:val="0"/>
                <w:numId w:val="19"/>
              </w:numPr>
              <w:spacing w:before="40" w:after="40"/>
              <w:ind w:left="155" w:hanging="205"/>
              <w:rPr>
                <w:rFonts w:cs="Cordia New"/>
                <w:color w:val="000000"/>
                <w:sz w:val="18"/>
                <w:szCs w:val="18"/>
                <w:lang w:eastAsia="en-GB"/>
              </w:rPr>
            </w:pPr>
            <w:r w:rsidRPr="003D78DC">
              <w:rPr>
                <w:rFonts w:cs="Cordia New"/>
                <w:color w:val="000000"/>
                <w:sz w:val="18"/>
                <w:szCs w:val="18"/>
                <w:lang w:eastAsia="en-GB"/>
              </w:rPr>
              <w:t xml:space="preserve">Promoting gender awareness </w:t>
            </w:r>
          </w:p>
        </w:tc>
        <w:tc>
          <w:tcPr>
            <w:tcW w:w="7015" w:type="dxa"/>
            <w:shd w:val="clear" w:color="auto" w:fill="auto"/>
          </w:tcPr>
          <w:p w14:paraId="3603D3DE" w14:textId="77777777" w:rsidR="00183189" w:rsidRPr="003D78DC" w:rsidRDefault="00183189" w:rsidP="00985C1E">
            <w:pPr>
              <w:spacing w:before="40" w:after="40"/>
              <w:rPr>
                <w:rFonts w:eastAsia="Times New Roman"/>
                <w:color w:val="000000"/>
                <w:sz w:val="18"/>
                <w:szCs w:val="18"/>
                <w:lang w:eastAsia="en-GB"/>
              </w:rPr>
            </w:pPr>
            <w:r w:rsidRPr="003D78DC">
              <w:rPr>
                <w:rFonts w:eastAsia="Times New Roman"/>
                <w:color w:val="000000"/>
                <w:sz w:val="18"/>
                <w:szCs w:val="18"/>
                <w:lang w:eastAsia="en-GB"/>
              </w:rPr>
              <w:t>Promote gender awareness throughout the project implementation phase. Project communications and knowledge management tools will have specific materials that will be relevant to women’s empowerment. Six Principles for written and oral communications (UNDP's Principles of Gender Sensitive Communications</w:t>
            </w:r>
            <w:r w:rsidRPr="003D78DC">
              <w:rPr>
                <w:rStyle w:val="FootnoteReference"/>
                <w:rFonts w:eastAsia="Times New Roman"/>
                <w:color w:val="000000"/>
                <w:sz w:val="18"/>
                <w:szCs w:val="18"/>
                <w:lang w:eastAsia="en-GB"/>
              </w:rPr>
              <w:footnoteReference w:id="11"/>
            </w:r>
            <w:r w:rsidRPr="003D78DC">
              <w:rPr>
                <w:rFonts w:eastAsia="Times New Roman"/>
                <w:color w:val="000000"/>
                <w:sz w:val="18"/>
                <w:szCs w:val="18"/>
                <w:lang w:eastAsia="en-GB"/>
              </w:rPr>
              <w:t xml:space="preserve">) will be adapted for gender-sensitive communication: </w:t>
            </w:r>
          </w:p>
          <w:p w14:paraId="4BE3B71A" w14:textId="77777777" w:rsidR="00183189" w:rsidRPr="003D78DC" w:rsidRDefault="00183189" w:rsidP="00183189">
            <w:pPr>
              <w:numPr>
                <w:ilvl w:val="0"/>
                <w:numId w:val="27"/>
              </w:numPr>
              <w:spacing w:before="40" w:after="40"/>
              <w:ind w:left="610"/>
              <w:jc w:val="left"/>
              <w:rPr>
                <w:rFonts w:eastAsia="Times New Roman"/>
                <w:color w:val="000000"/>
                <w:sz w:val="18"/>
                <w:szCs w:val="18"/>
                <w:lang w:eastAsia="en-GB"/>
              </w:rPr>
            </w:pPr>
            <w:r w:rsidRPr="003D78DC">
              <w:rPr>
                <w:rFonts w:eastAsia="Times New Roman"/>
                <w:color w:val="000000"/>
                <w:sz w:val="18"/>
                <w:szCs w:val="18"/>
                <w:lang w:eastAsia="en-GB"/>
              </w:rPr>
              <w:t>Ensure that women and men are represented equally</w:t>
            </w:r>
          </w:p>
          <w:p w14:paraId="79F436E9" w14:textId="77777777" w:rsidR="00183189" w:rsidRPr="003D78DC" w:rsidRDefault="00183189" w:rsidP="00183189">
            <w:pPr>
              <w:numPr>
                <w:ilvl w:val="0"/>
                <w:numId w:val="27"/>
              </w:numPr>
              <w:spacing w:before="40" w:after="40"/>
              <w:ind w:left="610"/>
              <w:jc w:val="left"/>
              <w:rPr>
                <w:rFonts w:eastAsia="Times New Roman"/>
                <w:color w:val="000000"/>
                <w:sz w:val="18"/>
                <w:szCs w:val="18"/>
                <w:lang w:eastAsia="en-GB"/>
              </w:rPr>
            </w:pPr>
            <w:r w:rsidRPr="003D78DC">
              <w:rPr>
                <w:rFonts w:eastAsia="Times New Roman"/>
                <w:color w:val="000000"/>
                <w:sz w:val="18"/>
                <w:szCs w:val="18"/>
                <w:lang w:eastAsia="en-GB"/>
              </w:rPr>
              <w:t>Challenge gender stereotypes with images</w:t>
            </w:r>
          </w:p>
          <w:p w14:paraId="28EB7A03" w14:textId="77777777" w:rsidR="00183189" w:rsidRPr="003D78DC" w:rsidRDefault="00183189" w:rsidP="00183189">
            <w:pPr>
              <w:numPr>
                <w:ilvl w:val="0"/>
                <w:numId w:val="27"/>
              </w:numPr>
              <w:spacing w:before="40" w:after="40"/>
              <w:ind w:left="610"/>
              <w:jc w:val="left"/>
              <w:rPr>
                <w:rFonts w:eastAsia="Times New Roman"/>
                <w:color w:val="000000"/>
                <w:sz w:val="18"/>
                <w:szCs w:val="18"/>
                <w:lang w:eastAsia="en-GB"/>
              </w:rPr>
            </w:pPr>
            <w:r w:rsidRPr="003D78DC">
              <w:rPr>
                <w:rFonts w:eastAsia="Times New Roman"/>
                <w:color w:val="000000"/>
                <w:sz w:val="18"/>
                <w:szCs w:val="18"/>
                <w:lang w:eastAsia="en-GB"/>
              </w:rPr>
              <w:t xml:space="preserve">Avoid exclusionary forms </w:t>
            </w:r>
          </w:p>
          <w:p w14:paraId="6CB4982F" w14:textId="77777777" w:rsidR="00183189" w:rsidRPr="003D78DC" w:rsidRDefault="00183189" w:rsidP="00183189">
            <w:pPr>
              <w:numPr>
                <w:ilvl w:val="0"/>
                <w:numId w:val="27"/>
              </w:numPr>
              <w:spacing w:before="40" w:after="40"/>
              <w:ind w:left="610"/>
              <w:jc w:val="left"/>
              <w:rPr>
                <w:rFonts w:eastAsia="Times New Roman"/>
                <w:color w:val="000000"/>
                <w:sz w:val="18"/>
                <w:szCs w:val="18"/>
                <w:lang w:eastAsia="en-GB"/>
              </w:rPr>
            </w:pPr>
            <w:r w:rsidRPr="003D78DC">
              <w:rPr>
                <w:rFonts w:eastAsia="Times New Roman"/>
                <w:color w:val="000000"/>
                <w:sz w:val="18"/>
                <w:szCs w:val="18"/>
                <w:lang w:eastAsia="en-GB"/>
              </w:rPr>
              <w:t xml:space="preserve">Use equal forms of address </w:t>
            </w:r>
          </w:p>
          <w:p w14:paraId="673F2DC5" w14:textId="77777777" w:rsidR="00183189" w:rsidRPr="003D78DC" w:rsidRDefault="00183189" w:rsidP="00183189">
            <w:pPr>
              <w:numPr>
                <w:ilvl w:val="0"/>
                <w:numId w:val="27"/>
              </w:numPr>
              <w:spacing w:before="40" w:after="40"/>
              <w:ind w:left="610"/>
              <w:jc w:val="left"/>
              <w:rPr>
                <w:rFonts w:eastAsia="Times New Roman"/>
                <w:color w:val="000000"/>
                <w:sz w:val="18"/>
                <w:szCs w:val="18"/>
                <w:lang w:eastAsia="en-GB"/>
              </w:rPr>
            </w:pPr>
            <w:r w:rsidRPr="003D78DC">
              <w:rPr>
                <w:rFonts w:eastAsia="Times New Roman"/>
                <w:color w:val="000000"/>
                <w:sz w:val="18"/>
                <w:szCs w:val="18"/>
                <w:lang w:eastAsia="en-GB"/>
              </w:rPr>
              <w:t xml:space="preserve">Create a gender balance </w:t>
            </w:r>
          </w:p>
          <w:p w14:paraId="7DCBD194" w14:textId="77777777" w:rsidR="00183189" w:rsidRPr="003D78DC" w:rsidRDefault="00183189" w:rsidP="00183189">
            <w:pPr>
              <w:numPr>
                <w:ilvl w:val="0"/>
                <w:numId w:val="27"/>
              </w:numPr>
              <w:spacing w:before="40" w:after="40"/>
              <w:ind w:left="610"/>
              <w:jc w:val="left"/>
              <w:rPr>
                <w:rFonts w:eastAsia="Times New Roman"/>
                <w:color w:val="000000"/>
                <w:sz w:val="18"/>
                <w:szCs w:val="18"/>
                <w:lang w:eastAsia="en-GB"/>
              </w:rPr>
            </w:pPr>
            <w:r w:rsidRPr="003D78DC">
              <w:rPr>
                <w:rFonts w:eastAsia="Times New Roman"/>
                <w:color w:val="000000"/>
                <w:sz w:val="18"/>
                <w:szCs w:val="18"/>
                <w:lang w:eastAsia="en-GB"/>
              </w:rPr>
              <w:t>Promote gender equity through titles</w:t>
            </w:r>
          </w:p>
          <w:p w14:paraId="0F341401" w14:textId="54D215CD" w:rsidR="00965237" w:rsidRPr="003D78DC" w:rsidRDefault="00183189" w:rsidP="000A39E9">
            <w:pPr>
              <w:spacing w:before="40" w:after="40"/>
              <w:rPr>
                <w:rFonts w:eastAsia="Times New Roman"/>
                <w:color w:val="000000"/>
                <w:sz w:val="18"/>
                <w:szCs w:val="18"/>
                <w:lang w:eastAsia="en-GB"/>
              </w:rPr>
            </w:pPr>
            <w:r w:rsidRPr="003D78DC">
              <w:rPr>
                <w:rFonts w:eastAsia="Times New Roman"/>
                <w:color w:val="000000"/>
                <w:sz w:val="18"/>
                <w:szCs w:val="18"/>
                <w:lang w:eastAsia="en-GB"/>
              </w:rPr>
              <w:t>Gender awareness trainings will also include guidance on how to detect, intercept, respond to, and prevent (or refer cases) of sexual harassment, gender-based violence, and other problems that may emerge during project implementation.</w:t>
            </w:r>
          </w:p>
        </w:tc>
      </w:tr>
      <w:tr w:rsidR="00183189" w:rsidRPr="003D78DC" w14:paraId="7AEDE1E9" w14:textId="77777777" w:rsidTr="00B12C2F">
        <w:trPr>
          <w:trHeight w:val="575"/>
          <w:jc w:val="center"/>
        </w:trPr>
        <w:tc>
          <w:tcPr>
            <w:tcW w:w="2520" w:type="dxa"/>
            <w:shd w:val="clear" w:color="auto" w:fill="auto"/>
          </w:tcPr>
          <w:p w14:paraId="25201981" w14:textId="77777777" w:rsidR="00183189" w:rsidRPr="003D78DC" w:rsidRDefault="00183189" w:rsidP="00183189">
            <w:pPr>
              <w:pStyle w:val="ListParagraph"/>
              <w:numPr>
                <w:ilvl w:val="0"/>
                <w:numId w:val="19"/>
              </w:numPr>
              <w:spacing w:before="40" w:after="40"/>
              <w:ind w:left="155" w:hanging="205"/>
              <w:rPr>
                <w:rFonts w:cs="Cordia New"/>
                <w:color w:val="000000"/>
                <w:sz w:val="18"/>
                <w:szCs w:val="18"/>
                <w:lang w:eastAsia="en-GB"/>
              </w:rPr>
            </w:pPr>
            <w:r w:rsidRPr="003D78DC">
              <w:rPr>
                <w:rFonts w:cs="Cordia New"/>
                <w:color w:val="000000"/>
                <w:sz w:val="18"/>
                <w:szCs w:val="18"/>
                <w:lang w:eastAsia="en-GB"/>
              </w:rPr>
              <w:t>Promoting equal opportunity employment</w:t>
            </w:r>
          </w:p>
        </w:tc>
        <w:tc>
          <w:tcPr>
            <w:tcW w:w="7015" w:type="dxa"/>
            <w:shd w:val="clear" w:color="auto" w:fill="auto"/>
          </w:tcPr>
          <w:p w14:paraId="1988B020" w14:textId="77777777" w:rsidR="00183189" w:rsidRPr="003D78DC" w:rsidRDefault="00183189" w:rsidP="00183189">
            <w:pPr>
              <w:spacing w:before="20" w:after="20"/>
              <w:jc w:val="left"/>
              <w:rPr>
                <w:color w:val="000000" w:themeColor="text1"/>
                <w:sz w:val="18"/>
                <w:szCs w:val="18"/>
              </w:rPr>
            </w:pPr>
            <w:r w:rsidRPr="003D78DC">
              <w:rPr>
                <w:color w:val="000000" w:themeColor="text1"/>
                <w:sz w:val="18"/>
                <w:szCs w:val="18"/>
              </w:rPr>
              <w:t>Promote equal opportunity for employment for positions within the project management office and consultancies and service providers supporting implementation of project activities.</w:t>
            </w:r>
          </w:p>
          <w:p w14:paraId="41126D0A" w14:textId="3DAB1311" w:rsidR="00183189" w:rsidRPr="003D78DC" w:rsidRDefault="00183189" w:rsidP="00183189">
            <w:pPr>
              <w:spacing w:before="40" w:after="40"/>
              <w:rPr>
                <w:sz w:val="18"/>
                <w:szCs w:val="18"/>
              </w:rPr>
            </w:pPr>
            <w:r w:rsidRPr="003D78DC">
              <w:rPr>
                <w:color w:val="000000" w:themeColor="text1"/>
                <w:sz w:val="18"/>
                <w:szCs w:val="18"/>
              </w:rPr>
              <w:t>Equal pay will be provided to men and women for work of equal type in accordance with national laws and international norms, and safe working conditions for both women and men workers will be provided</w:t>
            </w:r>
            <w:r w:rsidRPr="003D78DC">
              <w:rPr>
                <w:rFonts w:eastAsia="Times New Roman"/>
                <w:color w:val="000000"/>
                <w:sz w:val="18"/>
                <w:szCs w:val="18"/>
                <w:lang w:eastAsia="en-GB"/>
              </w:rPr>
              <w:t>.</w:t>
            </w:r>
            <w:r w:rsidR="000A39E9" w:rsidRPr="003D78DC">
              <w:rPr>
                <w:rFonts w:eastAsia="Times New Roman"/>
                <w:color w:val="000000"/>
                <w:sz w:val="18"/>
                <w:szCs w:val="18"/>
                <w:lang w:eastAsia="en-GB"/>
              </w:rPr>
              <w:t xml:space="preserve">  </w:t>
            </w:r>
          </w:p>
        </w:tc>
      </w:tr>
      <w:tr w:rsidR="001145E6" w:rsidRPr="003D78DC" w14:paraId="6B858C7F" w14:textId="77777777" w:rsidTr="00B12C2F">
        <w:trPr>
          <w:trHeight w:val="575"/>
          <w:jc w:val="center"/>
        </w:trPr>
        <w:tc>
          <w:tcPr>
            <w:tcW w:w="2520" w:type="dxa"/>
            <w:tcBorders>
              <w:bottom w:val="single" w:sz="4" w:space="0" w:color="auto"/>
            </w:tcBorders>
            <w:shd w:val="clear" w:color="auto" w:fill="auto"/>
          </w:tcPr>
          <w:p w14:paraId="65664E7A" w14:textId="0B5F1304" w:rsidR="001145E6" w:rsidRPr="003D78DC" w:rsidRDefault="001145E6" w:rsidP="00183189">
            <w:pPr>
              <w:pStyle w:val="ListParagraph"/>
              <w:numPr>
                <w:ilvl w:val="0"/>
                <w:numId w:val="19"/>
              </w:numPr>
              <w:spacing w:before="40" w:after="40"/>
              <w:ind w:left="155" w:hanging="205"/>
              <w:rPr>
                <w:rFonts w:cs="Cordia New"/>
                <w:color w:val="000000"/>
                <w:sz w:val="18"/>
                <w:szCs w:val="18"/>
                <w:lang w:eastAsia="en-GB"/>
              </w:rPr>
            </w:pPr>
            <w:r w:rsidRPr="003D78DC">
              <w:rPr>
                <w:rFonts w:cs="Cordia New"/>
                <w:color w:val="000000"/>
                <w:sz w:val="18"/>
                <w:szCs w:val="18"/>
                <w:lang w:eastAsia="en-GB"/>
              </w:rPr>
              <w:t xml:space="preserve">Zero tolerance against any form of Sexual Harassment and Gender based Violence  </w:t>
            </w:r>
          </w:p>
        </w:tc>
        <w:tc>
          <w:tcPr>
            <w:tcW w:w="7015" w:type="dxa"/>
            <w:tcBorders>
              <w:bottom w:val="single" w:sz="4" w:space="0" w:color="auto"/>
            </w:tcBorders>
            <w:shd w:val="clear" w:color="auto" w:fill="auto"/>
          </w:tcPr>
          <w:p w14:paraId="02D94BCB" w14:textId="6A1AD56F" w:rsidR="001145E6" w:rsidRPr="003D78DC" w:rsidRDefault="001145E6" w:rsidP="001145E6">
            <w:pPr>
              <w:spacing w:before="20" w:after="20"/>
              <w:jc w:val="left"/>
              <w:rPr>
                <w:color w:val="000000" w:themeColor="text1"/>
                <w:sz w:val="18"/>
                <w:szCs w:val="18"/>
              </w:rPr>
            </w:pPr>
            <w:r w:rsidRPr="003D78DC">
              <w:rPr>
                <w:color w:val="000000" w:themeColor="text1"/>
                <w:sz w:val="18"/>
                <w:szCs w:val="18"/>
              </w:rPr>
              <w:t>The project will seek to identify and address any risk of potential exposure of affected people to gender-based violence (GBV) and other abuse that may occur in connection with</w:t>
            </w:r>
          </w:p>
          <w:p w14:paraId="653D5BF9" w14:textId="5458DDFE" w:rsidR="001145E6" w:rsidRPr="003D78DC" w:rsidRDefault="001145E6" w:rsidP="001145E6">
            <w:pPr>
              <w:spacing w:before="20" w:after="20"/>
              <w:jc w:val="left"/>
              <w:rPr>
                <w:color w:val="000000" w:themeColor="text1"/>
                <w:sz w:val="18"/>
                <w:szCs w:val="18"/>
              </w:rPr>
            </w:pPr>
            <w:r w:rsidRPr="003D78DC">
              <w:rPr>
                <w:color w:val="000000" w:themeColor="text1"/>
                <w:sz w:val="18"/>
                <w:szCs w:val="18"/>
              </w:rPr>
              <w:t>any of its supported activities. This will entail :</w:t>
            </w:r>
          </w:p>
          <w:p w14:paraId="7DFE4642" w14:textId="77777777" w:rsidR="001145E6" w:rsidRPr="003D78DC" w:rsidRDefault="001145E6" w:rsidP="001145E6">
            <w:pPr>
              <w:spacing w:before="20" w:after="20"/>
              <w:jc w:val="left"/>
              <w:rPr>
                <w:color w:val="000000" w:themeColor="text1"/>
                <w:sz w:val="18"/>
                <w:szCs w:val="18"/>
              </w:rPr>
            </w:pPr>
            <w:r w:rsidRPr="003D78DC">
              <w:rPr>
                <w:color w:val="000000" w:themeColor="text1"/>
                <w:sz w:val="18"/>
                <w:szCs w:val="18"/>
              </w:rPr>
              <w:t>o appropriate prevention and response measures to prevent and to respond</w:t>
            </w:r>
          </w:p>
          <w:p w14:paraId="1EDA4AEA" w14:textId="77777777" w:rsidR="001145E6" w:rsidRPr="003D78DC" w:rsidRDefault="001145E6" w:rsidP="001145E6">
            <w:pPr>
              <w:spacing w:before="20" w:after="20"/>
              <w:jc w:val="left"/>
              <w:rPr>
                <w:color w:val="000000" w:themeColor="text1"/>
                <w:sz w:val="18"/>
                <w:szCs w:val="18"/>
              </w:rPr>
            </w:pPr>
            <w:r w:rsidRPr="003D78DC">
              <w:rPr>
                <w:color w:val="000000" w:themeColor="text1"/>
                <w:sz w:val="18"/>
                <w:szCs w:val="18"/>
              </w:rPr>
              <w:t>effectively to GBV (incl designing activities to prevent/ address potential</w:t>
            </w:r>
          </w:p>
          <w:p w14:paraId="3778AD14" w14:textId="77777777" w:rsidR="001145E6" w:rsidRPr="003D78DC" w:rsidRDefault="001145E6" w:rsidP="001145E6">
            <w:pPr>
              <w:spacing w:before="20" w:after="20"/>
              <w:jc w:val="left"/>
              <w:rPr>
                <w:color w:val="000000" w:themeColor="text1"/>
                <w:sz w:val="18"/>
                <w:szCs w:val="18"/>
              </w:rPr>
            </w:pPr>
            <w:r w:rsidRPr="003D78DC">
              <w:rPr>
                <w:color w:val="000000" w:themeColor="text1"/>
                <w:sz w:val="18"/>
                <w:szCs w:val="18"/>
              </w:rPr>
              <w:t>exposure GBV risks;</w:t>
            </w:r>
          </w:p>
          <w:p w14:paraId="2B94A957" w14:textId="77777777" w:rsidR="001145E6" w:rsidRPr="003D78DC" w:rsidRDefault="001145E6" w:rsidP="001145E6">
            <w:pPr>
              <w:spacing w:before="20" w:after="20"/>
              <w:jc w:val="left"/>
              <w:rPr>
                <w:color w:val="000000" w:themeColor="text1"/>
                <w:sz w:val="18"/>
                <w:szCs w:val="18"/>
              </w:rPr>
            </w:pPr>
            <w:r w:rsidRPr="003D78DC">
              <w:rPr>
                <w:color w:val="000000" w:themeColor="text1"/>
                <w:sz w:val="18"/>
                <w:szCs w:val="18"/>
              </w:rPr>
              <w:t>o screening of personnel;</w:t>
            </w:r>
          </w:p>
          <w:p w14:paraId="0131369E" w14:textId="77777777" w:rsidR="001145E6" w:rsidRPr="003D78DC" w:rsidRDefault="001145E6" w:rsidP="001145E6">
            <w:pPr>
              <w:spacing w:before="20" w:after="20"/>
              <w:jc w:val="left"/>
              <w:rPr>
                <w:color w:val="000000" w:themeColor="text1"/>
                <w:sz w:val="18"/>
                <w:szCs w:val="18"/>
              </w:rPr>
            </w:pPr>
            <w:r w:rsidRPr="003D78DC">
              <w:rPr>
                <w:color w:val="000000" w:themeColor="text1"/>
                <w:sz w:val="18"/>
                <w:szCs w:val="18"/>
              </w:rPr>
              <w:t>o provision of training on prevention and response to GBV;</w:t>
            </w:r>
          </w:p>
          <w:p w14:paraId="5808EDDD" w14:textId="77777777" w:rsidR="001145E6" w:rsidRPr="003D78DC" w:rsidRDefault="001145E6" w:rsidP="001145E6">
            <w:pPr>
              <w:spacing w:before="20" w:after="20"/>
              <w:jc w:val="left"/>
              <w:rPr>
                <w:color w:val="000000" w:themeColor="text1"/>
                <w:sz w:val="18"/>
                <w:szCs w:val="18"/>
              </w:rPr>
            </w:pPr>
            <w:r w:rsidRPr="003D78DC">
              <w:rPr>
                <w:color w:val="000000" w:themeColor="text1"/>
                <w:sz w:val="18"/>
                <w:szCs w:val="18"/>
              </w:rPr>
              <w:t>o effective reporting and response protocols;</w:t>
            </w:r>
          </w:p>
          <w:p w14:paraId="699A2667" w14:textId="77777777" w:rsidR="001145E6" w:rsidRPr="003D78DC" w:rsidRDefault="001145E6" w:rsidP="001145E6">
            <w:pPr>
              <w:spacing w:before="20" w:after="20"/>
              <w:jc w:val="left"/>
              <w:rPr>
                <w:color w:val="000000" w:themeColor="text1"/>
                <w:sz w:val="18"/>
                <w:szCs w:val="18"/>
              </w:rPr>
            </w:pPr>
            <w:r w:rsidRPr="003D78DC">
              <w:rPr>
                <w:color w:val="000000" w:themeColor="text1"/>
                <w:sz w:val="18"/>
                <w:szCs w:val="18"/>
              </w:rPr>
              <w:t>o referrals for safe and confidential survivor assistance; and</w:t>
            </w:r>
          </w:p>
          <w:p w14:paraId="72209C8C" w14:textId="77777777" w:rsidR="001145E6" w:rsidRPr="003D78DC" w:rsidRDefault="001145E6" w:rsidP="001145E6">
            <w:pPr>
              <w:spacing w:before="20" w:after="20"/>
              <w:jc w:val="left"/>
              <w:rPr>
                <w:color w:val="000000" w:themeColor="text1"/>
                <w:sz w:val="18"/>
                <w:szCs w:val="18"/>
              </w:rPr>
            </w:pPr>
            <w:r w:rsidRPr="003D78DC">
              <w:rPr>
                <w:color w:val="000000" w:themeColor="text1"/>
                <w:sz w:val="18"/>
                <w:szCs w:val="18"/>
              </w:rPr>
              <w:t>o prompt investigation of allegations of GBV related to project activities</w:t>
            </w:r>
          </w:p>
          <w:p w14:paraId="42AEBB13" w14:textId="77777777" w:rsidR="001145E6" w:rsidRPr="003D78DC" w:rsidRDefault="001145E6" w:rsidP="001145E6">
            <w:pPr>
              <w:spacing w:before="20" w:after="20"/>
              <w:jc w:val="left"/>
              <w:rPr>
                <w:color w:val="000000" w:themeColor="text1"/>
                <w:sz w:val="18"/>
                <w:szCs w:val="18"/>
              </w:rPr>
            </w:pPr>
          </w:p>
          <w:p w14:paraId="20DD795C" w14:textId="29E99FFA" w:rsidR="001145E6" w:rsidRPr="003D78DC" w:rsidRDefault="001145E6" w:rsidP="001145E6">
            <w:pPr>
              <w:spacing w:before="20" w:after="20"/>
              <w:jc w:val="left"/>
              <w:rPr>
                <w:color w:val="000000" w:themeColor="text1"/>
                <w:sz w:val="18"/>
                <w:szCs w:val="18"/>
              </w:rPr>
            </w:pPr>
            <w:r w:rsidRPr="003D78DC">
              <w:rPr>
                <w:rFonts w:eastAsia="Times New Roman"/>
                <w:color w:val="000000"/>
                <w:sz w:val="18"/>
                <w:szCs w:val="18"/>
                <w:lang w:eastAsia="en-GB"/>
              </w:rPr>
              <w:t>The project will incorporate an assessment of a</w:t>
            </w:r>
            <w:r w:rsidRPr="003D78DC">
              <w:rPr>
                <w:sz w:val="18"/>
                <w:szCs w:val="18"/>
              </w:rPr>
              <w:t xml:space="preserve"> guidance document named </w:t>
            </w:r>
            <w:r w:rsidRPr="003D78DC">
              <w:rPr>
                <w:rFonts w:eastAsia="Times New Roman"/>
                <w:i/>
                <w:iCs/>
                <w:color w:val="000000"/>
                <w:sz w:val="18"/>
                <w:szCs w:val="18"/>
                <w:lang w:eastAsia="en-GB"/>
              </w:rPr>
              <w:t>Strategies for addressing GBV in environmental projects</w:t>
            </w:r>
            <w:r w:rsidRPr="003D78DC">
              <w:rPr>
                <w:rStyle w:val="FootnoteReference"/>
                <w:rFonts w:eastAsia="Times New Roman"/>
                <w:color w:val="000000"/>
                <w:sz w:val="18"/>
                <w:szCs w:val="18"/>
                <w:lang w:eastAsia="en-GB"/>
              </w:rPr>
              <w:footnoteReference w:id="12"/>
            </w:r>
            <w:r w:rsidRPr="003D78DC">
              <w:rPr>
                <w:rFonts w:eastAsia="Times New Roman"/>
                <w:i/>
                <w:iCs/>
                <w:color w:val="000000"/>
                <w:sz w:val="18"/>
                <w:szCs w:val="18"/>
                <w:lang w:eastAsia="en-GB"/>
              </w:rPr>
              <w:t xml:space="preserve"> </w:t>
            </w:r>
            <w:r w:rsidRPr="003D78DC">
              <w:rPr>
                <w:rFonts w:eastAsia="Times New Roman"/>
                <w:color w:val="000000"/>
                <w:sz w:val="18"/>
                <w:szCs w:val="18"/>
                <w:lang w:eastAsia="en-GB"/>
              </w:rPr>
              <w:t>developed by IUCN</w:t>
            </w:r>
            <w:r w:rsidRPr="003D78DC">
              <w:rPr>
                <w:rFonts w:eastAsia="Times New Roman"/>
                <w:i/>
                <w:iCs/>
                <w:color w:val="000000"/>
                <w:sz w:val="18"/>
                <w:szCs w:val="18"/>
                <w:lang w:eastAsia="en-GB"/>
              </w:rPr>
              <w:t xml:space="preserve">. </w:t>
            </w:r>
            <w:r w:rsidRPr="003D78DC">
              <w:rPr>
                <w:rFonts w:eastAsia="Times New Roman"/>
                <w:color w:val="000000"/>
                <w:sz w:val="18"/>
                <w:szCs w:val="18"/>
                <w:lang w:eastAsia="en-GB"/>
              </w:rPr>
              <w:t>These Guidelines identify risks, strengthen safeguards on GBV, and tailor action-oriented recommendations toward gender responsive strategies, stakeholder and partner arrangements, resources, indicators, and outcomes.</w:t>
            </w:r>
          </w:p>
        </w:tc>
      </w:tr>
    </w:tbl>
    <w:p w14:paraId="4C959755" w14:textId="77777777" w:rsidR="005C0905" w:rsidRPr="003B2606" w:rsidRDefault="005C0905" w:rsidP="005C0905">
      <w:pPr>
        <w:pStyle w:val="Heading2"/>
      </w:pPr>
      <w:r w:rsidRPr="003B2606">
        <w:lastRenderedPageBreak/>
        <w:t>Resources, Roles and Responsibilities</w:t>
      </w:r>
    </w:p>
    <w:p w14:paraId="21DB7C83" w14:textId="77777777" w:rsidR="005C0905" w:rsidRPr="003B2606" w:rsidRDefault="005C0905" w:rsidP="005C0905">
      <w:r w:rsidRPr="003B2606">
        <w:t>The project resources allocated for implementing the gender action plan and the respective roles and responsibilities are summarized below.</w:t>
      </w:r>
    </w:p>
    <w:p w14:paraId="317B5BC0" w14:textId="5C2981AE" w:rsidR="000A39E9" w:rsidRPr="00A65FCB" w:rsidRDefault="000A39E9" w:rsidP="003D78DC">
      <w:pPr>
        <w:pStyle w:val="Caption"/>
        <w:keepNext/>
        <w:spacing w:before="120"/>
        <w:jc w:val="center"/>
        <w:rPr>
          <w:i/>
          <w:iCs/>
        </w:rPr>
      </w:pPr>
      <w:r w:rsidRPr="00A65FCB">
        <w:rPr>
          <w:i/>
          <w:iCs/>
          <w:lang w:val="en-GB"/>
        </w:rPr>
        <w:t xml:space="preserve">Roles and </w:t>
      </w:r>
      <w:r w:rsidR="007E3C3C" w:rsidRPr="00A65FCB">
        <w:rPr>
          <w:i/>
          <w:iCs/>
          <w:lang w:val="en-GB"/>
        </w:rPr>
        <w:t>responsibilities</w:t>
      </w:r>
    </w:p>
    <w:tbl>
      <w:tblPr>
        <w:tblStyle w:val="TableGrid"/>
        <w:tblW w:w="0" w:type="auto"/>
        <w:tblLook w:val="04A0" w:firstRow="1" w:lastRow="0" w:firstColumn="1" w:lastColumn="0" w:noHBand="0" w:noVBand="1"/>
      </w:tblPr>
      <w:tblGrid>
        <w:gridCol w:w="2785"/>
        <w:gridCol w:w="6808"/>
      </w:tblGrid>
      <w:tr w:rsidR="005C0905" w:rsidRPr="003B2606" w14:paraId="25E35178" w14:textId="77777777" w:rsidTr="00EA035A">
        <w:trPr>
          <w:tblHeader/>
        </w:trPr>
        <w:tc>
          <w:tcPr>
            <w:tcW w:w="2785" w:type="dxa"/>
            <w:shd w:val="clear" w:color="auto" w:fill="EEECE1" w:themeFill="background2"/>
          </w:tcPr>
          <w:p w14:paraId="7C445EE4" w14:textId="77777777" w:rsidR="005C0905" w:rsidRPr="003B2606" w:rsidRDefault="005C0905" w:rsidP="00EB707B">
            <w:pPr>
              <w:spacing w:before="0"/>
              <w:jc w:val="center"/>
              <w:rPr>
                <w:b/>
                <w:sz w:val="18"/>
              </w:rPr>
            </w:pPr>
            <w:r w:rsidRPr="003B2606">
              <w:rPr>
                <w:b/>
                <w:sz w:val="18"/>
              </w:rPr>
              <w:t>Position / Function</w:t>
            </w:r>
          </w:p>
        </w:tc>
        <w:tc>
          <w:tcPr>
            <w:tcW w:w="6808" w:type="dxa"/>
            <w:shd w:val="clear" w:color="auto" w:fill="EEECE1" w:themeFill="background2"/>
          </w:tcPr>
          <w:p w14:paraId="65F93E99" w14:textId="77777777" w:rsidR="005C0905" w:rsidRPr="003B2606" w:rsidRDefault="005C0905" w:rsidP="00EB707B">
            <w:pPr>
              <w:spacing w:before="0"/>
              <w:jc w:val="center"/>
              <w:rPr>
                <w:b/>
                <w:sz w:val="18"/>
              </w:rPr>
            </w:pPr>
            <w:r w:rsidRPr="003B2606">
              <w:rPr>
                <w:b/>
                <w:sz w:val="18"/>
              </w:rPr>
              <w:t>Roles and Responsibilities</w:t>
            </w:r>
          </w:p>
        </w:tc>
      </w:tr>
      <w:tr w:rsidR="005C0905" w:rsidRPr="003B2606" w14:paraId="3A3709A9" w14:textId="77777777" w:rsidTr="00EA035A">
        <w:tc>
          <w:tcPr>
            <w:tcW w:w="2785" w:type="dxa"/>
          </w:tcPr>
          <w:p w14:paraId="1CB932ED" w14:textId="77777777" w:rsidR="005C0905" w:rsidRPr="003B2606" w:rsidRDefault="005C0905" w:rsidP="00EB707B">
            <w:pPr>
              <w:spacing w:before="0"/>
              <w:jc w:val="left"/>
              <w:rPr>
                <w:sz w:val="18"/>
              </w:rPr>
            </w:pPr>
            <w:r w:rsidRPr="003B2606">
              <w:rPr>
                <w:sz w:val="18"/>
              </w:rPr>
              <w:t>National Project Director</w:t>
            </w:r>
          </w:p>
        </w:tc>
        <w:tc>
          <w:tcPr>
            <w:tcW w:w="6808" w:type="dxa"/>
          </w:tcPr>
          <w:p w14:paraId="07E368C5" w14:textId="77777777" w:rsidR="005C0905" w:rsidRPr="003B2606" w:rsidRDefault="005C0905" w:rsidP="00EB707B">
            <w:pPr>
              <w:spacing w:before="0"/>
              <w:jc w:val="left"/>
              <w:rPr>
                <w:sz w:val="18"/>
              </w:rPr>
            </w:pPr>
            <w:r w:rsidRPr="003B2606">
              <w:rPr>
                <w:sz w:val="18"/>
              </w:rPr>
              <w:t>The National Project Director (NPD) will have overall responsibility for the implementation of the project. The NPD will ensure that the project operates according to relevant national and provincial policies and procedures, including gender mainstreaming objectives.</w:t>
            </w:r>
          </w:p>
        </w:tc>
      </w:tr>
      <w:tr w:rsidR="005C0905" w:rsidRPr="003B2606" w14:paraId="4D69E022" w14:textId="77777777" w:rsidTr="00EA035A">
        <w:tc>
          <w:tcPr>
            <w:tcW w:w="2785" w:type="dxa"/>
          </w:tcPr>
          <w:p w14:paraId="6C7A65CB" w14:textId="3591A45D" w:rsidR="005C0905" w:rsidRPr="003B2606" w:rsidRDefault="00122252" w:rsidP="00EB707B">
            <w:pPr>
              <w:spacing w:before="0"/>
              <w:jc w:val="left"/>
              <w:rPr>
                <w:sz w:val="18"/>
              </w:rPr>
            </w:pPr>
            <w:r>
              <w:rPr>
                <w:sz w:val="18"/>
              </w:rPr>
              <w:t>Project Manager</w:t>
            </w:r>
          </w:p>
        </w:tc>
        <w:tc>
          <w:tcPr>
            <w:tcW w:w="6808" w:type="dxa"/>
          </w:tcPr>
          <w:p w14:paraId="2EA00EF0" w14:textId="4341C4BF" w:rsidR="005C0905" w:rsidRPr="003B2606" w:rsidRDefault="005C0905" w:rsidP="00EB707B">
            <w:pPr>
              <w:spacing w:before="0"/>
              <w:jc w:val="left"/>
              <w:rPr>
                <w:sz w:val="18"/>
              </w:rPr>
            </w:pPr>
            <w:r w:rsidRPr="003B2606">
              <w:rPr>
                <w:sz w:val="18"/>
              </w:rPr>
              <w:t xml:space="preserve">The </w:t>
            </w:r>
            <w:r w:rsidR="00122252">
              <w:rPr>
                <w:sz w:val="18"/>
              </w:rPr>
              <w:t>Project Manager</w:t>
            </w:r>
            <w:r w:rsidRPr="003B2606">
              <w:rPr>
                <w:sz w:val="18"/>
              </w:rPr>
              <w:t xml:space="preserve"> will have responsibility for the day-to-day implementation of the project, be tasked with the important role of ensuring that stakeholders are engaged according to plan, oversee the procurement and implementation of project activities and be accountable that gender mainstreaming and other performance targets are achieved.</w:t>
            </w:r>
          </w:p>
        </w:tc>
      </w:tr>
      <w:tr w:rsidR="005C0905" w:rsidRPr="003B2606" w14:paraId="25146429" w14:textId="77777777" w:rsidTr="00EA035A">
        <w:tc>
          <w:tcPr>
            <w:tcW w:w="2785" w:type="dxa"/>
          </w:tcPr>
          <w:p w14:paraId="71C8551C" w14:textId="2B2B7582" w:rsidR="005C0905" w:rsidRPr="008B43EB" w:rsidRDefault="005C0905" w:rsidP="00EB707B">
            <w:pPr>
              <w:spacing w:before="0"/>
              <w:jc w:val="left"/>
              <w:rPr>
                <w:sz w:val="18"/>
              </w:rPr>
            </w:pPr>
            <w:r w:rsidRPr="008E47B0">
              <w:rPr>
                <w:sz w:val="18"/>
              </w:rPr>
              <w:t xml:space="preserve">Project </w:t>
            </w:r>
            <w:r w:rsidR="00183189" w:rsidRPr="008E47B0">
              <w:rPr>
                <w:sz w:val="18"/>
              </w:rPr>
              <w:t>Board</w:t>
            </w:r>
          </w:p>
        </w:tc>
        <w:tc>
          <w:tcPr>
            <w:tcW w:w="6808" w:type="dxa"/>
          </w:tcPr>
          <w:p w14:paraId="2D760E6E" w14:textId="3D47D671" w:rsidR="005C0905" w:rsidRPr="008B43EB" w:rsidRDefault="005C0905" w:rsidP="00EB707B">
            <w:pPr>
              <w:spacing w:before="0"/>
              <w:jc w:val="left"/>
              <w:rPr>
                <w:sz w:val="18"/>
              </w:rPr>
            </w:pPr>
            <w:r w:rsidRPr="008B43EB">
              <w:rPr>
                <w:sz w:val="18"/>
              </w:rPr>
              <w:t xml:space="preserve">The </w:t>
            </w:r>
            <w:r w:rsidR="00183189" w:rsidRPr="008B43EB">
              <w:rPr>
                <w:sz w:val="18"/>
              </w:rPr>
              <w:t>Project Board</w:t>
            </w:r>
            <w:r w:rsidRPr="008B43EB">
              <w:rPr>
                <w:sz w:val="18"/>
              </w:rPr>
              <w:t xml:space="preserve"> will provide strategic oversight to the project, ensuring that the interests of the representative members are considered, including gender mainstreaming objectives.</w:t>
            </w:r>
          </w:p>
        </w:tc>
      </w:tr>
      <w:tr w:rsidR="005C0905" w:rsidRPr="003B2606" w14:paraId="40143748" w14:textId="77777777" w:rsidTr="00EA035A">
        <w:tc>
          <w:tcPr>
            <w:tcW w:w="2785" w:type="dxa"/>
          </w:tcPr>
          <w:p w14:paraId="05226212" w14:textId="43B3F788" w:rsidR="005C0905" w:rsidRPr="003B2606" w:rsidRDefault="003D78DC" w:rsidP="00EB707B">
            <w:pPr>
              <w:spacing w:before="0"/>
              <w:jc w:val="left"/>
              <w:rPr>
                <w:sz w:val="18"/>
              </w:rPr>
            </w:pPr>
            <w:r>
              <w:rPr>
                <w:sz w:val="18"/>
              </w:rPr>
              <w:t>Protected Area Focal Points and Site Officers</w:t>
            </w:r>
          </w:p>
        </w:tc>
        <w:tc>
          <w:tcPr>
            <w:tcW w:w="6808" w:type="dxa"/>
          </w:tcPr>
          <w:p w14:paraId="1318F8FA" w14:textId="3C2FECC0" w:rsidR="009A45C8" w:rsidRPr="003B2606" w:rsidRDefault="003D78DC" w:rsidP="00D43A57">
            <w:pPr>
              <w:spacing w:before="0"/>
              <w:jc w:val="left"/>
              <w:rPr>
                <w:sz w:val="18"/>
              </w:rPr>
            </w:pPr>
            <w:r>
              <w:rPr>
                <w:sz w:val="18"/>
              </w:rPr>
              <w:t>Protected Area Focal Points and Site Officers will be designated at the two pilot wetland parks</w:t>
            </w:r>
            <w:r w:rsidR="009A45C8">
              <w:rPr>
                <w:sz w:val="18"/>
              </w:rPr>
              <w:t>. The</w:t>
            </w:r>
            <w:r>
              <w:rPr>
                <w:sz w:val="18"/>
              </w:rPr>
              <w:t xml:space="preserve"> focal points and site officers</w:t>
            </w:r>
            <w:r w:rsidR="009A45C8">
              <w:rPr>
                <w:sz w:val="18"/>
              </w:rPr>
              <w:t xml:space="preserve"> will help promote gender issues on the proje</w:t>
            </w:r>
            <w:r w:rsidR="00B208BF">
              <w:rPr>
                <w:sz w:val="18"/>
              </w:rPr>
              <w:t xml:space="preserve">ct and </w:t>
            </w:r>
            <w:r w:rsidR="009A45C8">
              <w:rPr>
                <w:sz w:val="18"/>
              </w:rPr>
              <w:t>assist</w:t>
            </w:r>
            <w:r w:rsidR="00B208BF" w:rsidRPr="00B208BF">
              <w:rPr>
                <w:sz w:val="18"/>
              </w:rPr>
              <w:t xml:space="preserve"> in the implementation of the Gender Action Plan</w:t>
            </w:r>
            <w:r w:rsidR="00B208BF">
              <w:rPr>
                <w:sz w:val="18"/>
              </w:rPr>
              <w:t xml:space="preserve"> and</w:t>
            </w:r>
            <w:r w:rsidR="009A45C8">
              <w:rPr>
                <w:sz w:val="18"/>
              </w:rPr>
              <w:t xml:space="preserve"> monitoring progress towards the achievement of the gender mainstreaming objectives, and advising on training topics and initiatives.</w:t>
            </w:r>
          </w:p>
        </w:tc>
      </w:tr>
      <w:tr w:rsidR="005C0905" w:rsidRPr="003B2606" w14:paraId="383CEAF7" w14:textId="77777777" w:rsidTr="00EA035A">
        <w:tc>
          <w:tcPr>
            <w:tcW w:w="2785" w:type="dxa"/>
          </w:tcPr>
          <w:p w14:paraId="58AF5780" w14:textId="5C172CC5" w:rsidR="005C0905" w:rsidRPr="003B2606" w:rsidRDefault="00C54171" w:rsidP="00EB707B">
            <w:pPr>
              <w:spacing w:before="0"/>
              <w:jc w:val="left"/>
              <w:rPr>
                <w:sz w:val="18"/>
              </w:rPr>
            </w:pPr>
            <w:r>
              <w:rPr>
                <w:sz w:val="18"/>
              </w:rPr>
              <w:t>M&amp;E</w:t>
            </w:r>
            <w:r w:rsidR="001C1CEA">
              <w:rPr>
                <w:sz w:val="18"/>
              </w:rPr>
              <w:t>-</w:t>
            </w:r>
            <w:r w:rsidR="00C10923" w:rsidRPr="003B2606">
              <w:rPr>
                <w:sz w:val="18"/>
              </w:rPr>
              <w:t>Safeguards</w:t>
            </w:r>
            <w:r w:rsidR="005C0905" w:rsidRPr="003B2606">
              <w:rPr>
                <w:sz w:val="18"/>
              </w:rPr>
              <w:t xml:space="preserve"> Specialist</w:t>
            </w:r>
          </w:p>
        </w:tc>
        <w:tc>
          <w:tcPr>
            <w:tcW w:w="6808" w:type="dxa"/>
          </w:tcPr>
          <w:p w14:paraId="59BCBA1E" w14:textId="2331D75C" w:rsidR="005C0905" w:rsidRPr="003B2606" w:rsidRDefault="005C0905" w:rsidP="00EB707B">
            <w:pPr>
              <w:spacing w:before="0"/>
              <w:jc w:val="left"/>
              <w:rPr>
                <w:sz w:val="18"/>
              </w:rPr>
            </w:pPr>
            <w:r w:rsidRPr="003B2606">
              <w:rPr>
                <w:sz w:val="18"/>
              </w:rPr>
              <w:t xml:space="preserve">The project will retain the services of a </w:t>
            </w:r>
            <w:r w:rsidR="00C54171">
              <w:rPr>
                <w:sz w:val="18"/>
              </w:rPr>
              <w:t>M&amp;E</w:t>
            </w:r>
            <w:r w:rsidR="001C1CEA">
              <w:rPr>
                <w:sz w:val="18"/>
              </w:rPr>
              <w:t>-Safeguards</w:t>
            </w:r>
            <w:r w:rsidRPr="003B2606">
              <w:rPr>
                <w:sz w:val="18"/>
              </w:rPr>
              <w:t xml:space="preserve"> Specialist, to support implementation of the gender action plan, deliver training to project stakeholders, provide advice in the developme</w:t>
            </w:r>
            <w:r w:rsidR="00B453A3">
              <w:rPr>
                <w:sz w:val="18"/>
              </w:rPr>
              <w:t>nt of policy</w:t>
            </w:r>
            <w:r w:rsidR="003E5CB6" w:rsidRPr="003B2606">
              <w:rPr>
                <w:sz w:val="18"/>
              </w:rPr>
              <w:t>,</w:t>
            </w:r>
            <w:r w:rsidR="002628C7" w:rsidRPr="003B2606">
              <w:t xml:space="preserve"> </w:t>
            </w:r>
            <w:r w:rsidR="003E5CB6" w:rsidRPr="003B2606">
              <w:rPr>
                <w:sz w:val="18"/>
              </w:rPr>
              <w:t>livelihood activities,</w:t>
            </w:r>
            <w:r w:rsidR="003D78DC">
              <w:rPr>
                <w:sz w:val="18"/>
              </w:rPr>
              <w:t xml:space="preserve"> and</w:t>
            </w:r>
            <w:r w:rsidR="003E5CB6" w:rsidRPr="003B2606">
              <w:rPr>
                <w:sz w:val="18"/>
              </w:rPr>
              <w:t xml:space="preserve"> institutional ca</w:t>
            </w:r>
            <w:r w:rsidR="00B453A3">
              <w:rPr>
                <w:sz w:val="18"/>
              </w:rPr>
              <w:t>pacity building</w:t>
            </w:r>
            <w:r w:rsidRPr="003B2606">
              <w:rPr>
                <w:sz w:val="18"/>
              </w:rPr>
              <w:t xml:space="preserve">. </w:t>
            </w:r>
          </w:p>
        </w:tc>
      </w:tr>
      <w:tr w:rsidR="003D78DC" w:rsidRPr="003B2606" w14:paraId="765B1FC0" w14:textId="77777777" w:rsidTr="00EA035A">
        <w:tc>
          <w:tcPr>
            <w:tcW w:w="2785" w:type="dxa"/>
          </w:tcPr>
          <w:p w14:paraId="52DCF3B8" w14:textId="29FE2BF5" w:rsidR="003D78DC" w:rsidRDefault="003D78DC" w:rsidP="003D78DC">
            <w:pPr>
              <w:spacing w:before="0"/>
              <w:jc w:val="left"/>
              <w:rPr>
                <w:sz w:val="18"/>
              </w:rPr>
            </w:pPr>
            <w:r w:rsidRPr="003B2606">
              <w:rPr>
                <w:sz w:val="18"/>
              </w:rPr>
              <w:t>All-China Women’s Federation</w:t>
            </w:r>
          </w:p>
        </w:tc>
        <w:tc>
          <w:tcPr>
            <w:tcW w:w="6808" w:type="dxa"/>
          </w:tcPr>
          <w:p w14:paraId="017EBE67" w14:textId="4B2D0F2D" w:rsidR="003D78DC" w:rsidRPr="003B2606" w:rsidRDefault="003D78DC" w:rsidP="003D78DC">
            <w:pPr>
              <w:spacing w:before="0"/>
              <w:jc w:val="left"/>
              <w:rPr>
                <w:sz w:val="18"/>
              </w:rPr>
            </w:pPr>
            <w:r>
              <w:rPr>
                <w:sz w:val="18"/>
              </w:rPr>
              <w:t>The</w:t>
            </w:r>
            <w:r w:rsidRPr="008E47B0">
              <w:rPr>
                <w:sz w:val="18"/>
              </w:rPr>
              <w:t xml:space="preserve"> All-China Women’s Federation (ACWF) will be </w:t>
            </w:r>
            <w:r>
              <w:rPr>
                <w:sz w:val="18"/>
              </w:rPr>
              <w:t>invited as a member of</w:t>
            </w:r>
            <w:r w:rsidRPr="008E47B0">
              <w:rPr>
                <w:sz w:val="18"/>
              </w:rPr>
              <w:t xml:space="preserve"> the </w:t>
            </w:r>
            <w:r>
              <w:rPr>
                <w:sz w:val="18"/>
              </w:rPr>
              <w:t>cross-sectoral coordination mechanism</w:t>
            </w:r>
            <w:r w:rsidRPr="008E47B0">
              <w:rPr>
                <w:sz w:val="18"/>
              </w:rPr>
              <w:t>, providing an important linkage of women in development priorities of the region with those of the project.</w:t>
            </w:r>
          </w:p>
        </w:tc>
      </w:tr>
    </w:tbl>
    <w:p w14:paraId="09043EA1" w14:textId="54954D21" w:rsidR="00DE0A8B" w:rsidRPr="003B2606" w:rsidRDefault="00DF22CA" w:rsidP="00DE0A8B">
      <w:pPr>
        <w:pStyle w:val="Heading2"/>
      </w:pPr>
      <w:r w:rsidRPr="003B2606">
        <w:t>Monitoring and Evaluation</w:t>
      </w:r>
    </w:p>
    <w:p w14:paraId="11B92564" w14:textId="13769F3D" w:rsidR="001F5DF3" w:rsidRPr="003B2606" w:rsidRDefault="00101396">
      <w:r w:rsidRPr="003B2606">
        <w:t>The implementation of the gender action plan will be monit</w:t>
      </w:r>
      <w:r w:rsidR="00680F2D">
        <w:t xml:space="preserve">ored and evaluated through the </w:t>
      </w:r>
      <w:r w:rsidR="00C54171">
        <w:t>5</w:t>
      </w:r>
      <w:r w:rsidRPr="003B2606">
        <w:t xml:space="preserve">-year project timeframe. Progress towards achievement of the gender mainstreaming </w:t>
      </w:r>
      <w:r w:rsidR="009A45C8">
        <w:t>objectives</w:t>
      </w:r>
      <w:r w:rsidR="009A45C8" w:rsidRPr="003B2606">
        <w:t xml:space="preserve"> </w:t>
      </w:r>
      <w:r w:rsidRPr="003B2606">
        <w:t>will be monitored and evaluated, and results documented in project progress reports. Adaptive management measures will be put in place, as needed, to adjust the plan to current circumstances and according to the findings of monitoring and evaluation efforts.</w:t>
      </w:r>
    </w:p>
    <w:p w14:paraId="4EC4FC85" w14:textId="2261219F" w:rsidR="00A83163" w:rsidRPr="003B2606" w:rsidRDefault="00101396">
      <w:r w:rsidRPr="003B2606">
        <w:t>Monitoring and evaluation of the implementation of the gender action plan are included in the project M&amp;E plan, with costs allocated accordingly.</w:t>
      </w:r>
    </w:p>
    <w:p w14:paraId="215DABBC" w14:textId="756E3959" w:rsidR="00CD39BF" w:rsidRPr="003B2606" w:rsidRDefault="00F10E66" w:rsidP="0071184D">
      <w:pPr>
        <w:rPr>
          <w:lang w:eastAsia="zh-CN"/>
        </w:rPr>
      </w:pPr>
      <w:r w:rsidRPr="003B2606">
        <w:rPr>
          <w:lang w:eastAsia="zh-CN"/>
        </w:rPr>
        <w:t xml:space="preserve"> </w:t>
      </w:r>
    </w:p>
    <w:sectPr w:rsidR="00CD39BF" w:rsidRPr="003B2606" w:rsidSect="00DB3D9D">
      <w:footerReference w:type="default" r:id="rId15"/>
      <w:pgSz w:w="11907" w:h="16839" w:code="9"/>
      <w:pgMar w:top="1152" w:right="1152" w:bottom="1152" w:left="115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1359" w14:textId="77777777" w:rsidR="00606495" w:rsidRDefault="00606495" w:rsidP="00170929">
      <w:pPr>
        <w:spacing w:before="0" w:after="0"/>
      </w:pPr>
      <w:r>
        <w:separator/>
      </w:r>
    </w:p>
  </w:endnote>
  <w:endnote w:type="continuationSeparator" w:id="0">
    <w:p w14:paraId="2055D411" w14:textId="77777777" w:rsidR="00606495" w:rsidRDefault="00606495" w:rsidP="001709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JAIAN+TimesNewRoman">
    <w:altName w:val="Times New Roman"/>
    <w:charset w:val="00"/>
    <w:family w:val="roman"/>
    <w:pitch w:val="default"/>
    <w:sig w:usb0="00000000" w:usb1="00000000" w:usb2="00000000" w:usb3="00000000" w:csb0="00000001" w:csb1="00000000"/>
  </w:font>
  <w:font w:name="Times New Roman Bold">
    <w:altName w:val="Times New Roman"/>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894A" w14:textId="67BAF0C9" w:rsidR="00AA3118" w:rsidRPr="000F7F7E" w:rsidRDefault="00AA3118" w:rsidP="000F7F7E">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sidR="001145E6">
      <w:rPr>
        <w:noProof/>
        <w:sz w:val="18"/>
        <w:szCs w:val="18"/>
      </w:rPr>
      <w:t>12</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7F69" w14:textId="77777777" w:rsidR="00606495" w:rsidRDefault="00606495" w:rsidP="00170929">
      <w:pPr>
        <w:spacing w:before="0" w:after="0"/>
      </w:pPr>
      <w:r>
        <w:separator/>
      </w:r>
    </w:p>
  </w:footnote>
  <w:footnote w:type="continuationSeparator" w:id="0">
    <w:p w14:paraId="61CE7FBA" w14:textId="77777777" w:rsidR="00606495" w:rsidRDefault="00606495" w:rsidP="00170929">
      <w:pPr>
        <w:spacing w:before="0" w:after="0"/>
      </w:pPr>
      <w:r>
        <w:continuationSeparator/>
      </w:r>
    </w:p>
  </w:footnote>
  <w:footnote w:id="1">
    <w:p w14:paraId="7143174F" w14:textId="77777777" w:rsidR="00AA3118" w:rsidRPr="00D50A1B" w:rsidRDefault="00AA3118" w:rsidP="0065078D">
      <w:pPr>
        <w:pStyle w:val="FootnoteText"/>
        <w:spacing w:after="40" w:line="240" w:lineRule="auto"/>
        <w:rPr>
          <w:rFonts w:asciiTheme="minorHAnsi" w:hAnsiTheme="minorHAnsi" w:cstheme="minorHAnsi"/>
        </w:rPr>
      </w:pPr>
      <w:r w:rsidRPr="00D50A1B">
        <w:rPr>
          <w:rStyle w:val="FootnoteReference"/>
          <w:rFonts w:asciiTheme="minorHAnsi" w:hAnsiTheme="minorHAnsi" w:cstheme="minorHAnsi"/>
        </w:rPr>
        <w:footnoteRef/>
      </w:r>
      <w:r w:rsidRPr="00D50A1B">
        <w:rPr>
          <w:rFonts w:asciiTheme="minorHAnsi" w:hAnsiTheme="minorHAnsi" w:cstheme="minorHAnsi"/>
        </w:rPr>
        <w:t xml:space="preserve"> UNDP, How to Conduct a Gender Analysis, A Guidance Note for UNDP Staff, 2016</w:t>
      </w:r>
    </w:p>
  </w:footnote>
  <w:footnote w:id="2">
    <w:p w14:paraId="35E222FE" w14:textId="7309BD2B" w:rsidR="00AA3118" w:rsidRPr="00D50A1B" w:rsidRDefault="00AA3118" w:rsidP="0065078D">
      <w:pPr>
        <w:pStyle w:val="FootnoteText"/>
        <w:spacing w:after="40" w:line="240" w:lineRule="auto"/>
        <w:rPr>
          <w:rFonts w:asciiTheme="minorHAnsi" w:hAnsiTheme="minorHAnsi" w:cstheme="minorHAnsi"/>
        </w:rPr>
      </w:pPr>
      <w:r w:rsidRPr="00D50A1B">
        <w:rPr>
          <w:rStyle w:val="FootnoteReference"/>
          <w:rFonts w:asciiTheme="minorHAnsi" w:hAnsiTheme="minorHAnsi" w:cstheme="minorHAnsi"/>
        </w:rPr>
        <w:footnoteRef/>
      </w:r>
      <w:r w:rsidRPr="00D50A1B">
        <w:rPr>
          <w:rFonts w:asciiTheme="minorHAnsi" w:hAnsiTheme="minorHAnsi" w:cstheme="minorHAnsi"/>
        </w:rPr>
        <w:t xml:space="preserve"> UNDP Social and Envi</w:t>
      </w:r>
      <w:r w:rsidR="005A2FF8" w:rsidRPr="00D50A1B">
        <w:rPr>
          <w:rFonts w:asciiTheme="minorHAnsi" w:hAnsiTheme="minorHAnsi" w:cstheme="minorHAnsi"/>
        </w:rPr>
        <w:t>ronmental Standards (SES), January 2021</w:t>
      </w:r>
      <w:r w:rsidRPr="00D50A1B">
        <w:rPr>
          <w:rFonts w:asciiTheme="minorHAnsi" w:hAnsiTheme="minorHAnsi" w:cstheme="minorHAnsi"/>
        </w:rPr>
        <w:t>.</w:t>
      </w:r>
    </w:p>
  </w:footnote>
  <w:footnote w:id="3">
    <w:p w14:paraId="1DD0FCDD" w14:textId="4E87FD11" w:rsidR="00AA3118" w:rsidRPr="00D50A1B" w:rsidRDefault="00AA3118" w:rsidP="0065078D">
      <w:pPr>
        <w:pStyle w:val="FootnoteText"/>
        <w:spacing w:after="40" w:line="240" w:lineRule="auto"/>
        <w:rPr>
          <w:rFonts w:asciiTheme="minorHAnsi" w:hAnsiTheme="minorHAnsi" w:cstheme="minorHAnsi"/>
        </w:rPr>
      </w:pPr>
      <w:r w:rsidRPr="00D50A1B">
        <w:rPr>
          <w:rStyle w:val="FootnoteReference"/>
          <w:rFonts w:asciiTheme="minorHAnsi" w:hAnsiTheme="minorHAnsi" w:cstheme="minorHAnsi"/>
        </w:rPr>
        <w:footnoteRef/>
      </w:r>
      <w:r w:rsidRPr="00D50A1B">
        <w:rPr>
          <w:rFonts w:asciiTheme="minorHAnsi" w:hAnsiTheme="minorHAnsi" w:cstheme="minorHAnsi"/>
        </w:rPr>
        <w:t xml:space="preserve"> GEF Policy on Gender Equality (SD/PL/02) and Guidelines on Gender Equality (SD/GN/02), approved on 30 November 2017.</w:t>
      </w:r>
    </w:p>
  </w:footnote>
  <w:footnote w:id="4">
    <w:p w14:paraId="20D7C60C" w14:textId="5617354C" w:rsidR="00AA3118" w:rsidRPr="00D50A1B" w:rsidRDefault="00AA3118" w:rsidP="000F7F7E">
      <w:pPr>
        <w:pStyle w:val="FootnoteText"/>
        <w:spacing w:after="40" w:line="240" w:lineRule="auto"/>
        <w:rPr>
          <w:rFonts w:asciiTheme="minorHAnsi" w:hAnsiTheme="minorHAnsi" w:cstheme="minorHAnsi"/>
        </w:rPr>
      </w:pPr>
      <w:r w:rsidRPr="00D50A1B">
        <w:rPr>
          <w:rStyle w:val="FootnoteReference"/>
          <w:rFonts w:asciiTheme="minorHAnsi" w:hAnsiTheme="minorHAnsi" w:cstheme="minorHAnsi"/>
        </w:rPr>
        <w:footnoteRef/>
      </w:r>
      <w:r w:rsidRPr="00D50A1B">
        <w:rPr>
          <w:rFonts w:asciiTheme="minorHAnsi" w:hAnsiTheme="minorHAnsi" w:cstheme="minorHAnsi"/>
        </w:rPr>
        <w:t xml:space="preserve"> The HDI is a summary measure for assessing long-term progress in three basic dimensions of human development: a long and healthy life, access to knowledge and a decent standard of livin</w:t>
      </w:r>
      <w:r w:rsidR="00351FF6" w:rsidRPr="00D50A1B">
        <w:rPr>
          <w:rFonts w:asciiTheme="minorHAnsi" w:hAnsiTheme="minorHAnsi" w:cstheme="minorHAnsi"/>
        </w:rPr>
        <w:t>g. Human Development Report 2020</w:t>
      </w:r>
      <w:r w:rsidRPr="00D50A1B">
        <w:rPr>
          <w:rFonts w:asciiTheme="minorHAnsi" w:hAnsiTheme="minorHAnsi" w:cstheme="minorHAnsi"/>
        </w:rPr>
        <w:t>, UNDP.</w:t>
      </w:r>
    </w:p>
  </w:footnote>
  <w:footnote w:id="5">
    <w:p w14:paraId="10D58FC8" w14:textId="77777777" w:rsidR="00AA3118" w:rsidRPr="00D50A1B" w:rsidRDefault="00AA3118" w:rsidP="000F7F7E">
      <w:pPr>
        <w:pStyle w:val="FootnoteText"/>
        <w:spacing w:after="40" w:line="240" w:lineRule="auto"/>
        <w:rPr>
          <w:rFonts w:asciiTheme="minorHAnsi" w:hAnsiTheme="minorHAnsi" w:cstheme="minorHAnsi"/>
        </w:rPr>
      </w:pPr>
      <w:r w:rsidRPr="00D50A1B">
        <w:rPr>
          <w:rStyle w:val="FootnoteReference"/>
          <w:rFonts w:asciiTheme="minorHAnsi" w:hAnsiTheme="minorHAnsi" w:cstheme="minorHAnsi"/>
        </w:rPr>
        <w:footnoteRef/>
      </w:r>
      <w:r w:rsidRPr="00D50A1B">
        <w:rPr>
          <w:rFonts w:asciiTheme="minorHAnsi" w:hAnsiTheme="minorHAnsi" w:cstheme="minorHAnsi"/>
        </w:rPr>
        <w:t xml:space="preserve"> The GDI measures gender inequalities in achievement in three basic dimensions of human development: health (measured by female and male life expectancy at birth), education (measured by female and male expected years of schooling for children and mean years for adults aged 25 years and older); and command over economic resources (measured by female and male estimated GNI per capita).</w:t>
      </w:r>
    </w:p>
  </w:footnote>
  <w:footnote w:id="6">
    <w:p w14:paraId="48A992EE" w14:textId="5950DC8F" w:rsidR="00053656" w:rsidRPr="00D50A1B" w:rsidRDefault="00053656" w:rsidP="00053656">
      <w:pPr>
        <w:pStyle w:val="FootnoteText"/>
        <w:spacing w:after="40" w:line="240" w:lineRule="auto"/>
        <w:rPr>
          <w:rFonts w:asciiTheme="minorHAnsi" w:hAnsiTheme="minorHAnsi" w:cstheme="minorHAnsi"/>
        </w:rPr>
      </w:pPr>
      <w:r w:rsidRPr="00D50A1B">
        <w:rPr>
          <w:rStyle w:val="FootnoteReference"/>
          <w:rFonts w:asciiTheme="minorHAnsi" w:hAnsiTheme="minorHAnsi" w:cstheme="minorHAnsi"/>
        </w:rPr>
        <w:footnoteRef/>
      </w:r>
      <w:r w:rsidRPr="00D50A1B">
        <w:rPr>
          <w:rFonts w:asciiTheme="minorHAnsi" w:hAnsiTheme="minorHAnsi" w:cstheme="minorHAnsi"/>
        </w:rPr>
        <w:t xml:space="preserve"> “Women &amp; Men in China, Facts &amp; Figures (2019)” published by National Bureau of Statistics of China</w:t>
      </w:r>
    </w:p>
  </w:footnote>
  <w:footnote w:id="7">
    <w:p w14:paraId="47CF7B8C" w14:textId="2F160925" w:rsidR="00BC371A" w:rsidRPr="00D50A1B" w:rsidRDefault="00BC371A">
      <w:pPr>
        <w:pStyle w:val="FootnoteText"/>
        <w:rPr>
          <w:rFonts w:asciiTheme="minorHAnsi" w:hAnsiTheme="minorHAnsi" w:cstheme="minorHAnsi"/>
        </w:rPr>
      </w:pPr>
      <w:r w:rsidRPr="00D50A1B">
        <w:rPr>
          <w:rStyle w:val="FootnoteReference"/>
          <w:rFonts w:asciiTheme="minorHAnsi" w:hAnsiTheme="minorHAnsi" w:cstheme="minorHAnsi"/>
        </w:rPr>
        <w:footnoteRef/>
      </w:r>
      <w:r w:rsidRPr="00D50A1B">
        <w:rPr>
          <w:rFonts w:asciiTheme="minorHAnsi" w:hAnsiTheme="minorHAnsi" w:cstheme="minorHAnsi"/>
        </w:rPr>
        <w:t xml:space="preserve"> </w:t>
      </w:r>
      <w:proofErr w:type="spellStart"/>
      <w:r w:rsidR="0059545E" w:rsidRPr="00D50A1B">
        <w:rPr>
          <w:rFonts w:asciiTheme="minorHAnsi" w:hAnsiTheme="minorHAnsi" w:cstheme="minorHAnsi"/>
        </w:rPr>
        <w:t>Shisong</w:t>
      </w:r>
      <w:proofErr w:type="spellEnd"/>
      <w:r w:rsidR="0059545E" w:rsidRPr="00D50A1B">
        <w:rPr>
          <w:rFonts w:asciiTheme="minorHAnsi" w:hAnsiTheme="minorHAnsi" w:cstheme="minorHAnsi"/>
        </w:rPr>
        <w:t xml:space="preserve"> Qing, </w:t>
      </w:r>
      <w:r w:rsidRPr="00D50A1B">
        <w:rPr>
          <w:rFonts w:asciiTheme="minorHAnsi" w:hAnsiTheme="minorHAnsi" w:cstheme="minorHAnsi"/>
        </w:rPr>
        <w:t>“Gender Role Attitudes and Male-female Income Differences in China</w:t>
      </w:r>
      <w:r w:rsidR="0059545E" w:rsidRPr="00D50A1B">
        <w:rPr>
          <w:rFonts w:asciiTheme="minorHAnsi" w:hAnsiTheme="minorHAnsi" w:cstheme="minorHAnsi"/>
        </w:rPr>
        <w:t>”, the Journal of Chinese Sociology, 2020</w:t>
      </w:r>
    </w:p>
  </w:footnote>
  <w:footnote w:id="8">
    <w:p w14:paraId="2E26EE4E" w14:textId="77777777" w:rsidR="00AA3118" w:rsidRPr="00231967" w:rsidRDefault="00AA3118" w:rsidP="00496AE0">
      <w:pPr>
        <w:pStyle w:val="FootnoteText"/>
        <w:spacing w:after="40" w:line="240" w:lineRule="auto"/>
        <w:rPr>
          <w:rFonts w:asciiTheme="minorHAnsi" w:hAnsiTheme="minorHAnsi" w:cstheme="minorHAnsi"/>
          <w:sz w:val="14"/>
          <w:lang w:val="en-GB"/>
        </w:rPr>
      </w:pPr>
      <w:r w:rsidRPr="00D50A1B">
        <w:rPr>
          <w:rStyle w:val="FootnoteReference"/>
          <w:rFonts w:asciiTheme="minorHAnsi" w:hAnsiTheme="minorHAnsi" w:cstheme="minorHAnsi"/>
          <w:szCs w:val="22"/>
        </w:rPr>
        <w:footnoteRef/>
      </w:r>
      <w:r w:rsidRPr="00D50A1B">
        <w:rPr>
          <w:rFonts w:asciiTheme="minorHAnsi" w:hAnsiTheme="minorHAnsi" w:cstheme="minorHAnsi"/>
          <w:szCs w:val="22"/>
        </w:rPr>
        <w:t xml:space="preserve"> Statistical Monitoring Report on the "Program for the Development of Chinese Women (2011-2020)" in 2018 by the National Bureau of Statistics of China, retrieved from http://www.stats.gov.cn/tjsj/zxfb/201912/t20191206_1715998.html</w:t>
      </w:r>
    </w:p>
  </w:footnote>
  <w:footnote w:id="9">
    <w:p w14:paraId="6BD29C47" w14:textId="3453E4D8" w:rsidR="00652F86" w:rsidRPr="00D50A1B" w:rsidRDefault="00652F86" w:rsidP="00231967">
      <w:pPr>
        <w:pStyle w:val="FootnoteText"/>
        <w:snapToGrid w:val="0"/>
        <w:spacing w:after="40" w:line="240" w:lineRule="auto"/>
        <w:jc w:val="left"/>
        <w:rPr>
          <w:rStyle w:val="FootnoteReference"/>
          <w:rFonts w:asciiTheme="minorHAnsi" w:hAnsiTheme="minorHAnsi" w:cstheme="minorHAnsi"/>
          <w:szCs w:val="16"/>
          <w:vertAlign w:val="baseline"/>
        </w:rPr>
      </w:pPr>
      <w:r w:rsidRPr="00D50A1B">
        <w:rPr>
          <w:rStyle w:val="FootnoteReference"/>
          <w:rFonts w:asciiTheme="minorHAnsi" w:hAnsiTheme="minorHAnsi" w:cstheme="minorHAnsi"/>
          <w:szCs w:val="14"/>
        </w:rPr>
        <w:footnoteRef/>
      </w:r>
      <w:r w:rsidRPr="00D50A1B">
        <w:rPr>
          <w:rStyle w:val="FootnoteReference"/>
          <w:rFonts w:asciiTheme="minorHAnsi" w:hAnsiTheme="minorHAnsi" w:cstheme="minorHAnsi"/>
          <w:sz w:val="20"/>
          <w:szCs w:val="18"/>
        </w:rPr>
        <w:t xml:space="preserve"> </w:t>
      </w:r>
      <w:r w:rsidRPr="00D50A1B">
        <w:rPr>
          <w:rStyle w:val="FootnoteReference"/>
          <w:rFonts w:asciiTheme="minorHAnsi" w:hAnsiTheme="minorHAnsi" w:cstheme="minorHAnsi"/>
          <w:szCs w:val="16"/>
          <w:vertAlign w:val="baseline"/>
        </w:rPr>
        <w:t>An on-line academic network conducting real-time gender analysis on Covid-19 impacts worldwide, https://www.genderandcovid-19.org/</w:t>
      </w:r>
    </w:p>
  </w:footnote>
  <w:footnote w:id="10">
    <w:p w14:paraId="0C6B2AD9" w14:textId="477D4569" w:rsidR="00231967" w:rsidRPr="00D50A1B" w:rsidRDefault="00231967" w:rsidP="00231967">
      <w:pPr>
        <w:pStyle w:val="FootnoteText"/>
        <w:snapToGrid w:val="0"/>
        <w:spacing w:after="40" w:line="240" w:lineRule="auto"/>
        <w:jc w:val="left"/>
        <w:rPr>
          <w:rStyle w:val="FootnoteReference"/>
          <w:rFonts w:asciiTheme="minorHAnsi" w:hAnsiTheme="minorHAnsi" w:cstheme="minorHAnsi"/>
          <w:szCs w:val="16"/>
          <w:vertAlign w:val="baseline"/>
        </w:rPr>
      </w:pPr>
      <w:r w:rsidRPr="00D50A1B">
        <w:rPr>
          <w:rStyle w:val="FootnoteReference"/>
          <w:rFonts w:asciiTheme="minorHAnsi" w:hAnsiTheme="minorHAnsi" w:cstheme="minorHAnsi"/>
          <w:szCs w:val="14"/>
        </w:rPr>
        <w:footnoteRef/>
      </w:r>
      <w:r w:rsidRPr="00D50A1B">
        <w:rPr>
          <w:rStyle w:val="FootnoteReference"/>
          <w:rFonts w:asciiTheme="minorHAnsi" w:hAnsiTheme="minorHAnsi" w:cstheme="minorHAnsi"/>
          <w:szCs w:val="14"/>
        </w:rPr>
        <w:t xml:space="preserve"> </w:t>
      </w:r>
      <w:r w:rsidRPr="00D50A1B">
        <w:rPr>
          <w:rStyle w:val="FootnoteReference"/>
          <w:rFonts w:asciiTheme="minorHAnsi" w:hAnsiTheme="minorHAnsi" w:cstheme="minorHAnsi"/>
          <w:szCs w:val="16"/>
          <w:vertAlign w:val="baseline"/>
        </w:rPr>
        <w:t xml:space="preserve">Song </w:t>
      </w:r>
      <w:proofErr w:type="spellStart"/>
      <w:r w:rsidRPr="00D50A1B">
        <w:rPr>
          <w:rStyle w:val="FootnoteReference"/>
          <w:rFonts w:asciiTheme="minorHAnsi" w:hAnsiTheme="minorHAnsi" w:cstheme="minorHAnsi"/>
          <w:szCs w:val="16"/>
          <w:vertAlign w:val="baseline"/>
        </w:rPr>
        <w:t>Yueping</w:t>
      </w:r>
      <w:proofErr w:type="spellEnd"/>
      <w:r w:rsidRPr="00D50A1B">
        <w:rPr>
          <w:rStyle w:val="FootnoteReference"/>
          <w:rFonts w:asciiTheme="minorHAnsi" w:hAnsiTheme="minorHAnsi" w:cstheme="minorHAnsi"/>
          <w:szCs w:val="16"/>
          <w:vertAlign w:val="baseline"/>
        </w:rPr>
        <w:t>, et al., “To Return or Stay? The Gendered Impact of the COVID-19 on Migrant Workers in China”, Feminist Economics, Volume 27, 2021 – Issue 1-2: A Special Issue on Feminist Economic Perspectives on the COVID-19 Pandemic</w:t>
      </w:r>
    </w:p>
  </w:footnote>
  <w:footnote w:id="11">
    <w:p w14:paraId="13009A37" w14:textId="4311E8BD" w:rsidR="00183189" w:rsidRPr="00183189" w:rsidRDefault="00183189" w:rsidP="00183189">
      <w:pPr>
        <w:pStyle w:val="FootnoteText"/>
        <w:spacing w:after="40"/>
        <w:jc w:val="left"/>
        <w:rPr>
          <w:rFonts w:asciiTheme="minorHAnsi" w:hAnsiTheme="minorHAnsi" w:cstheme="minorHAnsi"/>
        </w:rPr>
      </w:pPr>
      <w:r w:rsidRPr="00183189">
        <w:rPr>
          <w:rStyle w:val="FootnoteReference"/>
          <w:rFonts w:asciiTheme="minorHAnsi" w:eastAsiaTheme="majorEastAsia" w:hAnsiTheme="minorHAnsi" w:cstheme="minorHAnsi"/>
          <w:szCs w:val="16"/>
        </w:rPr>
        <w:footnoteRef/>
      </w:r>
      <w:r w:rsidRPr="00183189">
        <w:rPr>
          <w:rFonts w:asciiTheme="minorHAnsi" w:hAnsiTheme="minorHAnsi" w:cstheme="minorHAnsi"/>
          <w:szCs w:val="16"/>
        </w:rPr>
        <w:t xml:space="preserve"> </w:t>
      </w:r>
      <w:hyperlink r:id="rId1" w:history="1">
        <w:r w:rsidRPr="008E2138">
          <w:rPr>
            <w:rStyle w:val="Hyperlink"/>
            <w:rFonts w:asciiTheme="minorHAnsi" w:eastAsiaTheme="majorEastAsia" w:hAnsiTheme="minorHAnsi" w:cstheme="minorHAnsi"/>
            <w:szCs w:val="16"/>
          </w:rPr>
          <w:t>http://www.jm.undp.org/content/dam/jamaica/docs/gender/JM-AUG-29-UNDP%20Gender%20Seal-Principles%20of%20gender-sensitive%20communications.pdf</w:t>
        </w:r>
      </w:hyperlink>
      <w:r w:rsidRPr="00183189">
        <w:rPr>
          <w:rFonts w:asciiTheme="minorHAnsi" w:hAnsiTheme="minorHAnsi" w:cstheme="minorHAnsi"/>
          <w:szCs w:val="16"/>
        </w:rPr>
        <w:t xml:space="preserve"> </w:t>
      </w:r>
    </w:p>
  </w:footnote>
  <w:footnote w:id="12">
    <w:p w14:paraId="6FF21316" w14:textId="0D0EA91C" w:rsidR="001145E6" w:rsidRPr="00C54171" w:rsidRDefault="001145E6" w:rsidP="001145E6">
      <w:pPr>
        <w:pStyle w:val="FootnoteText"/>
        <w:rPr>
          <w:rFonts w:asciiTheme="minorHAnsi" w:hAnsiTheme="minorHAnsi" w:cstheme="minorHAnsi"/>
          <w:lang w:val="en-GB"/>
        </w:rPr>
      </w:pPr>
      <w:r w:rsidRPr="00C54171">
        <w:rPr>
          <w:rStyle w:val="FootnoteReference"/>
          <w:rFonts w:asciiTheme="minorHAnsi" w:hAnsiTheme="minorHAnsi" w:cstheme="minorHAnsi"/>
        </w:rPr>
        <w:footnoteRef/>
      </w:r>
      <w:r w:rsidRPr="00C54171">
        <w:rPr>
          <w:rFonts w:asciiTheme="minorHAnsi" w:hAnsiTheme="minorHAnsi" w:cstheme="minorHAnsi"/>
        </w:rPr>
        <w:t xml:space="preserve"> </w:t>
      </w:r>
      <w:hyperlink r:id="rId2" w:history="1">
        <w:r w:rsidR="00C54171" w:rsidRPr="00E63128">
          <w:rPr>
            <w:rStyle w:val="Hyperlink"/>
            <w:rFonts w:asciiTheme="minorHAnsi" w:hAnsiTheme="minorHAnsi" w:cstheme="minorHAnsi"/>
          </w:rPr>
          <w:t>https://portals.iucn.org/union/sites/union/files/doc/iucn_strengthening_safeguards_ed.1.pdf</w:t>
        </w:r>
      </w:hyperlink>
      <w:r w:rsidR="00C54171">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167"/>
    <w:multiLevelType w:val="hybridMultilevel"/>
    <w:tmpl w:val="58645388"/>
    <w:lvl w:ilvl="0" w:tplc="C9D22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7647"/>
    <w:multiLevelType w:val="hybridMultilevel"/>
    <w:tmpl w:val="BF164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152D75"/>
    <w:multiLevelType w:val="multilevel"/>
    <w:tmpl w:val="15E4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55BCE"/>
    <w:multiLevelType w:val="hybridMultilevel"/>
    <w:tmpl w:val="C24C7416"/>
    <w:lvl w:ilvl="0" w:tplc="6298C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63681"/>
    <w:multiLevelType w:val="hybridMultilevel"/>
    <w:tmpl w:val="73A28B82"/>
    <w:lvl w:ilvl="0" w:tplc="9CA6349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7DB71CF"/>
    <w:multiLevelType w:val="hybridMultilevel"/>
    <w:tmpl w:val="E81616D6"/>
    <w:lvl w:ilvl="0" w:tplc="BB1CD8BC">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117BA"/>
    <w:multiLevelType w:val="hybridMultilevel"/>
    <w:tmpl w:val="73A28B82"/>
    <w:lvl w:ilvl="0" w:tplc="9CA6349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15:restartNumberingAfterBreak="0">
    <w:nsid w:val="1FBA54EB"/>
    <w:multiLevelType w:val="hybridMultilevel"/>
    <w:tmpl w:val="B28E94FA"/>
    <w:lvl w:ilvl="0" w:tplc="6298C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C6F13"/>
    <w:multiLevelType w:val="hybridMultilevel"/>
    <w:tmpl w:val="1458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C3B4B"/>
    <w:multiLevelType w:val="hybridMultilevel"/>
    <w:tmpl w:val="C4245582"/>
    <w:lvl w:ilvl="0" w:tplc="FEF6BF4C">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B24F7"/>
    <w:multiLevelType w:val="hybridMultilevel"/>
    <w:tmpl w:val="4300E13C"/>
    <w:lvl w:ilvl="0" w:tplc="C37E5826">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15:restartNumberingAfterBreak="0">
    <w:nsid w:val="26A95519"/>
    <w:multiLevelType w:val="hybridMultilevel"/>
    <w:tmpl w:val="EF8084A2"/>
    <w:lvl w:ilvl="0" w:tplc="838E4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B0CEA"/>
    <w:multiLevelType w:val="hybridMultilevel"/>
    <w:tmpl w:val="3F04D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222122"/>
    <w:multiLevelType w:val="hybridMultilevel"/>
    <w:tmpl w:val="B666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81D56"/>
    <w:multiLevelType w:val="hybridMultilevel"/>
    <w:tmpl w:val="3ECC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B0F08"/>
    <w:multiLevelType w:val="hybridMultilevel"/>
    <w:tmpl w:val="60783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A758D7"/>
    <w:multiLevelType w:val="hybridMultilevel"/>
    <w:tmpl w:val="4C8E76A6"/>
    <w:lvl w:ilvl="0" w:tplc="5260A4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671591"/>
    <w:multiLevelType w:val="hybridMultilevel"/>
    <w:tmpl w:val="1FBA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01BD5"/>
    <w:multiLevelType w:val="hybridMultilevel"/>
    <w:tmpl w:val="C8FC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C157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B8D490B"/>
    <w:multiLevelType w:val="hybridMultilevel"/>
    <w:tmpl w:val="F4B2F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E326B"/>
    <w:multiLevelType w:val="hybridMultilevel"/>
    <w:tmpl w:val="73A28B82"/>
    <w:lvl w:ilvl="0" w:tplc="9CA6349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15:restartNumberingAfterBreak="0">
    <w:nsid w:val="45163011"/>
    <w:multiLevelType w:val="hybridMultilevel"/>
    <w:tmpl w:val="FDD2F93E"/>
    <w:lvl w:ilvl="0" w:tplc="552C12B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3" w15:restartNumberingAfterBreak="0">
    <w:nsid w:val="456457F0"/>
    <w:multiLevelType w:val="hybridMultilevel"/>
    <w:tmpl w:val="C024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55105"/>
    <w:multiLevelType w:val="hybridMultilevel"/>
    <w:tmpl w:val="B28E94FA"/>
    <w:lvl w:ilvl="0" w:tplc="6298C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22204"/>
    <w:multiLevelType w:val="hybridMultilevel"/>
    <w:tmpl w:val="32262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214CA6"/>
    <w:multiLevelType w:val="hybridMultilevel"/>
    <w:tmpl w:val="B28E94FA"/>
    <w:lvl w:ilvl="0" w:tplc="6298C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7792C"/>
    <w:multiLevelType w:val="hybridMultilevel"/>
    <w:tmpl w:val="B28E94FA"/>
    <w:lvl w:ilvl="0" w:tplc="6298C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A4C61"/>
    <w:multiLevelType w:val="hybridMultilevel"/>
    <w:tmpl w:val="E9B0BA6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527F2"/>
    <w:multiLevelType w:val="hybridMultilevel"/>
    <w:tmpl w:val="53BE2E72"/>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0" w15:restartNumberingAfterBreak="0">
    <w:nsid w:val="68B36F9C"/>
    <w:multiLevelType w:val="hybridMultilevel"/>
    <w:tmpl w:val="F056D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C436C"/>
    <w:multiLevelType w:val="hybridMultilevel"/>
    <w:tmpl w:val="43BA9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A04830"/>
    <w:multiLevelType w:val="hybridMultilevel"/>
    <w:tmpl w:val="E0A49E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21C6F40"/>
    <w:multiLevelType w:val="hybridMultilevel"/>
    <w:tmpl w:val="91724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150373"/>
    <w:multiLevelType w:val="hybridMultilevel"/>
    <w:tmpl w:val="1DA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65ECD"/>
    <w:multiLevelType w:val="hybridMultilevel"/>
    <w:tmpl w:val="3AB49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C96E2E"/>
    <w:multiLevelType w:val="hybridMultilevel"/>
    <w:tmpl w:val="B28E94FA"/>
    <w:lvl w:ilvl="0" w:tplc="6298C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34"/>
  </w:num>
  <w:num w:numId="4">
    <w:abstractNumId w:val="28"/>
  </w:num>
  <w:num w:numId="5">
    <w:abstractNumId w:val="14"/>
  </w:num>
  <w:num w:numId="6">
    <w:abstractNumId w:val="2"/>
  </w:num>
  <w:num w:numId="7">
    <w:abstractNumId w:val="30"/>
  </w:num>
  <w:num w:numId="8">
    <w:abstractNumId w:val="18"/>
  </w:num>
  <w:num w:numId="9">
    <w:abstractNumId w:val="22"/>
  </w:num>
  <w:num w:numId="10">
    <w:abstractNumId w:val="10"/>
  </w:num>
  <w:num w:numId="11">
    <w:abstractNumId w:val="4"/>
  </w:num>
  <w:num w:numId="12">
    <w:abstractNumId w:val="36"/>
  </w:num>
  <w:num w:numId="13">
    <w:abstractNumId w:val="26"/>
  </w:num>
  <w:num w:numId="14">
    <w:abstractNumId w:val="24"/>
  </w:num>
  <w:num w:numId="15">
    <w:abstractNumId w:val="27"/>
  </w:num>
  <w:num w:numId="16">
    <w:abstractNumId w:val="21"/>
  </w:num>
  <w:num w:numId="17">
    <w:abstractNumId w:val="6"/>
  </w:num>
  <w:num w:numId="18">
    <w:abstractNumId w:val="7"/>
  </w:num>
  <w:num w:numId="19">
    <w:abstractNumId w:val="0"/>
  </w:num>
  <w:num w:numId="20">
    <w:abstractNumId w:val="3"/>
  </w:num>
  <w:num w:numId="21">
    <w:abstractNumId w:val="16"/>
  </w:num>
  <w:num w:numId="22">
    <w:abstractNumId w:val="20"/>
  </w:num>
  <w:num w:numId="23">
    <w:abstractNumId w:val="23"/>
  </w:num>
  <w:num w:numId="24">
    <w:abstractNumId w:val="9"/>
  </w:num>
  <w:num w:numId="25">
    <w:abstractNumId w:val="5"/>
  </w:num>
  <w:num w:numId="26">
    <w:abstractNumId w:val="17"/>
  </w:num>
  <w:num w:numId="27">
    <w:abstractNumId w:val="29"/>
  </w:num>
  <w:num w:numId="28">
    <w:abstractNumId w:val="19"/>
  </w:num>
  <w:num w:numId="29">
    <w:abstractNumId w:val="15"/>
  </w:num>
  <w:num w:numId="30">
    <w:abstractNumId w:val="12"/>
  </w:num>
  <w:num w:numId="31">
    <w:abstractNumId w:val="35"/>
  </w:num>
  <w:num w:numId="32">
    <w:abstractNumId w:val="1"/>
  </w:num>
  <w:num w:numId="33">
    <w:abstractNumId w:val="33"/>
  </w:num>
  <w:num w:numId="34">
    <w:abstractNumId w:val="25"/>
  </w:num>
  <w:num w:numId="35">
    <w:abstractNumId w:val="31"/>
  </w:num>
  <w:num w:numId="36">
    <w:abstractNumId w:val="13"/>
  </w:num>
  <w:num w:numId="37">
    <w:abstractNumId w:val="11"/>
  </w:num>
  <w:num w:numId="3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7B"/>
    <w:rsid w:val="00000BCD"/>
    <w:rsid w:val="00000BF2"/>
    <w:rsid w:val="00003CA3"/>
    <w:rsid w:val="000055EA"/>
    <w:rsid w:val="000100DB"/>
    <w:rsid w:val="000135FC"/>
    <w:rsid w:val="000153E5"/>
    <w:rsid w:val="0001773C"/>
    <w:rsid w:val="00023985"/>
    <w:rsid w:val="00024977"/>
    <w:rsid w:val="000259E6"/>
    <w:rsid w:val="00030732"/>
    <w:rsid w:val="00031048"/>
    <w:rsid w:val="000323C5"/>
    <w:rsid w:val="000424E0"/>
    <w:rsid w:val="00044899"/>
    <w:rsid w:val="000476B5"/>
    <w:rsid w:val="000518F7"/>
    <w:rsid w:val="0005199A"/>
    <w:rsid w:val="00051D28"/>
    <w:rsid w:val="00053656"/>
    <w:rsid w:val="000603CE"/>
    <w:rsid w:val="00060501"/>
    <w:rsid w:val="00064549"/>
    <w:rsid w:val="0006498B"/>
    <w:rsid w:val="00067800"/>
    <w:rsid w:val="000709A3"/>
    <w:rsid w:val="00070B9A"/>
    <w:rsid w:val="00071D93"/>
    <w:rsid w:val="00073D4B"/>
    <w:rsid w:val="00076138"/>
    <w:rsid w:val="00080C19"/>
    <w:rsid w:val="00081FD8"/>
    <w:rsid w:val="0008278F"/>
    <w:rsid w:val="00083B96"/>
    <w:rsid w:val="00083D21"/>
    <w:rsid w:val="00084B61"/>
    <w:rsid w:val="000925A7"/>
    <w:rsid w:val="000A39E9"/>
    <w:rsid w:val="000A3A3F"/>
    <w:rsid w:val="000A4B2D"/>
    <w:rsid w:val="000A4F99"/>
    <w:rsid w:val="000A600C"/>
    <w:rsid w:val="000B1D74"/>
    <w:rsid w:val="000B25D9"/>
    <w:rsid w:val="000C0413"/>
    <w:rsid w:val="000C1864"/>
    <w:rsid w:val="000C3705"/>
    <w:rsid w:val="000C61AC"/>
    <w:rsid w:val="000C754B"/>
    <w:rsid w:val="000D0933"/>
    <w:rsid w:val="000D3A54"/>
    <w:rsid w:val="000E1A59"/>
    <w:rsid w:val="000E2C19"/>
    <w:rsid w:val="000E4737"/>
    <w:rsid w:val="000E4816"/>
    <w:rsid w:val="000E6730"/>
    <w:rsid w:val="000E6A45"/>
    <w:rsid w:val="000F0822"/>
    <w:rsid w:val="000F139E"/>
    <w:rsid w:val="000F15A6"/>
    <w:rsid w:val="000F206E"/>
    <w:rsid w:val="000F7F7E"/>
    <w:rsid w:val="00100AE4"/>
    <w:rsid w:val="00101396"/>
    <w:rsid w:val="001100F3"/>
    <w:rsid w:val="00110EEE"/>
    <w:rsid w:val="001145E6"/>
    <w:rsid w:val="00115132"/>
    <w:rsid w:val="00117658"/>
    <w:rsid w:val="0012082B"/>
    <w:rsid w:val="00120940"/>
    <w:rsid w:val="00122252"/>
    <w:rsid w:val="00126BAA"/>
    <w:rsid w:val="00126E59"/>
    <w:rsid w:val="00131117"/>
    <w:rsid w:val="0013334D"/>
    <w:rsid w:val="00136183"/>
    <w:rsid w:val="00141A3F"/>
    <w:rsid w:val="00142DC9"/>
    <w:rsid w:val="00145183"/>
    <w:rsid w:val="00147E7E"/>
    <w:rsid w:val="001500CF"/>
    <w:rsid w:val="00150449"/>
    <w:rsid w:val="00152B87"/>
    <w:rsid w:val="00166406"/>
    <w:rsid w:val="00170929"/>
    <w:rsid w:val="0017270E"/>
    <w:rsid w:val="00173A8C"/>
    <w:rsid w:val="00174A58"/>
    <w:rsid w:val="001750A3"/>
    <w:rsid w:val="00175F3F"/>
    <w:rsid w:val="0018084C"/>
    <w:rsid w:val="0018133A"/>
    <w:rsid w:val="00181A4C"/>
    <w:rsid w:val="00182CBE"/>
    <w:rsid w:val="00183189"/>
    <w:rsid w:val="0018369C"/>
    <w:rsid w:val="001842FC"/>
    <w:rsid w:val="00187F28"/>
    <w:rsid w:val="00191EA2"/>
    <w:rsid w:val="00192374"/>
    <w:rsid w:val="001949F3"/>
    <w:rsid w:val="00194CF1"/>
    <w:rsid w:val="001A132A"/>
    <w:rsid w:val="001A581A"/>
    <w:rsid w:val="001C0EB5"/>
    <w:rsid w:val="001C1CEA"/>
    <w:rsid w:val="001C1D82"/>
    <w:rsid w:val="001C1D94"/>
    <w:rsid w:val="001C2A81"/>
    <w:rsid w:val="001C30CB"/>
    <w:rsid w:val="001C31D3"/>
    <w:rsid w:val="001C4D13"/>
    <w:rsid w:val="001C76AB"/>
    <w:rsid w:val="001C7DC5"/>
    <w:rsid w:val="001D0CEE"/>
    <w:rsid w:val="001D63FD"/>
    <w:rsid w:val="001D7C8F"/>
    <w:rsid w:val="001E5892"/>
    <w:rsid w:val="001F09AD"/>
    <w:rsid w:val="001F12F6"/>
    <w:rsid w:val="001F1D47"/>
    <w:rsid w:val="001F37B9"/>
    <w:rsid w:val="001F4A71"/>
    <w:rsid w:val="001F4BB6"/>
    <w:rsid w:val="001F5875"/>
    <w:rsid w:val="001F5C9A"/>
    <w:rsid w:val="001F5DF3"/>
    <w:rsid w:val="00200B92"/>
    <w:rsid w:val="00203387"/>
    <w:rsid w:val="00203687"/>
    <w:rsid w:val="002045D4"/>
    <w:rsid w:val="0020474A"/>
    <w:rsid w:val="00204AE1"/>
    <w:rsid w:val="0020793B"/>
    <w:rsid w:val="00210719"/>
    <w:rsid w:val="00213A45"/>
    <w:rsid w:val="00217E8C"/>
    <w:rsid w:val="00222F1B"/>
    <w:rsid w:val="0022580F"/>
    <w:rsid w:val="002277F8"/>
    <w:rsid w:val="00231967"/>
    <w:rsid w:val="00233033"/>
    <w:rsid w:val="0024193E"/>
    <w:rsid w:val="00245264"/>
    <w:rsid w:val="00245609"/>
    <w:rsid w:val="00250259"/>
    <w:rsid w:val="002518C4"/>
    <w:rsid w:val="00254597"/>
    <w:rsid w:val="00254B4A"/>
    <w:rsid w:val="002566D7"/>
    <w:rsid w:val="00257B97"/>
    <w:rsid w:val="00260B8D"/>
    <w:rsid w:val="00261CFF"/>
    <w:rsid w:val="00262617"/>
    <w:rsid w:val="002628C7"/>
    <w:rsid w:val="0026528E"/>
    <w:rsid w:val="00265D06"/>
    <w:rsid w:val="002672C8"/>
    <w:rsid w:val="00267FA3"/>
    <w:rsid w:val="002707AA"/>
    <w:rsid w:val="002722B9"/>
    <w:rsid w:val="002760C9"/>
    <w:rsid w:val="00280A35"/>
    <w:rsid w:val="002854BE"/>
    <w:rsid w:val="00286A8A"/>
    <w:rsid w:val="002875B4"/>
    <w:rsid w:val="002903BE"/>
    <w:rsid w:val="002915F0"/>
    <w:rsid w:val="00294378"/>
    <w:rsid w:val="002A089A"/>
    <w:rsid w:val="002A3849"/>
    <w:rsid w:val="002A3D52"/>
    <w:rsid w:val="002A7C78"/>
    <w:rsid w:val="002B04D6"/>
    <w:rsid w:val="002B28DE"/>
    <w:rsid w:val="002B304D"/>
    <w:rsid w:val="002B440A"/>
    <w:rsid w:val="002B6C02"/>
    <w:rsid w:val="002B7D7C"/>
    <w:rsid w:val="002C4D64"/>
    <w:rsid w:val="002C565B"/>
    <w:rsid w:val="002C5E42"/>
    <w:rsid w:val="002C708D"/>
    <w:rsid w:val="002D388E"/>
    <w:rsid w:val="002D3AAF"/>
    <w:rsid w:val="002D697C"/>
    <w:rsid w:val="002D7B53"/>
    <w:rsid w:val="002E22EB"/>
    <w:rsid w:val="002F41A0"/>
    <w:rsid w:val="002F48DC"/>
    <w:rsid w:val="003026D4"/>
    <w:rsid w:val="00305E06"/>
    <w:rsid w:val="00306A57"/>
    <w:rsid w:val="00306D22"/>
    <w:rsid w:val="00312C5D"/>
    <w:rsid w:val="0031557B"/>
    <w:rsid w:val="00315AE8"/>
    <w:rsid w:val="00326FC7"/>
    <w:rsid w:val="003307E2"/>
    <w:rsid w:val="00330A37"/>
    <w:rsid w:val="00331509"/>
    <w:rsid w:val="00335A36"/>
    <w:rsid w:val="003448C1"/>
    <w:rsid w:val="00346A4F"/>
    <w:rsid w:val="00347F29"/>
    <w:rsid w:val="00351FF6"/>
    <w:rsid w:val="00352AA0"/>
    <w:rsid w:val="003544CF"/>
    <w:rsid w:val="0035699F"/>
    <w:rsid w:val="00367189"/>
    <w:rsid w:val="003721A6"/>
    <w:rsid w:val="00374C98"/>
    <w:rsid w:val="00375ECB"/>
    <w:rsid w:val="00377AC5"/>
    <w:rsid w:val="00381164"/>
    <w:rsid w:val="0038144F"/>
    <w:rsid w:val="0038265A"/>
    <w:rsid w:val="00386E43"/>
    <w:rsid w:val="00387C5D"/>
    <w:rsid w:val="003900C9"/>
    <w:rsid w:val="003936F8"/>
    <w:rsid w:val="0039465C"/>
    <w:rsid w:val="00394DA7"/>
    <w:rsid w:val="003A2F6D"/>
    <w:rsid w:val="003A65F5"/>
    <w:rsid w:val="003B1BBB"/>
    <w:rsid w:val="003B2606"/>
    <w:rsid w:val="003B4536"/>
    <w:rsid w:val="003B4AA6"/>
    <w:rsid w:val="003B4DDA"/>
    <w:rsid w:val="003B79C3"/>
    <w:rsid w:val="003C0B3F"/>
    <w:rsid w:val="003C285C"/>
    <w:rsid w:val="003C3EAD"/>
    <w:rsid w:val="003C5D8C"/>
    <w:rsid w:val="003D78DC"/>
    <w:rsid w:val="003E1DEF"/>
    <w:rsid w:val="003E208B"/>
    <w:rsid w:val="003E39C5"/>
    <w:rsid w:val="003E511F"/>
    <w:rsid w:val="003E5CB6"/>
    <w:rsid w:val="003E7E5E"/>
    <w:rsid w:val="003F2ABF"/>
    <w:rsid w:val="003F5008"/>
    <w:rsid w:val="004023CF"/>
    <w:rsid w:val="00402FAC"/>
    <w:rsid w:val="004061FF"/>
    <w:rsid w:val="00406C95"/>
    <w:rsid w:val="00410E4F"/>
    <w:rsid w:val="004125F5"/>
    <w:rsid w:val="00413112"/>
    <w:rsid w:val="00421EFC"/>
    <w:rsid w:val="00422AE6"/>
    <w:rsid w:val="00422B04"/>
    <w:rsid w:val="004234BF"/>
    <w:rsid w:val="0042792F"/>
    <w:rsid w:val="00431099"/>
    <w:rsid w:val="00431F5D"/>
    <w:rsid w:val="00434FFF"/>
    <w:rsid w:val="00436405"/>
    <w:rsid w:val="004422C5"/>
    <w:rsid w:val="00444593"/>
    <w:rsid w:val="0044630D"/>
    <w:rsid w:val="00447FD5"/>
    <w:rsid w:val="0045009C"/>
    <w:rsid w:val="0045111C"/>
    <w:rsid w:val="00451B36"/>
    <w:rsid w:val="00452A0D"/>
    <w:rsid w:val="0045344C"/>
    <w:rsid w:val="00460683"/>
    <w:rsid w:val="00460F82"/>
    <w:rsid w:val="0046197A"/>
    <w:rsid w:val="004674F1"/>
    <w:rsid w:val="0047089B"/>
    <w:rsid w:val="0047134F"/>
    <w:rsid w:val="00472664"/>
    <w:rsid w:val="00477EFB"/>
    <w:rsid w:val="004801E4"/>
    <w:rsid w:val="00492CDD"/>
    <w:rsid w:val="00496AE0"/>
    <w:rsid w:val="004A1468"/>
    <w:rsid w:val="004A5ED6"/>
    <w:rsid w:val="004B4894"/>
    <w:rsid w:val="004C1D84"/>
    <w:rsid w:val="004C3E09"/>
    <w:rsid w:val="004C4CBC"/>
    <w:rsid w:val="004C672D"/>
    <w:rsid w:val="004C77D4"/>
    <w:rsid w:val="004C7A2D"/>
    <w:rsid w:val="004D2CB3"/>
    <w:rsid w:val="004D3180"/>
    <w:rsid w:val="004E1ECB"/>
    <w:rsid w:val="004E265E"/>
    <w:rsid w:val="004E5223"/>
    <w:rsid w:val="004F08CB"/>
    <w:rsid w:val="004F2537"/>
    <w:rsid w:val="004F28B1"/>
    <w:rsid w:val="004F29CC"/>
    <w:rsid w:val="00505A3B"/>
    <w:rsid w:val="00510262"/>
    <w:rsid w:val="005211B3"/>
    <w:rsid w:val="005219DC"/>
    <w:rsid w:val="00521AFE"/>
    <w:rsid w:val="00523253"/>
    <w:rsid w:val="00527008"/>
    <w:rsid w:val="0053114A"/>
    <w:rsid w:val="005354BC"/>
    <w:rsid w:val="00536398"/>
    <w:rsid w:val="00551AEF"/>
    <w:rsid w:val="00553DE0"/>
    <w:rsid w:val="0055641A"/>
    <w:rsid w:val="00557CBD"/>
    <w:rsid w:val="00571187"/>
    <w:rsid w:val="00573626"/>
    <w:rsid w:val="00574152"/>
    <w:rsid w:val="005820D0"/>
    <w:rsid w:val="005840ED"/>
    <w:rsid w:val="0058464B"/>
    <w:rsid w:val="0059192D"/>
    <w:rsid w:val="00591AF7"/>
    <w:rsid w:val="005938F3"/>
    <w:rsid w:val="00594586"/>
    <w:rsid w:val="0059545E"/>
    <w:rsid w:val="005A2FF8"/>
    <w:rsid w:val="005A4177"/>
    <w:rsid w:val="005A42C7"/>
    <w:rsid w:val="005A6179"/>
    <w:rsid w:val="005A6A12"/>
    <w:rsid w:val="005B1074"/>
    <w:rsid w:val="005B1499"/>
    <w:rsid w:val="005B199D"/>
    <w:rsid w:val="005B6A71"/>
    <w:rsid w:val="005B7A21"/>
    <w:rsid w:val="005C0905"/>
    <w:rsid w:val="005C38D1"/>
    <w:rsid w:val="005C4B24"/>
    <w:rsid w:val="005C6E7B"/>
    <w:rsid w:val="005D0D8D"/>
    <w:rsid w:val="005D5874"/>
    <w:rsid w:val="005D634E"/>
    <w:rsid w:val="005D711C"/>
    <w:rsid w:val="005E44FE"/>
    <w:rsid w:val="005E4C37"/>
    <w:rsid w:val="005E4CD3"/>
    <w:rsid w:val="005F0219"/>
    <w:rsid w:val="005F0DDA"/>
    <w:rsid w:val="005F2365"/>
    <w:rsid w:val="005F2977"/>
    <w:rsid w:val="005F3577"/>
    <w:rsid w:val="00605929"/>
    <w:rsid w:val="00606495"/>
    <w:rsid w:val="00612018"/>
    <w:rsid w:val="00620AB5"/>
    <w:rsid w:val="00620AB8"/>
    <w:rsid w:val="00625202"/>
    <w:rsid w:val="00634130"/>
    <w:rsid w:val="0064674C"/>
    <w:rsid w:val="00647512"/>
    <w:rsid w:val="0065078D"/>
    <w:rsid w:val="006510C0"/>
    <w:rsid w:val="006514D0"/>
    <w:rsid w:val="00652F86"/>
    <w:rsid w:val="00655281"/>
    <w:rsid w:val="00657CB1"/>
    <w:rsid w:val="00661B16"/>
    <w:rsid w:val="0066261B"/>
    <w:rsid w:val="00663CD5"/>
    <w:rsid w:val="00664F8B"/>
    <w:rsid w:val="00665575"/>
    <w:rsid w:val="00666505"/>
    <w:rsid w:val="00666D6A"/>
    <w:rsid w:val="006679EC"/>
    <w:rsid w:val="00671115"/>
    <w:rsid w:val="00671C72"/>
    <w:rsid w:val="006724B6"/>
    <w:rsid w:val="006727B1"/>
    <w:rsid w:val="00673360"/>
    <w:rsid w:val="006744F4"/>
    <w:rsid w:val="006770EE"/>
    <w:rsid w:val="00680F2D"/>
    <w:rsid w:val="006841BD"/>
    <w:rsid w:val="006844E5"/>
    <w:rsid w:val="00684D4D"/>
    <w:rsid w:val="00695CF8"/>
    <w:rsid w:val="006A0D2F"/>
    <w:rsid w:val="006A105D"/>
    <w:rsid w:val="006B07B3"/>
    <w:rsid w:val="006B0B2F"/>
    <w:rsid w:val="006B50B5"/>
    <w:rsid w:val="006B522C"/>
    <w:rsid w:val="006B7923"/>
    <w:rsid w:val="006C0EC0"/>
    <w:rsid w:val="006C2A2B"/>
    <w:rsid w:val="006C42B8"/>
    <w:rsid w:val="006C5C04"/>
    <w:rsid w:val="006D03C4"/>
    <w:rsid w:val="006D1D88"/>
    <w:rsid w:val="006D239B"/>
    <w:rsid w:val="006D2B18"/>
    <w:rsid w:val="006D34C9"/>
    <w:rsid w:val="006D628E"/>
    <w:rsid w:val="006D74B6"/>
    <w:rsid w:val="006E0318"/>
    <w:rsid w:val="006E0A7F"/>
    <w:rsid w:val="006E2FFA"/>
    <w:rsid w:val="006E398C"/>
    <w:rsid w:val="006E3A0F"/>
    <w:rsid w:val="006E5603"/>
    <w:rsid w:val="006E6217"/>
    <w:rsid w:val="006E7433"/>
    <w:rsid w:val="006F09C5"/>
    <w:rsid w:val="006F0C5F"/>
    <w:rsid w:val="006F3EF2"/>
    <w:rsid w:val="006F6187"/>
    <w:rsid w:val="0070013C"/>
    <w:rsid w:val="00701139"/>
    <w:rsid w:val="00703AB3"/>
    <w:rsid w:val="00703F61"/>
    <w:rsid w:val="00704B9C"/>
    <w:rsid w:val="00706F0B"/>
    <w:rsid w:val="00711231"/>
    <w:rsid w:val="0071184D"/>
    <w:rsid w:val="0071190F"/>
    <w:rsid w:val="00711DF5"/>
    <w:rsid w:val="00712325"/>
    <w:rsid w:val="007129B9"/>
    <w:rsid w:val="007134B5"/>
    <w:rsid w:val="0071403E"/>
    <w:rsid w:val="00714969"/>
    <w:rsid w:val="00716E25"/>
    <w:rsid w:val="00722A33"/>
    <w:rsid w:val="00725865"/>
    <w:rsid w:val="00726B93"/>
    <w:rsid w:val="00734B8F"/>
    <w:rsid w:val="00741F34"/>
    <w:rsid w:val="00742E54"/>
    <w:rsid w:val="007431CF"/>
    <w:rsid w:val="007432CF"/>
    <w:rsid w:val="00746B4C"/>
    <w:rsid w:val="00751CFD"/>
    <w:rsid w:val="00761881"/>
    <w:rsid w:val="007633AA"/>
    <w:rsid w:val="00772C1E"/>
    <w:rsid w:val="007744D6"/>
    <w:rsid w:val="00777B0C"/>
    <w:rsid w:val="0078323D"/>
    <w:rsid w:val="0078737F"/>
    <w:rsid w:val="00787F19"/>
    <w:rsid w:val="00796942"/>
    <w:rsid w:val="007A370E"/>
    <w:rsid w:val="007A5B5E"/>
    <w:rsid w:val="007B2AC3"/>
    <w:rsid w:val="007C0709"/>
    <w:rsid w:val="007C3D4B"/>
    <w:rsid w:val="007C40F2"/>
    <w:rsid w:val="007D0317"/>
    <w:rsid w:val="007D31AF"/>
    <w:rsid w:val="007E0E3F"/>
    <w:rsid w:val="007E360E"/>
    <w:rsid w:val="007E3C3C"/>
    <w:rsid w:val="007E68B7"/>
    <w:rsid w:val="007E7618"/>
    <w:rsid w:val="007F0F4A"/>
    <w:rsid w:val="00800568"/>
    <w:rsid w:val="00802847"/>
    <w:rsid w:val="00806556"/>
    <w:rsid w:val="0081003B"/>
    <w:rsid w:val="00810AA3"/>
    <w:rsid w:val="008112FE"/>
    <w:rsid w:val="00812D70"/>
    <w:rsid w:val="00817257"/>
    <w:rsid w:val="00827B9B"/>
    <w:rsid w:val="00830951"/>
    <w:rsid w:val="00832891"/>
    <w:rsid w:val="00832E5A"/>
    <w:rsid w:val="0083380A"/>
    <w:rsid w:val="00840432"/>
    <w:rsid w:val="00842048"/>
    <w:rsid w:val="00842D06"/>
    <w:rsid w:val="008436B2"/>
    <w:rsid w:val="00843971"/>
    <w:rsid w:val="0085177D"/>
    <w:rsid w:val="00853600"/>
    <w:rsid w:val="008536A0"/>
    <w:rsid w:val="00862BFE"/>
    <w:rsid w:val="00862D91"/>
    <w:rsid w:val="00863A7E"/>
    <w:rsid w:val="00865E67"/>
    <w:rsid w:val="00866919"/>
    <w:rsid w:val="0087531E"/>
    <w:rsid w:val="00875F61"/>
    <w:rsid w:val="0088369D"/>
    <w:rsid w:val="00884B78"/>
    <w:rsid w:val="00892CBA"/>
    <w:rsid w:val="00894709"/>
    <w:rsid w:val="00895209"/>
    <w:rsid w:val="0089712C"/>
    <w:rsid w:val="008A219E"/>
    <w:rsid w:val="008A3AF0"/>
    <w:rsid w:val="008A44B4"/>
    <w:rsid w:val="008A5F49"/>
    <w:rsid w:val="008B43EB"/>
    <w:rsid w:val="008B7D54"/>
    <w:rsid w:val="008C1C67"/>
    <w:rsid w:val="008C2F48"/>
    <w:rsid w:val="008C35BC"/>
    <w:rsid w:val="008D0655"/>
    <w:rsid w:val="008D142E"/>
    <w:rsid w:val="008D6B46"/>
    <w:rsid w:val="008E47B0"/>
    <w:rsid w:val="008E5784"/>
    <w:rsid w:val="008E7569"/>
    <w:rsid w:val="008E7B79"/>
    <w:rsid w:val="008F15FE"/>
    <w:rsid w:val="008F4665"/>
    <w:rsid w:val="00900278"/>
    <w:rsid w:val="00903D8E"/>
    <w:rsid w:val="00907F32"/>
    <w:rsid w:val="00913B1B"/>
    <w:rsid w:val="00916221"/>
    <w:rsid w:val="00916535"/>
    <w:rsid w:val="00917232"/>
    <w:rsid w:val="00926E33"/>
    <w:rsid w:val="009308E6"/>
    <w:rsid w:val="0094112A"/>
    <w:rsid w:val="0095313D"/>
    <w:rsid w:val="00954878"/>
    <w:rsid w:val="00956639"/>
    <w:rsid w:val="00956D32"/>
    <w:rsid w:val="00956DD7"/>
    <w:rsid w:val="00956E90"/>
    <w:rsid w:val="00963531"/>
    <w:rsid w:val="00964E55"/>
    <w:rsid w:val="00965237"/>
    <w:rsid w:val="00972DAA"/>
    <w:rsid w:val="0097381E"/>
    <w:rsid w:val="0097401D"/>
    <w:rsid w:val="00980A69"/>
    <w:rsid w:val="0098159A"/>
    <w:rsid w:val="00983F49"/>
    <w:rsid w:val="00985C1E"/>
    <w:rsid w:val="00993EA5"/>
    <w:rsid w:val="009A0C2D"/>
    <w:rsid w:val="009A203B"/>
    <w:rsid w:val="009A45C8"/>
    <w:rsid w:val="009A6E8B"/>
    <w:rsid w:val="009B1122"/>
    <w:rsid w:val="009B3698"/>
    <w:rsid w:val="009B4D05"/>
    <w:rsid w:val="009B67AD"/>
    <w:rsid w:val="009B67F2"/>
    <w:rsid w:val="009C2136"/>
    <w:rsid w:val="009C2AF4"/>
    <w:rsid w:val="009C6820"/>
    <w:rsid w:val="009D09EF"/>
    <w:rsid w:val="009D0ED2"/>
    <w:rsid w:val="009D0F35"/>
    <w:rsid w:val="009D125C"/>
    <w:rsid w:val="009D40E8"/>
    <w:rsid w:val="009D46A3"/>
    <w:rsid w:val="009D55A8"/>
    <w:rsid w:val="009E05AC"/>
    <w:rsid w:val="009E06FC"/>
    <w:rsid w:val="009E3AD7"/>
    <w:rsid w:val="009E7018"/>
    <w:rsid w:val="009F0F9A"/>
    <w:rsid w:val="009F3DDE"/>
    <w:rsid w:val="009F7EAC"/>
    <w:rsid w:val="00A01332"/>
    <w:rsid w:val="00A02BB2"/>
    <w:rsid w:val="00A04E87"/>
    <w:rsid w:val="00A06308"/>
    <w:rsid w:val="00A06D2F"/>
    <w:rsid w:val="00A10B1B"/>
    <w:rsid w:val="00A142EF"/>
    <w:rsid w:val="00A200D5"/>
    <w:rsid w:val="00A22601"/>
    <w:rsid w:val="00A26D09"/>
    <w:rsid w:val="00A31429"/>
    <w:rsid w:val="00A31EE2"/>
    <w:rsid w:val="00A37FDD"/>
    <w:rsid w:val="00A43234"/>
    <w:rsid w:val="00A4460A"/>
    <w:rsid w:val="00A65FCB"/>
    <w:rsid w:val="00A726E7"/>
    <w:rsid w:val="00A81A94"/>
    <w:rsid w:val="00A83163"/>
    <w:rsid w:val="00A83BF7"/>
    <w:rsid w:val="00A87A01"/>
    <w:rsid w:val="00A917B1"/>
    <w:rsid w:val="00AA0A6E"/>
    <w:rsid w:val="00AA140A"/>
    <w:rsid w:val="00AA3118"/>
    <w:rsid w:val="00AA31DC"/>
    <w:rsid w:val="00AA4E41"/>
    <w:rsid w:val="00AB0694"/>
    <w:rsid w:val="00AC45D6"/>
    <w:rsid w:val="00AC4B27"/>
    <w:rsid w:val="00AC4E92"/>
    <w:rsid w:val="00AC6A67"/>
    <w:rsid w:val="00AC6BBC"/>
    <w:rsid w:val="00AD2CBB"/>
    <w:rsid w:val="00AD3F96"/>
    <w:rsid w:val="00AD784B"/>
    <w:rsid w:val="00AE3118"/>
    <w:rsid w:val="00AE5517"/>
    <w:rsid w:val="00AF162B"/>
    <w:rsid w:val="00AF1DB9"/>
    <w:rsid w:val="00AF1F63"/>
    <w:rsid w:val="00AF42B5"/>
    <w:rsid w:val="00AF64D2"/>
    <w:rsid w:val="00B012A3"/>
    <w:rsid w:val="00B077F1"/>
    <w:rsid w:val="00B10623"/>
    <w:rsid w:val="00B108F9"/>
    <w:rsid w:val="00B12C2F"/>
    <w:rsid w:val="00B15B2B"/>
    <w:rsid w:val="00B16EE7"/>
    <w:rsid w:val="00B208BF"/>
    <w:rsid w:val="00B20DCD"/>
    <w:rsid w:val="00B2727D"/>
    <w:rsid w:val="00B362E0"/>
    <w:rsid w:val="00B3657D"/>
    <w:rsid w:val="00B36581"/>
    <w:rsid w:val="00B424EF"/>
    <w:rsid w:val="00B453A3"/>
    <w:rsid w:val="00B63577"/>
    <w:rsid w:val="00B67350"/>
    <w:rsid w:val="00B6745E"/>
    <w:rsid w:val="00B80560"/>
    <w:rsid w:val="00B92674"/>
    <w:rsid w:val="00B93166"/>
    <w:rsid w:val="00B9426B"/>
    <w:rsid w:val="00B945DD"/>
    <w:rsid w:val="00B94B5D"/>
    <w:rsid w:val="00BA0BBA"/>
    <w:rsid w:val="00BA17D4"/>
    <w:rsid w:val="00BA6025"/>
    <w:rsid w:val="00BA74C4"/>
    <w:rsid w:val="00BB6A51"/>
    <w:rsid w:val="00BB7050"/>
    <w:rsid w:val="00BC1DE2"/>
    <w:rsid w:val="00BC1E68"/>
    <w:rsid w:val="00BC22E5"/>
    <w:rsid w:val="00BC371A"/>
    <w:rsid w:val="00BC511C"/>
    <w:rsid w:val="00BC541E"/>
    <w:rsid w:val="00BC6AC1"/>
    <w:rsid w:val="00BD1155"/>
    <w:rsid w:val="00BD553B"/>
    <w:rsid w:val="00BD55EF"/>
    <w:rsid w:val="00BD579C"/>
    <w:rsid w:val="00BD74DF"/>
    <w:rsid w:val="00BE29ED"/>
    <w:rsid w:val="00BE43E4"/>
    <w:rsid w:val="00BE623B"/>
    <w:rsid w:val="00BF5998"/>
    <w:rsid w:val="00C10923"/>
    <w:rsid w:val="00C14638"/>
    <w:rsid w:val="00C17438"/>
    <w:rsid w:val="00C17CEB"/>
    <w:rsid w:val="00C17D4A"/>
    <w:rsid w:val="00C21807"/>
    <w:rsid w:val="00C2260D"/>
    <w:rsid w:val="00C332FF"/>
    <w:rsid w:val="00C40881"/>
    <w:rsid w:val="00C46C95"/>
    <w:rsid w:val="00C478F9"/>
    <w:rsid w:val="00C50922"/>
    <w:rsid w:val="00C511B6"/>
    <w:rsid w:val="00C518EE"/>
    <w:rsid w:val="00C53920"/>
    <w:rsid w:val="00C54171"/>
    <w:rsid w:val="00C564FB"/>
    <w:rsid w:val="00C5737D"/>
    <w:rsid w:val="00C57984"/>
    <w:rsid w:val="00C62953"/>
    <w:rsid w:val="00C6456C"/>
    <w:rsid w:val="00C65E0D"/>
    <w:rsid w:val="00C66618"/>
    <w:rsid w:val="00C668AD"/>
    <w:rsid w:val="00C66C66"/>
    <w:rsid w:val="00C678B7"/>
    <w:rsid w:val="00C716C8"/>
    <w:rsid w:val="00C72975"/>
    <w:rsid w:val="00C73AB2"/>
    <w:rsid w:val="00C8064A"/>
    <w:rsid w:val="00C8110F"/>
    <w:rsid w:val="00C84F77"/>
    <w:rsid w:val="00C87973"/>
    <w:rsid w:val="00CA0B3D"/>
    <w:rsid w:val="00CA32DD"/>
    <w:rsid w:val="00CA5CC5"/>
    <w:rsid w:val="00CB270D"/>
    <w:rsid w:val="00CB6881"/>
    <w:rsid w:val="00CB6FBF"/>
    <w:rsid w:val="00CC072A"/>
    <w:rsid w:val="00CC7FA8"/>
    <w:rsid w:val="00CD177B"/>
    <w:rsid w:val="00CD39BF"/>
    <w:rsid w:val="00CD3F57"/>
    <w:rsid w:val="00CD697B"/>
    <w:rsid w:val="00CD78E0"/>
    <w:rsid w:val="00CE52E4"/>
    <w:rsid w:val="00CF31FB"/>
    <w:rsid w:val="00CF3534"/>
    <w:rsid w:val="00CF405A"/>
    <w:rsid w:val="00CF50A2"/>
    <w:rsid w:val="00D00A93"/>
    <w:rsid w:val="00D01C98"/>
    <w:rsid w:val="00D053EC"/>
    <w:rsid w:val="00D05E2E"/>
    <w:rsid w:val="00D06146"/>
    <w:rsid w:val="00D14D1E"/>
    <w:rsid w:val="00D16FF1"/>
    <w:rsid w:val="00D24CB8"/>
    <w:rsid w:val="00D265DA"/>
    <w:rsid w:val="00D265F4"/>
    <w:rsid w:val="00D338CC"/>
    <w:rsid w:val="00D34857"/>
    <w:rsid w:val="00D35757"/>
    <w:rsid w:val="00D37513"/>
    <w:rsid w:val="00D43A57"/>
    <w:rsid w:val="00D4788D"/>
    <w:rsid w:val="00D47F40"/>
    <w:rsid w:val="00D505CB"/>
    <w:rsid w:val="00D50A1B"/>
    <w:rsid w:val="00D50EBF"/>
    <w:rsid w:val="00D511E3"/>
    <w:rsid w:val="00D53C66"/>
    <w:rsid w:val="00D5691C"/>
    <w:rsid w:val="00D57A4D"/>
    <w:rsid w:val="00D63F8C"/>
    <w:rsid w:val="00D66A22"/>
    <w:rsid w:val="00D72835"/>
    <w:rsid w:val="00D747B9"/>
    <w:rsid w:val="00D74D3A"/>
    <w:rsid w:val="00D75766"/>
    <w:rsid w:val="00D758FB"/>
    <w:rsid w:val="00D76B68"/>
    <w:rsid w:val="00D817B9"/>
    <w:rsid w:val="00D81AC6"/>
    <w:rsid w:val="00D835BF"/>
    <w:rsid w:val="00D856CC"/>
    <w:rsid w:val="00D85BBA"/>
    <w:rsid w:val="00D90170"/>
    <w:rsid w:val="00D90F6C"/>
    <w:rsid w:val="00D92425"/>
    <w:rsid w:val="00D9287D"/>
    <w:rsid w:val="00D9502C"/>
    <w:rsid w:val="00D9508F"/>
    <w:rsid w:val="00D95F65"/>
    <w:rsid w:val="00D96398"/>
    <w:rsid w:val="00D9783E"/>
    <w:rsid w:val="00DA1FC6"/>
    <w:rsid w:val="00DB3D9D"/>
    <w:rsid w:val="00DB73E1"/>
    <w:rsid w:val="00DC1383"/>
    <w:rsid w:val="00DC457D"/>
    <w:rsid w:val="00DC5881"/>
    <w:rsid w:val="00DD0EB1"/>
    <w:rsid w:val="00DD2C5E"/>
    <w:rsid w:val="00DD3798"/>
    <w:rsid w:val="00DE0A8B"/>
    <w:rsid w:val="00DE27F4"/>
    <w:rsid w:val="00DE49A1"/>
    <w:rsid w:val="00DF1930"/>
    <w:rsid w:val="00DF22CA"/>
    <w:rsid w:val="00DF3098"/>
    <w:rsid w:val="00DF5260"/>
    <w:rsid w:val="00DF6E94"/>
    <w:rsid w:val="00E03F1F"/>
    <w:rsid w:val="00E072DB"/>
    <w:rsid w:val="00E1382E"/>
    <w:rsid w:val="00E13FA7"/>
    <w:rsid w:val="00E17996"/>
    <w:rsid w:val="00E17B85"/>
    <w:rsid w:val="00E230E7"/>
    <w:rsid w:val="00E250BA"/>
    <w:rsid w:val="00E26593"/>
    <w:rsid w:val="00E34914"/>
    <w:rsid w:val="00E41023"/>
    <w:rsid w:val="00E426DC"/>
    <w:rsid w:val="00E521C7"/>
    <w:rsid w:val="00E56762"/>
    <w:rsid w:val="00E638DE"/>
    <w:rsid w:val="00E70C74"/>
    <w:rsid w:val="00E73128"/>
    <w:rsid w:val="00E73250"/>
    <w:rsid w:val="00E74525"/>
    <w:rsid w:val="00E77434"/>
    <w:rsid w:val="00E83429"/>
    <w:rsid w:val="00E861B4"/>
    <w:rsid w:val="00E87399"/>
    <w:rsid w:val="00E87783"/>
    <w:rsid w:val="00E87A6A"/>
    <w:rsid w:val="00E91099"/>
    <w:rsid w:val="00E943BA"/>
    <w:rsid w:val="00E9621C"/>
    <w:rsid w:val="00EA035A"/>
    <w:rsid w:val="00EA57BB"/>
    <w:rsid w:val="00EB2B83"/>
    <w:rsid w:val="00EB707B"/>
    <w:rsid w:val="00EC615C"/>
    <w:rsid w:val="00ED1A83"/>
    <w:rsid w:val="00ED3207"/>
    <w:rsid w:val="00EE1185"/>
    <w:rsid w:val="00EE2819"/>
    <w:rsid w:val="00EE483F"/>
    <w:rsid w:val="00EE60A5"/>
    <w:rsid w:val="00EF0937"/>
    <w:rsid w:val="00EF15B6"/>
    <w:rsid w:val="00EF18A0"/>
    <w:rsid w:val="00EF5B57"/>
    <w:rsid w:val="00EF645C"/>
    <w:rsid w:val="00EF703E"/>
    <w:rsid w:val="00F06F3B"/>
    <w:rsid w:val="00F10E66"/>
    <w:rsid w:val="00F10EEE"/>
    <w:rsid w:val="00F16770"/>
    <w:rsid w:val="00F16B4A"/>
    <w:rsid w:val="00F227A8"/>
    <w:rsid w:val="00F2402A"/>
    <w:rsid w:val="00F24F4F"/>
    <w:rsid w:val="00F26023"/>
    <w:rsid w:val="00F2711A"/>
    <w:rsid w:val="00F323C7"/>
    <w:rsid w:val="00F3454E"/>
    <w:rsid w:val="00F36E38"/>
    <w:rsid w:val="00F42F8A"/>
    <w:rsid w:val="00F43F12"/>
    <w:rsid w:val="00F44731"/>
    <w:rsid w:val="00F552A1"/>
    <w:rsid w:val="00F56D4C"/>
    <w:rsid w:val="00F608DF"/>
    <w:rsid w:val="00F62D1C"/>
    <w:rsid w:val="00F63228"/>
    <w:rsid w:val="00F642AD"/>
    <w:rsid w:val="00F70C72"/>
    <w:rsid w:val="00F73DB0"/>
    <w:rsid w:val="00F75C38"/>
    <w:rsid w:val="00F85FE8"/>
    <w:rsid w:val="00F860FE"/>
    <w:rsid w:val="00F91F83"/>
    <w:rsid w:val="00F93F79"/>
    <w:rsid w:val="00F94F8C"/>
    <w:rsid w:val="00F95A7E"/>
    <w:rsid w:val="00F9706D"/>
    <w:rsid w:val="00F972EE"/>
    <w:rsid w:val="00F9796A"/>
    <w:rsid w:val="00FA2C98"/>
    <w:rsid w:val="00FA4B3A"/>
    <w:rsid w:val="00FB2A68"/>
    <w:rsid w:val="00FB36C2"/>
    <w:rsid w:val="00FB660B"/>
    <w:rsid w:val="00FC1A97"/>
    <w:rsid w:val="00FC224F"/>
    <w:rsid w:val="00FC3F2A"/>
    <w:rsid w:val="00FC70DF"/>
    <w:rsid w:val="00FC7A7C"/>
    <w:rsid w:val="00FD2619"/>
    <w:rsid w:val="00FD7D12"/>
    <w:rsid w:val="00FE68D3"/>
    <w:rsid w:val="00FE7361"/>
    <w:rsid w:val="00FE7B29"/>
    <w:rsid w:val="00FF2192"/>
    <w:rsid w:val="00FF68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4110F"/>
  <w15:docId w15:val="{019C149F-BAB9-4312-8CED-5F7AEAFF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06"/>
    <w:pPr>
      <w:spacing w:before="120" w:after="120" w:line="240" w:lineRule="auto"/>
      <w:jc w:val="both"/>
    </w:pPr>
    <w:rPr>
      <w:sz w:val="20"/>
    </w:rPr>
  </w:style>
  <w:style w:type="paragraph" w:styleId="Heading1">
    <w:name w:val="heading 1"/>
    <w:basedOn w:val="Normal"/>
    <w:next w:val="Normal"/>
    <w:link w:val="Heading1Char"/>
    <w:uiPriority w:val="9"/>
    <w:qFormat/>
    <w:rsid w:val="00BC511C"/>
    <w:pPr>
      <w:keepNext/>
      <w:keepLines/>
      <w:numPr>
        <w:numId w:val="1"/>
      </w:numPr>
      <w:spacing w:before="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EFC"/>
    <w:pPr>
      <w:keepNext/>
      <w:keepLines/>
      <w:numPr>
        <w:ilvl w:val="1"/>
        <w:numId w:val="1"/>
      </w:numPr>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E7B79"/>
    <w:pPr>
      <w:keepNext/>
      <w:keepLines/>
      <w:numPr>
        <w:ilvl w:val="2"/>
        <w:numId w:val="1"/>
      </w:numPr>
      <w:spacing w:before="24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56E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6E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6E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6E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6E9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56E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7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511C"/>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1EFC"/>
    <w:rPr>
      <w:rFonts w:eastAsiaTheme="majorEastAsia" w:cstheme="majorBidi"/>
      <w:b/>
      <w:bCs/>
      <w:sz w:val="24"/>
      <w:szCs w:val="26"/>
    </w:rPr>
  </w:style>
  <w:style w:type="character" w:customStyle="1" w:styleId="Heading3Char">
    <w:name w:val="Heading 3 Char"/>
    <w:basedOn w:val="DefaultParagraphFont"/>
    <w:link w:val="Heading3"/>
    <w:uiPriority w:val="9"/>
    <w:rsid w:val="008E7B79"/>
    <w:rPr>
      <w:rFonts w:eastAsiaTheme="majorEastAsia" w:cstheme="majorBidi"/>
      <w:b/>
      <w:bCs/>
      <w:sz w:val="20"/>
    </w:rPr>
  </w:style>
  <w:style w:type="character" w:customStyle="1" w:styleId="Heading4Char">
    <w:name w:val="Heading 4 Char"/>
    <w:basedOn w:val="DefaultParagraphFont"/>
    <w:link w:val="Heading4"/>
    <w:uiPriority w:val="9"/>
    <w:semiHidden/>
    <w:rsid w:val="00956E90"/>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956E90"/>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956E9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956E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56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6E9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qFormat/>
    <w:rsid w:val="00B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20DCD"/>
    <w:pPr>
      <w:numPr>
        <w:numId w:val="0"/>
      </w:num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B20DCD"/>
    <w:pPr>
      <w:spacing w:after="100"/>
    </w:pPr>
  </w:style>
  <w:style w:type="paragraph" w:styleId="TOC2">
    <w:name w:val="toc 2"/>
    <w:basedOn w:val="Normal"/>
    <w:next w:val="Normal"/>
    <w:autoRedefine/>
    <w:uiPriority w:val="39"/>
    <w:unhideWhenUsed/>
    <w:rsid w:val="00B20DCD"/>
    <w:pPr>
      <w:spacing w:after="100"/>
      <w:ind w:left="220"/>
    </w:pPr>
  </w:style>
  <w:style w:type="paragraph" w:styleId="TOC3">
    <w:name w:val="toc 3"/>
    <w:basedOn w:val="Normal"/>
    <w:next w:val="Normal"/>
    <w:autoRedefine/>
    <w:uiPriority w:val="39"/>
    <w:unhideWhenUsed/>
    <w:rsid w:val="00B20DCD"/>
    <w:pPr>
      <w:spacing w:after="100"/>
      <w:ind w:left="440"/>
    </w:pPr>
  </w:style>
  <w:style w:type="character" w:styleId="Hyperlink">
    <w:name w:val="Hyperlink"/>
    <w:basedOn w:val="DefaultParagraphFont"/>
    <w:uiPriority w:val="99"/>
    <w:unhideWhenUsed/>
    <w:rsid w:val="00B20DCD"/>
    <w:rPr>
      <w:color w:val="0000FF" w:themeColor="hyperlink"/>
      <w:u w:val="single"/>
    </w:rPr>
  </w:style>
  <w:style w:type="paragraph" w:styleId="BalloonText">
    <w:name w:val="Balloon Text"/>
    <w:basedOn w:val="Normal"/>
    <w:link w:val="BalloonTextChar"/>
    <w:uiPriority w:val="99"/>
    <w:semiHidden/>
    <w:unhideWhenUsed/>
    <w:rsid w:val="00B20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CD"/>
    <w:rPr>
      <w:rFonts w:ascii="Tahoma" w:hAnsi="Tahoma" w:cs="Tahoma"/>
      <w:sz w:val="16"/>
      <w:szCs w:val="16"/>
    </w:rPr>
  </w:style>
  <w:style w:type="character" w:styleId="Emphasis">
    <w:name w:val="Emphasis"/>
    <w:basedOn w:val="DefaultParagraphFont"/>
    <w:uiPriority w:val="20"/>
    <w:qFormat/>
    <w:rsid w:val="00B20DCD"/>
    <w:rPr>
      <w:i/>
      <w:iCs/>
    </w:rPr>
  </w:style>
  <w:style w:type="paragraph" w:styleId="Header">
    <w:name w:val="header"/>
    <w:basedOn w:val="Normal"/>
    <w:link w:val="HeaderChar"/>
    <w:unhideWhenUsed/>
    <w:rsid w:val="00170929"/>
    <w:pPr>
      <w:tabs>
        <w:tab w:val="center" w:pos="4703"/>
        <w:tab w:val="right" w:pos="9406"/>
      </w:tabs>
      <w:spacing w:before="0" w:after="0"/>
    </w:pPr>
  </w:style>
  <w:style w:type="character" w:customStyle="1" w:styleId="HeaderChar">
    <w:name w:val="Header Char"/>
    <w:basedOn w:val="DefaultParagraphFont"/>
    <w:link w:val="Header"/>
    <w:rsid w:val="00170929"/>
  </w:style>
  <w:style w:type="paragraph" w:styleId="Footer">
    <w:name w:val="footer"/>
    <w:basedOn w:val="Normal"/>
    <w:link w:val="FooterChar"/>
    <w:uiPriority w:val="99"/>
    <w:unhideWhenUsed/>
    <w:rsid w:val="00170929"/>
    <w:pPr>
      <w:tabs>
        <w:tab w:val="center" w:pos="4703"/>
        <w:tab w:val="right" w:pos="9406"/>
      </w:tabs>
      <w:spacing w:before="0" w:after="0"/>
    </w:pPr>
  </w:style>
  <w:style w:type="character" w:customStyle="1" w:styleId="FooterChar">
    <w:name w:val="Footer Char"/>
    <w:basedOn w:val="DefaultParagraphFont"/>
    <w:link w:val="Footer"/>
    <w:uiPriority w:val="99"/>
    <w:rsid w:val="00170929"/>
  </w:style>
  <w:style w:type="paragraph" w:styleId="NoSpacing">
    <w:name w:val="No Spacing"/>
    <w:link w:val="NoSpacingChar"/>
    <w:uiPriority w:val="1"/>
    <w:qFormat/>
    <w:rsid w:val="00666505"/>
    <w:pPr>
      <w:spacing w:after="0" w:line="240" w:lineRule="auto"/>
    </w:pPr>
    <w:rPr>
      <w:lang w:eastAsia="ja-JP"/>
    </w:rPr>
  </w:style>
  <w:style w:type="character" w:customStyle="1" w:styleId="NoSpacingChar">
    <w:name w:val="No Spacing Char"/>
    <w:basedOn w:val="DefaultParagraphFont"/>
    <w:link w:val="NoSpacing"/>
    <w:uiPriority w:val="1"/>
    <w:rsid w:val="00666505"/>
    <w:rPr>
      <w:rFonts w:eastAsiaTheme="minorEastAsia"/>
      <w:lang w:eastAsia="ja-JP"/>
    </w:rPr>
  </w:style>
  <w:style w:type="paragraph" w:customStyle="1" w:styleId="MessageHeaderFirst">
    <w:name w:val="Message Header First"/>
    <w:basedOn w:val="MessageHeader"/>
    <w:next w:val="MessageHeader"/>
    <w:rsid w:val="006B07B3"/>
    <w:pPr>
      <w:keepLines/>
      <w:pBdr>
        <w:top w:val="none" w:sz="0" w:space="0" w:color="auto"/>
        <w:left w:val="none" w:sz="0" w:space="0" w:color="auto"/>
        <w:bottom w:val="none" w:sz="0" w:space="0" w:color="auto"/>
        <w:right w:val="none" w:sz="0" w:space="0" w:color="auto"/>
      </w:pBdr>
      <w:shd w:val="clear" w:color="auto" w:fill="auto"/>
      <w:tabs>
        <w:tab w:val="left" w:pos="1080"/>
      </w:tabs>
      <w:overflowPunct w:val="0"/>
      <w:autoSpaceDE w:val="0"/>
      <w:autoSpaceDN w:val="0"/>
      <w:adjustRightInd w:val="0"/>
      <w:spacing w:before="360" w:after="120" w:line="240" w:lineRule="atLeast"/>
      <w:textAlignment w:val="baseline"/>
    </w:pPr>
    <w:rPr>
      <w:rFonts w:ascii="Times New Roman" w:eastAsia="Times New Roman" w:hAnsi="Times New Roman" w:cs="Times New Roman"/>
      <w:caps/>
      <w:sz w:val="18"/>
      <w:szCs w:val="20"/>
    </w:rPr>
  </w:style>
  <w:style w:type="paragraph" w:styleId="MessageHeader">
    <w:name w:val="Message Header"/>
    <w:basedOn w:val="Normal"/>
    <w:link w:val="MessageHeaderChar"/>
    <w:uiPriority w:val="99"/>
    <w:semiHidden/>
    <w:unhideWhenUsed/>
    <w:rsid w:val="006B07B3"/>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07B3"/>
    <w:rPr>
      <w:rFonts w:asciiTheme="majorHAnsi" w:eastAsiaTheme="majorEastAsia" w:hAnsiTheme="majorHAnsi" w:cstheme="majorBidi"/>
      <w:sz w:val="24"/>
      <w:szCs w:val="24"/>
      <w:shd w:val="pct20" w:color="auto" w:fill="auto"/>
    </w:rPr>
  </w:style>
  <w:style w:type="paragraph" w:styleId="ListParagraph">
    <w:name w:val="List Paragraph"/>
    <w:aliases w:val="Bullit,Bullets,List Paragraph1,Project Profile name,Paragraphe de liste1,Numbered paragraph,Paragraphe de liste,Medium Grid 1 - Accent 21,List Paragraph (numbered (a)),Numbered List Paragraph,References,ReferencesCxSpLast,En tête 1,Dot pt"/>
    <w:basedOn w:val="Normal"/>
    <w:link w:val="ListParagraphChar"/>
    <w:uiPriority w:val="34"/>
    <w:qFormat/>
    <w:rsid w:val="00B93166"/>
    <w:pPr>
      <w:spacing w:before="0"/>
      <w:ind w:left="720"/>
      <w:jc w:val="left"/>
    </w:pPr>
    <w:rPr>
      <w:rFonts w:ascii="Calibri" w:eastAsia="Times New Roman" w:hAnsi="Calibri" w:cs="Times New Roman"/>
    </w:rPr>
  </w:style>
  <w:style w:type="character" w:customStyle="1" w:styleId="ListParagraphChar">
    <w:name w:val="List Paragraph Char"/>
    <w:aliases w:val="Bullit Char,Bullets Char,List Paragraph1 Char,Project Profile name Char,Paragraphe de liste1 Char,Numbered paragraph Char,Paragraphe de liste Char,Medium Grid 1 - Accent 21 Char,List Paragraph (numbered (a)) Char,References Char"/>
    <w:link w:val="ListParagraph"/>
    <w:uiPriority w:val="34"/>
    <w:qFormat/>
    <w:locked/>
    <w:rsid w:val="00B93166"/>
    <w:rPr>
      <w:rFonts w:ascii="Calibri" w:eastAsia="Times New Roman" w:hAnsi="Calibri" w:cs="Times New Roman"/>
    </w:rPr>
  </w:style>
  <w:style w:type="paragraph" w:styleId="BodyText">
    <w:name w:val="Body Text"/>
    <w:basedOn w:val="Normal"/>
    <w:link w:val="BodyTextChar"/>
    <w:rsid w:val="00B2727D"/>
    <w:pPr>
      <w:overflowPunct w:val="0"/>
      <w:autoSpaceDE w:val="0"/>
      <w:autoSpaceDN w:val="0"/>
      <w:adjustRightInd w:val="0"/>
      <w:spacing w:before="0" w:line="240" w:lineRule="atLeast"/>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B2727D"/>
    <w:rPr>
      <w:rFonts w:ascii="Times New Roman" w:eastAsia="Times New Roman" w:hAnsi="Times New Roman" w:cs="Times New Roman"/>
      <w:sz w:val="24"/>
      <w:szCs w:val="20"/>
    </w:rPr>
  </w:style>
  <w:style w:type="character" w:styleId="FootnoteReference">
    <w:name w:val="footnote reference"/>
    <w:aliases w:val="16 Point,Superscript 6 Point,Fußnotenzeichen 9,Superscript 6 Point + 11 pt,ftref,fr,Footnote Ref in FtNote, BVI fnr,Style 24,o,SUPERS,BVI fnr,BVI fnr Car Car,BVI fnr Car,BVI fnr Car Car Car Car,Footnote text, BVI fnr Car Car,Ref,1"/>
    <w:link w:val="Char2"/>
    <w:uiPriority w:val="99"/>
    <w:qFormat/>
    <w:rsid w:val="00B2727D"/>
    <w:rPr>
      <w:vertAlign w:val="superscript"/>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t,fn,脚注"/>
    <w:basedOn w:val="Normal"/>
    <w:link w:val="FootnoteTextChar"/>
    <w:uiPriority w:val="99"/>
    <w:qFormat/>
    <w:rsid w:val="00B2727D"/>
    <w:pPr>
      <w:keepLines/>
      <w:overflowPunct w:val="0"/>
      <w:autoSpaceDE w:val="0"/>
      <w:autoSpaceDN w:val="0"/>
      <w:adjustRightInd w:val="0"/>
      <w:spacing w:before="0" w:line="200" w:lineRule="atLeast"/>
      <w:textAlignment w:val="baseline"/>
    </w:pPr>
    <w:rPr>
      <w:rFonts w:ascii="Times New Roman" w:eastAsia="Times New Roman" w:hAnsi="Times New Roman" w:cs="Times New Roman"/>
      <w:sz w:val="16"/>
      <w:szCs w:val="20"/>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t Char,fn Char"/>
    <w:basedOn w:val="DefaultParagraphFont"/>
    <w:link w:val="FootnoteText"/>
    <w:uiPriority w:val="99"/>
    <w:rsid w:val="00B2727D"/>
    <w:rPr>
      <w:rFonts w:ascii="Times New Roman" w:eastAsia="Times New Roman" w:hAnsi="Times New Roman" w:cs="Times New Roman"/>
      <w:sz w:val="16"/>
      <w:szCs w:val="20"/>
    </w:rPr>
  </w:style>
  <w:style w:type="paragraph" w:customStyle="1" w:styleId="Default">
    <w:name w:val="Default"/>
    <w:rsid w:val="00BC511C"/>
    <w:pPr>
      <w:autoSpaceDE w:val="0"/>
      <w:autoSpaceDN w:val="0"/>
      <w:adjustRightInd w:val="0"/>
      <w:spacing w:after="0" w:line="240" w:lineRule="auto"/>
    </w:pPr>
    <w:rPr>
      <w:rFonts w:ascii="DJAIAN+TimesNewRoman" w:eastAsia="Times New Roman" w:hAnsi="DJAIAN+TimesNewRoman" w:cs="DJAIAN+TimesNewRoman"/>
      <w:color w:val="000000"/>
      <w:sz w:val="24"/>
      <w:szCs w:val="24"/>
    </w:rPr>
  </w:style>
  <w:style w:type="paragraph" w:customStyle="1" w:styleId="1">
    <w:name w:val="列出段落1"/>
    <w:basedOn w:val="Normal"/>
    <w:uiPriority w:val="34"/>
    <w:qFormat/>
    <w:rsid w:val="000B25D9"/>
    <w:pPr>
      <w:spacing w:before="200" w:after="200" w:line="276" w:lineRule="auto"/>
      <w:ind w:left="720"/>
      <w:contextualSpacing/>
      <w:jc w:val="left"/>
    </w:pPr>
    <w:rPr>
      <w:rFonts w:ascii="Calibri" w:eastAsia="Times New Roman" w:hAnsi="Calibri" w:cs="Times New Roman"/>
      <w:szCs w:val="20"/>
      <w:lang w:bidi="en-US"/>
    </w:rPr>
  </w:style>
  <w:style w:type="paragraph" w:styleId="BodyText2">
    <w:name w:val="Body Text 2"/>
    <w:basedOn w:val="Normal"/>
    <w:link w:val="BodyText2Char"/>
    <w:uiPriority w:val="99"/>
    <w:semiHidden/>
    <w:unhideWhenUsed/>
    <w:rsid w:val="0035699F"/>
    <w:pPr>
      <w:spacing w:line="480" w:lineRule="auto"/>
    </w:pPr>
  </w:style>
  <w:style w:type="character" w:customStyle="1" w:styleId="BodyText2Char">
    <w:name w:val="Body Text 2 Char"/>
    <w:basedOn w:val="DefaultParagraphFont"/>
    <w:link w:val="BodyText2"/>
    <w:uiPriority w:val="99"/>
    <w:semiHidden/>
    <w:rsid w:val="0035699F"/>
  </w:style>
  <w:style w:type="paragraph" w:styleId="NormalWeb">
    <w:name w:val="Normal (Web)"/>
    <w:basedOn w:val="Normal"/>
    <w:uiPriority w:val="99"/>
    <w:semiHidden/>
    <w:unhideWhenUsed/>
    <w:rsid w:val="00900278"/>
    <w:pPr>
      <w:spacing w:before="100" w:beforeAutospacing="1" w:after="100" w:afterAutospacing="1"/>
      <w:jc w:val="left"/>
    </w:pPr>
    <w:rPr>
      <w:rFonts w:ascii="Times New Roman" w:eastAsia="Times New Roman" w:hAnsi="Times New Roman" w:cs="Times New Roman"/>
      <w:sz w:val="24"/>
      <w:szCs w:val="24"/>
    </w:rPr>
  </w:style>
  <w:style w:type="paragraph" w:customStyle="1" w:styleId="GEFFieldtoFillout">
    <w:name w:val="GEF Field to Fill out"/>
    <w:basedOn w:val="Normal"/>
    <w:link w:val="GEFFieldtoFilloutChar"/>
    <w:uiPriority w:val="99"/>
    <w:qFormat/>
    <w:rsid w:val="00D856CC"/>
    <w:pPr>
      <w:spacing w:before="0" w:after="0"/>
      <w:ind w:left="-720"/>
      <w:jc w:val="left"/>
    </w:pPr>
    <w:rPr>
      <w:rFonts w:ascii="Times New Roman" w:eastAsia="SimSun" w:hAnsi="Times New Roman" w:cs="Times New Roman"/>
      <w:color w:val="000000"/>
      <w:sz w:val="22"/>
    </w:rPr>
  </w:style>
  <w:style w:type="character" w:customStyle="1" w:styleId="GEFFieldtoFilloutChar">
    <w:name w:val="GEF Field to Fill out Char"/>
    <w:link w:val="GEFFieldtoFillout"/>
    <w:uiPriority w:val="99"/>
    <w:rsid w:val="00D856CC"/>
    <w:rPr>
      <w:rFonts w:ascii="Times New Roman" w:eastAsia="SimSun" w:hAnsi="Times New Roman" w:cs="Times New Roman"/>
      <w:color w:val="000000"/>
    </w:rPr>
  </w:style>
  <w:style w:type="paragraph" w:customStyle="1" w:styleId="BodyText1">
    <w:name w:val="BodyText 1"/>
    <w:basedOn w:val="Normal"/>
    <w:uiPriority w:val="99"/>
    <w:rsid w:val="00DC5881"/>
    <w:pPr>
      <w:tabs>
        <w:tab w:val="left" w:pos="720"/>
      </w:tabs>
      <w:spacing w:before="0" w:after="0"/>
    </w:pPr>
    <w:rPr>
      <w:rFonts w:ascii="Times New Roman" w:eastAsia="Times New Roman" w:hAnsi="Times New Roman Bold" w:cs="Times New Roman"/>
      <w:sz w:val="22"/>
      <w:lang w:val="en-GB"/>
    </w:rPr>
  </w:style>
  <w:style w:type="paragraph" w:customStyle="1" w:styleId="BodyGaramond11">
    <w:name w:val="Body Garamond (11)"/>
    <w:qFormat/>
    <w:rsid w:val="00DC5881"/>
    <w:pPr>
      <w:tabs>
        <w:tab w:val="left" w:pos="1440"/>
      </w:tabs>
      <w:spacing w:after="160" w:line="280" w:lineRule="exact"/>
    </w:pPr>
    <w:rPr>
      <w:rFonts w:ascii="Garamond" w:hAnsi="Garamond"/>
      <w:color w:val="000000" w:themeColor="text1"/>
      <w:szCs w:val="24"/>
    </w:rPr>
  </w:style>
  <w:style w:type="character" w:styleId="CommentReference">
    <w:name w:val="annotation reference"/>
    <w:basedOn w:val="DefaultParagraphFont"/>
    <w:uiPriority w:val="99"/>
    <w:semiHidden/>
    <w:unhideWhenUsed/>
    <w:rsid w:val="00DC5881"/>
    <w:rPr>
      <w:sz w:val="16"/>
      <w:szCs w:val="16"/>
    </w:rPr>
  </w:style>
  <w:style w:type="paragraph" w:styleId="CommentText">
    <w:name w:val="annotation text"/>
    <w:basedOn w:val="Normal"/>
    <w:link w:val="CommentTextChar"/>
    <w:uiPriority w:val="99"/>
    <w:semiHidden/>
    <w:unhideWhenUsed/>
    <w:rsid w:val="00DC5881"/>
    <w:pPr>
      <w:spacing w:before="0"/>
      <w:ind w:left="360" w:hanging="360"/>
      <w:jc w:val="left"/>
    </w:pPr>
    <w:rPr>
      <w:rFonts w:ascii="Calibri" w:eastAsia="Times New Roman" w:hAnsi="Calibri" w:cs="Times New Roman"/>
      <w:szCs w:val="20"/>
    </w:rPr>
  </w:style>
  <w:style w:type="character" w:customStyle="1" w:styleId="CommentTextChar">
    <w:name w:val="Comment Text Char"/>
    <w:basedOn w:val="DefaultParagraphFont"/>
    <w:link w:val="CommentText"/>
    <w:uiPriority w:val="99"/>
    <w:semiHidden/>
    <w:rsid w:val="00DC5881"/>
    <w:rPr>
      <w:rFonts w:ascii="Calibri" w:eastAsia="Times New Roman" w:hAnsi="Calibri" w:cs="Times New Roman"/>
      <w:sz w:val="20"/>
      <w:szCs w:val="20"/>
    </w:rPr>
  </w:style>
  <w:style w:type="paragraph" w:styleId="Caption">
    <w:name w:val="caption"/>
    <w:basedOn w:val="Normal"/>
    <w:next w:val="Normal"/>
    <w:link w:val="CaptionChar"/>
    <w:uiPriority w:val="35"/>
    <w:unhideWhenUsed/>
    <w:qFormat/>
    <w:rsid w:val="00AC4E92"/>
    <w:pPr>
      <w:widowControl w:val="0"/>
      <w:spacing w:beforeLines="50" w:before="50" w:after="60"/>
      <w:jc w:val="left"/>
    </w:pPr>
    <w:rPr>
      <w:rFonts w:ascii="Calibri" w:eastAsia="Calibri" w:hAnsi="Calibri" w:cs="Times New Roman"/>
      <w:bCs/>
      <w:szCs w:val="18"/>
      <w:lang w:bidi="en-US"/>
    </w:rPr>
  </w:style>
  <w:style w:type="character" w:customStyle="1" w:styleId="CaptionChar">
    <w:name w:val="Caption Char"/>
    <w:basedOn w:val="DefaultParagraphFont"/>
    <w:link w:val="Caption"/>
    <w:uiPriority w:val="35"/>
    <w:rsid w:val="00AC4E92"/>
    <w:rPr>
      <w:rFonts w:ascii="Calibri" w:eastAsia="Calibri" w:hAnsi="Calibri" w:cs="Times New Roman"/>
      <w:bCs/>
      <w:sz w:val="20"/>
      <w:szCs w:val="18"/>
      <w:lang w:bidi="en-US"/>
    </w:rPr>
  </w:style>
  <w:style w:type="table" w:customStyle="1" w:styleId="TableGrid2">
    <w:name w:val="Table Grid2"/>
    <w:basedOn w:val="TableNormal"/>
    <w:next w:val="TableGrid"/>
    <w:uiPriority w:val="59"/>
    <w:rsid w:val="00C66618"/>
    <w:pPr>
      <w:spacing w:after="0" w:line="240" w:lineRule="auto"/>
    </w:pPr>
    <w:rPr>
      <w:rFonts w:ascii="Calibri" w:eastAsia="Times New Roman" w:hAnsi="Calibri" w:cs="Cordia New"/>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10E66"/>
    <w:rPr>
      <w:color w:val="605E5C"/>
      <w:shd w:val="clear" w:color="auto" w:fill="E1DFDD"/>
    </w:rPr>
  </w:style>
  <w:style w:type="paragraph" w:customStyle="1" w:styleId="paragraph">
    <w:name w:val="paragraph"/>
    <w:basedOn w:val="Normal"/>
    <w:rsid w:val="00916535"/>
    <w:pPr>
      <w:spacing w:before="100" w:beforeAutospacing="1" w:after="100" w:afterAutospacing="1"/>
      <w:jc w:val="left"/>
    </w:pPr>
    <w:rPr>
      <w:rFonts w:ascii="Times New Roman" w:eastAsia="Times New Roman" w:hAnsi="Times New Roman" w:cs="Times New Roman"/>
      <w:sz w:val="24"/>
      <w:szCs w:val="24"/>
      <w:lang w:val="en-GB" w:eastAsia="zh-CN"/>
    </w:rPr>
  </w:style>
  <w:style w:type="character" w:customStyle="1" w:styleId="normaltextrun">
    <w:name w:val="normaltextrun"/>
    <w:basedOn w:val="DefaultParagraphFont"/>
    <w:rsid w:val="00916535"/>
  </w:style>
  <w:style w:type="character" w:customStyle="1" w:styleId="eop">
    <w:name w:val="eop"/>
    <w:basedOn w:val="DefaultParagraphFont"/>
    <w:rsid w:val="00916535"/>
  </w:style>
  <w:style w:type="paragraph" w:styleId="CommentSubject">
    <w:name w:val="annotation subject"/>
    <w:basedOn w:val="CommentText"/>
    <w:next w:val="CommentText"/>
    <w:link w:val="CommentSubjectChar"/>
    <w:uiPriority w:val="99"/>
    <w:semiHidden/>
    <w:unhideWhenUsed/>
    <w:rsid w:val="000F7F7E"/>
    <w:pPr>
      <w:spacing w:before="120"/>
      <w:ind w:left="0" w:firstLine="0"/>
      <w:jc w:val="both"/>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F7F7E"/>
    <w:rPr>
      <w:rFonts w:ascii="Calibri" w:eastAsia="Times New Roman" w:hAnsi="Calibri" w:cs="Times New Roman"/>
      <w:b/>
      <w:bCs/>
      <w:sz w:val="20"/>
      <w:szCs w:val="20"/>
    </w:rPr>
  </w:style>
  <w:style w:type="paragraph" w:customStyle="1" w:styleId="Char2">
    <w:name w:val="Char2"/>
    <w:basedOn w:val="Normal"/>
    <w:link w:val="FootnoteReference"/>
    <w:uiPriority w:val="99"/>
    <w:rsid w:val="00183189"/>
    <w:pPr>
      <w:spacing w:before="0" w:line="240" w:lineRule="exact"/>
      <w:jc w:val="left"/>
    </w:pPr>
    <w:rPr>
      <w:sz w:val="22"/>
      <w:vertAlign w:val="superscript"/>
    </w:rPr>
  </w:style>
  <w:style w:type="character" w:customStyle="1" w:styleId="UnresolvedMention2">
    <w:name w:val="Unresolved Mention2"/>
    <w:basedOn w:val="DefaultParagraphFont"/>
    <w:uiPriority w:val="99"/>
    <w:semiHidden/>
    <w:unhideWhenUsed/>
    <w:rsid w:val="00183189"/>
    <w:rPr>
      <w:color w:val="605E5C"/>
      <w:shd w:val="clear" w:color="auto" w:fill="E1DFDD"/>
    </w:rPr>
  </w:style>
  <w:style w:type="paragraph" w:styleId="Revision">
    <w:name w:val="Revision"/>
    <w:hidden/>
    <w:uiPriority w:val="99"/>
    <w:semiHidden/>
    <w:rsid w:val="004A5ED6"/>
    <w:pPr>
      <w:spacing w:after="0" w:line="240" w:lineRule="auto"/>
    </w:pPr>
    <w:rPr>
      <w:sz w:val="20"/>
    </w:rPr>
  </w:style>
  <w:style w:type="character" w:styleId="UnresolvedMention">
    <w:name w:val="Unresolved Mention"/>
    <w:basedOn w:val="DefaultParagraphFont"/>
    <w:uiPriority w:val="99"/>
    <w:semiHidden/>
    <w:unhideWhenUsed/>
    <w:rsid w:val="00C54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8757">
      <w:bodyDiv w:val="1"/>
      <w:marLeft w:val="0"/>
      <w:marRight w:val="0"/>
      <w:marTop w:val="0"/>
      <w:marBottom w:val="0"/>
      <w:divBdr>
        <w:top w:val="none" w:sz="0" w:space="0" w:color="auto"/>
        <w:left w:val="none" w:sz="0" w:space="0" w:color="auto"/>
        <w:bottom w:val="none" w:sz="0" w:space="0" w:color="auto"/>
        <w:right w:val="none" w:sz="0" w:space="0" w:color="auto"/>
      </w:divBdr>
    </w:div>
    <w:div w:id="157039162">
      <w:bodyDiv w:val="1"/>
      <w:marLeft w:val="0"/>
      <w:marRight w:val="0"/>
      <w:marTop w:val="0"/>
      <w:marBottom w:val="0"/>
      <w:divBdr>
        <w:top w:val="none" w:sz="0" w:space="0" w:color="auto"/>
        <w:left w:val="none" w:sz="0" w:space="0" w:color="auto"/>
        <w:bottom w:val="none" w:sz="0" w:space="0" w:color="auto"/>
        <w:right w:val="none" w:sz="0" w:space="0" w:color="auto"/>
      </w:divBdr>
      <w:divsChild>
        <w:div w:id="154810025">
          <w:marLeft w:val="0"/>
          <w:marRight w:val="0"/>
          <w:marTop w:val="0"/>
          <w:marBottom w:val="0"/>
          <w:divBdr>
            <w:top w:val="none" w:sz="0" w:space="0" w:color="auto"/>
            <w:left w:val="none" w:sz="0" w:space="0" w:color="auto"/>
            <w:bottom w:val="none" w:sz="0" w:space="0" w:color="auto"/>
            <w:right w:val="none" w:sz="0" w:space="0" w:color="auto"/>
          </w:divBdr>
        </w:div>
        <w:div w:id="1768387081">
          <w:marLeft w:val="0"/>
          <w:marRight w:val="0"/>
          <w:marTop w:val="0"/>
          <w:marBottom w:val="0"/>
          <w:divBdr>
            <w:top w:val="none" w:sz="0" w:space="0" w:color="auto"/>
            <w:left w:val="none" w:sz="0" w:space="0" w:color="auto"/>
            <w:bottom w:val="none" w:sz="0" w:space="0" w:color="auto"/>
            <w:right w:val="none" w:sz="0" w:space="0" w:color="auto"/>
          </w:divBdr>
        </w:div>
        <w:div w:id="1786729220">
          <w:marLeft w:val="0"/>
          <w:marRight w:val="0"/>
          <w:marTop w:val="0"/>
          <w:marBottom w:val="0"/>
          <w:divBdr>
            <w:top w:val="none" w:sz="0" w:space="0" w:color="auto"/>
            <w:left w:val="none" w:sz="0" w:space="0" w:color="auto"/>
            <w:bottom w:val="none" w:sz="0" w:space="0" w:color="auto"/>
            <w:right w:val="none" w:sz="0" w:space="0" w:color="auto"/>
          </w:divBdr>
        </w:div>
        <w:div w:id="2082171628">
          <w:marLeft w:val="0"/>
          <w:marRight w:val="0"/>
          <w:marTop w:val="0"/>
          <w:marBottom w:val="0"/>
          <w:divBdr>
            <w:top w:val="none" w:sz="0" w:space="0" w:color="auto"/>
            <w:left w:val="none" w:sz="0" w:space="0" w:color="auto"/>
            <w:bottom w:val="none" w:sz="0" w:space="0" w:color="auto"/>
            <w:right w:val="none" w:sz="0" w:space="0" w:color="auto"/>
          </w:divBdr>
        </w:div>
      </w:divsChild>
    </w:div>
    <w:div w:id="184368996">
      <w:bodyDiv w:val="1"/>
      <w:marLeft w:val="0"/>
      <w:marRight w:val="0"/>
      <w:marTop w:val="0"/>
      <w:marBottom w:val="0"/>
      <w:divBdr>
        <w:top w:val="none" w:sz="0" w:space="0" w:color="auto"/>
        <w:left w:val="none" w:sz="0" w:space="0" w:color="auto"/>
        <w:bottom w:val="none" w:sz="0" w:space="0" w:color="auto"/>
        <w:right w:val="none" w:sz="0" w:space="0" w:color="auto"/>
      </w:divBdr>
    </w:div>
    <w:div w:id="257561284">
      <w:bodyDiv w:val="1"/>
      <w:marLeft w:val="0"/>
      <w:marRight w:val="0"/>
      <w:marTop w:val="0"/>
      <w:marBottom w:val="0"/>
      <w:divBdr>
        <w:top w:val="none" w:sz="0" w:space="0" w:color="auto"/>
        <w:left w:val="none" w:sz="0" w:space="0" w:color="auto"/>
        <w:bottom w:val="none" w:sz="0" w:space="0" w:color="auto"/>
        <w:right w:val="none" w:sz="0" w:space="0" w:color="auto"/>
      </w:divBdr>
    </w:div>
    <w:div w:id="393354106">
      <w:bodyDiv w:val="1"/>
      <w:marLeft w:val="0"/>
      <w:marRight w:val="0"/>
      <w:marTop w:val="0"/>
      <w:marBottom w:val="0"/>
      <w:divBdr>
        <w:top w:val="none" w:sz="0" w:space="0" w:color="auto"/>
        <w:left w:val="none" w:sz="0" w:space="0" w:color="auto"/>
        <w:bottom w:val="none" w:sz="0" w:space="0" w:color="auto"/>
        <w:right w:val="none" w:sz="0" w:space="0" w:color="auto"/>
      </w:divBdr>
    </w:div>
    <w:div w:id="457341744">
      <w:bodyDiv w:val="1"/>
      <w:marLeft w:val="0"/>
      <w:marRight w:val="0"/>
      <w:marTop w:val="0"/>
      <w:marBottom w:val="0"/>
      <w:divBdr>
        <w:top w:val="none" w:sz="0" w:space="0" w:color="auto"/>
        <w:left w:val="none" w:sz="0" w:space="0" w:color="auto"/>
        <w:bottom w:val="none" w:sz="0" w:space="0" w:color="auto"/>
        <w:right w:val="none" w:sz="0" w:space="0" w:color="auto"/>
      </w:divBdr>
    </w:div>
    <w:div w:id="510874994">
      <w:bodyDiv w:val="1"/>
      <w:marLeft w:val="0"/>
      <w:marRight w:val="0"/>
      <w:marTop w:val="0"/>
      <w:marBottom w:val="0"/>
      <w:divBdr>
        <w:top w:val="none" w:sz="0" w:space="0" w:color="auto"/>
        <w:left w:val="none" w:sz="0" w:space="0" w:color="auto"/>
        <w:bottom w:val="none" w:sz="0" w:space="0" w:color="auto"/>
        <w:right w:val="none" w:sz="0" w:space="0" w:color="auto"/>
      </w:divBdr>
    </w:div>
    <w:div w:id="521436583">
      <w:bodyDiv w:val="1"/>
      <w:marLeft w:val="0"/>
      <w:marRight w:val="0"/>
      <w:marTop w:val="0"/>
      <w:marBottom w:val="0"/>
      <w:divBdr>
        <w:top w:val="none" w:sz="0" w:space="0" w:color="auto"/>
        <w:left w:val="none" w:sz="0" w:space="0" w:color="auto"/>
        <w:bottom w:val="none" w:sz="0" w:space="0" w:color="auto"/>
        <w:right w:val="none" w:sz="0" w:space="0" w:color="auto"/>
      </w:divBdr>
    </w:div>
    <w:div w:id="573516823">
      <w:bodyDiv w:val="1"/>
      <w:marLeft w:val="0"/>
      <w:marRight w:val="0"/>
      <w:marTop w:val="0"/>
      <w:marBottom w:val="0"/>
      <w:divBdr>
        <w:top w:val="none" w:sz="0" w:space="0" w:color="auto"/>
        <w:left w:val="none" w:sz="0" w:space="0" w:color="auto"/>
        <w:bottom w:val="none" w:sz="0" w:space="0" w:color="auto"/>
        <w:right w:val="none" w:sz="0" w:space="0" w:color="auto"/>
      </w:divBdr>
    </w:div>
    <w:div w:id="613053792">
      <w:bodyDiv w:val="1"/>
      <w:marLeft w:val="0"/>
      <w:marRight w:val="0"/>
      <w:marTop w:val="0"/>
      <w:marBottom w:val="0"/>
      <w:divBdr>
        <w:top w:val="none" w:sz="0" w:space="0" w:color="auto"/>
        <w:left w:val="none" w:sz="0" w:space="0" w:color="auto"/>
        <w:bottom w:val="none" w:sz="0" w:space="0" w:color="auto"/>
        <w:right w:val="none" w:sz="0" w:space="0" w:color="auto"/>
      </w:divBdr>
    </w:div>
    <w:div w:id="652297587">
      <w:bodyDiv w:val="1"/>
      <w:marLeft w:val="0"/>
      <w:marRight w:val="0"/>
      <w:marTop w:val="0"/>
      <w:marBottom w:val="0"/>
      <w:divBdr>
        <w:top w:val="none" w:sz="0" w:space="0" w:color="auto"/>
        <w:left w:val="none" w:sz="0" w:space="0" w:color="auto"/>
        <w:bottom w:val="none" w:sz="0" w:space="0" w:color="auto"/>
        <w:right w:val="none" w:sz="0" w:space="0" w:color="auto"/>
      </w:divBdr>
    </w:div>
    <w:div w:id="668142206">
      <w:bodyDiv w:val="1"/>
      <w:marLeft w:val="0"/>
      <w:marRight w:val="0"/>
      <w:marTop w:val="0"/>
      <w:marBottom w:val="0"/>
      <w:divBdr>
        <w:top w:val="none" w:sz="0" w:space="0" w:color="auto"/>
        <w:left w:val="none" w:sz="0" w:space="0" w:color="auto"/>
        <w:bottom w:val="none" w:sz="0" w:space="0" w:color="auto"/>
        <w:right w:val="none" w:sz="0" w:space="0" w:color="auto"/>
      </w:divBdr>
    </w:div>
    <w:div w:id="722484142">
      <w:bodyDiv w:val="1"/>
      <w:marLeft w:val="0"/>
      <w:marRight w:val="0"/>
      <w:marTop w:val="0"/>
      <w:marBottom w:val="0"/>
      <w:divBdr>
        <w:top w:val="none" w:sz="0" w:space="0" w:color="auto"/>
        <w:left w:val="none" w:sz="0" w:space="0" w:color="auto"/>
        <w:bottom w:val="none" w:sz="0" w:space="0" w:color="auto"/>
        <w:right w:val="none" w:sz="0" w:space="0" w:color="auto"/>
      </w:divBdr>
    </w:div>
    <w:div w:id="846140139">
      <w:bodyDiv w:val="1"/>
      <w:marLeft w:val="0"/>
      <w:marRight w:val="0"/>
      <w:marTop w:val="0"/>
      <w:marBottom w:val="0"/>
      <w:divBdr>
        <w:top w:val="none" w:sz="0" w:space="0" w:color="auto"/>
        <w:left w:val="none" w:sz="0" w:space="0" w:color="auto"/>
        <w:bottom w:val="none" w:sz="0" w:space="0" w:color="auto"/>
        <w:right w:val="none" w:sz="0" w:space="0" w:color="auto"/>
      </w:divBdr>
    </w:div>
    <w:div w:id="1002051657">
      <w:bodyDiv w:val="1"/>
      <w:marLeft w:val="0"/>
      <w:marRight w:val="0"/>
      <w:marTop w:val="0"/>
      <w:marBottom w:val="0"/>
      <w:divBdr>
        <w:top w:val="none" w:sz="0" w:space="0" w:color="auto"/>
        <w:left w:val="none" w:sz="0" w:space="0" w:color="auto"/>
        <w:bottom w:val="none" w:sz="0" w:space="0" w:color="auto"/>
        <w:right w:val="none" w:sz="0" w:space="0" w:color="auto"/>
      </w:divBdr>
    </w:div>
    <w:div w:id="1379210491">
      <w:bodyDiv w:val="1"/>
      <w:marLeft w:val="0"/>
      <w:marRight w:val="0"/>
      <w:marTop w:val="0"/>
      <w:marBottom w:val="0"/>
      <w:divBdr>
        <w:top w:val="none" w:sz="0" w:space="0" w:color="auto"/>
        <w:left w:val="none" w:sz="0" w:space="0" w:color="auto"/>
        <w:bottom w:val="none" w:sz="0" w:space="0" w:color="auto"/>
        <w:right w:val="none" w:sz="0" w:space="0" w:color="auto"/>
      </w:divBdr>
    </w:div>
    <w:div w:id="1382293008">
      <w:bodyDiv w:val="1"/>
      <w:marLeft w:val="0"/>
      <w:marRight w:val="0"/>
      <w:marTop w:val="0"/>
      <w:marBottom w:val="0"/>
      <w:divBdr>
        <w:top w:val="none" w:sz="0" w:space="0" w:color="auto"/>
        <w:left w:val="none" w:sz="0" w:space="0" w:color="auto"/>
        <w:bottom w:val="none" w:sz="0" w:space="0" w:color="auto"/>
        <w:right w:val="none" w:sz="0" w:space="0" w:color="auto"/>
      </w:divBdr>
    </w:div>
    <w:div w:id="1472751170">
      <w:bodyDiv w:val="1"/>
      <w:marLeft w:val="0"/>
      <w:marRight w:val="0"/>
      <w:marTop w:val="0"/>
      <w:marBottom w:val="0"/>
      <w:divBdr>
        <w:top w:val="none" w:sz="0" w:space="0" w:color="auto"/>
        <w:left w:val="none" w:sz="0" w:space="0" w:color="auto"/>
        <w:bottom w:val="none" w:sz="0" w:space="0" w:color="auto"/>
        <w:right w:val="none" w:sz="0" w:space="0" w:color="auto"/>
      </w:divBdr>
    </w:div>
    <w:div w:id="1501039142">
      <w:bodyDiv w:val="1"/>
      <w:marLeft w:val="0"/>
      <w:marRight w:val="0"/>
      <w:marTop w:val="0"/>
      <w:marBottom w:val="0"/>
      <w:divBdr>
        <w:top w:val="none" w:sz="0" w:space="0" w:color="auto"/>
        <w:left w:val="none" w:sz="0" w:space="0" w:color="auto"/>
        <w:bottom w:val="none" w:sz="0" w:space="0" w:color="auto"/>
        <w:right w:val="none" w:sz="0" w:space="0" w:color="auto"/>
      </w:divBdr>
    </w:div>
    <w:div w:id="1739209471">
      <w:bodyDiv w:val="1"/>
      <w:marLeft w:val="0"/>
      <w:marRight w:val="0"/>
      <w:marTop w:val="0"/>
      <w:marBottom w:val="0"/>
      <w:divBdr>
        <w:top w:val="none" w:sz="0" w:space="0" w:color="auto"/>
        <w:left w:val="none" w:sz="0" w:space="0" w:color="auto"/>
        <w:bottom w:val="none" w:sz="0" w:space="0" w:color="auto"/>
        <w:right w:val="none" w:sz="0" w:space="0" w:color="auto"/>
      </w:divBdr>
    </w:div>
    <w:div w:id="1754617968">
      <w:bodyDiv w:val="1"/>
      <w:marLeft w:val="0"/>
      <w:marRight w:val="0"/>
      <w:marTop w:val="0"/>
      <w:marBottom w:val="0"/>
      <w:divBdr>
        <w:top w:val="none" w:sz="0" w:space="0" w:color="auto"/>
        <w:left w:val="none" w:sz="0" w:space="0" w:color="auto"/>
        <w:bottom w:val="none" w:sz="0" w:space="0" w:color="auto"/>
        <w:right w:val="none" w:sz="0" w:space="0" w:color="auto"/>
      </w:divBdr>
      <w:divsChild>
        <w:div w:id="30805704">
          <w:marLeft w:val="0"/>
          <w:marRight w:val="0"/>
          <w:marTop w:val="0"/>
          <w:marBottom w:val="0"/>
          <w:divBdr>
            <w:top w:val="none" w:sz="0" w:space="0" w:color="auto"/>
            <w:left w:val="none" w:sz="0" w:space="0" w:color="auto"/>
            <w:bottom w:val="single" w:sz="6" w:space="0" w:color="C5C9D3"/>
            <w:right w:val="none" w:sz="0" w:space="0" w:color="auto"/>
          </w:divBdr>
          <w:divsChild>
            <w:div w:id="389235991">
              <w:marLeft w:val="0"/>
              <w:marRight w:val="0"/>
              <w:marTop w:val="0"/>
              <w:marBottom w:val="0"/>
              <w:divBdr>
                <w:top w:val="none" w:sz="0" w:space="0" w:color="auto"/>
                <w:left w:val="none" w:sz="0" w:space="0" w:color="auto"/>
                <w:bottom w:val="none" w:sz="0" w:space="0" w:color="auto"/>
                <w:right w:val="none" w:sz="0" w:space="0" w:color="auto"/>
              </w:divBdr>
            </w:div>
            <w:div w:id="667565474">
              <w:marLeft w:val="0"/>
              <w:marRight w:val="526"/>
              <w:marTop w:val="0"/>
              <w:marBottom w:val="0"/>
              <w:divBdr>
                <w:top w:val="none" w:sz="0" w:space="0" w:color="auto"/>
                <w:left w:val="none" w:sz="0" w:space="0" w:color="auto"/>
                <w:bottom w:val="none" w:sz="0" w:space="0" w:color="auto"/>
                <w:right w:val="none" w:sz="0" w:space="0" w:color="auto"/>
              </w:divBdr>
            </w:div>
          </w:divsChild>
        </w:div>
        <w:div w:id="121466936">
          <w:marLeft w:val="0"/>
          <w:marRight w:val="0"/>
          <w:marTop w:val="0"/>
          <w:marBottom w:val="0"/>
          <w:divBdr>
            <w:top w:val="none" w:sz="0" w:space="0" w:color="auto"/>
            <w:left w:val="none" w:sz="0" w:space="0" w:color="auto"/>
            <w:bottom w:val="single" w:sz="6" w:space="0" w:color="C5C9D3"/>
            <w:right w:val="none" w:sz="0" w:space="0" w:color="auto"/>
          </w:divBdr>
          <w:divsChild>
            <w:div w:id="328758495">
              <w:marLeft w:val="0"/>
              <w:marRight w:val="0"/>
              <w:marTop w:val="0"/>
              <w:marBottom w:val="0"/>
              <w:divBdr>
                <w:top w:val="none" w:sz="0" w:space="0" w:color="auto"/>
                <w:left w:val="none" w:sz="0" w:space="0" w:color="auto"/>
                <w:bottom w:val="none" w:sz="0" w:space="0" w:color="auto"/>
                <w:right w:val="none" w:sz="0" w:space="0" w:color="auto"/>
              </w:divBdr>
            </w:div>
            <w:div w:id="931275385">
              <w:marLeft w:val="0"/>
              <w:marRight w:val="526"/>
              <w:marTop w:val="0"/>
              <w:marBottom w:val="0"/>
              <w:divBdr>
                <w:top w:val="none" w:sz="0" w:space="0" w:color="auto"/>
                <w:left w:val="none" w:sz="0" w:space="0" w:color="auto"/>
                <w:bottom w:val="none" w:sz="0" w:space="0" w:color="auto"/>
                <w:right w:val="none" w:sz="0" w:space="0" w:color="auto"/>
              </w:divBdr>
            </w:div>
          </w:divsChild>
        </w:div>
        <w:div w:id="246767740">
          <w:marLeft w:val="0"/>
          <w:marRight w:val="0"/>
          <w:marTop w:val="0"/>
          <w:marBottom w:val="0"/>
          <w:divBdr>
            <w:top w:val="none" w:sz="0" w:space="0" w:color="auto"/>
            <w:left w:val="none" w:sz="0" w:space="0" w:color="auto"/>
            <w:bottom w:val="single" w:sz="6" w:space="0" w:color="C5C9D3"/>
            <w:right w:val="none" w:sz="0" w:space="0" w:color="auto"/>
          </w:divBdr>
          <w:divsChild>
            <w:div w:id="76681053">
              <w:marLeft w:val="0"/>
              <w:marRight w:val="0"/>
              <w:marTop w:val="0"/>
              <w:marBottom w:val="0"/>
              <w:divBdr>
                <w:top w:val="none" w:sz="0" w:space="0" w:color="auto"/>
                <w:left w:val="none" w:sz="0" w:space="0" w:color="auto"/>
                <w:bottom w:val="none" w:sz="0" w:space="0" w:color="auto"/>
                <w:right w:val="none" w:sz="0" w:space="0" w:color="auto"/>
              </w:divBdr>
            </w:div>
            <w:div w:id="2008285718">
              <w:marLeft w:val="0"/>
              <w:marRight w:val="526"/>
              <w:marTop w:val="0"/>
              <w:marBottom w:val="0"/>
              <w:divBdr>
                <w:top w:val="none" w:sz="0" w:space="0" w:color="auto"/>
                <w:left w:val="none" w:sz="0" w:space="0" w:color="auto"/>
                <w:bottom w:val="none" w:sz="0" w:space="0" w:color="auto"/>
                <w:right w:val="none" w:sz="0" w:space="0" w:color="auto"/>
              </w:divBdr>
            </w:div>
          </w:divsChild>
        </w:div>
        <w:div w:id="538785503">
          <w:marLeft w:val="0"/>
          <w:marRight w:val="0"/>
          <w:marTop w:val="0"/>
          <w:marBottom w:val="0"/>
          <w:divBdr>
            <w:top w:val="none" w:sz="0" w:space="0" w:color="auto"/>
            <w:left w:val="none" w:sz="0" w:space="0" w:color="auto"/>
            <w:bottom w:val="single" w:sz="6" w:space="0" w:color="C5C9D3"/>
            <w:right w:val="none" w:sz="0" w:space="0" w:color="auto"/>
          </w:divBdr>
          <w:divsChild>
            <w:div w:id="165903619">
              <w:marLeft w:val="0"/>
              <w:marRight w:val="0"/>
              <w:marTop w:val="0"/>
              <w:marBottom w:val="0"/>
              <w:divBdr>
                <w:top w:val="none" w:sz="0" w:space="0" w:color="auto"/>
                <w:left w:val="none" w:sz="0" w:space="0" w:color="auto"/>
                <w:bottom w:val="none" w:sz="0" w:space="0" w:color="auto"/>
                <w:right w:val="none" w:sz="0" w:space="0" w:color="auto"/>
              </w:divBdr>
            </w:div>
            <w:div w:id="233709548">
              <w:marLeft w:val="0"/>
              <w:marRight w:val="526"/>
              <w:marTop w:val="0"/>
              <w:marBottom w:val="0"/>
              <w:divBdr>
                <w:top w:val="none" w:sz="0" w:space="0" w:color="auto"/>
                <w:left w:val="none" w:sz="0" w:space="0" w:color="auto"/>
                <w:bottom w:val="none" w:sz="0" w:space="0" w:color="auto"/>
                <w:right w:val="none" w:sz="0" w:space="0" w:color="auto"/>
              </w:divBdr>
            </w:div>
          </w:divsChild>
        </w:div>
        <w:div w:id="618801734">
          <w:marLeft w:val="0"/>
          <w:marRight w:val="0"/>
          <w:marTop w:val="0"/>
          <w:marBottom w:val="0"/>
          <w:divBdr>
            <w:top w:val="none" w:sz="0" w:space="0" w:color="auto"/>
            <w:left w:val="none" w:sz="0" w:space="0" w:color="auto"/>
            <w:bottom w:val="single" w:sz="6" w:space="0" w:color="C5C9D3"/>
            <w:right w:val="none" w:sz="0" w:space="0" w:color="auto"/>
          </w:divBdr>
          <w:divsChild>
            <w:div w:id="276450217">
              <w:marLeft w:val="0"/>
              <w:marRight w:val="526"/>
              <w:marTop w:val="0"/>
              <w:marBottom w:val="0"/>
              <w:divBdr>
                <w:top w:val="none" w:sz="0" w:space="0" w:color="auto"/>
                <w:left w:val="none" w:sz="0" w:space="0" w:color="auto"/>
                <w:bottom w:val="none" w:sz="0" w:space="0" w:color="auto"/>
                <w:right w:val="none" w:sz="0" w:space="0" w:color="auto"/>
              </w:divBdr>
            </w:div>
            <w:div w:id="1380133031">
              <w:marLeft w:val="0"/>
              <w:marRight w:val="0"/>
              <w:marTop w:val="0"/>
              <w:marBottom w:val="0"/>
              <w:divBdr>
                <w:top w:val="none" w:sz="0" w:space="0" w:color="auto"/>
                <w:left w:val="none" w:sz="0" w:space="0" w:color="auto"/>
                <w:bottom w:val="none" w:sz="0" w:space="0" w:color="auto"/>
                <w:right w:val="none" w:sz="0" w:space="0" w:color="auto"/>
              </w:divBdr>
            </w:div>
          </w:divsChild>
        </w:div>
        <w:div w:id="847253269">
          <w:marLeft w:val="0"/>
          <w:marRight w:val="0"/>
          <w:marTop w:val="0"/>
          <w:marBottom w:val="0"/>
          <w:divBdr>
            <w:top w:val="none" w:sz="0" w:space="0" w:color="auto"/>
            <w:left w:val="none" w:sz="0" w:space="0" w:color="auto"/>
            <w:bottom w:val="single" w:sz="6" w:space="0" w:color="C5C9D3"/>
            <w:right w:val="none" w:sz="0" w:space="0" w:color="auto"/>
          </w:divBdr>
          <w:divsChild>
            <w:div w:id="1033113056">
              <w:marLeft w:val="0"/>
              <w:marRight w:val="0"/>
              <w:marTop w:val="0"/>
              <w:marBottom w:val="0"/>
              <w:divBdr>
                <w:top w:val="none" w:sz="0" w:space="0" w:color="auto"/>
                <w:left w:val="none" w:sz="0" w:space="0" w:color="auto"/>
                <w:bottom w:val="none" w:sz="0" w:space="0" w:color="auto"/>
                <w:right w:val="none" w:sz="0" w:space="0" w:color="auto"/>
              </w:divBdr>
            </w:div>
            <w:div w:id="1307390924">
              <w:marLeft w:val="0"/>
              <w:marRight w:val="526"/>
              <w:marTop w:val="0"/>
              <w:marBottom w:val="0"/>
              <w:divBdr>
                <w:top w:val="none" w:sz="0" w:space="0" w:color="auto"/>
                <w:left w:val="none" w:sz="0" w:space="0" w:color="auto"/>
                <w:bottom w:val="none" w:sz="0" w:space="0" w:color="auto"/>
                <w:right w:val="none" w:sz="0" w:space="0" w:color="auto"/>
              </w:divBdr>
            </w:div>
          </w:divsChild>
        </w:div>
        <w:div w:id="1077749725">
          <w:marLeft w:val="0"/>
          <w:marRight w:val="0"/>
          <w:marTop w:val="0"/>
          <w:marBottom w:val="0"/>
          <w:divBdr>
            <w:top w:val="none" w:sz="0" w:space="0" w:color="auto"/>
            <w:left w:val="none" w:sz="0" w:space="0" w:color="auto"/>
            <w:bottom w:val="single" w:sz="6" w:space="0" w:color="C5C9D3"/>
            <w:right w:val="none" w:sz="0" w:space="0" w:color="auto"/>
          </w:divBdr>
          <w:divsChild>
            <w:div w:id="656109104">
              <w:marLeft w:val="0"/>
              <w:marRight w:val="0"/>
              <w:marTop w:val="0"/>
              <w:marBottom w:val="0"/>
              <w:divBdr>
                <w:top w:val="none" w:sz="0" w:space="0" w:color="auto"/>
                <w:left w:val="none" w:sz="0" w:space="0" w:color="auto"/>
                <w:bottom w:val="none" w:sz="0" w:space="0" w:color="auto"/>
                <w:right w:val="none" w:sz="0" w:space="0" w:color="auto"/>
              </w:divBdr>
            </w:div>
            <w:div w:id="1641380224">
              <w:marLeft w:val="0"/>
              <w:marRight w:val="526"/>
              <w:marTop w:val="0"/>
              <w:marBottom w:val="0"/>
              <w:divBdr>
                <w:top w:val="none" w:sz="0" w:space="0" w:color="auto"/>
                <w:left w:val="none" w:sz="0" w:space="0" w:color="auto"/>
                <w:bottom w:val="none" w:sz="0" w:space="0" w:color="auto"/>
                <w:right w:val="none" w:sz="0" w:space="0" w:color="auto"/>
              </w:divBdr>
            </w:div>
          </w:divsChild>
        </w:div>
        <w:div w:id="1140684961">
          <w:marLeft w:val="0"/>
          <w:marRight w:val="0"/>
          <w:marTop w:val="0"/>
          <w:marBottom w:val="0"/>
          <w:divBdr>
            <w:top w:val="none" w:sz="0" w:space="0" w:color="auto"/>
            <w:left w:val="none" w:sz="0" w:space="0" w:color="auto"/>
            <w:bottom w:val="single" w:sz="6" w:space="0" w:color="C5C9D3"/>
            <w:right w:val="none" w:sz="0" w:space="0" w:color="auto"/>
          </w:divBdr>
          <w:divsChild>
            <w:div w:id="767891693">
              <w:marLeft w:val="0"/>
              <w:marRight w:val="526"/>
              <w:marTop w:val="0"/>
              <w:marBottom w:val="0"/>
              <w:divBdr>
                <w:top w:val="none" w:sz="0" w:space="0" w:color="auto"/>
                <w:left w:val="none" w:sz="0" w:space="0" w:color="auto"/>
                <w:bottom w:val="none" w:sz="0" w:space="0" w:color="auto"/>
                <w:right w:val="none" w:sz="0" w:space="0" w:color="auto"/>
              </w:divBdr>
            </w:div>
            <w:div w:id="1817453184">
              <w:marLeft w:val="0"/>
              <w:marRight w:val="0"/>
              <w:marTop w:val="0"/>
              <w:marBottom w:val="0"/>
              <w:divBdr>
                <w:top w:val="none" w:sz="0" w:space="0" w:color="auto"/>
                <w:left w:val="none" w:sz="0" w:space="0" w:color="auto"/>
                <w:bottom w:val="none" w:sz="0" w:space="0" w:color="auto"/>
                <w:right w:val="none" w:sz="0" w:space="0" w:color="auto"/>
              </w:divBdr>
            </w:div>
          </w:divsChild>
        </w:div>
        <w:div w:id="1157914943">
          <w:marLeft w:val="0"/>
          <w:marRight w:val="0"/>
          <w:marTop w:val="210"/>
          <w:marBottom w:val="105"/>
          <w:divBdr>
            <w:top w:val="none" w:sz="0" w:space="0" w:color="auto"/>
            <w:left w:val="none" w:sz="0" w:space="0" w:color="auto"/>
            <w:bottom w:val="none" w:sz="0" w:space="0" w:color="auto"/>
            <w:right w:val="none" w:sz="0" w:space="0" w:color="auto"/>
          </w:divBdr>
        </w:div>
        <w:div w:id="1176921303">
          <w:marLeft w:val="0"/>
          <w:marRight w:val="0"/>
          <w:marTop w:val="0"/>
          <w:marBottom w:val="0"/>
          <w:divBdr>
            <w:top w:val="none" w:sz="0" w:space="0" w:color="auto"/>
            <w:left w:val="none" w:sz="0" w:space="0" w:color="auto"/>
            <w:bottom w:val="none" w:sz="0" w:space="0" w:color="auto"/>
            <w:right w:val="none" w:sz="0" w:space="0" w:color="auto"/>
          </w:divBdr>
        </w:div>
        <w:div w:id="1233740524">
          <w:marLeft w:val="0"/>
          <w:marRight w:val="0"/>
          <w:marTop w:val="0"/>
          <w:marBottom w:val="0"/>
          <w:divBdr>
            <w:top w:val="none" w:sz="0" w:space="0" w:color="auto"/>
            <w:left w:val="none" w:sz="0" w:space="0" w:color="auto"/>
            <w:bottom w:val="single" w:sz="6" w:space="0" w:color="C5C9D3"/>
            <w:right w:val="none" w:sz="0" w:space="0" w:color="auto"/>
          </w:divBdr>
          <w:divsChild>
            <w:div w:id="628440477">
              <w:marLeft w:val="0"/>
              <w:marRight w:val="526"/>
              <w:marTop w:val="0"/>
              <w:marBottom w:val="0"/>
              <w:divBdr>
                <w:top w:val="none" w:sz="0" w:space="0" w:color="auto"/>
                <w:left w:val="none" w:sz="0" w:space="0" w:color="auto"/>
                <w:bottom w:val="none" w:sz="0" w:space="0" w:color="auto"/>
                <w:right w:val="none" w:sz="0" w:space="0" w:color="auto"/>
              </w:divBdr>
            </w:div>
            <w:div w:id="670105918">
              <w:marLeft w:val="0"/>
              <w:marRight w:val="0"/>
              <w:marTop w:val="0"/>
              <w:marBottom w:val="0"/>
              <w:divBdr>
                <w:top w:val="none" w:sz="0" w:space="0" w:color="auto"/>
                <w:left w:val="none" w:sz="0" w:space="0" w:color="auto"/>
                <w:bottom w:val="none" w:sz="0" w:space="0" w:color="auto"/>
                <w:right w:val="none" w:sz="0" w:space="0" w:color="auto"/>
              </w:divBdr>
            </w:div>
          </w:divsChild>
        </w:div>
        <w:div w:id="1259364108">
          <w:marLeft w:val="0"/>
          <w:marRight w:val="0"/>
          <w:marTop w:val="0"/>
          <w:marBottom w:val="0"/>
          <w:divBdr>
            <w:top w:val="none" w:sz="0" w:space="0" w:color="auto"/>
            <w:left w:val="none" w:sz="0" w:space="0" w:color="auto"/>
            <w:bottom w:val="single" w:sz="6" w:space="0" w:color="C5C9D3"/>
            <w:right w:val="none" w:sz="0" w:space="0" w:color="auto"/>
          </w:divBdr>
          <w:divsChild>
            <w:div w:id="595555378">
              <w:marLeft w:val="0"/>
              <w:marRight w:val="526"/>
              <w:marTop w:val="0"/>
              <w:marBottom w:val="0"/>
              <w:divBdr>
                <w:top w:val="none" w:sz="0" w:space="0" w:color="auto"/>
                <w:left w:val="none" w:sz="0" w:space="0" w:color="auto"/>
                <w:bottom w:val="none" w:sz="0" w:space="0" w:color="auto"/>
                <w:right w:val="none" w:sz="0" w:space="0" w:color="auto"/>
              </w:divBdr>
            </w:div>
            <w:div w:id="935558227">
              <w:marLeft w:val="0"/>
              <w:marRight w:val="0"/>
              <w:marTop w:val="0"/>
              <w:marBottom w:val="0"/>
              <w:divBdr>
                <w:top w:val="none" w:sz="0" w:space="0" w:color="auto"/>
                <w:left w:val="none" w:sz="0" w:space="0" w:color="auto"/>
                <w:bottom w:val="none" w:sz="0" w:space="0" w:color="auto"/>
                <w:right w:val="none" w:sz="0" w:space="0" w:color="auto"/>
              </w:divBdr>
            </w:div>
          </w:divsChild>
        </w:div>
        <w:div w:id="1351183197">
          <w:marLeft w:val="0"/>
          <w:marRight w:val="0"/>
          <w:marTop w:val="0"/>
          <w:marBottom w:val="0"/>
          <w:divBdr>
            <w:top w:val="none" w:sz="0" w:space="0" w:color="auto"/>
            <w:left w:val="none" w:sz="0" w:space="0" w:color="auto"/>
            <w:bottom w:val="single" w:sz="6" w:space="0" w:color="C5C9D3"/>
            <w:right w:val="none" w:sz="0" w:space="0" w:color="auto"/>
          </w:divBdr>
          <w:divsChild>
            <w:div w:id="1109205173">
              <w:marLeft w:val="0"/>
              <w:marRight w:val="526"/>
              <w:marTop w:val="0"/>
              <w:marBottom w:val="0"/>
              <w:divBdr>
                <w:top w:val="none" w:sz="0" w:space="0" w:color="auto"/>
                <w:left w:val="none" w:sz="0" w:space="0" w:color="auto"/>
                <w:bottom w:val="none" w:sz="0" w:space="0" w:color="auto"/>
                <w:right w:val="none" w:sz="0" w:space="0" w:color="auto"/>
              </w:divBdr>
            </w:div>
            <w:div w:id="1355576280">
              <w:marLeft w:val="0"/>
              <w:marRight w:val="0"/>
              <w:marTop w:val="0"/>
              <w:marBottom w:val="0"/>
              <w:divBdr>
                <w:top w:val="none" w:sz="0" w:space="0" w:color="auto"/>
                <w:left w:val="none" w:sz="0" w:space="0" w:color="auto"/>
                <w:bottom w:val="none" w:sz="0" w:space="0" w:color="auto"/>
                <w:right w:val="none" w:sz="0" w:space="0" w:color="auto"/>
              </w:divBdr>
            </w:div>
          </w:divsChild>
        </w:div>
        <w:div w:id="1431464850">
          <w:marLeft w:val="0"/>
          <w:marRight w:val="0"/>
          <w:marTop w:val="0"/>
          <w:marBottom w:val="0"/>
          <w:divBdr>
            <w:top w:val="none" w:sz="0" w:space="0" w:color="auto"/>
            <w:left w:val="none" w:sz="0" w:space="0" w:color="auto"/>
            <w:bottom w:val="single" w:sz="6" w:space="0" w:color="C5C9D3"/>
            <w:right w:val="none" w:sz="0" w:space="0" w:color="auto"/>
          </w:divBdr>
          <w:divsChild>
            <w:div w:id="938834024">
              <w:marLeft w:val="0"/>
              <w:marRight w:val="0"/>
              <w:marTop w:val="0"/>
              <w:marBottom w:val="0"/>
              <w:divBdr>
                <w:top w:val="none" w:sz="0" w:space="0" w:color="auto"/>
                <w:left w:val="none" w:sz="0" w:space="0" w:color="auto"/>
                <w:bottom w:val="none" w:sz="0" w:space="0" w:color="auto"/>
                <w:right w:val="none" w:sz="0" w:space="0" w:color="auto"/>
              </w:divBdr>
            </w:div>
            <w:div w:id="1283267775">
              <w:marLeft w:val="0"/>
              <w:marRight w:val="526"/>
              <w:marTop w:val="0"/>
              <w:marBottom w:val="0"/>
              <w:divBdr>
                <w:top w:val="none" w:sz="0" w:space="0" w:color="auto"/>
                <w:left w:val="none" w:sz="0" w:space="0" w:color="auto"/>
                <w:bottom w:val="none" w:sz="0" w:space="0" w:color="auto"/>
                <w:right w:val="none" w:sz="0" w:space="0" w:color="auto"/>
              </w:divBdr>
            </w:div>
          </w:divsChild>
        </w:div>
        <w:div w:id="1633904448">
          <w:marLeft w:val="0"/>
          <w:marRight w:val="0"/>
          <w:marTop w:val="0"/>
          <w:marBottom w:val="0"/>
          <w:divBdr>
            <w:top w:val="none" w:sz="0" w:space="0" w:color="auto"/>
            <w:left w:val="none" w:sz="0" w:space="0" w:color="auto"/>
            <w:bottom w:val="single" w:sz="6" w:space="0" w:color="C5C9D3"/>
            <w:right w:val="none" w:sz="0" w:space="0" w:color="auto"/>
          </w:divBdr>
          <w:divsChild>
            <w:div w:id="1197280896">
              <w:marLeft w:val="0"/>
              <w:marRight w:val="526"/>
              <w:marTop w:val="0"/>
              <w:marBottom w:val="0"/>
              <w:divBdr>
                <w:top w:val="none" w:sz="0" w:space="0" w:color="auto"/>
                <w:left w:val="none" w:sz="0" w:space="0" w:color="auto"/>
                <w:bottom w:val="none" w:sz="0" w:space="0" w:color="auto"/>
                <w:right w:val="none" w:sz="0" w:space="0" w:color="auto"/>
              </w:divBdr>
            </w:div>
            <w:div w:id="1774785806">
              <w:marLeft w:val="0"/>
              <w:marRight w:val="0"/>
              <w:marTop w:val="0"/>
              <w:marBottom w:val="0"/>
              <w:divBdr>
                <w:top w:val="none" w:sz="0" w:space="0" w:color="auto"/>
                <w:left w:val="none" w:sz="0" w:space="0" w:color="auto"/>
                <w:bottom w:val="none" w:sz="0" w:space="0" w:color="auto"/>
                <w:right w:val="none" w:sz="0" w:space="0" w:color="auto"/>
              </w:divBdr>
            </w:div>
          </w:divsChild>
        </w:div>
        <w:div w:id="1723138931">
          <w:marLeft w:val="0"/>
          <w:marRight w:val="0"/>
          <w:marTop w:val="0"/>
          <w:marBottom w:val="0"/>
          <w:divBdr>
            <w:top w:val="none" w:sz="0" w:space="0" w:color="auto"/>
            <w:left w:val="none" w:sz="0" w:space="0" w:color="auto"/>
            <w:bottom w:val="single" w:sz="6" w:space="0" w:color="C5C9D3"/>
            <w:right w:val="none" w:sz="0" w:space="0" w:color="auto"/>
          </w:divBdr>
          <w:divsChild>
            <w:div w:id="216014656">
              <w:marLeft w:val="0"/>
              <w:marRight w:val="526"/>
              <w:marTop w:val="0"/>
              <w:marBottom w:val="0"/>
              <w:divBdr>
                <w:top w:val="none" w:sz="0" w:space="0" w:color="auto"/>
                <w:left w:val="none" w:sz="0" w:space="0" w:color="auto"/>
                <w:bottom w:val="none" w:sz="0" w:space="0" w:color="auto"/>
                <w:right w:val="none" w:sz="0" w:space="0" w:color="auto"/>
              </w:divBdr>
            </w:div>
            <w:div w:id="1717048285">
              <w:marLeft w:val="0"/>
              <w:marRight w:val="0"/>
              <w:marTop w:val="0"/>
              <w:marBottom w:val="0"/>
              <w:divBdr>
                <w:top w:val="none" w:sz="0" w:space="0" w:color="auto"/>
                <w:left w:val="none" w:sz="0" w:space="0" w:color="auto"/>
                <w:bottom w:val="none" w:sz="0" w:space="0" w:color="auto"/>
                <w:right w:val="none" w:sz="0" w:space="0" w:color="auto"/>
              </w:divBdr>
            </w:div>
          </w:divsChild>
        </w:div>
        <w:div w:id="1737505184">
          <w:marLeft w:val="0"/>
          <w:marRight w:val="0"/>
          <w:marTop w:val="0"/>
          <w:marBottom w:val="0"/>
          <w:divBdr>
            <w:top w:val="none" w:sz="0" w:space="0" w:color="auto"/>
            <w:left w:val="none" w:sz="0" w:space="0" w:color="auto"/>
            <w:bottom w:val="single" w:sz="6" w:space="0" w:color="C5C9D3"/>
            <w:right w:val="none" w:sz="0" w:space="0" w:color="auto"/>
          </w:divBdr>
          <w:divsChild>
            <w:div w:id="1307121875">
              <w:marLeft w:val="0"/>
              <w:marRight w:val="0"/>
              <w:marTop w:val="0"/>
              <w:marBottom w:val="0"/>
              <w:divBdr>
                <w:top w:val="none" w:sz="0" w:space="0" w:color="auto"/>
                <w:left w:val="none" w:sz="0" w:space="0" w:color="auto"/>
                <w:bottom w:val="none" w:sz="0" w:space="0" w:color="auto"/>
                <w:right w:val="none" w:sz="0" w:space="0" w:color="auto"/>
              </w:divBdr>
            </w:div>
            <w:div w:id="2016960455">
              <w:marLeft w:val="0"/>
              <w:marRight w:val="526"/>
              <w:marTop w:val="0"/>
              <w:marBottom w:val="0"/>
              <w:divBdr>
                <w:top w:val="none" w:sz="0" w:space="0" w:color="auto"/>
                <w:left w:val="none" w:sz="0" w:space="0" w:color="auto"/>
                <w:bottom w:val="none" w:sz="0" w:space="0" w:color="auto"/>
                <w:right w:val="none" w:sz="0" w:space="0" w:color="auto"/>
              </w:divBdr>
            </w:div>
          </w:divsChild>
        </w:div>
        <w:div w:id="1926376395">
          <w:marLeft w:val="0"/>
          <w:marRight w:val="0"/>
          <w:marTop w:val="0"/>
          <w:marBottom w:val="0"/>
          <w:divBdr>
            <w:top w:val="none" w:sz="0" w:space="0" w:color="auto"/>
            <w:left w:val="none" w:sz="0" w:space="0" w:color="auto"/>
            <w:bottom w:val="single" w:sz="6" w:space="0" w:color="C5C9D3"/>
            <w:right w:val="none" w:sz="0" w:space="0" w:color="auto"/>
          </w:divBdr>
          <w:divsChild>
            <w:div w:id="739447652">
              <w:marLeft w:val="0"/>
              <w:marRight w:val="0"/>
              <w:marTop w:val="0"/>
              <w:marBottom w:val="0"/>
              <w:divBdr>
                <w:top w:val="none" w:sz="0" w:space="0" w:color="auto"/>
                <w:left w:val="none" w:sz="0" w:space="0" w:color="auto"/>
                <w:bottom w:val="none" w:sz="0" w:space="0" w:color="auto"/>
                <w:right w:val="none" w:sz="0" w:space="0" w:color="auto"/>
              </w:divBdr>
            </w:div>
            <w:div w:id="2001227351">
              <w:marLeft w:val="0"/>
              <w:marRight w:val="526"/>
              <w:marTop w:val="0"/>
              <w:marBottom w:val="0"/>
              <w:divBdr>
                <w:top w:val="none" w:sz="0" w:space="0" w:color="auto"/>
                <w:left w:val="none" w:sz="0" w:space="0" w:color="auto"/>
                <w:bottom w:val="none" w:sz="0" w:space="0" w:color="auto"/>
                <w:right w:val="none" w:sz="0" w:space="0" w:color="auto"/>
              </w:divBdr>
            </w:div>
          </w:divsChild>
        </w:div>
        <w:div w:id="2028099573">
          <w:marLeft w:val="0"/>
          <w:marRight w:val="0"/>
          <w:marTop w:val="0"/>
          <w:marBottom w:val="0"/>
          <w:divBdr>
            <w:top w:val="none" w:sz="0" w:space="0" w:color="auto"/>
            <w:left w:val="none" w:sz="0" w:space="0" w:color="auto"/>
            <w:bottom w:val="single" w:sz="6" w:space="0" w:color="C5C9D3"/>
            <w:right w:val="none" w:sz="0" w:space="0" w:color="auto"/>
          </w:divBdr>
          <w:divsChild>
            <w:div w:id="225919720">
              <w:marLeft w:val="0"/>
              <w:marRight w:val="0"/>
              <w:marTop w:val="0"/>
              <w:marBottom w:val="0"/>
              <w:divBdr>
                <w:top w:val="none" w:sz="0" w:space="0" w:color="auto"/>
                <w:left w:val="none" w:sz="0" w:space="0" w:color="auto"/>
                <w:bottom w:val="none" w:sz="0" w:space="0" w:color="auto"/>
                <w:right w:val="none" w:sz="0" w:space="0" w:color="auto"/>
              </w:divBdr>
            </w:div>
            <w:div w:id="1830512860">
              <w:marLeft w:val="0"/>
              <w:marRight w:val="526"/>
              <w:marTop w:val="0"/>
              <w:marBottom w:val="0"/>
              <w:divBdr>
                <w:top w:val="none" w:sz="0" w:space="0" w:color="auto"/>
                <w:left w:val="none" w:sz="0" w:space="0" w:color="auto"/>
                <w:bottom w:val="none" w:sz="0" w:space="0" w:color="auto"/>
                <w:right w:val="none" w:sz="0" w:space="0" w:color="auto"/>
              </w:divBdr>
            </w:div>
          </w:divsChild>
        </w:div>
        <w:div w:id="2030174573">
          <w:marLeft w:val="0"/>
          <w:marRight w:val="0"/>
          <w:marTop w:val="0"/>
          <w:marBottom w:val="0"/>
          <w:divBdr>
            <w:top w:val="none" w:sz="0" w:space="0" w:color="auto"/>
            <w:left w:val="none" w:sz="0" w:space="0" w:color="auto"/>
            <w:bottom w:val="single" w:sz="6" w:space="0" w:color="C5C9D3"/>
            <w:right w:val="none" w:sz="0" w:space="0" w:color="auto"/>
          </w:divBdr>
          <w:divsChild>
            <w:div w:id="1218666009">
              <w:marLeft w:val="0"/>
              <w:marRight w:val="526"/>
              <w:marTop w:val="0"/>
              <w:marBottom w:val="0"/>
              <w:divBdr>
                <w:top w:val="none" w:sz="0" w:space="0" w:color="auto"/>
                <w:left w:val="none" w:sz="0" w:space="0" w:color="auto"/>
                <w:bottom w:val="none" w:sz="0" w:space="0" w:color="auto"/>
                <w:right w:val="none" w:sz="0" w:space="0" w:color="auto"/>
              </w:divBdr>
            </w:div>
            <w:div w:id="1401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2366">
      <w:bodyDiv w:val="1"/>
      <w:marLeft w:val="0"/>
      <w:marRight w:val="0"/>
      <w:marTop w:val="0"/>
      <w:marBottom w:val="0"/>
      <w:divBdr>
        <w:top w:val="none" w:sz="0" w:space="0" w:color="auto"/>
        <w:left w:val="none" w:sz="0" w:space="0" w:color="auto"/>
        <w:bottom w:val="none" w:sz="0" w:space="0" w:color="auto"/>
        <w:right w:val="none" w:sz="0" w:space="0" w:color="auto"/>
      </w:divBdr>
    </w:div>
    <w:div w:id="194723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nahumanrights.org/Harmonioussociety/Environment/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anrights.cn/en/Harmonioussociety/Security/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humanrights.org/Harmonioussociety/Civil/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inahumanrights.org/Harmonioussociety/Economic/index.htm" TargetMode="External"/><Relationship Id="rId4" Type="http://schemas.openxmlformats.org/officeDocument/2006/relationships/settings" Target="settings.xml"/><Relationship Id="rId9" Type="http://schemas.openxmlformats.org/officeDocument/2006/relationships/hyperlink" Target="http://www.chinahumanrights.org/Harmonioussociety/Health/index.htm" TargetMode="External"/><Relationship Id="rId14" Type="http://schemas.openxmlformats.org/officeDocument/2006/relationships/hyperlink" Target="http://www.chinahumanrights.org/lal/index.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ortals.iucn.org/union/sites/union/files/doc/iucn_strengthening_safeguards_ed.1.pdf" TargetMode="External"/><Relationship Id="rId1" Type="http://schemas.openxmlformats.org/officeDocument/2006/relationships/hyperlink" Target="http://www.jm.undp.org/content/dam/jamaica/docs/gender/JM-AUG-29-UNDP%20Gender%20Seal-Principles%20of%20gender-sensitive%20communic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DBB1-F786-7147-9465-8FDF12B4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Gender Analysis and Action Plan</vt:lpstr>
    </vt:vector>
  </TitlesOfParts>
  <Company>Primark Stores Ltd</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Analysis and Action Plan</dc:title>
  <dc:creator>Prepared by: James Lenoci</dc:creator>
  <cp:lastModifiedBy>James Lenoci</cp:lastModifiedBy>
  <cp:revision>5</cp:revision>
  <cp:lastPrinted>2018-05-13T13:39:00Z</cp:lastPrinted>
  <dcterms:created xsi:type="dcterms:W3CDTF">2022-03-10T13:54:00Z</dcterms:created>
  <dcterms:modified xsi:type="dcterms:W3CDTF">2022-03-10T16:30:00Z</dcterms:modified>
</cp:coreProperties>
</file>