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12240" w14:textId="77777777" w:rsidR="00897F71" w:rsidRPr="00D10CEC" w:rsidRDefault="00897F71" w:rsidP="00897F71">
      <w:pPr>
        <w:pStyle w:val="Heading1"/>
      </w:pPr>
      <w:bookmarkStart w:id="0" w:name="_GoBack"/>
      <w:bookmarkEnd w:id="0"/>
      <w:r w:rsidRPr="00D10CEC">
        <w:t xml:space="preserve">The United Nations Development Programme (UNDP), the World Blind Union </w:t>
      </w:r>
      <w:r>
        <w:t xml:space="preserve">- </w:t>
      </w:r>
      <w:r w:rsidRPr="00D10CEC">
        <w:t>Asia</w:t>
      </w:r>
      <w:r>
        <w:t xml:space="preserve"> </w:t>
      </w:r>
      <w:r w:rsidRPr="00D10CEC">
        <w:t>Pacific (WBUAP), and the Electronic Information for Libraries (EIFL)</w:t>
      </w:r>
    </w:p>
    <w:p w14:paraId="69936AC2" w14:textId="77777777" w:rsidR="00AF71A7" w:rsidRPr="0056183F" w:rsidRDefault="00AF71A7" w:rsidP="00AF71A7">
      <w:pPr>
        <w:pStyle w:val="Heading1"/>
      </w:pPr>
      <w:r>
        <w:t xml:space="preserve">Asia-Pacific </w:t>
      </w:r>
      <w:r w:rsidRPr="0056183F">
        <w:t>Issue Brief</w:t>
      </w:r>
      <w:r>
        <w:t xml:space="preserve"> </w:t>
      </w:r>
      <w:r w:rsidRPr="0056183F">
        <w:t xml:space="preserve">– The Marrakesh Treaty </w:t>
      </w:r>
      <w:r>
        <w:t xml:space="preserve">to facilitate access to published works </w:t>
      </w:r>
      <w:r w:rsidRPr="0056183F">
        <w:t>for persons with print disabilities</w:t>
      </w:r>
      <w:r>
        <w:t xml:space="preserve"> for inclusive, equitable and sustainable development</w:t>
      </w:r>
    </w:p>
    <w:p w14:paraId="068A877A" w14:textId="44AE919D" w:rsidR="00AF71A7" w:rsidRDefault="00AF71A7"/>
    <w:p w14:paraId="5EDCE8C0" w14:textId="236EC3A1" w:rsidR="00AF71A7" w:rsidRDefault="00AF71A7" w:rsidP="00897F71">
      <w:pPr>
        <w:pStyle w:val="Heading2"/>
      </w:pPr>
      <w:r>
        <w:t>December 2017</w:t>
      </w:r>
    </w:p>
    <w:p w14:paraId="6B53CB41" w14:textId="77777777" w:rsidR="00AF71A7" w:rsidRDefault="00AF71A7">
      <w:pPr>
        <w:rPr>
          <w:b/>
        </w:rPr>
      </w:pPr>
    </w:p>
    <w:p w14:paraId="5210C66F" w14:textId="77777777" w:rsidR="00BE474D" w:rsidRPr="00E46FF0" w:rsidRDefault="00E362D4" w:rsidP="00AF71A7">
      <w:pPr>
        <w:pStyle w:val="Heading3"/>
      </w:pPr>
      <w:r w:rsidRPr="00E46FF0">
        <w:t>Key messages</w:t>
      </w:r>
    </w:p>
    <w:p w14:paraId="37508E12" w14:textId="24B2F808" w:rsidR="004936A2" w:rsidRDefault="004936A2" w:rsidP="004936A2">
      <w:pPr>
        <w:pStyle w:val="ListParagraph"/>
        <w:numPr>
          <w:ilvl w:val="0"/>
          <w:numId w:val="3"/>
        </w:numPr>
      </w:pPr>
      <w:r w:rsidRPr="00BD4D59">
        <w:rPr>
          <w:i/>
          <w:iCs/>
        </w:rPr>
        <w:t>The Marrakesh Treaty to Facilitate Access to Published Works for Persons Who Are Blind, Visually Impaired, or Otherwise Print Disabled</w:t>
      </w:r>
      <w:r w:rsidRPr="00C2776A" w:rsidDel="00C2776A">
        <w:t xml:space="preserve"> </w:t>
      </w:r>
      <w:r>
        <w:t xml:space="preserve">provides an international legal framework to allow </w:t>
      </w:r>
      <w:r w:rsidRPr="00604EA9">
        <w:t xml:space="preserve">the creation, distribution, and cross-border exchange of </w:t>
      </w:r>
      <w:r>
        <w:t xml:space="preserve">works in </w:t>
      </w:r>
      <w:r w:rsidRPr="00604EA9">
        <w:t>accessible format</w:t>
      </w:r>
      <w:r>
        <w:t>s</w:t>
      </w:r>
      <w:r w:rsidRPr="00604EA9">
        <w:t xml:space="preserve"> </w:t>
      </w:r>
      <w:r w:rsidR="0001460D">
        <w:t xml:space="preserve">such as braille, audio, </w:t>
      </w:r>
      <w:r w:rsidR="0001460D" w:rsidRPr="001D2118">
        <w:t>e-books</w:t>
      </w:r>
      <w:r w:rsidR="0001460D">
        <w:t xml:space="preserve"> or large print</w:t>
      </w:r>
      <w:r w:rsidR="0001460D" w:rsidRPr="00604EA9">
        <w:t xml:space="preserve"> </w:t>
      </w:r>
      <w:r w:rsidRPr="00604EA9">
        <w:t xml:space="preserve">for print disabled </w:t>
      </w:r>
      <w:r>
        <w:t>persons</w:t>
      </w:r>
      <w:r w:rsidRPr="00B346EA">
        <w:t>.</w:t>
      </w:r>
    </w:p>
    <w:p w14:paraId="27C30EEB" w14:textId="4AE88C48" w:rsidR="00A427BE" w:rsidRDefault="00A427BE" w:rsidP="00A427BE">
      <w:pPr>
        <w:pStyle w:val="ListParagraph"/>
        <w:numPr>
          <w:ilvl w:val="0"/>
          <w:numId w:val="3"/>
        </w:numPr>
      </w:pPr>
      <w:r>
        <w:t xml:space="preserve">Persons with print disabilities cannot obtain knowledge effectively from print materials in the conventional way (e.g. not being able to see/read the text, hold a book, or turn pages). Therefore, they require accessible formats, which are </w:t>
      </w:r>
      <w:r w:rsidR="00274CC0">
        <w:t>often un</w:t>
      </w:r>
      <w:r>
        <w:t>available</w:t>
      </w:r>
      <w:r w:rsidR="00E22C76">
        <w:t xml:space="preserve"> </w:t>
      </w:r>
      <w:r w:rsidR="004215E0">
        <w:t xml:space="preserve">particularly </w:t>
      </w:r>
      <w:r w:rsidR="00E22C76">
        <w:t xml:space="preserve">in developing countries. </w:t>
      </w:r>
      <w:r>
        <w:t xml:space="preserve"> </w:t>
      </w:r>
    </w:p>
    <w:p w14:paraId="3EB0B8B3" w14:textId="22538BDA" w:rsidR="00D2295D" w:rsidRDefault="00D2295D" w:rsidP="00D2295D">
      <w:pPr>
        <w:pStyle w:val="ListParagraph"/>
        <w:numPr>
          <w:ilvl w:val="0"/>
          <w:numId w:val="3"/>
        </w:numPr>
      </w:pPr>
      <w:r>
        <w:t>Lack of accessible formats restricts the fundam</w:t>
      </w:r>
      <w:r w:rsidR="00F5271C">
        <w:t xml:space="preserve">ental human right to knowledge with </w:t>
      </w:r>
      <w:r>
        <w:t>serious development consequences. It excludes persons with print disabilities from achieving their full human potential, and from effectively participating in education, the labour mar</w:t>
      </w:r>
      <w:r w:rsidR="00EB0B7A">
        <w:t xml:space="preserve">ket and cultural activities, </w:t>
      </w:r>
      <w:r w:rsidR="0073441D">
        <w:t>leading to</w:t>
      </w:r>
      <w:r>
        <w:t xml:space="preserve"> poverty, </w:t>
      </w:r>
      <w:r w:rsidR="00F9396A">
        <w:t xml:space="preserve">marginalisation, </w:t>
      </w:r>
      <w:r>
        <w:t xml:space="preserve">and social isolation. </w:t>
      </w:r>
    </w:p>
    <w:p w14:paraId="070E36F5" w14:textId="07B36F83" w:rsidR="007666A4" w:rsidRDefault="004D7418" w:rsidP="00F25E85">
      <w:pPr>
        <w:pStyle w:val="ListParagraph"/>
        <w:numPr>
          <w:ilvl w:val="0"/>
          <w:numId w:val="3"/>
        </w:numPr>
      </w:pPr>
      <w:r>
        <w:t xml:space="preserve">The Marrakesh Treaty </w:t>
      </w:r>
      <w:r w:rsidR="00F010B1">
        <w:t>is</w:t>
      </w:r>
      <w:r>
        <w:t xml:space="preserve"> an effective </w:t>
      </w:r>
      <w:r w:rsidR="00544C41">
        <w:t>legal</w:t>
      </w:r>
      <w:r w:rsidR="00862851">
        <w:t xml:space="preserve"> </w:t>
      </w:r>
      <w:r w:rsidR="00D2295D">
        <w:t>tool</w:t>
      </w:r>
      <w:r>
        <w:t xml:space="preserve"> to accelerate the implementation of the UN Convention on the Rights of Persons with Disabilities</w:t>
      </w:r>
      <w:r w:rsidR="00BC102B">
        <w:t xml:space="preserve"> (UNCRPD)</w:t>
      </w:r>
      <w:r w:rsidR="00765763">
        <w:t>.</w:t>
      </w:r>
    </w:p>
    <w:p w14:paraId="544D1B24" w14:textId="55B54EB1" w:rsidR="000F1D44" w:rsidRDefault="00BC102B" w:rsidP="00023BC4">
      <w:pPr>
        <w:pStyle w:val="ListParagraph"/>
        <w:numPr>
          <w:ilvl w:val="0"/>
          <w:numId w:val="3"/>
        </w:numPr>
      </w:pPr>
      <w:r>
        <w:t xml:space="preserve">While </w:t>
      </w:r>
      <w:r w:rsidR="00BF09CF">
        <w:t>most</w:t>
      </w:r>
      <w:r>
        <w:t xml:space="preserve"> countries in the Asia-Pacific region </w:t>
      </w:r>
      <w:r w:rsidR="00C22585">
        <w:t>are</w:t>
      </w:r>
      <w:r w:rsidR="00401E3B">
        <w:t xml:space="preserve"> a P</w:t>
      </w:r>
      <w:r w:rsidR="00426CA5">
        <w:t>arty to</w:t>
      </w:r>
      <w:r>
        <w:t xml:space="preserve"> the UNCRPD, only a small number </w:t>
      </w:r>
      <w:r w:rsidR="008E432D">
        <w:t xml:space="preserve">of them </w:t>
      </w:r>
      <w:r w:rsidR="0018638F">
        <w:t>have</w:t>
      </w:r>
      <w:r w:rsidR="000F1D44">
        <w:t xml:space="preserve"> </w:t>
      </w:r>
      <w:r w:rsidR="00C22585">
        <w:t xml:space="preserve">become </w:t>
      </w:r>
      <w:r w:rsidR="004C5884">
        <w:t>part of</w:t>
      </w:r>
      <w:r w:rsidR="00426CA5">
        <w:t xml:space="preserve"> </w:t>
      </w:r>
      <w:r w:rsidR="000F1D44">
        <w:t xml:space="preserve">the </w:t>
      </w:r>
      <w:r w:rsidR="00A8720F">
        <w:t xml:space="preserve">Marrakesh </w:t>
      </w:r>
      <w:r w:rsidR="00426CA5">
        <w:t>Treaty</w:t>
      </w:r>
      <w:r w:rsidR="007109D4">
        <w:t xml:space="preserve"> so far</w:t>
      </w:r>
      <w:r w:rsidR="000F1D44">
        <w:t>.</w:t>
      </w:r>
      <w:r w:rsidR="00023BC4">
        <w:t xml:space="preserve"> </w:t>
      </w:r>
      <w:r w:rsidR="00EF3A25">
        <w:t xml:space="preserve">It is critical that more countries </w:t>
      </w:r>
      <w:r w:rsidR="00AD3545">
        <w:t>ratify and implement</w:t>
      </w:r>
      <w:r w:rsidR="00C72A7F">
        <w:t xml:space="preserve"> the Marrakesh Treaty</w:t>
      </w:r>
      <w:r w:rsidR="00BD4D59">
        <w:t xml:space="preserve">, which can </w:t>
      </w:r>
      <w:r w:rsidR="00DA7171">
        <w:t>contribute significantly to national and global</w:t>
      </w:r>
      <w:r w:rsidR="007010D9">
        <w:t xml:space="preserve"> </w:t>
      </w:r>
      <w:r w:rsidR="00BD4D59">
        <w:t>effort towards achieving</w:t>
      </w:r>
      <w:r w:rsidR="00CB2C7F">
        <w:t xml:space="preserve"> inclusive and equitable societies under</w:t>
      </w:r>
      <w:r w:rsidR="00BD4D59">
        <w:t xml:space="preserve"> the Sustainable Development Goals (SDGs)</w:t>
      </w:r>
      <w:r w:rsidR="00C72A7F">
        <w:t xml:space="preserve">. </w:t>
      </w:r>
    </w:p>
    <w:p w14:paraId="475F13B8" w14:textId="77777777" w:rsidR="007666A4" w:rsidRPr="009231C9" w:rsidRDefault="00EA7642" w:rsidP="00AF71A7">
      <w:pPr>
        <w:pStyle w:val="Heading3"/>
      </w:pPr>
      <w:r w:rsidRPr="009231C9">
        <w:t>Background</w:t>
      </w:r>
    </w:p>
    <w:p w14:paraId="6E28CE2B" w14:textId="29505FE6" w:rsidR="0076276A" w:rsidRDefault="00B562B7" w:rsidP="0076276A">
      <w:r>
        <w:t xml:space="preserve">The World Blind Union estimates </w:t>
      </w:r>
      <w:r w:rsidRPr="00056373">
        <w:t>that less than 1</w:t>
      </w:r>
      <w:r>
        <w:t xml:space="preserve"> percent</w:t>
      </w:r>
      <w:r w:rsidRPr="00056373">
        <w:t xml:space="preserve"> of published books in developing </w:t>
      </w:r>
      <w:r>
        <w:t xml:space="preserve">countries, and </w:t>
      </w:r>
      <w:r w:rsidRPr="00056373">
        <w:t>7</w:t>
      </w:r>
      <w:r>
        <w:t xml:space="preserve"> percent</w:t>
      </w:r>
      <w:r w:rsidRPr="00056373">
        <w:t xml:space="preserve"> </w:t>
      </w:r>
      <w:r>
        <w:t>in</w:t>
      </w:r>
      <w:r w:rsidRPr="00056373">
        <w:t xml:space="preserve"> devel</w:t>
      </w:r>
      <w:r>
        <w:t xml:space="preserve">oped countries, </w:t>
      </w:r>
      <w:r w:rsidRPr="00056373">
        <w:t xml:space="preserve">are ever made into formats </w:t>
      </w:r>
      <w:r>
        <w:t xml:space="preserve">that are </w:t>
      </w:r>
      <w:r w:rsidRPr="00056373">
        <w:t xml:space="preserve">accessible </w:t>
      </w:r>
      <w:r>
        <w:t>to</w:t>
      </w:r>
      <w:r w:rsidRPr="00056373">
        <w:t xml:space="preserve"> persons with print disa</w:t>
      </w:r>
      <w:r>
        <w:t>bilities,</w:t>
      </w:r>
      <w:r>
        <w:rPr>
          <w:rStyle w:val="FootnoteReference"/>
        </w:rPr>
        <w:footnoteReference w:id="1"/>
      </w:r>
      <w:r>
        <w:t xml:space="preserve"> such as braille, audio, </w:t>
      </w:r>
      <w:r w:rsidRPr="001D2118">
        <w:t>e-books</w:t>
      </w:r>
      <w:r>
        <w:t xml:space="preserve"> or materials with large print.  </w:t>
      </w:r>
      <w:r w:rsidR="0076276A" w:rsidRPr="001D2118">
        <w:t>Lack of equitable, timely and affordable access to published works in accessible form</w:t>
      </w:r>
      <w:r w:rsidR="0076276A">
        <w:t>ats</w:t>
      </w:r>
      <w:r>
        <w:t>, referred to as a ‘book famine,’</w:t>
      </w:r>
      <w:r w:rsidR="0076276A">
        <w:t xml:space="preserve"> prevents</w:t>
      </w:r>
      <w:r w:rsidR="0076276A" w:rsidRPr="001D2118">
        <w:t xml:space="preserve"> millions of persons with print disabilities </w:t>
      </w:r>
      <w:r w:rsidR="0076276A">
        <w:t xml:space="preserve">around the world </w:t>
      </w:r>
      <w:r w:rsidR="0076276A" w:rsidRPr="001D2118">
        <w:t xml:space="preserve">from </w:t>
      </w:r>
      <w:r w:rsidR="0076276A">
        <w:t>making the most of</w:t>
      </w:r>
      <w:r w:rsidR="0076276A" w:rsidRPr="001D2118">
        <w:t xml:space="preserve"> human development opportunities. </w:t>
      </w:r>
    </w:p>
    <w:p w14:paraId="2D33330B" w14:textId="6BAC825A" w:rsidR="000C3AEF" w:rsidRDefault="000C3AEF">
      <w:r>
        <w:t xml:space="preserve">Print disability can be caused by visual disabilities such as blindness and low vision, developmental and learning disabilities such as dyslexia and autism, or physical disabilities such as Parkinson’s disease and paralysis. Persons with print disabilities cannot obtain information effectively from print materials in the conventional way – for example, they may not be able to read the text, hold a book or turn pages. Therefore, they require accessible formats. </w:t>
      </w:r>
    </w:p>
    <w:p w14:paraId="29C07C6B" w14:textId="3504D58B" w:rsidR="00E853A0" w:rsidRDefault="00B562B7">
      <w:r>
        <w:t>The ‘book famine’</w:t>
      </w:r>
      <w:r w:rsidR="00E853A0">
        <w:t xml:space="preserve"> can exclude</w:t>
      </w:r>
      <w:r w:rsidR="00E853A0" w:rsidRPr="001D2118">
        <w:t xml:space="preserve"> persons with print disabilities from </w:t>
      </w:r>
      <w:r w:rsidR="00E853A0">
        <w:t xml:space="preserve">access to </w:t>
      </w:r>
      <w:r w:rsidR="00E853A0" w:rsidRPr="001D2118">
        <w:t>education, employment, health</w:t>
      </w:r>
      <w:r w:rsidR="00BF0425">
        <w:t xml:space="preserve"> </w:t>
      </w:r>
      <w:r w:rsidR="00E853A0" w:rsidRPr="001D2118">
        <w:t>care</w:t>
      </w:r>
      <w:r w:rsidR="00E853A0">
        <w:t>, culture,</w:t>
      </w:r>
      <w:r w:rsidR="00E853A0" w:rsidRPr="001D2118">
        <w:t xml:space="preserve"> </w:t>
      </w:r>
      <w:r w:rsidR="00E853A0">
        <w:t>or</w:t>
      </w:r>
      <w:r w:rsidR="00E853A0" w:rsidRPr="001D2118">
        <w:t xml:space="preserve"> participation in just about any aspect of political, economic and social </w:t>
      </w:r>
      <w:r w:rsidR="00E853A0">
        <w:t>activities</w:t>
      </w:r>
      <w:r w:rsidR="00E853A0" w:rsidRPr="001D2118">
        <w:t>.</w:t>
      </w:r>
      <w:r w:rsidR="00E853A0">
        <w:t xml:space="preserve"> </w:t>
      </w:r>
    </w:p>
    <w:p w14:paraId="1E4CAAF1" w14:textId="77777777" w:rsidR="00BF0425" w:rsidRDefault="00E853A0">
      <w:r>
        <w:t xml:space="preserve">For example, lack of access to school textbooks in accessible formats could exclude blind, visually-impaired and print-disabled children from receiving </w:t>
      </w:r>
      <w:r w:rsidR="00BF0425">
        <w:t xml:space="preserve">an </w:t>
      </w:r>
      <w:r>
        <w:t xml:space="preserve">adequate education, which can significantly affect their future job prospects. As a consequence, over 75 percent of blind and visually-impaired persons of working age are unemployed on average, according to the World Blind Union. </w:t>
      </w:r>
    </w:p>
    <w:p w14:paraId="012B1B3F" w14:textId="36560D9D" w:rsidR="00E853A0" w:rsidRDefault="00E853A0">
      <w:r>
        <w:t xml:space="preserve">All these factors </w:t>
      </w:r>
      <w:r w:rsidR="00BF0425">
        <w:t>contribute to</w:t>
      </w:r>
      <w:r>
        <w:t xml:space="preserve"> extremely high </w:t>
      </w:r>
      <w:r w:rsidR="00BF0425">
        <w:t xml:space="preserve">rates </w:t>
      </w:r>
      <w:r>
        <w:t>of poverty among persons with disabilities</w:t>
      </w:r>
      <w:r w:rsidR="00BF0425">
        <w:t xml:space="preserve"> – </w:t>
      </w:r>
      <w:r>
        <w:t xml:space="preserve">it is estimated that more </w:t>
      </w:r>
      <w:r w:rsidR="00213018">
        <w:t xml:space="preserve">than </w:t>
      </w:r>
      <w:r>
        <w:t>80 percent of persons with disabilities live in poverty.</w:t>
      </w:r>
      <w:r>
        <w:rPr>
          <w:rStyle w:val="FootnoteReference"/>
        </w:rPr>
        <w:footnoteReference w:id="2"/>
      </w:r>
      <w:r>
        <w:t xml:space="preserve"> </w:t>
      </w:r>
    </w:p>
    <w:p w14:paraId="2514F50E" w14:textId="39E2A222" w:rsidR="00E853A0" w:rsidRDefault="00E853A0" w:rsidP="00387593">
      <w:r w:rsidRPr="003E32E5">
        <w:t>Accor</w:t>
      </w:r>
      <w:r>
        <w:t xml:space="preserve">ding to </w:t>
      </w:r>
      <w:r w:rsidR="00213018">
        <w:t xml:space="preserve">a </w:t>
      </w:r>
      <w:r w:rsidR="00005F6C">
        <w:t xml:space="preserve">World Health </w:t>
      </w:r>
      <w:r w:rsidR="00213018">
        <w:t xml:space="preserve">Organization </w:t>
      </w:r>
      <w:r w:rsidR="00005F6C">
        <w:t>(</w:t>
      </w:r>
      <w:r>
        <w:t>WHO</w:t>
      </w:r>
      <w:r w:rsidR="00005F6C">
        <w:t>)</w:t>
      </w:r>
      <w:r>
        <w:t xml:space="preserve"> and World Bank r</w:t>
      </w:r>
      <w:r w:rsidRPr="003E32E5">
        <w:t>eport,</w:t>
      </w:r>
      <w:r w:rsidR="00FB0B42">
        <w:rPr>
          <w:rStyle w:val="FootnoteReference"/>
        </w:rPr>
        <w:footnoteReference w:id="3"/>
      </w:r>
      <w:r w:rsidRPr="003E32E5">
        <w:t xml:space="preserve"> there are an estimated 1 billion people with disabilities </w:t>
      </w:r>
      <w:r w:rsidR="00FB0B42" w:rsidRPr="003E32E5">
        <w:t xml:space="preserve">in the world </w:t>
      </w:r>
      <w:r w:rsidRPr="003E32E5">
        <w:t xml:space="preserve">including visually-impaired </w:t>
      </w:r>
      <w:r>
        <w:t>persons, and 80 percent of them live in developing countries</w:t>
      </w:r>
      <w:r w:rsidRPr="003E32E5">
        <w:t>.</w:t>
      </w:r>
      <w:r>
        <w:rPr>
          <w:rStyle w:val="FootnoteReference"/>
        </w:rPr>
        <w:footnoteReference w:id="4"/>
      </w:r>
      <w:r w:rsidRPr="003E32E5">
        <w:t xml:space="preserve">  As such, </w:t>
      </w:r>
      <w:r>
        <w:t>how countries address</w:t>
      </w:r>
      <w:r w:rsidRPr="003E32E5">
        <w:t xml:space="preserve"> disability </w:t>
      </w:r>
      <w:r>
        <w:t>will</w:t>
      </w:r>
      <w:r w:rsidRPr="003E32E5">
        <w:t xml:space="preserve"> have significant impact on achieving inclusive and sustainable societies </w:t>
      </w:r>
      <w:r>
        <w:t>under the 2030 Agenda for Sustainable Development and</w:t>
      </w:r>
      <w:r w:rsidRPr="003E32E5">
        <w:t xml:space="preserve"> the Sustainable Development Goals</w:t>
      </w:r>
      <w:r w:rsidR="006F3DC5">
        <w:t xml:space="preserve"> (SDGs)</w:t>
      </w:r>
      <w:r>
        <w:t>,</w:t>
      </w:r>
      <w:r w:rsidRPr="003E32E5">
        <w:t xml:space="preserve"> guided by the principles of ‘leaving no one behind,’ and ‘reaching the furthest behind first.’</w:t>
      </w:r>
      <w:r>
        <w:t xml:space="preserve"> </w:t>
      </w:r>
    </w:p>
    <w:p w14:paraId="3A7FEE71" w14:textId="77777777" w:rsidR="00D752AF" w:rsidRDefault="00D752AF" w:rsidP="00784D78">
      <w:pPr>
        <w:rPr>
          <w:b/>
        </w:rPr>
      </w:pPr>
    </w:p>
    <w:p w14:paraId="4A0A4101" w14:textId="4417B1FB" w:rsidR="00E853A0" w:rsidRDefault="00E853A0" w:rsidP="00AF71A7">
      <w:pPr>
        <w:pStyle w:val="Heading3"/>
      </w:pPr>
      <w:r>
        <w:t>The Asia-Pacific context</w:t>
      </w:r>
    </w:p>
    <w:p w14:paraId="066C9856" w14:textId="0EE3613C" w:rsidR="00E853A0" w:rsidRDefault="00E853A0" w:rsidP="00784D78">
      <w:r>
        <w:t>Asia has the highest number of visually-impaired persons in the world, estimated to be over 156 million</w:t>
      </w:r>
      <w:r w:rsidR="00FA61A7">
        <w:t xml:space="preserve"> in 201</w:t>
      </w:r>
      <w:r w:rsidR="001359B5">
        <w:t>5</w:t>
      </w:r>
      <w:r w:rsidR="00D81BCC">
        <w:t>.</w:t>
      </w:r>
      <w:r>
        <w:rPr>
          <w:rStyle w:val="FootnoteReference"/>
        </w:rPr>
        <w:footnoteReference w:id="5"/>
      </w:r>
      <w:r>
        <w:t xml:space="preserve"> More specifically, 21.4 million blind persons and 134.9 million persons with moderate to severe vision impairment live in Asia, which correspond to 59 and 72 percent of the global total, respectively. </w:t>
      </w:r>
    </w:p>
    <w:p w14:paraId="0F1CCDF9" w14:textId="7BDC7648" w:rsidR="00E853A0" w:rsidRDefault="00E853A0" w:rsidP="00784D78">
      <w:r>
        <w:t xml:space="preserve">The Asia-Pacific region is expected to witness a growing number of visually-impaired and print-disabled persons in coming decades. </w:t>
      </w:r>
      <w:r w:rsidR="00EE06DE">
        <w:t>T</w:t>
      </w:r>
      <w:r>
        <w:t>he ageing population in the region</w:t>
      </w:r>
      <w:r w:rsidR="001359B5">
        <w:t>,</w:t>
      </w:r>
      <w:r>
        <w:t xml:space="preserve"> </w:t>
      </w:r>
      <w:r w:rsidR="00EE06DE">
        <w:t>which is</w:t>
      </w:r>
      <w:r>
        <w:t xml:space="preserve"> </w:t>
      </w:r>
      <w:r w:rsidR="006D37E0">
        <w:t>growing</w:t>
      </w:r>
      <w:r>
        <w:t xml:space="preserve"> “at an unprecedented pace”</w:t>
      </w:r>
      <w:r>
        <w:rPr>
          <w:rStyle w:val="FootnoteReference"/>
        </w:rPr>
        <w:footnoteReference w:id="6"/>
      </w:r>
      <w:r>
        <w:t xml:space="preserve"> </w:t>
      </w:r>
      <w:r w:rsidR="00EE06DE">
        <w:t xml:space="preserve">is likely to further </w:t>
      </w:r>
      <w:r>
        <w:t xml:space="preserve">increase the number of the elderly with vision impairment and print disabilities. </w:t>
      </w:r>
    </w:p>
    <w:p w14:paraId="2E591815" w14:textId="347F4926" w:rsidR="00E853A0" w:rsidRDefault="008D60DF" w:rsidP="00784D78">
      <w:r>
        <w:t xml:space="preserve">Additionally, </w:t>
      </w:r>
      <w:r w:rsidRPr="008D60DF">
        <w:t xml:space="preserve">non-communicable diseases </w:t>
      </w:r>
      <w:r w:rsidR="00672AE8">
        <w:t xml:space="preserve">that </w:t>
      </w:r>
      <w:r w:rsidR="00672AE8" w:rsidRPr="008D60DF">
        <w:t xml:space="preserve">can cause </w:t>
      </w:r>
      <w:r w:rsidR="00672AE8">
        <w:t>print disabilities</w:t>
      </w:r>
      <w:r w:rsidR="00672AE8" w:rsidRPr="008D60DF">
        <w:t xml:space="preserve"> </w:t>
      </w:r>
      <w:r w:rsidR="001C0887">
        <w:t>are on the rise</w:t>
      </w:r>
      <w:r w:rsidR="00672AE8" w:rsidRPr="00672AE8">
        <w:t xml:space="preserve"> </w:t>
      </w:r>
      <w:r w:rsidR="00672AE8">
        <w:t>in the region</w:t>
      </w:r>
      <w:r w:rsidR="001C0887">
        <w:t xml:space="preserve">, </w:t>
      </w:r>
      <w:r w:rsidRPr="008D60DF">
        <w:t>such as stroke (which can cause paralysis) and diabetes (which can cause blindness or impaired visions)</w:t>
      </w:r>
      <w:r>
        <w:t xml:space="preserve">. In fact, </w:t>
      </w:r>
      <w:r w:rsidR="00154B79">
        <w:t xml:space="preserve">the </w:t>
      </w:r>
      <w:r w:rsidR="007F11F3">
        <w:t xml:space="preserve">Asia-Pacific </w:t>
      </w:r>
      <w:r w:rsidR="00154B79">
        <w:t>region is witnessing a</w:t>
      </w:r>
      <w:r w:rsidR="00E853A0">
        <w:t xml:space="preserve"> rapid</w:t>
      </w:r>
      <w:r w:rsidR="001B0237">
        <w:t>ly growing epidemic of diabetes.</w:t>
      </w:r>
      <w:r w:rsidR="00E853A0">
        <w:rPr>
          <w:rStyle w:val="FootnoteReference"/>
        </w:rPr>
        <w:footnoteReference w:id="7"/>
      </w:r>
      <w:r w:rsidR="00E853A0">
        <w:t xml:space="preserve"> Together with limited access to diabetes treatment in many developing countries,</w:t>
      </w:r>
      <w:r w:rsidR="00E853A0">
        <w:rPr>
          <w:rStyle w:val="FootnoteReference"/>
        </w:rPr>
        <w:footnoteReference w:id="8"/>
      </w:r>
      <w:r w:rsidR="00E853A0">
        <w:t xml:space="preserve"> this poses a serious concern particularly for the Pacific region, which has one of the highest levels of diabetes among adults in the world.</w:t>
      </w:r>
      <w:r w:rsidR="00E853A0">
        <w:rPr>
          <w:rStyle w:val="FootnoteReference"/>
        </w:rPr>
        <w:footnoteReference w:id="9"/>
      </w:r>
      <w:r w:rsidR="00E853A0">
        <w:t xml:space="preserve"> </w:t>
      </w:r>
    </w:p>
    <w:p w14:paraId="7C98906F" w14:textId="06CFA5D0" w:rsidR="00E853A0" w:rsidRDefault="00E853A0" w:rsidP="00784D78">
      <w:r>
        <w:t xml:space="preserve">Given the magnitude of print disability prevalence and risks in the </w:t>
      </w:r>
      <w:r w:rsidR="00B60380">
        <w:t xml:space="preserve">Asia-Pacific </w:t>
      </w:r>
      <w:r>
        <w:t xml:space="preserve">region, improved access to published works in accessible formats could contribute to making significant development progress. This is particularly the case for countries where visually-impaired persons </w:t>
      </w:r>
      <w:r w:rsidR="00CB2C7F">
        <w:t>make up a large proportion of</w:t>
      </w:r>
      <w:r>
        <w:t xml:space="preserve"> </w:t>
      </w:r>
      <w:r w:rsidR="00CB2C7F">
        <w:t>the disabled</w:t>
      </w:r>
      <w:r>
        <w:t xml:space="preserve"> population such as </w:t>
      </w:r>
      <w:r w:rsidR="00CB2C7F">
        <w:t xml:space="preserve">in </w:t>
      </w:r>
      <w:r>
        <w:t>Cambodia,</w:t>
      </w:r>
      <w:r>
        <w:rPr>
          <w:rStyle w:val="FootnoteReference"/>
        </w:rPr>
        <w:footnoteReference w:id="10"/>
      </w:r>
      <w:r>
        <w:t xml:space="preserve"> Indonesia</w:t>
      </w:r>
      <w:r>
        <w:rPr>
          <w:rStyle w:val="FootnoteReference"/>
        </w:rPr>
        <w:footnoteReference w:id="11"/>
      </w:r>
      <w:r>
        <w:t xml:space="preserve"> and Vanuatu.</w:t>
      </w:r>
      <w:r>
        <w:rPr>
          <w:rStyle w:val="FootnoteReference"/>
        </w:rPr>
        <w:footnoteReference w:id="12"/>
      </w:r>
    </w:p>
    <w:p w14:paraId="03E9E32C" w14:textId="1640F119" w:rsidR="00E853A0" w:rsidRDefault="00E853A0" w:rsidP="00784D78">
      <w:r>
        <w:t xml:space="preserve">Despite the fact that </w:t>
      </w:r>
      <w:r w:rsidR="00416E3B">
        <w:t>most</w:t>
      </w:r>
      <w:r>
        <w:t xml:space="preserve"> countries across the Asia-Pacific region are a Party to the UN Convention on the Rights of Persons with Disabilities (UNCRPD), </w:t>
      </w:r>
      <w:r w:rsidR="00213018">
        <w:t xml:space="preserve">so far </w:t>
      </w:r>
      <w:r>
        <w:t xml:space="preserve">only a handful of countries have become part of the </w:t>
      </w:r>
      <w:r w:rsidRPr="00213018">
        <w:rPr>
          <w:i/>
        </w:rPr>
        <w:t>Marrakesh Treaty</w:t>
      </w:r>
      <w:r>
        <w:t xml:space="preserve"> </w:t>
      </w:r>
      <w:r w:rsidR="00213018" w:rsidRPr="008A312B">
        <w:rPr>
          <w:i/>
        </w:rPr>
        <w:t>to Facilitate Access to Published Works for Persons Who Are Blind, Visually Impaired, or Otherwise Print Disabled</w:t>
      </w:r>
      <w:r w:rsidR="00EE06DE">
        <w:t>. These include</w:t>
      </w:r>
      <w:r>
        <w:t xml:space="preserve"> Australia, Democratic People’s Republic of Korea, India, Mongolia, Republic of Korea, Singapore and Sri Lanka (as of November 2017). </w:t>
      </w:r>
    </w:p>
    <w:p w14:paraId="3EBCB160" w14:textId="77777777" w:rsidR="00E853A0" w:rsidRDefault="00E853A0" w:rsidP="00784D78">
      <w:r>
        <w:t>While some countries such as Indonesia and Thailand are already taking action towards joining the Marrakesh Treaty,</w:t>
      </w:r>
      <w:r>
        <w:rPr>
          <w:rStyle w:val="FootnoteReference"/>
        </w:rPr>
        <w:footnoteReference w:id="13"/>
      </w:r>
      <w:r>
        <w:t xml:space="preserve"> it is important that at least all the countries that are part of the UNCRPD will become a Contracting Party to the Marrakesh Treaty, to maximize the benefit of the Treaty and make progress at scale.</w:t>
      </w:r>
    </w:p>
    <w:p w14:paraId="3FA73462" w14:textId="77777777" w:rsidR="00E853A0" w:rsidRDefault="00E853A0" w:rsidP="00387593">
      <w:pPr>
        <w:rPr>
          <w:b/>
        </w:rPr>
      </w:pPr>
    </w:p>
    <w:p w14:paraId="740926F5" w14:textId="0F503ADD" w:rsidR="00E853A0" w:rsidRPr="009231C9" w:rsidRDefault="00E853A0" w:rsidP="00AF71A7">
      <w:pPr>
        <w:pStyle w:val="Heading3"/>
      </w:pPr>
      <w:r w:rsidRPr="009231C9">
        <w:t>The Marrakesh Treaty</w:t>
      </w:r>
    </w:p>
    <w:p w14:paraId="40F718D3" w14:textId="77777777" w:rsidR="0016605C" w:rsidRDefault="00E853A0">
      <w:r>
        <w:t>L</w:t>
      </w:r>
      <w:r w:rsidRPr="00056373">
        <w:t xml:space="preserve">egal </w:t>
      </w:r>
      <w:r>
        <w:t>obstacles</w:t>
      </w:r>
      <w:r w:rsidRPr="00056373">
        <w:t xml:space="preserve"> </w:t>
      </w:r>
      <w:r>
        <w:t>in copyright law for</w:t>
      </w:r>
      <w:r w:rsidRPr="00056373">
        <w:t xml:space="preserve"> </w:t>
      </w:r>
      <w:r>
        <w:t>the creation and distribution</w:t>
      </w:r>
      <w:r w:rsidRPr="00056373">
        <w:t xml:space="preserve"> of </w:t>
      </w:r>
      <w:r>
        <w:t>published</w:t>
      </w:r>
      <w:r w:rsidRPr="00056373">
        <w:t xml:space="preserve"> works in accessible formats and their cross-border </w:t>
      </w:r>
      <w:r>
        <w:t>exchange have contributed to the ‘book famine’ for persons with print disabilities. For example, an accessible format copy of a popular book produced for persons with print disabilities in Count</w:t>
      </w:r>
      <w:r w:rsidR="0024253A">
        <w:t>r</w:t>
      </w:r>
      <w:r>
        <w:t xml:space="preserve">y A could not be shared with print disabled persons, blind people’s organizations or libraries in Country B, due to </w:t>
      </w:r>
      <w:r w:rsidR="009C25F2">
        <w:t xml:space="preserve">the </w:t>
      </w:r>
      <w:r>
        <w:t xml:space="preserve">lack of an international copyright framework that would allow its exchange between the countries. </w:t>
      </w:r>
    </w:p>
    <w:p w14:paraId="5AE73E4A" w14:textId="22A7CEAD" w:rsidR="00E853A0" w:rsidRDefault="00E853A0">
      <w:r>
        <w:t xml:space="preserve">As a result, the same accessible format version has to be recreated in Country B, resulting in duplication of efforts and </w:t>
      </w:r>
      <w:r w:rsidR="009C25F2">
        <w:t xml:space="preserve">squandered </w:t>
      </w:r>
      <w:r>
        <w:t>resources. The high costs of producing accessible works act as a det</w:t>
      </w:r>
      <w:r w:rsidR="00213018">
        <w:t>errent</w:t>
      </w:r>
      <w:r>
        <w:t xml:space="preserve"> to their production and reduces their availability. </w:t>
      </w:r>
    </w:p>
    <w:p w14:paraId="40EA59F4" w14:textId="6E09098E" w:rsidR="00E853A0" w:rsidRDefault="009C25F2" w:rsidP="002A7D6E">
      <w:r w:rsidRPr="00F50BE6">
        <w:rPr>
          <w:iCs/>
        </w:rPr>
        <w:t>In June 2013, member states of the</w:t>
      </w:r>
      <w:r w:rsidRPr="009C25F2">
        <w:t xml:space="preserve"> </w:t>
      </w:r>
      <w:r>
        <w:t xml:space="preserve">World Intellectual Property Organization (WIPO) came together to adopt </w:t>
      </w:r>
      <w:r w:rsidR="00844848">
        <w:t>t</w:t>
      </w:r>
      <w:r w:rsidR="00E853A0" w:rsidRPr="0043744E">
        <w:t xml:space="preserve">he Marrakesh Treaty, </w:t>
      </w:r>
      <w:r w:rsidRPr="0043744E">
        <w:t xml:space="preserve">with the goal of removing </w:t>
      </w:r>
      <w:r w:rsidR="00E853A0" w:rsidRPr="0043744E">
        <w:t>copyright</w:t>
      </w:r>
      <w:r w:rsidR="00E853A0">
        <w:t xml:space="preserve"> obstacles</w:t>
      </w:r>
      <w:r w:rsidR="00E853A0" w:rsidRPr="0013547D">
        <w:t>.</w:t>
      </w:r>
      <w:r w:rsidR="00E853A0">
        <w:rPr>
          <w:rStyle w:val="FootnoteReference"/>
        </w:rPr>
        <w:footnoteReference w:id="14"/>
      </w:r>
      <w:r w:rsidR="00E853A0" w:rsidRPr="0013547D">
        <w:t xml:space="preserve"> </w:t>
      </w:r>
      <w:r w:rsidR="00E853A0">
        <w:t>The Marrakesh Treaty entered into force on 30 September 2016</w:t>
      </w:r>
      <w:r w:rsidR="00E853A0" w:rsidRPr="006E6C8C">
        <w:t xml:space="preserve">. As of 1 November 2017, </w:t>
      </w:r>
      <w:r w:rsidR="00E853A0">
        <w:t xml:space="preserve">33 countries have become </w:t>
      </w:r>
      <w:r w:rsidR="00EC033C">
        <w:t>C</w:t>
      </w:r>
      <w:r w:rsidR="00E853A0">
        <w:t xml:space="preserve">ontracting </w:t>
      </w:r>
      <w:r w:rsidR="00EC033C">
        <w:t>P</w:t>
      </w:r>
      <w:r w:rsidR="00E853A0">
        <w:t>art</w:t>
      </w:r>
      <w:r w:rsidR="00EC033C">
        <w:t>ies</w:t>
      </w:r>
      <w:r w:rsidR="00E853A0">
        <w:t xml:space="preserve"> to the Treaty.</w:t>
      </w:r>
      <w:r w:rsidR="00E853A0">
        <w:rPr>
          <w:rStyle w:val="FootnoteReference"/>
        </w:rPr>
        <w:footnoteReference w:id="15"/>
      </w:r>
      <w:r w:rsidR="00E853A0">
        <w:t xml:space="preserve"> </w:t>
      </w:r>
    </w:p>
    <w:p w14:paraId="0EFABEAB" w14:textId="7A9BB9E8" w:rsidR="00E853A0" w:rsidRDefault="00E853A0" w:rsidP="002A7D6E">
      <w:r w:rsidRPr="0013547D">
        <w:t xml:space="preserve">The </w:t>
      </w:r>
      <w:r w:rsidR="00D71EAE">
        <w:t xml:space="preserve">Marrakesh </w:t>
      </w:r>
      <w:r w:rsidRPr="0013547D">
        <w:t xml:space="preserve">Treaty </w:t>
      </w:r>
      <w:r>
        <w:t>can pave</w:t>
      </w:r>
      <w:r w:rsidRPr="0013547D">
        <w:t xml:space="preserve"> the way for an enabling legal environment </w:t>
      </w:r>
      <w:r w:rsidR="00EC033C">
        <w:t xml:space="preserve">for improved access to </w:t>
      </w:r>
      <w:r w:rsidR="00280926">
        <w:t>published works</w:t>
      </w:r>
      <w:r w:rsidR="00EC033C">
        <w:t xml:space="preserve"> for people with print disabilities</w:t>
      </w:r>
      <w:r w:rsidRPr="0013547D">
        <w:t xml:space="preserve">, while </w:t>
      </w:r>
      <w:r>
        <w:t xml:space="preserve">striking the right balance between the protection of </w:t>
      </w:r>
      <w:r w:rsidR="00EC033C">
        <w:t xml:space="preserve">the rights of </w:t>
      </w:r>
      <w:r>
        <w:t xml:space="preserve">authors and the protection of public interests. </w:t>
      </w:r>
    </w:p>
    <w:p w14:paraId="431A1974" w14:textId="1F28629E" w:rsidR="00E853A0" w:rsidRDefault="00E853A0">
      <w:r>
        <w:t xml:space="preserve">The </w:t>
      </w:r>
      <w:r w:rsidR="00762E9B">
        <w:t xml:space="preserve">Marrakesh </w:t>
      </w:r>
      <w:r>
        <w:t xml:space="preserve">Treaty addresses this situation by allowing so-called ‘authorized entities,’ such as blind people’s organizations and libraries, to pool their accessible collections, thereby reducing duplication of effort and saving money </w:t>
      </w:r>
      <w:r w:rsidRPr="00030950">
        <w:t>–</w:t>
      </w:r>
      <w:r w:rsidR="007644E6">
        <w:t xml:space="preserve"> </w:t>
      </w:r>
      <w:r>
        <w:t xml:space="preserve">public, charitable or donor funds in many cases </w:t>
      </w:r>
      <w:r w:rsidRPr="00030950">
        <w:t>–</w:t>
      </w:r>
      <w:r>
        <w:t xml:space="preserve"> and increasing the number of accessible books available.</w:t>
      </w:r>
    </w:p>
    <w:p w14:paraId="5DCB2D22" w14:textId="3FF775E5" w:rsidR="00E853A0" w:rsidRPr="00CB4959" w:rsidRDefault="00E853A0" w:rsidP="00CB4959">
      <w:pPr>
        <w:widowControl w:val="0"/>
        <w:autoSpaceDE w:val="0"/>
        <w:autoSpaceDN w:val="0"/>
        <w:adjustRightInd w:val="0"/>
        <w:spacing w:after="0" w:line="240" w:lineRule="auto"/>
        <w:rPr>
          <w:rFonts w:cs="Times New Roman"/>
          <w:color w:val="000000"/>
          <w:lang w:val="en-US"/>
        </w:rPr>
      </w:pPr>
      <w:r w:rsidRPr="00CB4959">
        <w:rPr>
          <w:rFonts w:cs="Times New Roman"/>
          <w:color w:val="000000"/>
          <w:lang w:val="en-US"/>
        </w:rPr>
        <w:t xml:space="preserve">Libraries are key to the success of the </w:t>
      </w:r>
      <w:r>
        <w:rPr>
          <w:rFonts w:cs="Times New Roman"/>
          <w:color w:val="000000"/>
          <w:lang w:val="en-US"/>
        </w:rPr>
        <w:t>T</w:t>
      </w:r>
      <w:r w:rsidRPr="00CB4959">
        <w:rPr>
          <w:rFonts w:cs="Times New Roman"/>
          <w:color w:val="000000"/>
          <w:lang w:val="en-US"/>
        </w:rPr>
        <w:t>rea</w:t>
      </w:r>
      <w:r>
        <w:rPr>
          <w:rFonts w:cs="Times New Roman"/>
          <w:color w:val="000000"/>
          <w:lang w:val="en-US"/>
        </w:rPr>
        <w:t>ty, because throughout the world l</w:t>
      </w:r>
      <w:r w:rsidRPr="00CB4959">
        <w:rPr>
          <w:rFonts w:cs="Times New Roman"/>
          <w:color w:val="000000"/>
          <w:lang w:val="en-US"/>
        </w:rPr>
        <w:t xml:space="preserve">ibraries are one of the primary sources of </w:t>
      </w:r>
      <w:r>
        <w:rPr>
          <w:rFonts w:cs="Times New Roman"/>
          <w:color w:val="000000"/>
          <w:lang w:val="en-US"/>
        </w:rPr>
        <w:t>b</w:t>
      </w:r>
      <w:r w:rsidRPr="00CB4959">
        <w:rPr>
          <w:rFonts w:cs="Times New Roman"/>
          <w:color w:val="000000"/>
          <w:lang w:val="en-US"/>
        </w:rPr>
        <w:t>raille, audio, large print and digital format materials for blind an</w:t>
      </w:r>
      <w:r>
        <w:rPr>
          <w:rFonts w:cs="Times New Roman"/>
          <w:color w:val="000000"/>
          <w:lang w:val="en-US"/>
        </w:rPr>
        <w:t xml:space="preserve">d visually impaired persons. Additionally, under the Treaty, </w:t>
      </w:r>
      <w:r w:rsidRPr="00CB4959">
        <w:rPr>
          <w:rFonts w:cs="Times New Roman"/>
          <w:color w:val="000000"/>
          <w:lang w:val="en-US"/>
        </w:rPr>
        <w:t xml:space="preserve">blind people’s organizations, libraries and other ‘authorized entities’ can </w:t>
      </w:r>
      <w:r>
        <w:rPr>
          <w:rFonts w:cs="Times New Roman"/>
          <w:color w:val="000000"/>
          <w:lang w:val="en-US"/>
        </w:rPr>
        <w:t xml:space="preserve">legally </w:t>
      </w:r>
      <w:r w:rsidRPr="00CB4959">
        <w:rPr>
          <w:rFonts w:cs="Times New Roman"/>
          <w:color w:val="000000"/>
          <w:lang w:val="en-US"/>
        </w:rPr>
        <w:t>send accessible format copies to other countries.</w:t>
      </w:r>
      <w:r>
        <w:rPr>
          <w:rFonts w:cs="Times New Roman"/>
          <w:color w:val="000000"/>
          <w:lang w:val="en-US"/>
        </w:rPr>
        <w:t xml:space="preserve"> </w:t>
      </w:r>
      <w:r>
        <w:rPr>
          <w:rFonts w:cs="Times New Roman"/>
          <w:color w:val="000000"/>
          <w:lang w:val="en-US"/>
        </w:rPr>
        <w:br/>
      </w:r>
    </w:p>
    <w:p w14:paraId="57F93619" w14:textId="26B105B3" w:rsidR="00E853A0" w:rsidRDefault="00E853A0">
      <w:pPr>
        <w:rPr>
          <w:lang w:val="en-US"/>
        </w:rPr>
      </w:pPr>
      <w:r>
        <w:t>One significant aspect of the Marrakesh Treaty is that it includes not only blind and visually-impaired persons, but it also covers persons with other print disabilities</w:t>
      </w:r>
      <w:r>
        <w:rPr>
          <w:lang w:val="en-US"/>
        </w:rPr>
        <w:t xml:space="preserve">, who are expected to increase in number because of the changing </w:t>
      </w:r>
      <w:r w:rsidR="000356B0">
        <w:rPr>
          <w:lang w:val="en-US"/>
        </w:rPr>
        <w:t xml:space="preserve">demographic </w:t>
      </w:r>
      <w:r>
        <w:rPr>
          <w:lang w:val="en-US"/>
        </w:rPr>
        <w:t>and disease patterns as noted above.</w:t>
      </w:r>
    </w:p>
    <w:p w14:paraId="29CA6ED1" w14:textId="77676F55" w:rsidR="00E853A0" w:rsidRDefault="00FF4788" w:rsidP="00317D07">
      <w:r>
        <w:t>Ratifying</w:t>
      </w:r>
      <w:r w:rsidR="00AE3993">
        <w:t xml:space="preserve"> </w:t>
      </w:r>
      <w:r w:rsidR="00E853A0">
        <w:t xml:space="preserve">or </w:t>
      </w:r>
      <w:r>
        <w:t>acceding</w:t>
      </w:r>
      <w:r w:rsidR="00E853A0">
        <w:t xml:space="preserve"> to the Marrakesh Treaty would require certain changes in national copyright law, in order to comply with the Treaty’s requirements. According to a review of copyright laws of six countries in Asia and the Pacific</w:t>
      </w:r>
      <w:r w:rsidR="001E3C66">
        <w:t xml:space="preserve"> </w:t>
      </w:r>
      <w:r w:rsidR="009A4663">
        <w:t xml:space="preserve">(Cambodia, China, Fiji, Indonesia, Nepal and Viet Nam) </w:t>
      </w:r>
      <w:r w:rsidR="001E3C66">
        <w:t xml:space="preserve">conducted by </w:t>
      </w:r>
      <w:r w:rsidR="00647EE3">
        <w:t>the Unit</w:t>
      </w:r>
      <w:r w:rsidR="000356B0">
        <w:t>e</w:t>
      </w:r>
      <w:r w:rsidR="00647EE3">
        <w:t>d Nations Development Programme (</w:t>
      </w:r>
      <w:r w:rsidR="001E3C66">
        <w:t>UNDP</w:t>
      </w:r>
      <w:r w:rsidR="00647EE3">
        <w:t>)</w:t>
      </w:r>
      <w:r w:rsidR="000356B0">
        <w:t xml:space="preserve"> and the World Blind Union</w:t>
      </w:r>
      <w:r w:rsidR="00581949">
        <w:t xml:space="preserve"> - Asia </w:t>
      </w:r>
      <w:r w:rsidR="000356B0">
        <w:t>Pacific (WBUAP)</w:t>
      </w:r>
      <w:r w:rsidR="001E3C66">
        <w:t xml:space="preserve"> in 2015</w:t>
      </w:r>
      <w:r w:rsidR="00E853A0">
        <w:t>,</w:t>
      </w:r>
      <w:r w:rsidR="00E853A0">
        <w:rPr>
          <w:rStyle w:val="FootnoteReference"/>
        </w:rPr>
        <w:footnoteReference w:id="16"/>
      </w:r>
      <w:r w:rsidR="00E853A0">
        <w:t xml:space="preserve"> compliance with the Marrakesh Treaty </w:t>
      </w:r>
      <w:r w:rsidR="001E3C66">
        <w:t xml:space="preserve">may </w:t>
      </w:r>
      <w:r w:rsidR="00E853A0">
        <w:t>not require extensive legal amendments, at least in the countries</w:t>
      </w:r>
      <w:r w:rsidR="001E3C66">
        <w:t xml:space="preserve"> included in the study</w:t>
      </w:r>
      <w:r w:rsidR="00E853A0">
        <w:t xml:space="preserve">, and possibly in many other countries. </w:t>
      </w:r>
    </w:p>
    <w:p w14:paraId="5653583F" w14:textId="77777777" w:rsidR="00E36D96" w:rsidRDefault="00E853A0" w:rsidP="005C3CAD">
      <w:r>
        <w:t xml:space="preserve">The Marrakesh Treaty contains optional provisions such as the commercial availability requirement and the remuneration requirement. </w:t>
      </w:r>
      <w:r w:rsidR="005C3CAD">
        <w:t xml:space="preserve">The commercial availability option prohibits the creation of accessible format copies if an accessible work is available on the market. </w:t>
      </w:r>
    </w:p>
    <w:p w14:paraId="49D67BD8" w14:textId="19586BDC" w:rsidR="001E56A5" w:rsidRDefault="005C3CAD" w:rsidP="005C3CAD">
      <w:r>
        <w:t xml:space="preserve">The remuneration option requires the payment for creating, distributing or making available of accessible format copies, which </w:t>
      </w:r>
      <w:r w:rsidR="00AC0819">
        <w:t xml:space="preserve">essentially </w:t>
      </w:r>
      <w:r w:rsidR="00FB640C">
        <w:t xml:space="preserve">means </w:t>
      </w:r>
      <w:r>
        <w:t xml:space="preserve">a double payment for use of the </w:t>
      </w:r>
      <w:r w:rsidR="00E36D96">
        <w:t>wo</w:t>
      </w:r>
      <w:r w:rsidR="004C7903">
        <w:t>rk – a tax on the right to read</w:t>
      </w:r>
      <w:r>
        <w:t>. This is because the work has already been purchased or otherwise lawfully acquired, the accessible format copy is made for the sole purpose of providing equal access to the work, and the activity is undertaken on a non-profit basis.</w:t>
      </w:r>
      <w:r w:rsidR="003A373C">
        <w:rPr>
          <w:rStyle w:val="FootnoteReference"/>
        </w:rPr>
        <w:footnoteReference w:id="17"/>
      </w:r>
      <w:r>
        <w:t xml:space="preserve"> </w:t>
      </w:r>
    </w:p>
    <w:p w14:paraId="660AB3BF" w14:textId="4459EDC0" w:rsidR="00E853A0" w:rsidRDefault="00E853A0" w:rsidP="005C3CAD">
      <w:r>
        <w:t>The World Blind Union recommends that countries avoid adopting these optional provisions as they are in conflict with the overarching objectives of the Treaty.</w:t>
      </w:r>
      <w:r>
        <w:rPr>
          <w:rStyle w:val="FootnoteReference"/>
        </w:rPr>
        <w:footnoteReference w:id="18"/>
      </w:r>
    </w:p>
    <w:p w14:paraId="73B4B162" w14:textId="77777777" w:rsidR="00E853A0" w:rsidRDefault="00E853A0">
      <w:pPr>
        <w:rPr>
          <w:b/>
        </w:rPr>
      </w:pPr>
    </w:p>
    <w:p w14:paraId="5942D6C5" w14:textId="2C00F208" w:rsidR="00E853A0" w:rsidRPr="00D66C48" w:rsidRDefault="00E853A0" w:rsidP="00AF71A7">
      <w:pPr>
        <w:pStyle w:val="Heading3"/>
        <w:rPr>
          <w:rFonts w:eastAsia="Times New Roman" w:cs="Times New Roman"/>
        </w:rPr>
      </w:pPr>
      <w:r>
        <w:t>Advancing</w:t>
      </w:r>
      <w:r w:rsidRPr="00D66C48">
        <w:t xml:space="preserve"> the </w:t>
      </w:r>
      <w:r w:rsidR="008551C6">
        <w:t xml:space="preserve">implementation of the </w:t>
      </w:r>
      <w:r w:rsidRPr="00D66C48">
        <w:t xml:space="preserve">UNCRPD, SDGs, and </w:t>
      </w:r>
      <w:r>
        <w:t xml:space="preserve">the </w:t>
      </w:r>
      <w:r w:rsidR="008551C6">
        <w:t>Incheon Strategy</w:t>
      </w:r>
    </w:p>
    <w:p w14:paraId="721DAEC6" w14:textId="0CA404B9" w:rsidR="00E853A0" w:rsidRPr="00930D77" w:rsidRDefault="00E853A0">
      <w:pPr>
        <w:rPr>
          <w:rFonts w:eastAsia="Times New Roman" w:cs="Times New Roman"/>
        </w:rPr>
      </w:pPr>
      <w:r w:rsidRPr="00F726C2">
        <w:rPr>
          <w:rFonts w:eastAsia="Times New Roman" w:cs="Times New Roman"/>
        </w:rPr>
        <w:t>The Marrakesh Treaty is the first copyright treaty with human rights principles at it</w:t>
      </w:r>
      <w:r>
        <w:rPr>
          <w:rFonts w:eastAsia="Times New Roman" w:cs="Times New Roman"/>
        </w:rPr>
        <w:t>s core, with specific reference</w:t>
      </w:r>
      <w:r w:rsidRPr="00F726C2">
        <w:rPr>
          <w:rFonts w:eastAsia="Times New Roman" w:cs="Times New Roman"/>
        </w:rPr>
        <w:t xml:space="preserve"> to the Universal Declarati</w:t>
      </w:r>
      <w:r>
        <w:rPr>
          <w:rFonts w:eastAsia="Times New Roman" w:cs="Times New Roman"/>
        </w:rPr>
        <w:t>on of Human Rights and the UNCRPD.</w:t>
      </w:r>
    </w:p>
    <w:p w14:paraId="4F26C54A" w14:textId="3349F0B9" w:rsidR="00E853A0" w:rsidRDefault="00E853A0">
      <w:r>
        <w:t>The widespread lack of access to published works in accessible formats</w:t>
      </w:r>
      <w:r w:rsidRPr="00CF1199">
        <w:t xml:space="preserve"> goes against the spirit of and the obl</w:t>
      </w:r>
      <w:r>
        <w:t>igations arising from the UNCRPD. The Marrakesh Treaty will therefore help countries directly address specific UNCRPD obligations</w:t>
      </w:r>
      <w:r w:rsidR="000768F7">
        <w:t>,</w:t>
      </w:r>
      <w:r>
        <w:t xml:space="preserve"> such as provisions relating to:</w:t>
      </w:r>
    </w:p>
    <w:p w14:paraId="4256511E" w14:textId="4789BBEB" w:rsidR="00E853A0" w:rsidRPr="002F53AF" w:rsidRDefault="00E853A0" w:rsidP="00F678A9">
      <w:pPr>
        <w:pStyle w:val="ListParagraph"/>
        <w:numPr>
          <w:ilvl w:val="0"/>
          <w:numId w:val="4"/>
        </w:numPr>
      </w:pPr>
      <w:r>
        <w:t>access to informatio</w:t>
      </w:r>
      <w:r w:rsidRPr="00177311">
        <w:t>n</w:t>
      </w:r>
      <w:r w:rsidRPr="002F53AF">
        <w:t xml:space="preserve"> (</w:t>
      </w:r>
      <w:r w:rsidRPr="00C75D08">
        <w:t>Article 9</w:t>
      </w:r>
      <w:r w:rsidRPr="00177311">
        <w:t xml:space="preserve">); </w:t>
      </w:r>
    </w:p>
    <w:p w14:paraId="42916FE7" w14:textId="77777777" w:rsidR="00E853A0" w:rsidRPr="002F53AF" w:rsidRDefault="00E853A0" w:rsidP="00F678A9">
      <w:pPr>
        <w:pStyle w:val="ListParagraph"/>
        <w:numPr>
          <w:ilvl w:val="0"/>
          <w:numId w:val="4"/>
        </w:numPr>
      </w:pPr>
      <w:r w:rsidRPr="002F53AF">
        <w:t>freedom of expression (</w:t>
      </w:r>
      <w:r w:rsidRPr="00C75D08">
        <w:t>Article 21</w:t>
      </w:r>
      <w:r w:rsidRPr="00177311">
        <w:t xml:space="preserve">); </w:t>
      </w:r>
    </w:p>
    <w:p w14:paraId="7832E8CE" w14:textId="77777777" w:rsidR="00E853A0" w:rsidRPr="002F53AF" w:rsidRDefault="00E853A0" w:rsidP="00F678A9">
      <w:pPr>
        <w:pStyle w:val="ListParagraph"/>
        <w:numPr>
          <w:ilvl w:val="0"/>
          <w:numId w:val="4"/>
        </w:numPr>
      </w:pPr>
      <w:r w:rsidRPr="002F53AF">
        <w:t>the right to education (</w:t>
      </w:r>
      <w:r w:rsidRPr="00C75D08">
        <w:t>Article 24</w:t>
      </w:r>
      <w:r w:rsidRPr="00177311">
        <w:t xml:space="preserve">); </w:t>
      </w:r>
    </w:p>
    <w:p w14:paraId="04B88193" w14:textId="77777777" w:rsidR="00E853A0" w:rsidRPr="002F53AF" w:rsidRDefault="00E853A0" w:rsidP="00F678A9">
      <w:pPr>
        <w:pStyle w:val="ListParagraph"/>
        <w:numPr>
          <w:ilvl w:val="0"/>
          <w:numId w:val="4"/>
        </w:numPr>
      </w:pPr>
      <w:r w:rsidRPr="002F53AF">
        <w:t>the right to participate in cultural life (</w:t>
      </w:r>
      <w:r w:rsidRPr="00C75D08">
        <w:t>Article 30.1.a</w:t>
      </w:r>
      <w:r w:rsidRPr="00177311">
        <w:t xml:space="preserve">); </w:t>
      </w:r>
      <w:r w:rsidRPr="002F53AF">
        <w:t>and</w:t>
      </w:r>
    </w:p>
    <w:p w14:paraId="052267D7" w14:textId="4172FBAB" w:rsidR="00E853A0" w:rsidRPr="002F53AF" w:rsidRDefault="00E853A0" w:rsidP="00FF2469">
      <w:pPr>
        <w:pStyle w:val="ListParagraph"/>
        <w:numPr>
          <w:ilvl w:val="0"/>
          <w:numId w:val="4"/>
        </w:numPr>
        <w:rPr>
          <w:lang w:val="en-US"/>
        </w:rPr>
      </w:pPr>
      <w:r w:rsidRPr="00647EE3">
        <w:t>ensuring “that laws protecting intellectual property rights do not constitute an unreasonable or discriminatory barrier to access.” (</w:t>
      </w:r>
      <w:r w:rsidRPr="00C75D08">
        <w:t>Article 30.3</w:t>
      </w:r>
      <w:r w:rsidRPr="00177311">
        <w:t>)</w:t>
      </w:r>
      <w:r w:rsidRPr="002F53AF">
        <w:rPr>
          <w:rStyle w:val="FootnoteReference"/>
        </w:rPr>
        <w:footnoteReference w:id="19"/>
      </w:r>
      <w:r w:rsidRPr="002F53AF">
        <w:rPr>
          <w:vertAlign w:val="superscript"/>
        </w:rPr>
        <w:t>,</w:t>
      </w:r>
      <w:r w:rsidRPr="002F53AF">
        <w:rPr>
          <w:rStyle w:val="FootnoteReference"/>
        </w:rPr>
        <w:footnoteReference w:id="20"/>
      </w:r>
    </w:p>
    <w:p w14:paraId="395AE2FF" w14:textId="317F730C" w:rsidR="00E853A0" w:rsidRDefault="00E853A0" w:rsidP="00FF2469">
      <w:r>
        <w:t>Furthermore, the Marrakesh Treaty will make significant contributions to progress toward several of the</w:t>
      </w:r>
      <w:r w:rsidR="000768F7">
        <w:t xml:space="preserve"> </w:t>
      </w:r>
      <w:r>
        <w:t>SDGs such as:</w:t>
      </w:r>
    </w:p>
    <w:p w14:paraId="4E27D42D" w14:textId="42699189" w:rsidR="00E853A0" w:rsidRPr="00BD4D59" w:rsidRDefault="00E853A0" w:rsidP="00852C01">
      <w:pPr>
        <w:pStyle w:val="ListParagraph"/>
        <w:numPr>
          <w:ilvl w:val="0"/>
          <w:numId w:val="5"/>
        </w:numPr>
        <w:rPr>
          <w:bCs/>
        </w:rPr>
      </w:pPr>
      <w:r w:rsidRPr="00C75D08">
        <w:rPr>
          <w:bCs/>
        </w:rPr>
        <w:t>SDG 1 (ending poverty)</w:t>
      </w:r>
    </w:p>
    <w:p w14:paraId="1DBE58C9" w14:textId="5E990FAD" w:rsidR="00E853A0" w:rsidRPr="00BD4D59" w:rsidRDefault="00E853A0" w:rsidP="00852C01">
      <w:pPr>
        <w:pStyle w:val="ListParagraph"/>
        <w:numPr>
          <w:ilvl w:val="0"/>
          <w:numId w:val="5"/>
        </w:numPr>
        <w:rPr>
          <w:bCs/>
        </w:rPr>
      </w:pPr>
      <w:r w:rsidRPr="00C75D08">
        <w:rPr>
          <w:bCs/>
        </w:rPr>
        <w:t>SDG 3 (healthy lives and well-being for all)</w:t>
      </w:r>
    </w:p>
    <w:p w14:paraId="63531226" w14:textId="4AA35AA8" w:rsidR="00E853A0" w:rsidRPr="00BD4D59" w:rsidRDefault="00E853A0" w:rsidP="00852C01">
      <w:pPr>
        <w:pStyle w:val="ListParagraph"/>
        <w:numPr>
          <w:ilvl w:val="0"/>
          <w:numId w:val="5"/>
        </w:numPr>
        <w:rPr>
          <w:bCs/>
        </w:rPr>
      </w:pPr>
      <w:r w:rsidRPr="00C75D08">
        <w:rPr>
          <w:bCs/>
        </w:rPr>
        <w:t>SDG 4 (inclusive and equitable education)</w:t>
      </w:r>
    </w:p>
    <w:p w14:paraId="04EC24EF" w14:textId="6C4816F8" w:rsidR="00E853A0" w:rsidRPr="00BD4D59" w:rsidRDefault="00E853A0" w:rsidP="00852C01">
      <w:pPr>
        <w:pStyle w:val="ListParagraph"/>
        <w:numPr>
          <w:ilvl w:val="0"/>
          <w:numId w:val="5"/>
        </w:numPr>
        <w:rPr>
          <w:bCs/>
        </w:rPr>
      </w:pPr>
      <w:r w:rsidRPr="00C75D08">
        <w:rPr>
          <w:bCs/>
        </w:rPr>
        <w:t xml:space="preserve">SDG 8 (inclusive economic growth and productive employment for all) </w:t>
      </w:r>
    </w:p>
    <w:p w14:paraId="4B05A512" w14:textId="33B158B1" w:rsidR="00E853A0" w:rsidRPr="00BD4D59" w:rsidRDefault="00E853A0" w:rsidP="00852C01">
      <w:pPr>
        <w:pStyle w:val="ListParagraph"/>
        <w:numPr>
          <w:ilvl w:val="0"/>
          <w:numId w:val="5"/>
        </w:numPr>
        <w:rPr>
          <w:bCs/>
        </w:rPr>
      </w:pPr>
      <w:r w:rsidRPr="00C75D08">
        <w:rPr>
          <w:bCs/>
        </w:rPr>
        <w:t>SDG 10 (reducing inequalities within and between countries)</w:t>
      </w:r>
    </w:p>
    <w:p w14:paraId="3D25F1BC" w14:textId="3E61E581" w:rsidR="00E853A0" w:rsidRPr="00BD4D59" w:rsidRDefault="00E853A0" w:rsidP="00852C01">
      <w:pPr>
        <w:pStyle w:val="ListParagraph"/>
        <w:numPr>
          <w:ilvl w:val="0"/>
          <w:numId w:val="5"/>
        </w:numPr>
        <w:rPr>
          <w:bCs/>
        </w:rPr>
      </w:pPr>
      <w:r w:rsidRPr="00C75D08">
        <w:rPr>
          <w:bCs/>
        </w:rPr>
        <w:t>SDG 16 (inclusive societies)</w:t>
      </w:r>
    </w:p>
    <w:p w14:paraId="4B8225D0" w14:textId="7BBD0BEA" w:rsidR="00E853A0" w:rsidRDefault="00E853A0" w:rsidP="00852C01">
      <w:pPr>
        <w:pStyle w:val="ListParagraph"/>
        <w:numPr>
          <w:ilvl w:val="0"/>
          <w:numId w:val="5"/>
        </w:numPr>
      </w:pPr>
      <w:r w:rsidRPr="00C75D08">
        <w:rPr>
          <w:bCs/>
        </w:rPr>
        <w:t>SDG 17 (global</w:t>
      </w:r>
      <w:r>
        <w:t xml:space="preserve"> partnership for sustainable development)</w:t>
      </w:r>
    </w:p>
    <w:p w14:paraId="3C6DD9CB" w14:textId="04298CA6" w:rsidR="00E853A0" w:rsidRPr="009612D7" w:rsidRDefault="00E853A0" w:rsidP="005F1025">
      <w:r>
        <w:t>The Marrakesh Treaty will also help advance</w:t>
      </w:r>
      <w:r w:rsidRPr="00852C01">
        <w:t xml:space="preserve"> </w:t>
      </w:r>
      <w:r>
        <w:t xml:space="preserve">the implementation of the </w:t>
      </w:r>
      <w:r w:rsidRPr="00765763">
        <w:t>Incheon Strategy</w:t>
      </w:r>
      <w:r w:rsidR="0043744E" w:rsidRPr="00765763">
        <w:t xml:space="preserve"> </w:t>
      </w:r>
      <w:r w:rsidRPr="00765763">
        <w:t>to “Make the Right Real” for Persons with Disabilities in Asia and the Pacific</w:t>
      </w:r>
      <w:r>
        <w:t>,</w:t>
      </w:r>
      <w:r>
        <w:rPr>
          <w:rStyle w:val="FootnoteReference"/>
        </w:rPr>
        <w:footnoteReference w:id="21"/>
      </w:r>
      <w:r>
        <w:t xml:space="preserve"> </w:t>
      </w:r>
      <w:r w:rsidR="00D6395B">
        <w:t xml:space="preserve">a </w:t>
      </w:r>
      <w:r w:rsidR="00D6395B" w:rsidRPr="0043744E">
        <w:t>set of regionally agreed disability-inclusive development goals</w:t>
      </w:r>
      <w:r w:rsidR="00D6395B">
        <w:t>,</w:t>
      </w:r>
      <w:r w:rsidR="00D6395B" w:rsidRPr="00765763">
        <w:t xml:space="preserve"> </w:t>
      </w:r>
      <w:r>
        <w:t xml:space="preserve">particularly its </w:t>
      </w:r>
      <w:r w:rsidRPr="00765763">
        <w:t>Goal 3 (</w:t>
      </w:r>
      <w:r w:rsidRPr="00C75D08">
        <w:rPr>
          <w:iCs/>
        </w:rPr>
        <w:t>Enhance access to the physical environment, public transportation, knowledge, information and communication</w:t>
      </w:r>
      <w:r w:rsidRPr="00765763">
        <w:t>) and Goal 5 (</w:t>
      </w:r>
      <w:r w:rsidRPr="00C75D08">
        <w:rPr>
          <w:iCs/>
        </w:rPr>
        <w:t>Expand early intervention and education of children with disabilities</w:t>
      </w:r>
      <w:r w:rsidRPr="00765763">
        <w:t>).</w:t>
      </w:r>
    </w:p>
    <w:p w14:paraId="54FB4526" w14:textId="77777777" w:rsidR="00E853A0" w:rsidRDefault="00E853A0" w:rsidP="00CA1165">
      <w:pPr>
        <w:rPr>
          <w:b/>
        </w:rPr>
      </w:pPr>
    </w:p>
    <w:p w14:paraId="0F42B13B" w14:textId="77777777" w:rsidR="00E853A0" w:rsidRDefault="00E853A0" w:rsidP="00AF71A7">
      <w:pPr>
        <w:pStyle w:val="Heading3"/>
      </w:pPr>
      <w:r>
        <w:t>Ways Forward</w:t>
      </w:r>
    </w:p>
    <w:p w14:paraId="3E561FB7" w14:textId="54733ECB" w:rsidR="00D709A5" w:rsidRPr="00511A9F" w:rsidRDefault="002F53AF" w:rsidP="00CA1165">
      <w:r>
        <w:t>According to the preamble of the UNCRPD, d</w:t>
      </w:r>
      <w:r w:rsidR="00E853A0">
        <w:t>isability is the result of “interaction between persons with impairments and attitudinal and environmental barriers that hinders their full and effective participation on an equal basis with others,”</w:t>
      </w:r>
      <w:r w:rsidR="00E853A0">
        <w:rPr>
          <w:rStyle w:val="FootnoteReference"/>
        </w:rPr>
        <w:footnoteReference w:id="22"/>
      </w:r>
      <w:r w:rsidR="00E853A0">
        <w:t xml:space="preserve"> </w:t>
      </w:r>
      <w:r w:rsidR="00D709A5">
        <w:t xml:space="preserve">rather than an exclusive result of the impairment. </w:t>
      </w:r>
    </w:p>
    <w:p w14:paraId="58CF654F" w14:textId="7B5B2A8A" w:rsidR="00130570" w:rsidRDefault="002F3F4E" w:rsidP="00CA1165">
      <w:r>
        <w:t xml:space="preserve">Ratifying </w:t>
      </w:r>
      <w:r w:rsidR="009D655B">
        <w:t>and implementing t</w:t>
      </w:r>
      <w:r w:rsidR="006F739F">
        <w:t>he</w:t>
      </w:r>
      <w:r w:rsidR="00666ADE">
        <w:t xml:space="preserve"> Marrakesh Treaty </w:t>
      </w:r>
      <w:r w:rsidR="006F739F">
        <w:t xml:space="preserve">can </w:t>
      </w:r>
      <w:r w:rsidR="00EB7014">
        <w:t xml:space="preserve">significantly reduce such barriers and </w:t>
      </w:r>
      <w:r w:rsidR="006F739F">
        <w:t>provide an additional legal</w:t>
      </w:r>
      <w:r w:rsidR="00A66CE6">
        <w:t xml:space="preserve"> and accountability</w:t>
      </w:r>
      <w:r w:rsidR="006F739F">
        <w:t xml:space="preserve"> </w:t>
      </w:r>
      <w:r w:rsidR="000943FF">
        <w:t>framework</w:t>
      </w:r>
      <w:r w:rsidR="006F739F">
        <w:t xml:space="preserve"> to </w:t>
      </w:r>
      <w:r w:rsidR="009E7638">
        <w:t xml:space="preserve">advocate, </w:t>
      </w:r>
      <w:r w:rsidR="006F739F">
        <w:t xml:space="preserve">protect and </w:t>
      </w:r>
      <w:r w:rsidR="00255320">
        <w:t>advance</w:t>
      </w:r>
      <w:r w:rsidR="006F739F">
        <w:t xml:space="preserve"> the rights of persons with disabilities. </w:t>
      </w:r>
      <w:r w:rsidR="005E6050">
        <w:t xml:space="preserve">It will create opportunities to </w:t>
      </w:r>
      <w:r w:rsidR="00CF290D">
        <w:t>strengthen multis</w:t>
      </w:r>
      <w:r w:rsidR="00376AA1">
        <w:t xml:space="preserve">ectoral disability responses </w:t>
      </w:r>
      <w:r w:rsidR="00EB7014">
        <w:t xml:space="preserve">and policy coherence </w:t>
      </w:r>
      <w:r w:rsidR="00376AA1">
        <w:t xml:space="preserve">at </w:t>
      </w:r>
      <w:r w:rsidR="0002249B">
        <w:t xml:space="preserve">the </w:t>
      </w:r>
      <w:r w:rsidR="00376AA1">
        <w:t xml:space="preserve">country level </w:t>
      </w:r>
      <w:r w:rsidR="00CF290D">
        <w:t>with</w:t>
      </w:r>
      <w:r w:rsidR="005E6050">
        <w:t xml:space="preserve"> new partners </w:t>
      </w:r>
      <w:r w:rsidR="00EF6857">
        <w:t>such as</w:t>
      </w:r>
      <w:r w:rsidR="00B346EA">
        <w:t xml:space="preserve"> </w:t>
      </w:r>
      <w:r w:rsidR="005E6050">
        <w:t>Ministr</w:t>
      </w:r>
      <w:r w:rsidR="0043744E">
        <w:t>ies</w:t>
      </w:r>
      <w:r w:rsidR="005E6050">
        <w:t xml:space="preserve"> of Commerce</w:t>
      </w:r>
      <w:r w:rsidR="00376AA1">
        <w:t>, inte</w:t>
      </w:r>
      <w:r w:rsidR="00EB2283">
        <w:t>llectual property rights office</w:t>
      </w:r>
      <w:r w:rsidR="0043744E">
        <w:t>s</w:t>
      </w:r>
      <w:r w:rsidR="00376AA1">
        <w:t xml:space="preserve"> </w:t>
      </w:r>
      <w:r w:rsidR="00155F10">
        <w:t>and libraries</w:t>
      </w:r>
      <w:r w:rsidR="00B346EA">
        <w:t>, for example</w:t>
      </w:r>
      <w:r w:rsidR="00054B2C">
        <w:t>.</w:t>
      </w:r>
      <w:r w:rsidR="00D90F66">
        <w:t xml:space="preserve"> It </w:t>
      </w:r>
      <w:r w:rsidR="00376AA1">
        <w:t>can</w:t>
      </w:r>
      <w:r w:rsidR="00D90F66">
        <w:t xml:space="preserve"> also </w:t>
      </w:r>
      <w:r w:rsidR="00CF290D">
        <w:t xml:space="preserve">open the door for </w:t>
      </w:r>
      <w:r w:rsidR="005F1F79">
        <w:t>government</w:t>
      </w:r>
      <w:r w:rsidR="00376AA1">
        <w:t xml:space="preserve"> and civil society partners</w:t>
      </w:r>
      <w:r w:rsidR="00CF290D">
        <w:t xml:space="preserve"> to</w:t>
      </w:r>
      <w:r w:rsidR="004B1F5D">
        <w:t xml:space="preserve"> benefit from </w:t>
      </w:r>
      <w:r w:rsidR="00EB7014">
        <w:t xml:space="preserve">new </w:t>
      </w:r>
      <w:r w:rsidR="00CF290D">
        <w:t>funding</w:t>
      </w:r>
      <w:r w:rsidR="00ED490B">
        <w:t>, programming,</w:t>
      </w:r>
      <w:r w:rsidR="00CF290D">
        <w:t xml:space="preserve"> and collaboration</w:t>
      </w:r>
      <w:r>
        <w:t xml:space="preserve"> </w:t>
      </w:r>
      <w:r w:rsidR="00EB7014">
        <w:t>opportunities</w:t>
      </w:r>
      <w:r w:rsidR="00D90F66">
        <w:t xml:space="preserve">. </w:t>
      </w:r>
    </w:p>
    <w:p w14:paraId="431514CA" w14:textId="14B1ABFE" w:rsidR="00E5295B" w:rsidRDefault="00023BC4" w:rsidP="00CA1165">
      <w:r>
        <w:rPr>
          <w:rFonts w:hint="eastAsia"/>
        </w:rPr>
        <w:t>A</w:t>
      </w:r>
      <w:r>
        <w:t>bove all, t</w:t>
      </w:r>
      <w:r w:rsidRPr="00023BC4">
        <w:t xml:space="preserve">he Marrakesh Treaty can shed light on the challenges </w:t>
      </w:r>
      <w:r w:rsidR="00A823D0">
        <w:t>of</w:t>
      </w:r>
      <w:r w:rsidRPr="00023BC4">
        <w:t xml:space="preserve"> blind, visually-impaired and other print disabled </w:t>
      </w:r>
      <w:r w:rsidR="008E25A8">
        <w:t>persons</w:t>
      </w:r>
      <w:r w:rsidRPr="00023BC4">
        <w:t xml:space="preserve">, which are often invisible, </w:t>
      </w:r>
      <w:r w:rsidR="00105BAF">
        <w:t>misunderstood</w:t>
      </w:r>
      <w:r w:rsidRPr="00023BC4">
        <w:t xml:space="preserve">, and </w:t>
      </w:r>
      <w:r w:rsidR="00934A7F">
        <w:t>un</w:t>
      </w:r>
      <w:r w:rsidR="00D1401B">
        <w:t>der-</w:t>
      </w:r>
      <w:r w:rsidR="00934A7F">
        <w:t>addressed</w:t>
      </w:r>
      <w:r w:rsidRPr="00023BC4">
        <w:t>.</w:t>
      </w:r>
    </w:p>
    <w:p w14:paraId="121619E7" w14:textId="31D1ECE3" w:rsidR="00930D77" w:rsidRDefault="00005A4F" w:rsidP="00CA1165">
      <w:r>
        <w:t>UNDP,</w:t>
      </w:r>
      <w:r w:rsidR="000356B0">
        <w:t xml:space="preserve"> </w:t>
      </w:r>
      <w:r>
        <w:t>WBUAP and the Electronic Information for L</w:t>
      </w:r>
      <w:r w:rsidR="0043797A">
        <w:t>ibraries (EIF</w:t>
      </w:r>
      <w:r>
        <w:t xml:space="preserve">L) provide technical assistance to support countries to take full advantage of the Marrakesh Treaty. The following resources </w:t>
      </w:r>
      <w:r w:rsidR="00E47532">
        <w:t>offer</w:t>
      </w:r>
      <w:r>
        <w:t xml:space="preserve"> useful information about the Marrakesh Treaty:</w:t>
      </w:r>
    </w:p>
    <w:p w14:paraId="4B239DD1" w14:textId="13531C42" w:rsidR="00005A4F" w:rsidRDefault="002C08B2" w:rsidP="00005A4F">
      <w:pPr>
        <w:pStyle w:val="ListParagraph"/>
        <w:numPr>
          <w:ilvl w:val="0"/>
          <w:numId w:val="6"/>
        </w:numPr>
      </w:pPr>
      <w:r w:rsidRPr="00E52729">
        <w:t>UNDP</w:t>
      </w:r>
      <w:r w:rsidR="00647EE3">
        <w:t>,</w:t>
      </w:r>
      <w:r w:rsidRPr="00E52729">
        <w:t xml:space="preserve"> WBUAP</w:t>
      </w:r>
      <w:r w:rsidR="00647EE3">
        <w:t xml:space="preserve"> (2015).</w:t>
      </w:r>
      <w:r>
        <w:t xml:space="preserve"> </w:t>
      </w:r>
      <w:r w:rsidR="00005A4F" w:rsidRPr="00E56E37">
        <w:rPr>
          <w:i/>
        </w:rPr>
        <w:t>Our right to knowledge: Legal reviews for the ratification of the Marrakesh Treaty for persons with print disabilities in Asia and the Pacific</w:t>
      </w:r>
      <w:r w:rsidR="00647EE3">
        <w:rPr>
          <w:i/>
        </w:rPr>
        <w:t>.</w:t>
      </w:r>
      <w:r>
        <w:rPr>
          <w:i/>
        </w:rPr>
        <w:t xml:space="preserve"> </w:t>
      </w:r>
      <w:r w:rsidR="00647EE3">
        <w:t>A</w:t>
      </w:r>
      <w:r w:rsidR="00005A4F">
        <w:t xml:space="preserve">vailable </w:t>
      </w:r>
      <w:r w:rsidR="00C75D08">
        <w:t xml:space="preserve">at </w:t>
      </w:r>
      <w:hyperlink r:id="rId8" w:history="1">
        <w:r w:rsidR="00005A4F" w:rsidRPr="00802EDD">
          <w:rPr>
            <w:rStyle w:val="Hyperlink"/>
          </w:rPr>
          <w:t>http://www.asia-pacific.undp.org/content/rbap/en/home/library/democratic_governance/hiv_aids/our-right-to-knowledge--legal-reviews-for-the-ratification-of-th.html</w:t>
        </w:r>
      </w:hyperlink>
      <w:r w:rsidR="00FA5F2B">
        <w:br/>
      </w:r>
    </w:p>
    <w:p w14:paraId="0E73AF40" w14:textId="38201105" w:rsidR="00005A4F" w:rsidRDefault="002C08B2" w:rsidP="00005A4F">
      <w:pPr>
        <w:pStyle w:val="ListParagraph"/>
        <w:numPr>
          <w:ilvl w:val="0"/>
          <w:numId w:val="6"/>
        </w:numPr>
      </w:pPr>
      <w:r w:rsidRPr="00E52729">
        <w:t>EIFL</w:t>
      </w:r>
      <w:r w:rsidR="00647EE3">
        <w:t xml:space="preserve">. </w:t>
      </w:r>
      <w:r w:rsidR="00005A4F" w:rsidRPr="00E56E37">
        <w:rPr>
          <w:i/>
        </w:rPr>
        <w:t>FAQ on the Marrakesh Treaty</w:t>
      </w:r>
      <w:r w:rsidR="00647EE3">
        <w:t>. A</w:t>
      </w:r>
      <w:r w:rsidR="00005A4F">
        <w:t xml:space="preserve">vailable at </w:t>
      </w:r>
      <w:hyperlink r:id="rId9" w:history="1">
        <w:r w:rsidR="00005A4F" w:rsidRPr="00802EDD">
          <w:rPr>
            <w:rStyle w:val="Hyperlink"/>
          </w:rPr>
          <w:t>http://www.eifl.net/resources/implementation-marrakesh-treaty-eifl-faqs</w:t>
        </w:r>
      </w:hyperlink>
    </w:p>
    <w:p w14:paraId="10C9F4C2" w14:textId="59729773" w:rsidR="001A3597" w:rsidRDefault="00005A4F" w:rsidP="00005A4F">
      <w:r>
        <w:t xml:space="preserve">This Issue Brief is available </w:t>
      </w:r>
      <w:r w:rsidR="00D31215">
        <w:t xml:space="preserve">in </w:t>
      </w:r>
      <w:r>
        <w:t xml:space="preserve">accessible formats </w:t>
      </w:r>
      <w:r w:rsidR="009B6C40">
        <w:t>including</w:t>
      </w:r>
      <w:r>
        <w:t xml:space="preserve"> electronic braille</w:t>
      </w:r>
      <w:r w:rsidR="008D740D">
        <w:t xml:space="preserve">, </w:t>
      </w:r>
      <w:r w:rsidR="00D779A6">
        <w:t xml:space="preserve">electronic text </w:t>
      </w:r>
      <w:r>
        <w:t>and audio</w:t>
      </w:r>
      <w:r w:rsidRPr="00AC7035">
        <w:t>.</w:t>
      </w:r>
      <w:r>
        <w:t xml:space="preserve"> </w:t>
      </w:r>
    </w:p>
    <w:p w14:paraId="44026D45" w14:textId="2EBF7F62" w:rsidR="00005A4F" w:rsidRDefault="00005A4F" w:rsidP="00005A4F">
      <w:r>
        <w:t xml:space="preserve">For more information, </w:t>
      </w:r>
      <w:r w:rsidR="0064658B">
        <w:t xml:space="preserve">please </w:t>
      </w:r>
      <w:r>
        <w:t>contact</w:t>
      </w:r>
      <w:r w:rsidR="0064658B">
        <w:t>:</w:t>
      </w:r>
    </w:p>
    <w:p w14:paraId="28C974BF" w14:textId="2B8662E1" w:rsidR="0043797A" w:rsidRPr="00BD4D59" w:rsidRDefault="0043797A" w:rsidP="00EB556B">
      <w:pPr>
        <w:pStyle w:val="ListParagraph"/>
        <w:numPr>
          <w:ilvl w:val="0"/>
          <w:numId w:val="7"/>
        </w:numPr>
        <w:rPr>
          <w:bCs/>
        </w:rPr>
      </w:pPr>
      <w:r w:rsidRPr="00C75D08">
        <w:rPr>
          <w:bCs/>
        </w:rPr>
        <w:t>Neil Jarvis, Marrakesh Treaty Regional Coordinator for Asia-Pacific</w:t>
      </w:r>
      <w:r w:rsidR="00EB556B" w:rsidRPr="00BD4D59">
        <w:rPr>
          <w:bCs/>
        </w:rPr>
        <w:t>, WBUAP</w:t>
      </w:r>
      <w:r w:rsidR="00BA644A">
        <w:rPr>
          <w:bCs/>
        </w:rPr>
        <w:t>,</w:t>
      </w:r>
      <w:r w:rsidRPr="00BD4D59">
        <w:rPr>
          <w:bCs/>
        </w:rPr>
        <w:t xml:space="preserve"> </w:t>
      </w:r>
      <w:hyperlink r:id="rId10" w:history="1">
        <w:r w:rsidRPr="00BD4D59">
          <w:rPr>
            <w:rStyle w:val="Hyperlink"/>
            <w:bCs/>
          </w:rPr>
          <w:t>njarvis@blindfoundation.org.nz</w:t>
        </w:r>
      </w:hyperlink>
    </w:p>
    <w:p w14:paraId="4D40A05B" w14:textId="5D8C1A91" w:rsidR="00EB556B" w:rsidRPr="00BD4D59" w:rsidRDefault="0043797A" w:rsidP="00EB556B">
      <w:pPr>
        <w:pStyle w:val="ListParagraph"/>
        <w:numPr>
          <w:ilvl w:val="0"/>
          <w:numId w:val="7"/>
        </w:numPr>
        <w:rPr>
          <w:bCs/>
        </w:rPr>
      </w:pPr>
      <w:r w:rsidRPr="00C75D08">
        <w:rPr>
          <w:bCs/>
        </w:rPr>
        <w:t xml:space="preserve">Teresa Hackett, </w:t>
      </w:r>
      <w:r w:rsidR="00862851" w:rsidRPr="00BD4D59">
        <w:rPr>
          <w:bCs/>
        </w:rPr>
        <w:t xml:space="preserve">Copyright and Libraries </w:t>
      </w:r>
      <w:r w:rsidRPr="00BD4D59">
        <w:rPr>
          <w:bCs/>
        </w:rPr>
        <w:t>Program Manager, EIFL</w:t>
      </w:r>
      <w:r w:rsidR="00BA644A">
        <w:rPr>
          <w:bCs/>
        </w:rPr>
        <w:t>,</w:t>
      </w:r>
      <w:r w:rsidRPr="00BD4D59">
        <w:rPr>
          <w:bCs/>
        </w:rPr>
        <w:t xml:space="preserve"> </w:t>
      </w:r>
      <w:hyperlink r:id="rId11" w:history="1">
        <w:r w:rsidR="00EB556B" w:rsidRPr="00BD4D59">
          <w:rPr>
            <w:rStyle w:val="Hyperlink"/>
            <w:bCs/>
          </w:rPr>
          <w:t>teresa.hackett@eifl.net</w:t>
        </w:r>
      </w:hyperlink>
    </w:p>
    <w:p w14:paraId="3DFABCD0" w14:textId="640B22E5" w:rsidR="0043797A" w:rsidRDefault="00777C64" w:rsidP="00EB556B">
      <w:pPr>
        <w:pStyle w:val="ListParagraph"/>
        <w:numPr>
          <w:ilvl w:val="0"/>
          <w:numId w:val="7"/>
        </w:numPr>
      </w:pPr>
      <w:r w:rsidRPr="00C75D08">
        <w:rPr>
          <w:bCs/>
        </w:rPr>
        <w:t>Nadia Rasheed</w:t>
      </w:r>
      <w:r w:rsidR="00EB556B" w:rsidRPr="00BD4D59">
        <w:rPr>
          <w:bCs/>
        </w:rPr>
        <w:t>,</w:t>
      </w:r>
      <w:r w:rsidR="00EB556B">
        <w:t xml:space="preserve"> </w:t>
      </w:r>
      <w:r>
        <w:t xml:space="preserve">Asia-Pacific Regional Team Leader, Health and Development, </w:t>
      </w:r>
      <w:r w:rsidR="00EB556B">
        <w:t xml:space="preserve">UNDP </w:t>
      </w:r>
      <w:r w:rsidR="00F13E82">
        <w:t>Bangkok Regional Hub</w:t>
      </w:r>
      <w:r w:rsidR="00BA644A">
        <w:t>,</w:t>
      </w:r>
      <w:r w:rsidR="00F13E82">
        <w:t xml:space="preserve"> </w:t>
      </w:r>
      <w:hyperlink r:id="rId12" w:history="1">
        <w:r w:rsidRPr="00802EDD">
          <w:rPr>
            <w:rStyle w:val="Hyperlink"/>
          </w:rPr>
          <w:t>nadia.rasheed@undp.org</w:t>
        </w:r>
      </w:hyperlink>
    </w:p>
    <w:p w14:paraId="547D02A7" w14:textId="0572DE3A" w:rsidR="00412C1B" w:rsidRDefault="0043797A" w:rsidP="00AF71A7">
      <w:pPr>
        <w:pStyle w:val="Heading3"/>
      </w:pPr>
      <w:r>
        <w:t xml:space="preserve"> </w:t>
      </w:r>
      <w:r w:rsidR="00A62B70">
        <w:t>Also available</w:t>
      </w:r>
    </w:p>
    <w:p w14:paraId="3850DED6" w14:textId="616162DF" w:rsidR="00A62B70" w:rsidRDefault="00BA644A" w:rsidP="005D6480">
      <w:pPr>
        <w:pStyle w:val="ListParagraph"/>
        <w:numPr>
          <w:ilvl w:val="0"/>
          <w:numId w:val="8"/>
        </w:numPr>
      </w:pPr>
      <w:r w:rsidRPr="00E52729">
        <w:t>UNDP</w:t>
      </w:r>
      <w:r>
        <w:t>,</w:t>
      </w:r>
      <w:r w:rsidRPr="00E52729">
        <w:t xml:space="preserve"> WBUAP</w:t>
      </w:r>
      <w:r w:rsidR="007072A1">
        <w:t>, EIFL</w:t>
      </w:r>
      <w:r>
        <w:t xml:space="preserve"> (2017). </w:t>
      </w:r>
      <w:r w:rsidR="00476C51">
        <w:t>Cambodia Issue Brief on the Marrakesh Treaty</w:t>
      </w:r>
      <w:r>
        <w:t>. A</w:t>
      </w:r>
      <w:r w:rsidR="00A62B70">
        <w:t>vailable in Khmer, English, braille and audio</w:t>
      </w:r>
      <w:r w:rsidR="005D6480">
        <w:t xml:space="preserve"> </w:t>
      </w:r>
      <w:r>
        <w:t xml:space="preserve">at </w:t>
      </w:r>
      <w:hyperlink r:id="rId13" w:history="1">
        <w:r w:rsidR="005D6480" w:rsidRPr="00802EDD">
          <w:rPr>
            <w:rStyle w:val="Hyperlink"/>
          </w:rPr>
          <w:t>http://www.id.undp.org/content/indonesia/en/home/presscenter/articles/2017/10/12/the-marrakesh-treaty-in-indonesia.html</w:t>
        </w:r>
      </w:hyperlink>
    </w:p>
    <w:p w14:paraId="025E98B6" w14:textId="77777777" w:rsidR="00761553" w:rsidRDefault="00761553" w:rsidP="00761553">
      <w:pPr>
        <w:pStyle w:val="ListParagraph"/>
      </w:pPr>
    </w:p>
    <w:p w14:paraId="30E36803" w14:textId="56A12C4A" w:rsidR="00A62B70" w:rsidRDefault="00BA644A" w:rsidP="005D6480">
      <w:pPr>
        <w:pStyle w:val="ListParagraph"/>
        <w:numPr>
          <w:ilvl w:val="0"/>
          <w:numId w:val="8"/>
        </w:numPr>
      </w:pPr>
      <w:r w:rsidRPr="00E52729">
        <w:t>UNDP</w:t>
      </w:r>
      <w:r>
        <w:t>,</w:t>
      </w:r>
      <w:r w:rsidRPr="00E52729">
        <w:t xml:space="preserve"> WBUAP</w:t>
      </w:r>
      <w:r w:rsidR="007072A1">
        <w:t>, EIFL</w:t>
      </w:r>
      <w:r>
        <w:t xml:space="preserve"> (2017). </w:t>
      </w:r>
      <w:r w:rsidR="00476C51">
        <w:t>Indonesia Issue Brief on the Marrakesh Treaty</w:t>
      </w:r>
      <w:r>
        <w:t>. A</w:t>
      </w:r>
      <w:r w:rsidR="00A62B70">
        <w:t>vailable in Bahasa Indonesia, English, braille and audio</w:t>
      </w:r>
      <w:r>
        <w:t xml:space="preserve"> at</w:t>
      </w:r>
      <w:r w:rsidR="005D6480">
        <w:t xml:space="preserve"> </w:t>
      </w:r>
      <w:hyperlink r:id="rId14" w:history="1">
        <w:r w:rsidR="005D6480" w:rsidRPr="00802EDD">
          <w:rPr>
            <w:rStyle w:val="Hyperlink"/>
          </w:rPr>
          <w:t>http://www.kh.undp.org/content/cambodia/en/home/library/foster-voice---participation.html</w:t>
        </w:r>
      </w:hyperlink>
    </w:p>
    <w:p w14:paraId="1A5F87B5" w14:textId="77777777" w:rsidR="001D5A94" w:rsidRDefault="001D5A94" w:rsidP="00932A46"/>
    <w:p w14:paraId="6E31B80C" w14:textId="0BFDE2C4" w:rsidR="00932A46" w:rsidRDefault="00932A46" w:rsidP="00932A46"/>
    <w:sectPr w:rsidR="00932A46" w:rsidSect="00B92D9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2812B" w14:textId="77777777" w:rsidR="00211E8F" w:rsidRDefault="00211E8F" w:rsidP="00684C23">
      <w:pPr>
        <w:spacing w:after="0" w:line="240" w:lineRule="auto"/>
      </w:pPr>
      <w:r>
        <w:separator/>
      </w:r>
    </w:p>
  </w:endnote>
  <w:endnote w:type="continuationSeparator" w:id="0">
    <w:p w14:paraId="11715F81" w14:textId="77777777" w:rsidR="00211E8F" w:rsidRDefault="00211E8F" w:rsidP="0068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B975" w14:textId="77777777" w:rsidR="00AF71A7" w:rsidRDefault="00AF7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A991B" w14:textId="77777777" w:rsidR="00AF71A7" w:rsidRDefault="00AF7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D35F" w14:textId="77777777" w:rsidR="00AF71A7" w:rsidRDefault="00AF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1D125" w14:textId="77777777" w:rsidR="00211E8F" w:rsidRDefault="00211E8F" w:rsidP="00684C23">
      <w:pPr>
        <w:spacing w:after="0" w:line="240" w:lineRule="auto"/>
      </w:pPr>
      <w:r>
        <w:separator/>
      </w:r>
    </w:p>
  </w:footnote>
  <w:footnote w:type="continuationSeparator" w:id="0">
    <w:p w14:paraId="6BF886E0" w14:textId="77777777" w:rsidR="00211E8F" w:rsidRDefault="00211E8F" w:rsidP="00684C23">
      <w:pPr>
        <w:spacing w:after="0" w:line="240" w:lineRule="auto"/>
      </w:pPr>
      <w:r>
        <w:continuationSeparator/>
      </w:r>
    </w:p>
  </w:footnote>
  <w:footnote w:id="1">
    <w:p w14:paraId="5CF6202B" w14:textId="77777777" w:rsidR="00B562B7" w:rsidRPr="004E00D2" w:rsidRDefault="00B562B7" w:rsidP="00B562B7">
      <w:pPr>
        <w:pStyle w:val="FootnoteText"/>
        <w:rPr>
          <w:sz w:val="18"/>
          <w:szCs w:val="18"/>
        </w:rPr>
      </w:pPr>
      <w:r w:rsidRPr="004E00D2">
        <w:rPr>
          <w:rStyle w:val="FootnoteReference"/>
          <w:sz w:val="18"/>
          <w:szCs w:val="18"/>
        </w:rPr>
        <w:footnoteRef/>
      </w:r>
      <w:r w:rsidRPr="004E00D2">
        <w:rPr>
          <w:sz w:val="18"/>
          <w:szCs w:val="18"/>
        </w:rPr>
        <w:t xml:space="preserve"> World Blind Union (2013). Press Release WIPO Negotiations Treaty for Blind people. Available at </w:t>
      </w:r>
      <w:hyperlink r:id="rId1" w:history="1">
        <w:r w:rsidRPr="004E00D2">
          <w:rPr>
            <w:rStyle w:val="Hyperlink"/>
            <w:sz w:val="18"/>
            <w:szCs w:val="18"/>
          </w:rPr>
          <w:t>http://www.worldblindunion.org/english/news/pages/press-release-wipo-negotiations-treaty-for-blind-people.aspx</w:t>
        </w:r>
      </w:hyperlink>
      <w:r w:rsidRPr="004E00D2">
        <w:rPr>
          <w:sz w:val="18"/>
          <w:szCs w:val="18"/>
        </w:rPr>
        <w:t xml:space="preserve"> </w:t>
      </w:r>
    </w:p>
  </w:footnote>
  <w:footnote w:id="2">
    <w:p w14:paraId="1CB57A70" w14:textId="77777777" w:rsidR="00E853A0" w:rsidRPr="004E00D2" w:rsidRDefault="00E853A0" w:rsidP="00A342C8">
      <w:pPr>
        <w:pStyle w:val="FootnoteText"/>
        <w:rPr>
          <w:sz w:val="18"/>
          <w:szCs w:val="18"/>
        </w:rPr>
      </w:pPr>
      <w:r w:rsidRPr="004E00D2">
        <w:rPr>
          <w:rStyle w:val="FootnoteReference"/>
          <w:sz w:val="18"/>
          <w:szCs w:val="18"/>
        </w:rPr>
        <w:footnoteRef/>
      </w:r>
      <w:r w:rsidRPr="004E00D2">
        <w:rPr>
          <w:sz w:val="18"/>
          <w:szCs w:val="18"/>
        </w:rPr>
        <w:t xml:space="preserve"> Paragraph 23 of the 2030 Agenda for Sustainable Development. </w:t>
      </w:r>
      <w:hyperlink r:id="rId2" w:history="1">
        <w:r w:rsidRPr="004E00D2">
          <w:rPr>
            <w:rStyle w:val="Hyperlink"/>
            <w:sz w:val="18"/>
            <w:szCs w:val="18"/>
          </w:rPr>
          <w:t>https://www.un.org/pga/wp-content/uploads/sites/3/2015/08/120815_outcome-document-of-Summit-for-adoption-of-the-post-2015-development-agenda.pdf</w:t>
        </w:r>
      </w:hyperlink>
      <w:r w:rsidRPr="004E00D2">
        <w:rPr>
          <w:sz w:val="18"/>
          <w:szCs w:val="18"/>
        </w:rPr>
        <w:t xml:space="preserve"> </w:t>
      </w:r>
    </w:p>
  </w:footnote>
  <w:footnote w:id="3">
    <w:p w14:paraId="713BF01D" w14:textId="77777777" w:rsidR="00FB0B42" w:rsidRPr="004E00D2" w:rsidRDefault="00FB0B42" w:rsidP="00FB0B42">
      <w:pPr>
        <w:pStyle w:val="FootnoteText"/>
        <w:rPr>
          <w:sz w:val="18"/>
          <w:szCs w:val="18"/>
        </w:rPr>
      </w:pPr>
      <w:r w:rsidRPr="004E00D2">
        <w:rPr>
          <w:rStyle w:val="FootnoteReference"/>
          <w:sz w:val="18"/>
          <w:szCs w:val="18"/>
        </w:rPr>
        <w:footnoteRef/>
      </w:r>
      <w:r w:rsidRPr="004E00D2">
        <w:rPr>
          <w:sz w:val="18"/>
          <w:szCs w:val="18"/>
        </w:rPr>
        <w:t xml:space="preserve"> WHO and World Bank (2011). World Report on Disability. </w:t>
      </w:r>
    </w:p>
  </w:footnote>
  <w:footnote w:id="4">
    <w:p w14:paraId="338B6E5D" w14:textId="28B7DA92" w:rsidR="00E853A0" w:rsidRPr="004E00D2" w:rsidRDefault="00E853A0">
      <w:pPr>
        <w:pStyle w:val="FootnoteText"/>
        <w:rPr>
          <w:sz w:val="18"/>
          <w:szCs w:val="18"/>
        </w:rPr>
      </w:pPr>
      <w:r w:rsidRPr="004E00D2">
        <w:rPr>
          <w:rStyle w:val="FootnoteReference"/>
          <w:sz w:val="18"/>
          <w:szCs w:val="18"/>
        </w:rPr>
        <w:footnoteRef/>
      </w:r>
      <w:r w:rsidRPr="004E00D2">
        <w:rPr>
          <w:sz w:val="18"/>
          <w:szCs w:val="18"/>
        </w:rPr>
        <w:t xml:space="preserve"> World Bank (2016). World Development Report 2016. </w:t>
      </w:r>
    </w:p>
  </w:footnote>
  <w:footnote w:id="5">
    <w:p w14:paraId="6713C9AC" w14:textId="77777777" w:rsidR="00E853A0" w:rsidRPr="004E00D2" w:rsidRDefault="00E853A0" w:rsidP="00784D78">
      <w:pPr>
        <w:pStyle w:val="FootnoteText"/>
        <w:rPr>
          <w:sz w:val="18"/>
          <w:szCs w:val="18"/>
        </w:rPr>
      </w:pPr>
      <w:r w:rsidRPr="004E00D2">
        <w:rPr>
          <w:rStyle w:val="FootnoteReference"/>
          <w:sz w:val="18"/>
          <w:szCs w:val="18"/>
        </w:rPr>
        <w:footnoteRef/>
      </w:r>
      <w:r w:rsidRPr="004E00D2">
        <w:rPr>
          <w:sz w:val="18"/>
          <w:szCs w:val="18"/>
        </w:rPr>
        <w:t xml:space="preserve"> </w:t>
      </w:r>
      <w:r w:rsidRPr="004E00D2">
        <w:rPr>
          <w:rFonts w:hint="eastAsia"/>
          <w:sz w:val="18"/>
          <w:szCs w:val="18"/>
        </w:rPr>
        <w:t xml:space="preserve">Bourne, R.R.A. et al. </w:t>
      </w:r>
      <w:r w:rsidRPr="004E00D2">
        <w:rPr>
          <w:sz w:val="18"/>
          <w:szCs w:val="18"/>
        </w:rPr>
        <w:t>(2017). Magnitude, temporal trends, and projections of the global prevalence of blindness and distance and near vision impairment: a systematic review and meta-analysis. The Lancet, Vol 5 September 2017.</w:t>
      </w:r>
    </w:p>
  </w:footnote>
  <w:footnote w:id="6">
    <w:p w14:paraId="7D2CBAE6" w14:textId="77777777" w:rsidR="00E853A0" w:rsidRPr="004E00D2" w:rsidRDefault="00E853A0" w:rsidP="00784D78">
      <w:pPr>
        <w:pStyle w:val="FootnoteText"/>
        <w:rPr>
          <w:sz w:val="18"/>
          <w:szCs w:val="18"/>
        </w:rPr>
      </w:pPr>
      <w:r w:rsidRPr="004E00D2">
        <w:rPr>
          <w:rStyle w:val="FootnoteReference"/>
          <w:sz w:val="18"/>
          <w:szCs w:val="18"/>
        </w:rPr>
        <w:footnoteRef/>
      </w:r>
      <w:r w:rsidRPr="004E00D2">
        <w:rPr>
          <w:sz w:val="18"/>
          <w:szCs w:val="18"/>
        </w:rPr>
        <w:t xml:space="preserve"> </w:t>
      </w:r>
      <w:r w:rsidRPr="004E00D2">
        <w:rPr>
          <w:rFonts w:hint="eastAsia"/>
          <w:sz w:val="18"/>
          <w:szCs w:val="18"/>
        </w:rPr>
        <w:t xml:space="preserve">UNESCAP (2011). </w:t>
      </w:r>
      <w:r w:rsidRPr="004E00D2">
        <w:rPr>
          <w:rFonts w:hint="eastAsia"/>
          <w:i/>
          <w:sz w:val="18"/>
          <w:szCs w:val="18"/>
        </w:rPr>
        <w:t>Population Data Sheet</w:t>
      </w:r>
      <w:r w:rsidRPr="004E00D2">
        <w:rPr>
          <w:rFonts w:hint="eastAsia"/>
          <w:sz w:val="18"/>
          <w:szCs w:val="18"/>
        </w:rPr>
        <w:t xml:space="preserve">. </w:t>
      </w:r>
      <w:hyperlink r:id="rId3" w:history="1">
        <w:r w:rsidRPr="004E00D2">
          <w:rPr>
            <w:rStyle w:val="Hyperlink"/>
            <w:sz w:val="18"/>
            <w:szCs w:val="18"/>
          </w:rPr>
          <w:t>http://www.unescap.org/sdd/publications/datasheet-2011/Datasheet-2011-p1.pdf</w:t>
        </w:r>
      </w:hyperlink>
      <w:r w:rsidRPr="004E00D2">
        <w:rPr>
          <w:sz w:val="18"/>
          <w:szCs w:val="18"/>
        </w:rPr>
        <w:t xml:space="preserve"> </w:t>
      </w:r>
    </w:p>
  </w:footnote>
  <w:footnote w:id="7">
    <w:p w14:paraId="1B14C2B5" w14:textId="77777777" w:rsidR="00E853A0" w:rsidRPr="004E00D2" w:rsidRDefault="00E853A0" w:rsidP="00784D78">
      <w:pPr>
        <w:pStyle w:val="FootnoteText"/>
        <w:rPr>
          <w:sz w:val="18"/>
          <w:szCs w:val="18"/>
        </w:rPr>
      </w:pPr>
      <w:r w:rsidRPr="004E00D2">
        <w:rPr>
          <w:rStyle w:val="FootnoteReference"/>
          <w:sz w:val="18"/>
          <w:szCs w:val="18"/>
        </w:rPr>
        <w:footnoteRef/>
      </w:r>
      <w:r w:rsidRPr="004E00D2">
        <w:rPr>
          <w:sz w:val="18"/>
          <w:szCs w:val="18"/>
        </w:rPr>
        <w:t xml:space="preserve"> </w:t>
      </w:r>
      <w:r w:rsidRPr="004E00D2">
        <w:rPr>
          <w:rFonts w:hint="eastAsia"/>
          <w:sz w:val="18"/>
          <w:szCs w:val="18"/>
        </w:rPr>
        <w:t>See for example, International Diabetes</w:t>
      </w:r>
      <w:r w:rsidRPr="004E00D2">
        <w:rPr>
          <w:sz w:val="18"/>
          <w:szCs w:val="18"/>
        </w:rPr>
        <w:t xml:space="preserve"> Federation: Facts and Figures. </w:t>
      </w:r>
      <w:hyperlink r:id="rId4" w:history="1">
        <w:r w:rsidRPr="004E00D2">
          <w:rPr>
            <w:rStyle w:val="Hyperlink"/>
            <w:sz w:val="18"/>
            <w:szCs w:val="18"/>
          </w:rPr>
          <w:t>http://www.idf.org/worlddiabetesday/toolkit/gp/facts-figures</w:t>
        </w:r>
      </w:hyperlink>
      <w:r w:rsidRPr="004E00D2">
        <w:rPr>
          <w:sz w:val="18"/>
          <w:szCs w:val="18"/>
        </w:rPr>
        <w:t xml:space="preserve"> </w:t>
      </w:r>
    </w:p>
  </w:footnote>
  <w:footnote w:id="8">
    <w:p w14:paraId="44776E50" w14:textId="6200F5DA" w:rsidR="00E853A0" w:rsidRDefault="00E853A0" w:rsidP="00824B3C">
      <w:pPr>
        <w:pStyle w:val="FootnoteText"/>
      </w:pPr>
      <w:r w:rsidRPr="00824B3C">
        <w:rPr>
          <w:rStyle w:val="FootnoteReference"/>
          <w:sz w:val="18"/>
        </w:rPr>
        <w:footnoteRef/>
      </w:r>
      <w:r w:rsidRPr="00824B3C">
        <w:rPr>
          <w:sz w:val="18"/>
        </w:rPr>
        <w:t xml:space="preserve"> </w:t>
      </w:r>
      <w:r w:rsidRPr="00824B3C">
        <w:rPr>
          <w:rFonts w:hint="eastAsia"/>
          <w:sz w:val="18"/>
        </w:rPr>
        <w:t xml:space="preserve">Beran, D. (2011). </w:t>
      </w:r>
      <w:r w:rsidRPr="00824B3C">
        <w:rPr>
          <w:sz w:val="18"/>
        </w:rPr>
        <w:t xml:space="preserve">Improving access to insulin: what can be done? </w:t>
      </w:r>
      <w:r w:rsidRPr="00824B3C">
        <w:rPr>
          <w:i/>
          <w:sz w:val="18"/>
        </w:rPr>
        <w:t>Diabetes Manage</w:t>
      </w:r>
      <w:r w:rsidRPr="00824B3C">
        <w:rPr>
          <w:sz w:val="18"/>
        </w:rPr>
        <w:t>. (2011) 1(1), 67–76.</w:t>
      </w:r>
    </w:p>
  </w:footnote>
  <w:footnote w:id="9">
    <w:p w14:paraId="067E485D" w14:textId="77777777" w:rsidR="00E853A0" w:rsidRPr="004E00D2" w:rsidRDefault="00E853A0" w:rsidP="00784D78">
      <w:pPr>
        <w:pStyle w:val="FootnoteText"/>
        <w:rPr>
          <w:sz w:val="18"/>
          <w:szCs w:val="18"/>
        </w:rPr>
      </w:pPr>
      <w:r w:rsidRPr="004E00D2">
        <w:rPr>
          <w:rStyle w:val="FootnoteReference"/>
          <w:sz w:val="18"/>
          <w:szCs w:val="18"/>
        </w:rPr>
        <w:footnoteRef/>
      </w:r>
      <w:r w:rsidRPr="004E00D2">
        <w:rPr>
          <w:sz w:val="18"/>
          <w:szCs w:val="18"/>
        </w:rPr>
        <w:t xml:space="preserve"> WHO (2010). Pacific islanders pay heavy price for abandoning traditional diet. </w:t>
      </w:r>
      <w:hyperlink r:id="rId5" w:history="1">
        <w:r w:rsidRPr="004E00D2">
          <w:rPr>
            <w:rStyle w:val="Hyperlink"/>
            <w:sz w:val="18"/>
            <w:szCs w:val="18"/>
          </w:rPr>
          <w:t>http://www.who.int/bulletin/volumes/88/7/10-010710/en/</w:t>
        </w:r>
      </w:hyperlink>
      <w:r w:rsidRPr="004E00D2">
        <w:rPr>
          <w:sz w:val="18"/>
          <w:szCs w:val="18"/>
        </w:rPr>
        <w:t xml:space="preserve"> </w:t>
      </w:r>
    </w:p>
  </w:footnote>
  <w:footnote w:id="10">
    <w:p w14:paraId="35AACA83" w14:textId="77777777" w:rsidR="00E853A0" w:rsidRPr="004E00D2" w:rsidRDefault="00E853A0" w:rsidP="00784D78">
      <w:pPr>
        <w:pStyle w:val="FootnoteText"/>
        <w:rPr>
          <w:sz w:val="18"/>
          <w:szCs w:val="18"/>
        </w:rPr>
      </w:pPr>
      <w:r w:rsidRPr="004E00D2">
        <w:rPr>
          <w:rStyle w:val="FootnoteReference"/>
          <w:sz w:val="18"/>
          <w:szCs w:val="18"/>
        </w:rPr>
        <w:footnoteRef/>
      </w:r>
      <w:r w:rsidRPr="004E00D2">
        <w:rPr>
          <w:sz w:val="18"/>
          <w:szCs w:val="18"/>
        </w:rPr>
        <w:t xml:space="preserve"> National Institute of Statistics, Cambodia Ministry of Planning (2013). Cambodia Inter-Censal Population Survey 2013 Final Report. </w:t>
      </w:r>
      <w:hyperlink r:id="rId6" w:history="1">
        <w:r w:rsidRPr="004E00D2">
          <w:rPr>
            <w:rStyle w:val="Hyperlink"/>
            <w:sz w:val="18"/>
            <w:szCs w:val="18"/>
          </w:rPr>
          <w:t>http://www.stat.go.jp/info/meetings/cambodia/pdf/ci_fn02.pdf</w:t>
        </w:r>
      </w:hyperlink>
      <w:r w:rsidRPr="004E00D2">
        <w:rPr>
          <w:sz w:val="18"/>
          <w:szCs w:val="18"/>
        </w:rPr>
        <w:t xml:space="preserve"> </w:t>
      </w:r>
    </w:p>
  </w:footnote>
  <w:footnote w:id="11">
    <w:p w14:paraId="7427DC4D" w14:textId="77777777" w:rsidR="00E853A0" w:rsidRPr="004E00D2" w:rsidRDefault="00E853A0" w:rsidP="00784D78">
      <w:pPr>
        <w:pStyle w:val="FootnoteText"/>
        <w:rPr>
          <w:sz w:val="18"/>
          <w:szCs w:val="18"/>
        </w:rPr>
      </w:pPr>
      <w:r w:rsidRPr="004E00D2">
        <w:rPr>
          <w:rStyle w:val="FootnoteReference"/>
          <w:sz w:val="18"/>
          <w:szCs w:val="18"/>
        </w:rPr>
        <w:footnoteRef/>
      </w:r>
      <w:r w:rsidRPr="004E00D2">
        <w:rPr>
          <w:sz w:val="18"/>
          <w:szCs w:val="18"/>
        </w:rPr>
        <w:t xml:space="preserve"> Presentation by Amannullah, G, Director of People Welfare Statistics, BPS – Statistics Indonesia. (2016). Measuring disability in Indonesia. </w:t>
      </w:r>
      <w:hyperlink r:id="rId7" w:history="1">
        <w:r w:rsidRPr="004E00D2">
          <w:rPr>
            <w:rStyle w:val="Hyperlink"/>
            <w:sz w:val="18"/>
            <w:szCs w:val="18"/>
          </w:rPr>
          <w:t>https://unstats.un.org/unsd/demographic-social/meetings/2016/bangkok--disability-measurement-and-statistics/Session-6/Indonesia.pdf</w:t>
        </w:r>
      </w:hyperlink>
    </w:p>
  </w:footnote>
  <w:footnote w:id="12">
    <w:p w14:paraId="5C8D69F4" w14:textId="0AFB3E77" w:rsidR="00E853A0" w:rsidRPr="004E00D2" w:rsidRDefault="00E853A0" w:rsidP="00784D78">
      <w:pPr>
        <w:pStyle w:val="FootnoteText"/>
        <w:rPr>
          <w:sz w:val="18"/>
          <w:szCs w:val="18"/>
        </w:rPr>
      </w:pPr>
      <w:r w:rsidRPr="004E00D2">
        <w:rPr>
          <w:rStyle w:val="FootnoteReference"/>
          <w:sz w:val="18"/>
          <w:szCs w:val="18"/>
        </w:rPr>
        <w:footnoteRef/>
      </w:r>
      <w:r w:rsidRPr="004E00D2">
        <w:rPr>
          <w:sz w:val="18"/>
          <w:szCs w:val="18"/>
        </w:rPr>
        <w:t xml:space="preserve"> UNICEF Pacific and Vanuatu National Statistics Office (2014). Children, Women and Men with</w:t>
      </w:r>
      <w:r w:rsidR="000768F7">
        <w:rPr>
          <w:sz w:val="18"/>
          <w:szCs w:val="18"/>
        </w:rPr>
        <w:t xml:space="preserve"> </w:t>
      </w:r>
      <w:r w:rsidRPr="004E00D2">
        <w:rPr>
          <w:sz w:val="18"/>
          <w:szCs w:val="18"/>
        </w:rPr>
        <w:t>Disabilities in Vanuatu: What do the data say?, UNICEF, Suva.</w:t>
      </w:r>
    </w:p>
  </w:footnote>
  <w:footnote w:id="13">
    <w:p w14:paraId="3826AB94" w14:textId="77777777" w:rsidR="00E853A0" w:rsidRPr="004E00D2" w:rsidRDefault="00E853A0" w:rsidP="00784D78">
      <w:pPr>
        <w:pStyle w:val="FootnoteText"/>
        <w:rPr>
          <w:sz w:val="18"/>
          <w:szCs w:val="18"/>
        </w:rPr>
      </w:pPr>
      <w:r w:rsidRPr="004E00D2">
        <w:rPr>
          <w:rStyle w:val="FootnoteReference"/>
          <w:sz w:val="18"/>
          <w:szCs w:val="18"/>
        </w:rPr>
        <w:footnoteRef/>
      </w:r>
      <w:r w:rsidRPr="004E00D2">
        <w:rPr>
          <w:sz w:val="18"/>
          <w:szCs w:val="18"/>
        </w:rPr>
        <w:t xml:space="preserve"> See, for example, Thai Assembly Approves Marrakesh Treaty, </w:t>
      </w:r>
      <w:hyperlink r:id="rId8" w:anchor=".WgAP0Vu0P2A" w:history="1">
        <w:r w:rsidRPr="004E00D2">
          <w:rPr>
            <w:rStyle w:val="Hyperlink"/>
            <w:sz w:val="18"/>
            <w:szCs w:val="18"/>
          </w:rPr>
          <w:t>http://www.radioparliament.net/parliament/viewNews.php?nId=7421#.WgAP0Vu0P2A</w:t>
        </w:r>
      </w:hyperlink>
      <w:r w:rsidRPr="004E00D2">
        <w:rPr>
          <w:sz w:val="18"/>
          <w:szCs w:val="18"/>
        </w:rPr>
        <w:t xml:space="preserve"> </w:t>
      </w:r>
    </w:p>
  </w:footnote>
  <w:footnote w:id="14">
    <w:p w14:paraId="447163DD" w14:textId="77777777" w:rsidR="00E853A0" w:rsidRPr="004E00D2" w:rsidRDefault="00E853A0" w:rsidP="002A7D6E">
      <w:pPr>
        <w:pStyle w:val="FootnoteText"/>
        <w:rPr>
          <w:sz w:val="18"/>
          <w:szCs w:val="18"/>
        </w:rPr>
      </w:pPr>
      <w:r w:rsidRPr="004E00D2">
        <w:rPr>
          <w:rStyle w:val="FootnoteReference"/>
          <w:sz w:val="18"/>
          <w:szCs w:val="18"/>
        </w:rPr>
        <w:footnoteRef/>
      </w:r>
      <w:r w:rsidRPr="004E00D2">
        <w:rPr>
          <w:sz w:val="18"/>
          <w:szCs w:val="18"/>
        </w:rPr>
        <w:t xml:space="preserve"> See the website of the World Intellectual Property Organization (WIPO) for details. </w:t>
      </w:r>
      <w:hyperlink r:id="rId9" w:history="1">
        <w:r w:rsidRPr="004E00D2">
          <w:rPr>
            <w:rStyle w:val="Hyperlink"/>
            <w:sz w:val="18"/>
            <w:szCs w:val="18"/>
          </w:rPr>
          <w:t>http://www.wipo.int/treaties/en/ip/marrakesh/</w:t>
        </w:r>
      </w:hyperlink>
      <w:r w:rsidRPr="004E00D2">
        <w:rPr>
          <w:sz w:val="18"/>
          <w:szCs w:val="18"/>
        </w:rPr>
        <w:t xml:space="preserve"> </w:t>
      </w:r>
    </w:p>
  </w:footnote>
  <w:footnote w:id="15">
    <w:p w14:paraId="31B503B0" w14:textId="77777777" w:rsidR="00E853A0" w:rsidRPr="004E00D2" w:rsidRDefault="00E853A0" w:rsidP="00882DDC">
      <w:pPr>
        <w:pStyle w:val="FootnoteText"/>
        <w:rPr>
          <w:sz w:val="18"/>
          <w:szCs w:val="18"/>
        </w:rPr>
      </w:pPr>
      <w:r w:rsidRPr="004E00D2">
        <w:rPr>
          <w:rStyle w:val="FootnoteReference"/>
          <w:sz w:val="18"/>
          <w:szCs w:val="18"/>
        </w:rPr>
        <w:footnoteRef/>
      </w:r>
      <w:r w:rsidRPr="004E00D2">
        <w:rPr>
          <w:sz w:val="18"/>
          <w:szCs w:val="18"/>
        </w:rPr>
        <w:t xml:space="preserve"> See the above WIPO website for an updated list of Contracting Parties. </w:t>
      </w:r>
    </w:p>
  </w:footnote>
  <w:footnote w:id="16">
    <w:p w14:paraId="560A17E0" w14:textId="77777777" w:rsidR="00E853A0" w:rsidRPr="004E00D2" w:rsidRDefault="00E853A0" w:rsidP="00317D07">
      <w:pPr>
        <w:pStyle w:val="FootnoteText"/>
        <w:rPr>
          <w:sz w:val="18"/>
          <w:szCs w:val="18"/>
        </w:rPr>
      </w:pPr>
      <w:r w:rsidRPr="004E00D2">
        <w:rPr>
          <w:rStyle w:val="FootnoteReference"/>
          <w:sz w:val="18"/>
          <w:szCs w:val="18"/>
        </w:rPr>
        <w:footnoteRef/>
      </w:r>
      <w:r w:rsidRPr="004E00D2">
        <w:rPr>
          <w:sz w:val="18"/>
          <w:szCs w:val="18"/>
        </w:rPr>
        <w:t xml:space="preserve"> UNDP and World Blind Union Asia Pacific (2015). Our right to knowledge: Legal reviews for the ratification of the Marrakesh Treaty for persons with print disabilities in Asia and the Pacific. </w:t>
      </w:r>
      <w:hyperlink r:id="rId10" w:history="1">
        <w:r w:rsidRPr="004E00D2">
          <w:rPr>
            <w:rStyle w:val="Hyperlink"/>
            <w:sz w:val="18"/>
            <w:szCs w:val="18"/>
          </w:rPr>
          <w:t>http://www.asia-pacific.undp.org/content/rbap/en/home/library/democratic_governance/hiv_aids/our-right-to-knowledge--legal-reviews-for-the-ratification-of-th.html</w:t>
        </w:r>
      </w:hyperlink>
      <w:r w:rsidRPr="004E00D2">
        <w:rPr>
          <w:sz w:val="18"/>
          <w:szCs w:val="18"/>
        </w:rPr>
        <w:t xml:space="preserve"> </w:t>
      </w:r>
    </w:p>
  </w:footnote>
  <w:footnote w:id="17">
    <w:p w14:paraId="5231D0BF" w14:textId="0B79D9A0" w:rsidR="003A373C" w:rsidRPr="003A373C" w:rsidRDefault="003A373C">
      <w:pPr>
        <w:pStyle w:val="FootnoteText"/>
      </w:pPr>
      <w:r w:rsidRPr="003A373C">
        <w:rPr>
          <w:rStyle w:val="FootnoteReference"/>
          <w:sz w:val="18"/>
        </w:rPr>
        <w:footnoteRef/>
      </w:r>
      <w:r w:rsidRPr="003A373C">
        <w:rPr>
          <w:sz w:val="18"/>
        </w:rPr>
        <w:t xml:space="preserve"> See FAQ on the Marrakesh Treaty. Available at </w:t>
      </w:r>
      <w:hyperlink r:id="rId11" w:history="1">
        <w:r w:rsidRPr="003A373C">
          <w:rPr>
            <w:rStyle w:val="Hyperlink"/>
            <w:sz w:val="18"/>
          </w:rPr>
          <w:t>http://www.eifl.net/resources/implementation-marrakesh-treaty-eifl-faqs</w:t>
        </w:r>
      </w:hyperlink>
      <w:r w:rsidRPr="003A373C">
        <w:rPr>
          <w:sz w:val="18"/>
        </w:rPr>
        <w:t xml:space="preserve">. </w:t>
      </w:r>
    </w:p>
  </w:footnote>
  <w:footnote w:id="18">
    <w:p w14:paraId="351406F0" w14:textId="3D242A0B" w:rsidR="00E853A0" w:rsidRPr="004E00D2" w:rsidRDefault="00E853A0" w:rsidP="002071D5">
      <w:pPr>
        <w:pStyle w:val="FootnoteText"/>
        <w:rPr>
          <w:sz w:val="18"/>
          <w:szCs w:val="18"/>
        </w:rPr>
      </w:pPr>
      <w:r w:rsidRPr="004E00D2">
        <w:rPr>
          <w:rStyle w:val="FootnoteReference"/>
          <w:sz w:val="18"/>
          <w:szCs w:val="18"/>
        </w:rPr>
        <w:footnoteRef/>
      </w:r>
      <w:r w:rsidRPr="004E00D2">
        <w:rPr>
          <w:sz w:val="18"/>
          <w:szCs w:val="18"/>
        </w:rPr>
        <w:t xml:space="preserve"> Helfer L. R et al. (2016). The World Blind Union Guide to the Marrakesh Treaty: Facilitating Access to Books for Print-Disabled Individuals. Oxford University Press.</w:t>
      </w:r>
    </w:p>
  </w:footnote>
  <w:footnote w:id="19">
    <w:p w14:paraId="3D6C1236" w14:textId="77777777" w:rsidR="00E853A0" w:rsidRPr="004E00D2" w:rsidRDefault="00E853A0" w:rsidP="00F876F9">
      <w:pPr>
        <w:pStyle w:val="FootnoteText"/>
        <w:rPr>
          <w:sz w:val="18"/>
          <w:szCs w:val="18"/>
        </w:rPr>
      </w:pPr>
      <w:r w:rsidRPr="004E00D2">
        <w:rPr>
          <w:rStyle w:val="FootnoteReference"/>
          <w:sz w:val="18"/>
          <w:szCs w:val="18"/>
        </w:rPr>
        <w:footnoteRef/>
      </w:r>
      <w:r w:rsidRPr="004E00D2">
        <w:rPr>
          <w:sz w:val="18"/>
          <w:szCs w:val="18"/>
        </w:rPr>
        <w:t xml:space="preserve"> See the UN website on the Convention on the Rights of Persons with Disabilities at </w:t>
      </w:r>
      <w:hyperlink r:id="rId12" w:history="1">
        <w:r w:rsidRPr="004E00D2">
          <w:rPr>
            <w:rStyle w:val="Hyperlink"/>
            <w:sz w:val="18"/>
            <w:szCs w:val="18"/>
          </w:rPr>
          <w:t>https://www.un.org/development/desa/disabilities/convention-on-the-rights-of-persons-with-disabilities.html</w:t>
        </w:r>
      </w:hyperlink>
      <w:r w:rsidRPr="004E00D2">
        <w:rPr>
          <w:sz w:val="18"/>
          <w:szCs w:val="18"/>
        </w:rPr>
        <w:t xml:space="preserve"> </w:t>
      </w:r>
    </w:p>
  </w:footnote>
  <w:footnote w:id="20">
    <w:p w14:paraId="760386D8" w14:textId="77777777" w:rsidR="00E853A0" w:rsidRPr="004E00D2" w:rsidRDefault="00E853A0" w:rsidP="00F876F9">
      <w:pPr>
        <w:pStyle w:val="FootnoteText"/>
        <w:rPr>
          <w:sz w:val="18"/>
          <w:szCs w:val="18"/>
          <w:lang w:val="en-US"/>
        </w:rPr>
      </w:pPr>
      <w:r w:rsidRPr="004E00D2">
        <w:rPr>
          <w:rStyle w:val="FootnoteReference"/>
          <w:sz w:val="18"/>
          <w:szCs w:val="18"/>
        </w:rPr>
        <w:footnoteRef/>
      </w:r>
      <w:r w:rsidRPr="004E00D2">
        <w:rPr>
          <w:sz w:val="18"/>
          <w:szCs w:val="18"/>
        </w:rPr>
        <w:t xml:space="preserve"> Helfer L. R et al. (2016). The World Blind Union Guide to the Marrakesh Treaty: Facilitating Access to Books for Print-Disabled Individuals. Oxford University Press. </w:t>
      </w:r>
    </w:p>
  </w:footnote>
  <w:footnote w:id="21">
    <w:p w14:paraId="5D4915F0" w14:textId="77777777" w:rsidR="00E853A0" w:rsidRPr="004E00D2" w:rsidRDefault="00E853A0" w:rsidP="005F1025">
      <w:pPr>
        <w:pStyle w:val="FootnoteText"/>
        <w:rPr>
          <w:sz w:val="18"/>
          <w:szCs w:val="18"/>
        </w:rPr>
      </w:pPr>
      <w:r w:rsidRPr="004E00D2">
        <w:rPr>
          <w:rStyle w:val="FootnoteReference"/>
          <w:sz w:val="18"/>
          <w:szCs w:val="18"/>
        </w:rPr>
        <w:footnoteRef/>
      </w:r>
      <w:r w:rsidRPr="004E00D2">
        <w:rPr>
          <w:sz w:val="18"/>
          <w:szCs w:val="18"/>
        </w:rPr>
        <w:t xml:space="preserve"> See </w:t>
      </w:r>
      <w:hyperlink r:id="rId13" w:history="1">
        <w:r w:rsidRPr="004E00D2">
          <w:rPr>
            <w:rStyle w:val="Hyperlink"/>
            <w:sz w:val="18"/>
            <w:szCs w:val="18"/>
          </w:rPr>
          <w:t>http://www.unescap.org/resources/incheon-strategy-%E2%80%9Cmake-right-real%E2%80%9D-persons-disabilities-asia-and-pacific</w:t>
        </w:r>
      </w:hyperlink>
      <w:r w:rsidRPr="004E00D2">
        <w:rPr>
          <w:sz w:val="18"/>
          <w:szCs w:val="18"/>
        </w:rPr>
        <w:t xml:space="preserve"> </w:t>
      </w:r>
    </w:p>
  </w:footnote>
  <w:footnote w:id="22">
    <w:p w14:paraId="739002B8" w14:textId="0FF116FA" w:rsidR="00E853A0" w:rsidRDefault="00E853A0" w:rsidP="00D709A5">
      <w:pPr>
        <w:pStyle w:val="FootnoteText"/>
      </w:pPr>
      <w:r w:rsidRPr="004E00D2">
        <w:rPr>
          <w:rStyle w:val="FootnoteReference"/>
          <w:sz w:val="18"/>
          <w:szCs w:val="18"/>
        </w:rPr>
        <w:footnoteRef/>
      </w:r>
      <w:r w:rsidRPr="004E00D2">
        <w:rPr>
          <w:sz w:val="18"/>
          <w:szCs w:val="18"/>
        </w:rPr>
        <w:t xml:space="preserve"> Preamble of th</w:t>
      </w:r>
      <w:r w:rsidRPr="004E00D2">
        <w:rPr>
          <w:rFonts w:hint="eastAsia"/>
          <w:sz w:val="18"/>
          <w:szCs w:val="18"/>
        </w:rPr>
        <w:t>e UN Convention on the Rights of Persons with Disabilities</w:t>
      </w:r>
      <w:r w:rsidRPr="004E00D2">
        <w:rPr>
          <w:sz w:val="18"/>
          <w:szCs w:val="18"/>
        </w:rPr>
        <w:t xml:space="preserve"> (UNCRPD).</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6216" w14:textId="77777777" w:rsidR="00AF71A7" w:rsidRDefault="00AF7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FBC8" w14:textId="77777777" w:rsidR="00AF71A7" w:rsidRDefault="00AF7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EF58" w14:textId="77777777" w:rsidR="00AF71A7" w:rsidRDefault="00AF7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20C"/>
    <w:multiLevelType w:val="hybridMultilevel"/>
    <w:tmpl w:val="1D70BA68"/>
    <w:lvl w:ilvl="0" w:tplc="04F8FFC4">
      <w:start w:val="3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A69C0"/>
    <w:multiLevelType w:val="hybridMultilevel"/>
    <w:tmpl w:val="896EA7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65D9F"/>
    <w:multiLevelType w:val="hybridMultilevel"/>
    <w:tmpl w:val="E90AD8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623C4"/>
    <w:multiLevelType w:val="hybridMultilevel"/>
    <w:tmpl w:val="AA70F424"/>
    <w:lvl w:ilvl="0" w:tplc="04F8FFC4">
      <w:start w:val="3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950F6"/>
    <w:multiLevelType w:val="hybridMultilevel"/>
    <w:tmpl w:val="43125D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12355"/>
    <w:multiLevelType w:val="hybridMultilevel"/>
    <w:tmpl w:val="604E1F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F5B72"/>
    <w:multiLevelType w:val="hybridMultilevel"/>
    <w:tmpl w:val="FE743B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251CD"/>
    <w:multiLevelType w:val="hybridMultilevel"/>
    <w:tmpl w:val="BB8223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4D"/>
    <w:rsid w:val="000012A5"/>
    <w:rsid w:val="0000516A"/>
    <w:rsid w:val="00005A4F"/>
    <w:rsid w:val="00005F2B"/>
    <w:rsid w:val="00005F6C"/>
    <w:rsid w:val="00007BDA"/>
    <w:rsid w:val="00010322"/>
    <w:rsid w:val="00010575"/>
    <w:rsid w:val="00013A05"/>
    <w:rsid w:val="0001460D"/>
    <w:rsid w:val="000161EE"/>
    <w:rsid w:val="00020014"/>
    <w:rsid w:val="00020707"/>
    <w:rsid w:val="00021FF8"/>
    <w:rsid w:val="0002249B"/>
    <w:rsid w:val="00023BC4"/>
    <w:rsid w:val="0002567F"/>
    <w:rsid w:val="0002735C"/>
    <w:rsid w:val="00030950"/>
    <w:rsid w:val="000356B0"/>
    <w:rsid w:val="00035ED2"/>
    <w:rsid w:val="00036351"/>
    <w:rsid w:val="000438F2"/>
    <w:rsid w:val="00045B2F"/>
    <w:rsid w:val="00054B2C"/>
    <w:rsid w:val="00056373"/>
    <w:rsid w:val="0006211E"/>
    <w:rsid w:val="000621DF"/>
    <w:rsid w:val="00064630"/>
    <w:rsid w:val="00075B10"/>
    <w:rsid w:val="000768F7"/>
    <w:rsid w:val="00082792"/>
    <w:rsid w:val="00087037"/>
    <w:rsid w:val="000943FF"/>
    <w:rsid w:val="000977E5"/>
    <w:rsid w:val="000A0CF5"/>
    <w:rsid w:val="000A48B0"/>
    <w:rsid w:val="000A7900"/>
    <w:rsid w:val="000B0221"/>
    <w:rsid w:val="000B2B9B"/>
    <w:rsid w:val="000B39DF"/>
    <w:rsid w:val="000B39FB"/>
    <w:rsid w:val="000B4451"/>
    <w:rsid w:val="000B67C2"/>
    <w:rsid w:val="000C0694"/>
    <w:rsid w:val="000C3AEF"/>
    <w:rsid w:val="000C3BB5"/>
    <w:rsid w:val="000C4FA9"/>
    <w:rsid w:val="000C5F9A"/>
    <w:rsid w:val="000C668E"/>
    <w:rsid w:val="000D1CCB"/>
    <w:rsid w:val="000D2CD6"/>
    <w:rsid w:val="000E2E4D"/>
    <w:rsid w:val="000E4DDD"/>
    <w:rsid w:val="000E6CE0"/>
    <w:rsid w:val="000E7E1D"/>
    <w:rsid w:val="000F18A0"/>
    <w:rsid w:val="000F1D44"/>
    <w:rsid w:val="000F5C04"/>
    <w:rsid w:val="000F5FA4"/>
    <w:rsid w:val="00100E9C"/>
    <w:rsid w:val="00103061"/>
    <w:rsid w:val="00105BAF"/>
    <w:rsid w:val="00112F7F"/>
    <w:rsid w:val="001149DB"/>
    <w:rsid w:val="0011761B"/>
    <w:rsid w:val="00120A69"/>
    <w:rsid w:val="001216B9"/>
    <w:rsid w:val="00126342"/>
    <w:rsid w:val="00130570"/>
    <w:rsid w:val="00132A50"/>
    <w:rsid w:val="0013547D"/>
    <w:rsid w:val="001359B5"/>
    <w:rsid w:val="00135A24"/>
    <w:rsid w:val="00137CF9"/>
    <w:rsid w:val="00142FAA"/>
    <w:rsid w:val="00153064"/>
    <w:rsid w:val="001539ED"/>
    <w:rsid w:val="00154B79"/>
    <w:rsid w:val="00155F10"/>
    <w:rsid w:val="00156493"/>
    <w:rsid w:val="00157E5C"/>
    <w:rsid w:val="00162CDE"/>
    <w:rsid w:val="0016605C"/>
    <w:rsid w:val="00166E74"/>
    <w:rsid w:val="001746ED"/>
    <w:rsid w:val="00177311"/>
    <w:rsid w:val="00181EFC"/>
    <w:rsid w:val="00183ED6"/>
    <w:rsid w:val="00184E3C"/>
    <w:rsid w:val="0018632D"/>
    <w:rsid w:val="0018638F"/>
    <w:rsid w:val="001874A1"/>
    <w:rsid w:val="001877A6"/>
    <w:rsid w:val="0019383E"/>
    <w:rsid w:val="00193FAC"/>
    <w:rsid w:val="0019579D"/>
    <w:rsid w:val="0019702E"/>
    <w:rsid w:val="001975CB"/>
    <w:rsid w:val="001976E1"/>
    <w:rsid w:val="001A144E"/>
    <w:rsid w:val="001A3597"/>
    <w:rsid w:val="001A52AC"/>
    <w:rsid w:val="001B0237"/>
    <w:rsid w:val="001B4C85"/>
    <w:rsid w:val="001C0887"/>
    <w:rsid w:val="001C282E"/>
    <w:rsid w:val="001C7F2E"/>
    <w:rsid w:val="001D2118"/>
    <w:rsid w:val="001D4542"/>
    <w:rsid w:val="001D5A94"/>
    <w:rsid w:val="001E1A9C"/>
    <w:rsid w:val="001E2FE1"/>
    <w:rsid w:val="001E3C66"/>
    <w:rsid w:val="001E56A5"/>
    <w:rsid w:val="001E6CBD"/>
    <w:rsid w:val="001F163D"/>
    <w:rsid w:val="001F2751"/>
    <w:rsid w:val="002034AB"/>
    <w:rsid w:val="002071D5"/>
    <w:rsid w:val="002113D8"/>
    <w:rsid w:val="00211E8F"/>
    <w:rsid w:val="00213018"/>
    <w:rsid w:val="00216AB8"/>
    <w:rsid w:val="002252A1"/>
    <w:rsid w:val="002264C0"/>
    <w:rsid w:val="00230198"/>
    <w:rsid w:val="00231DDD"/>
    <w:rsid w:val="00232CA8"/>
    <w:rsid w:val="002368EE"/>
    <w:rsid w:val="0024253A"/>
    <w:rsid w:val="00243C5C"/>
    <w:rsid w:val="00255320"/>
    <w:rsid w:val="00256954"/>
    <w:rsid w:val="0026007D"/>
    <w:rsid w:val="002642B3"/>
    <w:rsid w:val="00267C4D"/>
    <w:rsid w:val="0027239B"/>
    <w:rsid w:val="00274CC0"/>
    <w:rsid w:val="00280926"/>
    <w:rsid w:val="00284C58"/>
    <w:rsid w:val="00284CA9"/>
    <w:rsid w:val="002859D6"/>
    <w:rsid w:val="00285F8D"/>
    <w:rsid w:val="00290E37"/>
    <w:rsid w:val="002A24F2"/>
    <w:rsid w:val="002A2C77"/>
    <w:rsid w:val="002A65C7"/>
    <w:rsid w:val="002A6645"/>
    <w:rsid w:val="002A6F82"/>
    <w:rsid w:val="002A7D6E"/>
    <w:rsid w:val="002C08B2"/>
    <w:rsid w:val="002C1AE8"/>
    <w:rsid w:val="002C6E48"/>
    <w:rsid w:val="002D6A98"/>
    <w:rsid w:val="002E25B3"/>
    <w:rsid w:val="002E53A4"/>
    <w:rsid w:val="002E5535"/>
    <w:rsid w:val="002E77D1"/>
    <w:rsid w:val="002F0626"/>
    <w:rsid w:val="002F2B56"/>
    <w:rsid w:val="002F3F4E"/>
    <w:rsid w:val="002F53AF"/>
    <w:rsid w:val="0030012F"/>
    <w:rsid w:val="00301BE7"/>
    <w:rsid w:val="003021E7"/>
    <w:rsid w:val="00307462"/>
    <w:rsid w:val="00307DC0"/>
    <w:rsid w:val="003131F2"/>
    <w:rsid w:val="00315F6A"/>
    <w:rsid w:val="003165DA"/>
    <w:rsid w:val="00317D07"/>
    <w:rsid w:val="00320BC4"/>
    <w:rsid w:val="003276BE"/>
    <w:rsid w:val="00330DFC"/>
    <w:rsid w:val="00330E55"/>
    <w:rsid w:val="00335342"/>
    <w:rsid w:val="0033680D"/>
    <w:rsid w:val="00340E2D"/>
    <w:rsid w:val="00345955"/>
    <w:rsid w:val="00347F7C"/>
    <w:rsid w:val="003514D6"/>
    <w:rsid w:val="0035358E"/>
    <w:rsid w:val="00361A70"/>
    <w:rsid w:val="00365151"/>
    <w:rsid w:val="00376AA1"/>
    <w:rsid w:val="00377869"/>
    <w:rsid w:val="00380205"/>
    <w:rsid w:val="00381D2B"/>
    <w:rsid w:val="00381FC7"/>
    <w:rsid w:val="00383A76"/>
    <w:rsid w:val="00385477"/>
    <w:rsid w:val="00387593"/>
    <w:rsid w:val="0039600D"/>
    <w:rsid w:val="003A2C08"/>
    <w:rsid w:val="003A2C2A"/>
    <w:rsid w:val="003A2CA9"/>
    <w:rsid w:val="003A373C"/>
    <w:rsid w:val="003A3F37"/>
    <w:rsid w:val="003A4A08"/>
    <w:rsid w:val="003A784D"/>
    <w:rsid w:val="003A7B19"/>
    <w:rsid w:val="003B55D5"/>
    <w:rsid w:val="003C2A9F"/>
    <w:rsid w:val="003C3409"/>
    <w:rsid w:val="003C414F"/>
    <w:rsid w:val="003D0A89"/>
    <w:rsid w:val="003D1B4F"/>
    <w:rsid w:val="003D296F"/>
    <w:rsid w:val="003D4085"/>
    <w:rsid w:val="003D4FBD"/>
    <w:rsid w:val="003E00DB"/>
    <w:rsid w:val="003E32E5"/>
    <w:rsid w:val="003F10B1"/>
    <w:rsid w:val="003F1AAA"/>
    <w:rsid w:val="003F5252"/>
    <w:rsid w:val="003F7DAF"/>
    <w:rsid w:val="00401E3B"/>
    <w:rsid w:val="00404986"/>
    <w:rsid w:val="0041094A"/>
    <w:rsid w:val="00412C1B"/>
    <w:rsid w:val="004134CC"/>
    <w:rsid w:val="0041612A"/>
    <w:rsid w:val="00416E3B"/>
    <w:rsid w:val="00417A84"/>
    <w:rsid w:val="004215E0"/>
    <w:rsid w:val="004220FD"/>
    <w:rsid w:val="00425A7C"/>
    <w:rsid w:val="00426CA5"/>
    <w:rsid w:val="00431F75"/>
    <w:rsid w:val="0043744E"/>
    <w:rsid w:val="00437932"/>
    <w:rsid w:val="0043797A"/>
    <w:rsid w:val="00441048"/>
    <w:rsid w:val="00460050"/>
    <w:rsid w:val="004648E4"/>
    <w:rsid w:val="00471F9B"/>
    <w:rsid w:val="00472C51"/>
    <w:rsid w:val="00472CF8"/>
    <w:rsid w:val="00474290"/>
    <w:rsid w:val="00476947"/>
    <w:rsid w:val="00476C51"/>
    <w:rsid w:val="00480468"/>
    <w:rsid w:val="0048452A"/>
    <w:rsid w:val="00490130"/>
    <w:rsid w:val="004936A2"/>
    <w:rsid w:val="00494FF7"/>
    <w:rsid w:val="00496AD1"/>
    <w:rsid w:val="004A0651"/>
    <w:rsid w:val="004A2205"/>
    <w:rsid w:val="004A5974"/>
    <w:rsid w:val="004B1F5D"/>
    <w:rsid w:val="004B22EB"/>
    <w:rsid w:val="004B3A7E"/>
    <w:rsid w:val="004B3E0A"/>
    <w:rsid w:val="004B5E53"/>
    <w:rsid w:val="004B6989"/>
    <w:rsid w:val="004C138D"/>
    <w:rsid w:val="004C247E"/>
    <w:rsid w:val="004C2835"/>
    <w:rsid w:val="004C541C"/>
    <w:rsid w:val="004C5884"/>
    <w:rsid w:val="004C7903"/>
    <w:rsid w:val="004D7418"/>
    <w:rsid w:val="004E00D2"/>
    <w:rsid w:val="004E3FBE"/>
    <w:rsid w:val="004F3D43"/>
    <w:rsid w:val="0050352B"/>
    <w:rsid w:val="00510F9D"/>
    <w:rsid w:val="00511963"/>
    <w:rsid w:val="00511A9F"/>
    <w:rsid w:val="005128F0"/>
    <w:rsid w:val="00521DF9"/>
    <w:rsid w:val="00523D63"/>
    <w:rsid w:val="005265A7"/>
    <w:rsid w:val="0053304F"/>
    <w:rsid w:val="00535408"/>
    <w:rsid w:val="00540026"/>
    <w:rsid w:val="00540D88"/>
    <w:rsid w:val="00544C41"/>
    <w:rsid w:val="00546D73"/>
    <w:rsid w:val="0055115F"/>
    <w:rsid w:val="005518C1"/>
    <w:rsid w:val="0056183F"/>
    <w:rsid w:val="005619E8"/>
    <w:rsid w:val="0057709A"/>
    <w:rsid w:val="00581949"/>
    <w:rsid w:val="00582EF9"/>
    <w:rsid w:val="00583E66"/>
    <w:rsid w:val="005877A8"/>
    <w:rsid w:val="00596177"/>
    <w:rsid w:val="005972D1"/>
    <w:rsid w:val="0059754F"/>
    <w:rsid w:val="005A2119"/>
    <w:rsid w:val="005A3359"/>
    <w:rsid w:val="005A3959"/>
    <w:rsid w:val="005A4890"/>
    <w:rsid w:val="005A4920"/>
    <w:rsid w:val="005A75DC"/>
    <w:rsid w:val="005B74F7"/>
    <w:rsid w:val="005B7DDF"/>
    <w:rsid w:val="005C0286"/>
    <w:rsid w:val="005C3CAD"/>
    <w:rsid w:val="005C3D6D"/>
    <w:rsid w:val="005C4B05"/>
    <w:rsid w:val="005C4F17"/>
    <w:rsid w:val="005C62A9"/>
    <w:rsid w:val="005D1851"/>
    <w:rsid w:val="005D293E"/>
    <w:rsid w:val="005D6480"/>
    <w:rsid w:val="005E0843"/>
    <w:rsid w:val="005E2E13"/>
    <w:rsid w:val="005E4416"/>
    <w:rsid w:val="005E6050"/>
    <w:rsid w:val="005E75D2"/>
    <w:rsid w:val="005F1025"/>
    <w:rsid w:val="005F1F79"/>
    <w:rsid w:val="005F7AE3"/>
    <w:rsid w:val="00600DE5"/>
    <w:rsid w:val="00604EA9"/>
    <w:rsid w:val="006051AC"/>
    <w:rsid w:val="00611085"/>
    <w:rsid w:val="006128B2"/>
    <w:rsid w:val="006211D4"/>
    <w:rsid w:val="00622E36"/>
    <w:rsid w:val="00624EDD"/>
    <w:rsid w:val="00625E44"/>
    <w:rsid w:val="006319B6"/>
    <w:rsid w:val="00634B69"/>
    <w:rsid w:val="00634FDA"/>
    <w:rsid w:val="00635EC6"/>
    <w:rsid w:val="00637098"/>
    <w:rsid w:val="0064658B"/>
    <w:rsid w:val="00647E92"/>
    <w:rsid w:val="00647EE3"/>
    <w:rsid w:val="00652173"/>
    <w:rsid w:val="00661CA6"/>
    <w:rsid w:val="00663771"/>
    <w:rsid w:val="00666ADE"/>
    <w:rsid w:val="00672AE8"/>
    <w:rsid w:val="006753A0"/>
    <w:rsid w:val="00680D13"/>
    <w:rsid w:val="00682682"/>
    <w:rsid w:val="00684C23"/>
    <w:rsid w:val="00687E4C"/>
    <w:rsid w:val="00687F07"/>
    <w:rsid w:val="00692A21"/>
    <w:rsid w:val="00693A6F"/>
    <w:rsid w:val="0069579A"/>
    <w:rsid w:val="00696FB5"/>
    <w:rsid w:val="00697304"/>
    <w:rsid w:val="006A196C"/>
    <w:rsid w:val="006B1207"/>
    <w:rsid w:val="006B1D32"/>
    <w:rsid w:val="006C0C81"/>
    <w:rsid w:val="006C416D"/>
    <w:rsid w:val="006C4EBD"/>
    <w:rsid w:val="006D0CC0"/>
    <w:rsid w:val="006D1D31"/>
    <w:rsid w:val="006D3589"/>
    <w:rsid w:val="006D37E0"/>
    <w:rsid w:val="006D6BD6"/>
    <w:rsid w:val="006E051D"/>
    <w:rsid w:val="006E36B4"/>
    <w:rsid w:val="006E3745"/>
    <w:rsid w:val="006E3DB6"/>
    <w:rsid w:val="006E40A4"/>
    <w:rsid w:val="006E6C8C"/>
    <w:rsid w:val="006E6EF2"/>
    <w:rsid w:val="006F3DC5"/>
    <w:rsid w:val="006F6CA5"/>
    <w:rsid w:val="006F739F"/>
    <w:rsid w:val="006F7B7B"/>
    <w:rsid w:val="007010D9"/>
    <w:rsid w:val="00706A69"/>
    <w:rsid w:val="007072A1"/>
    <w:rsid w:val="007109D4"/>
    <w:rsid w:val="0071118F"/>
    <w:rsid w:val="00712A12"/>
    <w:rsid w:val="00716D49"/>
    <w:rsid w:val="00722269"/>
    <w:rsid w:val="00724A3E"/>
    <w:rsid w:val="00726218"/>
    <w:rsid w:val="007312A4"/>
    <w:rsid w:val="0073441D"/>
    <w:rsid w:val="0073595F"/>
    <w:rsid w:val="00737B6E"/>
    <w:rsid w:val="007425AF"/>
    <w:rsid w:val="0074448A"/>
    <w:rsid w:val="007551AB"/>
    <w:rsid w:val="00757415"/>
    <w:rsid w:val="00761553"/>
    <w:rsid w:val="0076276A"/>
    <w:rsid w:val="00762E9B"/>
    <w:rsid w:val="007644E6"/>
    <w:rsid w:val="00765763"/>
    <w:rsid w:val="00766112"/>
    <w:rsid w:val="007666A4"/>
    <w:rsid w:val="00773451"/>
    <w:rsid w:val="0077438E"/>
    <w:rsid w:val="00777C64"/>
    <w:rsid w:val="007812EF"/>
    <w:rsid w:val="0078189F"/>
    <w:rsid w:val="00784D78"/>
    <w:rsid w:val="00785B5C"/>
    <w:rsid w:val="00792A11"/>
    <w:rsid w:val="00796F2C"/>
    <w:rsid w:val="007A10A3"/>
    <w:rsid w:val="007A33F2"/>
    <w:rsid w:val="007A7735"/>
    <w:rsid w:val="007B4875"/>
    <w:rsid w:val="007B5A91"/>
    <w:rsid w:val="007B6DF6"/>
    <w:rsid w:val="007B7AC8"/>
    <w:rsid w:val="007C1F60"/>
    <w:rsid w:val="007C4B3A"/>
    <w:rsid w:val="007C6139"/>
    <w:rsid w:val="007C6DF0"/>
    <w:rsid w:val="007C79F0"/>
    <w:rsid w:val="007D3B89"/>
    <w:rsid w:val="007D4E55"/>
    <w:rsid w:val="007D6B35"/>
    <w:rsid w:val="007E137F"/>
    <w:rsid w:val="007E2DBF"/>
    <w:rsid w:val="007E5052"/>
    <w:rsid w:val="007E5844"/>
    <w:rsid w:val="007E6E7C"/>
    <w:rsid w:val="007E7C2D"/>
    <w:rsid w:val="007F11F3"/>
    <w:rsid w:val="007F2600"/>
    <w:rsid w:val="007F3580"/>
    <w:rsid w:val="007F7245"/>
    <w:rsid w:val="00801F2E"/>
    <w:rsid w:val="00807F40"/>
    <w:rsid w:val="00811BAA"/>
    <w:rsid w:val="00814240"/>
    <w:rsid w:val="00816725"/>
    <w:rsid w:val="00820F80"/>
    <w:rsid w:val="008228E7"/>
    <w:rsid w:val="00824B3C"/>
    <w:rsid w:val="0082585B"/>
    <w:rsid w:val="00826E5F"/>
    <w:rsid w:val="008308CA"/>
    <w:rsid w:val="008358BF"/>
    <w:rsid w:val="0083723B"/>
    <w:rsid w:val="008403DE"/>
    <w:rsid w:val="008420DE"/>
    <w:rsid w:val="00844848"/>
    <w:rsid w:val="008473C6"/>
    <w:rsid w:val="008522FA"/>
    <w:rsid w:val="00852C01"/>
    <w:rsid w:val="008548BF"/>
    <w:rsid w:val="008551C6"/>
    <w:rsid w:val="0085584C"/>
    <w:rsid w:val="008562AE"/>
    <w:rsid w:val="008602C1"/>
    <w:rsid w:val="00862851"/>
    <w:rsid w:val="0086409D"/>
    <w:rsid w:val="0087476F"/>
    <w:rsid w:val="00877B73"/>
    <w:rsid w:val="00882DDC"/>
    <w:rsid w:val="00887592"/>
    <w:rsid w:val="00897F71"/>
    <w:rsid w:val="008A019E"/>
    <w:rsid w:val="008A312B"/>
    <w:rsid w:val="008A47E9"/>
    <w:rsid w:val="008B5F73"/>
    <w:rsid w:val="008C1DB9"/>
    <w:rsid w:val="008C3A4E"/>
    <w:rsid w:val="008C580B"/>
    <w:rsid w:val="008D60DF"/>
    <w:rsid w:val="008D740D"/>
    <w:rsid w:val="008E25A8"/>
    <w:rsid w:val="008E432D"/>
    <w:rsid w:val="008E653E"/>
    <w:rsid w:val="008F0EBD"/>
    <w:rsid w:val="008F23B3"/>
    <w:rsid w:val="008F2CE4"/>
    <w:rsid w:val="008F563A"/>
    <w:rsid w:val="00901D1D"/>
    <w:rsid w:val="00902704"/>
    <w:rsid w:val="0090349D"/>
    <w:rsid w:val="00903F20"/>
    <w:rsid w:val="00905804"/>
    <w:rsid w:val="009172A2"/>
    <w:rsid w:val="009231C9"/>
    <w:rsid w:val="00930D77"/>
    <w:rsid w:val="00931C4D"/>
    <w:rsid w:val="00932A46"/>
    <w:rsid w:val="00932D7B"/>
    <w:rsid w:val="00934A7F"/>
    <w:rsid w:val="0093590A"/>
    <w:rsid w:val="00937373"/>
    <w:rsid w:val="009445F1"/>
    <w:rsid w:val="009514E2"/>
    <w:rsid w:val="00953F47"/>
    <w:rsid w:val="009611FC"/>
    <w:rsid w:val="009612D7"/>
    <w:rsid w:val="009615F7"/>
    <w:rsid w:val="00962FC4"/>
    <w:rsid w:val="009643C8"/>
    <w:rsid w:val="009663BA"/>
    <w:rsid w:val="00973A5D"/>
    <w:rsid w:val="0097488D"/>
    <w:rsid w:val="00980ABC"/>
    <w:rsid w:val="009904A3"/>
    <w:rsid w:val="00994484"/>
    <w:rsid w:val="009950EC"/>
    <w:rsid w:val="009A1CD0"/>
    <w:rsid w:val="009A409D"/>
    <w:rsid w:val="009A4663"/>
    <w:rsid w:val="009A6B62"/>
    <w:rsid w:val="009B3758"/>
    <w:rsid w:val="009B4E53"/>
    <w:rsid w:val="009B5429"/>
    <w:rsid w:val="009B6C40"/>
    <w:rsid w:val="009C25F2"/>
    <w:rsid w:val="009D3D84"/>
    <w:rsid w:val="009D651F"/>
    <w:rsid w:val="009D655B"/>
    <w:rsid w:val="009E122B"/>
    <w:rsid w:val="009E4D92"/>
    <w:rsid w:val="009E589B"/>
    <w:rsid w:val="009E7638"/>
    <w:rsid w:val="009F0A47"/>
    <w:rsid w:val="009F1202"/>
    <w:rsid w:val="009F1EDC"/>
    <w:rsid w:val="009F5F33"/>
    <w:rsid w:val="00A03BA6"/>
    <w:rsid w:val="00A22014"/>
    <w:rsid w:val="00A2216F"/>
    <w:rsid w:val="00A31A97"/>
    <w:rsid w:val="00A342C8"/>
    <w:rsid w:val="00A427BE"/>
    <w:rsid w:val="00A42AF9"/>
    <w:rsid w:val="00A43073"/>
    <w:rsid w:val="00A4409A"/>
    <w:rsid w:val="00A45B10"/>
    <w:rsid w:val="00A477DF"/>
    <w:rsid w:val="00A50E5C"/>
    <w:rsid w:val="00A52562"/>
    <w:rsid w:val="00A52EF9"/>
    <w:rsid w:val="00A530D4"/>
    <w:rsid w:val="00A55ADC"/>
    <w:rsid w:val="00A57874"/>
    <w:rsid w:val="00A62B70"/>
    <w:rsid w:val="00A635B7"/>
    <w:rsid w:val="00A63FBF"/>
    <w:rsid w:val="00A66CE6"/>
    <w:rsid w:val="00A67CF7"/>
    <w:rsid w:val="00A70EF8"/>
    <w:rsid w:val="00A744AA"/>
    <w:rsid w:val="00A75B04"/>
    <w:rsid w:val="00A77833"/>
    <w:rsid w:val="00A80D62"/>
    <w:rsid w:val="00A823D0"/>
    <w:rsid w:val="00A847E7"/>
    <w:rsid w:val="00A86C2B"/>
    <w:rsid w:val="00A8720F"/>
    <w:rsid w:val="00A94982"/>
    <w:rsid w:val="00A9733C"/>
    <w:rsid w:val="00AA0EB9"/>
    <w:rsid w:val="00AA46C9"/>
    <w:rsid w:val="00AB1659"/>
    <w:rsid w:val="00AB44BD"/>
    <w:rsid w:val="00AB6320"/>
    <w:rsid w:val="00AC0723"/>
    <w:rsid w:val="00AC0819"/>
    <w:rsid w:val="00AC2D84"/>
    <w:rsid w:val="00AC5A12"/>
    <w:rsid w:val="00AC7035"/>
    <w:rsid w:val="00AC71B8"/>
    <w:rsid w:val="00AD0ACE"/>
    <w:rsid w:val="00AD1117"/>
    <w:rsid w:val="00AD3545"/>
    <w:rsid w:val="00AD76DC"/>
    <w:rsid w:val="00AE3993"/>
    <w:rsid w:val="00AE409A"/>
    <w:rsid w:val="00AE6654"/>
    <w:rsid w:val="00AF16FB"/>
    <w:rsid w:val="00AF5F96"/>
    <w:rsid w:val="00AF71A7"/>
    <w:rsid w:val="00B0110C"/>
    <w:rsid w:val="00B03839"/>
    <w:rsid w:val="00B07468"/>
    <w:rsid w:val="00B106B3"/>
    <w:rsid w:val="00B1268B"/>
    <w:rsid w:val="00B12D74"/>
    <w:rsid w:val="00B13890"/>
    <w:rsid w:val="00B1772F"/>
    <w:rsid w:val="00B20D16"/>
    <w:rsid w:val="00B276DA"/>
    <w:rsid w:val="00B30177"/>
    <w:rsid w:val="00B30927"/>
    <w:rsid w:val="00B346EA"/>
    <w:rsid w:val="00B41664"/>
    <w:rsid w:val="00B41E4E"/>
    <w:rsid w:val="00B51264"/>
    <w:rsid w:val="00B562B7"/>
    <w:rsid w:val="00B57924"/>
    <w:rsid w:val="00B60380"/>
    <w:rsid w:val="00B60F16"/>
    <w:rsid w:val="00B72BEF"/>
    <w:rsid w:val="00B73E16"/>
    <w:rsid w:val="00B7688C"/>
    <w:rsid w:val="00B92D9A"/>
    <w:rsid w:val="00BA644A"/>
    <w:rsid w:val="00BA7997"/>
    <w:rsid w:val="00BA7DAA"/>
    <w:rsid w:val="00BB15C3"/>
    <w:rsid w:val="00BB7066"/>
    <w:rsid w:val="00BC102B"/>
    <w:rsid w:val="00BC2629"/>
    <w:rsid w:val="00BC293F"/>
    <w:rsid w:val="00BC4A3C"/>
    <w:rsid w:val="00BD0714"/>
    <w:rsid w:val="00BD1F48"/>
    <w:rsid w:val="00BD3BB0"/>
    <w:rsid w:val="00BD3F53"/>
    <w:rsid w:val="00BD4D59"/>
    <w:rsid w:val="00BE1A9F"/>
    <w:rsid w:val="00BE474D"/>
    <w:rsid w:val="00BE63CC"/>
    <w:rsid w:val="00BF0425"/>
    <w:rsid w:val="00BF09CF"/>
    <w:rsid w:val="00BF0E5B"/>
    <w:rsid w:val="00BF2CCE"/>
    <w:rsid w:val="00BF3F99"/>
    <w:rsid w:val="00BF7376"/>
    <w:rsid w:val="00C0403E"/>
    <w:rsid w:val="00C1681E"/>
    <w:rsid w:val="00C2130C"/>
    <w:rsid w:val="00C22585"/>
    <w:rsid w:val="00C22CCF"/>
    <w:rsid w:val="00C22F7F"/>
    <w:rsid w:val="00C24F00"/>
    <w:rsid w:val="00C26A36"/>
    <w:rsid w:val="00C2776A"/>
    <w:rsid w:val="00C42B51"/>
    <w:rsid w:val="00C43F1F"/>
    <w:rsid w:val="00C45E43"/>
    <w:rsid w:val="00C510E9"/>
    <w:rsid w:val="00C519FE"/>
    <w:rsid w:val="00C55FF8"/>
    <w:rsid w:val="00C62511"/>
    <w:rsid w:val="00C67AE1"/>
    <w:rsid w:val="00C72A7F"/>
    <w:rsid w:val="00C75D08"/>
    <w:rsid w:val="00C910F1"/>
    <w:rsid w:val="00CA1165"/>
    <w:rsid w:val="00CA4A9A"/>
    <w:rsid w:val="00CB2C7F"/>
    <w:rsid w:val="00CB37DA"/>
    <w:rsid w:val="00CB3D94"/>
    <w:rsid w:val="00CB4959"/>
    <w:rsid w:val="00CC04F3"/>
    <w:rsid w:val="00CC3361"/>
    <w:rsid w:val="00CC40DD"/>
    <w:rsid w:val="00CD0F50"/>
    <w:rsid w:val="00CD19FE"/>
    <w:rsid w:val="00CD4380"/>
    <w:rsid w:val="00CD6CF2"/>
    <w:rsid w:val="00CD7ED4"/>
    <w:rsid w:val="00CE19EF"/>
    <w:rsid w:val="00CE28B7"/>
    <w:rsid w:val="00CE7F94"/>
    <w:rsid w:val="00CF1199"/>
    <w:rsid w:val="00CF290D"/>
    <w:rsid w:val="00CF3A8E"/>
    <w:rsid w:val="00CF4A48"/>
    <w:rsid w:val="00CF5D6F"/>
    <w:rsid w:val="00D01117"/>
    <w:rsid w:val="00D030A2"/>
    <w:rsid w:val="00D03260"/>
    <w:rsid w:val="00D04046"/>
    <w:rsid w:val="00D07BFF"/>
    <w:rsid w:val="00D10CEC"/>
    <w:rsid w:val="00D1401B"/>
    <w:rsid w:val="00D14250"/>
    <w:rsid w:val="00D14C81"/>
    <w:rsid w:val="00D15508"/>
    <w:rsid w:val="00D21262"/>
    <w:rsid w:val="00D2262E"/>
    <w:rsid w:val="00D2295D"/>
    <w:rsid w:val="00D23A88"/>
    <w:rsid w:val="00D26DBA"/>
    <w:rsid w:val="00D279F7"/>
    <w:rsid w:val="00D31215"/>
    <w:rsid w:val="00D321A2"/>
    <w:rsid w:val="00D4102B"/>
    <w:rsid w:val="00D42F98"/>
    <w:rsid w:val="00D452FA"/>
    <w:rsid w:val="00D50419"/>
    <w:rsid w:val="00D5365F"/>
    <w:rsid w:val="00D6395B"/>
    <w:rsid w:val="00D63F9B"/>
    <w:rsid w:val="00D64D0F"/>
    <w:rsid w:val="00D66C48"/>
    <w:rsid w:val="00D709A5"/>
    <w:rsid w:val="00D71EAE"/>
    <w:rsid w:val="00D752AF"/>
    <w:rsid w:val="00D753D4"/>
    <w:rsid w:val="00D779A6"/>
    <w:rsid w:val="00D81222"/>
    <w:rsid w:val="00D81BCC"/>
    <w:rsid w:val="00D824E2"/>
    <w:rsid w:val="00D82E78"/>
    <w:rsid w:val="00D832CB"/>
    <w:rsid w:val="00D87233"/>
    <w:rsid w:val="00D90F66"/>
    <w:rsid w:val="00D91FD1"/>
    <w:rsid w:val="00D92B1F"/>
    <w:rsid w:val="00D937E6"/>
    <w:rsid w:val="00DA7171"/>
    <w:rsid w:val="00DB051C"/>
    <w:rsid w:val="00DB5ABE"/>
    <w:rsid w:val="00DB657D"/>
    <w:rsid w:val="00DC088A"/>
    <w:rsid w:val="00DC2945"/>
    <w:rsid w:val="00DC2BC0"/>
    <w:rsid w:val="00DD3142"/>
    <w:rsid w:val="00DD706D"/>
    <w:rsid w:val="00DE3484"/>
    <w:rsid w:val="00DE4F11"/>
    <w:rsid w:val="00DE5426"/>
    <w:rsid w:val="00DF2705"/>
    <w:rsid w:val="00DF2E5A"/>
    <w:rsid w:val="00DF68A6"/>
    <w:rsid w:val="00DF7BB1"/>
    <w:rsid w:val="00DF7C44"/>
    <w:rsid w:val="00E03A5D"/>
    <w:rsid w:val="00E07858"/>
    <w:rsid w:val="00E15457"/>
    <w:rsid w:val="00E22C76"/>
    <w:rsid w:val="00E260A1"/>
    <w:rsid w:val="00E26A32"/>
    <w:rsid w:val="00E324C7"/>
    <w:rsid w:val="00E32B02"/>
    <w:rsid w:val="00E35241"/>
    <w:rsid w:val="00E3601C"/>
    <w:rsid w:val="00E362D4"/>
    <w:rsid w:val="00E3656D"/>
    <w:rsid w:val="00E36D96"/>
    <w:rsid w:val="00E4564B"/>
    <w:rsid w:val="00E46FF0"/>
    <w:rsid w:val="00E47532"/>
    <w:rsid w:val="00E47680"/>
    <w:rsid w:val="00E5036D"/>
    <w:rsid w:val="00E518C5"/>
    <w:rsid w:val="00E52729"/>
    <w:rsid w:val="00E5295B"/>
    <w:rsid w:val="00E53416"/>
    <w:rsid w:val="00E56E37"/>
    <w:rsid w:val="00E60975"/>
    <w:rsid w:val="00E72D32"/>
    <w:rsid w:val="00E738DB"/>
    <w:rsid w:val="00E74CCE"/>
    <w:rsid w:val="00E831DD"/>
    <w:rsid w:val="00E853A0"/>
    <w:rsid w:val="00E87223"/>
    <w:rsid w:val="00E97AA7"/>
    <w:rsid w:val="00EA1051"/>
    <w:rsid w:val="00EA1793"/>
    <w:rsid w:val="00EA7642"/>
    <w:rsid w:val="00EB0B7A"/>
    <w:rsid w:val="00EB2283"/>
    <w:rsid w:val="00EB556B"/>
    <w:rsid w:val="00EB7014"/>
    <w:rsid w:val="00EC033C"/>
    <w:rsid w:val="00EC1453"/>
    <w:rsid w:val="00EC2D8C"/>
    <w:rsid w:val="00EC6137"/>
    <w:rsid w:val="00ED20AC"/>
    <w:rsid w:val="00ED490B"/>
    <w:rsid w:val="00ED4B6F"/>
    <w:rsid w:val="00ED512D"/>
    <w:rsid w:val="00ED5B4B"/>
    <w:rsid w:val="00ED6C57"/>
    <w:rsid w:val="00ED6D36"/>
    <w:rsid w:val="00EE06DE"/>
    <w:rsid w:val="00EE2358"/>
    <w:rsid w:val="00EE4A60"/>
    <w:rsid w:val="00EE6F65"/>
    <w:rsid w:val="00EE79ED"/>
    <w:rsid w:val="00EF09DA"/>
    <w:rsid w:val="00EF22C0"/>
    <w:rsid w:val="00EF30B2"/>
    <w:rsid w:val="00EF3A25"/>
    <w:rsid w:val="00EF536E"/>
    <w:rsid w:val="00EF6857"/>
    <w:rsid w:val="00F010B1"/>
    <w:rsid w:val="00F047F6"/>
    <w:rsid w:val="00F073B1"/>
    <w:rsid w:val="00F13186"/>
    <w:rsid w:val="00F13E82"/>
    <w:rsid w:val="00F159B9"/>
    <w:rsid w:val="00F15CCA"/>
    <w:rsid w:val="00F22EBB"/>
    <w:rsid w:val="00F25285"/>
    <w:rsid w:val="00F25E85"/>
    <w:rsid w:val="00F26EBD"/>
    <w:rsid w:val="00F27513"/>
    <w:rsid w:val="00F33C5E"/>
    <w:rsid w:val="00F33E6E"/>
    <w:rsid w:val="00F34DC7"/>
    <w:rsid w:val="00F35221"/>
    <w:rsid w:val="00F42978"/>
    <w:rsid w:val="00F4782B"/>
    <w:rsid w:val="00F50BE6"/>
    <w:rsid w:val="00F51994"/>
    <w:rsid w:val="00F5271C"/>
    <w:rsid w:val="00F52A4D"/>
    <w:rsid w:val="00F56298"/>
    <w:rsid w:val="00F600CA"/>
    <w:rsid w:val="00F63568"/>
    <w:rsid w:val="00F678A9"/>
    <w:rsid w:val="00F726C2"/>
    <w:rsid w:val="00F85A65"/>
    <w:rsid w:val="00F868E0"/>
    <w:rsid w:val="00F876F9"/>
    <w:rsid w:val="00F87F46"/>
    <w:rsid w:val="00F9396A"/>
    <w:rsid w:val="00F95C9B"/>
    <w:rsid w:val="00FA0A04"/>
    <w:rsid w:val="00FA252C"/>
    <w:rsid w:val="00FA5F2B"/>
    <w:rsid w:val="00FA61A7"/>
    <w:rsid w:val="00FB0B42"/>
    <w:rsid w:val="00FB16ED"/>
    <w:rsid w:val="00FB1E6B"/>
    <w:rsid w:val="00FB2DB3"/>
    <w:rsid w:val="00FB640C"/>
    <w:rsid w:val="00FC381B"/>
    <w:rsid w:val="00FC4665"/>
    <w:rsid w:val="00FC50D0"/>
    <w:rsid w:val="00FD05D7"/>
    <w:rsid w:val="00FD1721"/>
    <w:rsid w:val="00FD407E"/>
    <w:rsid w:val="00FE1118"/>
    <w:rsid w:val="00FE24EC"/>
    <w:rsid w:val="00FE4F1A"/>
    <w:rsid w:val="00FE6B73"/>
    <w:rsid w:val="00FF2469"/>
    <w:rsid w:val="00FF42C7"/>
    <w:rsid w:val="00FF4788"/>
    <w:rsid w:val="00FF75DF"/>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54B8BE"/>
  <w15:docId w15:val="{3CF2F30B-38A6-4A84-B8EF-594F2132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7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7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71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EF"/>
    <w:pPr>
      <w:ind w:left="720"/>
      <w:contextualSpacing/>
    </w:pPr>
  </w:style>
  <w:style w:type="paragraph" w:styleId="EndnoteText">
    <w:name w:val="endnote text"/>
    <w:basedOn w:val="Normal"/>
    <w:link w:val="EndnoteTextChar"/>
    <w:uiPriority w:val="99"/>
    <w:unhideWhenUsed/>
    <w:rsid w:val="00684C23"/>
    <w:pPr>
      <w:spacing w:after="0" w:line="240" w:lineRule="auto"/>
    </w:pPr>
    <w:rPr>
      <w:sz w:val="20"/>
      <w:szCs w:val="20"/>
    </w:rPr>
  </w:style>
  <w:style w:type="character" w:customStyle="1" w:styleId="EndnoteTextChar">
    <w:name w:val="Endnote Text Char"/>
    <w:basedOn w:val="DefaultParagraphFont"/>
    <w:link w:val="EndnoteText"/>
    <w:uiPriority w:val="99"/>
    <w:rsid w:val="00684C23"/>
    <w:rPr>
      <w:sz w:val="20"/>
      <w:szCs w:val="20"/>
    </w:rPr>
  </w:style>
  <w:style w:type="character" w:styleId="EndnoteReference">
    <w:name w:val="endnote reference"/>
    <w:basedOn w:val="DefaultParagraphFont"/>
    <w:uiPriority w:val="99"/>
    <w:unhideWhenUsed/>
    <w:rsid w:val="00684C23"/>
    <w:rPr>
      <w:vertAlign w:val="superscript"/>
    </w:rPr>
  </w:style>
  <w:style w:type="character" w:styleId="Hyperlink">
    <w:name w:val="Hyperlink"/>
    <w:basedOn w:val="DefaultParagraphFont"/>
    <w:uiPriority w:val="99"/>
    <w:unhideWhenUsed/>
    <w:rsid w:val="00684C23"/>
    <w:rPr>
      <w:color w:val="0563C1" w:themeColor="hyperlink"/>
      <w:u w:val="single"/>
    </w:rPr>
  </w:style>
  <w:style w:type="paragraph" w:styleId="BalloonText">
    <w:name w:val="Balloon Text"/>
    <w:basedOn w:val="Normal"/>
    <w:link w:val="BalloonTextChar"/>
    <w:uiPriority w:val="99"/>
    <w:semiHidden/>
    <w:unhideWhenUsed/>
    <w:rsid w:val="0056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3F"/>
    <w:rPr>
      <w:rFonts w:ascii="Segoe UI" w:hAnsi="Segoe UI" w:cs="Segoe UI"/>
      <w:sz w:val="18"/>
      <w:szCs w:val="18"/>
    </w:rPr>
  </w:style>
  <w:style w:type="character" w:styleId="CommentReference">
    <w:name w:val="annotation reference"/>
    <w:basedOn w:val="DefaultParagraphFont"/>
    <w:uiPriority w:val="99"/>
    <w:semiHidden/>
    <w:unhideWhenUsed/>
    <w:rsid w:val="00C43F1F"/>
    <w:rPr>
      <w:sz w:val="18"/>
      <w:szCs w:val="18"/>
    </w:rPr>
  </w:style>
  <w:style w:type="paragraph" w:styleId="CommentText">
    <w:name w:val="annotation text"/>
    <w:basedOn w:val="Normal"/>
    <w:link w:val="CommentTextChar"/>
    <w:uiPriority w:val="99"/>
    <w:semiHidden/>
    <w:unhideWhenUsed/>
    <w:rsid w:val="00C43F1F"/>
    <w:pPr>
      <w:spacing w:line="240" w:lineRule="auto"/>
    </w:pPr>
    <w:rPr>
      <w:sz w:val="24"/>
      <w:szCs w:val="24"/>
    </w:rPr>
  </w:style>
  <w:style w:type="character" w:customStyle="1" w:styleId="CommentTextChar">
    <w:name w:val="Comment Text Char"/>
    <w:basedOn w:val="DefaultParagraphFont"/>
    <w:link w:val="CommentText"/>
    <w:uiPriority w:val="99"/>
    <w:semiHidden/>
    <w:rsid w:val="00C43F1F"/>
    <w:rPr>
      <w:sz w:val="24"/>
      <w:szCs w:val="24"/>
    </w:rPr>
  </w:style>
  <w:style w:type="paragraph" w:styleId="CommentSubject">
    <w:name w:val="annotation subject"/>
    <w:basedOn w:val="CommentText"/>
    <w:next w:val="CommentText"/>
    <w:link w:val="CommentSubjectChar"/>
    <w:uiPriority w:val="99"/>
    <w:semiHidden/>
    <w:unhideWhenUsed/>
    <w:rsid w:val="00C43F1F"/>
    <w:rPr>
      <w:b/>
      <w:bCs/>
      <w:sz w:val="20"/>
      <w:szCs w:val="20"/>
    </w:rPr>
  </w:style>
  <w:style w:type="character" w:customStyle="1" w:styleId="CommentSubjectChar">
    <w:name w:val="Comment Subject Char"/>
    <w:basedOn w:val="CommentTextChar"/>
    <w:link w:val="CommentSubject"/>
    <w:uiPriority w:val="99"/>
    <w:semiHidden/>
    <w:rsid w:val="00C43F1F"/>
    <w:rPr>
      <w:b/>
      <w:bCs/>
      <w:sz w:val="20"/>
      <w:szCs w:val="20"/>
    </w:rPr>
  </w:style>
  <w:style w:type="paragraph" w:styleId="FootnoteText">
    <w:name w:val="footnote text"/>
    <w:basedOn w:val="Normal"/>
    <w:link w:val="FootnoteTextChar"/>
    <w:uiPriority w:val="99"/>
    <w:unhideWhenUsed/>
    <w:rsid w:val="003D4085"/>
    <w:pPr>
      <w:snapToGrid w:val="0"/>
    </w:pPr>
  </w:style>
  <w:style w:type="character" w:customStyle="1" w:styleId="FootnoteTextChar">
    <w:name w:val="Footnote Text Char"/>
    <w:basedOn w:val="DefaultParagraphFont"/>
    <w:link w:val="FootnoteText"/>
    <w:uiPriority w:val="99"/>
    <w:rsid w:val="003D4085"/>
  </w:style>
  <w:style w:type="character" w:styleId="FootnoteReference">
    <w:name w:val="footnote reference"/>
    <w:basedOn w:val="DefaultParagraphFont"/>
    <w:uiPriority w:val="99"/>
    <w:unhideWhenUsed/>
    <w:rsid w:val="003D4085"/>
    <w:rPr>
      <w:vertAlign w:val="superscript"/>
    </w:rPr>
  </w:style>
  <w:style w:type="character" w:styleId="FollowedHyperlink">
    <w:name w:val="FollowedHyperlink"/>
    <w:basedOn w:val="DefaultParagraphFont"/>
    <w:uiPriority w:val="99"/>
    <w:semiHidden/>
    <w:unhideWhenUsed/>
    <w:rsid w:val="00FC381B"/>
    <w:rPr>
      <w:color w:val="954F72" w:themeColor="followedHyperlink"/>
      <w:u w:val="single"/>
    </w:rPr>
  </w:style>
  <w:style w:type="paragraph" w:styleId="Revision">
    <w:name w:val="Revision"/>
    <w:hidden/>
    <w:uiPriority w:val="99"/>
    <w:semiHidden/>
    <w:rsid w:val="00D709A5"/>
    <w:pPr>
      <w:spacing w:after="0" w:line="240" w:lineRule="auto"/>
    </w:pPr>
  </w:style>
  <w:style w:type="paragraph" w:styleId="Header">
    <w:name w:val="header"/>
    <w:basedOn w:val="Normal"/>
    <w:link w:val="HeaderChar"/>
    <w:uiPriority w:val="99"/>
    <w:unhideWhenUsed/>
    <w:rsid w:val="00AF7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1A7"/>
  </w:style>
  <w:style w:type="paragraph" w:styleId="Footer">
    <w:name w:val="footer"/>
    <w:basedOn w:val="Normal"/>
    <w:link w:val="FooterChar"/>
    <w:uiPriority w:val="99"/>
    <w:unhideWhenUsed/>
    <w:rsid w:val="00AF7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1A7"/>
  </w:style>
  <w:style w:type="character" w:customStyle="1" w:styleId="Heading2Char">
    <w:name w:val="Heading 2 Char"/>
    <w:basedOn w:val="DefaultParagraphFont"/>
    <w:link w:val="Heading2"/>
    <w:uiPriority w:val="9"/>
    <w:rsid w:val="00AF71A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F71A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F71A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50837">
      <w:bodyDiv w:val="1"/>
      <w:marLeft w:val="0"/>
      <w:marRight w:val="0"/>
      <w:marTop w:val="0"/>
      <w:marBottom w:val="0"/>
      <w:divBdr>
        <w:top w:val="none" w:sz="0" w:space="0" w:color="auto"/>
        <w:left w:val="none" w:sz="0" w:space="0" w:color="auto"/>
        <w:bottom w:val="none" w:sz="0" w:space="0" w:color="auto"/>
        <w:right w:val="none" w:sz="0" w:space="0" w:color="auto"/>
      </w:divBdr>
    </w:div>
    <w:div w:id="683944931">
      <w:bodyDiv w:val="1"/>
      <w:marLeft w:val="0"/>
      <w:marRight w:val="0"/>
      <w:marTop w:val="0"/>
      <w:marBottom w:val="0"/>
      <w:divBdr>
        <w:top w:val="none" w:sz="0" w:space="0" w:color="auto"/>
        <w:left w:val="none" w:sz="0" w:space="0" w:color="auto"/>
        <w:bottom w:val="none" w:sz="0" w:space="0" w:color="auto"/>
        <w:right w:val="none" w:sz="0" w:space="0" w:color="auto"/>
      </w:divBdr>
    </w:div>
    <w:div w:id="17701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pacific.undp.org/content/rbap/en/home/library/democratic_governance/hiv_aids/our-right-to-knowledge--legal-reviews-for-the-ratification-of-th.html" TargetMode="External"/><Relationship Id="rId13" Type="http://schemas.openxmlformats.org/officeDocument/2006/relationships/hyperlink" Target="http://www.id.undp.org/content/indonesia/en/home/presscenter/articles/2017/10/12/the-marrakesh-treaty-in-indonesia.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dia.rasheed@und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hackett@eifl.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jarvis@blindfoundation.org.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ifl.net/resources/implementation-marrakesh-treaty-eifl-faqs" TargetMode="External"/><Relationship Id="rId14" Type="http://schemas.openxmlformats.org/officeDocument/2006/relationships/hyperlink" Target="http://www.kh.undp.org/content/cambodia/en/home/library/foster-voice---participation.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adioparliament.net/parliament/viewNews.php?nId=7421" TargetMode="External"/><Relationship Id="rId13" Type="http://schemas.openxmlformats.org/officeDocument/2006/relationships/hyperlink" Target="http://www.unescap.org/resources/incheon-strategy-%E2%80%9Cmake-right-real%E2%80%9D-persons-disabilities-asia-and-pacific" TargetMode="External"/><Relationship Id="rId3" Type="http://schemas.openxmlformats.org/officeDocument/2006/relationships/hyperlink" Target="http://www.unescap.org/sdd/publications/datasheet-2011/Datasheet-2011-p1.pdf" TargetMode="External"/><Relationship Id="rId7" Type="http://schemas.openxmlformats.org/officeDocument/2006/relationships/hyperlink" Target="https://unstats.un.org/unsd/demographic-social/meetings/2016/bangkok--disability-measurement-and-statistics/Session-6/Indonesia.pdf" TargetMode="External"/><Relationship Id="rId12" Type="http://schemas.openxmlformats.org/officeDocument/2006/relationships/hyperlink" Target="https://www.un.org/development/desa/disabilities/convention-on-the-rights-of-persons-with-disabilities.html" TargetMode="External"/><Relationship Id="rId2" Type="http://schemas.openxmlformats.org/officeDocument/2006/relationships/hyperlink" Target="https://www.un.org/pga/wp-content/uploads/sites/3/2015/08/120815_outcome-document-of-Summit-for-adoption-of-the-post-2015-development-agenda.pdf" TargetMode="External"/><Relationship Id="rId1" Type="http://schemas.openxmlformats.org/officeDocument/2006/relationships/hyperlink" Target="http://www.worldblindunion.org/english/news/pages/press-release-wipo-negotiations-treaty-for-blind-people.aspx" TargetMode="External"/><Relationship Id="rId6" Type="http://schemas.openxmlformats.org/officeDocument/2006/relationships/hyperlink" Target="http://www.stat.go.jp/info/meetings/cambodia/pdf/ci_fn02.pdf" TargetMode="External"/><Relationship Id="rId11" Type="http://schemas.openxmlformats.org/officeDocument/2006/relationships/hyperlink" Target="http://www.eifl.net/resources/implementation-marrakesh-treaty-eifl-faqs" TargetMode="External"/><Relationship Id="rId5" Type="http://schemas.openxmlformats.org/officeDocument/2006/relationships/hyperlink" Target="http://www.who.int/bulletin/volumes/88/7/10-010710/en/" TargetMode="External"/><Relationship Id="rId10" Type="http://schemas.openxmlformats.org/officeDocument/2006/relationships/hyperlink" Target="http://www.asia-pacific.undp.org/content/rbap/en/home/library/democratic_governance/hiv_aids/our-right-to-knowledge--legal-reviews-for-the-ratification-of-th.html" TargetMode="External"/><Relationship Id="rId4" Type="http://schemas.openxmlformats.org/officeDocument/2006/relationships/hyperlink" Target="http://www.idf.org/worlddiabetesday/toolkit/gp/facts-figures" TargetMode="External"/><Relationship Id="rId9" Type="http://schemas.openxmlformats.org/officeDocument/2006/relationships/hyperlink" Target="http://www.wipo.int/treaties/en/ip/marrak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920C0-5150-4C4D-A79F-E572E5A5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Kazuyuki Uji</dc:creator>
  <cp:keywords/>
  <dc:description/>
  <cp:lastModifiedBy>Neil Jarvis</cp:lastModifiedBy>
  <cp:revision>3</cp:revision>
  <cp:lastPrinted>2017-11-21T03:28:00Z</cp:lastPrinted>
  <dcterms:created xsi:type="dcterms:W3CDTF">2017-11-30T01:58:00Z</dcterms:created>
  <dcterms:modified xsi:type="dcterms:W3CDTF">2017-11-30T03:00:00Z</dcterms:modified>
</cp:coreProperties>
</file>