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323" w:rsidRPr="00400BB8" w:rsidRDefault="006E1323" w:rsidP="006E1323">
      <w:pPr>
        <w:pBdr>
          <w:top w:val="single" w:sz="4" w:space="1" w:color="auto"/>
          <w:left w:val="single" w:sz="4" w:space="22" w:color="auto"/>
          <w:bottom w:val="single" w:sz="4" w:space="1" w:color="auto"/>
          <w:right w:val="single" w:sz="4" w:space="4" w:color="auto"/>
        </w:pBdr>
        <w:jc w:val="both"/>
        <w:rPr>
          <w:b/>
        </w:rPr>
      </w:pPr>
      <w:r w:rsidRPr="00344579">
        <w:rPr>
          <w:b/>
          <w:color w:val="1F497D" w:themeColor="text2"/>
          <w:sz w:val="28"/>
          <w:szCs w:val="28"/>
        </w:rPr>
        <w:t>Regional briefing</w:t>
      </w:r>
      <w:r>
        <w:rPr>
          <w:b/>
          <w:color w:val="1F497D" w:themeColor="text2"/>
          <w:sz w:val="28"/>
          <w:szCs w:val="28"/>
        </w:rPr>
        <w:t xml:space="preserve">: </w:t>
      </w:r>
      <w:r>
        <w:rPr>
          <w:b/>
        </w:rPr>
        <w:t>Arab States</w:t>
      </w:r>
      <w:bookmarkStart w:id="0" w:name="_GoBack"/>
      <w:bookmarkEnd w:id="0"/>
    </w:p>
    <w:p w:rsidR="006E1323" w:rsidRDefault="006E1323" w:rsidP="006E1323">
      <w:pPr>
        <w:rPr>
          <w:b/>
          <w:color w:val="1F497D" w:themeColor="text2"/>
          <w:sz w:val="28"/>
          <w:szCs w:val="28"/>
        </w:rPr>
      </w:pPr>
    </w:p>
    <w:p w:rsidR="00DD79BD" w:rsidRDefault="001F42C3" w:rsidP="00344579">
      <w:pPr>
        <w:jc w:val="center"/>
        <w:rPr>
          <w:b/>
          <w:color w:val="1F497D" w:themeColor="text2"/>
          <w:sz w:val="28"/>
          <w:szCs w:val="28"/>
        </w:rPr>
      </w:pPr>
      <w:r w:rsidRPr="00344579">
        <w:rPr>
          <w:b/>
          <w:color w:val="1F497D" w:themeColor="text2"/>
          <w:sz w:val="28"/>
          <w:szCs w:val="28"/>
        </w:rPr>
        <w:t>R</w:t>
      </w:r>
      <w:r w:rsidR="007658D8" w:rsidRPr="00344579">
        <w:rPr>
          <w:b/>
          <w:color w:val="1F497D" w:themeColor="text2"/>
          <w:sz w:val="28"/>
          <w:szCs w:val="28"/>
        </w:rPr>
        <w:t>egional briefing</w:t>
      </w:r>
      <w:r w:rsidR="00423BC1" w:rsidRPr="00344579">
        <w:rPr>
          <w:b/>
          <w:color w:val="1F497D" w:themeColor="text2"/>
          <w:sz w:val="28"/>
          <w:szCs w:val="28"/>
        </w:rPr>
        <w:t>s</w:t>
      </w:r>
    </w:p>
    <w:p w:rsidR="001F42C3" w:rsidRPr="00344579" w:rsidRDefault="001F42C3" w:rsidP="00344579">
      <w:pPr>
        <w:jc w:val="center"/>
        <w:rPr>
          <w:b/>
        </w:rPr>
      </w:pPr>
      <w:r>
        <w:rPr>
          <w:b/>
          <w:color w:val="1F497D" w:themeColor="text2"/>
        </w:rPr>
        <w:t>201</w:t>
      </w:r>
      <w:r w:rsidR="00841B3B">
        <w:rPr>
          <w:b/>
          <w:color w:val="1F497D" w:themeColor="text2"/>
        </w:rPr>
        <w:t>3</w:t>
      </w:r>
      <w:r>
        <w:rPr>
          <w:b/>
          <w:color w:val="1F497D" w:themeColor="text2"/>
        </w:rPr>
        <w:t xml:space="preserve"> HDR </w:t>
      </w:r>
      <w:r w:rsidRPr="00344579">
        <w:rPr>
          <w:b/>
          <w:color w:val="1F497D" w:themeColor="text2"/>
        </w:rPr>
        <w:t>Statistics</w:t>
      </w:r>
    </w:p>
    <w:p w:rsidR="00423BC1" w:rsidRPr="00F216BF" w:rsidRDefault="00423BC1">
      <w:pPr>
        <w:rPr>
          <w:b/>
          <w:sz w:val="20"/>
          <w:szCs w:val="20"/>
        </w:rPr>
      </w:pPr>
    </w:p>
    <w:p w:rsidR="0003304A" w:rsidRPr="00F216BF" w:rsidRDefault="007546DE" w:rsidP="00423BC1">
      <w:pPr>
        <w:rPr>
          <w:b/>
        </w:rPr>
      </w:pPr>
      <w:r>
        <w:t>As in previous reports, t</w:t>
      </w:r>
      <w:r w:rsidR="00423BC1" w:rsidRPr="00F216BF">
        <w:t xml:space="preserve">here are two </w:t>
      </w:r>
      <w:r>
        <w:t xml:space="preserve">groups of statistical tables </w:t>
      </w:r>
      <w:r w:rsidR="00423BC1" w:rsidRPr="00F216BF">
        <w:t>in this year’s Report—human development indicator</w:t>
      </w:r>
      <w:r w:rsidR="007B4668">
        <w:t>s</w:t>
      </w:r>
      <w:r w:rsidR="00423BC1" w:rsidRPr="00F216BF">
        <w:t xml:space="preserve"> tables, which provide an assessment of countries’ achievements </w:t>
      </w:r>
      <w:r w:rsidR="007B4668">
        <w:t>on</w:t>
      </w:r>
      <w:r w:rsidR="00423BC1" w:rsidRPr="00F216BF">
        <w:t xml:space="preserve"> different a</w:t>
      </w:r>
      <w:r w:rsidR="00925676" w:rsidRPr="00F216BF">
        <w:t>spects</w:t>
      </w:r>
      <w:r w:rsidR="00423BC1" w:rsidRPr="00F216BF">
        <w:t xml:space="preserve"> of human development and </w:t>
      </w:r>
      <w:r>
        <w:t xml:space="preserve">tables with </w:t>
      </w:r>
      <w:r w:rsidR="00423BC1" w:rsidRPr="00F216BF">
        <w:t>statistic</w:t>
      </w:r>
      <w:r>
        <w:t>s used for empiric</w:t>
      </w:r>
      <w:r w:rsidR="00423BC1" w:rsidRPr="00F216BF">
        <w:t xml:space="preserve">al </w:t>
      </w:r>
      <w:r>
        <w:t xml:space="preserve">analysis </w:t>
      </w:r>
      <w:r w:rsidR="00423BC1" w:rsidRPr="00F216BF">
        <w:t xml:space="preserve">in the thematic </w:t>
      </w:r>
      <w:r>
        <w:t>part of</w:t>
      </w:r>
      <w:r w:rsidR="00925676" w:rsidRPr="00F216BF">
        <w:t xml:space="preserve"> </w:t>
      </w:r>
      <w:r w:rsidR="00423BC1" w:rsidRPr="00F216BF">
        <w:t>the</w:t>
      </w:r>
      <w:r w:rsidR="00925676" w:rsidRPr="00F216BF">
        <w:t xml:space="preserve"> Report’s </w:t>
      </w:r>
      <w:r w:rsidR="00423BC1" w:rsidRPr="00F216BF">
        <w:t>chapters.</w:t>
      </w:r>
    </w:p>
    <w:p w:rsidR="00423BC1" w:rsidRPr="00F216BF" w:rsidRDefault="00423BC1" w:rsidP="002929F9">
      <w:pPr>
        <w:jc w:val="both"/>
      </w:pPr>
    </w:p>
    <w:p w:rsidR="00B85889" w:rsidRPr="00F216BF" w:rsidRDefault="00925676" w:rsidP="002929F9">
      <w:pPr>
        <w:jc w:val="both"/>
      </w:pPr>
      <w:r w:rsidRPr="00F216BF">
        <w:t>T</w:t>
      </w:r>
      <w:r w:rsidR="007C7127" w:rsidRPr="00F216BF">
        <w:t>h</w:t>
      </w:r>
      <w:r w:rsidR="00915EC4" w:rsidRPr="00F216BF">
        <w:t>is year, there are 1</w:t>
      </w:r>
      <w:r w:rsidR="00EB10A7" w:rsidRPr="00F216BF">
        <w:t>4</w:t>
      </w:r>
      <w:r w:rsidR="00915EC4" w:rsidRPr="00F216BF">
        <w:t xml:space="preserve"> tables in the </w:t>
      </w:r>
      <w:r w:rsidR="007C7127" w:rsidRPr="00F216BF">
        <w:t xml:space="preserve"> </w:t>
      </w:r>
      <w:r w:rsidR="00423BC1" w:rsidRPr="00F216BF">
        <w:t>Statistical Annex</w:t>
      </w:r>
      <w:r w:rsidR="00915EC4" w:rsidRPr="00F216BF">
        <w:t>--</w:t>
      </w:r>
      <w:r w:rsidR="00423BC1" w:rsidRPr="00F216BF">
        <w:t xml:space="preserve"> </w:t>
      </w:r>
      <w:r w:rsidR="00B85889" w:rsidRPr="00F216BF">
        <w:t xml:space="preserve">5 tables on human development indices and the remaining on human development related issues </w:t>
      </w:r>
      <w:r w:rsidRPr="00F216BF">
        <w:t>including indicators on education</w:t>
      </w:r>
      <w:r w:rsidR="00915EC4" w:rsidRPr="00F216BF">
        <w:t>,</w:t>
      </w:r>
      <w:r w:rsidRPr="00F216BF">
        <w:t xml:space="preserve"> health</w:t>
      </w:r>
      <w:r w:rsidR="00B85889" w:rsidRPr="00F216BF">
        <w:t>,</w:t>
      </w:r>
      <w:r w:rsidR="007B4668">
        <w:t xml:space="preserve"> </w:t>
      </w:r>
      <w:r w:rsidR="00915EC4" w:rsidRPr="00F216BF">
        <w:t xml:space="preserve"> social integration, </w:t>
      </w:r>
      <w:r w:rsidR="007B4668">
        <w:t xml:space="preserve">trade, </w:t>
      </w:r>
      <w:r w:rsidR="00915EC4" w:rsidRPr="00F216BF">
        <w:t>innovation and technology</w:t>
      </w:r>
      <w:r w:rsidR="007B4668">
        <w:t xml:space="preserve"> and </w:t>
      </w:r>
      <w:r w:rsidR="00915EC4" w:rsidRPr="00F216BF">
        <w:t xml:space="preserve"> </w:t>
      </w:r>
      <w:r w:rsidR="00B85889" w:rsidRPr="00F216BF">
        <w:t>demography; as well as environment</w:t>
      </w:r>
      <w:r w:rsidR="007546DE">
        <w:t xml:space="preserve">al </w:t>
      </w:r>
      <w:r w:rsidR="00B85889" w:rsidRPr="00F216BF">
        <w:t xml:space="preserve"> indicators.</w:t>
      </w:r>
      <w:r w:rsidR="00915EC4" w:rsidRPr="00F216BF">
        <w:t xml:space="preserve"> </w:t>
      </w:r>
    </w:p>
    <w:p w:rsidR="00EB10A7" w:rsidRPr="00F216BF" w:rsidRDefault="00EB10A7" w:rsidP="002929F9">
      <w:pPr>
        <w:jc w:val="both"/>
      </w:pPr>
    </w:p>
    <w:p w:rsidR="002A784A" w:rsidRPr="00F216BF" w:rsidRDefault="00925676" w:rsidP="002929F9">
      <w:pPr>
        <w:jc w:val="both"/>
      </w:pPr>
      <w:r w:rsidRPr="00F216BF">
        <w:t>Where possible</w:t>
      </w:r>
      <w:r w:rsidR="00EB10A7" w:rsidRPr="00F216BF">
        <w:t xml:space="preserve">, </w:t>
      </w:r>
      <w:r w:rsidRPr="00F216BF">
        <w:t>aggregates have been included at the end of each table</w:t>
      </w:r>
      <w:r w:rsidR="00EB10A7" w:rsidRPr="00F216BF">
        <w:t xml:space="preserve"> for Human Development Index (HDI) group</w:t>
      </w:r>
      <w:r w:rsidR="007546DE">
        <w:t>s and developing regions</w:t>
      </w:r>
      <w:r w:rsidRPr="00F216BF">
        <w:t xml:space="preserve">. </w:t>
      </w:r>
      <w:r w:rsidR="00B85889" w:rsidRPr="00F216BF">
        <w:t xml:space="preserve">The regions are defined based on UNDP regional </w:t>
      </w:r>
      <w:r w:rsidR="007546DE">
        <w:t>b</w:t>
      </w:r>
      <w:r w:rsidR="007546DE" w:rsidRPr="00F216BF">
        <w:t xml:space="preserve">ureaus </w:t>
      </w:r>
      <w:r w:rsidRPr="00F216BF">
        <w:t>classification.</w:t>
      </w:r>
    </w:p>
    <w:p w:rsidR="006211EC" w:rsidRPr="00F216BF" w:rsidRDefault="006211EC" w:rsidP="002929F9">
      <w:pPr>
        <w:jc w:val="both"/>
      </w:pPr>
    </w:p>
    <w:p w:rsidR="002A784A" w:rsidRPr="00F216BF" w:rsidRDefault="00B85889" w:rsidP="002929F9">
      <w:pPr>
        <w:jc w:val="both"/>
      </w:pPr>
      <w:r w:rsidRPr="00F216BF">
        <w:t>In addition to the</w:t>
      </w:r>
      <w:r w:rsidR="00A814B0" w:rsidRPr="00F216BF">
        <w:t xml:space="preserve"> printed tables</w:t>
      </w:r>
      <w:r w:rsidRPr="00F216BF">
        <w:t xml:space="preserve">, </w:t>
      </w:r>
      <w:r w:rsidR="00A814B0" w:rsidRPr="00F216BF">
        <w:t xml:space="preserve">the Office </w:t>
      </w:r>
      <w:r w:rsidR="004D75F0" w:rsidRPr="00F216BF">
        <w:t>compil</w:t>
      </w:r>
      <w:r w:rsidR="004D75F0">
        <w:t xml:space="preserve">es </w:t>
      </w:r>
      <w:r w:rsidR="004D75F0" w:rsidRPr="00F216BF">
        <w:t>a</w:t>
      </w:r>
      <w:r w:rsidR="00A814B0" w:rsidRPr="00F216BF">
        <w:t xml:space="preserve"> series of other products which will be disseminated electronically via our Website (at </w:t>
      </w:r>
      <w:hyperlink r:id="rId9" w:history="1">
        <w:r w:rsidR="00A814B0" w:rsidRPr="00F216BF">
          <w:rPr>
            <w:rStyle w:val="Hyperlink"/>
          </w:rPr>
          <w:t>http://hdr.undp.org</w:t>
        </w:r>
      </w:hyperlink>
      <w:r w:rsidR="00A814B0" w:rsidRPr="00F216BF">
        <w:t>) including access to time series data</w:t>
      </w:r>
      <w:r w:rsidR="007546DE">
        <w:t>.</w:t>
      </w:r>
      <w:r w:rsidR="00A814B0" w:rsidRPr="00F216BF">
        <w:t xml:space="preserve"> </w:t>
      </w:r>
    </w:p>
    <w:p w:rsidR="00A814B0" w:rsidRPr="00F216BF" w:rsidRDefault="00A814B0" w:rsidP="002929F9">
      <w:pPr>
        <w:jc w:val="both"/>
      </w:pPr>
    </w:p>
    <w:p w:rsidR="00A814B0" w:rsidRPr="00F216BF" w:rsidRDefault="00FA5800" w:rsidP="003E6091">
      <w:pPr>
        <w:pStyle w:val="ListParagraph"/>
        <w:numPr>
          <w:ilvl w:val="0"/>
          <w:numId w:val="9"/>
        </w:numPr>
        <w:jc w:val="both"/>
        <w:rPr>
          <w:rFonts w:ascii="Times New Roman" w:hAnsi="Times New Roman"/>
          <w:b/>
          <w:sz w:val="24"/>
          <w:szCs w:val="24"/>
        </w:rPr>
      </w:pPr>
      <w:r w:rsidRPr="00F216BF">
        <w:rPr>
          <w:rFonts w:ascii="Times New Roman" w:hAnsi="Times New Roman"/>
          <w:b/>
          <w:sz w:val="24"/>
          <w:szCs w:val="24"/>
        </w:rPr>
        <w:t>H</w:t>
      </w:r>
      <w:r w:rsidR="00020E31" w:rsidRPr="00F216BF">
        <w:rPr>
          <w:rFonts w:ascii="Times New Roman" w:hAnsi="Times New Roman"/>
          <w:b/>
          <w:sz w:val="24"/>
          <w:szCs w:val="24"/>
        </w:rPr>
        <w:t>UMAN</w:t>
      </w:r>
      <w:r w:rsidRPr="00F216BF">
        <w:rPr>
          <w:rFonts w:ascii="Times New Roman" w:hAnsi="Times New Roman"/>
          <w:b/>
          <w:sz w:val="24"/>
          <w:szCs w:val="24"/>
        </w:rPr>
        <w:t xml:space="preserve"> D</w:t>
      </w:r>
      <w:r w:rsidR="00020E31" w:rsidRPr="00F216BF">
        <w:rPr>
          <w:rFonts w:ascii="Times New Roman" w:hAnsi="Times New Roman"/>
          <w:b/>
          <w:sz w:val="24"/>
          <w:szCs w:val="24"/>
        </w:rPr>
        <w:t>EVELOPMENT</w:t>
      </w:r>
      <w:r w:rsidRPr="00F216BF">
        <w:rPr>
          <w:rFonts w:ascii="Times New Roman" w:hAnsi="Times New Roman"/>
          <w:b/>
          <w:sz w:val="24"/>
          <w:szCs w:val="24"/>
        </w:rPr>
        <w:t xml:space="preserve"> I</w:t>
      </w:r>
      <w:r w:rsidR="00020E31" w:rsidRPr="00F216BF">
        <w:rPr>
          <w:rFonts w:ascii="Times New Roman" w:hAnsi="Times New Roman"/>
          <w:b/>
          <w:sz w:val="24"/>
          <w:szCs w:val="24"/>
        </w:rPr>
        <w:t>NDEX</w:t>
      </w:r>
      <w:r w:rsidRPr="00F216BF">
        <w:rPr>
          <w:rFonts w:ascii="Times New Roman" w:hAnsi="Times New Roman"/>
          <w:b/>
          <w:sz w:val="24"/>
          <w:szCs w:val="24"/>
        </w:rPr>
        <w:t xml:space="preserve"> (HDI)</w:t>
      </w:r>
    </w:p>
    <w:p w:rsidR="00FA5800" w:rsidRPr="00F216BF" w:rsidRDefault="00FA5800" w:rsidP="002929F9">
      <w:pPr>
        <w:jc w:val="both"/>
      </w:pPr>
    </w:p>
    <w:p w:rsidR="00D63721" w:rsidRPr="00F216BF" w:rsidRDefault="007546DE" w:rsidP="002929F9">
      <w:pPr>
        <w:jc w:val="both"/>
      </w:pPr>
      <w:r>
        <w:t>W</w:t>
      </w:r>
      <w:r w:rsidR="00B85889" w:rsidRPr="00F216BF">
        <w:t xml:space="preserve">e present </w:t>
      </w:r>
      <w:r>
        <w:t xml:space="preserve">the </w:t>
      </w:r>
      <w:r w:rsidR="00B85889" w:rsidRPr="00F216BF">
        <w:t xml:space="preserve">HDI and its component indicators in Table 1 and HDI trends based on consistent time series data in Table 2. </w:t>
      </w:r>
      <w:r w:rsidR="00830699" w:rsidRPr="00F216BF">
        <w:t xml:space="preserve"> This is to reiterate that countries should focus on achievement over medium to long term, rather than comparing HDI values and ranks from o</w:t>
      </w:r>
      <w:r w:rsidR="00213594" w:rsidRPr="00F216BF">
        <w:t>ne report to the other.</w:t>
      </w:r>
    </w:p>
    <w:p w:rsidR="00213594" w:rsidRPr="00F216BF" w:rsidRDefault="00213594" w:rsidP="002929F9">
      <w:pPr>
        <w:jc w:val="both"/>
      </w:pPr>
    </w:p>
    <w:p w:rsidR="00213594" w:rsidRPr="00F216BF" w:rsidRDefault="00213594" w:rsidP="00213594">
      <w:pPr>
        <w:jc w:val="both"/>
        <w:rPr>
          <w:b/>
        </w:rPr>
      </w:pPr>
      <w:r w:rsidRPr="00F216BF">
        <w:rPr>
          <w:b/>
        </w:rPr>
        <w:t xml:space="preserve">Country coverage  </w:t>
      </w:r>
    </w:p>
    <w:p w:rsidR="00213594" w:rsidRPr="00F216BF" w:rsidRDefault="00213594" w:rsidP="00213594">
      <w:pPr>
        <w:jc w:val="both"/>
      </w:pPr>
    </w:p>
    <w:p w:rsidR="00AD1117" w:rsidRPr="00F216BF" w:rsidRDefault="00EB10A7" w:rsidP="00213594">
      <w:pPr>
        <w:jc w:val="both"/>
      </w:pPr>
      <w:r w:rsidRPr="00F216BF">
        <w:t>W</w:t>
      </w:r>
      <w:r w:rsidR="00925676" w:rsidRPr="00F216BF">
        <w:t xml:space="preserve">e have </w:t>
      </w:r>
      <w:r w:rsidRPr="00F216BF">
        <w:t>maintained</w:t>
      </w:r>
      <w:r w:rsidR="00925676" w:rsidRPr="00F216BF">
        <w:t xml:space="preserve"> the coverage </w:t>
      </w:r>
      <w:r w:rsidRPr="00F216BF">
        <w:t xml:space="preserve">of </w:t>
      </w:r>
      <w:r w:rsidR="00925676" w:rsidRPr="00F216BF">
        <w:t xml:space="preserve">187 countries and territories </w:t>
      </w:r>
      <w:r w:rsidRPr="00F216BF">
        <w:t>achieved in 2011.</w:t>
      </w:r>
    </w:p>
    <w:p w:rsidR="00213594" w:rsidRPr="00F216BF" w:rsidRDefault="00213594" w:rsidP="00213594">
      <w:pPr>
        <w:jc w:val="both"/>
      </w:pPr>
      <w:r w:rsidRPr="00F216BF">
        <w:t xml:space="preserve">There are </w:t>
      </w:r>
      <w:r w:rsidR="00EB10A7" w:rsidRPr="00F216BF">
        <w:t xml:space="preserve">eight </w:t>
      </w:r>
      <w:r w:rsidRPr="00F216BF">
        <w:t>UN Member States for which it is still not possible to calculate the HDI</w:t>
      </w:r>
      <w:r w:rsidRPr="00F216BF">
        <w:rPr>
          <w:rStyle w:val="FootnoteReference"/>
        </w:rPr>
        <w:footnoteReference w:id="1"/>
      </w:r>
      <w:r w:rsidRPr="00F216BF">
        <w:t xml:space="preserve">. </w:t>
      </w:r>
      <w:r w:rsidR="00AD1117" w:rsidRPr="00F216BF">
        <w:t>T</w:t>
      </w:r>
      <w:r w:rsidRPr="00F216BF">
        <w:t>hese countries are included in nearly all of our tables as data are usually available for other indicators even if not for all of those needed to calculate the HDI.</w:t>
      </w:r>
    </w:p>
    <w:p w:rsidR="008D1D5F" w:rsidRPr="00F216BF" w:rsidRDefault="008D1D5F" w:rsidP="00213594">
      <w:pPr>
        <w:jc w:val="both"/>
      </w:pPr>
    </w:p>
    <w:p w:rsidR="008D1D5F" w:rsidRDefault="008D1D5F" w:rsidP="00213594">
      <w:pPr>
        <w:jc w:val="both"/>
      </w:pPr>
      <w:r w:rsidRPr="00F216BF">
        <w:t xml:space="preserve">Countries are grouped under four human development groups, </w:t>
      </w:r>
      <w:r w:rsidR="007278E4" w:rsidRPr="00F216BF">
        <w:t>Very high, High, Medium and Low, the cut-off of which are based on human development index quartile</w:t>
      </w:r>
      <w:r w:rsidR="00997E24">
        <w:t>s</w:t>
      </w:r>
      <w:r w:rsidR="007278E4" w:rsidRPr="00F216BF">
        <w:t xml:space="preserve">. The quartiles have equal number of countries except for the Low </w:t>
      </w:r>
      <w:r w:rsidR="00841B3B">
        <w:t>H</w:t>
      </w:r>
      <w:r w:rsidR="007278E4" w:rsidRPr="00F216BF">
        <w:t>uman Development group which has 46 countries.</w:t>
      </w:r>
    </w:p>
    <w:p w:rsidR="006E1323" w:rsidRDefault="006E1323" w:rsidP="00213594">
      <w:pPr>
        <w:jc w:val="both"/>
      </w:pPr>
    </w:p>
    <w:p w:rsidR="006E1323" w:rsidRDefault="006E1323" w:rsidP="006E1323">
      <w:pPr>
        <w:jc w:val="both"/>
        <w:rPr>
          <w:b/>
          <w:sz w:val="20"/>
          <w:szCs w:val="20"/>
        </w:rPr>
      </w:pPr>
    </w:p>
    <w:p w:rsidR="006E1323" w:rsidRDefault="006E1323" w:rsidP="006E1323">
      <w:pPr>
        <w:jc w:val="both"/>
        <w:rPr>
          <w:b/>
          <w:sz w:val="20"/>
          <w:szCs w:val="20"/>
        </w:rPr>
      </w:pPr>
    </w:p>
    <w:p w:rsidR="006E1323" w:rsidRDefault="006E1323" w:rsidP="006E1323">
      <w:pPr>
        <w:jc w:val="both"/>
        <w:rPr>
          <w:b/>
          <w:sz w:val="20"/>
          <w:szCs w:val="20"/>
        </w:rPr>
      </w:pPr>
    </w:p>
    <w:p w:rsidR="006E1323" w:rsidRDefault="006E1323" w:rsidP="006E1323">
      <w:pPr>
        <w:jc w:val="both"/>
        <w:rPr>
          <w:b/>
          <w:sz w:val="20"/>
          <w:szCs w:val="20"/>
        </w:rPr>
      </w:pPr>
    </w:p>
    <w:p w:rsidR="006E1323" w:rsidRPr="00CC2083" w:rsidRDefault="006E1323" w:rsidP="006E1323">
      <w:pPr>
        <w:jc w:val="both"/>
        <w:rPr>
          <w:b/>
          <w:sz w:val="20"/>
          <w:szCs w:val="20"/>
        </w:rPr>
      </w:pPr>
    </w:p>
    <w:p w:rsidR="006E1323" w:rsidRPr="00400BB8" w:rsidRDefault="006E1323" w:rsidP="006E1323">
      <w:pPr>
        <w:pBdr>
          <w:top w:val="single" w:sz="4" w:space="1" w:color="auto"/>
          <w:left w:val="single" w:sz="4" w:space="22" w:color="auto"/>
          <w:bottom w:val="single" w:sz="4" w:space="1" w:color="auto"/>
          <w:right w:val="single" w:sz="4" w:space="4" w:color="auto"/>
        </w:pBdr>
        <w:jc w:val="both"/>
        <w:rPr>
          <w:b/>
        </w:rPr>
      </w:pPr>
      <w:r>
        <w:rPr>
          <w:b/>
        </w:rPr>
        <w:t>Arab States</w:t>
      </w:r>
    </w:p>
    <w:p w:rsidR="006E1323" w:rsidRPr="00400BB8" w:rsidRDefault="006E1323" w:rsidP="006E1323">
      <w:pPr>
        <w:pBdr>
          <w:top w:val="single" w:sz="4" w:space="1" w:color="auto"/>
          <w:left w:val="single" w:sz="4" w:space="22" w:color="auto"/>
          <w:bottom w:val="single" w:sz="4" w:space="1" w:color="auto"/>
          <w:right w:val="single" w:sz="4" w:space="4" w:color="auto"/>
        </w:pBdr>
        <w:jc w:val="both"/>
      </w:pPr>
      <w:r>
        <w:t>The “</w:t>
      </w:r>
      <w:r>
        <w:t>Arab States</w:t>
      </w:r>
      <w:r>
        <w:t xml:space="preserve">” region is defined for the purposes of this statistical briefing note as the group of developing countries in that region where UNDP has a programme presence. </w:t>
      </w:r>
      <w:r w:rsidRPr="006E1323">
        <w:t>19 out of 20 countries in the region are included in the HDI table, only Somalia is not included due to missing data for two HDI component indicators (Mean years of schooling for adults and GNI per capita).</w:t>
      </w:r>
    </w:p>
    <w:p w:rsidR="006E1323" w:rsidRPr="00F216BF" w:rsidRDefault="006E1323" w:rsidP="006E1323">
      <w:pPr>
        <w:jc w:val="both"/>
      </w:pPr>
    </w:p>
    <w:p w:rsidR="006E1323" w:rsidRDefault="006E1323" w:rsidP="006E1323">
      <w:pPr>
        <w:jc w:val="both"/>
        <w:rPr>
          <w:b/>
        </w:rPr>
      </w:pPr>
    </w:p>
    <w:p w:rsidR="006E1323" w:rsidRDefault="006E1323" w:rsidP="00213594">
      <w:pPr>
        <w:jc w:val="both"/>
      </w:pPr>
    </w:p>
    <w:p w:rsidR="00FA5355" w:rsidRPr="00F216BF" w:rsidRDefault="00FA5355" w:rsidP="00213594">
      <w:pPr>
        <w:jc w:val="both"/>
      </w:pPr>
    </w:p>
    <w:p w:rsidR="002F5F6B" w:rsidRPr="00F216BF" w:rsidRDefault="002F5F6B" w:rsidP="00F63301">
      <w:pPr>
        <w:jc w:val="both"/>
        <w:rPr>
          <w:b/>
        </w:rPr>
      </w:pPr>
      <w:r w:rsidRPr="00F216BF">
        <w:rPr>
          <w:b/>
        </w:rPr>
        <w:t>Data revisions</w:t>
      </w:r>
    </w:p>
    <w:p w:rsidR="00213594" w:rsidRPr="00F216BF" w:rsidRDefault="00213594" w:rsidP="00F63301">
      <w:pPr>
        <w:jc w:val="both"/>
        <w:rPr>
          <w:b/>
        </w:rPr>
      </w:pPr>
    </w:p>
    <w:p w:rsidR="007252C5" w:rsidRPr="00F216BF" w:rsidRDefault="00824DED" w:rsidP="007252C5">
      <w:pPr>
        <w:jc w:val="both"/>
      </w:pPr>
      <w:r w:rsidRPr="00F216BF">
        <w:t xml:space="preserve">Life expectancy at birth data, which are part of </w:t>
      </w:r>
      <w:r w:rsidR="00A6174B" w:rsidRPr="00F216BF">
        <w:t>the Wor</w:t>
      </w:r>
      <w:r w:rsidR="007252C5" w:rsidRPr="00F216BF">
        <w:t>ld Population Prospect</w:t>
      </w:r>
      <w:r w:rsidR="00B74055">
        <w:t xml:space="preserve">s produced by UNDESA and </w:t>
      </w:r>
      <w:r w:rsidR="00A6174B" w:rsidRPr="00F216BF">
        <w:t xml:space="preserve">are revised biennially. </w:t>
      </w:r>
      <w:r w:rsidR="00FC5B09" w:rsidRPr="00F216BF">
        <w:t>Like in 2011, the l</w:t>
      </w:r>
      <w:r w:rsidR="00A6174B" w:rsidRPr="00F216BF">
        <w:t>ife expectancy at birth data used for the HDI and its trends are from the 2010 Revision of the World Population Prospects.</w:t>
      </w:r>
      <w:r w:rsidR="007252C5" w:rsidRPr="00F216BF">
        <w:t xml:space="preserve"> </w:t>
      </w:r>
      <w:r w:rsidR="009C2E68" w:rsidRPr="00F216BF">
        <w:t>For about</w:t>
      </w:r>
      <w:r w:rsidR="007252C5" w:rsidRPr="00F216BF">
        <w:t xml:space="preserve"> 38 countries, of which </w:t>
      </w:r>
      <w:r w:rsidR="00DB6A40">
        <w:t xml:space="preserve">5 </w:t>
      </w:r>
      <w:r w:rsidR="007252C5" w:rsidRPr="00F216BF">
        <w:t xml:space="preserve">are </w:t>
      </w:r>
      <w:r w:rsidR="00DB6A40">
        <w:t>Arab States (Djibouti, Egypt, Kuwait, Oman and Sudan)</w:t>
      </w:r>
      <w:r w:rsidR="007252C5" w:rsidRPr="00F216BF">
        <w:t>, estimates are based on revised under-five mortality and/or significant revision of HIV prevalence time series by UNAIDS</w:t>
      </w:r>
      <w:r w:rsidR="009C2E68" w:rsidRPr="00F216BF">
        <w:t>.</w:t>
      </w:r>
      <w:r w:rsidR="007278E4" w:rsidRPr="00F216BF">
        <w:t xml:space="preserve"> </w:t>
      </w:r>
    </w:p>
    <w:p w:rsidR="004E1EF6" w:rsidRPr="00F216BF" w:rsidRDefault="004E1EF6" w:rsidP="007252C5">
      <w:pPr>
        <w:jc w:val="both"/>
      </w:pPr>
    </w:p>
    <w:p w:rsidR="008C20EE" w:rsidRPr="00F216BF" w:rsidRDefault="008C20EE" w:rsidP="008C20EE">
      <w:pPr>
        <w:jc w:val="both"/>
      </w:pPr>
      <w:r w:rsidRPr="00F216BF">
        <w:t xml:space="preserve">Gross national income (GNI) series is being continuously revised by World Bank. The 2012 data are based on the World Development Indicators database as of </w:t>
      </w:r>
      <w:r w:rsidR="00841B3B">
        <w:t xml:space="preserve">October </w:t>
      </w:r>
      <w:r w:rsidRPr="00F216BF">
        <w:t>15</w:t>
      </w:r>
      <w:r w:rsidR="00517C85">
        <w:t>,</w:t>
      </w:r>
      <w:r w:rsidRPr="00F216BF">
        <w:t xml:space="preserve"> 2012. GNI for 2012 is</w:t>
      </w:r>
      <w:r w:rsidR="007B4668">
        <w:t xml:space="preserve"> estimated </w:t>
      </w:r>
      <w:r w:rsidRPr="00F216BF">
        <w:t xml:space="preserve">based on the real GDP growth as predicted by IMF in </w:t>
      </w:r>
      <w:r w:rsidR="00841B3B">
        <w:t>October</w:t>
      </w:r>
      <w:r w:rsidRPr="00F216BF">
        <w:t xml:space="preserve"> 2012. </w:t>
      </w:r>
    </w:p>
    <w:p w:rsidR="008C20EE" w:rsidRPr="00F216BF" w:rsidRDefault="008C20EE" w:rsidP="008C20EE">
      <w:pPr>
        <w:jc w:val="both"/>
      </w:pPr>
    </w:p>
    <w:p w:rsidR="008C20EE" w:rsidRPr="00F216BF" w:rsidRDefault="006B6611" w:rsidP="008C20EE">
      <w:pPr>
        <w:jc w:val="both"/>
        <w:rPr>
          <w:b/>
        </w:rPr>
      </w:pPr>
      <w:r w:rsidRPr="00F216BF">
        <w:t>Mean years of schooling (MYS) series</w:t>
      </w:r>
      <w:r w:rsidR="007B4668">
        <w:t xml:space="preserve"> is </w:t>
      </w:r>
      <w:r w:rsidRPr="00F216BF">
        <w:t>based on data on educational attainment available at the UNESCO Institute for Statistics</w:t>
      </w:r>
      <w:r w:rsidR="007B4668">
        <w:t xml:space="preserve">. The estimates use </w:t>
      </w:r>
      <w:proofErr w:type="spellStart"/>
      <w:r w:rsidRPr="00F216BF">
        <w:t>Barro</w:t>
      </w:r>
      <w:proofErr w:type="spellEnd"/>
      <w:r w:rsidRPr="00F216BF">
        <w:t xml:space="preserve"> and Lee methodology.</w:t>
      </w:r>
    </w:p>
    <w:p w:rsidR="00B74055" w:rsidRDefault="00B74055" w:rsidP="008C20EE">
      <w:pPr>
        <w:jc w:val="both"/>
        <w:rPr>
          <w:b/>
        </w:rPr>
      </w:pPr>
    </w:p>
    <w:p w:rsidR="008C20EE" w:rsidRPr="00F216BF" w:rsidRDefault="008C20EE" w:rsidP="008C20EE">
      <w:pPr>
        <w:jc w:val="both"/>
        <w:rPr>
          <w:b/>
        </w:rPr>
      </w:pPr>
      <w:r w:rsidRPr="00F216BF">
        <w:rPr>
          <w:b/>
        </w:rPr>
        <w:t>Regional aggregation</w:t>
      </w:r>
    </w:p>
    <w:p w:rsidR="008C20EE" w:rsidRPr="00F216BF" w:rsidRDefault="008C20EE" w:rsidP="008C20EE">
      <w:pPr>
        <w:jc w:val="both"/>
      </w:pPr>
    </w:p>
    <w:p w:rsidR="008C20EE" w:rsidRPr="00F216BF" w:rsidRDefault="008C20EE" w:rsidP="008C20EE">
      <w:pPr>
        <w:jc w:val="both"/>
      </w:pPr>
      <w:r w:rsidRPr="00F216BF">
        <w:t xml:space="preserve">Regional aggregates of composite indices are calculated as composite indices of the regional aggregates of the corresponding indicators. </w:t>
      </w:r>
    </w:p>
    <w:p w:rsidR="008C20EE" w:rsidRPr="00F216BF" w:rsidRDefault="008C20EE" w:rsidP="007252C5">
      <w:pPr>
        <w:jc w:val="both"/>
      </w:pPr>
    </w:p>
    <w:p w:rsidR="003E6091" w:rsidRPr="00F216BF" w:rsidRDefault="003E6091" w:rsidP="003E6091">
      <w:pPr>
        <w:pStyle w:val="ListParagraph"/>
        <w:numPr>
          <w:ilvl w:val="1"/>
          <w:numId w:val="9"/>
        </w:numPr>
        <w:jc w:val="center"/>
        <w:rPr>
          <w:rFonts w:ascii="Times New Roman" w:hAnsi="Times New Roman"/>
          <w:b/>
          <w:color w:val="1F497D" w:themeColor="text2"/>
          <w:sz w:val="24"/>
          <w:szCs w:val="24"/>
        </w:rPr>
      </w:pPr>
      <w:r w:rsidRPr="00F216BF">
        <w:rPr>
          <w:rFonts w:ascii="Times New Roman" w:hAnsi="Times New Roman"/>
          <w:b/>
          <w:color w:val="1F497D" w:themeColor="text2"/>
          <w:sz w:val="24"/>
          <w:szCs w:val="24"/>
        </w:rPr>
        <w:t xml:space="preserve"> HDI, its components and trends</w:t>
      </w:r>
    </w:p>
    <w:p w:rsidR="003E6091" w:rsidRPr="00F216BF" w:rsidRDefault="003E6091" w:rsidP="003E6091">
      <w:pPr>
        <w:jc w:val="both"/>
      </w:pPr>
    </w:p>
    <w:p w:rsidR="00F216BF" w:rsidRDefault="003E6091" w:rsidP="003E6091">
      <w:pPr>
        <w:jc w:val="both"/>
      </w:pPr>
      <w:r w:rsidRPr="00F216BF">
        <w:t>We present HDI and its component indicators in Table 1 and HDI trends based on consistent time series data in Table 2.  The evolution of achievements over time should be analysed based on Table 2 and not by comparing the HDI values and ranks from one report to the other.</w:t>
      </w:r>
    </w:p>
    <w:p w:rsidR="006E1323" w:rsidRDefault="006E1323" w:rsidP="003E6091">
      <w:pPr>
        <w:jc w:val="both"/>
      </w:pPr>
    </w:p>
    <w:p w:rsidR="006E1323" w:rsidRDefault="006E1323" w:rsidP="003E6091">
      <w:pPr>
        <w:jc w:val="both"/>
      </w:pPr>
    </w:p>
    <w:p w:rsidR="006E1323" w:rsidRDefault="006E1323" w:rsidP="003E6091">
      <w:pPr>
        <w:jc w:val="both"/>
      </w:pPr>
    </w:p>
    <w:p w:rsidR="006E1323" w:rsidRDefault="006E1323" w:rsidP="003E6091">
      <w:pPr>
        <w:jc w:val="both"/>
      </w:pPr>
    </w:p>
    <w:p w:rsidR="006E1323" w:rsidRDefault="006E1323" w:rsidP="003E6091">
      <w:pPr>
        <w:jc w:val="both"/>
      </w:pPr>
    </w:p>
    <w:p w:rsidR="006E1323" w:rsidRDefault="006E1323" w:rsidP="003E6091">
      <w:pPr>
        <w:jc w:val="both"/>
      </w:pPr>
    </w:p>
    <w:p w:rsidR="006E1323" w:rsidRDefault="006E1323" w:rsidP="003E6091">
      <w:pPr>
        <w:jc w:val="both"/>
      </w:pPr>
    </w:p>
    <w:p w:rsidR="00D50985" w:rsidRPr="00F216BF" w:rsidRDefault="004B16A5" w:rsidP="00F216BF">
      <w:r w:rsidRPr="00F216BF">
        <w:rPr>
          <w:noProof/>
          <w:lang w:val="en-US"/>
        </w:rPr>
        <mc:AlternateContent>
          <mc:Choice Requires="wps">
            <w:drawing>
              <wp:anchor distT="0" distB="0" distL="114300" distR="114300" simplePos="0" relativeHeight="251659264" behindDoc="0" locked="0" layoutInCell="1" allowOverlap="1" wp14:anchorId="6CE730CE" wp14:editId="7C483496">
                <wp:simplePos x="0" y="0"/>
                <wp:positionH relativeFrom="column">
                  <wp:posOffset>-447675</wp:posOffset>
                </wp:positionH>
                <wp:positionV relativeFrom="paragraph">
                  <wp:posOffset>38735</wp:posOffset>
                </wp:positionV>
                <wp:extent cx="6543675" cy="4286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286250"/>
                        </a:xfrm>
                        <a:prstGeom prst="rect">
                          <a:avLst/>
                        </a:prstGeom>
                        <a:solidFill>
                          <a:srgbClr val="FFFFFF"/>
                        </a:solidFill>
                        <a:ln w="9525">
                          <a:solidFill>
                            <a:srgbClr val="000000"/>
                          </a:solidFill>
                          <a:miter lim="800000"/>
                          <a:headEnd/>
                          <a:tailEnd/>
                        </a:ln>
                      </wps:spPr>
                      <wps:txbx>
                        <w:txbxContent>
                          <w:p w:rsidR="00037536" w:rsidRPr="00B74055" w:rsidRDefault="00037536" w:rsidP="00B74055">
                            <w:pPr>
                              <w:jc w:val="both"/>
                              <w:rPr>
                                <w:b/>
                              </w:rPr>
                            </w:pPr>
                            <w:r w:rsidRPr="00B74055">
                              <w:rPr>
                                <w:b/>
                              </w:rPr>
                              <w:t xml:space="preserve">Arab States: </w:t>
                            </w:r>
                          </w:p>
                          <w:p w:rsidR="00037536" w:rsidRPr="00B74055" w:rsidRDefault="00037536" w:rsidP="00705696">
                            <w:pPr>
                              <w:pStyle w:val="ListParagraph"/>
                              <w:numPr>
                                <w:ilvl w:val="0"/>
                                <w:numId w:val="12"/>
                              </w:numPr>
                              <w:jc w:val="both"/>
                              <w:rPr>
                                <w:rFonts w:ascii="Times New Roman" w:hAnsi="Times New Roman"/>
                              </w:rPr>
                            </w:pPr>
                            <w:r w:rsidRPr="00B74055">
                              <w:rPr>
                                <w:rFonts w:ascii="Times New Roman" w:hAnsi="Times New Roman"/>
                              </w:rPr>
                              <w:t>There are two countries in the region (Qatar and United Arab Emirates in the very high human development group and eight (Bahrain,</w:t>
                            </w:r>
                            <w:r>
                              <w:rPr>
                                <w:rFonts w:ascii="Times New Roman" w:hAnsi="Times New Roman"/>
                              </w:rPr>
                              <w:t xml:space="preserve"> </w:t>
                            </w:r>
                            <w:r w:rsidRPr="00B74055">
                              <w:rPr>
                                <w:rFonts w:ascii="Times New Roman" w:hAnsi="Times New Roman"/>
                              </w:rPr>
                              <w:t>Kuwait, Saudi Arabia, Libya, Lebanon, Oman, Algeria and Tunisia) in the high human development group; six (Jordan, Occupied Palestinian Territory, Egypt, Syrian Arab Republic, Morocco and Iraq) in the medium human development group; and the remaining three (Yemen, Djibouti and Sudan)</w:t>
                            </w:r>
                            <w:r w:rsidR="00872851">
                              <w:rPr>
                                <w:rFonts w:ascii="Times New Roman" w:hAnsi="Times New Roman"/>
                              </w:rPr>
                              <w:t xml:space="preserve"> are</w:t>
                            </w:r>
                            <w:r w:rsidRPr="00B74055">
                              <w:rPr>
                                <w:rFonts w:ascii="Times New Roman" w:hAnsi="Times New Roman"/>
                              </w:rPr>
                              <w:t xml:space="preserve"> in the low Human development group.  </w:t>
                            </w:r>
                          </w:p>
                          <w:p w:rsidR="00037536" w:rsidRPr="00B74055" w:rsidRDefault="00037536" w:rsidP="00DA7FA4">
                            <w:pPr>
                              <w:pStyle w:val="ListParagraph"/>
                              <w:numPr>
                                <w:ilvl w:val="0"/>
                                <w:numId w:val="12"/>
                              </w:numPr>
                              <w:jc w:val="both"/>
                              <w:rPr>
                                <w:rFonts w:ascii="Times New Roman" w:hAnsi="Times New Roman"/>
                              </w:rPr>
                            </w:pPr>
                            <w:r w:rsidRPr="00B74055">
                              <w:rPr>
                                <w:rFonts w:ascii="Times New Roman" w:hAnsi="Times New Roman"/>
                              </w:rPr>
                              <w:t>The average HDI value for the region of 0.652 is below the world average of 0.69</w:t>
                            </w:r>
                            <w:r>
                              <w:rPr>
                                <w:rFonts w:ascii="Times New Roman" w:hAnsi="Times New Roman"/>
                              </w:rPr>
                              <w:t>4</w:t>
                            </w:r>
                            <w:r w:rsidRPr="00B74055">
                              <w:rPr>
                                <w:rFonts w:ascii="Times New Roman" w:hAnsi="Times New Roman"/>
                              </w:rPr>
                              <w:t xml:space="preserve"> and below the averages for East Asia and the Pacific, Europe and Central Asia and Latin America and the Caribbean. The region just above the Arab State Region (East Asia and the Pacific) has average HDI value that is 0.03</w:t>
                            </w:r>
                            <w:r>
                              <w:rPr>
                                <w:rFonts w:ascii="Times New Roman" w:hAnsi="Times New Roman"/>
                              </w:rPr>
                              <w:t>1</w:t>
                            </w:r>
                            <w:r w:rsidRPr="00B74055">
                              <w:rPr>
                                <w:rFonts w:ascii="Times New Roman" w:hAnsi="Times New Roman"/>
                              </w:rPr>
                              <w:t xml:space="preserve">higher than the average for Arab States.  </w:t>
                            </w:r>
                          </w:p>
                          <w:p w:rsidR="00037536" w:rsidRPr="00B74055" w:rsidRDefault="00037536" w:rsidP="00DA7FA4">
                            <w:pPr>
                              <w:pStyle w:val="ListParagraph"/>
                              <w:numPr>
                                <w:ilvl w:val="0"/>
                                <w:numId w:val="12"/>
                              </w:numPr>
                              <w:jc w:val="both"/>
                              <w:rPr>
                                <w:rFonts w:ascii="Times New Roman" w:hAnsi="Times New Roman"/>
                              </w:rPr>
                            </w:pPr>
                            <w:r w:rsidRPr="00B74055">
                              <w:rPr>
                                <w:rFonts w:ascii="Times New Roman" w:hAnsi="Times New Roman"/>
                              </w:rPr>
                              <w:t>Between 2000 and 2012, the region registered annual growth of 0.9</w:t>
                            </w:r>
                            <w:r>
                              <w:rPr>
                                <w:rFonts w:ascii="Times New Roman" w:hAnsi="Times New Roman"/>
                              </w:rPr>
                              <w:t>4</w:t>
                            </w:r>
                            <w:r w:rsidRPr="00B74055">
                              <w:rPr>
                                <w:rFonts w:ascii="Times New Roman" w:hAnsi="Times New Roman"/>
                              </w:rPr>
                              <w:t>% in HDI value, placing it fourth in comparison to other regions. Looking at individual countries in the region, Yemen achieved the fastest growth (1.6</w:t>
                            </w:r>
                            <w:r>
                              <w:rPr>
                                <w:rFonts w:ascii="Times New Roman" w:hAnsi="Times New Roman"/>
                              </w:rPr>
                              <w:t>6</w:t>
                            </w:r>
                            <w:r w:rsidRPr="00B74055">
                              <w:rPr>
                                <w:rFonts w:ascii="Times New Roman" w:hAnsi="Times New Roman"/>
                              </w:rPr>
                              <w:t xml:space="preserve">%). Followed by Morocco with 1.2% and </w:t>
                            </w:r>
                            <w:r>
                              <w:rPr>
                                <w:rFonts w:ascii="Times New Roman" w:hAnsi="Times New Roman"/>
                              </w:rPr>
                              <w:t>Algeria</w:t>
                            </w:r>
                            <w:r w:rsidRPr="00B74055">
                              <w:rPr>
                                <w:rFonts w:ascii="Times New Roman" w:hAnsi="Times New Roman"/>
                              </w:rPr>
                              <w:t xml:space="preserve">, 1.1%. The least growth was registered by </w:t>
                            </w:r>
                            <w:r>
                              <w:rPr>
                                <w:rFonts w:ascii="Times New Roman" w:hAnsi="Times New Roman"/>
                              </w:rPr>
                              <w:t>Kuwait</w:t>
                            </w:r>
                            <w:r w:rsidRPr="00B74055">
                              <w:rPr>
                                <w:rFonts w:ascii="Times New Roman" w:hAnsi="Times New Roman"/>
                              </w:rPr>
                              <w:t xml:space="preserve"> (0.1%). </w:t>
                            </w:r>
                          </w:p>
                          <w:p w:rsidR="00037536" w:rsidRPr="00B74055" w:rsidRDefault="00037536" w:rsidP="00DA7FA4">
                            <w:pPr>
                              <w:ind w:left="360"/>
                              <w:jc w:val="both"/>
                              <w:rPr>
                                <w:b/>
                                <w:sz w:val="22"/>
                                <w:szCs w:val="22"/>
                              </w:rPr>
                            </w:pPr>
                            <w:r w:rsidRPr="00B74055">
                              <w:rPr>
                                <w:b/>
                                <w:sz w:val="22"/>
                                <w:szCs w:val="22"/>
                              </w:rPr>
                              <w:t>HDI components</w:t>
                            </w:r>
                          </w:p>
                          <w:p w:rsidR="00037536" w:rsidRPr="00B74055" w:rsidRDefault="00037536" w:rsidP="00DA7FA4">
                            <w:pPr>
                              <w:ind w:left="360"/>
                              <w:jc w:val="both"/>
                              <w:rPr>
                                <w:b/>
                                <w:sz w:val="22"/>
                                <w:szCs w:val="22"/>
                              </w:rPr>
                            </w:pPr>
                          </w:p>
                          <w:p w:rsidR="00037536" w:rsidRPr="00F216BF" w:rsidRDefault="00037536" w:rsidP="00DA7FA4">
                            <w:pPr>
                              <w:ind w:left="360"/>
                              <w:jc w:val="both"/>
                              <w:rPr>
                                <w:sz w:val="22"/>
                                <w:szCs w:val="22"/>
                              </w:rPr>
                            </w:pPr>
                            <w:r w:rsidRPr="00B74055">
                              <w:rPr>
                                <w:sz w:val="22"/>
                                <w:szCs w:val="22"/>
                              </w:rPr>
                              <w:t>The region’s average life expectancy at birth is 71.0 years, about a year higher than the world average and places the region ahead of South Asia and sub-Saharan Africa regions. However, it is more than 3 years below the average for Latin America and the Caribbean, region with the highest average life expectancy at birth. The region’s average mean years of schooling of 6 years is 1.3 years higher than those of South Asia and sub-Saharan Africa regions but 1.5 years below the World average and over 4 years below the average for Europe and Central Asia. Its average expected years of schooling of 10.6 years is a year below the world average of 11.6 years. The average gross national income per capita of $8,3</w:t>
                            </w:r>
                            <w:r>
                              <w:rPr>
                                <w:sz w:val="22"/>
                                <w:szCs w:val="22"/>
                              </w:rPr>
                              <w:t>17</w:t>
                            </w:r>
                            <w:r w:rsidRPr="00B74055">
                              <w:rPr>
                                <w:sz w:val="22"/>
                                <w:szCs w:val="22"/>
                              </w:rPr>
                              <w:t xml:space="preserve"> (PPP$ constant</w:t>
                            </w:r>
                            <w:r w:rsidRPr="00F216BF">
                              <w:rPr>
                                <w:sz w:val="20"/>
                                <w:szCs w:val="20"/>
                              </w:rPr>
                              <w:t xml:space="preserve"> 2005 international) is about </w:t>
                            </w:r>
                            <w:r>
                              <w:rPr>
                                <w:sz w:val="20"/>
                                <w:szCs w:val="20"/>
                              </w:rPr>
                              <w:t>82%</w:t>
                            </w:r>
                            <w:r w:rsidRPr="00F216BF">
                              <w:rPr>
                                <w:sz w:val="20"/>
                                <w:szCs w:val="20"/>
                              </w:rPr>
                              <w:t xml:space="preserve"> the world average of $10,</w:t>
                            </w:r>
                            <w:r>
                              <w:rPr>
                                <w:sz w:val="20"/>
                                <w:szCs w:val="20"/>
                              </w:rPr>
                              <w:t>184</w:t>
                            </w:r>
                            <w:r w:rsidRPr="00F216BF">
                              <w:rPr>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5pt;margin-top:3.05pt;width:515.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7iJg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">
                <v:textbox>
                  <w:txbxContent>
                    <w:p w:rsidR="00037536" w:rsidRPr="00B74055" w:rsidRDefault="00037536" w:rsidP="00B74055">
                      <w:pPr>
                        <w:jc w:val="both"/>
                        <w:rPr>
                          <w:b/>
                        </w:rPr>
                      </w:pPr>
                      <w:r w:rsidRPr="00B74055">
                        <w:rPr>
                          <w:b/>
                        </w:rPr>
                        <w:t xml:space="preserve">Arab States: </w:t>
                      </w:r>
                    </w:p>
                    <w:p w:rsidR="00037536" w:rsidRPr="00B74055" w:rsidRDefault="00037536" w:rsidP="00705696">
                      <w:pPr>
                        <w:pStyle w:val="ListParagraph"/>
                        <w:numPr>
                          <w:ilvl w:val="0"/>
                          <w:numId w:val="12"/>
                        </w:numPr>
                        <w:jc w:val="both"/>
                        <w:rPr>
                          <w:rFonts w:ascii="Times New Roman" w:hAnsi="Times New Roman"/>
                        </w:rPr>
                      </w:pPr>
                      <w:r w:rsidRPr="00B74055">
                        <w:rPr>
                          <w:rFonts w:ascii="Times New Roman" w:hAnsi="Times New Roman"/>
                        </w:rPr>
                        <w:t>There are two countries in the region (Qatar and United Arab Emirates in the very high human development group and eight (Bahrain,</w:t>
                      </w:r>
                      <w:r>
                        <w:rPr>
                          <w:rFonts w:ascii="Times New Roman" w:hAnsi="Times New Roman"/>
                        </w:rPr>
                        <w:t xml:space="preserve"> </w:t>
                      </w:r>
                      <w:r w:rsidRPr="00B74055">
                        <w:rPr>
                          <w:rFonts w:ascii="Times New Roman" w:hAnsi="Times New Roman"/>
                        </w:rPr>
                        <w:t>Kuwait, Saudi Arabia, Libya, Lebanon, Oman, Algeria and Tunisia) in the high human development group; six (Jordan, Occupied Palestinian Territory, Egypt, Syrian Arab Republic, Morocco and Iraq) in the medium human development group; and the remaining three (Yemen, Djibouti and Sudan)</w:t>
                      </w:r>
                      <w:r w:rsidR="00872851">
                        <w:rPr>
                          <w:rFonts w:ascii="Times New Roman" w:hAnsi="Times New Roman"/>
                        </w:rPr>
                        <w:t xml:space="preserve"> are</w:t>
                      </w:r>
                      <w:r w:rsidRPr="00B74055">
                        <w:rPr>
                          <w:rFonts w:ascii="Times New Roman" w:hAnsi="Times New Roman"/>
                        </w:rPr>
                        <w:t xml:space="preserve"> in the low Human development group.  </w:t>
                      </w:r>
                    </w:p>
                    <w:p w:rsidR="00037536" w:rsidRPr="00B74055" w:rsidRDefault="00037536" w:rsidP="00DA7FA4">
                      <w:pPr>
                        <w:pStyle w:val="ListParagraph"/>
                        <w:numPr>
                          <w:ilvl w:val="0"/>
                          <w:numId w:val="12"/>
                        </w:numPr>
                        <w:jc w:val="both"/>
                        <w:rPr>
                          <w:rFonts w:ascii="Times New Roman" w:hAnsi="Times New Roman"/>
                        </w:rPr>
                      </w:pPr>
                      <w:r w:rsidRPr="00B74055">
                        <w:rPr>
                          <w:rFonts w:ascii="Times New Roman" w:hAnsi="Times New Roman"/>
                        </w:rPr>
                        <w:t>The average HDI value for the region of 0.652 is below the world average of 0.69</w:t>
                      </w:r>
                      <w:r>
                        <w:rPr>
                          <w:rFonts w:ascii="Times New Roman" w:hAnsi="Times New Roman"/>
                        </w:rPr>
                        <w:t>4</w:t>
                      </w:r>
                      <w:r w:rsidRPr="00B74055">
                        <w:rPr>
                          <w:rFonts w:ascii="Times New Roman" w:hAnsi="Times New Roman"/>
                        </w:rPr>
                        <w:t xml:space="preserve"> and below the averages for East Asia and the Pacific, Europe and Central Asia and Latin America and the Caribbean. The region just above the Arab State Region (East Asia and the Pacific) has average HDI value that is 0.03</w:t>
                      </w:r>
                      <w:r>
                        <w:rPr>
                          <w:rFonts w:ascii="Times New Roman" w:hAnsi="Times New Roman"/>
                        </w:rPr>
                        <w:t>1</w:t>
                      </w:r>
                      <w:r w:rsidRPr="00B74055">
                        <w:rPr>
                          <w:rFonts w:ascii="Times New Roman" w:hAnsi="Times New Roman"/>
                        </w:rPr>
                        <w:t xml:space="preserve">higher than the average for Arab States.  </w:t>
                      </w:r>
                    </w:p>
                    <w:p w:rsidR="00037536" w:rsidRPr="00B74055" w:rsidRDefault="00037536" w:rsidP="00DA7FA4">
                      <w:pPr>
                        <w:pStyle w:val="ListParagraph"/>
                        <w:numPr>
                          <w:ilvl w:val="0"/>
                          <w:numId w:val="12"/>
                        </w:numPr>
                        <w:jc w:val="both"/>
                        <w:rPr>
                          <w:rFonts w:ascii="Times New Roman" w:hAnsi="Times New Roman"/>
                        </w:rPr>
                      </w:pPr>
                      <w:r w:rsidRPr="00B74055">
                        <w:rPr>
                          <w:rFonts w:ascii="Times New Roman" w:hAnsi="Times New Roman"/>
                        </w:rPr>
                        <w:t>Between 2000 and 2012, the region registered annual growth of 0.9</w:t>
                      </w:r>
                      <w:r>
                        <w:rPr>
                          <w:rFonts w:ascii="Times New Roman" w:hAnsi="Times New Roman"/>
                        </w:rPr>
                        <w:t>4</w:t>
                      </w:r>
                      <w:r w:rsidRPr="00B74055">
                        <w:rPr>
                          <w:rFonts w:ascii="Times New Roman" w:hAnsi="Times New Roman"/>
                        </w:rPr>
                        <w:t>% in HDI value, placing it fourth in comparison to other regions. Looking at individual countries in the region, Yemen achieved the fastest growth (1.6</w:t>
                      </w:r>
                      <w:r>
                        <w:rPr>
                          <w:rFonts w:ascii="Times New Roman" w:hAnsi="Times New Roman"/>
                        </w:rPr>
                        <w:t>6</w:t>
                      </w:r>
                      <w:r w:rsidRPr="00B74055">
                        <w:rPr>
                          <w:rFonts w:ascii="Times New Roman" w:hAnsi="Times New Roman"/>
                        </w:rPr>
                        <w:t xml:space="preserve">%). Followed by Morocco with 1.2% and </w:t>
                      </w:r>
                      <w:r>
                        <w:rPr>
                          <w:rFonts w:ascii="Times New Roman" w:hAnsi="Times New Roman"/>
                        </w:rPr>
                        <w:t>Algeria</w:t>
                      </w:r>
                      <w:r w:rsidRPr="00B74055">
                        <w:rPr>
                          <w:rFonts w:ascii="Times New Roman" w:hAnsi="Times New Roman"/>
                        </w:rPr>
                        <w:t xml:space="preserve">, 1.1%. The least growth was registered by </w:t>
                      </w:r>
                      <w:r>
                        <w:rPr>
                          <w:rFonts w:ascii="Times New Roman" w:hAnsi="Times New Roman"/>
                        </w:rPr>
                        <w:t>Kuwait</w:t>
                      </w:r>
                      <w:r w:rsidRPr="00B74055">
                        <w:rPr>
                          <w:rFonts w:ascii="Times New Roman" w:hAnsi="Times New Roman"/>
                        </w:rPr>
                        <w:t xml:space="preserve"> (0.1%). </w:t>
                      </w:r>
                    </w:p>
                    <w:p w:rsidR="00037536" w:rsidRPr="00B74055" w:rsidRDefault="00037536" w:rsidP="00DA7FA4">
                      <w:pPr>
                        <w:ind w:left="360"/>
                        <w:jc w:val="both"/>
                        <w:rPr>
                          <w:b/>
                          <w:sz w:val="22"/>
                          <w:szCs w:val="22"/>
                        </w:rPr>
                      </w:pPr>
                      <w:r w:rsidRPr="00B74055">
                        <w:rPr>
                          <w:b/>
                          <w:sz w:val="22"/>
                          <w:szCs w:val="22"/>
                        </w:rPr>
                        <w:t>HDI components</w:t>
                      </w:r>
                    </w:p>
                    <w:p w:rsidR="00037536" w:rsidRPr="00B74055" w:rsidRDefault="00037536" w:rsidP="00DA7FA4">
                      <w:pPr>
                        <w:ind w:left="360"/>
                        <w:jc w:val="both"/>
                        <w:rPr>
                          <w:b/>
                          <w:sz w:val="22"/>
                          <w:szCs w:val="22"/>
                        </w:rPr>
                      </w:pPr>
                    </w:p>
                    <w:p w:rsidR="00037536" w:rsidRPr="00F216BF" w:rsidRDefault="00037536" w:rsidP="00DA7FA4">
                      <w:pPr>
                        <w:ind w:left="360"/>
                        <w:jc w:val="both"/>
                        <w:rPr>
                          <w:sz w:val="22"/>
                          <w:szCs w:val="22"/>
                        </w:rPr>
                      </w:pPr>
                      <w:r w:rsidRPr="00B74055">
                        <w:rPr>
                          <w:sz w:val="22"/>
                          <w:szCs w:val="22"/>
                        </w:rPr>
                        <w:t>The region’s average life expectancy at birth is 71.0 years, about a year higher than the world average and places the region ahead of South Asia and sub-Saharan Africa regions. However, it is more than 3 years below the average for Latin America and the Caribbean, region with the highest average life expectancy at birth. The region’s average mean years of schooling of 6 years is 1.3 years higher than those of South Asia and sub-Saharan Africa regions but 1.5 years below the World average and over 4 years below the average for Europe and Central Asia. Its average expected years of schooling of 10.6 years is a year below the world average of 11.6 years. The average gross national income per capita of $8,3</w:t>
                      </w:r>
                      <w:r>
                        <w:rPr>
                          <w:sz w:val="22"/>
                          <w:szCs w:val="22"/>
                        </w:rPr>
                        <w:t>17</w:t>
                      </w:r>
                      <w:r w:rsidRPr="00B74055">
                        <w:rPr>
                          <w:sz w:val="22"/>
                          <w:szCs w:val="22"/>
                        </w:rPr>
                        <w:t xml:space="preserve"> (PPP$ constant</w:t>
                      </w:r>
                      <w:r w:rsidRPr="00F216BF">
                        <w:rPr>
                          <w:sz w:val="20"/>
                          <w:szCs w:val="20"/>
                        </w:rPr>
                        <w:t xml:space="preserve"> 2005 international) is about </w:t>
                      </w:r>
                      <w:r>
                        <w:rPr>
                          <w:sz w:val="20"/>
                          <w:szCs w:val="20"/>
                        </w:rPr>
                        <w:t>82%</w:t>
                      </w:r>
                      <w:r w:rsidRPr="00F216BF">
                        <w:rPr>
                          <w:sz w:val="20"/>
                          <w:szCs w:val="20"/>
                        </w:rPr>
                        <w:t xml:space="preserve"> the world average of $10,</w:t>
                      </w:r>
                      <w:r>
                        <w:rPr>
                          <w:sz w:val="20"/>
                          <w:szCs w:val="20"/>
                        </w:rPr>
                        <w:t>184</w:t>
                      </w:r>
                      <w:r w:rsidRPr="00F216BF">
                        <w:rPr>
                          <w:sz w:val="22"/>
                          <w:szCs w:val="22"/>
                        </w:rPr>
                        <w:t xml:space="preserve">  </w:t>
                      </w:r>
                    </w:p>
                  </w:txbxContent>
                </v:textbox>
              </v:shape>
            </w:pict>
          </mc:Fallback>
        </mc:AlternateContent>
      </w:r>
      <w:r w:rsidR="00F216BF">
        <w:br w:type="page"/>
      </w:r>
    </w:p>
    <w:p w:rsidR="0002319C" w:rsidRPr="00F216BF" w:rsidRDefault="0002319C" w:rsidP="00020E31">
      <w:pPr>
        <w:pStyle w:val="BodyText"/>
        <w:numPr>
          <w:ilvl w:val="0"/>
          <w:numId w:val="9"/>
        </w:numPr>
        <w:rPr>
          <w:rFonts w:ascii="Times New Roman" w:hAnsi="Times New Roman"/>
          <w:b/>
          <w:color w:val="1F497D" w:themeColor="text2"/>
        </w:rPr>
      </w:pPr>
      <w:r w:rsidRPr="00F216BF">
        <w:rPr>
          <w:rFonts w:ascii="Times New Roman" w:hAnsi="Times New Roman"/>
          <w:b/>
        </w:rPr>
        <w:lastRenderedPageBreak/>
        <w:t>I</w:t>
      </w:r>
      <w:r w:rsidRPr="00F216BF">
        <w:rPr>
          <w:rFonts w:ascii="Times New Roman" w:eastAsia="Calibri" w:hAnsi="Times New Roman"/>
          <w:b/>
          <w:lang w:eastAsia="en-GB"/>
        </w:rPr>
        <w:t>NEQUALITY-ADJUSTED HDI (IHDI)</w:t>
      </w:r>
    </w:p>
    <w:p w:rsidR="004350CF" w:rsidRPr="00F216BF" w:rsidRDefault="0002319C" w:rsidP="004350CF">
      <w:pPr>
        <w:jc w:val="both"/>
      </w:pPr>
      <w:r w:rsidRPr="00F216BF">
        <w:t xml:space="preserve">The IHDI is the HDI adjusted for inequalities in the distribution of achievements in each of the three dimensions. The IHDI will be equal to the HDI value when there is no inequality, but falls below the HDI value as inequality rises. The difference between the HDI and the IHDI represents the ‘loss’ in potential human development due to inequality and can be expressed as a percentage. </w:t>
      </w:r>
      <w:r w:rsidR="00B74055">
        <w:t>This year,</w:t>
      </w:r>
      <w:r w:rsidR="004350CF" w:rsidRPr="00F216BF">
        <w:t xml:space="preserve"> the IHDI </w:t>
      </w:r>
      <w:r w:rsidR="00B74055">
        <w:t>has been</w:t>
      </w:r>
      <w:r w:rsidR="004350CF" w:rsidRPr="00F216BF">
        <w:t xml:space="preserve"> calculated for 132 countries, two countries fewer than in 2011 (134) and seven countries fewer than in 2010 (139). Data for five countries that had IHDI in 2011 (Bahamas, Micronesia, Paraguay, Russia and Tunisia) were not used because they refer to years before 2002 and the IHDI is not calculated using data more than 10 years old. IHDI was estimated for three new countries with data that became available - Angola, Bhutan and Malta.  </w:t>
      </w:r>
    </w:p>
    <w:p w:rsidR="0002319C" w:rsidRPr="00F216BF" w:rsidRDefault="0002319C" w:rsidP="0002319C">
      <w:pPr>
        <w:pStyle w:val="BodyText"/>
        <w:jc w:val="both"/>
        <w:rPr>
          <w:rFonts w:ascii="Times New Roman" w:hAnsi="Times New Roman"/>
        </w:rPr>
      </w:pPr>
    </w:p>
    <w:p w:rsidR="0002319C" w:rsidRPr="00F216BF" w:rsidRDefault="004B16A5" w:rsidP="00C5560F">
      <w:pPr>
        <w:pStyle w:val="BodyText"/>
        <w:jc w:val="both"/>
        <w:rPr>
          <w:rFonts w:ascii="Times New Roman" w:hAnsi="Times New Roman"/>
          <w:b/>
        </w:rPr>
      </w:pPr>
      <w:r w:rsidRPr="00F216BF">
        <w:rPr>
          <w:rFonts w:ascii="Times New Roman" w:hAnsi="Times New Roman"/>
          <w:b/>
          <w:noProof/>
          <w:lang w:val="en-US"/>
        </w:rPr>
        <mc:AlternateContent>
          <mc:Choice Requires="wps">
            <w:drawing>
              <wp:anchor distT="0" distB="0" distL="114300" distR="114300" simplePos="0" relativeHeight="251661312" behindDoc="0" locked="0" layoutInCell="1" allowOverlap="1" wp14:anchorId="791651F4" wp14:editId="6852FA65">
                <wp:simplePos x="0" y="0"/>
                <wp:positionH relativeFrom="column">
                  <wp:align>center</wp:align>
                </wp:positionH>
                <wp:positionV relativeFrom="paragraph">
                  <wp:posOffset>0</wp:posOffset>
                </wp:positionV>
                <wp:extent cx="5762625" cy="31527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152775"/>
                        </a:xfrm>
                        <a:prstGeom prst="rect">
                          <a:avLst/>
                        </a:prstGeom>
                        <a:solidFill>
                          <a:srgbClr val="FFFFFF"/>
                        </a:solidFill>
                        <a:ln w="9525">
                          <a:solidFill>
                            <a:srgbClr val="000000"/>
                          </a:solidFill>
                          <a:miter lim="800000"/>
                          <a:headEnd/>
                          <a:tailEnd/>
                        </a:ln>
                      </wps:spPr>
                      <wps:txbx>
                        <w:txbxContent>
                          <w:p w:rsidR="00037536" w:rsidRPr="004B16A5" w:rsidRDefault="00037536" w:rsidP="00DA7038">
                            <w:pPr>
                              <w:jc w:val="both"/>
                              <w:rPr>
                                <w:b/>
                                <w:sz w:val="22"/>
                                <w:szCs w:val="22"/>
                              </w:rPr>
                            </w:pPr>
                            <w:r>
                              <w:rPr>
                                <w:b/>
                                <w:sz w:val="22"/>
                                <w:szCs w:val="22"/>
                              </w:rPr>
                              <w:t>Arab States</w:t>
                            </w:r>
                          </w:p>
                          <w:p w:rsidR="00037536" w:rsidRDefault="00037536" w:rsidP="00DA7038">
                            <w:pPr>
                              <w:jc w:val="both"/>
                              <w:rPr>
                                <w:sz w:val="22"/>
                                <w:szCs w:val="22"/>
                              </w:rPr>
                            </w:pPr>
                          </w:p>
                          <w:p w:rsidR="00037536" w:rsidRDefault="00037536" w:rsidP="00DA7038">
                            <w:pPr>
                              <w:jc w:val="both"/>
                              <w:rPr>
                                <w:sz w:val="22"/>
                                <w:szCs w:val="22"/>
                              </w:rPr>
                            </w:pPr>
                            <w:r w:rsidRPr="00F216BF">
                              <w:rPr>
                                <w:sz w:val="22"/>
                                <w:szCs w:val="22"/>
                              </w:rPr>
                              <w:t xml:space="preserve">The IHDI was calculated for </w:t>
                            </w:r>
                            <w:r>
                              <w:rPr>
                                <w:sz w:val="22"/>
                                <w:szCs w:val="22"/>
                              </w:rPr>
                              <w:t>7</w:t>
                            </w:r>
                            <w:r w:rsidRPr="00F216BF">
                              <w:rPr>
                                <w:sz w:val="22"/>
                                <w:szCs w:val="22"/>
                              </w:rPr>
                              <w:t xml:space="preserve"> out of the </w:t>
                            </w:r>
                            <w:r>
                              <w:rPr>
                                <w:sz w:val="22"/>
                                <w:szCs w:val="22"/>
                              </w:rPr>
                              <w:t>20</w:t>
                            </w:r>
                            <w:r w:rsidRPr="00F216BF">
                              <w:rPr>
                                <w:sz w:val="22"/>
                                <w:szCs w:val="22"/>
                              </w:rPr>
                              <w:t xml:space="preserve"> countries</w:t>
                            </w:r>
                            <w:r>
                              <w:rPr>
                                <w:sz w:val="22"/>
                                <w:szCs w:val="22"/>
                              </w:rPr>
                              <w:t xml:space="preserve"> in the region. It is not calculated for Qatar, United Arab Emirates, Kuwait, Bahrain, Saudi Arabia, Libya, Oman, Algeria, Tunisia, Occupied Palestinian Territory, Iraq, Sudan and Somalia</w:t>
                            </w:r>
                            <w:r w:rsidRPr="00F216BF">
                              <w:rPr>
                                <w:sz w:val="22"/>
                                <w:szCs w:val="22"/>
                              </w:rPr>
                              <w:t xml:space="preserve">.  Inequality in life expectancy at birth is calculated for </w:t>
                            </w:r>
                            <w:r>
                              <w:rPr>
                                <w:sz w:val="22"/>
                                <w:szCs w:val="22"/>
                              </w:rPr>
                              <w:t>17</w:t>
                            </w:r>
                            <w:r w:rsidRPr="00F216BF">
                              <w:rPr>
                                <w:sz w:val="22"/>
                                <w:szCs w:val="22"/>
                              </w:rPr>
                              <w:t xml:space="preserve"> countries, in education for 8 countries and in income for 7</w:t>
                            </w:r>
                            <w:r>
                              <w:rPr>
                                <w:sz w:val="22"/>
                                <w:szCs w:val="22"/>
                              </w:rPr>
                              <w:t xml:space="preserve"> countries</w:t>
                            </w:r>
                            <w:r w:rsidRPr="00F216BF">
                              <w:rPr>
                                <w:sz w:val="22"/>
                                <w:szCs w:val="22"/>
                              </w:rPr>
                              <w:t xml:space="preserve">.  </w:t>
                            </w:r>
                          </w:p>
                          <w:p w:rsidR="00037536" w:rsidRPr="00F216BF" w:rsidRDefault="00037536" w:rsidP="00DA7038">
                            <w:pPr>
                              <w:jc w:val="both"/>
                              <w:rPr>
                                <w:sz w:val="22"/>
                                <w:szCs w:val="22"/>
                              </w:rPr>
                            </w:pPr>
                            <w:r>
                              <w:rPr>
                                <w:sz w:val="22"/>
                                <w:szCs w:val="22"/>
                              </w:rPr>
                              <w:t xml:space="preserve">The region is ranked third out of 6 regions in terms of overall loss to HDI due to inequality in the distribution </w:t>
                            </w:r>
                            <w:r w:rsidRPr="00F216BF">
                              <w:rPr>
                                <w:sz w:val="22"/>
                                <w:szCs w:val="22"/>
                              </w:rPr>
                              <w:t>(</w:t>
                            </w:r>
                            <w:r>
                              <w:rPr>
                                <w:sz w:val="22"/>
                                <w:szCs w:val="22"/>
                              </w:rPr>
                              <w:t>25.4</w:t>
                            </w:r>
                            <w:r w:rsidRPr="00F216BF">
                              <w:rPr>
                                <w:sz w:val="22"/>
                                <w:szCs w:val="22"/>
                              </w:rPr>
                              <w:t>%)</w:t>
                            </w:r>
                            <w:r>
                              <w:rPr>
                                <w:sz w:val="22"/>
                                <w:szCs w:val="22"/>
                              </w:rPr>
                              <w:t xml:space="preserve"> and over 2 percentage points higher compared to t</w:t>
                            </w:r>
                            <w:r w:rsidRPr="00F216BF">
                              <w:rPr>
                                <w:sz w:val="22"/>
                                <w:szCs w:val="22"/>
                              </w:rPr>
                              <w:t xml:space="preserve">he </w:t>
                            </w:r>
                            <w:r>
                              <w:rPr>
                                <w:sz w:val="22"/>
                                <w:szCs w:val="22"/>
                              </w:rPr>
                              <w:t xml:space="preserve">world’s </w:t>
                            </w:r>
                            <w:r w:rsidRPr="00F216BF">
                              <w:rPr>
                                <w:sz w:val="22"/>
                                <w:szCs w:val="22"/>
                              </w:rPr>
                              <w:t xml:space="preserve">average loss </w:t>
                            </w:r>
                            <w:r>
                              <w:rPr>
                                <w:sz w:val="22"/>
                                <w:szCs w:val="22"/>
                              </w:rPr>
                              <w:t>of</w:t>
                            </w:r>
                            <w:r w:rsidRPr="00F216BF">
                              <w:rPr>
                                <w:sz w:val="22"/>
                                <w:szCs w:val="22"/>
                              </w:rPr>
                              <w:t xml:space="preserve"> 23.3%. The education component is where the loss due to inequality is highest (</w:t>
                            </w:r>
                            <w:r>
                              <w:rPr>
                                <w:sz w:val="22"/>
                                <w:szCs w:val="22"/>
                              </w:rPr>
                              <w:t>39.6</w:t>
                            </w:r>
                            <w:r w:rsidRPr="00F216BF">
                              <w:rPr>
                                <w:sz w:val="22"/>
                                <w:szCs w:val="22"/>
                              </w:rPr>
                              <w:t xml:space="preserve">%) followed by </w:t>
                            </w:r>
                            <w:r>
                              <w:rPr>
                                <w:sz w:val="22"/>
                                <w:szCs w:val="22"/>
                              </w:rPr>
                              <w:t>income</w:t>
                            </w:r>
                            <w:r w:rsidRPr="00F216BF">
                              <w:rPr>
                                <w:sz w:val="22"/>
                                <w:szCs w:val="22"/>
                              </w:rPr>
                              <w:t xml:space="preserve"> (</w:t>
                            </w:r>
                            <w:r>
                              <w:rPr>
                                <w:sz w:val="22"/>
                                <w:szCs w:val="22"/>
                              </w:rPr>
                              <w:t>17.5</w:t>
                            </w:r>
                            <w:r w:rsidRPr="00F216BF">
                              <w:rPr>
                                <w:sz w:val="22"/>
                                <w:szCs w:val="22"/>
                              </w:rPr>
                              <w:t>%).</w:t>
                            </w:r>
                          </w:p>
                          <w:p w:rsidR="00037536" w:rsidRPr="00F216BF" w:rsidRDefault="00037536" w:rsidP="00DA7038">
                            <w:pPr>
                              <w:jc w:val="both"/>
                              <w:rPr>
                                <w:sz w:val="22"/>
                                <w:szCs w:val="22"/>
                              </w:rPr>
                            </w:pPr>
                          </w:p>
                          <w:p w:rsidR="00037536" w:rsidRPr="00F216BF" w:rsidRDefault="00037536" w:rsidP="00DA7038">
                            <w:pPr>
                              <w:jc w:val="both"/>
                              <w:rPr>
                                <w:sz w:val="22"/>
                                <w:szCs w:val="22"/>
                              </w:rPr>
                            </w:pPr>
                            <w:r w:rsidRPr="00F216BF">
                              <w:rPr>
                                <w:sz w:val="22"/>
                                <w:szCs w:val="22"/>
                              </w:rPr>
                              <w:t xml:space="preserve">Looking at the 7 countries with IHDI, the biggest loss due to inequalities is suffered by </w:t>
                            </w:r>
                            <w:r>
                              <w:rPr>
                                <w:sz w:val="22"/>
                                <w:szCs w:val="22"/>
                              </w:rPr>
                              <w:t xml:space="preserve">Djibouti </w:t>
                            </w:r>
                            <w:r w:rsidRPr="00F216BF">
                              <w:rPr>
                                <w:sz w:val="22"/>
                                <w:szCs w:val="22"/>
                              </w:rPr>
                              <w:t>(</w:t>
                            </w:r>
                            <w:r>
                              <w:rPr>
                                <w:sz w:val="22"/>
                                <w:szCs w:val="22"/>
                              </w:rPr>
                              <w:t>36</w:t>
                            </w:r>
                            <w:r w:rsidRPr="00F216BF">
                              <w:rPr>
                                <w:sz w:val="22"/>
                                <w:szCs w:val="22"/>
                              </w:rPr>
                              <w:t xml:space="preserve">%) followed by </w:t>
                            </w:r>
                            <w:r>
                              <w:rPr>
                                <w:sz w:val="22"/>
                                <w:szCs w:val="22"/>
                              </w:rPr>
                              <w:t>Yemen</w:t>
                            </w:r>
                            <w:r w:rsidRPr="00F216BF">
                              <w:rPr>
                                <w:sz w:val="22"/>
                                <w:szCs w:val="22"/>
                              </w:rPr>
                              <w:t xml:space="preserve"> (</w:t>
                            </w:r>
                            <w:r>
                              <w:rPr>
                                <w:sz w:val="22"/>
                                <w:szCs w:val="22"/>
                              </w:rPr>
                              <w:t>32.3</w:t>
                            </w:r>
                            <w:r w:rsidRPr="00F216BF">
                              <w:rPr>
                                <w:sz w:val="22"/>
                                <w:szCs w:val="22"/>
                              </w:rPr>
                              <w:t>%). The country suffering the le</w:t>
                            </w:r>
                            <w:r>
                              <w:rPr>
                                <w:sz w:val="22"/>
                                <w:szCs w:val="22"/>
                              </w:rPr>
                              <w:t>ast loss</w:t>
                            </w:r>
                            <w:r w:rsidRPr="00F216BF">
                              <w:rPr>
                                <w:sz w:val="22"/>
                                <w:szCs w:val="22"/>
                              </w:rPr>
                              <w:t xml:space="preserve"> is </w:t>
                            </w:r>
                            <w:r>
                              <w:rPr>
                                <w:sz w:val="22"/>
                                <w:szCs w:val="22"/>
                              </w:rPr>
                              <w:t>Jordan</w:t>
                            </w:r>
                            <w:r w:rsidRPr="00F216BF">
                              <w:rPr>
                                <w:sz w:val="22"/>
                                <w:szCs w:val="22"/>
                              </w:rPr>
                              <w:t xml:space="preserve"> (</w:t>
                            </w:r>
                            <w:r>
                              <w:rPr>
                                <w:sz w:val="22"/>
                                <w:szCs w:val="22"/>
                              </w:rPr>
                              <w:t>19</w:t>
                            </w:r>
                            <w:r w:rsidRPr="00F216BF">
                              <w:rPr>
                                <w:sz w:val="22"/>
                                <w:szCs w:val="22"/>
                              </w:rPr>
                              <w:t>%).</w:t>
                            </w:r>
                          </w:p>
                          <w:p w:rsidR="00037536" w:rsidRPr="00F216BF" w:rsidRDefault="00037536" w:rsidP="00DA7038">
                            <w:pPr>
                              <w:jc w:val="both"/>
                              <w:rPr>
                                <w:sz w:val="22"/>
                                <w:szCs w:val="22"/>
                              </w:rPr>
                            </w:pPr>
                            <w:r w:rsidRPr="00F216BF">
                              <w:rPr>
                                <w:sz w:val="22"/>
                                <w:szCs w:val="22"/>
                              </w:rPr>
                              <w:t xml:space="preserve">In terms of the components, the biggest loss in life expectancy at birth is suffered by </w:t>
                            </w:r>
                            <w:r>
                              <w:rPr>
                                <w:sz w:val="22"/>
                                <w:szCs w:val="22"/>
                              </w:rPr>
                              <w:t>Djibouti</w:t>
                            </w:r>
                            <w:r w:rsidRPr="00F216BF">
                              <w:rPr>
                                <w:sz w:val="22"/>
                                <w:szCs w:val="22"/>
                              </w:rPr>
                              <w:t xml:space="preserve"> (</w:t>
                            </w:r>
                            <w:r>
                              <w:rPr>
                                <w:sz w:val="22"/>
                                <w:szCs w:val="22"/>
                              </w:rPr>
                              <w:t>36.9</w:t>
                            </w:r>
                            <w:r w:rsidRPr="00F216BF">
                              <w:rPr>
                                <w:sz w:val="22"/>
                                <w:szCs w:val="22"/>
                              </w:rPr>
                              <w:t xml:space="preserve">%) followed by </w:t>
                            </w:r>
                            <w:r>
                              <w:rPr>
                                <w:sz w:val="22"/>
                                <w:szCs w:val="22"/>
                              </w:rPr>
                              <w:t>Sudan</w:t>
                            </w:r>
                            <w:r w:rsidRPr="00F216BF">
                              <w:rPr>
                                <w:sz w:val="22"/>
                                <w:szCs w:val="22"/>
                              </w:rPr>
                              <w:t xml:space="preserve"> (</w:t>
                            </w:r>
                            <w:r>
                              <w:rPr>
                                <w:sz w:val="22"/>
                                <w:szCs w:val="22"/>
                              </w:rPr>
                              <w:t>33</w:t>
                            </w:r>
                            <w:r w:rsidRPr="00F216BF">
                              <w:rPr>
                                <w:sz w:val="22"/>
                                <w:szCs w:val="22"/>
                              </w:rPr>
                              <w:t xml:space="preserve">%). The country suffering the least loss on this component is </w:t>
                            </w:r>
                            <w:r>
                              <w:rPr>
                                <w:sz w:val="22"/>
                                <w:szCs w:val="22"/>
                              </w:rPr>
                              <w:t>Bahrain</w:t>
                            </w:r>
                            <w:r w:rsidRPr="00F216BF">
                              <w:rPr>
                                <w:sz w:val="22"/>
                                <w:szCs w:val="22"/>
                              </w:rPr>
                              <w:t xml:space="preserve"> (</w:t>
                            </w:r>
                            <w:r>
                              <w:rPr>
                                <w:sz w:val="22"/>
                                <w:szCs w:val="22"/>
                              </w:rPr>
                              <w:t>6.2</w:t>
                            </w:r>
                            <w:r w:rsidRPr="00F216BF">
                              <w:rPr>
                                <w:sz w:val="22"/>
                                <w:szCs w:val="22"/>
                              </w:rPr>
                              <w:t xml:space="preserve">%). On the education component, </w:t>
                            </w:r>
                            <w:r>
                              <w:rPr>
                                <w:sz w:val="22"/>
                                <w:szCs w:val="22"/>
                              </w:rPr>
                              <w:t xml:space="preserve">Yemen suffers a loss of </w:t>
                            </w:r>
                            <w:r w:rsidRPr="00F216BF">
                              <w:rPr>
                                <w:sz w:val="22"/>
                                <w:szCs w:val="22"/>
                              </w:rPr>
                              <w:t>4</w:t>
                            </w:r>
                            <w:r>
                              <w:rPr>
                                <w:sz w:val="22"/>
                                <w:szCs w:val="22"/>
                              </w:rPr>
                              <w:t>9</w:t>
                            </w:r>
                            <w:r w:rsidRPr="00F216BF">
                              <w:rPr>
                                <w:sz w:val="22"/>
                                <w:szCs w:val="22"/>
                              </w:rPr>
                              <w:t>.</w:t>
                            </w:r>
                            <w:r>
                              <w:rPr>
                                <w:sz w:val="22"/>
                                <w:szCs w:val="22"/>
                              </w:rPr>
                              <w:t>8</w:t>
                            </w:r>
                            <w:r w:rsidRPr="00F216BF">
                              <w:rPr>
                                <w:sz w:val="22"/>
                                <w:szCs w:val="22"/>
                              </w:rPr>
                              <w:t xml:space="preserve">% </w:t>
                            </w:r>
                            <w:r>
                              <w:rPr>
                                <w:sz w:val="22"/>
                                <w:szCs w:val="22"/>
                              </w:rPr>
                              <w:t xml:space="preserve">and Djibouti 47%. </w:t>
                            </w:r>
                            <w:r w:rsidRPr="00F216BF">
                              <w:rPr>
                                <w:sz w:val="22"/>
                                <w:szCs w:val="22"/>
                              </w:rPr>
                              <w:t xml:space="preserve"> </w:t>
                            </w:r>
                            <w:r>
                              <w:rPr>
                                <w:sz w:val="22"/>
                                <w:szCs w:val="22"/>
                              </w:rPr>
                              <w:t xml:space="preserve">Jordan suffers the least loss </w:t>
                            </w:r>
                            <w:r w:rsidRPr="00F216BF">
                              <w:rPr>
                                <w:sz w:val="22"/>
                                <w:szCs w:val="22"/>
                              </w:rPr>
                              <w:t>(</w:t>
                            </w:r>
                            <w:r>
                              <w:rPr>
                                <w:sz w:val="22"/>
                                <w:szCs w:val="22"/>
                              </w:rPr>
                              <w:t>22.4</w:t>
                            </w:r>
                            <w:r w:rsidRPr="00F216BF">
                              <w:rPr>
                                <w:sz w:val="22"/>
                                <w:szCs w:val="22"/>
                              </w:rPr>
                              <w:t xml:space="preserve">%). </w:t>
                            </w:r>
                            <w:r>
                              <w:rPr>
                                <w:sz w:val="22"/>
                                <w:szCs w:val="22"/>
                              </w:rPr>
                              <w:t>Lebanon</w:t>
                            </w:r>
                            <w:r w:rsidRPr="00F216BF">
                              <w:rPr>
                                <w:sz w:val="22"/>
                                <w:szCs w:val="22"/>
                              </w:rPr>
                              <w:t xml:space="preserve"> suffers a loss of </w:t>
                            </w:r>
                            <w:r>
                              <w:rPr>
                                <w:sz w:val="22"/>
                                <w:szCs w:val="22"/>
                              </w:rPr>
                              <w:t>30</w:t>
                            </w:r>
                            <w:r w:rsidRPr="00F216BF">
                              <w:rPr>
                                <w:sz w:val="22"/>
                                <w:szCs w:val="22"/>
                              </w:rPr>
                              <w:t xml:space="preserve">% when the income component is adjusted for inequalities in the distribution and the least by </w:t>
                            </w:r>
                            <w:r>
                              <w:rPr>
                                <w:sz w:val="22"/>
                                <w:szCs w:val="22"/>
                              </w:rPr>
                              <w:t>Egypt</w:t>
                            </w:r>
                            <w:r w:rsidRPr="00F216BF">
                              <w:rPr>
                                <w:sz w:val="22"/>
                                <w:szCs w:val="22"/>
                              </w:rPr>
                              <w:t xml:space="preserve"> (1</w:t>
                            </w:r>
                            <w:r>
                              <w:rPr>
                                <w:sz w:val="22"/>
                                <w:szCs w:val="22"/>
                              </w:rPr>
                              <w:t>4</w:t>
                            </w:r>
                            <w:r w:rsidRPr="00F216BF">
                              <w:rPr>
                                <w:sz w:val="22"/>
                                <w:szCs w:val="22"/>
                              </w:rPr>
                              <w:t>.</w:t>
                            </w:r>
                            <w:r>
                              <w:rPr>
                                <w:sz w:val="22"/>
                                <w:szCs w:val="22"/>
                              </w:rPr>
                              <w:t>2</w:t>
                            </w:r>
                            <w:r w:rsidRPr="00F216BF">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0;width:453.75pt;height:248.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">
                <v:textbox>
                  <w:txbxContent>
                    <w:p w:rsidR="002D539B" w:rsidRPr="004B16A5" w:rsidRDefault="002D539B" w:rsidP="00DA7038">
                      <w:pPr>
                        <w:jc w:val="both"/>
                        <w:rPr>
                          <w:b/>
                          <w:sz w:val="22"/>
                          <w:szCs w:val="22"/>
                        </w:rPr>
                      </w:pPr>
                      <w:r>
                        <w:rPr>
                          <w:b/>
                          <w:sz w:val="22"/>
                          <w:szCs w:val="22"/>
                        </w:rPr>
                        <w:t>Arab States</w:t>
                      </w:r>
                    </w:p>
                    <w:p w:rsidR="002D539B" w:rsidRDefault="002D539B" w:rsidP="00DA7038">
                      <w:pPr>
                        <w:jc w:val="both"/>
                        <w:rPr>
                          <w:sz w:val="22"/>
                          <w:szCs w:val="22"/>
                        </w:rPr>
                      </w:pPr>
                    </w:p>
                    <w:p w:rsidR="002D539B" w:rsidRDefault="002D539B" w:rsidP="00DA7038">
                      <w:pPr>
                        <w:jc w:val="both"/>
                        <w:rPr>
                          <w:sz w:val="22"/>
                          <w:szCs w:val="22"/>
                        </w:rPr>
                      </w:pPr>
                      <w:r w:rsidRPr="00F216BF">
                        <w:rPr>
                          <w:sz w:val="22"/>
                          <w:szCs w:val="22"/>
                        </w:rPr>
                        <w:t xml:space="preserve">The IHDI was calculated for </w:t>
                      </w:r>
                      <w:r>
                        <w:rPr>
                          <w:sz w:val="22"/>
                          <w:szCs w:val="22"/>
                        </w:rPr>
                        <w:t>7</w:t>
                      </w:r>
                      <w:r w:rsidRPr="00F216BF">
                        <w:rPr>
                          <w:sz w:val="22"/>
                          <w:szCs w:val="22"/>
                        </w:rPr>
                        <w:t xml:space="preserve"> out of the </w:t>
                      </w:r>
                      <w:r>
                        <w:rPr>
                          <w:sz w:val="22"/>
                          <w:szCs w:val="22"/>
                        </w:rPr>
                        <w:t>20</w:t>
                      </w:r>
                      <w:r w:rsidRPr="00F216BF">
                        <w:rPr>
                          <w:sz w:val="22"/>
                          <w:szCs w:val="22"/>
                        </w:rPr>
                        <w:t xml:space="preserve"> countries</w:t>
                      </w:r>
                      <w:r>
                        <w:rPr>
                          <w:sz w:val="22"/>
                          <w:szCs w:val="22"/>
                        </w:rPr>
                        <w:t xml:space="preserve"> in the re</w:t>
                      </w:r>
                      <w:r w:rsidR="00AC0656">
                        <w:rPr>
                          <w:sz w:val="22"/>
                          <w:szCs w:val="22"/>
                        </w:rPr>
                        <w:t xml:space="preserve">gion. It is not calculated for </w:t>
                      </w:r>
                      <w:bookmarkStart w:id="1" w:name="_GoBack"/>
                      <w:bookmarkEnd w:id="1"/>
                      <w:r>
                        <w:rPr>
                          <w:sz w:val="22"/>
                          <w:szCs w:val="22"/>
                        </w:rPr>
                        <w:t>Qatar, United Arab Emirates, Kuwait, Bahrain, Saudi Arabia, Libya, Oman, Algeria, Tunisia, Occupied Palestinian Territory, Iraq, Sudan and Somalia</w:t>
                      </w:r>
                      <w:r w:rsidRPr="00F216BF">
                        <w:rPr>
                          <w:sz w:val="22"/>
                          <w:szCs w:val="22"/>
                        </w:rPr>
                        <w:t xml:space="preserve">.  Inequality in life expectancy at birth is calculated for </w:t>
                      </w:r>
                      <w:r>
                        <w:rPr>
                          <w:sz w:val="22"/>
                          <w:szCs w:val="22"/>
                        </w:rPr>
                        <w:t>17</w:t>
                      </w:r>
                      <w:r w:rsidRPr="00F216BF">
                        <w:rPr>
                          <w:sz w:val="22"/>
                          <w:szCs w:val="22"/>
                        </w:rPr>
                        <w:t xml:space="preserve"> countries, in education for 8 countries and in income for 7</w:t>
                      </w:r>
                      <w:r>
                        <w:rPr>
                          <w:sz w:val="22"/>
                          <w:szCs w:val="22"/>
                        </w:rPr>
                        <w:t xml:space="preserve"> countries</w:t>
                      </w:r>
                      <w:r w:rsidRPr="00F216BF">
                        <w:rPr>
                          <w:sz w:val="22"/>
                          <w:szCs w:val="22"/>
                        </w:rPr>
                        <w:t xml:space="preserve">.  </w:t>
                      </w:r>
                    </w:p>
                    <w:p w:rsidR="002D539B" w:rsidRPr="00F216BF" w:rsidRDefault="002D539B" w:rsidP="00DA7038">
                      <w:pPr>
                        <w:jc w:val="both"/>
                        <w:rPr>
                          <w:sz w:val="22"/>
                          <w:szCs w:val="22"/>
                        </w:rPr>
                      </w:pPr>
                      <w:r>
                        <w:rPr>
                          <w:sz w:val="22"/>
                          <w:szCs w:val="22"/>
                        </w:rPr>
                        <w:t xml:space="preserve">The region is ranked third out of 6 regions in terms of overall loss to HDI due to inequality in the distribution </w:t>
                      </w:r>
                      <w:r w:rsidRPr="00F216BF">
                        <w:rPr>
                          <w:sz w:val="22"/>
                          <w:szCs w:val="22"/>
                        </w:rPr>
                        <w:t>(</w:t>
                      </w:r>
                      <w:r>
                        <w:rPr>
                          <w:sz w:val="22"/>
                          <w:szCs w:val="22"/>
                        </w:rPr>
                        <w:t>25.4</w:t>
                      </w:r>
                      <w:r w:rsidRPr="00F216BF">
                        <w:rPr>
                          <w:sz w:val="22"/>
                          <w:szCs w:val="22"/>
                        </w:rPr>
                        <w:t>%)</w:t>
                      </w:r>
                      <w:r>
                        <w:rPr>
                          <w:sz w:val="22"/>
                          <w:szCs w:val="22"/>
                        </w:rPr>
                        <w:t xml:space="preserve"> and over 2 percentage points higher compared to t</w:t>
                      </w:r>
                      <w:r w:rsidRPr="00F216BF">
                        <w:rPr>
                          <w:sz w:val="22"/>
                          <w:szCs w:val="22"/>
                        </w:rPr>
                        <w:t xml:space="preserve">he </w:t>
                      </w:r>
                      <w:r>
                        <w:rPr>
                          <w:sz w:val="22"/>
                          <w:szCs w:val="22"/>
                        </w:rPr>
                        <w:t xml:space="preserve">world’s </w:t>
                      </w:r>
                      <w:r w:rsidRPr="00F216BF">
                        <w:rPr>
                          <w:sz w:val="22"/>
                          <w:szCs w:val="22"/>
                        </w:rPr>
                        <w:t xml:space="preserve">average loss </w:t>
                      </w:r>
                      <w:r>
                        <w:rPr>
                          <w:sz w:val="22"/>
                          <w:szCs w:val="22"/>
                        </w:rPr>
                        <w:t>of</w:t>
                      </w:r>
                      <w:r w:rsidRPr="00F216BF">
                        <w:rPr>
                          <w:sz w:val="22"/>
                          <w:szCs w:val="22"/>
                        </w:rPr>
                        <w:t xml:space="preserve"> 23.3%. The education component is where the loss due to inequality is highest (</w:t>
                      </w:r>
                      <w:r>
                        <w:rPr>
                          <w:sz w:val="22"/>
                          <w:szCs w:val="22"/>
                        </w:rPr>
                        <w:t>39.6</w:t>
                      </w:r>
                      <w:r w:rsidRPr="00F216BF">
                        <w:rPr>
                          <w:sz w:val="22"/>
                          <w:szCs w:val="22"/>
                        </w:rPr>
                        <w:t xml:space="preserve">%) followed by </w:t>
                      </w:r>
                      <w:r>
                        <w:rPr>
                          <w:sz w:val="22"/>
                          <w:szCs w:val="22"/>
                        </w:rPr>
                        <w:t>income</w:t>
                      </w:r>
                      <w:r w:rsidRPr="00F216BF">
                        <w:rPr>
                          <w:sz w:val="22"/>
                          <w:szCs w:val="22"/>
                        </w:rPr>
                        <w:t xml:space="preserve"> (</w:t>
                      </w:r>
                      <w:r>
                        <w:rPr>
                          <w:sz w:val="22"/>
                          <w:szCs w:val="22"/>
                        </w:rPr>
                        <w:t>17.5</w:t>
                      </w:r>
                      <w:r w:rsidRPr="00F216BF">
                        <w:rPr>
                          <w:sz w:val="22"/>
                          <w:szCs w:val="22"/>
                        </w:rPr>
                        <w:t>%).</w:t>
                      </w:r>
                    </w:p>
                    <w:p w:rsidR="002D539B" w:rsidRPr="00F216BF" w:rsidRDefault="002D539B" w:rsidP="00DA7038">
                      <w:pPr>
                        <w:jc w:val="both"/>
                        <w:rPr>
                          <w:sz w:val="22"/>
                          <w:szCs w:val="22"/>
                        </w:rPr>
                      </w:pPr>
                    </w:p>
                    <w:p w:rsidR="002D539B" w:rsidRPr="00F216BF" w:rsidRDefault="002D539B" w:rsidP="00DA7038">
                      <w:pPr>
                        <w:jc w:val="both"/>
                        <w:rPr>
                          <w:sz w:val="22"/>
                          <w:szCs w:val="22"/>
                        </w:rPr>
                      </w:pPr>
                      <w:r w:rsidRPr="00F216BF">
                        <w:rPr>
                          <w:sz w:val="22"/>
                          <w:szCs w:val="22"/>
                        </w:rPr>
                        <w:t xml:space="preserve">Looking at the 7 countries with IHDI, the biggest loss due to inequalities is suffered by </w:t>
                      </w:r>
                      <w:r>
                        <w:rPr>
                          <w:sz w:val="22"/>
                          <w:szCs w:val="22"/>
                        </w:rPr>
                        <w:t xml:space="preserve">Djibouti </w:t>
                      </w:r>
                      <w:r w:rsidRPr="00F216BF">
                        <w:rPr>
                          <w:sz w:val="22"/>
                          <w:szCs w:val="22"/>
                        </w:rPr>
                        <w:t>(</w:t>
                      </w:r>
                      <w:r>
                        <w:rPr>
                          <w:sz w:val="22"/>
                          <w:szCs w:val="22"/>
                        </w:rPr>
                        <w:t>36</w:t>
                      </w:r>
                      <w:r w:rsidRPr="00F216BF">
                        <w:rPr>
                          <w:sz w:val="22"/>
                          <w:szCs w:val="22"/>
                        </w:rPr>
                        <w:t xml:space="preserve">%) followed by </w:t>
                      </w:r>
                      <w:r>
                        <w:rPr>
                          <w:sz w:val="22"/>
                          <w:szCs w:val="22"/>
                        </w:rPr>
                        <w:t>Yemen</w:t>
                      </w:r>
                      <w:r w:rsidRPr="00F216BF">
                        <w:rPr>
                          <w:sz w:val="22"/>
                          <w:szCs w:val="22"/>
                        </w:rPr>
                        <w:t xml:space="preserve"> (</w:t>
                      </w:r>
                      <w:r>
                        <w:rPr>
                          <w:sz w:val="22"/>
                          <w:szCs w:val="22"/>
                        </w:rPr>
                        <w:t>32.3</w:t>
                      </w:r>
                      <w:r w:rsidRPr="00F216BF">
                        <w:rPr>
                          <w:sz w:val="22"/>
                          <w:szCs w:val="22"/>
                        </w:rPr>
                        <w:t>%). The country suffering the le</w:t>
                      </w:r>
                      <w:r>
                        <w:rPr>
                          <w:sz w:val="22"/>
                          <w:szCs w:val="22"/>
                        </w:rPr>
                        <w:t>ast loss</w:t>
                      </w:r>
                      <w:r w:rsidRPr="00F216BF">
                        <w:rPr>
                          <w:sz w:val="22"/>
                          <w:szCs w:val="22"/>
                        </w:rPr>
                        <w:t xml:space="preserve"> is </w:t>
                      </w:r>
                      <w:r>
                        <w:rPr>
                          <w:sz w:val="22"/>
                          <w:szCs w:val="22"/>
                        </w:rPr>
                        <w:t>Jordan</w:t>
                      </w:r>
                      <w:r w:rsidRPr="00F216BF">
                        <w:rPr>
                          <w:sz w:val="22"/>
                          <w:szCs w:val="22"/>
                        </w:rPr>
                        <w:t xml:space="preserve"> (</w:t>
                      </w:r>
                      <w:r>
                        <w:rPr>
                          <w:sz w:val="22"/>
                          <w:szCs w:val="22"/>
                        </w:rPr>
                        <w:t>19</w:t>
                      </w:r>
                      <w:r w:rsidRPr="00F216BF">
                        <w:rPr>
                          <w:sz w:val="22"/>
                          <w:szCs w:val="22"/>
                        </w:rPr>
                        <w:t>%).</w:t>
                      </w:r>
                    </w:p>
                    <w:p w:rsidR="002D539B" w:rsidRPr="00F216BF" w:rsidRDefault="002D539B" w:rsidP="00DA7038">
                      <w:pPr>
                        <w:jc w:val="both"/>
                        <w:rPr>
                          <w:sz w:val="22"/>
                          <w:szCs w:val="22"/>
                        </w:rPr>
                      </w:pPr>
                      <w:r w:rsidRPr="00F216BF">
                        <w:rPr>
                          <w:sz w:val="22"/>
                          <w:szCs w:val="22"/>
                        </w:rPr>
                        <w:t xml:space="preserve">In terms of the components, the biggest loss in life expectancy at birth is suffered by </w:t>
                      </w:r>
                      <w:r>
                        <w:rPr>
                          <w:sz w:val="22"/>
                          <w:szCs w:val="22"/>
                        </w:rPr>
                        <w:t>Djibouti</w:t>
                      </w:r>
                      <w:r w:rsidRPr="00F216BF">
                        <w:rPr>
                          <w:sz w:val="22"/>
                          <w:szCs w:val="22"/>
                        </w:rPr>
                        <w:t xml:space="preserve"> (</w:t>
                      </w:r>
                      <w:r>
                        <w:rPr>
                          <w:sz w:val="22"/>
                          <w:szCs w:val="22"/>
                        </w:rPr>
                        <w:t>36.9</w:t>
                      </w:r>
                      <w:r w:rsidRPr="00F216BF">
                        <w:rPr>
                          <w:sz w:val="22"/>
                          <w:szCs w:val="22"/>
                        </w:rPr>
                        <w:t xml:space="preserve">%) followed by </w:t>
                      </w:r>
                      <w:r>
                        <w:rPr>
                          <w:sz w:val="22"/>
                          <w:szCs w:val="22"/>
                        </w:rPr>
                        <w:t>Sudan</w:t>
                      </w:r>
                      <w:r w:rsidRPr="00F216BF">
                        <w:rPr>
                          <w:sz w:val="22"/>
                          <w:szCs w:val="22"/>
                        </w:rPr>
                        <w:t xml:space="preserve"> (</w:t>
                      </w:r>
                      <w:r>
                        <w:rPr>
                          <w:sz w:val="22"/>
                          <w:szCs w:val="22"/>
                        </w:rPr>
                        <w:t>33</w:t>
                      </w:r>
                      <w:r w:rsidRPr="00F216BF">
                        <w:rPr>
                          <w:sz w:val="22"/>
                          <w:szCs w:val="22"/>
                        </w:rPr>
                        <w:t xml:space="preserve">%). The country suffering the least loss on this component is </w:t>
                      </w:r>
                      <w:r>
                        <w:rPr>
                          <w:sz w:val="22"/>
                          <w:szCs w:val="22"/>
                        </w:rPr>
                        <w:t>Bahrain</w:t>
                      </w:r>
                      <w:r w:rsidRPr="00F216BF">
                        <w:rPr>
                          <w:sz w:val="22"/>
                          <w:szCs w:val="22"/>
                        </w:rPr>
                        <w:t xml:space="preserve"> (</w:t>
                      </w:r>
                      <w:r>
                        <w:rPr>
                          <w:sz w:val="22"/>
                          <w:szCs w:val="22"/>
                        </w:rPr>
                        <w:t>6.2</w:t>
                      </w:r>
                      <w:r w:rsidRPr="00F216BF">
                        <w:rPr>
                          <w:sz w:val="22"/>
                          <w:szCs w:val="22"/>
                        </w:rPr>
                        <w:t xml:space="preserve">%). On the education component, </w:t>
                      </w:r>
                      <w:r>
                        <w:rPr>
                          <w:sz w:val="22"/>
                          <w:szCs w:val="22"/>
                        </w:rPr>
                        <w:t xml:space="preserve">Yemen suffers a loss of </w:t>
                      </w:r>
                      <w:r w:rsidRPr="00F216BF">
                        <w:rPr>
                          <w:sz w:val="22"/>
                          <w:szCs w:val="22"/>
                        </w:rPr>
                        <w:t>4</w:t>
                      </w:r>
                      <w:r>
                        <w:rPr>
                          <w:sz w:val="22"/>
                          <w:szCs w:val="22"/>
                        </w:rPr>
                        <w:t>9</w:t>
                      </w:r>
                      <w:r w:rsidRPr="00F216BF">
                        <w:rPr>
                          <w:sz w:val="22"/>
                          <w:szCs w:val="22"/>
                        </w:rPr>
                        <w:t>.</w:t>
                      </w:r>
                      <w:r>
                        <w:rPr>
                          <w:sz w:val="22"/>
                          <w:szCs w:val="22"/>
                        </w:rPr>
                        <w:t>8</w:t>
                      </w:r>
                      <w:r w:rsidRPr="00F216BF">
                        <w:rPr>
                          <w:sz w:val="22"/>
                          <w:szCs w:val="22"/>
                        </w:rPr>
                        <w:t xml:space="preserve">% </w:t>
                      </w:r>
                      <w:r>
                        <w:rPr>
                          <w:sz w:val="22"/>
                          <w:szCs w:val="22"/>
                        </w:rPr>
                        <w:t xml:space="preserve">and Djibouti 47%. </w:t>
                      </w:r>
                      <w:r w:rsidRPr="00F216BF">
                        <w:rPr>
                          <w:sz w:val="22"/>
                          <w:szCs w:val="22"/>
                        </w:rPr>
                        <w:t xml:space="preserve"> </w:t>
                      </w:r>
                      <w:r>
                        <w:rPr>
                          <w:sz w:val="22"/>
                          <w:szCs w:val="22"/>
                        </w:rPr>
                        <w:t xml:space="preserve">Jordan suffers the least loss </w:t>
                      </w:r>
                      <w:r w:rsidRPr="00F216BF">
                        <w:rPr>
                          <w:sz w:val="22"/>
                          <w:szCs w:val="22"/>
                        </w:rPr>
                        <w:t>(</w:t>
                      </w:r>
                      <w:r>
                        <w:rPr>
                          <w:sz w:val="22"/>
                          <w:szCs w:val="22"/>
                        </w:rPr>
                        <w:t>22.4</w:t>
                      </w:r>
                      <w:r w:rsidRPr="00F216BF">
                        <w:rPr>
                          <w:sz w:val="22"/>
                          <w:szCs w:val="22"/>
                        </w:rPr>
                        <w:t xml:space="preserve">%). </w:t>
                      </w:r>
                      <w:r>
                        <w:rPr>
                          <w:sz w:val="22"/>
                          <w:szCs w:val="22"/>
                        </w:rPr>
                        <w:t>Lebanon</w:t>
                      </w:r>
                      <w:r w:rsidRPr="00F216BF">
                        <w:rPr>
                          <w:sz w:val="22"/>
                          <w:szCs w:val="22"/>
                        </w:rPr>
                        <w:t xml:space="preserve"> suffers a loss of </w:t>
                      </w:r>
                      <w:r>
                        <w:rPr>
                          <w:sz w:val="22"/>
                          <w:szCs w:val="22"/>
                        </w:rPr>
                        <w:t>30</w:t>
                      </w:r>
                      <w:r w:rsidRPr="00F216BF">
                        <w:rPr>
                          <w:sz w:val="22"/>
                          <w:szCs w:val="22"/>
                        </w:rPr>
                        <w:t xml:space="preserve">% when the income component is adjusted for inequalities in the distribution and the least by </w:t>
                      </w:r>
                      <w:r>
                        <w:rPr>
                          <w:sz w:val="22"/>
                          <w:szCs w:val="22"/>
                        </w:rPr>
                        <w:t>Egypt</w:t>
                      </w:r>
                      <w:r w:rsidRPr="00F216BF">
                        <w:rPr>
                          <w:sz w:val="22"/>
                          <w:szCs w:val="22"/>
                        </w:rPr>
                        <w:t xml:space="preserve"> (1</w:t>
                      </w:r>
                      <w:r>
                        <w:rPr>
                          <w:sz w:val="22"/>
                          <w:szCs w:val="22"/>
                        </w:rPr>
                        <w:t>4</w:t>
                      </w:r>
                      <w:r w:rsidRPr="00F216BF">
                        <w:rPr>
                          <w:sz w:val="22"/>
                          <w:szCs w:val="22"/>
                        </w:rPr>
                        <w:t>.</w:t>
                      </w:r>
                      <w:r>
                        <w:rPr>
                          <w:sz w:val="22"/>
                          <w:szCs w:val="22"/>
                        </w:rPr>
                        <w:t>2</w:t>
                      </w:r>
                      <w:r w:rsidRPr="00F216BF">
                        <w:rPr>
                          <w:sz w:val="22"/>
                          <w:szCs w:val="22"/>
                        </w:rPr>
                        <w:t>%).</w:t>
                      </w:r>
                    </w:p>
                  </w:txbxContent>
                </v:textbox>
              </v:shape>
            </w:pict>
          </mc:Fallback>
        </mc:AlternateContent>
      </w:r>
    </w:p>
    <w:p w:rsidR="0002319C" w:rsidRPr="00F216BF" w:rsidRDefault="0002319C" w:rsidP="00C5560F">
      <w:pPr>
        <w:pStyle w:val="BodyText"/>
        <w:jc w:val="both"/>
        <w:rPr>
          <w:rFonts w:ascii="Times New Roman" w:hAnsi="Times New Roman"/>
          <w:b/>
        </w:rPr>
      </w:pPr>
    </w:p>
    <w:p w:rsidR="0002319C" w:rsidRPr="00F216BF" w:rsidRDefault="0002319C" w:rsidP="00C5560F">
      <w:pPr>
        <w:pStyle w:val="BodyText"/>
        <w:jc w:val="both"/>
        <w:rPr>
          <w:rFonts w:ascii="Times New Roman" w:hAnsi="Times New Roman"/>
          <w:b/>
        </w:rPr>
      </w:pPr>
    </w:p>
    <w:p w:rsidR="0002319C" w:rsidRPr="00F216BF" w:rsidRDefault="0002319C" w:rsidP="00C5560F">
      <w:pPr>
        <w:pStyle w:val="BodyText"/>
        <w:jc w:val="both"/>
        <w:rPr>
          <w:rFonts w:ascii="Times New Roman" w:hAnsi="Times New Roman"/>
          <w:b/>
        </w:rPr>
      </w:pPr>
    </w:p>
    <w:p w:rsidR="0002319C" w:rsidRPr="00F216BF" w:rsidRDefault="0002319C" w:rsidP="00C5560F">
      <w:pPr>
        <w:pStyle w:val="BodyText"/>
        <w:jc w:val="both"/>
        <w:rPr>
          <w:rFonts w:ascii="Times New Roman" w:hAnsi="Times New Roman"/>
          <w:b/>
        </w:rPr>
      </w:pPr>
    </w:p>
    <w:p w:rsidR="004350CF" w:rsidRPr="00F216BF" w:rsidRDefault="004350CF" w:rsidP="00C5560F">
      <w:pPr>
        <w:pStyle w:val="BodyText"/>
        <w:jc w:val="both"/>
        <w:rPr>
          <w:rFonts w:ascii="Times New Roman" w:hAnsi="Times New Roman"/>
          <w:b/>
        </w:rPr>
      </w:pPr>
    </w:p>
    <w:p w:rsidR="004350CF" w:rsidRPr="00F216BF" w:rsidRDefault="004350CF" w:rsidP="00C5560F">
      <w:pPr>
        <w:pStyle w:val="BodyText"/>
        <w:jc w:val="both"/>
        <w:rPr>
          <w:rFonts w:ascii="Times New Roman" w:hAnsi="Times New Roman"/>
          <w:b/>
        </w:rPr>
      </w:pPr>
    </w:p>
    <w:p w:rsidR="004350CF" w:rsidRPr="00F216BF" w:rsidRDefault="004350CF" w:rsidP="00C5560F">
      <w:pPr>
        <w:pStyle w:val="BodyText"/>
        <w:jc w:val="both"/>
        <w:rPr>
          <w:rFonts w:ascii="Times New Roman" w:hAnsi="Times New Roman"/>
          <w:b/>
        </w:rPr>
      </w:pPr>
    </w:p>
    <w:p w:rsidR="004350CF" w:rsidRPr="00F216BF" w:rsidRDefault="004350CF" w:rsidP="00C5560F">
      <w:pPr>
        <w:pStyle w:val="BodyText"/>
        <w:jc w:val="both"/>
        <w:rPr>
          <w:rFonts w:ascii="Times New Roman" w:hAnsi="Times New Roman"/>
          <w:b/>
        </w:rPr>
      </w:pPr>
    </w:p>
    <w:p w:rsidR="004350CF" w:rsidRPr="00F216BF" w:rsidRDefault="004350CF" w:rsidP="00C5560F">
      <w:pPr>
        <w:pStyle w:val="BodyText"/>
        <w:jc w:val="both"/>
        <w:rPr>
          <w:rFonts w:ascii="Times New Roman" w:hAnsi="Times New Roman"/>
          <w:b/>
        </w:rPr>
      </w:pPr>
    </w:p>
    <w:p w:rsidR="004350CF" w:rsidRPr="00F216BF" w:rsidRDefault="004350CF" w:rsidP="00C5560F">
      <w:pPr>
        <w:pStyle w:val="BodyText"/>
        <w:jc w:val="both"/>
        <w:rPr>
          <w:rFonts w:ascii="Times New Roman" w:hAnsi="Times New Roman"/>
          <w:b/>
        </w:rPr>
      </w:pPr>
    </w:p>
    <w:p w:rsidR="004B16A5" w:rsidRDefault="004B16A5" w:rsidP="00C5560F">
      <w:pPr>
        <w:pStyle w:val="BodyText"/>
        <w:jc w:val="both"/>
        <w:rPr>
          <w:rFonts w:ascii="Times New Roman" w:hAnsi="Times New Roman"/>
          <w:b/>
        </w:rPr>
      </w:pPr>
    </w:p>
    <w:p w:rsidR="004B16A5" w:rsidRDefault="004B16A5" w:rsidP="00C5560F">
      <w:pPr>
        <w:pStyle w:val="BodyText"/>
        <w:jc w:val="both"/>
        <w:rPr>
          <w:rFonts w:ascii="Times New Roman" w:hAnsi="Times New Roman"/>
          <w:b/>
        </w:rPr>
      </w:pPr>
    </w:p>
    <w:p w:rsidR="004B16A5" w:rsidRDefault="004B16A5" w:rsidP="00C5560F">
      <w:pPr>
        <w:pStyle w:val="BodyText"/>
        <w:jc w:val="both"/>
        <w:rPr>
          <w:rFonts w:ascii="Times New Roman" w:hAnsi="Times New Roman"/>
          <w:b/>
        </w:rPr>
      </w:pPr>
    </w:p>
    <w:p w:rsidR="00940CD2" w:rsidRPr="00F216BF" w:rsidRDefault="0002319C" w:rsidP="00C5560F">
      <w:pPr>
        <w:pStyle w:val="BodyText"/>
        <w:jc w:val="both"/>
        <w:rPr>
          <w:rFonts w:ascii="Times New Roman" w:hAnsi="Times New Roman"/>
          <w:b/>
        </w:rPr>
      </w:pPr>
      <w:r w:rsidRPr="00F216BF">
        <w:rPr>
          <w:rFonts w:ascii="Times New Roman" w:hAnsi="Times New Roman"/>
          <w:b/>
        </w:rPr>
        <w:t>G</w:t>
      </w:r>
      <w:r w:rsidR="002C6B6A" w:rsidRPr="00F216BF">
        <w:rPr>
          <w:rFonts w:ascii="Times New Roman" w:hAnsi="Times New Roman"/>
          <w:b/>
        </w:rPr>
        <w:t>ender Inequality Index (GII)</w:t>
      </w:r>
    </w:p>
    <w:p w:rsidR="00F216BF" w:rsidRPr="00F216BF" w:rsidRDefault="00160F9D" w:rsidP="00F216BF">
      <w:pPr>
        <w:jc w:val="both"/>
        <w:rPr>
          <w:color w:val="000000" w:themeColor="text1"/>
        </w:rPr>
      </w:pPr>
      <w:r w:rsidRPr="00F216BF">
        <w:t xml:space="preserve">The GII is designed to reveal the extent to which national achievements in </w:t>
      </w:r>
      <w:r w:rsidR="00F216BF">
        <w:t>Reproductive health, empowerment and labour market participation</w:t>
      </w:r>
      <w:r w:rsidRPr="00F216BF">
        <w:t xml:space="preserve"> are eroded by gender inequalities. Unlike the </w:t>
      </w:r>
      <w:r w:rsidR="00DA7038" w:rsidRPr="00F216BF">
        <w:t>HDI</w:t>
      </w:r>
      <w:r w:rsidRPr="00F216BF">
        <w:t>, a higher value indicate</w:t>
      </w:r>
      <w:r w:rsidR="0087723C" w:rsidRPr="00F216BF">
        <w:t>s</w:t>
      </w:r>
      <w:r w:rsidRPr="00F216BF">
        <w:t xml:space="preserve"> poor performance. </w:t>
      </w:r>
      <w:r w:rsidR="00B74055">
        <w:rPr>
          <w:color w:val="000000" w:themeColor="text1"/>
        </w:rPr>
        <w:t>This year</w:t>
      </w:r>
      <w:r w:rsidR="00F216BF" w:rsidRPr="00F216BF">
        <w:rPr>
          <w:color w:val="000000" w:themeColor="text1"/>
        </w:rPr>
        <w:t xml:space="preserve">, the Gender Inequality Index (GII) </w:t>
      </w:r>
      <w:r w:rsidR="00B74055">
        <w:rPr>
          <w:color w:val="000000" w:themeColor="text1"/>
        </w:rPr>
        <w:t>has been</w:t>
      </w:r>
      <w:r w:rsidR="00F216BF" w:rsidRPr="00F216BF">
        <w:rPr>
          <w:color w:val="000000" w:themeColor="text1"/>
        </w:rPr>
        <w:t xml:space="preserve"> calculated for 14</w:t>
      </w:r>
      <w:r w:rsidR="00374F48">
        <w:rPr>
          <w:color w:val="000000" w:themeColor="text1"/>
        </w:rPr>
        <w:t>8</w:t>
      </w:r>
      <w:r w:rsidR="00F216BF" w:rsidRPr="00F216BF">
        <w:rPr>
          <w:color w:val="000000" w:themeColor="text1"/>
        </w:rPr>
        <w:t xml:space="preserve"> countries. In 2011 there were 146 countries. Two countries, Suriname and Tonga entered the GII for the first time in 2012 while Egypt re-entered after being dropped in 2011 because of lack of data on parliamentary participation </w:t>
      </w:r>
      <w:r w:rsidR="00374F48">
        <w:rPr>
          <w:color w:val="000000" w:themeColor="text1"/>
        </w:rPr>
        <w:t>when</w:t>
      </w:r>
      <w:r w:rsidR="00F216BF" w:rsidRPr="00F216BF">
        <w:rPr>
          <w:color w:val="000000" w:themeColor="text1"/>
        </w:rPr>
        <w:t xml:space="preserve"> </w:t>
      </w:r>
      <w:proofErr w:type="gramStart"/>
      <w:r w:rsidR="00F216BF" w:rsidRPr="00F216BF">
        <w:rPr>
          <w:color w:val="000000" w:themeColor="text1"/>
        </w:rPr>
        <w:t>its</w:t>
      </w:r>
      <w:proofErr w:type="gramEnd"/>
      <w:r w:rsidR="00F216BF" w:rsidRPr="00F216BF">
        <w:rPr>
          <w:color w:val="000000" w:themeColor="text1"/>
        </w:rPr>
        <w:t xml:space="preserve"> People’s Assembly and </w:t>
      </w:r>
      <w:proofErr w:type="spellStart"/>
      <w:r w:rsidR="00F216BF" w:rsidRPr="00F216BF">
        <w:rPr>
          <w:color w:val="000000" w:themeColor="text1"/>
        </w:rPr>
        <w:t>Shoura</w:t>
      </w:r>
      <w:proofErr w:type="spellEnd"/>
      <w:r w:rsidR="00F216BF" w:rsidRPr="00F216BF">
        <w:rPr>
          <w:color w:val="000000" w:themeColor="text1"/>
        </w:rPr>
        <w:t xml:space="preserve"> Assembly </w:t>
      </w:r>
      <w:r w:rsidR="00374F48">
        <w:rPr>
          <w:color w:val="000000" w:themeColor="text1"/>
        </w:rPr>
        <w:t xml:space="preserve">was </w:t>
      </w:r>
      <w:r w:rsidR="00F216BF" w:rsidRPr="00F216BF">
        <w:rPr>
          <w:color w:val="000000" w:themeColor="text1"/>
        </w:rPr>
        <w:t xml:space="preserve">dissolved </w:t>
      </w:r>
      <w:r w:rsidR="009B5123">
        <w:rPr>
          <w:color w:val="000000" w:themeColor="text1"/>
        </w:rPr>
        <w:t>that year</w:t>
      </w:r>
      <w:r w:rsidR="00F216BF" w:rsidRPr="00F216BF">
        <w:rPr>
          <w:color w:val="000000" w:themeColor="text1"/>
        </w:rPr>
        <w:t xml:space="preserve">. </w:t>
      </w:r>
    </w:p>
    <w:p w:rsidR="00160F9D" w:rsidRDefault="00160F9D" w:rsidP="00C5560F">
      <w:pPr>
        <w:pStyle w:val="BodyText"/>
        <w:jc w:val="both"/>
        <w:rPr>
          <w:rFonts w:ascii="Times New Roman" w:hAnsi="Times New Roman"/>
        </w:rPr>
      </w:pPr>
    </w:p>
    <w:p w:rsidR="00374F48" w:rsidRDefault="00374F48" w:rsidP="00C5560F">
      <w:pPr>
        <w:pStyle w:val="BodyText"/>
        <w:jc w:val="both"/>
        <w:rPr>
          <w:rFonts w:ascii="Times New Roman" w:hAnsi="Times New Roman"/>
        </w:rPr>
      </w:pPr>
    </w:p>
    <w:p w:rsidR="00374F48" w:rsidRPr="00F216BF" w:rsidRDefault="00374F48" w:rsidP="00C5560F">
      <w:pPr>
        <w:pStyle w:val="BodyText"/>
        <w:jc w:val="both"/>
        <w:rPr>
          <w:rFonts w:ascii="Times New Roman" w:hAnsi="Times New Roman"/>
        </w:rPr>
      </w:pPr>
    </w:p>
    <w:p w:rsidR="00277D9A" w:rsidRDefault="00133768" w:rsidP="00C5560F">
      <w:pPr>
        <w:pStyle w:val="BodyText"/>
        <w:jc w:val="both"/>
        <w:rPr>
          <w:rFonts w:ascii="Times New Roman" w:hAnsi="Times New Roman"/>
        </w:rPr>
      </w:pPr>
      <w:r w:rsidRPr="00277D9A">
        <w:rPr>
          <w:rFonts w:ascii="Times New Roman" w:hAnsi="Times New Roman"/>
          <w:noProof/>
          <w:lang w:val="en-US"/>
        </w:rPr>
        <w:lastRenderedPageBreak/>
        <mc:AlternateContent>
          <mc:Choice Requires="wps">
            <w:drawing>
              <wp:anchor distT="0" distB="0" distL="114300" distR="114300" simplePos="0" relativeHeight="251663360" behindDoc="0" locked="0" layoutInCell="1" allowOverlap="1" wp14:anchorId="0EA97252" wp14:editId="15935C7A">
                <wp:simplePos x="0" y="0"/>
                <wp:positionH relativeFrom="column">
                  <wp:align>center</wp:align>
                </wp:positionH>
                <wp:positionV relativeFrom="paragraph">
                  <wp:posOffset>0</wp:posOffset>
                </wp:positionV>
                <wp:extent cx="5705475" cy="30670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067050"/>
                        </a:xfrm>
                        <a:prstGeom prst="rect">
                          <a:avLst/>
                        </a:prstGeom>
                        <a:solidFill>
                          <a:srgbClr val="FFFFFF"/>
                        </a:solidFill>
                        <a:ln w="9525">
                          <a:solidFill>
                            <a:srgbClr val="000000"/>
                          </a:solidFill>
                          <a:miter lim="800000"/>
                          <a:headEnd/>
                          <a:tailEnd/>
                        </a:ln>
                      </wps:spPr>
                      <wps:txbx>
                        <w:txbxContent>
                          <w:p w:rsidR="00037536" w:rsidRPr="00582816" w:rsidRDefault="00037536" w:rsidP="00025266">
                            <w:pPr>
                              <w:jc w:val="both"/>
                              <w:rPr>
                                <w:b/>
                              </w:rPr>
                            </w:pPr>
                            <w:r w:rsidRPr="00582816">
                              <w:rPr>
                                <w:b/>
                              </w:rPr>
                              <w:t>Arab States</w:t>
                            </w:r>
                          </w:p>
                          <w:p w:rsidR="00037536" w:rsidRDefault="00037536" w:rsidP="00025266">
                            <w:pPr>
                              <w:jc w:val="both"/>
                            </w:pPr>
                          </w:p>
                          <w:p w:rsidR="00037536" w:rsidRDefault="00037536" w:rsidP="00025266">
                            <w:pPr>
                              <w:jc w:val="both"/>
                              <w:rPr>
                                <w:sz w:val="22"/>
                                <w:szCs w:val="22"/>
                              </w:rPr>
                            </w:pPr>
                            <w:r>
                              <w:t xml:space="preserve">The GII is calculated for 17 out of the 20 Arab States.  It is not calculated for Occupied Palestinian Territory, Djibouti and Somalia due to missing data on share of seats in parliament or population with at least secondary education. </w:t>
                            </w:r>
                            <w:r>
                              <w:rPr>
                                <w:sz w:val="22"/>
                                <w:szCs w:val="22"/>
                              </w:rPr>
                              <w:t>The average GII value for the region is 0.555—only better than South Asia and sub-Saharan Africa.</w:t>
                            </w:r>
                          </w:p>
                          <w:p w:rsidR="00037536" w:rsidRDefault="00037536" w:rsidP="00025266">
                            <w:pPr>
                              <w:jc w:val="both"/>
                              <w:rPr>
                                <w:sz w:val="22"/>
                                <w:szCs w:val="22"/>
                              </w:rPr>
                            </w:pPr>
                          </w:p>
                          <w:p w:rsidR="00037536" w:rsidRPr="009B5123" w:rsidRDefault="00037536" w:rsidP="00025266">
                            <w:pPr>
                              <w:jc w:val="both"/>
                            </w:pPr>
                            <w:r w:rsidRPr="009B5123">
                              <w:t>In terms of components, a relatively higher levels of maternal mortality ratio (176/100,000 in contrast with a world average of 145/100.000; a very low female share in parliamentary seats (</w:t>
                            </w:r>
                            <w:r>
                              <w:t>13</w:t>
                            </w:r>
                            <w:r w:rsidRPr="009B5123">
                              <w:t>%, the lowest relative to other regions); as well as low female labour force participation rate (22.</w:t>
                            </w:r>
                            <w:r>
                              <w:t>8</w:t>
                            </w:r>
                            <w:r w:rsidRPr="009B5123">
                              <w:t>% also the lowest) account for the poor performance on the GII.</w:t>
                            </w:r>
                          </w:p>
                          <w:p w:rsidR="00037536" w:rsidRPr="009B5123" w:rsidRDefault="00037536" w:rsidP="00025266">
                            <w:pPr>
                              <w:jc w:val="both"/>
                            </w:pPr>
                          </w:p>
                          <w:p w:rsidR="00037536" w:rsidRPr="009B5123" w:rsidRDefault="00037536" w:rsidP="00025266">
                            <w:pPr>
                              <w:jc w:val="both"/>
                            </w:pPr>
                            <w:r>
                              <w:t xml:space="preserve">Libya </w:t>
                            </w:r>
                            <w:r w:rsidRPr="009B5123">
                              <w:t>leads the region with a GII value of 0.2</w:t>
                            </w:r>
                            <w:r>
                              <w:t>16</w:t>
                            </w:r>
                            <w:r w:rsidRPr="009B5123">
                              <w:t xml:space="preserve">, followed by </w:t>
                            </w:r>
                            <w:r>
                              <w:t>United Arab Emirates</w:t>
                            </w:r>
                            <w:r w:rsidRPr="009B5123">
                              <w:t xml:space="preserve"> with 0.2</w:t>
                            </w:r>
                            <w:r>
                              <w:t>41</w:t>
                            </w:r>
                            <w:r w:rsidRPr="009B5123">
                              <w:t xml:space="preserve"> and </w:t>
                            </w:r>
                            <w:r>
                              <w:t>Bahrain</w:t>
                            </w:r>
                            <w:r w:rsidRPr="009B5123">
                              <w:t>—0.2</w:t>
                            </w:r>
                            <w:r>
                              <w:t>58</w:t>
                            </w:r>
                            <w:r w:rsidRPr="009B5123">
                              <w:t>. The poorest performers in the region are Yemen with a value of 0.74</w:t>
                            </w:r>
                            <w:r>
                              <w:t>7</w:t>
                            </w:r>
                            <w:r w:rsidRPr="009B5123">
                              <w:t xml:space="preserve"> and Sudan scoring 0.604. Yemen also happens to have the poorest GII value in the world. Its GII value is 0.28</w:t>
                            </w:r>
                            <w:r>
                              <w:t>4</w:t>
                            </w:r>
                            <w:r w:rsidRPr="009B5123">
                              <w:t xml:space="preserve"> above the world average</w:t>
                            </w:r>
                            <w:r>
                              <w:t xml:space="preserve"> of 0.463</w:t>
                            </w:r>
                            <w:r w:rsidRPr="009B5123">
                              <w:t>.</w:t>
                            </w:r>
                          </w:p>
                          <w:p w:rsidR="00037536" w:rsidRDefault="00037536" w:rsidP="00025266">
                            <w:pPr>
                              <w:jc w:val="both"/>
                              <w:rPr>
                                <w:sz w:val="22"/>
                                <w:szCs w:val="22"/>
                              </w:rPr>
                            </w:pPr>
                          </w:p>
                          <w:p w:rsidR="00037536" w:rsidRDefault="00037536" w:rsidP="0002526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49.25pt;height:241.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">
                <v:textbox>
                  <w:txbxContent>
                    <w:p w:rsidR="00037536" w:rsidRPr="00582816" w:rsidRDefault="00037536" w:rsidP="00025266">
                      <w:pPr>
                        <w:jc w:val="both"/>
                        <w:rPr>
                          <w:b/>
                        </w:rPr>
                      </w:pPr>
                      <w:r w:rsidRPr="00582816">
                        <w:rPr>
                          <w:b/>
                        </w:rPr>
                        <w:t>Arab States</w:t>
                      </w:r>
                    </w:p>
                    <w:p w:rsidR="00037536" w:rsidRDefault="00037536" w:rsidP="00025266">
                      <w:pPr>
                        <w:jc w:val="both"/>
                      </w:pPr>
                    </w:p>
                    <w:p w:rsidR="00037536" w:rsidRDefault="00037536" w:rsidP="00025266">
                      <w:pPr>
                        <w:jc w:val="both"/>
                        <w:rPr>
                          <w:sz w:val="22"/>
                          <w:szCs w:val="22"/>
                        </w:rPr>
                      </w:pPr>
                      <w:r>
                        <w:t xml:space="preserve">The GII is calculated for 17 out of the 20 Arab States.  It is not calculated for Occupied Palestinian Territory, Djibouti and Somalia due to missing data on share of seats in parliament or population with at least secondary education. </w:t>
                      </w:r>
                      <w:r>
                        <w:rPr>
                          <w:sz w:val="22"/>
                          <w:szCs w:val="22"/>
                        </w:rPr>
                        <w:t>The average GII value for the region is 0.555—only better than South Asia and sub-Saharan Africa.</w:t>
                      </w:r>
                    </w:p>
                    <w:p w:rsidR="00037536" w:rsidRDefault="00037536" w:rsidP="00025266">
                      <w:pPr>
                        <w:jc w:val="both"/>
                        <w:rPr>
                          <w:sz w:val="22"/>
                          <w:szCs w:val="22"/>
                        </w:rPr>
                      </w:pPr>
                    </w:p>
                    <w:p w:rsidR="00037536" w:rsidRPr="009B5123" w:rsidRDefault="00037536" w:rsidP="00025266">
                      <w:pPr>
                        <w:jc w:val="both"/>
                      </w:pPr>
                      <w:r w:rsidRPr="009B5123">
                        <w:t>In terms of components, a relatively higher levels of maternal mortality ratio (176/100,000 in contrast with a world average of 145/100.000; a very low female share in parliamentary seats (</w:t>
                      </w:r>
                      <w:r>
                        <w:t>13</w:t>
                      </w:r>
                      <w:r w:rsidRPr="009B5123">
                        <w:t>%, the lowest relative to other regions); as well as low female labour force participation rate (22.</w:t>
                      </w:r>
                      <w:r>
                        <w:t>8</w:t>
                      </w:r>
                      <w:r w:rsidRPr="009B5123">
                        <w:t>% also the lowest) account for the poor performance on the GII.</w:t>
                      </w:r>
                    </w:p>
                    <w:p w:rsidR="00037536" w:rsidRPr="009B5123" w:rsidRDefault="00037536" w:rsidP="00025266">
                      <w:pPr>
                        <w:jc w:val="both"/>
                      </w:pPr>
                    </w:p>
                    <w:p w:rsidR="00037536" w:rsidRPr="009B5123" w:rsidRDefault="00037536" w:rsidP="00025266">
                      <w:pPr>
                        <w:jc w:val="both"/>
                      </w:pPr>
                      <w:r>
                        <w:t xml:space="preserve">Libya </w:t>
                      </w:r>
                      <w:r w:rsidRPr="009B5123">
                        <w:t>leads the region with a GII value of 0.2</w:t>
                      </w:r>
                      <w:r>
                        <w:t>16</w:t>
                      </w:r>
                      <w:r w:rsidRPr="009B5123">
                        <w:t xml:space="preserve">, followed by </w:t>
                      </w:r>
                      <w:r>
                        <w:t>United Arab Emirates</w:t>
                      </w:r>
                      <w:r w:rsidRPr="009B5123">
                        <w:t xml:space="preserve"> with 0.2</w:t>
                      </w:r>
                      <w:r>
                        <w:t>41</w:t>
                      </w:r>
                      <w:r w:rsidRPr="009B5123">
                        <w:t xml:space="preserve"> and </w:t>
                      </w:r>
                      <w:r>
                        <w:t>Bahrain</w:t>
                      </w:r>
                      <w:r w:rsidRPr="009B5123">
                        <w:t>—0.2</w:t>
                      </w:r>
                      <w:r>
                        <w:t>58</w:t>
                      </w:r>
                      <w:r w:rsidRPr="009B5123">
                        <w:t>. The poorest performers in the region are Yemen with a value of 0.74</w:t>
                      </w:r>
                      <w:r>
                        <w:t>7</w:t>
                      </w:r>
                      <w:r w:rsidRPr="009B5123">
                        <w:t xml:space="preserve"> and Sudan scoring 0.604. Yemen also happens to have the poorest GII value in the world. Its GII value is 0.28</w:t>
                      </w:r>
                      <w:r>
                        <w:t>4</w:t>
                      </w:r>
                      <w:r w:rsidRPr="009B5123">
                        <w:t xml:space="preserve"> above the world average</w:t>
                      </w:r>
                      <w:r>
                        <w:t xml:space="preserve"> of 0.463</w:t>
                      </w:r>
                      <w:r w:rsidRPr="009B5123">
                        <w:t>.</w:t>
                      </w:r>
                    </w:p>
                    <w:p w:rsidR="00037536" w:rsidRDefault="00037536" w:rsidP="00025266">
                      <w:pPr>
                        <w:jc w:val="both"/>
                        <w:rPr>
                          <w:sz w:val="22"/>
                          <w:szCs w:val="22"/>
                        </w:rPr>
                      </w:pPr>
                    </w:p>
                    <w:p w:rsidR="00037536" w:rsidRDefault="00037536" w:rsidP="00025266">
                      <w:pPr>
                        <w:jc w:val="both"/>
                      </w:pPr>
                    </w:p>
                  </w:txbxContent>
                </v:textbox>
              </v:shape>
            </w:pict>
          </mc:Fallback>
        </mc:AlternateContent>
      </w:r>
    </w:p>
    <w:p w:rsidR="00277D9A" w:rsidRDefault="00277D9A" w:rsidP="00C5560F">
      <w:pPr>
        <w:pStyle w:val="BodyText"/>
        <w:jc w:val="both"/>
        <w:rPr>
          <w:rFonts w:ascii="Times New Roman" w:hAnsi="Times New Roman"/>
        </w:rPr>
      </w:pPr>
    </w:p>
    <w:p w:rsidR="00277D9A" w:rsidRDefault="00277D9A" w:rsidP="00C5560F">
      <w:pPr>
        <w:pStyle w:val="BodyText"/>
        <w:jc w:val="both"/>
        <w:rPr>
          <w:rFonts w:ascii="Times New Roman" w:hAnsi="Times New Roman"/>
        </w:rPr>
      </w:pPr>
    </w:p>
    <w:p w:rsidR="00277D9A" w:rsidRDefault="00277D9A" w:rsidP="00C5560F">
      <w:pPr>
        <w:pStyle w:val="BodyText"/>
        <w:jc w:val="both"/>
        <w:rPr>
          <w:rFonts w:ascii="Times New Roman" w:hAnsi="Times New Roman"/>
        </w:rPr>
      </w:pPr>
    </w:p>
    <w:p w:rsidR="00277D9A" w:rsidRDefault="00277D9A" w:rsidP="00C5560F">
      <w:pPr>
        <w:pStyle w:val="BodyText"/>
        <w:jc w:val="both"/>
        <w:rPr>
          <w:rFonts w:ascii="Times New Roman" w:hAnsi="Times New Roman"/>
        </w:rPr>
      </w:pPr>
    </w:p>
    <w:p w:rsidR="00277D9A" w:rsidRDefault="00277D9A" w:rsidP="00C5560F">
      <w:pPr>
        <w:pStyle w:val="BodyText"/>
        <w:jc w:val="both"/>
        <w:rPr>
          <w:rFonts w:ascii="Times New Roman" w:hAnsi="Times New Roman"/>
        </w:rPr>
      </w:pPr>
    </w:p>
    <w:p w:rsidR="00277D9A" w:rsidRDefault="00277D9A" w:rsidP="00C5560F">
      <w:pPr>
        <w:pStyle w:val="BodyText"/>
        <w:jc w:val="both"/>
        <w:rPr>
          <w:rFonts w:ascii="Times New Roman" w:hAnsi="Times New Roman"/>
        </w:rPr>
      </w:pPr>
    </w:p>
    <w:p w:rsidR="00277D9A" w:rsidRDefault="00277D9A" w:rsidP="00C5560F">
      <w:pPr>
        <w:pStyle w:val="BodyText"/>
        <w:jc w:val="both"/>
        <w:rPr>
          <w:rFonts w:ascii="Times New Roman" w:hAnsi="Times New Roman"/>
        </w:rPr>
      </w:pPr>
    </w:p>
    <w:p w:rsidR="00277D9A" w:rsidRDefault="00277D9A" w:rsidP="00C5560F">
      <w:pPr>
        <w:pStyle w:val="BodyText"/>
        <w:jc w:val="both"/>
        <w:rPr>
          <w:rFonts w:ascii="Times New Roman" w:hAnsi="Times New Roman"/>
        </w:rPr>
      </w:pPr>
    </w:p>
    <w:p w:rsidR="00277D9A" w:rsidRPr="00F216BF" w:rsidRDefault="00277D9A" w:rsidP="00C5560F">
      <w:pPr>
        <w:pStyle w:val="BodyText"/>
        <w:jc w:val="both"/>
        <w:rPr>
          <w:rFonts w:ascii="Times New Roman" w:hAnsi="Times New Roman"/>
        </w:rPr>
      </w:pPr>
    </w:p>
    <w:p w:rsidR="002C6B6A" w:rsidRPr="00F216BF" w:rsidRDefault="00160F9D" w:rsidP="00C5560F">
      <w:pPr>
        <w:pStyle w:val="BodyText"/>
        <w:jc w:val="both"/>
        <w:rPr>
          <w:rFonts w:ascii="Times New Roman" w:hAnsi="Times New Roman"/>
          <w:b/>
        </w:rPr>
      </w:pPr>
      <w:r w:rsidRPr="00F216BF">
        <w:rPr>
          <w:rFonts w:ascii="Times New Roman" w:hAnsi="Times New Roman"/>
        </w:rPr>
        <w:t xml:space="preserve"> </w:t>
      </w:r>
    </w:p>
    <w:p w:rsidR="004B16A5" w:rsidRDefault="004B16A5" w:rsidP="00C5560F">
      <w:pPr>
        <w:pStyle w:val="BodyText"/>
        <w:jc w:val="both"/>
        <w:rPr>
          <w:rFonts w:ascii="Times New Roman" w:hAnsi="Times New Roman"/>
          <w:b/>
        </w:rPr>
      </w:pPr>
    </w:p>
    <w:p w:rsidR="009B5123" w:rsidRDefault="009B5123" w:rsidP="00C5560F">
      <w:pPr>
        <w:pStyle w:val="BodyText"/>
        <w:jc w:val="both"/>
        <w:rPr>
          <w:rFonts w:ascii="Times New Roman" w:hAnsi="Times New Roman"/>
          <w:b/>
        </w:rPr>
      </w:pPr>
    </w:p>
    <w:p w:rsidR="003E4A8F" w:rsidRPr="00F216BF" w:rsidRDefault="00160F9D" w:rsidP="00C5560F">
      <w:pPr>
        <w:pStyle w:val="BodyText"/>
        <w:jc w:val="both"/>
        <w:rPr>
          <w:rFonts w:ascii="Times New Roman" w:hAnsi="Times New Roman"/>
          <w:b/>
        </w:rPr>
      </w:pPr>
      <w:r w:rsidRPr="00F216BF">
        <w:rPr>
          <w:rFonts w:ascii="Times New Roman" w:hAnsi="Times New Roman"/>
          <w:b/>
        </w:rPr>
        <w:t>Multi-dimensional Poverty I</w:t>
      </w:r>
      <w:r w:rsidR="002C6B6A" w:rsidRPr="00F216BF">
        <w:rPr>
          <w:rFonts w:ascii="Times New Roman" w:hAnsi="Times New Roman"/>
          <w:b/>
        </w:rPr>
        <w:t>ndex</w:t>
      </w:r>
      <w:r w:rsidRPr="00F216BF">
        <w:rPr>
          <w:rFonts w:ascii="Times New Roman" w:hAnsi="Times New Roman"/>
          <w:b/>
        </w:rPr>
        <w:t xml:space="preserve"> (MPI)</w:t>
      </w:r>
    </w:p>
    <w:p w:rsidR="0087723C" w:rsidRPr="00F216BF" w:rsidRDefault="00160F9D" w:rsidP="00C40CCF">
      <w:pPr>
        <w:jc w:val="both"/>
      </w:pPr>
      <w:r w:rsidRPr="00F216BF">
        <w:t xml:space="preserve">The MPI is a </w:t>
      </w:r>
      <w:r w:rsidR="0087723C" w:rsidRPr="00F216BF">
        <w:t xml:space="preserve">composite </w:t>
      </w:r>
      <w:r w:rsidRPr="00F216BF">
        <w:t xml:space="preserve">measure designed to capture </w:t>
      </w:r>
      <w:r w:rsidR="0087723C" w:rsidRPr="00F216BF">
        <w:t xml:space="preserve">overlapping </w:t>
      </w:r>
      <w:r w:rsidRPr="00F216BF">
        <w:t xml:space="preserve">deprivations that people </w:t>
      </w:r>
      <w:r w:rsidR="0087723C" w:rsidRPr="00F216BF">
        <w:t xml:space="preserve">suffer at the same time. </w:t>
      </w:r>
      <w:r w:rsidRPr="00F216BF">
        <w:t xml:space="preserve">The MPI reflects both </w:t>
      </w:r>
      <w:r w:rsidR="0087723C" w:rsidRPr="00F216BF">
        <w:t>prevalence</w:t>
      </w:r>
      <w:r w:rsidRPr="00F216BF">
        <w:t xml:space="preserve"> </w:t>
      </w:r>
      <w:r w:rsidR="0087723C" w:rsidRPr="00F216BF">
        <w:t>of multidimensional deprivation</w:t>
      </w:r>
      <w:r w:rsidRPr="00F216BF">
        <w:t xml:space="preserve"> and its intensity –</w:t>
      </w:r>
      <w:r w:rsidR="0087723C" w:rsidRPr="00F216BF">
        <w:t xml:space="preserve">-over-lapping </w:t>
      </w:r>
      <w:r w:rsidRPr="00F216BF">
        <w:t>deprivations</w:t>
      </w:r>
      <w:r w:rsidR="0087723C" w:rsidRPr="00F216BF">
        <w:t xml:space="preserve"> </w:t>
      </w:r>
      <w:r w:rsidRPr="00F216BF">
        <w:t>people</w:t>
      </w:r>
      <w:r w:rsidR="0087723C" w:rsidRPr="00F216BF">
        <w:t xml:space="preserve"> who suffer deprivation</w:t>
      </w:r>
      <w:r w:rsidRPr="00F216BF">
        <w:t xml:space="preserve"> experience </w:t>
      </w:r>
      <w:r w:rsidR="0087723C" w:rsidRPr="00F216BF">
        <w:t>on average</w:t>
      </w:r>
      <w:r w:rsidRPr="00F216BF">
        <w:t>.</w:t>
      </w:r>
      <w:r w:rsidR="00A83A85" w:rsidRPr="00F216BF">
        <w:t xml:space="preserve"> It MPI identifies overlapping deprivations at the household level across the same three dimensions but measured by 10 different indicators.</w:t>
      </w:r>
    </w:p>
    <w:p w:rsidR="00925676" w:rsidRPr="00F216BF" w:rsidRDefault="00925676" w:rsidP="00C40CCF">
      <w:pPr>
        <w:jc w:val="both"/>
      </w:pPr>
    </w:p>
    <w:p w:rsidR="00752E05" w:rsidRDefault="00160F9D" w:rsidP="00C40CCF">
      <w:pPr>
        <w:jc w:val="both"/>
      </w:pPr>
      <w:r w:rsidRPr="00F216BF">
        <w:t xml:space="preserve"> The MPI buil</w:t>
      </w:r>
      <w:r w:rsidR="0087723C" w:rsidRPr="00F216BF">
        <w:t>ds on recent advances in theory</w:t>
      </w:r>
      <w:r w:rsidRPr="00F216BF">
        <w:t xml:space="preserve"> and offers a valuable complement to traditional </w:t>
      </w:r>
      <w:r w:rsidR="0087723C" w:rsidRPr="00F216BF">
        <w:t xml:space="preserve">money metric measures of poverty. </w:t>
      </w:r>
      <w:r w:rsidR="00925676" w:rsidRPr="00F216BF">
        <w:t>It</w:t>
      </w:r>
      <w:r w:rsidR="0087723C" w:rsidRPr="00F216BF">
        <w:t xml:space="preserve"> is calculated for </w:t>
      </w:r>
      <w:r w:rsidR="00A83A85" w:rsidRPr="00F216BF">
        <w:t>10</w:t>
      </w:r>
      <w:r w:rsidR="003D30E3">
        <w:t>4</w:t>
      </w:r>
      <w:r w:rsidR="00A83A85" w:rsidRPr="00F216BF">
        <w:t xml:space="preserve"> countries</w:t>
      </w:r>
      <w:r w:rsidR="003D30E3">
        <w:t xml:space="preserve"> in contrast with 109 in 2011</w:t>
      </w:r>
      <w:r w:rsidR="00A83A85" w:rsidRPr="00F216BF">
        <w:t>.</w:t>
      </w:r>
      <w:r w:rsidR="003D30E3">
        <w:t xml:space="preserve">  Countries with data older than 10 years </w:t>
      </w:r>
      <w:r w:rsidR="002D72AD">
        <w:t>are</w:t>
      </w:r>
      <w:r w:rsidR="003D30E3">
        <w:t xml:space="preserve"> not included in the MPI. </w:t>
      </w:r>
      <w:r w:rsidR="002D72AD">
        <w:t xml:space="preserve"> This year we present the MPI and related measures differently. Countries with most recent data (2007 to 2011) are presented at the top of the table in alphabetical order and those with data between 2002 and 2006 are present at the bottom, also in alphabetical order.</w:t>
      </w:r>
    </w:p>
    <w:p w:rsidR="002D72AD" w:rsidRDefault="00133768" w:rsidP="00C40CCF">
      <w:pPr>
        <w:jc w:val="both"/>
      </w:pPr>
      <w:r>
        <w:rPr>
          <w:noProof/>
          <w:lang w:val="en-US"/>
        </w:rPr>
        <mc:AlternateContent>
          <mc:Choice Requires="wps">
            <w:drawing>
              <wp:anchor distT="0" distB="0" distL="114300" distR="114300" simplePos="0" relativeHeight="251665408" behindDoc="0" locked="0" layoutInCell="1" allowOverlap="1" wp14:anchorId="514F7FFF" wp14:editId="71EE4502">
                <wp:simplePos x="0" y="0"/>
                <wp:positionH relativeFrom="column">
                  <wp:align>center</wp:align>
                </wp:positionH>
                <wp:positionV relativeFrom="paragraph">
                  <wp:posOffset>0</wp:posOffset>
                </wp:positionV>
                <wp:extent cx="5753100" cy="25908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590800"/>
                        </a:xfrm>
                        <a:prstGeom prst="rect">
                          <a:avLst/>
                        </a:prstGeom>
                        <a:solidFill>
                          <a:srgbClr val="FFFFFF"/>
                        </a:solidFill>
                        <a:ln w="9525">
                          <a:solidFill>
                            <a:srgbClr val="000000"/>
                          </a:solidFill>
                          <a:miter lim="800000"/>
                          <a:headEnd/>
                          <a:tailEnd/>
                        </a:ln>
                      </wps:spPr>
                      <wps:txbx>
                        <w:txbxContent>
                          <w:p w:rsidR="00037536" w:rsidRDefault="00037536" w:rsidP="0082311B">
                            <w:pPr>
                              <w:jc w:val="both"/>
                            </w:pPr>
                            <w:r>
                              <w:t>The MPI has been calculated for 11 out of the 20 countries in the region. Somalia has the highest MPI value (0.514) based on 2006 survey data followed by Yemen (0.283). The headcount ratio, (i.e. the percentage of the population suffering over-lapping deprivation) is 81.2% for Somalia and 52.5% for Yemen. These translate into 6.9 million people in Somalia and 11.2 million people in Yemen who suffer overlapping deprivation. United Arab Emirates has both the lowest MPI value and headcount ratio (0.002 and 0.6%).</w:t>
                            </w:r>
                          </w:p>
                          <w:p w:rsidR="00037536" w:rsidRDefault="00037536" w:rsidP="0082311B">
                            <w:pPr>
                              <w:jc w:val="both"/>
                            </w:pPr>
                          </w:p>
                          <w:p w:rsidR="00037536" w:rsidRDefault="00037536" w:rsidP="0082311B">
                            <w:pPr>
                              <w:jc w:val="both"/>
                            </w:pPr>
                            <w:r>
                              <w:t>Intensity of deprivation is also highest for the Somalia and Yemen where the multi-dimensional poor people on average, suffer over-lapping deprivation in 63.3% and 53.9% of the indicators respectively. Intensity of deprivation is relatively lower in Jordan (34.4%).</w:t>
                            </w:r>
                          </w:p>
                          <w:p w:rsidR="00037536" w:rsidRDefault="00037536" w:rsidP="0082311B">
                            <w:pPr>
                              <w:jc w:val="both"/>
                            </w:pPr>
                          </w:p>
                          <w:p w:rsidR="00037536" w:rsidRDefault="00037536" w:rsidP="0082311B">
                            <w:pPr>
                              <w:jc w:val="both"/>
                            </w:pPr>
                            <w:r>
                              <w:t>Deprivation in education accounts for 94.4% of United Arab Emirates MPI based on 2003 data. Deprivation in living standards is relatively lower in the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453pt;height:204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">
                <v:textbox>
                  <w:txbxContent>
                    <w:p w:rsidR="008A3813" w:rsidRDefault="008A3813" w:rsidP="0082311B">
                      <w:pPr>
                        <w:jc w:val="both"/>
                      </w:pPr>
                      <w:r>
                        <w:t>The MPI has been calculated for 11 out of the 20 countries in the region. Somalia has the highest MPI value (0.514) based on 2006 survey data followed by Yemen (0.283). The headcount ratio, (i.e. the percentage of the population suffering over-lapping deprivation) is 81.2% for Somalia and 52.5% for Yemen. These translate into 6.9 million people in Somalia and 11.2 million people in Yemen who suffer overlapping deprivation. United Arab Emirates has both the lowest MPI value and headcount ratio (0.002 and 0.6%).</w:t>
                      </w:r>
                    </w:p>
                    <w:p w:rsidR="008A3813" w:rsidRDefault="008A3813" w:rsidP="0082311B">
                      <w:pPr>
                        <w:jc w:val="both"/>
                      </w:pPr>
                    </w:p>
                    <w:p w:rsidR="008A3813" w:rsidRDefault="008A3813" w:rsidP="0082311B">
                      <w:pPr>
                        <w:jc w:val="both"/>
                      </w:pPr>
                      <w:r>
                        <w:t xml:space="preserve">Intensity of deprivation is also highest for the Somalia and Yemen where the multi-dimensional poor people on average, suffer over-lapping deprivation in </w:t>
                      </w:r>
                      <w:r w:rsidR="006878DB">
                        <w:t>63.3</w:t>
                      </w:r>
                      <w:r>
                        <w:t xml:space="preserve">% and </w:t>
                      </w:r>
                      <w:r w:rsidR="006878DB">
                        <w:t>53.9</w:t>
                      </w:r>
                      <w:r>
                        <w:t>% of the indicators respectively.</w:t>
                      </w:r>
                      <w:r w:rsidR="006878DB">
                        <w:t xml:space="preserve"> Intensity of deprivation is relatively lower in Jordan (34.4%).</w:t>
                      </w:r>
                    </w:p>
                    <w:p w:rsidR="008A3813" w:rsidRDefault="008A3813" w:rsidP="0082311B">
                      <w:pPr>
                        <w:jc w:val="both"/>
                      </w:pPr>
                    </w:p>
                    <w:p w:rsidR="008A3813" w:rsidRDefault="008A3813" w:rsidP="0082311B">
                      <w:pPr>
                        <w:jc w:val="both"/>
                      </w:pPr>
                      <w:r>
                        <w:t xml:space="preserve">Deprivation in </w:t>
                      </w:r>
                      <w:r w:rsidR="006878DB">
                        <w:t>education accounts for 94.4% of United Arab Emirates MPI based on 2003 data.</w:t>
                      </w:r>
                      <w:r>
                        <w:t xml:space="preserve"> </w:t>
                      </w:r>
                      <w:r w:rsidR="006878DB">
                        <w:t>Deprivation in living standards is relatively lower in the region.</w:t>
                      </w:r>
                    </w:p>
                  </w:txbxContent>
                </v:textbox>
              </v:shape>
            </w:pict>
          </mc:Fallback>
        </mc:AlternateContent>
      </w:r>
    </w:p>
    <w:p w:rsidR="002D72AD" w:rsidRPr="00F216BF" w:rsidRDefault="002D72AD" w:rsidP="00C40CCF">
      <w:pPr>
        <w:jc w:val="both"/>
      </w:pPr>
    </w:p>
    <w:p w:rsidR="00A43AA9" w:rsidRPr="00F216BF" w:rsidRDefault="00A43AA9" w:rsidP="00332BC2">
      <w:pPr>
        <w:jc w:val="both"/>
      </w:pPr>
    </w:p>
    <w:p w:rsidR="00A83A85" w:rsidRDefault="00A83A85" w:rsidP="00332BC2">
      <w:pPr>
        <w:jc w:val="both"/>
      </w:pPr>
    </w:p>
    <w:p w:rsidR="008A27B8" w:rsidRDefault="008A27B8" w:rsidP="00332BC2">
      <w:pPr>
        <w:jc w:val="both"/>
      </w:pPr>
    </w:p>
    <w:p w:rsidR="008A27B8" w:rsidRDefault="008A27B8" w:rsidP="00332BC2">
      <w:pPr>
        <w:jc w:val="both"/>
      </w:pPr>
    </w:p>
    <w:p w:rsidR="008A27B8" w:rsidRDefault="008A27B8" w:rsidP="00332BC2">
      <w:pPr>
        <w:jc w:val="both"/>
      </w:pPr>
    </w:p>
    <w:p w:rsidR="008A27B8" w:rsidRDefault="008A27B8" w:rsidP="00332BC2">
      <w:pPr>
        <w:jc w:val="both"/>
      </w:pPr>
    </w:p>
    <w:p w:rsidR="008A27B8" w:rsidRDefault="008A27B8" w:rsidP="00332BC2">
      <w:pPr>
        <w:jc w:val="both"/>
      </w:pPr>
    </w:p>
    <w:p w:rsidR="008A27B8" w:rsidRDefault="008A27B8" w:rsidP="00332BC2">
      <w:pPr>
        <w:jc w:val="both"/>
      </w:pPr>
    </w:p>
    <w:p w:rsidR="008A27B8" w:rsidRDefault="008A27B8" w:rsidP="00332BC2">
      <w:pPr>
        <w:jc w:val="both"/>
      </w:pPr>
    </w:p>
    <w:p w:rsidR="008A27B8" w:rsidRDefault="008A27B8" w:rsidP="00332BC2">
      <w:pPr>
        <w:jc w:val="both"/>
      </w:pPr>
    </w:p>
    <w:p w:rsidR="008A27B8" w:rsidRDefault="008A27B8" w:rsidP="00332BC2">
      <w:pPr>
        <w:jc w:val="both"/>
        <w:rPr>
          <w:b/>
        </w:rPr>
      </w:pPr>
      <w:r w:rsidRPr="001C2C05">
        <w:rPr>
          <w:b/>
        </w:rPr>
        <w:t>International trade flows of goods and services</w:t>
      </w:r>
    </w:p>
    <w:p w:rsidR="008A27B8" w:rsidRDefault="008A27B8" w:rsidP="00332BC2">
      <w:pPr>
        <w:jc w:val="both"/>
        <w:rPr>
          <w:b/>
        </w:rPr>
      </w:pPr>
    </w:p>
    <w:p w:rsidR="008A27B8" w:rsidRDefault="008A27B8" w:rsidP="00332BC2">
      <w:pPr>
        <w:jc w:val="both"/>
      </w:pPr>
      <w:r w:rsidRPr="008A27B8">
        <w:t xml:space="preserve">In </w:t>
      </w:r>
      <w:r>
        <w:t>relation</w:t>
      </w:r>
      <w:r w:rsidRPr="008A27B8">
        <w:t xml:space="preserve"> </w:t>
      </w:r>
      <w:r>
        <w:t>to the theme of this year’s report: “The rise of the global south: Human progress in a diverse world” we have introduced indicators</w:t>
      </w:r>
      <w:r w:rsidR="00A5141A">
        <w:t xml:space="preserve"> </w:t>
      </w:r>
      <w:r w:rsidR="00340383">
        <w:t xml:space="preserve">on </w:t>
      </w:r>
      <w:r w:rsidR="00A5141A">
        <w:t>trade in goods and services</w:t>
      </w:r>
      <w:r>
        <w:t xml:space="preserve"> </w:t>
      </w:r>
      <w:r w:rsidR="00A5141A">
        <w:t>to</w:t>
      </w:r>
      <w:r>
        <w:t xml:space="preserve"> reflect</w:t>
      </w:r>
      <w:r w:rsidRPr="001C2C05">
        <w:t xml:space="preserve"> </w:t>
      </w:r>
      <w:r w:rsidR="00A5141A">
        <w:t xml:space="preserve">on </w:t>
      </w:r>
      <w:r w:rsidRPr="001C2C05">
        <w:t xml:space="preserve">the extent to which </w:t>
      </w:r>
      <w:r>
        <w:t>each country is</w:t>
      </w:r>
      <w:r w:rsidRPr="001C2C05">
        <w:t xml:space="preserve"> integrated into the global economy. </w:t>
      </w:r>
      <w:r w:rsidR="008C7E67">
        <w:t>These indicators are placed in table 10 of the Statistical Annex.</w:t>
      </w:r>
    </w:p>
    <w:p w:rsidR="00A5141A" w:rsidRDefault="00A5141A" w:rsidP="00332BC2">
      <w:pPr>
        <w:jc w:val="both"/>
      </w:pPr>
    </w:p>
    <w:p w:rsidR="00340383" w:rsidRPr="00340383" w:rsidRDefault="006878DB" w:rsidP="006B6611">
      <w:pPr>
        <w:pBdr>
          <w:top w:val="single" w:sz="4" w:space="1" w:color="auto"/>
          <w:left w:val="single" w:sz="4" w:space="4" w:color="auto"/>
          <w:bottom w:val="single" w:sz="4" w:space="1" w:color="auto"/>
          <w:right w:val="single" w:sz="4" w:space="4" w:color="auto"/>
        </w:pBdr>
        <w:jc w:val="both"/>
        <w:rPr>
          <w:b/>
        </w:rPr>
      </w:pPr>
      <w:r>
        <w:rPr>
          <w:b/>
        </w:rPr>
        <w:t>Arab Sta</w:t>
      </w:r>
      <w:r w:rsidR="007E3EEA">
        <w:rPr>
          <w:b/>
        </w:rPr>
        <w:t>t</w:t>
      </w:r>
      <w:r>
        <w:rPr>
          <w:b/>
        </w:rPr>
        <w:t>es</w:t>
      </w:r>
    </w:p>
    <w:p w:rsidR="00340383" w:rsidRDefault="00340383" w:rsidP="006B6611">
      <w:pPr>
        <w:pBdr>
          <w:top w:val="single" w:sz="4" w:space="1" w:color="auto"/>
          <w:left w:val="single" w:sz="4" w:space="4" w:color="auto"/>
          <w:bottom w:val="single" w:sz="4" w:space="1" w:color="auto"/>
          <w:right w:val="single" w:sz="4" w:space="4" w:color="auto"/>
        </w:pBdr>
        <w:jc w:val="both"/>
      </w:pPr>
    </w:p>
    <w:p w:rsidR="006B6611" w:rsidRPr="007E3EEA" w:rsidRDefault="006B6611" w:rsidP="006B6611">
      <w:pPr>
        <w:pBdr>
          <w:top w:val="single" w:sz="4" w:space="1" w:color="auto"/>
          <w:left w:val="single" w:sz="4" w:space="4" w:color="auto"/>
          <w:bottom w:val="single" w:sz="4" w:space="1" w:color="auto"/>
          <w:right w:val="single" w:sz="4" w:space="4" w:color="auto"/>
        </w:pBdr>
        <w:jc w:val="both"/>
      </w:pPr>
      <w:r w:rsidRPr="007E3EEA">
        <w:t>In regards to merchandize goods export</w:t>
      </w:r>
      <w:r w:rsidR="00340383" w:rsidRPr="007E3EEA">
        <w:t>s</w:t>
      </w:r>
      <w:r w:rsidRPr="007E3EEA">
        <w:t>,</w:t>
      </w:r>
      <w:r w:rsidR="009B5123">
        <w:t xml:space="preserve"> the total value for the region was $</w:t>
      </w:r>
      <w:r w:rsidR="005463BB">
        <w:t>546.6</w:t>
      </w:r>
      <w:r w:rsidR="009B5123">
        <w:t xml:space="preserve"> billion, representing </w:t>
      </w:r>
      <w:r w:rsidR="005463BB">
        <w:t>4</w:t>
      </w:r>
      <w:r w:rsidR="009B5123">
        <w:t>% of total world exports of $13.</w:t>
      </w:r>
      <w:r w:rsidR="005463BB">
        <w:t>6</w:t>
      </w:r>
      <w:r w:rsidR="009B5123">
        <w:t xml:space="preserve"> trillion.</w:t>
      </w:r>
      <w:r w:rsidRPr="007E3EEA">
        <w:t xml:space="preserve"> </w:t>
      </w:r>
      <w:r w:rsidR="00686943">
        <w:t xml:space="preserve">Saudi Arabia </w:t>
      </w:r>
      <w:r w:rsidRPr="007E3EEA">
        <w:t>lead</w:t>
      </w:r>
      <w:r w:rsidR="00686943">
        <w:t>s</w:t>
      </w:r>
      <w:r w:rsidRPr="007E3EEA">
        <w:t xml:space="preserve"> in the region exporting goods to the tune of $</w:t>
      </w:r>
      <w:r w:rsidR="00686943">
        <w:t>245.9</w:t>
      </w:r>
      <w:r w:rsidRPr="007E3EEA">
        <w:t xml:space="preserve"> billion in 2</w:t>
      </w:r>
      <w:r w:rsidR="00340383" w:rsidRPr="007E3EEA">
        <w:t xml:space="preserve">010, representing </w:t>
      </w:r>
      <w:r w:rsidR="005463BB">
        <w:t>59.4</w:t>
      </w:r>
      <w:r w:rsidR="00340383" w:rsidRPr="007E3EEA">
        <w:t xml:space="preserve">% </w:t>
      </w:r>
      <w:r w:rsidR="00686943">
        <w:t>its GDP in that year</w:t>
      </w:r>
      <w:r w:rsidRPr="007E3EEA">
        <w:t xml:space="preserve">. </w:t>
      </w:r>
      <w:r w:rsidR="00686943">
        <w:t>This is followed by Algeria ($57.1 billion) and then Kuwait ($50.3 billion) representing 3</w:t>
      </w:r>
      <w:r w:rsidR="005463BB">
        <w:t>8</w:t>
      </w:r>
      <w:r w:rsidR="00686943">
        <w:t xml:space="preserve">% and </w:t>
      </w:r>
      <w:r w:rsidR="005463BB">
        <w:t>43.8</w:t>
      </w:r>
      <w:r w:rsidR="00817C11">
        <w:t xml:space="preserve">% of their respective GDPs. </w:t>
      </w:r>
      <w:r w:rsidR="00686943">
        <w:t>Among countries in the region with data, the Occupied Palestinian Territory exports the least (</w:t>
      </w:r>
      <w:r w:rsidR="00C4639F">
        <w:t>$0.4 billion).</w:t>
      </w:r>
    </w:p>
    <w:p w:rsidR="00340383" w:rsidRPr="007E3EEA" w:rsidRDefault="00340383" w:rsidP="006B6611">
      <w:pPr>
        <w:pBdr>
          <w:top w:val="single" w:sz="4" w:space="1" w:color="auto"/>
          <w:left w:val="single" w:sz="4" w:space="4" w:color="auto"/>
          <w:bottom w:val="single" w:sz="4" w:space="1" w:color="auto"/>
          <w:right w:val="single" w:sz="4" w:space="4" w:color="auto"/>
        </w:pBdr>
        <w:jc w:val="both"/>
      </w:pPr>
    </w:p>
    <w:p w:rsidR="006B6611" w:rsidRDefault="009B5123" w:rsidP="006B6611">
      <w:pPr>
        <w:pBdr>
          <w:top w:val="single" w:sz="4" w:space="1" w:color="auto"/>
          <w:left w:val="single" w:sz="4" w:space="4" w:color="auto"/>
          <w:bottom w:val="single" w:sz="4" w:space="1" w:color="auto"/>
          <w:right w:val="single" w:sz="4" w:space="4" w:color="auto"/>
        </w:pBdr>
        <w:jc w:val="both"/>
      </w:pPr>
      <w:r>
        <w:t>M</w:t>
      </w:r>
      <w:r w:rsidR="00C4639F">
        <w:t xml:space="preserve">anufactured </w:t>
      </w:r>
      <w:r>
        <w:t xml:space="preserve">goods </w:t>
      </w:r>
      <w:r w:rsidR="00C4639F">
        <w:t>account for</w:t>
      </w:r>
      <w:r w:rsidR="00037536">
        <w:t xml:space="preserve"> about</w:t>
      </w:r>
      <w:r>
        <w:t xml:space="preserve"> 18% of the region’s merchandize exports but only </w:t>
      </w:r>
      <w:r w:rsidR="00C4639F">
        <w:t>11</w:t>
      </w:r>
      <w:r w:rsidR="006B6611" w:rsidRPr="007E3EEA">
        <w:t xml:space="preserve">% of </w:t>
      </w:r>
      <w:r w:rsidR="00C4639F">
        <w:t>Saudi Arabia’s</w:t>
      </w:r>
      <w:r>
        <w:t>. It forms the bulk of</w:t>
      </w:r>
      <w:r w:rsidR="006B6611" w:rsidRPr="007E3EEA">
        <w:t xml:space="preserve"> </w:t>
      </w:r>
      <w:r w:rsidR="00C4639F">
        <w:t>Occupied Palestinian Territory’s exports</w:t>
      </w:r>
      <w:r>
        <w:t xml:space="preserve"> (</w:t>
      </w:r>
      <w:r w:rsidR="00037536">
        <w:t>66.9</w:t>
      </w:r>
      <w:r>
        <w:t>%)</w:t>
      </w:r>
      <w:r w:rsidR="00C4639F">
        <w:t>.</w:t>
      </w:r>
      <w:r w:rsidR="006B6611" w:rsidRPr="007E3EEA">
        <w:t xml:space="preserve"> </w:t>
      </w:r>
    </w:p>
    <w:p w:rsidR="00C4639F" w:rsidRPr="007E3EEA" w:rsidRDefault="00C4639F" w:rsidP="006B6611">
      <w:pPr>
        <w:pBdr>
          <w:top w:val="single" w:sz="4" w:space="1" w:color="auto"/>
          <w:left w:val="single" w:sz="4" w:space="4" w:color="auto"/>
          <w:bottom w:val="single" w:sz="4" w:space="1" w:color="auto"/>
          <w:right w:val="single" w:sz="4" w:space="4" w:color="auto"/>
        </w:pBdr>
        <w:jc w:val="both"/>
      </w:pPr>
    </w:p>
    <w:p w:rsidR="006B6611" w:rsidRPr="007E3EEA" w:rsidRDefault="006B6611" w:rsidP="006B6611">
      <w:pPr>
        <w:pBdr>
          <w:top w:val="single" w:sz="4" w:space="1" w:color="auto"/>
          <w:left w:val="single" w:sz="4" w:space="4" w:color="auto"/>
          <w:bottom w:val="single" w:sz="4" w:space="1" w:color="auto"/>
          <w:right w:val="single" w:sz="4" w:space="4" w:color="auto"/>
        </w:pBdr>
        <w:jc w:val="both"/>
      </w:pPr>
      <w:r w:rsidRPr="007E3EEA">
        <w:t xml:space="preserve">Merchandize imports follow similar pattern with </w:t>
      </w:r>
      <w:r w:rsidR="00C4639F">
        <w:t xml:space="preserve">Saudi Arabia </w:t>
      </w:r>
      <w:r w:rsidRPr="007E3EEA">
        <w:t xml:space="preserve">leading with </w:t>
      </w:r>
      <w:r w:rsidR="00C4639F">
        <w:t>imports</w:t>
      </w:r>
      <w:r w:rsidRPr="007E3EEA">
        <w:t xml:space="preserve"> to the tune of $</w:t>
      </w:r>
      <w:r w:rsidR="00817C11">
        <w:t xml:space="preserve">106.9 </w:t>
      </w:r>
      <w:r w:rsidRPr="007E3EEA">
        <w:t>billion</w:t>
      </w:r>
      <w:r w:rsidR="00817C11">
        <w:t xml:space="preserve"> and </w:t>
      </w:r>
      <w:r w:rsidR="00037536">
        <w:t>25.8</w:t>
      </w:r>
      <w:r w:rsidR="00817C11">
        <w:t xml:space="preserve">% of its GDP. This is </w:t>
      </w:r>
      <w:r w:rsidRPr="007E3EEA">
        <w:t xml:space="preserve">followed by </w:t>
      </w:r>
      <w:r w:rsidR="00817C11">
        <w:t xml:space="preserve">Egypt </w:t>
      </w:r>
      <w:r w:rsidRPr="007E3EEA">
        <w:t>with $</w:t>
      </w:r>
      <w:r w:rsidR="00817C11">
        <w:t>53</w:t>
      </w:r>
      <w:r w:rsidRPr="007E3EEA">
        <w:t xml:space="preserve"> billion</w:t>
      </w:r>
      <w:r w:rsidR="00817C11">
        <w:t xml:space="preserve"> and Algeria ($41 billion)</w:t>
      </w:r>
      <w:r w:rsidR="00340383" w:rsidRPr="007E3EEA">
        <w:t>,</w:t>
      </w:r>
      <w:r w:rsidRPr="007E3EEA">
        <w:t xml:space="preserve"> constituting </w:t>
      </w:r>
      <w:r w:rsidR="00817C11">
        <w:t>26% and 27.3% of their respective GDPs.</w:t>
      </w:r>
      <w:r w:rsidRPr="007E3EEA">
        <w:t xml:space="preserve"> </w:t>
      </w:r>
      <w:r w:rsidR="003E3264">
        <w:t xml:space="preserve"> </w:t>
      </w:r>
      <w:r w:rsidR="00817C11">
        <w:t>Merchandize imports represent 61.5% of Djibouti’s GDP.</w:t>
      </w:r>
    </w:p>
    <w:p w:rsidR="000505E6" w:rsidRPr="007E3EEA" w:rsidRDefault="000505E6" w:rsidP="006B6611">
      <w:pPr>
        <w:pBdr>
          <w:top w:val="single" w:sz="4" w:space="1" w:color="auto"/>
          <w:left w:val="single" w:sz="4" w:space="4" w:color="auto"/>
          <w:bottom w:val="single" w:sz="4" w:space="1" w:color="auto"/>
          <w:right w:val="single" w:sz="4" w:space="4" w:color="auto"/>
        </w:pBdr>
        <w:jc w:val="both"/>
      </w:pPr>
    </w:p>
    <w:p w:rsidR="00340383" w:rsidRDefault="006B6611" w:rsidP="006B6611">
      <w:pPr>
        <w:pBdr>
          <w:top w:val="single" w:sz="4" w:space="1" w:color="auto"/>
          <w:left w:val="single" w:sz="4" w:space="4" w:color="auto"/>
          <w:bottom w:val="single" w:sz="4" w:space="1" w:color="auto"/>
          <w:right w:val="single" w:sz="4" w:space="4" w:color="auto"/>
        </w:pBdr>
        <w:jc w:val="both"/>
      </w:pPr>
      <w:r w:rsidRPr="007E3EEA">
        <w:t xml:space="preserve">The value of services exports is low in comparison with goods exports, with </w:t>
      </w:r>
      <w:r w:rsidR="003E3264">
        <w:t xml:space="preserve">Lebanon leading </w:t>
      </w:r>
      <w:r w:rsidRPr="007E3EEA">
        <w:t>in the region with a tune of $</w:t>
      </w:r>
      <w:r w:rsidR="003E3264">
        <w:t>15.3</w:t>
      </w:r>
      <w:r w:rsidRPr="007E3EEA">
        <w:t xml:space="preserve"> billion followed by </w:t>
      </w:r>
      <w:r w:rsidR="003E3264">
        <w:t>Morocco</w:t>
      </w:r>
      <w:r w:rsidRPr="007E3EEA">
        <w:t xml:space="preserve"> with $</w:t>
      </w:r>
      <w:r w:rsidR="003E3264">
        <w:t>12.5</w:t>
      </w:r>
      <w:r w:rsidRPr="007E3EEA">
        <w:t xml:space="preserve"> billion. The total value of the region’s export in services is $</w:t>
      </w:r>
      <w:r w:rsidR="003E3264">
        <w:t>86.4 billion constituting only 2.5</w:t>
      </w:r>
      <w:r w:rsidRPr="007E3EEA">
        <w:t xml:space="preserve">% of the world total of $3.4 trillion. </w:t>
      </w:r>
    </w:p>
    <w:p w:rsidR="006B6611" w:rsidRDefault="006B6611" w:rsidP="006B6611">
      <w:pPr>
        <w:pBdr>
          <w:top w:val="single" w:sz="4" w:space="1" w:color="auto"/>
          <w:left w:val="single" w:sz="4" w:space="4" w:color="auto"/>
          <w:bottom w:val="single" w:sz="4" w:space="1" w:color="auto"/>
          <w:right w:val="single" w:sz="4" w:space="4" w:color="auto"/>
        </w:pBdr>
        <w:jc w:val="both"/>
      </w:pPr>
    </w:p>
    <w:p w:rsidR="006B6611" w:rsidRDefault="006B6611" w:rsidP="006B6611">
      <w:pPr>
        <w:jc w:val="both"/>
      </w:pPr>
    </w:p>
    <w:p w:rsidR="006B6611" w:rsidRDefault="006B6611" w:rsidP="006B6611">
      <w:pPr>
        <w:jc w:val="both"/>
      </w:pPr>
    </w:p>
    <w:p w:rsidR="00D77EEE" w:rsidRDefault="008C7E67" w:rsidP="008C7E67">
      <w:pPr>
        <w:jc w:val="both"/>
      </w:pPr>
      <w:r w:rsidRPr="000F0C45">
        <w:rPr>
          <w:b/>
        </w:rPr>
        <w:t xml:space="preserve">Social </w:t>
      </w:r>
      <w:r>
        <w:rPr>
          <w:b/>
        </w:rPr>
        <w:t>i</w:t>
      </w:r>
      <w:r w:rsidRPr="000F0C45">
        <w:rPr>
          <w:b/>
        </w:rPr>
        <w:t>ntegration</w:t>
      </w:r>
      <w:r w:rsidR="00D941AE">
        <w:rPr>
          <w:b/>
        </w:rPr>
        <w:t xml:space="preserve"> </w:t>
      </w:r>
      <w:r w:rsidR="00D941AE" w:rsidRPr="00344579">
        <w:t>is another important area related to the theme of the 2012 HDR</w:t>
      </w:r>
      <w:r w:rsidR="00803617" w:rsidRPr="00803617">
        <w:t xml:space="preserve">. We </w:t>
      </w:r>
      <w:r w:rsidR="00803617">
        <w:t xml:space="preserve">assembled table 9 with </w:t>
      </w:r>
      <w:r w:rsidRPr="00D941AE">
        <w:t>13</w:t>
      </w:r>
      <w:r w:rsidRPr="00803617">
        <w:t xml:space="preserve"> indicators </w:t>
      </w:r>
      <w:r w:rsidR="00D941AE" w:rsidRPr="00803617">
        <w:t xml:space="preserve">grouped </w:t>
      </w:r>
      <w:r w:rsidRPr="00803617">
        <w:t>in four dimensions that indicate whe</w:t>
      </w:r>
      <w:r w:rsidRPr="000F0C45">
        <w:t>ther</w:t>
      </w:r>
      <w:r>
        <w:t xml:space="preserve"> a society is inclusive and </w:t>
      </w:r>
      <w:r w:rsidRPr="000F0C45">
        <w:t>integrated</w:t>
      </w:r>
      <w:r>
        <w:t xml:space="preserve">. In particular, </w:t>
      </w:r>
      <w:r w:rsidR="00D941AE">
        <w:t>we look</w:t>
      </w:r>
      <w:r>
        <w:t xml:space="preserve"> at the extent of</w:t>
      </w:r>
      <w:r w:rsidRPr="000F0C45">
        <w:t xml:space="preserve"> equal rights and opportunities for employment</w:t>
      </w:r>
      <w:r>
        <w:t>,</w:t>
      </w:r>
      <w:r w:rsidRPr="000F0C45">
        <w:t xml:space="preserve"> overall </w:t>
      </w:r>
      <w:r>
        <w:t>in</w:t>
      </w:r>
      <w:r w:rsidRPr="000F0C45">
        <w:t>equ</w:t>
      </w:r>
      <w:r>
        <w:t>al</w:t>
      </w:r>
      <w:r w:rsidRPr="000F0C45">
        <w:t xml:space="preserve">ity, </w:t>
      </w:r>
      <w:r>
        <w:t>human safety</w:t>
      </w:r>
      <w:r w:rsidRPr="000F0C45">
        <w:t xml:space="preserve">, and </w:t>
      </w:r>
      <w:r>
        <w:t>trust and community satisfaction</w:t>
      </w:r>
      <w:r w:rsidRPr="000F0C45">
        <w:t xml:space="preserve">. </w:t>
      </w:r>
      <w:r>
        <w:t>Complementary objective</w:t>
      </w:r>
      <w:r w:rsidRPr="000F0C45">
        <w:t xml:space="preserve"> indicators and</w:t>
      </w:r>
      <w:r>
        <w:t xml:space="preserve"> perception-based</w:t>
      </w:r>
      <w:r w:rsidRPr="000F0C45">
        <w:t xml:space="preserve"> indicators allow for a more nuanced picture </w:t>
      </w:r>
      <w:r>
        <w:t>of social</w:t>
      </w:r>
      <w:r w:rsidRPr="000F0C45">
        <w:t xml:space="preserve"> integration. </w:t>
      </w:r>
      <w:r>
        <w:t xml:space="preserve">Life, freedom and job satisfaction focus on individuals’ views of their personal conditions, while trust in people and government, along with community satisfaction, give insight into people’s satisfaction with broader society. </w:t>
      </w:r>
    </w:p>
    <w:p w:rsidR="00D77EEE" w:rsidRDefault="00D77EEE">
      <w:r>
        <w:br w:type="page"/>
      </w:r>
    </w:p>
    <w:p w:rsidR="008C7E67" w:rsidRDefault="008C7E67" w:rsidP="008C7E67">
      <w:pPr>
        <w:jc w:val="both"/>
      </w:pPr>
    </w:p>
    <w:p w:rsidR="00A5141A" w:rsidRDefault="00A5141A" w:rsidP="00332BC2">
      <w:pPr>
        <w:jc w:val="both"/>
      </w:pPr>
    </w:p>
    <w:p w:rsidR="00795D0B" w:rsidRPr="00F216BF" w:rsidRDefault="00795D0B" w:rsidP="00332BC2">
      <w:pPr>
        <w:jc w:val="both"/>
      </w:pPr>
      <w:r>
        <w:rPr>
          <w:noProof/>
          <w:lang w:val="en-US"/>
        </w:rPr>
        <mc:AlternateContent>
          <mc:Choice Requires="wps">
            <w:drawing>
              <wp:anchor distT="0" distB="0" distL="114300" distR="114300" simplePos="0" relativeHeight="251666432" behindDoc="0" locked="0" layoutInCell="1" allowOverlap="1" wp14:anchorId="517E2E8E" wp14:editId="70CCCE0E">
                <wp:simplePos x="0" y="0"/>
                <wp:positionH relativeFrom="column">
                  <wp:posOffset>19050</wp:posOffset>
                </wp:positionH>
                <wp:positionV relativeFrom="paragraph">
                  <wp:posOffset>20956</wp:posOffset>
                </wp:positionV>
                <wp:extent cx="5705475" cy="4914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705475" cy="49149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7536" w:rsidRPr="006878DB" w:rsidRDefault="00037536" w:rsidP="004D75F0">
                            <w:pPr>
                              <w:jc w:val="both"/>
                              <w:rPr>
                                <w:b/>
                              </w:rPr>
                            </w:pPr>
                            <w:r w:rsidRPr="006878DB">
                              <w:rPr>
                                <w:b/>
                              </w:rPr>
                              <w:t>Arab States:</w:t>
                            </w:r>
                          </w:p>
                          <w:p w:rsidR="00037536" w:rsidRPr="00D77EEE" w:rsidRDefault="00037536" w:rsidP="004D75F0">
                            <w:pPr>
                              <w:pStyle w:val="ListParagraph"/>
                              <w:numPr>
                                <w:ilvl w:val="0"/>
                                <w:numId w:val="14"/>
                              </w:numPr>
                              <w:jc w:val="both"/>
                              <w:rPr>
                                <w:rFonts w:ascii="Times New Roman" w:eastAsia="Times New Roman" w:hAnsi="Times New Roman"/>
                                <w:sz w:val="24"/>
                                <w:szCs w:val="24"/>
                                <w:lang w:eastAsia="en-US"/>
                              </w:rPr>
                            </w:pPr>
                            <w:r w:rsidRPr="00D77EEE">
                              <w:rPr>
                                <w:rFonts w:ascii="Times New Roman" w:eastAsia="Times New Roman" w:hAnsi="Times New Roman"/>
                                <w:sz w:val="24"/>
                                <w:szCs w:val="24"/>
                                <w:lang w:eastAsia="en-US"/>
                              </w:rPr>
                              <w:t xml:space="preserve">The region has the </w:t>
                            </w:r>
                            <w:r>
                              <w:rPr>
                                <w:rFonts w:ascii="Times New Roman" w:eastAsia="Times New Roman" w:hAnsi="Times New Roman"/>
                                <w:sz w:val="24"/>
                                <w:szCs w:val="24"/>
                                <w:lang w:eastAsia="en-US"/>
                              </w:rPr>
                              <w:t>lowest</w:t>
                            </w:r>
                            <w:r w:rsidRPr="00D77EEE">
                              <w:rPr>
                                <w:rFonts w:ascii="Times New Roman" w:eastAsia="Times New Roman" w:hAnsi="Times New Roman"/>
                                <w:sz w:val="24"/>
                                <w:szCs w:val="24"/>
                                <w:lang w:eastAsia="en-US"/>
                              </w:rPr>
                              <w:t xml:space="preserve"> emplo</w:t>
                            </w:r>
                            <w:r>
                              <w:rPr>
                                <w:rFonts w:ascii="Times New Roman" w:eastAsia="Times New Roman" w:hAnsi="Times New Roman"/>
                                <w:sz w:val="24"/>
                                <w:szCs w:val="24"/>
                                <w:lang w:eastAsia="en-US"/>
                              </w:rPr>
                              <w:t>yment-to</w:t>
                            </w:r>
                            <w:r w:rsidRPr="00D77EEE">
                              <w:rPr>
                                <w:rFonts w:ascii="Times New Roman" w:eastAsia="Times New Roman" w:hAnsi="Times New Roman"/>
                                <w:sz w:val="24"/>
                                <w:szCs w:val="24"/>
                                <w:lang w:eastAsia="en-US"/>
                              </w:rPr>
                              <w:t>–population ratio (</w:t>
                            </w:r>
                            <w:r>
                              <w:rPr>
                                <w:rFonts w:ascii="Times New Roman" w:eastAsia="Times New Roman" w:hAnsi="Times New Roman"/>
                                <w:sz w:val="24"/>
                                <w:szCs w:val="24"/>
                                <w:lang w:eastAsia="en-US"/>
                              </w:rPr>
                              <w:t>52.6</w:t>
                            </w:r>
                            <w:r w:rsidRPr="00D77EEE">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below the world average of 65.8%</w:t>
                            </w:r>
                            <w:r w:rsidRPr="00D77EEE">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There is also wide </w:t>
                            </w:r>
                            <w:r w:rsidRPr="00D77EEE">
                              <w:rPr>
                                <w:rFonts w:ascii="Times New Roman" w:eastAsia="Times New Roman" w:hAnsi="Times New Roman"/>
                                <w:sz w:val="24"/>
                                <w:szCs w:val="24"/>
                                <w:lang w:eastAsia="en-US"/>
                              </w:rPr>
                              <w:t xml:space="preserve">variation across countries </w:t>
                            </w:r>
                            <w:r>
                              <w:rPr>
                                <w:rFonts w:ascii="Times New Roman" w:eastAsia="Times New Roman" w:hAnsi="Times New Roman"/>
                                <w:sz w:val="24"/>
                                <w:szCs w:val="24"/>
                                <w:lang w:eastAsia="en-US"/>
                              </w:rPr>
                              <w:t>ranging from a low employment-to-population-ratio of 41.2% in Occupied Palestinian Territory to 89.9% in Qatar.</w:t>
                            </w:r>
                          </w:p>
                          <w:p w:rsidR="00037536" w:rsidRPr="00D77EEE" w:rsidRDefault="00037536" w:rsidP="004D75F0">
                            <w:pPr>
                              <w:pStyle w:val="ListParagraph"/>
                              <w:numPr>
                                <w:ilvl w:val="0"/>
                                <w:numId w:val="14"/>
                              </w:numPr>
                              <w:jc w:val="both"/>
                              <w:rPr>
                                <w:rFonts w:ascii="Times New Roman" w:eastAsia="Times New Roman" w:hAnsi="Times New Roman"/>
                                <w:sz w:val="24"/>
                                <w:szCs w:val="24"/>
                                <w:lang w:eastAsia="en-US"/>
                              </w:rPr>
                            </w:pPr>
                            <w:r w:rsidRPr="00D77EEE">
                              <w:rPr>
                                <w:rFonts w:ascii="Times New Roman" w:eastAsia="Times New Roman" w:hAnsi="Times New Roman"/>
                                <w:sz w:val="24"/>
                                <w:szCs w:val="24"/>
                                <w:lang w:eastAsia="en-US"/>
                              </w:rPr>
                              <w:t>Data on youth unemployment are available only for 12 countries (</w:t>
                            </w:r>
                            <w:r>
                              <w:rPr>
                                <w:rFonts w:ascii="Times New Roman" w:eastAsia="Times New Roman" w:hAnsi="Times New Roman"/>
                                <w:sz w:val="24"/>
                                <w:szCs w:val="24"/>
                                <w:lang w:eastAsia="en-US"/>
                              </w:rPr>
                              <w:t>Qatar, United Arab Emirates, Kuwait, Saudi Arabia, Lebanon, Algeria, Tunisia, Jordan, Occupied Palestinian Territory, Egypt, Syria and Morocco)</w:t>
                            </w:r>
                            <w:r w:rsidRPr="00D77EEE">
                              <w:rPr>
                                <w:rFonts w:ascii="Times New Roman" w:eastAsia="Times New Roman" w:hAnsi="Times New Roman"/>
                                <w:sz w:val="24"/>
                                <w:szCs w:val="24"/>
                                <w:lang w:eastAsia="en-US"/>
                              </w:rPr>
                              <w:t xml:space="preserve">. The highest youth unemployment is reported for </w:t>
                            </w:r>
                            <w:r w:rsidR="007D1CB6">
                              <w:rPr>
                                <w:rFonts w:ascii="Times New Roman" w:eastAsia="Times New Roman" w:hAnsi="Times New Roman"/>
                                <w:sz w:val="24"/>
                                <w:szCs w:val="24"/>
                                <w:lang w:eastAsia="en-US"/>
                              </w:rPr>
                              <w:t>Egypt</w:t>
                            </w:r>
                            <w:r w:rsidRPr="00D77EEE">
                              <w:rPr>
                                <w:rFonts w:ascii="Times New Roman" w:eastAsia="Times New Roman" w:hAnsi="Times New Roman"/>
                                <w:sz w:val="24"/>
                                <w:szCs w:val="24"/>
                                <w:lang w:eastAsia="en-US"/>
                              </w:rPr>
                              <w:t xml:space="preserve"> – </w:t>
                            </w:r>
                            <w:r w:rsidR="007D1CB6">
                              <w:rPr>
                                <w:rFonts w:ascii="Times New Roman" w:eastAsia="Times New Roman" w:hAnsi="Times New Roman"/>
                                <w:sz w:val="24"/>
                                <w:szCs w:val="24"/>
                                <w:lang w:eastAsia="en-US"/>
                              </w:rPr>
                              <w:t>54.1</w:t>
                            </w:r>
                            <w:r w:rsidRPr="00D77EEE">
                              <w:rPr>
                                <w:rFonts w:ascii="Times New Roman" w:eastAsia="Times New Roman" w:hAnsi="Times New Roman"/>
                                <w:sz w:val="24"/>
                                <w:szCs w:val="24"/>
                                <w:lang w:eastAsia="en-US"/>
                              </w:rPr>
                              <w:t xml:space="preserve">% followed by </w:t>
                            </w:r>
                            <w:r w:rsidR="007D1CB6">
                              <w:rPr>
                                <w:rFonts w:ascii="Times New Roman" w:eastAsia="Times New Roman" w:hAnsi="Times New Roman"/>
                                <w:sz w:val="24"/>
                                <w:szCs w:val="24"/>
                                <w:lang w:eastAsia="en-US"/>
                              </w:rPr>
                              <w:t>Occupied Palestinian Territory—49.6</w:t>
                            </w:r>
                            <w:r w:rsidRPr="00D77EEE">
                              <w:rPr>
                                <w:rFonts w:ascii="Times New Roman" w:eastAsia="Times New Roman" w:hAnsi="Times New Roman"/>
                                <w:sz w:val="24"/>
                                <w:szCs w:val="24"/>
                                <w:lang w:eastAsia="en-US"/>
                              </w:rPr>
                              <w:t xml:space="preserve">%. On the other end is </w:t>
                            </w:r>
                            <w:r>
                              <w:rPr>
                                <w:rFonts w:ascii="Times New Roman" w:eastAsia="Times New Roman" w:hAnsi="Times New Roman"/>
                                <w:sz w:val="24"/>
                                <w:szCs w:val="24"/>
                                <w:lang w:eastAsia="en-US"/>
                              </w:rPr>
                              <w:t>Qatar</w:t>
                            </w:r>
                            <w:r w:rsidRPr="00D77EEE">
                              <w:rPr>
                                <w:rFonts w:ascii="Times New Roman" w:eastAsia="Times New Roman" w:hAnsi="Times New Roman"/>
                                <w:sz w:val="24"/>
                                <w:szCs w:val="24"/>
                                <w:lang w:eastAsia="en-US"/>
                              </w:rPr>
                              <w:t xml:space="preserve"> with </w:t>
                            </w:r>
                            <w:r w:rsidR="007D1CB6">
                              <w:rPr>
                                <w:rFonts w:ascii="Times New Roman" w:eastAsia="Times New Roman" w:hAnsi="Times New Roman"/>
                                <w:sz w:val="24"/>
                                <w:szCs w:val="24"/>
                                <w:lang w:eastAsia="en-US"/>
                              </w:rPr>
                              <w:t>8.9</w:t>
                            </w:r>
                            <w:r w:rsidRPr="00D77EEE">
                              <w:rPr>
                                <w:rFonts w:ascii="Times New Roman" w:eastAsia="Times New Roman" w:hAnsi="Times New Roman"/>
                                <w:sz w:val="24"/>
                                <w:szCs w:val="24"/>
                                <w:lang w:eastAsia="en-US"/>
                              </w:rPr>
                              <w:t xml:space="preserve">% and </w:t>
                            </w:r>
                            <w:r>
                              <w:rPr>
                                <w:rFonts w:ascii="Times New Roman" w:eastAsia="Times New Roman" w:hAnsi="Times New Roman"/>
                                <w:sz w:val="24"/>
                                <w:szCs w:val="24"/>
                                <w:lang w:eastAsia="en-US"/>
                              </w:rPr>
                              <w:t>Kuwait with 11.</w:t>
                            </w:r>
                            <w:r w:rsidR="007D1CB6">
                              <w:rPr>
                                <w:rFonts w:ascii="Times New Roman" w:eastAsia="Times New Roman" w:hAnsi="Times New Roman"/>
                                <w:sz w:val="24"/>
                                <w:szCs w:val="24"/>
                                <w:lang w:eastAsia="en-US"/>
                              </w:rPr>
                              <w:t>8</w:t>
                            </w:r>
                            <w:r>
                              <w:rPr>
                                <w:rFonts w:ascii="Times New Roman" w:eastAsia="Times New Roman" w:hAnsi="Times New Roman"/>
                                <w:sz w:val="24"/>
                                <w:szCs w:val="24"/>
                                <w:lang w:eastAsia="en-US"/>
                              </w:rPr>
                              <w:t>%.</w:t>
                            </w:r>
                            <w:r w:rsidRPr="00D77EEE">
                              <w:rPr>
                                <w:rFonts w:ascii="Times New Roman" w:eastAsia="Times New Roman" w:hAnsi="Times New Roman"/>
                                <w:sz w:val="24"/>
                                <w:szCs w:val="24"/>
                                <w:lang w:eastAsia="en-US"/>
                              </w:rPr>
                              <w:t xml:space="preserve"> </w:t>
                            </w:r>
                          </w:p>
                          <w:p w:rsidR="00037536" w:rsidRPr="00D77EEE" w:rsidRDefault="00037536" w:rsidP="004D75F0">
                            <w:pPr>
                              <w:pStyle w:val="ListParagraph"/>
                              <w:numPr>
                                <w:ilvl w:val="0"/>
                                <w:numId w:val="14"/>
                              </w:numPr>
                              <w:jc w:val="both"/>
                              <w:rPr>
                                <w:rFonts w:ascii="Times New Roman" w:eastAsia="Times New Roman" w:hAnsi="Times New Roman"/>
                                <w:sz w:val="24"/>
                                <w:szCs w:val="24"/>
                                <w:lang w:eastAsia="en-US"/>
                              </w:rPr>
                            </w:pPr>
                            <w:r w:rsidRPr="00D77EEE">
                              <w:rPr>
                                <w:rFonts w:ascii="Times New Roman" w:eastAsia="Times New Roman" w:hAnsi="Times New Roman"/>
                                <w:sz w:val="24"/>
                                <w:szCs w:val="24"/>
                                <w:lang w:eastAsia="en-US"/>
                              </w:rPr>
                              <w:t xml:space="preserve">Child Labour </w:t>
                            </w:r>
                            <w:r>
                              <w:rPr>
                                <w:rFonts w:ascii="Times New Roman" w:eastAsia="Times New Roman" w:hAnsi="Times New Roman"/>
                                <w:sz w:val="24"/>
                                <w:szCs w:val="24"/>
                                <w:lang w:eastAsia="en-US"/>
                              </w:rPr>
                              <w:t>relatively high for Somalia where</w:t>
                            </w:r>
                            <w:r w:rsidRPr="00D77EEE">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49</w:t>
                            </w:r>
                            <w:r w:rsidRPr="00D77EEE">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of </w:t>
                            </w:r>
                            <w:r w:rsidRPr="00D77EEE">
                              <w:rPr>
                                <w:rFonts w:ascii="Times New Roman" w:eastAsia="Times New Roman" w:hAnsi="Times New Roman"/>
                                <w:sz w:val="24"/>
                                <w:szCs w:val="24"/>
                                <w:lang w:eastAsia="en-US"/>
                              </w:rPr>
                              <w:t xml:space="preserve">children of ages 5 to 14 years </w:t>
                            </w:r>
                            <w:r>
                              <w:rPr>
                                <w:rFonts w:ascii="Times New Roman" w:eastAsia="Times New Roman" w:hAnsi="Times New Roman"/>
                                <w:sz w:val="24"/>
                                <w:szCs w:val="24"/>
                                <w:lang w:eastAsia="en-US"/>
                              </w:rPr>
                              <w:t xml:space="preserve">are </w:t>
                            </w:r>
                            <w:r w:rsidRPr="00D77EEE">
                              <w:rPr>
                                <w:rFonts w:ascii="Times New Roman" w:eastAsia="Times New Roman" w:hAnsi="Times New Roman"/>
                                <w:sz w:val="24"/>
                                <w:szCs w:val="24"/>
                                <w:lang w:eastAsia="en-US"/>
                              </w:rPr>
                              <w:t>economically active</w:t>
                            </w:r>
                            <w:r>
                              <w:rPr>
                                <w:rFonts w:ascii="Times New Roman" w:eastAsia="Times New Roman" w:hAnsi="Times New Roman"/>
                                <w:sz w:val="24"/>
                                <w:szCs w:val="24"/>
                                <w:lang w:eastAsia="en-US"/>
                              </w:rPr>
                              <w:t xml:space="preserve"> followed by Yemen (23%)</w:t>
                            </w:r>
                            <w:r w:rsidRPr="00D77EEE">
                              <w:rPr>
                                <w:rFonts w:ascii="Times New Roman" w:eastAsia="Times New Roman" w:hAnsi="Times New Roman"/>
                                <w:sz w:val="24"/>
                                <w:szCs w:val="24"/>
                                <w:lang w:eastAsia="en-US"/>
                              </w:rPr>
                              <w:t xml:space="preserve">. The </w:t>
                            </w:r>
                            <w:r>
                              <w:rPr>
                                <w:rFonts w:ascii="Times New Roman" w:eastAsia="Times New Roman" w:hAnsi="Times New Roman"/>
                                <w:sz w:val="24"/>
                                <w:szCs w:val="24"/>
                                <w:lang w:eastAsia="en-US"/>
                              </w:rPr>
                              <w:t>lowest is observed in Syrian Arab Republic (4%).</w:t>
                            </w:r>
                          </w:p>
                          <w:p w:rsidR="00037536" w:rsidRDefault="00037536" w:rsidP="004D75F0">
                            <w:pPr>
                              <w:pStyle w:val="ListParagraph"/>
                              <w:numPr>
                                <w:ilvl w:val="0"/>
                                <w:numId w:val="14"/>
                              </w:numPr>
                              <w:jc w:val="both"/>
                              <w:rPr>
                                <w:rFonts w:ascii="Times New Roman" w:eastAsia="Times New Roman" w:hAnsi="Times New Roman"/>
                                <w:sz w:val="24"/>
                                <w:szCs w:val="24"/>
                                <w:lang w:eastAsia="en-US"/>
                              </w:rPr>
                            </w:pPr>
                            <w:r w:rsidRPr="002D539B">
                              <w:rPr>
                                <w:rFonts w:ascii="Times New Roman" w:eastAsia="Times New Roman" w:hAnsi="Times New Roman"/>
                                <w:sz w:val="24"/>
                                <w:szCs w:val="24"/>
                                <w:lang w:eastAsia="en-US"/>
                              </w:rPr>
                              <w:t>The average overall life satisfaction based on the Gallup World Poll for the region is 4.8 (on the scale from 0 to 10), making it the third most dissatisfied region (after sub-Saharan Africa and South Asia. Satisfaction with the freedom of choice is measured by the % of people that responded with yes on the question if they are satisfied with the freedom to choose what they do with their lives. 54.6% responded “yes” which is the lowest compared to other regions</w:t>
                            </w:r>
                            <w:r>
                              <w:rPr>
                                <w:rFonts w:ascii="Times New Roman" w:eastAsia="Times New Roman" w:hAnsi="Times New Roman"/>
                                <w:sz w:val="24"/>
                                <w:szCs w:val="24"/>
                                <w:lang w:eastAsia="en-US"/>
                              </w:rPr>
                              <w:t xml:space="preserve"> and 19.3 percentage points lower than the world average.</w:t>
                            </w:r>
                            <w:r w:rsidRPr="002D539B">
                              <w:rPr>
                                <w:rFonts w:ascii="Times New Roman" w:eastAsia="Times New Roman" w:hAnsi="Times New Roman"/>
                                <w:sz w:val="24"/>
                                <w:szCs w:val="24"/>
                                <w:lang w:eastAsia="en-US"/>
                              </w:rPr>
                              <w:t xml:space="preserve">  </w:t>
                            </w:r>
                          </w:p>
                          <w:p w:rsidR="00037536" w:rsidRDefault="00037536" w:rsidP="004D75F0">
                            <w:pPr>
                              <w:pStyle w:val="ListParagraph"/>
                              <w:numPr>
                                <w:ilvl w:val="0"/>
                                <w:numId w:val="14"/>
                              </w:numPr>
                              <w:jc w:val="both"/>
                              <w:rPr>
                                <w:rFonts w:ascii="Times New Roman" w:eastAsia="Times New Roman" w:hAnsi="Times New Roman"/>
                                <w:sz w:val="24"/>
                                <w:szCs w:val="24"/>
                                <w:lang w:eastAsia="en-US"/>
                              </w:rPr>
                            </w:pPr>
                            <w:r w:rsidRPr="004C6491">
                              <w:rPr>
                                <w:rFonts w:ascii="Times New Roman" w:eastAsia="Times New Roman" w:hAnsi="Times New Roman"/>
                                <w:sz w:val="24"/>
                                <w:szCs w:val="24"/>
                                <w:lang w:eastAsia="en-US"/>
                              </w:rPr>
                              <w:t xml:space="preserve">63.9% responded that they are satisfied with their jobs and only 67.6% were satisfied with the economic conditions in their communities – both averages are the </w:t>
                            </w:r>
                            <w:r>
                              <w:rPr>
                                <w:rFonts w:ascii="Times New Roman" w:eastAsia="Times New Roman" w:hAnsi="Times New Roman"/>
                                <w:sz w:val="24"/>
                                <w:szCs w:val="24"/>
                                <w:lang w:eastAsia="en-US"/>
                              </w:rPr>
                              <w:t>below the world averages of 73</w:t>
                            </w:r>
                            <w:r w:rsidRPr="004C6491">
                              <w:rPr>
                                <w:rFonts w:ascii="Times New Roman" w:eastAsia="Times New Roman" w:hAnsi="Times New Roman"/>
                                <w:sz w:val="24"/>
                                <w:szCs w:val="24"/>
                                <w:lang w:eastAsia="en-US"/>
                              </w:rPr>
                              <w:t>% and 78.9% respectively</w:t>
                            </w:r>
                            <w:r>
                              <w:rPr>
                                <w:rFonts w:ascii="Times New Roman" w:eastAsia="Times New Roman" w:hAnsi="Times New Roman"/>
                                <w:sz w:val="24"/>
                                <w:szCs w:val="24"/>
                                <w:lang w:eastAsia="en-US"/>
                              </w:rPr>
                              <w:t>.</w:t>
                            </w:r>
                          </w:p>
                          <w:p w:rsidR="00037536" w:rsidRPr="004C6491" w:rsidRDefault="00037536" w:rsidP="004D75F0">
                            <w:pPr>
                              <w:pStyle w:val="ListParagraph"/>
                              <w:numPr>
                                <w:ilvl w:val="0"/>
                                <w:numId w:val="14"/>
                              </w:numPr>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On p</w:t>
                            </w:r>
                            <w:r w:rsidRPr="004C6491">
                              <w:rPr>
                                <w:rFonts w:ascii="Times New Roman" w:eastAsia="Times New Roman" w:hAnsi="Times New Roman"/>
                                <w:sz w:val="24"/>
                                <w:szCs w:val="24"/>
                                <w:lang w:eastAsia="en-US"/>
                              </w:rPr>
                              <w:t>erception of safety</w:t>
                            </w:r>
                            <w:r>
                              <w:rPr>
                                <w:rFonts w:ascii="Times New Roman" w:eastAsia="Times New Roman" w:hAnsi="Times New Roman"/>
                                <w:sz w:val="24"/>
                                <w:szCs w:val="24"/>
                                <w:lang w:eastAsia="en-US"/>
                              </w:rPr>
                              <w:t>,</w:t>
                            </w:r>
                            <w:r w:rsidRPr="004C649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62.9</w:t>
                            </w:r>
                            <w:r w:rsidRPr="004C6491">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responded that they feel safe), second to South Asia’s 66.9%</w:t>
                            </w:r>
                            <w:r w:rsidRPr="004C649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The</w:t>
                            </w:r>
                            <w:r w:rsidRPr="004C6491">
                              <w:rPr>
                                <w:rFonts w:ascii="Times New Roman" w:eastAsia="Times New Roman" w:hAnsi="Times New Roman"/>
                                <w:sz w:val="24"/>
                                <w:szCs w:val="24"/>
                                <w:lang w:eastAsia="en-US"/>
                              </w:rPr>
                              <w:t xml:space="preserve"> average homicide rate of </w:t>
                            </w:r>
                            <w:r>
                              <w:rPr>
                                <w:rFonts w:ascii="Times New Roman" w:eastAsia="Times New Roman" w:hAnsi="Times New Roman"/>
                                <w:sz w:val="24"/>
                                <w:szCs w:val="24"/>
                                <w:lang w:eastAsia="en-US"/>
                              </w:rPr>
                              <w:t>4.5</w:t>
                            </w:r>
                            <w:r w:rsidRPr="004C6491">
                              <w:rPr>
                                <w:rFonts w:ascii="Times New Roman" w:eastAsia="Times New Roman" w:hAnsi="Times New Roman"/>
                                <w:sz w:val="24"/>
                                <w:szCs w:val="24"/>
                                <w:lang w:eastAsia="en-US"/>
                              </w:rPr>
                              <w:t xml:space="preserve"> per 100</w:t>
                            </w:r>
                            <w:r>
                              <w:rPr>
                                <w:rFonts w:ascii="Times New Roman" w:eastAsia="Times New Roman" w:hAnsi="Times New Roman"/>
                                <w:sz w:val="24"/>
                                <w:szCs w:val="24"/>
                                <w:lang w:eastAsia="en-US"/>
                              </w:rPr>
                              <w:t>,000</w:t>
                            </w:r>
                            <w:r w:rsidRPr="004C6491">
                              <w:rPr>
                                <w:rFonts w:ascii="Times New Roman" w:eastAsia="Times New Roman" w:hAnsi="Times New Roman"/>
                                <w:sz w:val="24"/>
                                <w:szCs w:val="24"/>
                                <w:lang w:eastAsia="en-US"/>
                              </w:rPr>
                              <w:t xml:space="preserve"> people is </w:t>
                            </w:r>
                            <w:r>
                              <w:rPr>
                                <w:rFonts w:ascii="Times New Roman" w:eastAsia="Times New Roman" w:hAnsi="Times New Roman"/>
                                <w:sz w:val="24"/>
                                <w:szCs w:val="24"/>
                                <w:lang w:eastAsia="en-US"/>
                              </w:rPr>
                              <w:t>the third lowest and below the world average of 6.9 per 100,000 people.</w:t>
                            </w:r>
                          </w:p>
                          <w:p w:rsidR="00037536" w:rsidRDefault="00037536" w:rsidP="00AC3B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pt;margin-top:1.65pt;width:449.25pt;height:3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" filled="f" strokeweight=".5pt">
                <v:textbox>
                  <w:txbxContent>
                    <w:p w:rsidR="00037536" w:rsidRPr="006878DB" w:rsidRDefault="00037536" w:rsidP="004D75F0">
                      <w:pPr>
                        <w:jc w:val="both"/>
                        <w:rPr>
                          <w:b/>
                        </w:rPr>
                      </w:pPr>
                      <w:r w:rsidRPr="006878DB">
                        <w:rPr>
                          <w:b/>
                        </w:rPr>
                        <w:t>Arab States:</w:t>
                      </w:r>
                    </w:p>
                    <w:p w:rsidR="00037536" w:rsidRPr="00D77EEE" w:rsidRDefault="00037536" w:rsidP="004D75F0">
                      <w:pPr>
                        <w:pStyle w:val="ListParagraph"/>
                        <w:numPr>
                          <w:ilvl w:val="0"/>
                          <w:numId w:val="14"/>
                        </w:numPr>
                        <w:jc w:val="both"/>
                        <w:rPr>
                          <w:rFonts w:ascii="Times New Roman" w:eastAsia="Times New Roman" w:hAnsi="Times New Roman"/>
                          <w:sz w:val="24"/>
                          <w:szCs w:val="24"/>
                          <w:lang w:eastAsia="en-US"/>
                        </w:rPr>
                      </w:pPr>
                      <w:r w:rsidRPr="00D77EEE">
                        <w:rPr>
                          <w:rFonts w:ascii="Times New Roman" w:eastAsia="Times New Roman" w:hAnsi="Times New Roman"/>
                          <w:sz w:val="24"/>
                          <w:szCs w:val="24"/>
                          <w:lang w:eastAsia="en-US"/>
                        </w:rPr>
                        <w:t xml:space="preserve">The region has the </w:t>
                      </w:r>
                      <w:r>
                        <w:rPr>
                          <w:rFonts w:ascii="Times New Roman" w:eastAsia="Times New Roman" w:hAnsi="Times New Roman"/>
                          <w:sz w:val="24"/>
                          <w:szCs w:val="24"/>
                          <w:lang w:eastAsia="en-US"/>
                        </w:rPr>
                        <w:t>lowest</w:t>
                      </w:r>
                      <w:r w:rsidRPr="00D77EEE">
                        <w:rPr>
                          <w:rFonts w:ascii="Times New Roman" w:eastAsia="Times New Roman" w:hAnsi="Times New Roman"/>
                          <w:sz w:val="24"/>
                          <w:szCs w:val="24"/>
                          <w:lang w:eastAsia="en-US"/>
                        </w:rPr>
                        <w:t xml:space="preserve"> emplo</w:t>
                      </w:r>
                      <w:r>
                        <w:rPr>
                          <w:rFonts w:ascii="Times New Roman" w:eastAsia="Times New Roman" w:hAnsi="Times New Roman"/>
                          <w:sz w:val="24"/>
                          <w:szCs w:val="24"/>
                          <w:lang w:eastAsia="en-US"/>
                        </w:rPr>
                        <w:t>yment-to</w:t>
                      </w:r>
                      <w:r w:rsidRPr="00D77EEE">
                        <w:rPr>
                          <w:rFonts w:ascii="Times New Roman" w:eastAsia="Times New Roman" w:hAnsi="Times New Roman"/>
                          <w:sz w:val="24"/>
                          <w:szCs w:val="24"/>
                          <w:lang w:eastAsia="en-US"/>
                        </w:rPr>
                        <w:t>–population ratio (</w:t>
                      </w:r>
                      <w:r>
                        <w:rPr>
                          <w:rFonts w:ascii="Times New Roman" w:eastAsia="Times New Roman" w:hAnsi="Times New Roman"/>
                          <w:sz w:val="24"/>
                          <w:szCs w:val="24"/>
                          <w:lang w:eastAsia="en-US"/>
                        </w:rPr>
                        <w:t>52.6</w:t>
                      </w:r>
                      <w:r w:rsidRPr="00D77EEE">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below the world average of 65.8%</w:t>
                      </w:r>
                      <w:r w:rsidRPr="00D77EEE">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There is also wide </w:t>
                      </w:r>
                      <w:r w:rsidRPr="00D77EEE">
                        <w:rPr>
                          <w:rFonts w:ascii="Times New Roman" w:eastAsia="Times New Roman" w:hAnsi="Times New Roman"/>
                          <w:sz w:val="24"/>
                          <w:szCs w:val="24"/>
                          <w:lang w:eastAsia="en-US"/>
                        </w:rPr>
                        <w:t xml:space="preserve">variation across countries </w:t>
                      </w:r>
                      <w:r>
                        <w:rPr>
                          <w:rFonts w:ascii="Times New Roman" w:eastAsia="Times New Roman" w:hAnsi="Times New Roman"/>
                          <w:sz w:val="24"/>
                          <w:szCs w:val="24"/>
                          <w:lang w:eastAsia="en-US"/>
                        </w:rPr>
                        <w:t>ranging from a low employment-to-population-ratio of 41.2% in Occupied Palestinian Territory to 89.9% in Qatar.</w:t>
                      </w:r>
                    </w:p>
                    <w:p w:rsidR="00037536" w:rsidRPr="00D77EEE" w:rsidRDefault="00037536" w:rsidP="004D75F0">
                      <w:pPr>
                        <w:pStyle w:val="ListParagraph"/>
                        <w:numPr>
                          <w:ilvl w:val="0"/>
                          <w:numId w:val="14"/>
                        </w:numPr>
                        <w:jc w:val="both"/>
                        <w:rPr>
                          <w:rFonts w:ascii="Times New Roman" w:eastAsia="Times New Roman" w:hAnsi="Times New Roman"/>
                          <w:sz w:val="24"/>
                          <w:szCs w:val="24"/>
                          <w:lang w:eastAsia="en-US"/>
                        </w:rPr>
                      </w:pPr>
                      <w:r w:rsidRPr="00D77EEE">
                        <w:rPr>
                          <w:rFonts w:ascii="Times New Roman" w:eastAsia="Times New Roman" w:hAnsi="Times New Roman"/>
                          <w:sz w:val="24"/>
                          <w:szCs w:val="24"/>
                          <w:lang w:eastAsia="en-US"/>
                        </w:rPr>
                        <w:t>Data on youth unemployment are available only for 12 countries (</w:t>
                      </w:r>
                      <w:r>
                        <w:rPr>
                          <w:rFonts w:ascii="Times New Roman" w:eastAsia="Times New Roman" w:hAnsi="Times New Roman"/>
                          <w:sz w:val="24"/>
                          <w:szCs w:val="24"/>
                          <w:lang w:eastAsia="en-US"/>
                        </w:rPr>
                        <w:t>Qatar, United Arab Emirates, Kuwait, Saudi Arabia, Lebanon, Algeria, Tunisia, Jordan, Occupied Palestinian Territory, Egypt, Syria and Morocco)</w:t>
                      </w:r>
                      <w:r w:rsidRPr="00D77EEE">
                        <w:rPr>
                          <w:rFonts w:ascii="Times New Roman" w:eastAsia="Times New Roman" w:hAnsi="Times New Roman"/>
                          <w:sz w:val="24"/>
                          <w:szCs w:val="24"/>
                          <w:lang w:eastAsia="en-US"/>
                        </w:rPr>
                        <w:t xml:space="preserve">. The highest youth unemployment is reported for </w:t>
                      </w:r>
                      <w:r w:rsidR="007D1CB6">
                        <w:rPr>
                          <w:rFonts w:ascii="Times New Roman" w:eastAsia="Times New Roman" w:hAnsi="Times New Roman"/>
                          <w:sz w:val="24"/>
                          <w:szCs w:val="24"/>
                          <w:lang w:eastAsia="en-US"/>
                        </w:rPr>
                        <w:t>Egypt</w:t>
                      </w:r>
                      <w:r w:rsidRPr="00D77EEE">
                        <w:rPr>
                          <w:rFonts w:ascii="Times New Roman" w:eastAsia="Times New Roman" w:hAnsi="Times New Roman"/>
                          <w:sz w:val="24"/>
                          <w:szCs w:val="24"/>
                          <w:lang w:eastAsia="en-US"/>
                        </w:rPr>
                        <w:t xml:space="preserve"> – </w:t>
                      </w:r>
                      <w:r w:rsidR="007D1CB6">
                        <w:rPr>
                          <w:rFonts w:ascii="Times New Roman" w:eastAsia="Times New Roman" w:hAnsi="Times New Roman"/>
                          <w:sz w:val="24"/>
                          <w:szCs w:val="24"/>
                          <w:lang w:eastAsia="en-US"/>
                        </w:rPr>
                        <w:t>54.1</w:t>
                      </w:r>
                      <w:r w:rsidRPr="00D77EEE">
                        <w:rPr>
                          <w:rFonts w:ascii="Times New Roman" w:eastAsia="Times New Roman" w:hAnsi="Times New Roman"/>
                          <w:sz w:val="24"/>
                          <w:szCs w:val="24"/>
                          <w:lang w:eastAsia="en-US"/>
                        </w:rPr>
                        <w:t xml:space="preserve">% followed by </w:t>
                      </w:r>
                      <w:r w:rsidR="007D1CB6">
                        <w:rPr>
                          <w:rFonts w:ascii="Times New Roman" w:eastAsia="Times New Roman" w:hAnsi="Times New Roman"/>
                          <w:sz w:val="24"/>
                          <w:szCs w:val="24"/>
                          <w:lang w:eastAsia="en-US"/>
                        </w:rPr>
                        <w:t>Occupied Palestinian Territory</w:t>
                      </w:r>
                      <w:r w:rsidR="007D1CB6">
                        <w:rPr>
                          <w:rFonts w:ascii="Times New Roman" w:eastAsia="Times New Roman" w:hAnsi="Times New Roman"/>
                          <w:sz w:val="24"/>
                          <w:szCs w:val="24"/>
                          <w:lang w:eastAsia="en-US"/>
                        </w:rPr>
                        <w:t>—49.6</w:t>
                      </w:r>
                      <w:r w:rsidRPr="00D77EEE">
                        <w:rPr>
                          <w:rFonts w:ascii="Times New Roman" w:eastAsia="Times New Roman" w:hAnsi="Times New Roman"/>
                          <w:sz w:val="24"/>
                          <w:szCs w:val="24"/>
                          <w:lang w:eastAsia="en-US"/>
                        </w:rPr>
                        <w:t xml:space="preserve">%. </w:t>
                      </w:r>
                      <w:r w:rsidRPr="00D77EEE">
                        <w:rPr>
                          <w:rFonts w:ascii="Times New Roman" w:eastAsia="Times New Roman" w:hAnsi="Times New Roman"/>
                          <w:sz w:val="24"/>
                          <w:szCs w:val="24"/>
                          <w:lang w:eastAsia="en-US"/>
                        </w:rPr>
                        <w:t xml:space="preserve">On the other end is </w:t>
                      </w:r>
                      <w:r>
                        <w:rPr>
                          <w:rFonts w:ascii="Times New Roman" w:eastAsia="Times New Roman" w:hAnsi="Times New Roman"/>
                          <w:sz w:val="24"/>
                          <w:szCs w:val="24"/>
                          <w:lang w:eastAsia="en-US"/>
                        </w:rPr>
                        <w:t>Qatar</w:t>
                      </w:r>
                      <w:r w:rsidRPr="00D77EEE">
                        <w:rPr>
                          <w:rFonts w:ascii="Times New Roman" w:eastAsia="Times New Roman" w:hAnsi="Times New Roman"/>
                          <w:sz w:val="24"/>
                          <w:szCs w:val="24"/>
                          <w:lang w:eastAsia="en-US"/>
                        </w:rPr>
                        <w:t xml:space="preserve"> with </w:t>
                      </w:r>
                      <w:r w:rsidR="007D1CB6">
                        <w:rPr>
                          <w:rFonts w:ascii="Times New Roman" w:eastAsia="Times New Roman" w:hAnsi="Times New Roman"/>
                          <w:sz w:val="24"/>
                          <w:szCs w:val="24"/>
                          <w:lang w:eastAsia="en-US"/>
                        </w:rPr>
                        <w:t>8.9</w:t>
                      </w:r>
                      <w:r w:rsidRPr="00D77EEE">
                        <w:rPr>
                          <w:rFonts w:ascii="Times New Roman" w:eastAsia="Times New Roman" w:hAnsi="Times New Roman"/>
                          <w:sz w:val="24"/>
                          <w:szCs w:val="24"/>
                          <w:lang w:eastAsia="en-US"/>
                        </w:rPr>
                        <w:t xml:space="preserve">% and </w:t>
                      </w:r>
                      <w:r>
                        <w:rPr>
                          <w:rFonts w:ascii="Times New Roman" w:eastAsia="Times New Roman" w:hAnsi="Times New Roman"/>
                          <w:sz w:val="24"/>
                          <w:szCs w:val="24"/>
                          <w:lang w:eastAsia="en-US"/>
                        </w:rPr>
                        <w:t xml:space="preserve">Kuwait with </w:t>
                      </w:r>
                      <w:r>
                        <w:rPr>
                          <w:rFonts w:ascii="Times New Roman" w:eastAsia="Times New Roman" w:hAnsi="Times New Roman"/>
                          <w:sz w:val="24"/>
                          <w:szCs w:val="24"/>
                          <w:lang w:eastAsia="en-US"/>
                        </w:rPr>
                        <w:t>11.</w:t>
                      </w:r>
                      <w:r w:rsidR="007D1CB6">
                        <w:rPr>
                          <w:rFonts w:ascii="Times New Roman" w:eastAsia="Times New Roman" w:hAnsi="Times New Roman"/>
                          <w:sz w:val="24"/>
                          <w:szCs w:val="24"/>
                          <w:lang w:eastAsia="en-US"/>
                        </w:rPr>
                        <w:t>8</w:t>
                      </w:r>
                      <w:bookmarkStart w:id="1" w:name="_GoBack"/>
                      <w:bookmarkEnd w:id="1"/>
                      <w:r>
                        <w:rPr>
                          <w:rFonts w:ascii="Times New Roman" w:eastAsia="Times New Roman" w:hAnsi="Times New Roman"/>
                          <w:sz w:val="24"/>
                          <w:szCs w:val="24"/>
                          <w:lang w:eastAsia="en-US"/>
                        </w:rPr>
                        <w:t>%.</w:t>
                      </w:r>
                      <w:r w:rsidRPr="00D77EEE">
                        <w:rPr>
                          <w:rFonts w:ascii="Times New Roman" w:eastAsia="Times New Roman" w:hAnsi="Times New Roman"/>
                          <w:sz w:val="24"/>
                          <w:szCs w:val="24"/>
                          <w:lang w:eastAsia="en-US"/>
                        </w:rPr>
                        <w:t xml:space="preserve"> </w:t>
                      </w:r>
                    </w:p>
                    <w:p w:rsidR="00037536" w:rsidRPr="00D77EEE" w:rsidRDefault="00037536" w:rsidP="004D75F0">
                      <w:pPr>
                        <w:pStyle w:val="ListParagraph"/>
                        <w:numPr>
                          <w:ilvl w:val="0"/>
                          <w:numId w:val="14"/>
                        </w:numPr>
                        <w:jc w:val="both"/>
                        <w:rPr>
                          <w:rFonts w:ascii="Times New Roman" w:eastAsia="Times New Roman" w:hAnsi="Times New Roman"/>
                          <w:sz w:val="24"/>
                          <w:szCs w:val="24"/>
                          <w:lang w:eastAsia="en-US"/>
                        </w:rPr>
                      </w:pPr>
                      <w:r w:rsidRPr="00D77EEE">
                        <w:rPr>
                          <w:rFonts w:ascii="Times New Roman" w:eastAsia="Times New Roman" w:hAnsi="Times New Roman"/>
                          <w:sz w:val="24"/>
                          <w:szCs w:val="24"/>
                          <w:lang w:eastAsia="en-US"/>
                        </w:rPr>
                        <w:t xml:space="preserve">Child Labour </w:t>
                      </w:r>
                      <w:r>
                        <w:rPr>
                          <w:rFonts w:ascii="Times New Roman" w:eastAsia="Times New Roman" w:hAnsi="Times New Roman"/>
                          <w:sz w:val="24"/>
                          <w:szCs w:val="24"/>
                          <w:lang w:eastAsia="en-US"/>
                        </w:rPr>
                        <w:t>relatively high for Somalia where</w:t>
                      </w:r>
                      <w:r w:rsidRPr="00D77EEE">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49</w:t>
                      </w:r>
                      <w:r w:rsidRPr="00D77EEE">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of </w:t>
                      </w:r>
                      <w:r w:rsidRPr="00D77EEE">
                        <w:rPr>
                          <w:rFonts w:ascii="Times New Roman" w:eastAsia="Times New Roman" w:hAnsi="Times New Roman"/>
                          <w:sz w:val="24"/>
                          <w:szCs w:val="24"/>
                          <w:lang w:eastAsia="en-US"/>
                        </w:rPr>
                        <w:t xml:space="preserve">children of ages 5 to 14 years </w:t>
                      </w:r>
                      <w:r>
                        <w:rPr>
                          <w:rFonts w:ascii="Times New Roman" w:eastAsia="Times New Roman" w:hAnsi="Times New Roman"/>
                          <w:sz w:val="24"/>
                          <w:szCs w:val="24"/>
                          <w:lang w:eastAsia="en-US"/>
                        </w:rPr>
                        <w:t xml:space="preserve">are </w:t>
                      </w:r>
                      <w:r w:rsidRPr="00D77EEE">
                        <w:rPr>
                          <w:rFonts w:ascii="Times New Roman" w:eastAsia="Times New Roman" w:hAnsi="Times New Roman"/>
                          <w:sz w:val="24"/>
                          <w:szCs w:val="24"/>
                          <w:lang w:eastAsia="en-US"/>
                        </w:rPr>
                        <w:t>economically active</w:t>
                      </w:r>
                      <w:r>
                        <w:rPr>
                          <w:rFonts w:ascii="Times New Roman" w:eastAsia="Times New Roman" w:hAnsi="Times New Roman"/>
                          <w:sz w:val="24"/>
                          <w:szCs w:val="24"/>
                          <w:lang w:eastAsia="en-US"/>
                        </w:rPr>
                        <w:t xml:space="preserve"> followed by Yemen (23%)</w:t>
                      </w:r>
                      <w:r w:rsidRPr="00D77EEE">
                        <w:rPr>
                          <w:rFonts w:ascii="Times New Roman" w:eastAsia="Times New Roman" w:hAnsi="Times New Roman"/>
                          <w:sz w:val="24"/>
                          <w:szCs w:val="24"/>
                          <w:lang w:eastAsia="en-US"/>
                        </w:rPr>
                        <w:t xml:space="preserve">. The </w:t>
                      </w:r>
                      <w:r>
                        <w:rPr>
                          <w:rFonts w:ascii="Times New Roman" w:eastAsia="Times New Roman" w:hAnsi="Times New Roman"/>
                          <w:sz w:val="24"/>
                          <w:szCs w:val="24"/>
                          <w:lang w:eastAsia="en-US"/>
                        </w:rPr>
                        <w:t>lowest is observed in Syrian Arab Republic (4%).</w:t>
                      </w:r>
                    </w:p>
                    <w:p w:rsidR="00037536" w:rsidRDefault="00037536" w:rsidP="004D75F0">
                      <w:pPr>
                        <w:pStyle w:val="ListParagraph"/>
                        <w:numPr>
                          <w:ilvl w:val="0"/>
                          <w:numId w:val="14"/>
                        </w:numPr>
                        <w:jc w:val="both"/>
                        <w:rPr>
                          <w:rFonts w:ascii="Times New Roman" w:eastAsia="Times New Roman" w:hAnsi="Times New Roman"/>
                          <w:sz w:val="24"/>
                          <w:szCs w:val="24"/>
                          <w:lang w:eastAsia="en-US"/>
                        </w:rPr>
                      </w:pPr>
                      <w:r w:rsidRPr="002D539B">
                        <w:rPr>
                          <w:rFonts w:ascii="Times New Roman" w:eastAsia="Times New Roman" w:hAnsi="Times New Roman"/>
                          <w:sz w:val="24"/>
                          <w:szCs w:val="24"/>
                          <w:lang w:eastAsia="en-US"/>
                        </w:rPr>
                        <w:t>The average overall life satisfaction based on the Gallup World Poll for the region is 4.8 (on the scale from 0 to 10), making it the third most dissatisfied region (after sub-Saharan Africa and South Asia. Satisfaction with the freedom of choice is measured by the % of people that responded with yes on the question if they are satisfied with the freedom to choose what they do with their lives. 54.6% responded “yes” which is the lowest compared to other regions</w:t>
                      </w:r>
                      <w:r>
                        <w:rPr>
                          <w:rFonts w:ascii="Times New Roman" w:eastAsia="Times New Roman" w:hAnsi="Times New Roman"/>
                          <w:sz w:val="24"/>
                          <w:szCs w:val="24"/>
                          <w:lang w:eastAsia="en-US"/>
                        </w:rPr>
                        <w:t xml:space="preserve"> and 19.3 percentage points lower than the world average.</w:t>
                      </w:r>
                      <w:r w:rsidRPr="002D539B">
                        <w:rPr>
                          <w:rFonts w:ascii="Times New Roman" w:eastAsia="Times New Roman" w:hAnsi="Times New Roman"/>
                          <w:sz w:val="24"/>
                          <w:szCs w:val="24"/>
                          <w:lang w:eastAsia="en-US"/>
                        </w:rPr>
                        <w:t xml:space="preserve">  </w:t>
                      </w:r>
                    </w:p>
                    <w:p w:rsidR="00037536" w:rsidRDefault="00037536" w:rsidP="004D75F0">
                      <w:pPr>
                        <w:pStyle w:val="ListParagraph"/>
                        <w:numPr>
                          <w:ilvl w:val="0"/>
                          <w:numId w:val="14"/>
                        </w:numPr>
                        <w:jc w:val="both"/>
                        <w:rPr>
                          <w:rFonts w:ascii="Times New Roman" w:eastAsia="Times New Roman" w:hAnsi="Times New Roman"/>
                          <w:sz w:val="24"/>
                          <w:szCs w:val="24"/>
                          <w:lang w:eastAsia="en-US"/>
                        </w:rPr>
                      </w:pPr>
                      <w:r w:rsidRPr="004C6491">
                        <w:rPr>
                          <w:rFonts w:ascii="Times New Roman" w:eastAsia="Times New Roman" w:hAnsi="Times New Roman"/>
                          <w:sz w:val="24"/>
                          <w:szCs w:val="24"/>
                          <w:lang w:eastAsia="en-US"/>
                        </w:rPr>
                        <w:t xml:space="preserve">63.9% responded that they are satisfied with their jobs and only 67.6% were satisfied with the economic conditions in their communities – both averages are the </w:t>
                      </w:r>
                      <w:r>
                        <w:rPr>
                          <w:rFonts w:ascii="Times New Roman" w:eastAsia="Times New Roman" w:hAnsi="Times New Roman"/>
                          <w:sz w:val="24"/>
                          <w:szCs w:val="24"/>
                          <w:lang w:eastAsia="en-US"/>
                        </w:rPr>
                        <w:t>below the world averages of 73</w:t>
                      </w:r>
                      <w:r w:rsidRPr="004C6491">
                        <w:rPr>
                          <w:rFonts w:ascii="Times New Roman" w:eastAsia="Times New Roman" w:hAnsi="Times New Roman"/>
                          <w:sz w:val="24"/>
                          <w:szCs w:val="24"/>
                          <w:lang w:eastAsia="en-US"/>
                        </w:rPr>
                        <w:t>% and 78.9% respectively</w:t>
                      </w:r>
                      <w:r>
                        <w:rPr>
                          <w:rFonts w:ascii="Times New Roman" w:eastAsia="Times New Roman" w:hAnsi="Times New Roman"/>
                          <w:sz w:val="24"/>
                          <w:szCs w:val="24"/>
                          <w:lang w:eastAsia="en-US"/>
                        </w:rPr>
                        <w:t>.</w:t>
                      </w:r>
                    </w:p>
                    <w:p w:rsidR="00037536" w:rsidRPr="004C6491" w:rsidRDefault="00037536" w:rsidP="004D75F0">
                      <w:pPr>
                        <w:pStyle w:val="ListParagraph"/>
                        <w:numPr>
                          <w:ilvl w:val="0"/>
                          <w:numId w:val="14"/>
                        </w:numPr>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On p</w:t>
                      </w:r>
                      <w:r w:rsidRPr="004C6491">
                        <w:rPr>
                          <w:rFonts w:ascii="Times New Roman" w:eastAsia="Times New Roman" w:hAnsi="Times New Roman"/>
                          <w:sz w:val="24"/>
                          <w:szCs w:val="24"/>
                          <w:lang w:eastAsia="en-US"/>
                        </w:rPr>
                        <w:t>erception of safety</w:t>
                      </w:r>
                      <w:r>
                        <w:rPr>
                          <w:rFonts w:ascii="Times New Roman" w:eastAsia="Times New Roman" w:hAnsi="Times New Roman"/>
                          <w:sz w:val="24"/>
                          <w:szCs w:val="24"/>
                          <w:lang w:eastAsia="en-US"/>
                        </w:rPr>
                        <w:t>,</w:t>
                      </w:r>
                      <w:r w:rsidRPr="004C649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62.9</w:t>
                      </w:r>
                      <w:r w:rsidRPr="004C6491">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responded that they feel safe), second to South Asia’s 66.9%</w:t>
                      </w:r>
                      <w:r w:rsidRPr="004C649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The</w:t>
                      </w:r>
                      <w:r w:rsidRPr="004C6491">
                        <w:rPr>
                          <w:rFonts w:ascii="Times New Roman" w:eastAsia="Times New Roman" w:hAnsi="Times New Roman"/>
                          <w:sz w:val="24"/>
                          <w:szCs w:val="24"/>
                          <w:lang w:eastAsia="en-US"/>
                        </w:rPr>
                        <w:t xml:space="preserve"> average homicide rate of </w:t>
                      </w:r>
                      <w:r>
                        <w:rPr>
                          <w:rFonts w:ascii="Times New Roman" w:eastAsia="Times New Roman" w:hAnsi="Times New Roman"/>
                          <w:sz w:val="24"/>
                          <w:szCs w:val="24"/>
                          <w:lang w:eastAsia="en-US"/>
                        </w:rPr>
                        <w:t>4.5</w:t>
                      </w:r>
                      <w:r w:rsidRPr="004C6491">
                        <w:rPr>
                          <w:rFonts w:ascii="Times New Roman" w:eastAsia="Times New Roman" w:hAnsi="Times New Roman"/>
                          <w:sz w:val="24"/>
                          <w:szCs w:val="24"/>
                          <w:lang w:eastAsia="en-US"/>
                        </w:rPr>
                        <w:t xml:space="preserve"> per 100</w:t>
                      </w:r>
                      <w:r>
                        <w:rPr>
                          <w:rFonts w:ascii="Times New Roman" w:eastAsia="Times New Roman" w:hAnsi="Times New Roman"/>
                          <w:sz w:val="24"/>
                          <w:szCs w:val="24"/>
                          <w:lang w:eastAsia="en-US"/>
                        </w:rPr>
                        <w:t>,000</w:t>
                      </w:r>
                      <w:r w:rsidRPr="004C6491">
                        <w:rPr>
                          <w:rFonts w:ascii="Times New Roman" w:eastAsia="Times New Roman" w:hAnsi="Times New Roman"/>
                          <w:sz w:val="24"/>
                          <w:szCs w:val="24"/>
                          <w:lang w:eastAsia="en-US"/>
                        </w:rPr>
                        <w:t xml:space="preserve"> people is </w:t>
                      </w:r>
                      <w:r>
                        <w:rPr>
                          <w:rFonts w:ascii="Times New Roman" w:eastAsia="Times New Roman" w:hAnsi="Times New Roman"/>
                          <w:sz w:val="24"/>
                          <w:szCs w:val="24"/>
                          <w:lang w:eastAsia="en-US"/>
                        </w:rPr>
                        <w:t>the third lowest and below the world average of 6.9 per 100,000 people.</w:t>
                      </w:r>
                    </w:p>
                    <w:p w:rsidR="00037536" w:rsidRDefault="00037536" w:rsidP="00AC3B6C"/>
                  </w:txbxContent>
                </v:textbox>
              </v:shape>
            </w:pict>
          </mc:Fallback>
        </mc:AlternateContent>
      </w:r>
    </w:p>
    <w:sectPr w:rsidR="00795D0B" w:rsidRPr="00F216BF" w:rsidSect="00C7448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8E" w:rsidRDefault="00CD478E" w:rsidP="00FD3889">
      <w:r>
        <w:separator/>
      </w:r>
    </w:p>
  </w:endnote>
  <w:endnote w:type="continuationSeparator" w:id="0">
    <w:p w:rsidR="00CD478E" w:rsidRDefault="00CD478E" w:rsidP="00FD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8E" w:rsidRDefault="00CD478E" w:rsidP="00FD3889">
      <w:r>
        <w:separator/>
      </w:r>
    </w:p>
  </w:footnote>
  <w:footnote w:type="continuationSeparator" w:id="0">
    <w:p w:rsidR="00CD478E" w:rsidRDefault="00CD478E" w:rsidP="00FD3889">
      <w:r>
        <w:continuationSeparator/>
      </w:r>
    </w:p>
  </w:footnote>
  <w:footnote w:id="1">
    <w:p w:rsidR="00037536" w:rsidRPr="0075773C" w:rsidRDefault="00037536" w:rsidP="00213594">
      <w:pPr>
        <w:pStyle w:val="FootnoteText"/>
        <w:rPr>
          <w:rFonts w:ascii="Cambria" w:hAnsi="Cambria"/>
        </w:rPr>
      </w:pPr>
      <w:r>
        <w:rPr>
          <w:rStyle w:val="FootnoteReference"/>
        </w:rPr>
        <w:footnoteRef/>
      </w:r>
      <w:r w:rsidRPr="0075773C">
        <w:rPr>
          <w:rFonts w:ascii="Cambria" w:hAnsi="Cambria"/>
        </w:rPr>
        <w:t xml:space="preserve"> M</w:t>
      </w:r>
      <w:r>
        <w:rPr>
          <w:rFonts w:ascii="Cambria" w:hAnsi="Cambria"/>
        </w:rPr>
        <w:t xml:space="preserve">arshall Islands, Monaco, Nauru, </w:t>
      </w:r>
      <w:r w:rsidRPr="0075773C">
        <w:rPr>
          <w:rFonts w:ascii="Cambria" w:hAnsi="Cambria"/>
        </w:rPr>
        <w:t>the People’s Democratic Republic of Korea, San Marino, Somalia</w:t>
      </w:r>
      <w:r>
        <w:rPr>
          <w:rFonts w:ascii="Cambria" w:hAnsi="Cambria"/>
        </w:rPr>
        <w:t xml:space="preserve">, South Sudan and </w:t>
      </w:r>
      <w:r w:rsidRPr="0075773C">
        <w:rPr>
          <w:rFonts w:ascii="Cambria" w:hAnsi="Cambria"/>
        </w:rPr>
        <w:t>Tuvalu</w:t>
      </w:r>
      <w:r>
        <w:rPr>
          <w:rFonts w:ascii="Cambria" w:hAnsi="Cambr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35A"/>
    <w:multiLevelType w:val="hybridMultilevel"/>
    <w:tmpl w:val="68B0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54E67"/>
    <w:multiLevelType w:val="hybridMultilevel"/>
    <w:tmpl w:val="C6F4F3F8"/>
    <w:lvl w:ilvl="0" w:tplc="A6F6BEF4">
      <w:start w:val="3"/>
      <w:numFmt w:val="bullet"/>
      <w:lvlText w:val=""/>
      <w:lvlJc w:val="left"/>
      <w:pPr>
        <w:ind w:left="720" w:hanging="360"/>
      </w:pPr>
      <w:rPr>
        <w:rFonts w:ascii="Wingdings" w:eastAsia="Times New Roman" w:hAnsi="Wingdings" w:cs="Tahoma"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23344"/>
    <w:multiLevelType w:val="hybridMultilevel"/>
    <w:tmpl w:val="C722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42621"/>
    <w:multiLevelType w:val="hybridMultilevel"/>
    <w:tmpl w:val="6FD6005E"/>
    <w:lvl w:ilvl="0" w:tplc="9774E96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D4FE6"/>
    <w:multiLevelType w:val="hybridMultilevel"/>
    <w:tmpl w:val="BB4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27236"/>
    <w:multiLevelType w:val="hybridMultilevel"/>
    <w:tmpl w:val="BB9E4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454BC"/>
    <w:multiLevelType w:val="hybridMultilevel"/>
    <w:tmpl w:val="3E407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C5F2C"/>
    <w:multiLevelType w:val="hybridMultilevel"/>
    <w:tmpl w:val="AECA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7C2FA0"/>
    <w:multiLevelType w:val="hybridMultilevel"/>
    <w:tmpl w:val="75A8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80E96"/>
    <w:multiLevelType w:val="hybridMultilevel"/>
    <w:tmpl w:val="68645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4A0D55"/>
    <w:multiLevelType w:val="hybridMultilevel"/>
    <w:tmpl w:val="F3ACD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663E2E76"/>
    <w:multiLevelType w:val="hybridMultilevel"/>
    <w:tmpl w:val="37B6C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343440"/>
    <w:multiLevelType w:val="hybridMultilevel"/>
    <w:tmpl w:val="8CA8A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ED213A"/>
    <w:multiLevelType w:val="multilevel"/>
    <w:tmpl w:val="BE0EBC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2"/>
  </w:num>
  <w:num w:numId="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
  </w:num>
  <w:num w:numId="7">
    <w:abstractNumId w:val="2"/>
  </w:num>
  <w:num w:numId="8">
    <w:abstractNumId w:val="6"/>
  </w:num>
  <w:num w:numId="9">
    <w:abstractNumId w:val="13"/>
  </w:num>
  <w:num w:numId="10">
    <w:abstractNumId w:val="5"/>
  </w:num>
  <w:num w:numId="11">
    <w:abstractNumId w:val="9"/>
  </w:num>
  <w:num w:numId="12">
    <w:abstractNumId w:val="8"/>
  </w:num>
  <w:num w:numId="13">
    <w:abstractNumId w:val="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BD"/>
    <w:rsid w:val="00002374"/>
    <w:rsid w:val="00003106"/>
    <w:rsid w:val="00004288"/>
    <w:rsid w:val="0000525F"/>
    <w:rsid w:val="00005527"/>
    <w:rsid w:val="00007E6F"/>
    <w:rsid w:val="00011CA6"/>
    <w:rsid w:val="00012043"/>
    <w:rsid w:val="000129A5"/>
    <w:rsid w:val="00013C9B"/>
    <w:rsid w:val="0001403E"/>
    <w:rsid w:val="000141D4"/>
    <w:rsid w:val="00015962"/>
    <w:rsid w:val="00015D2A"/>
    <w:rsid w:val="00016464"/>
    <w:rsid w:val="00016B31"/>
    <w:rsid w:val="00016C5C"/>
    <w:rsid w:val="00017691"/>
    <w:rsid w:val="00020089"/>
    <w:rsid w:val="0002091B"/>
    <w:rsid w:val="00020E31"/>
    <w:rsid w:val="0002256A"/>
    <w:rsid w:val="0002319C"/>
    <w:rsid w:val="00023D64"/>
    <w:rsid w:val="00024411"/>
    <w:rsid w:val="00024ABB"/>
    <w:rsid w:val="00024CFC"/>
    <w:rsid w:val="00025184"/>
    <w:rsid w:val="00025266"/>
    <w:rsid w:val="0002671F"/>
    <w:rsid w:val="000274E1"/>
    <w:rsid w:val="00032E6A"/>
    <w:rsid w:val="0003304A"/>
    <w:rsid w:val="00033CEA"/>
    <w:rsid w:val="0003686D"/>
    <w:rsid w:val="00037536"/>
    <w:rsid w:val="00042D6A"/>
    <w:rsid w:val="000437C1"/>
    <w:rsid w:val="000477F3"/>
    <w:rsid w:val="00047808"/>
    <w:rsid w:val="000505E6"/>
    <w:rsid w:val="00050899"/>
    <w:rsid w:val="000513AD"/>
    <w:rsid w:val="000519E0"/>
    <w:rsid w:val="00052193"/>
    <w:rsid w:val="00053B51"/>
    <w:rsid w:val="0005529E"/>
    <w:rsid w:val="00055A58"/>
    <w:rsid w:val="00057CA1"/>
    <w:rsid w:val="00061D01"/>
    <w:rsid w:val="00064A5D"/>
    <w:rsid w:val="000655B1"/>
    <w:rsid w:val="000702CF"/>
    <w:rsid w:val="00071351"/>
    <w:rsid w:val="00072BE7"/>
    <w:rsid w:val="00073FC1"/>
    <w:rsid w:val="000765F1"/>
    <w:rsid w:val="000770FB"/>
    <w:rsid w:val="00077716"/>
    <w:rsid w:val="00082D4C"/>
    <w:rsid w:val="00082E93"/>
    <w:rsid w:val="0008308C"/>
    <w:rsid w:val="00085175"/>
    <w:rsid w:val="00087E39"/>
    <w:rsid w:val="00091DE9"/>
    <w:rsid w:val="000939EC"/>
    <w:rsid w:val="00093BC3"/>
    <w:rsid w:val="00093DE5"/>
    <w:rsid w:val="00093FB2"/>
    <w:rsid w:val="0009423C"/>
    <w:rsid w:val="00095EFB"/>
    <w:rsid w:val="00096E9C"/>
    <w:rsid w:val="000A122B"/>
    <w:rsid w:val="000A1778"/>
    <w:rsid w:val="000A2320"/>
    <w:rsid w:val="000A28FF"/>
    <w:rsid w:val="000A31CD"/>
    <w:rsid w:val="000A3271"/>
    <w:rsid w:val="000A45F5"/>
    <w:rsid w:val="000A5146"/>
    <w:rsid w:val="000A5E25"/>
    <w:rsid w:val="000A5FE1"/>
    <w:rsid w:val="000A6D67"/>
    <w:rsid w:val="000A70DF"/>
    <w:rsid w:val="000B2A51"/>
    <w:rsid w:val="000B341D"/>
    <w:rsid w:val="000B3CFF"/>
    <w:rsid w:val="000B3DCC"/>
    <w:rsid w:val="000B4265"/>
    <w:rsid w:val="000B6142"/>
    <w:rsid w:val="000B7288"/>
    <w:rsid w:val="000C0F79"/>
    <w:rsid w:val="000C19C4"/>
    <w:rsid w:val="000C4247"/>
    <w:rsid w:val="000C6577"/>
    <w:rsid w:val="000D2933"/>
    <w:rsid w:val="000D37BE"/>
    <w:rsid w:val="000D3EE7"/>
    <w:rsid w:val="000D4A75"/>
    <w:rsid w:val="000D6587"/>
    <w:rsid w:val="000D797A"/>
    <w:rsid w:val="000D7E9B"/>
    <w:rsid w:val="000E0D2C"/>
    <w:rsid w:val="000E1106"/>
    <w:rsid w:val="000E1CE1"/>
    <w:rsid w:val="000E321A"/>
    <w:rsid w:val="000E44CC"/>
    <w:rsid w:val="000E4BC8"/>
    <w:rsid w:val="000E61E5"/>
    <w:rsid w:val="000E6AC5"/>
    <w:rsid w:val="000E6FC3"/>
    <w:rsid w:val="000E7074"/>
    <w:rsid w:val="000E75FF"/>
    <w:rsid w:val="000F08A5"/>
    <w:rsid w:val="000F2357"/>
    <w:rsid w:val="000F2394"/>
    <w:rsid w:val="000F2EFF"/>
    <w:rsid w:val="000F3212"/>
    <w:rsid w:val="000F459B"/>
    <w:rsid w:val="000F497B"/>
    <w:rsid w:val="000F64B0"/>
    <w:rsid w:val="000F69D7"/>
    <w:rsid w:val="000F75D0"/>
    <w:rsid w:val="0010132D"/>
    <w:rsid w:val="0010223D"/>
    <w:rsid w:val="00102F82"/>
    <w:rsid w:val="0010464B"/>
    <w:rsid w:val="00104A16"/>
    <w:rsid w:val="00106513"/>
    <w:rsid w:val="00110BAA"/>
    <w:rsid w:val="001125A2"/>
    <w:rsid w:val="00114B78"/>
    <w:rsid w:val="00114FB6"/>
    <w:rsid w:val="00116229"/>
    <w:rsid w:val="00117612"/>
    <w:rsid w:val="001217FF"/>
    <w:rsid w:val="00122D41"/>
    <w:rsid w:val="0012385D"/>
    <w:rsid w:val="00123C3B"/>
    <w:rsid w:val="001242BA"/>
    <w:rsid w:val="00124EC2"/>
    <w:rsid w:val="001263E1"/>
    <w:rsid w:val="00127BE5"/>
    <w:rsid w:val="001307C0"/>
    <w:rsid w:val="00131679"/>
    <w:rsid w:val="0013295E"/>
    <w:rsid w:val="00132A16"/>
    <w:rsid w:val="00132CCD"/>
    <w:rsid w:val="00133768"/>
    <w:rsid w:val="00133A62"/>
    <w:rsid w:val="00133C98"/>
    <w:rsid w:val="0013444E"/>
    <w:rsid w:val="00136BBE"/>
    <w:rsid w:val="001375F2"/>
    <w:rsid w:val="001411C5"/>
    <w:rsid w:val="00142AAE"/>
    <w:rsid w:val="001431D2"/>
    <w:rsid w:val="00144015"/>
    <w:rsid w:val="00144FF5"/>
    <w:rsid w:val="00145359"/>
    <w:rsid w:val="0014576F"/>
    <w:rsid w:val="00145B25"/>
    <w:rsid w:val="001468CB"/>
    <w:rsid w:val="001474AE"/>
    <w:rsid w:val="001477C3"/>
    <w:rsid w:val="00147FA6"/>
    <w:rsid w:val="0015171B"/>
    <w:rsid w:val="00154732"/>
    <w:rsid w:val="001552D8"/>
    <w:rsid w:val="0015726D"/>
    <w:rsid w:val="001601B4"/>
    <w:rsid w:val="0016040E"/>
    <w:rsid w:val="00160F9D"/>
    <w:rsid w:val="001615E8"/>
    <w:rsid w:val="00163352"/>
    <w:rsid w:val="0016423D"/>
    <w:rsid w:val="00165D5D"/>
    <w:rsid w:val="00166A35"/>
    <w:rsid w:val="00167DA3"/>
    <w:rsid w:val="00167E80"/>
    <w:rsid w:val="0017092F"/>
    <w:rsid w:val="00170F4B"/>
    <w:rsid w:val="00171522"/>
    <w:rsid w:val="00172717"/>
    <w:rsid w:val="0017276B"/>
    <w:rsid w:val="00174FA2"/>
    <w:rsid w:val="00177677"/>
    <w:rsid w:val="0018147F"/>
    <w:rsid w:val="00181D41"/>
    <w:rsid w:val="00181E96"/>
    <w:rsid w:val="00182586"/>
    <w:rsid w:val="00182E61"/>
    <w:rsid w:val="00183009"/>
    <w:rsid w:val="00184989"/>
    <w:rsid w:val="00185260"/>
    <w:rsid w:val="00190869"/>
    <w:rsid w:val="00190A3C"/>
    <w:rsid w:val="0019121F"/>
    <w:rsid w:val="0019553B"/>
    <w:rsid w:val="00196D41"/>
    <w:rsid w:val="001A0253"/>
    <w:rsid w:val="001A1259"/>
    <w:rsid w:val="001A1752"/>
    <w:rsid w:val="001A1835"/>
    <w:rsid w:val="001A45BA"/>
    <w:rsid w:val="001A4AB0"/>
    <w:rsid w:val="001A4BA1"/>
    <w:rsid w:val="001A506B"/>
    <w:rsid w:val="001A58B0"/>
    <w:rsid w:val="001A5BF6"/>
    <w:rsid w:val="001A71F2"/>
    <w:rsid w:val="001B19CE"/>
    <w:rsid w:val="001B28DE"/>
    <w:rsid w:val="001B374F"/>
    <w:rsid w:val="001B38B6"/>
    <w:rsid w:val="001B39BE"/>
    <w:rsid w:val="001B3E01"/>
    <w:rsid w:val="001B493D"/>
    <w:rsid w:val="001B6ABC"/>
    <w:rsid w:val="001B7AD0"/>
    <w:rsid w:val="001C5361"/>
    <w:rsid w:val="001C7115"/>
    <w:rsid w:val="001D0129"/>
    <w:rsid w:val="001D1546"/>
    <w:rsid w:val="001D1604"/>
    <w:rsid w:val="001D3891"/>
    <w:rsid w:val="001D5560"/>
    <w:rsid w:val="001D57D7"/>
    <w:rsid w:val="001D67CF"/>
    <w:rsid w:val="001D687D"/>
    <w:rsid w:val="001D757E"/>
    <w:rsid w:val="001E1E06"/>
    <w:rsid w:val="001E2B49"/>
    <w:rsid w:val="001E48D6"/>
    <w:rsid w:val="001E4A23"/>
    <w:rsid w:val="001E6A07"/>
    <w:rsid w:val="001E79B7"/>
    <w:rsid w:val="001F0287"/>
    <w:rsid w:val="001F1CE2"/>
    <w:rsid w:val="001F1FE6"/>
    <w:rsid w:val="001F20EA"/>
    <w:rsid w:val="001F210D"/>
    <w:rsid w:val="001F3284"/>
    <w:rsid w:val="001F38F1"/>
    <w:rsid w:val="001F3D9D"/>
    <w:rsid w:val="001F42C3"/>
    <w:rsid w:val="001F4699"/>
    <w:rsid w:val="001F4A62"/>
    <w:rsid w:val="001F4EC3"/>
    <w:rsid w:val="001F546C"/>
    <w:rsid w:val="001F569B"/>
    <w:rsid w:val="001F6B76"/>
    <w:rsid w:val="00201321"/>
    <w:rsid w:val="00201606"/>
    <w:rsid w:val="00201AAD"/>
    <w:rsid w:val="002023AF"/>
    <w:rsid w:val="00202CDF"/>
    <w:rsid w:val="0020350F"/>
    <w:rsid w:val="00203A33"/>
    <w:rsid w:val="00203C01"/>
    <w:rsid w:val="00203E3F"/>
    <w:rsid w:val="00204170"/>
    <w:rsid w:val="0020556D"/>
    <w:rsid w:val="0020770C"/>
    <w:rsid w:val="0021015F"/>
    <w:rsid w:val="00210938"/>
    <w:rsid w:val="00210B7C"/>
    <w:rsid w:val="002116E7"/>
    <w:rsid w:val="00211BEB"/>
    <w:rsid w:val="00212165"/>
    <w:rsid w:val="00213594"/>
    <w:rsid w:val="0021554A"/>
    <w:rsid w:val="00215782"/>
    <w:rsid w:val="00215E85"/>
    <w:rsid w:val="00215E8C"/>
    <w:rsid w:val="00223741"/>
    <w:rsid w:val="00230A4C"/>
    <w:rsid w:val="00231B55"/>
    <w:rsid w:val="00232C1F"/>
    <w:rsid w:val="0023388B"/>
    <w:rsid w:val="0023492A"/>
    <w:rsid w:val="00234CF2"/>
    <w:rsid w:val="00235D94"/>
    <w:rsid w:val="00236BDB"/>
    <w:rsid w:val="002418FB"/>
    <w:rsid w:val="002425C1"/>
    <w:rsid w:val="00242E20"/>
    <w:rsid w:val="002432DA"/>
    <w:rsid w:val="002463FE"/>
    <w:rsid w:val="00246D19"/>
    <w:rsid w:val="00247DB2"/>
    <w:rsid w:val="002528C2"/>
    <w:rsid w:val="002532BE"/>
    <w:rsid w:val="00257665"/>
    <w:rsid w:val="00262CA3"/>
    <w:rsid w:val="0026341F"/>
    <w:rsid w:val="002635C6"/>
    <w:rsid w:val="002639FA"/>
    <w:rsid w:val="00264A72"/>
    <w:rsid w:val="00264D8B"/>
    <w:rsid w:val="00264DEB"/>
    <w:rsid w:val="0026599F"/>
    <w:rsid w:val="00265AD9"/>
    <w:rsid w:val="00267095"/>
    <w:rsid w:val="0026749C"/>
    <w:rsid w:val="00267F0B"/>
    <w:rsid w:val="0027105C"/>
    <w:rsid w:val="00272D4B"/>
    <w:rsid w:val="00273BEA"/>
    <w:rsid w:val="00276D33"/>
    <w:rsid w:val="00277B6D"/>
    <w:rsid w:val="00277D9A"/>
    <w:rsid w:val="0028334C"/>
    <w:rsid w:val="00283DB7"/>
    <w:rsid w:val="002848E3"/>
    <w:rsid w:val="00287FF1"/>
    <w:rsid w:val="002900F4"/>
    <w:rsid w:val="0029024C"/>
    <w:rsid w:val="00290E38"/>
    <w:rsid w:val="00290F4B"/>
    <w:rsid w:val="00291ABF"/>
    <w:rsid w:val="002929F9"/>
    <w:rsid w:val="00293C51"/>
    <w:rsid w:val="00294064"/>
    <w:rsid w:val="00294651"/>
    <w:rsid w:val="00294B2E"/>
    <w:rsid w:val="00296A43"/>
    <w:rsid w:val="00296ABC"/>
    <w:rsid w:val="0029703A"/>
    <w:rsid w:val="002A1D8F"/>
    <w:rsid w:val="002A1E3E"/>
    <w:rsid w:val="002A3B19"/>
    <w:rsid w:val="002A5726"/>
    <w:rsid w:val="002A784A"/>
    <w:rsid w:val="002B2E4F"/>
    <w:rsid w:val="002B3192"/>
    <w:rsid w:val="002B3225"/>
    <w:rsid w:val="002B3BB1"/>
    <w:rsid w:val="002B4BAD"/>
    <w:rsid w:val="002B5869"/>
    <w:rsid w:val="002B6982"/>
    <w:rsid w:val="002C0639"/>
    <w:rsid w:val="002C0BEB"/>
    <w:rsid w:val="002C1373"/>
    <w:rsid w:val="002C38CA"/>
    <w:rsid w:val="002C678A"/>
    <w:rsid w:val="002C6B6A"/>
    <w:rsid w:val="002D2C04"/>
    <w:rsid w:val="002D31AE"/>
    <w:rsid w:val="002D418F"/>
    <w:rsid w:val="002D436F"/>
    <w:rsid w:val="002D539B"/>
    <w:rsid w:val="002D6579"/>
    <w:rsid w:val="002D72AD"/>
    <w:rsid w:val="002D7E94"/>
    <w:rsid w:val="002E1133"/>
    <w:rsid w:val="002E2268"/>
    <w:rsid w:val="002E27E3"/>
    <w:rsid w:val="002E3A51"/>
    <w:rsid w:val="002E4517"/>
    <w:rsid w:val="002E48AD"/>
    <w:rsid w:val="002E57CE"/>
    <w:rsid w:val="002E59FC"/>
    <w:rsid w:val="002F32D8"/>
    <w:rsid w:val="002F4D6A"/>
    <w:rsid w:val="002F520F"/>
    <w:rsid w:val="002F5F6B"/>
    <w:rsid w:val="00301B23"/>
    <w:rsid w:val="00303AE4"/>
    <w:rsid w:val="00303C1C"/>
    <w:rsid w:val="00304C06"/>
    <w:rsid w:val="00305104"/>
    <w:rsid w:val="00305785"/>
    <w:rsid w:val="00305B2D"/>
    <w:rsid w:val="0031006D"/>
    <w:rsid w:val="00311585"/>
    <w:rsid w:val="0031526F"/>
    <w:rsid w:val="003202F3"/>
    <w:rsid w:val="003211C6"/>
    <w:rsid w:val="0032201F"/>
    <w:rsid w:val="003248E7"/>
    <w:rsid w:val="0032551B"/>
    <w:rsid w:val="00325834"/>
    <w:rsid w:val="00331958"/>
    <w:rsid w:val="00332BC2"/>
    <w:rsid w:val="00333879"/>
    <w:rsid w:val="003338C7"/>
    <w:rsid w:val="003352EC"/>
    <w:rsid w:val="00336363"/>
    <w:rsid w:val="0033657F"/>
    <w:rsid w:val="0033658F"/>
    <w:rsid w:val="00336F20"/>
    <w:rsid w:val="00337B13"/>
    <w:rsid w:val="00337D2D"/>
    <w:rsid w:val="00337E9F"/>
    <w:rsid w:val="00337F1C"/>
    <w:rsid w:val="003400B4"/>
    <w:rsid w:val="0034018D"/>
    <w:rsid w:val="00340383"/>
    <w:rsid w:val="00341DEE"/>
    <w:rsid w:val="00342677"/>
    <w:rsid w:val="0034305D"/>
    <w:rsid w:val="00343249"/>
    <w:rsid w:val="00343732"/>
    <w:rsid w:val="00343C2B"/>
    <w:rsid w:val="00344579"/>
    <w:rsid w:val="00345078"/>
    <w:rsid w:val="003454F2"/>
    <w:rsid w:val="0034579B"/>
    <w:rsid w:val="00346C65"/>
    <w:rsid w:val="00350313"/>
    <w:rsid w:val="00350878"/>
    <w:rsid w:val="0035176C"/>
    <w:rsid w:val="00351BA3"/>
    <w:rsid w:val="00351BA4"/>
    <w:rsid w:val="00351F0D"/>
    <w:rsid w:val="0035327E"/>
    <w:rsid w:val="003534DB"/>
    <w:rsid w:val="003550AB"/>
    <w:rsid w:val="003561A0"/>
    <w:rsid w:val="00356D66"/>
    <w:rsid w:val="00361703"/>
    <w:rsid w:val="003642E0"/>
    <w:rsid w:val="00364D75"/>
    <w:rsid w:val="00366283"/>
    <w:rsid w:val="00366EC0"/>
    <w:rsid w:val="00370B48"/>
    <w:rsid w:val="00372913"/>
    <w:rsid w:val="00374169"/>
    <w:rsid w:val="003742BD"/>
    <w:rsid w:val="00374F48"/>
    <w:rsid w:val="0037629F"/>
    <w:rsid w:val="003766F0"/>
    <w:rsid w:val="00376A12"/>
    <w:rsid w:val="00380313"/>
    <w:rsid w:val="00380D8A"/>
    <w:rsid w:val="00381CCC"/>
    <w:rsid w:val="00382FE3"/>
    <w:rsid w:val="00383930"/>
    <w:rsid w:val="00384377"/>
    <w:rsid w:val="003869B9"/>
    <w:rsid w:val="003876E0"/>
    <w:rsid w:val="00390AE0"/>
    <w:rsid w:val="00392920"/>
    <w:rsid w:val="00393AD9"/>
    <w:rsid w:val="00393DF6"/>
    <w:rsid w:val="00394D68"/>
    <w:rsid w:val="003969AC"/>
    <w:rsid w:val="00396F8C"/>
    <w:rsid w:val="003A0FBD"/>
    <w:rsid w:val="003A303D"/>
    <w:rsid w:val="003A4F7F"/>
    <w:rsid w:val="003A5158"/>
    <w:rsid w:val="003A5C68"/>
    <w:rsid w:val="003A75D8"/>
    <w:rsid w:val="003B0855"/>
    <w:rsid w:val="003B2D59"/>
    <w:rsid w:val="003B2ED4"/>
    <w:rsid w:val="003B4800"/>
    <w:rsid w:val="003B4F9F"/>
    <w:rsid w:val="003B613F"/>
    <w:rsid w:val="003B6918"/>
    <w:rsid w:val="003C0262"/>
    <w:rsid w:val="003C06ED"/>
    <w:rsid w:val="003C0768"/>
    <w:rsid w:val="003C0B61"/>
    <w:rsid w:val="003C188B"/>
    <w:rsid w:val="003C4626"/>
    <w:rsid w:val="003C7020"/>
    <w:rsid w:val="003C72C7"/>
    <w:rsid w:val="003C753F"/>
    <w:rsid w:val="003C7B00"/>
    <w:rsid w:val="003C7D2E"/>
    <w:rsid w:val="003C7E37"/>
    <w:rsid w:val="003D164C"/>
    <w:rsid w:val="003D1D67"/>
    <w:rsid w:val="003D30E3"/>
    <w:rsid w:val="003D4928"/>
    <w:rsid w:val="003D512F"/>
    <w:rsid w:val="003D54C3"/>
    <w:rsid w:val="003D6CCF"/>
    <w:rsid w:val="003E12A8"/>
    <w:rsid w:val="003E1E3C"/>
    <w:rsid w:val="003E2C30"/>
    <w:rsid w:val="003E3264"/>
    <w:rsid w:val="003E4A8F"/>
    <w:rsid w:val="003E6091"/>
    <w:rsid w:val="003E680F"/>
    <w:rsid w:val="003E74A3"/>
    <w:rsid w:val="003E79F1"/>
    <w:rsid w:val="003F0922"/>
    <w:rsid w:val="003F1034"/>
    <w:rsid w:val="003F16F0"/>
    <w:rsid w:val="003F32DE"/>
    <w:rsid w:val="003F377A"/>
    <w:rsid w:val="003F6200"/>
    <w:rsid w:val="003F69EB"/>
    <w:rsid w:val="003F6D1B"/>
    <w:rsid w:val="003F7BD2"/>
    <w:rsid w:val="00400AE0"/>
    <w:rsid w:val="00400D19"/>
    <w:rsid w:val="00405365"/>
    <w:rsid w:val="004075E9"/>
    <w:rsid w:val="00410222"/>
    <w:rsid w:val="00410796"/>
    <w:rsid w:val="00411126"/>
    <w:rsid w:val="004120F7"/>
    <w:rsid w:val="00414BB0"/>
    <w:rsid w:val="004165A7"/>
    <w:rsid w:val="0042079B"/>
    <w:rsid w:val="004207D9"/>
    <w:rsid w:val="00420E66"/>
    <w:rsid w:val="004211D2"/>
    <w:rsid w:val="00421EDD"/>
    <w:rsid w:val="00423015"/>
    <w:rsid w:val="00423442"/>
    <w:rsid w:val="0042379C"/>
    <w:rsid w:val="00423BC1"/>
    <w:rsid w:val="00424B62"/>
    <w:rsid w:val="00424BC2"/>
    <w:rsid w:val="00425DB1"/>
    <w:rsid w:val="0042711F"/>
    <w:rsid w:val="0043239F"/>
    <w:rsid w:val="004346C7"/>
    <w:rsid w:val="004350CF"/>
    <w:rsid w:val="004354FA"/>
    <w:rsid w:val="0043563A"/>
    <w:rsid w:val="00435D8F"/>
    <w:rsid w:val="004367E3"/>
    <w:rsid w:val="00437038"/>
    <w:rsid w:val="00437576"/>
    <w:rsid w:val="004401FE"/>
    <w:rsid w:val="004402FC"/>
    <w:rsid w:val="00443C6B"/>
    <w:rsid w:val="00447FCD"/>
    <w:rsid w:val="00452339"/>
    <w:rsid w:val="004529FB"/>
    <w:rsid w:val="00453CF0"/>
    <w:rsid w:val="00454344"/>
    <w:rsid w:val="004543C4"/>
    <w:rsid w:val="00454EA7"/>
    <w:rsid w:val="0045655E"/>
    <w:rsid w:val="00461763"/>
    <w:rsid w:val="0046229C"/>
    <w:rsid w:val="00465940"/>
    <w:rsid w:val="00470A81"/>
    <w:rsid w:val="00470E73"/>
    <w:rsid w:val="0047150E"/>
    <w:rsid w:val="00472943"/>
    <w:rsid w:val="0047469B"/>
    <w:rsid w:val="0047504E"/>
    <w:rsid w:val="00477203"/>
    <w:rsid w:val="0048088D"/>
    <w:rsid w:val="004813EC"/>
    <w:rsid w:val="00481BAD"/>
    <w:rsid w:val="0048262A"/>
    <w:rsid w:val="00482A09"/>
    <w:rsid w:val="004840C3"/>
    <w:rsid w:val="00484B53"/>
    <w:rsid w:val="00484FD8"/>
    <w:rsid w:val="00486B72"/>
    <w:rsid w:val="00490442"/>
    <w:rsid w:val="004904E9"/>
    <w:rsid w:val="00491371"/>
    <w:rsid w:val="0049314D"/>
    <w:rsid w:val="00494587"/>
    <w:rsid w:val="00494FED"/>
    <w:rsid w:val="00497CA8"/>
    <w:rsid w:val="004A0565"/>
    <w:rsid w:val="004A2787"/>
    <w:rsid w:val="004A280D"/>
    <w:rsid w:val="004A2F2F"/>
    <w:rsid w:val="004A37A7"/>
    <w:rsid w:val="004A44B9"/>
    <w:rsid w:val="004A5488"/>
    <w:rsid w:val="004A7327"/>
    <w:rsid w:val="004A7DC1"/>
    <w:rsid w:val="004B0CCA"/>
    <w:rsid w:val="004B16A5"/>
    <w:rsid w:val="004B2519"/>
    <w:rsid w:val="004B5BCC"/>
    <w:rsid w:val="004B61D5"/>
    <w:rsid w:val="004B665C"/>
    <w:rsid w:val="004B6DBB"/>
    <w:rsid w:val="004B7305"/>
    <w:rsid w:val="004B74F0"/>
    <w:rsid w:val="004B79D5"/>
    <w:rsid w:val="004C0D90"/>
    <w:rsid w:val="004C1885"/>
    <w:rsid w:val="004C190B"/>
    <w:rsid w:val="004C1E14"/>
    <w:rsid w:val="004C6491"/>
    <w:rsid w:val="004D4EE1"/>
    <w:rsid w:val="004D665F"/>
    <w:rsid w:val="004D75F0"/>
    <w:rsid w:val="004E1EF6"/>
    <w:rsid w:val="004E210E"/>
    <w:rsid w:val="004E2423"/>
    <w:rsid w:val="004E332D"/>
    <w:rsid w:val="004E37CA"/>
    <w:rsid w:val="004E3C8F"/>
    <w:rsid w:val="004E40B9"/>
    <w:rsid w:val="004E4227"/>
    <w:rsid w:val="004E4535"/>
    <w:rsid w:val="004F211E"/>
    <w:rsid w:val="004F2E24"/>
    <w:rsid w:val="004F374F"/>
    <w:rsid w:val="004F5E9B"/>
    <w:rsid w:val="004F755F"/>
    <w:rsid w:val="0050376E"/>
    <w:rsid w:val="00503ED5"/>
    <w:rsid w:val="00503F9F"/>
    <w:rsid w:val="005100F3"/>
    <w:rsid w:val="00510186"/>
    <w:rsid w:val="00511434"/>
    <w:rsid w:val="00511502"/>
    <w:rsid w:val="00515212"/>
    <w:rsid w:val="0051558E"/>
    <w:rsid w:val="00517C85"/>
    <w:rsid w:val="0052071B"/>
    <w:rsid w:val="00520B8D"/>
    <w:rsid w:val="005221C1"/>
    <w:rsid w:val="005225FE"/>
    <w:rsid w:val="005226AB"/>
    <w:rsid w:val="005234FD"/>
    <w:rsid w:val="00524772"/>
    <w:rsid w:val="00524807"/>
    <w:rsid w:val="00526F92"/>
    <w:rsid w:val="0052751C"/>
    <w:rsid w:val="005276B3"/>
    <w:rsid w:val="00533779"/>
    <w:rsid w:val="00534937"/>
    <w:rsid w:val="00535127"/>
    <w:rsid w:val="00540710"/>
    <w:rsid w:val="00543FAC"/>
    <w:rsid w:val="00544FE7"/>
    <w:rsid w:val="0054507A"/>
    <w:rsid w:val="00546392"/>
    <w:rsid w:val="005463BB"/>
    <w:rsid w:val="00551E0A"/>
    <w:rsid w:val="00552738"/>
    <w:rsid w:val="00552E6D"/>
    <w:rsid w:val="00553DF4"/>
    <w:rsid w:val="00554F3F"/>
    <w:rsid w:val="0055520A"/>
    <w:rsid w:val="005557C3"/>
    <w:rsid w:val="0055653D"/>
    <w:rsid w:val="00557521"/>
    <w:rsid w:val="00557ADC"/>
    <w:rsid w:val="00560FC1"/>
    <w:rsid w:val="00562947"/>
    <w:rsid w:val="00562F5A"/>
    <w:rsid w:val="00563648"/>
    <w:rsid w:val="00563B65"/>
    <w:rsid w:val="00564C51"/>
    <w:rsid w:val="0056548C"/>
    <w:rsid w:val="00566CFF"/>
    <w:rsid w:val="00566DED"/>
    <w:rsid w:val="0056766D"/>
    <w:rsid w:val="005712A2"/>
    <w:rsid w:val="00574F81"/>
    <w:rsid w:val="00575E74"/>
    <w:rsid w:val="0057670F"/>
    <w:rsid w:val="00577E3F"/>
    <w:rsid w:val="005818A1"/>
    <w:rsid w:val="005827CB"/>
    <w:rsid w:val="00582816"/>
    <w:rsid w:val="00583AA3"/>
    <w:rsid w:val="00585533"/>
    <w:rsid w:val="00585613"/>
    <w:rsid w:val="00586FFD"/>
    <w:rsid w:val="00587FDE"/>
    <w:rsid w:val="00590465"/>
    <w:rsid w:val="00592729"/>
    <w:rsid w:val="00593570"/>
    <w:rsid w:val="00595A03"/>
    <w:rsid w:val="00595C26"/>
    <w:rsid w:val="005965DC"/>
    <w:rsid w:val="00596AC8"/>
    <w:rsid w:val="00596E6B"/>
    <w:rsid w:val="005970F6"/>
    <w:rsid w:val="005A3D07"/>
    <w:rsid w:val="005A4315"/>
    <w:rsid w:val="005A4591"/>
    <w:rsid w:val="005A4C29"/>
    <w:rsid w:val="005A5D4E"/>
    <w:rsid w:val="005A73C7"/>
    <w:rsid w:val="005B0E34"/>
    <w:rsid w:val="005B2526"/>
    <w:rsid w:val="005B4CAF"/>
    <w:rsid w:val="005B5EA7"/>
    <w:rsid w:val="005B626A"/>
    <w:rsid w:val="005B631B"/>
    <w:rsid w:val="005B78A5"/>
    <w:rsid w:val="005C3022"/>
    <w:rsid w:val="005C3B26"/>
    <w:rsid w:val="005C44CE"/>
    <w:rsid w:val="005C49AF"/>
    <w:rsid w:val="005C4F5A"/>
    <w:rsid w:val="005C7A3E"/>
    <w:rsid w:val="005D086F"/>
    <w:rsid w:val="005D1E44"/>
    <w:rsid w:val="005D20DC"/>
    <w:rsid w:val="005D20DE"/>
    <w:rsid w:val="005D2415"/>
    <w:rsid w:val="005D3787"/>
    <w:rsid w:val="005D5D22"/>
    <w:rsid w:val="005D6786"/>
    <w:rsid w:val="005D6973"/>
    <w:rsid w:val="005D7CD7"/>
    <w:rsid w:val="005D7D1E"/>
    <w:rsid w:val="005E1047"/>
    <w:rsid w:val="005E16AC"/>
    <w:rsid w:val="005E18A3"/>
    <w:rsid w:val="005E1B13"/>
    <w:rsid w:val="005E329C"/>
    <w:rsid w:val="005E55F7"/>
    <w:rsid w:val="005E70F1"/>
    <w:rsid w:val="005F024B"/>
    <w:rsid w:val="005F052F"/>
    <w:rsid w:val="005F072F"/>
    <w:rsid w:val="005F1A55"/>
    <w:rsid w:val="005F2387"/>
    <w:rsid w:val="005F2D77"/>
    <w:rsid w:val="005F5655"/>
    <w:rsid w:val="005F6A50"/>
    <w:rsid w:val="005F6DE1"/>
    <w:rsid w:val="005F7DC5"/>
    <w:rsid w:val="00600A21"/>
    <w:rsid w:val="006012C4"/>
    <w:rsid w:val="00601D45"/>
    <w:rsid w:val="00602FBB"/>
    <w:rsid w:val="00607A02"/>
    <w:rsid w:val="00607F6C"/>
    <w:rsid w:val="00610A3C"/>
    <w:rsid w:val="00611F84"/>
    <w:rsid w:val="00612AFE"/>
    <w:rsid w:val="00613254"/>
    <w:rsid w:val="006133DA"/>
    <w:rsid w:val="006154AF"/>
    <w:rsid w:val="00615E77"/>
    <w:rsid w:val="00616B2F"/>
    <w:rsid w:val="00616DE5"/>
    <w:rsid w:val="006211EC"/>
    <w:rsid w:val="00621681"/>
    <w:rsid w:val="00621F1F"/>
    <w:rsid w:val="0062317E"/>
    <w:rsid w:val="006255F8"/>
    <w:rsid w:val="0062674D"/>
    <w:rsid w:val="00626A8A"/>
    <w:rsid w:val="00626DD3"/>
    <w:rsid w:val="00630D55"/>
    <w:rsid w:val="00631BCD"/>
    <w:rsid w:val="006331A4"/>
    <w:rsid w:val="00633334"/>
    <w:rsid w:val="00633ECF"/>
    <w:rsid w:val="00633FD8"/>
    <w:rsid w:val="00634243"/>
    <w:rsid w:val="0063453E"/>
    <w:rsid w:val="00634604"/>
    <w:rsid w:val="00635D3A"/>
    <w:rsid w:val="0064088E"/>
    <w:rsid w:val="006413AB"/>
    <w:rsid w:val="00641991"/>
    <w:rsid w:val="006420A6"/>
    <w:rsid w:val="0064231A"/>
    <w:rsid w:val="00643409"/>
    <w:rsid w:val="006445FD"/>
    <w:rsid w:val="00644A40"/>
    <w:rsid w:val="00645E65"/>
    <w:rsid w:val="00647F69"/>
    <w:rsid w:val="006555E5"/>
    <w:rsid w:val="00655823"/>
    <w:rsid w:val="00655A8A"/>
    <w:rsid w:val="00656016"/>
    <w:rsid w:val="006609E8"/>
    <w:rsid w:val="006624C7"/>
    <w:rsid w:val="00662C24"/>
    <w:rsid w:val="00662D03"/>
    <w:rsid w:val="0066341C"/>
    <w:rsid w:val="00663776"/>
    <w:rsid w:val="00663D17"/>
    <w:rsid w:val="006640D1"/>
    <w:rsid w:val="006643F7"/>
    <w:rsid w:val="00666A1E"/>
    <w:rsid w:val="006671A7"/>
    <w:rsid w:val="006672AC"/>
    <w:rsid w:val="00673439"/>
    <w:rsid w:val="0067395E"/>
    <w:rsid w:val="00674106"/>
    <w:rsid w:val="00674387"/>
    <w:rsid w:val="00674CDE"/>
    <w:rsid w:val="0067614E"/>
    <w:rsid w:val="00677B43"/>
    <w:rsid w:val="006814E8"/>
    <w:rsid w:val="006821EC"/>
    <w:rsid w:val="006826AE"/>
    <w:rsid w:val="006827CD"/>
    <w:rsid w:val="00682A47"/>
    <w:rsid w:val="00684036"/>
    <w:rsid w:val="00685760"/>
    <w:rsid w:val="006866F8"/>
    <w:rsid w:val="00686943"/>
    <w:rsid w:val="00686C32"/>
    <w:rsid w:val="00686EC6"/>
    <w:rsid w:val="00686F87"/>
    <w:rsid w:val="006878DB"/>
    <w:rsid w:val="00687F1A"/>
    <w:rsid w:val="00691348"/>
    <w:rsid w:val="0069156A"/>
    <w:rsid w:val="00692A6C"/>
    <w:rsid w:val="00697FB8"/>
    <w:rsid w:val="006A0035"/>
    <w:rsid w:val="006A087E"/>
    <w:rsid w:val="006A1D82"/>
    <w:rsid w:val="006A4E0C"/>
    <w:rsid w:val="006A50EE"/>
    <w:rsid w:val="006A7F45"/>
    <w:rsid w:val="006B0BDC"/>
    <w:rsid w:val="006B0FB9"/>
    <w:rsid w:val="006B1AF5"/>
    <w:rsid w:val="006B2264"/>
    <w:rsid w:val="006B30BE"/>
    <w:rsid w:val="006B40C8"/>
    <w:rsid w:val="006B452A"/>
    <w:rsid w:val="006B60DB"/>
    <w:rsid w:val="006B6101"/>
    <w:rsid w:val="006B6611"/>
    <w:rsid w:val="006C09CE"/>
    <w:rsid w:val="006C4ABD"/>
    <w:rsid w:val="006C5140"/>
    <w:rsid w:val="006C692F"/>
    <w:rsid w:val="006C7622"/>
    <w:rsid w:val="006D194F"/>
    <w:rsid w:val="006D1D54"/>
    <w:rsid w:val="006D1EAC"/>
    <w:rsid w:val="006D3B1C"/>
    <w:rsid w:val="006D4889"/>
    <w:rsid w:val="006D48FC"/>
    <w:rsid w:val="006D565D"/>
    <w:rsid w:val="006D6D0A"/>
    <w:rsid w:val="006D7A78"/>
    <w:rsid w:val="006D7C96"/>
    <w:rsid w:val="006E1323"/>
    <w:rsid w:val="006E2677"/>
    <w:rsid w:val="006E2A8C"/>
    <w:rsid w:val="006E3E4B"/>
    <w:rsid w:val="006E4D83"/>
    <w:rsid w:val="006E5027"/>
    <w:rsid w:val="006E555B"/>
    <w:rsid w:val="006E5B27"/>
    <w:rsid w:val="006E7FE3"/>
    <w:rsid w:val="006F01E7"/>
    <w:rsid w:val="006F0819"/>
    <w:rsid w:val="006F138B"/>
    <w:rsid w:val="006F26A8"/>
    <w:rsid w:val="006F50B9"/>
    <w:rsid w:val="006F6CF3"/>
    <w:rsid w:val="006F7143"/>
    <w:rsid w:val="007000ED"/>
    <w:rsid w:val="007004A7"/>
    <w:rsid w:val="00701C0A"/>
    <w:rsid w:val="00702219"/>
    <w:rsid w:val="007023D2"/>
    <w:rsid w:val="00703463"/>
    <w:rsid w:val="007036AD"/>
    <w:rsid w:val="00703916"/>
    <w:rsid w:val="00705696"/>
    <w:rsid w:val="00705BCB"/>
    <w:rsid w:val="00706B89"/>
    <w:rsid w:val="007079AD"/>
    <w:rsid w:val="00707D08"/>
    <w:rsid w:val="0071155D"/>
    <w:rsid w:val="00711604"/>
    <w:rsid w:val="007125BB"/>
    <w:rsid w:val="00713839"/>
    <w:rsid w:val="00715AC8"/>
    <w:rsid w:val="0071772D"/>
    <w:rsid w:val="00717875"/>
    <w:rsid w:val="00717E19"/>
    <w:rsid w:val="00720050"/>
    <w:rsid w:val="00721D77"/>
    <w:rsid w:val="0072467F"/>
    <w:rsid w:val="007252C5"/>
    <w:rsid w:val="00726013"/>
    <w:rsid w:val="0072637D"/>
    <w:rsid w:val="007275C7"/>
    <w:rsid w:val="007278E4"/>
    <w:rsid w:val="00727E34"/>
    <w:rsid w:val="00730F8D"/>
    <w:rsid w:val="00731673"/>
    <w:rsid w:val="007327BD"/>
    <w:rsid w:val="007354CE"/>
    <w:rsid w:val="007371E3"/>
    <w:rsid w:val="00741899"/>
    <w:rsid w:val="00742214"/>
    <w:rsid w:val="00743470"/>
    <w:rsid w:val="00744B95"/>
    <w:rsid w:val="00745BFE"/>
    <w:rsid w:val="0074607B"/>
    <w:rsid w:val="00746186"/>
    <w:rsid w:val="00746402"/>
    <w:rsid w:val="00751855"/>
    <w:rsid w:val="00751D9B"/>
    <w:rsid w:val="00752E05"/>
    <w:rsid w:val="00753D5E"/>
    <w:rsid w:val="007546DE"/>
    <w:rsid w:val="00754F1B"/>
    <w:rsid w:val="0075773C"/>
    <w:rsid w:val="007579F2"/>
    <w:rsid w:val="0076348E"/>
    <w:rsid w:val="00764616"/>
    <w:rsid w:val="00764990"/>
    <w:rsid w:val="00764B3C"/>
    <w:rsid w:val="007658D8"/>
    <w:rsid w:val="007671BA"/>
    <w:rsid w:val="00770060"/>
    <w:rsid w:val="00771445"/>
    <w:rsid w:val="007718D5"/>
    <w:rsid w:val="00772B52"/>
    <w:rsid w:val="00772BAD"/>
    <w:rsid w:val="007768A0"/>
    <w:rsid w:val="0077707E"/>
    <w:rsid w:val="00777341"/>
    <w:rsid w:val="007806D3"/>
    <w:rsid w:val="00781069"/>
    <w:rsid w:val="007811C1"/>
    <w:rsid w:val="00781428"/>
    <w:rsid w:val="0078175C"/>
    <w:rsid w:val="00781ED0"/>
    <w:rsid w:val="00783116"/>
    <w:rsid w:val="0078600F"/>
    <w:rsid w:val="00786780"/>
    <w:rsid w:val="00786F2E"/>
    <w:rsid w:val="0079029A"/>
    <w:rsid w:val="00791154"/>
    <w:rsid w:val="00791264"/>
    <w:rsid w:val="0079149E"/>
    <w:rsid w:val="007915C1"/>
    <w:rsid w:val="00791877"/>
    <w:rsid w:val="00791987"/>
    <w:rsid w:val="00792324"/>
    <w:rsid w:val="00792938"/>
    <w:rsid w:val="007933F5"/>
    <w:rsid w:val="00793B6D"/>
    <w:rsid w:val="007954DB"/>
    <w:rsid w:val="00795D0B"/>
    <w:rsid w:val="0079752D"/>
    <w:rsid w:val="007A2AF8"/>
    <w:rsid w:val="007A3311"/>
    <w:rsid w:val="007A652C"/>
    <w:rsid w:val="007A7EDC"/>
    <w:rsid w:val="007B106B"/>
    <w:rsid w:val="007B1666"/>
    <w:rsid w:val="007B2BFF"/>
    <w:rsid w:val="007B37D7"/>
    <w:rsid w:val="007B459E"/>
    <w:rsid w:val="007B4668"/>
    <w:rsid w:val="007B5CCE"/>
    <w:rsid w:val="007B6B21"/>
    <w:rsid w:val="007B7670"/>
    <w:rsid w:val="007B78F3"/>
    <w:rsid w:val="007B7AC4"/>
    <w:rsid w:val="007C19C6"/>
    <w:rsid w:val="007C3894"/>
    <w:rsid w:val="007C4C60"/>
    <w:rsid w:val="007C5824"/>
    <w:rsid w:val="007C7127"/>
    <w:rsid w:val="007C760A"/>
    <w:rsid w:val="007C7BFF"/>
    <w:rsid w:val="007D17DF"/>
    <w:rsid w:val="007D1CB6"/>
    <w:rsid w:val="007D280C"/>
    <w:rsid w:val="007D2A6F"/>
    <w:rsid w:val="007D3564"/>
    <w:rsid w:val="007D41CE"/>
    <w:rsid w:val="007D48F5"/>
    <w:rsid w:val="007D5D95"/>
    <w:rsid w:val="007E1ECA"/>
    <w:rsid w:val="007E27BA"/>
    <w:rsid w:val="007E3124"/>
    <w:rsid w:val="007E3EEA"/>
    <w:rsid w:val="007F0304"/>
    <w:rsid w:val="007F07CF"/>
    <w:rsid w:val="007F22B6"/>
    <w:rsid w:val="007F2B09"/>
    <w:rsid w:val="007F3A2F"/>
    <w:rsid w:val="007F5310"/>
    <w:rsid w:val="007F61F2"/>
    <w:rsid w:val="007F64A0"/>
    <w:rsid w:val="00800473"/>
    <w:rsid w:val="00802D3F"/>
    <w:rsid w:val="00803617"/>
    <w:rsid w:val="0080398F"/>
    <w:rsid w:val="00804CCA"/>
    <w:rsid w:val="00806B2C"/>
    <w:rsid w:val="00806FC4"/>
    <w:rsid w:val="008110E7"/>
    <w:rsid w:val="00811D0A"/>
    <w:rsid w:val="00816407"/>
    <w:rsid w:val="0081659F"/>
    <w:rsid w:val="00817C11"/>
    <w:rsid w:val="0082210B"/>
    <w:rsid w:val="0082311B"/>
    <w:rsid w:val="0082321D"/>
    <w:rsid w:val="008237B7"/>
    <w:rsid w:val="00824994"/>
    <w:rsid w:val="00824DED"/>
    <w:rsid w:val="008256D3"/>
    <w:rsid w:val="00825D3E"/>
    <w:rsid w:val="008265F9"/>
    <w:rsid w:val="00827504"/>
    <w:rsid w:val="00830699"/>
    <w:rsid w:val="008306D4"/>
    <w:rsid w:val="008308FD"/>
    <w:rsid w:val="008315E3"/>
    <w:rsid w:val="008319BC"/>
    <w:rsid w:val="00831AAA"/>
    <w:rsid w:val="008330EC"/>
    <w:rsid w:val="00833176"/>
    <w:rsid w:val="008333C0"/>
    <w:rsid w:val="00833F09"/>
    <w:rsid w:val="00836365"/>
    <w:rsid w:val="00837C4D"/>
    <w:rsid w:val="00841969"/>
    <w:rsid w:val="00841B3B"/>
    <w:rsid w:val="00841F44"/>
    <w:rsid w:val="008426C4"/>
    <w:rsid w:val="00844545"/>
    <w:rsid w:val="00845891"/>
    <w:rsid w:val="00850637"/>
    <w:rsid w:val="00850787"/>
    <w:rsid w:val="00850935"/>
    <w:rsid w:val="00850CDE"/>
    <w:rsid w:val="00850ED7"/>
    <w:rsid w:val="00851C9D"/>
    <w:rsid w:val="008548FA"/>
    <w:rsid w:val="00855FE1"/>
    <w:rsid w:val="00857C6F"/>
    <w:rsid w:val="00860D8B"/>
    <w:rsid w:val="00861FE8"/>
    <w:rsid w:val="00862989"/>
    <w:rsid w:val="008630B6"/>
    <w:rsid w:val="00866AD8"/>
    <w:rsid w:val="00866FBE"/>
    <w:rsid w:val="00871009"/>
    <w:rsid w:val="00871C94"/>
    <w:rsid w:val="008721BB"/>
    <w:rsid w:val="00872851"/>
    <w:rsid w:val="00872D52"/>
    <w:rsid w:val="008732C2"/>
    <w:rsid w:val="00876123"/>
    <w:rsid w:val="008771FF"/>
    <w:rsid w:val="0087723C"/>
    <w:rsid w:val="00877242"/>
    <w:rsid w:val="00877AFF"/>
    <w:rsid w:val="00877D00"/>
    <w:rsid w:val="00877E7E"/>
    <w:rsid w:val="008803FD"/>
    <w:rsid w:val="0088120F"/>
    <w:rsid w:val="00881BA2"/>
    <w:rsid w:val="008832F0"/>
    <w:rsid w:val="0088418B"/>
    <w:rsid w:val="00885AF7"/>
    <w:rsid w:val="008878A9"/>
    <w:rsid w:val="00887A60"/>
    <w:rsid w:val="00887D5B"/>
    <w:rsid w:val="00890B18"/>
    <w:rsid w:val="00890FB9"/>
    <w:rsid w:val="008917AB"/>
    <w:rsid w:val="008963DD"/>
    <w:rsid w:val="00896AD9"/>
    <w:rsid w:val="00897543"/>
    <w:rsid w:val="008A1162"/>
    <w:rsid w:val="008A122D"/>
    <w:rsid w:val="008A152F"/>
    <w:rsid w:val="008A199E"/>
    <w:rsid w:val="008A1B30"/>
    <w:rsid w:val="008A27B8"/>
    <w:rsid w:val="008A3813"/>
    <w:rsid w:val="008A65E0"/>
    <w:rsid w:val="008A7318"/>
    <w:rsid w:val="008B07B8"/>
    <w:rsid w:val="008B2EFF"/>
    <w:rsid w:val="008B34FA"/>
    <w:rsid w:val="008B3B17"/>
    <w:rsid w:val="008B4308"/>
    <w:rsid w:val="008B5062"/>
    <w:rsid w:val="008B5B7B"/>
    <w:rsid w:val="008B70D7"/>
    <w:rsid w:val="008B725B"/>
    <w:rsid w:val="008B757E"/>
    <w:rsid w:val="008C20EE"/>
    <w:rsid w:val="008C3206"/>
    <w:rsid w:val="008C3375"/>
    <w:rsid w:val="008C6E68"/>
    <w:rsid w:val="008C742A"/>
    <w:rsid w:val="008C7E67"/>
    <w:rsid w:val="008D072D"/>
    <w:rsid w:val="008D1D5F"/>
    <w:rsid w:val="008D27E9"/>
    <w:rsid w:val="008D2D8B"/>
    <w:rsid w:val="008D5AA6"/>
    <w:rsid w:val="008D5D5A"/>
    <w:rsid w:val="008D6097"/>
    <w:rsid w:val="008D60D8"/>
    <w:rsid w:val="008D6A14"/>
    <w:rsid w:val="008E0739"/>
    <w:rsid w:val="008E0917"/>
    <w:rsid w:val="008E2945"/>
    <w:rsid w:val="008E294A"/>
    <w:rsid w:val="008E3B77"/>
    <w:rsid w:val="008E4AF0"/>
    <w:rsid w:val="008E713F"/>
    <w:rsid w:val="008F0666"/>
    <w:rsid w:val="008F08EA"/>
    <w:rsid w:val="008F1C51"/>
    <w:rsid w:val="008F1D6C"/>
    <w:rsid w:val="008F1F88"/>
    <w:rsid w:val="008F2A03"/>
    <w:rsid w:val="008F2D7D"/>
    <w:rsid w:val="008F401D"/>
    <w:rsid w:val="008F4629"/>
    <w:rsid w:val="008F561C"/>
    <w:rsid w:val="008F57E6"/>
    <w:rsid w:val="008F5AAA"/>
    <w:rsid w:val="008F5DCB"/>
    <w:rsid w:val="008F6EA0"/>
    <w:rsid w:val="008F77F6"/>
    <w:rsid w:val="009016C8"/>
    <w:rsid w:val="0090233D"/>
    <w:rsid w:val="009029AF"/>
    <w:rsid w:val="00902E17"/>
    <w:rsid w:val="00903D79"/>
    <w:rsid w:val="009041A4"/>
    <w:rsid w:val="0090423A"/>
    <w:rsid w:val="009043A0"/>
    <w:rsid w:val="00904FC0"/>
    <w:rsid w:val="00905406"/>
    <w:rsid w:val="0090597A"/>
    <w:rsid w:val="00906441"/>
    <w:rsid w:val="00907B53"/>
    <w:rsid w:val="0091142A"/>
    <w:rsid w:val="00911700"/>
    <w:rsid w:val="009117F5"/>
    <w:rsid w:val="00911C06"/>
    <w:rsid w:val="00914629"/>
    <w:rsid w:val="00915173"/>
    <w:rsid w:val="009155A6"/>
    <w:rsid w:val="0091578B"/>
    <w:rsid w:val="00915CCA"/>
    <w:rsid w:val="00915EC4"/>
    <w:rsid w:val="0091689B"/>
    <w:rsid w:val="00916D2B"/>
    <w:rsid w:val="00923A1F"/>
    <w:rsid w:val="00925676"/>
    <w:rsid w:val="009317A0"/>
    <w:rsid w:val="00931C1E"/>
    <w:rsid w:val="00934058"/>
    <w:rsid w:val="009341FD"/>
    <w:rsid w:val="009352F1"/>
    <w:rsid w:val="00940CD2"/>
    <w:rsid w:val="00943E4F"/>
    <w:rsid w:val="00946177"/>
    <w:rsid w:val="00947732"/>
    <w:rsid w:val="0094793B"/>
    <w:rsid w:val="009507FE"/>
    <w:rsid w:val="009517E3"/>
    <w:rsid w:val="00952494"/>
    <w:rsid w:val="00952535"/>
    <w:rsid w:val="009533AA"/>
    <w:rsid w:val="009552ED"/>
    <w:rsid w:val="009564C8"/>
    <w:rsid w:val="009638CA"/>
    <w:rsid w:val="00963D2E"/>
    <w:rsid w:val="0096620E"/>
    <w:rsid w:val="00966EE2"/>
    <w:rsid w:val="00970261"/>
    <w:rsid w:val="00972994"/>
    <w:rsid w:val="00972F3B"/>
    <w:rsid w:val="00973E6C"/>
    <w:rsid w:val="00973E9E"/>
    <w:rsid w:val="00976499"/>
    <w:rsid w:val="009801E1"/>
    <w:rsid w:val="00981B7F"/>
    <w:rsid w:val="00981B9E"/>
    <w:rsid w:val="00982CFA"/>
    <w:rsid w:val="00982FAB"/>
    <w:rsid w:val="009849F8"/>
    <w:rsid w:val="00984BC7"/>
    <w:rsid w:val="00985AD9"/>
    <w:rsid w:val="00986AAD"/>
    <w:rsid w:val="009903F3"/>
    <w:rsid w:val="00990FC8"/>
    <w:rsid w:val="0099109B"/>
    <w:rsid w:val="009917DA"/>
    <w:rsid w:val="00991B35"/>
    <w:rsid w:val="00992C2E"/>
    <w:rsid w:val="00992E06"/>
    <w:rsid w:val="00993445"/>
    <w:rsid w:val="009959AD"/>
    <w:rsid w:val="00995D02"/>
    <w:rsid w:val="00997059"/>
    <w:rsid w:val="00997E24"/>
    <w:rsid w:val="009A1F4A"/>
    <w:rsid w:val="009A2964"/>
    <w:rsid w:val="009A462B"/>
    <w:rsid w:val="009A6189"/>
    <w:rsid w:val="009A6315"/>
    <w:rsid w:val="009B1252"/>
    <w:rsid w:val="009B259E"/>
    <w:rsid w:val="009B2678"/>
    <w:rsid w:val="009B2700"/>
    <w:rsid w:val="009B5123"/>
    <w:rsid w:val="009B56A1"/>
    <w:rsid w:val="009B5B98"/>
    <w:rsid w:val="009C086E"/>
    <w:rsid w:val="009C0D9C"/>
    <w:rsid w:val="009C1157"/>
    <w:rsid w:val="009C2A42"/>
    <w:rsid w:val="009C2E68"/>
    <w:rsid w:val="009C3577"/>
    <w:rsid w:val="009C4312"/>
    <w:rsid w:val="009C51DC"/>
    <w:rsid w:val="009C7A11"/>
    <w:rsid w:val="009D07CA"/>
    <w:rsid w:val="009D0E92"/>
    <w:rsid w:val="009D0F88"/>
    <w:rsid w:val="009D166E"/>
    <w:rsid w:val="009D18D8"/>
    <w:rsid w:val="009D1A84"/>
    <w:rsid w:val="009D1C56"/>
    <w:rsid w:val="009D1F38"/>
    <w:rsid w:val="009D2194"/>
    <w:rsid w:val="009D50C7"/>
    <w:rsid w:val="009D585E"/>
    <w:rsid w:val="009E0F33"/>
    <w:rsid w:val="009E1A7A"/>
    <w:rsid w:val="009E1ED3"/>
    <w:rsid w:val="009E2B22"/>
    <w:rsid w:val="009E2E14"/>
    <w:rsid w:val="009E2F73"/>
    <w:rsid w:val="009E4281"/>
    <w:rsid w:val="009E4621"/>
    <w:rsid w:val="009E49F9"/>
    <w:rsid w:val="009E4B58"/>
    <w:rsid w:val="009F466E"/>
    <w:rsid w:val="009F55C0"/>
    <w:rsid w:val="009F6A94"/>
    <w:rsid w:val="009F715D"/>
    <w:rsid w:val="009F783E"/>
    <w:rsid w:val="009F79A6"/>
    <w:rsid w:val="00A02C8A"/>
    <w:rsid w:val="00A043FA"/>
    <w:rsid w:val="00A04A56"/>
    <w:rsid w:val="00A04C0A"/>
    <w:rsid w:val="00A053BB"/>
    <w:rsid w:val="00A0697F"/>
    <w:rsid w:val="00A06EC0"/>
    <w:rsid w:val="00A07B96"/>
    <w:rsid w:val="00A11E3D"/>
    <w:rsid w:val="00A13457"/>
    <w:rsid w:val="00A179CC"/>
    <w:rsid w:val="00A201EA"/>
    <w:rsid w:val="00A20456"/>
    <w:rsid w:val="00A23697"/>
    <w:rsid w:val="00A245A7"/>
    <w:rsid w:val="00A25BE5"/>
    <w:rsid w:val="00A27418"/>
    <w:rsid w:val="00A30056"/>
    <w:rsid w:val="00A33EF4"/>
    <w:rsid w:val="00A37A46"/>
    <w:rsid w:val="00A40567"/>
    <w:rsid w:val="00A42EFF"/>
    <w:rsid w:val="00A43862"/>
    <w:rsid w:val="00A43AA9"/>
    <w:rsid w:val="00A43D97"/>
    <w:rsid w:val="00A4482D"/>
    <w:rsid w:val="00A4669B"/>
    <w:rsid w:val="00A4763B"/>
    <w:rsid w:val="00A50101"/>
    <w:rsid w:val="00A50676"/>
    <w:rsid w:val="00A507BC"/>
    <w:rsid w:val="00A50BE8"/>
    <w:rsid w:val="00A5118D"/>
    <w:rsid w:val="00A5141A"/>
    <w:rsid w:val="00A52EAB"/>
    <w:rsid w:val="00A537F0"/>
    <w:rsid w:val="00A53D13"/>
    <w:rsid w:val="00A54107"/>
    <w:rsid w:val="00A5478B"/>
    <w:rsid w:val="00A54A4F"/>
    <w:rsid w:val="00A56F86"/>
    <w:rsid w:val="00A6174B"/>
    <w:rsid w:val="00A622EE"/>
    <w:rsid w:val="00A65910"/>
    <w:rsid w:val="00A66335"/>
    <w:rsid w:val="00A711EC"/>
    <w:rsid w:val="00A71B7B"/>
    <w:rsid w:val="00A72A17"/>
    <w:rsid w:val="00A75283"/>
    <w:rsid w:val="00A75448"/>
    <w:rsid w:val="00A76A19"/>
    <w:rsid w:val="00A80DD1"/>
    <w:rsid w:val="00A814B0"/>
    <w:rsid w:val="00A81D96"/>
    <w:rsid w:val="00A81F4B"/>
    <w:rsid w:val="00A83A85"/>
    <w:rsid w:val="00A84ADA"/>
    <w:rsid w:val="00A85B96"/>
    <w:rsid w:val="00A85D45"/>
    <w:rsid w:val="00A90953"/>
    <w:rsid w:val="00A90F07"/>
    <w:rsid w:val="00A927E2"/>
    <w:rsid w:val="00A928AA"/>
    <w:rsid w:val="00A9470D"/>
    <w:rsid w:val="00A94CF0"/>
    <w:rsid w:val="00A94EF9"/>
    <w:rsid w:val="00A95076"/>
    <w:rsid w:val="00A96002"/>
    <w:rsid w:val="00A9681F"/>
    <w:rsid w:val="00A9752E"/>
    <w:rsid w:val="00A97DA3"/>
    <w:rsid w:val="00AA0444"/>
    <w:rsid w:val="00AA04CB"/>
    <w:rsid w:val="00AA1395"/>
    <w:rsid w:val="00AA39EA"/>
    <w:rsid w:val="00AA67F5"/>
    <w:rsid w:val="00AA7555"/>
    <w:rsid w:val="00AA7688"/>
    <w:rsid w:val="00AB120B"/>
    <w:rsid w:val="00AB1D93"/>
    <w:rsid w:val="00AB3495"/>
    <w:rsid w:val="00AB39F9"/>
    <w:rsid w:val="00AB499C"/>
    <w:rsid w:val="00AB545C"/>
    <w:rsid w:val="00AB621B"/>
    <w:rsid w:val="00AB7AAE"/>
    <w:rsid w:val="00AB7E89"/>
    <w:rsid w:val="00AC0656"/>
    <w:rsid w:val="00AC3B6C"/>
    <w:rsid w:val="00AC482B"/>
    <w:rsid w:val="00AC4D83"/>
    <w:rsid w:val="00AC6F19"/>
    <w:rsid w:val="00AC70BB"/>
    <w:rsid w:val="00AD066B"/>
    <w:rsid w:val="00AD1117"/>
    <w:rsid w:val="00AD148B"/>
    <w:rsid w:val="00AD3A56"/>
    <w:rsid w:val="00AD4DAA"/>
    <w:rsid w:val="00AD4FE2"/>
    <w:rsid w:val="00AD6908"/>
    <w:rsid w:val="00AD70A1"/>
    <w:rsid w:val="00AD73C0"/>
    <w:rsid w:val="00AD7DC7"/>
    <w:rsid w:val="00AE065A"/>
    <w:rsid w:val="00AE068A"/>
    <w:rsid w:val="00AE2E0E"/>
    <w:rsid w:val="00AE362D"/>
    <w:rsid w:val="00AE3C7A"/>
    <w:rsid w:val="00AE42E4"/>
    <w:rsid w:val="00AE53E2"/>
    <w:rsid w:val="00AE5580"/>
    <w:rsid w:val="00AE6BAE"/>
    <w:rsid w:val="00AE742B"/>
    <w:rsid w:val="00AF2478"/>
    <w:rsid w:val="00AF454D"/>
    <w:rsid w:val="00AF45B5"/>
    <w:rsid w:val="00AF45EC"/>
    <w:rsid w:val="00AF5F3D"/>
    <w:rsid w:val="00AF67FA"/>
    <w:rsid w:val="00AF6F6F"/>
    <w:rsid w:val="00AF7C1D"/>
    <w:rsid w:val="00B02602"/>
    <w:rsid w:val="00B034AA"/>
    <w:rsid w:val="00B05AC7"/>
    <w:rsid w:val="00B10358"/>
    <w:rsid w:val="00B11564"/>
    <w:rsid w:val="00B132EB"/>
    <w:rsid w:val="00B13898"/>
    <w:rsid w:val="00B13D18"/>
    <w:rsid w:val="00B13EE2"/>
    <w:rsid w:val="00B145FD"/>
    <w:rsid w:val="00B17A34"/>
    <w:rsid w:val="00B20C02"/>
    <w:rsid w:val="00B2279D"/>
    <w:rsid w:val="00B23812"/>
    <w:rsid w:val="00B2384C"/>
    <w:rsid w:val="00B257CB"/>
    <w:rsid w:val="00B259B4"/>
    <w:rsid w:val="00B26D85"/>
    <w:rsid w:val="00B273A4"/>
    <w:rsid w:val="00B2751E"/>
    <w:rsid w:val="00B3182A"/>
    <w:rsid w:val="00B329DA"/>
    <w:rsid w:val="00B33D8B"/>
    <w:rsid w:val="00B35769"/>
    <w:rsid w:val="00B36797"/>
    <w:rsid w:val="00B370CF"/>
    <w:rsid w:val="00B37CFC"/>
    <w:rsid w:val="00B40E6F"/>
    <w:rsid w:val="00B40F11"/>
    <w:rsid w:val="00B43145"/>
    <w:rsid w:val="00B46701"/>
    <w:rsid w:val="00B46F54"/>
    <w:rsid w:val="00B47592"/>
    <w:rsid w:val="00B501B3"/>
    <w:rsid w:val="00B50350"/>
    <w:rsid w:val="00B50A3A"/>
    <w:rsid w:val="00B50D94"/>
    <w:rsid w:val="00B531E3"/>
    <w:rsid w:val="00B5323F"/>
    <w:rsid w:val="00B57E85"/>
    <w:rsid w:val="00B606E7"/>
    <w:rsid w:val="00B61A6F"/>
    <w:rsid w:val="00B61FD8"/>
    <w:rsid w:val="00B62BDC"/>
    <w:rsid w:val="00B63124"/>
    <w:rsid w:val="00B63B6E"/>
    <w:rsid w:val="00B64223"/>
    <w:rsid w:val="00B6435F"/>
    <w:rsid w:val="00B65AB7"/>
    <w:rsid w:val="00B665E9"/>
    <w:rsid w:val="00B7202F"/>
    <w:rsid w:val="00B74055"/>
    <w:rsid w:val="00B75460"/>
    <w:rsid w:val="00B755FF"/>
    <w:rsid w:val="00B801ED"/>
    <w:rsid w:val="00B82DD2"/>
    <w:rsid w:val="00B83315"/>
    <w:rsid w:val="00B83316"/>
    <w:rsid w:val="00B83628"/>
    <w:rsid w:val="00B8376B"/>
    <w:rsid w:val="00B83C04"/>
    <w:rsid w:val="00B84814"/>
    <w:rsid w:val="00B8483C"/>
    <w:rsid w:val="00B85889"/>
    <w:rsid w:val="00B87A22"/>
    <w:rsid w:val="00B9077E"/>
    <w:rsid w:val="00B9179C"/>
    <w:rsid w:val="00B918E8"/>
    <w:rsid w:val="00B92C39"/>
    <w:rsid w:val="00B92C74"/>
    <w:rsid w:val="00B93541"/>
    <w:rsid w:val="00B94C29"/>
    <w:rsid w:val="00B97FDA"/>
    <w:rsid w:val="00BA0570"/>
    <w:rsid w:val="00BA1393"/>
    <w:rsid w:val="00BA18B8"/>
    <w:rsid w:val="00BA4870"/>
    <w:rsid w:val="00BA7893"/>
    <w:rsid w:val="00BB0097"/>
    <w:rsid w:val="00BB2584"/>
    <w:rsid w:val="00BB4632"/>
    <w:rsid w:val="00BB54A5"/>
    <w:rsid w:val="00BB578B"/>
    <w:rsid w:val="00BB7C5B"/>
    <w:rsid w:val="00BB7CF4"/>
    <w:rsid w:val="00BC1A7C"/>
    <w:rsid w:val="00BC29FB"/>
    <w:rsid w:val="00BC587D"/>
    <w:rsid w:val="00BC731E"/>
    <w:rsid w:val="00BC7333"/>
    <w:rsid w:val="00BD09D0"/>
    <w:rsid w:val="00BD1A17"/>
    <w:rsid w:val="00BD1DCD"/>
    <w:rsid w:val="00BD21F5"/>
    <w:rsid w:val="00BD320A"/>
    <w:rsid w:val="00BD584B"/>
    <w:rsid w:val="00BD7700"/>
    <w:rsid w:val="00BD7F55"/>
    <w:rsid w:val="00BD7F7F"/>
    <w:rsid w:val="00BE2214"/>
    <w:rsid w:val="00BE4239"/>
    <w:rsid w:val="00BE4F5B"/>
    <w:rsid w:val="00BE56B1"/>
    <w:rsid w:val="00BE588F"/>
    <w:rsid w:val="00BE62F7"/>
    <w:rsid w:val="00BE70C4"/>
    <w:rsid w:val="00BE70F6"/>
    <w:rsid w:val="00BF26F3"/>
    <w:rsid w:val="00BF2C48"/>
    <w:rsid w:val="00BF3D41"/>
    <w:rsid w:val="00BF4642"/>
    <w:rsid w:val="00BF496D"/>
    <w:rsid w:val="00C00A9D"/>
    <w:rsid w:val="00C02F91"/>
    <w:rsid w:val="00C04F06"/>
    <w:rsid w:val="00C05A86"/>
    <w:rsid w:val="00C05F0E"/>
    <w:rsid w:val="00C05FB2"/>
    <w:rsid w:val="00C1008E"/>
    <w:rsid w:val="00C10587"/>
    <w:rsid w:val="00C125F7"/>
    <w:rsid w:val="00C1282A"/>
    <w:rsid w:val="00C12B49"/>
    <w:rsid w:val="00C12BC4"/>
    <w:rsid w:val="00C12BD7"/>
    <w:rsid w:val="00C12F23"/>
    <w:rsid w:val="00C13DD8"/>
    <w:rsid w:val="00C14CF8"/>
    <w:rsid w:val="00C15475"/>
    <w:rsid w:val="00C160AE"/>
    <w:rsid w:val="00C17E31"/>
    <w:rsid w:val="00C20619"/>
    <w:rsid w:val="00C22CED"/>
    <w:rsid w:val="00C2383B"/>
    <w:rsid w:val="00C2396B"/>
    <w:rsid w:val="00C23E50"/>
    <w:rsid w:val="00C25671"/>
    <w:rsid w:val="00C30457"/>
    <w:rsid w:val="00C3078D"/>
    <w:rsid w:val="00C31E01"/>
    <w:rsid w:val="00C327AE"/>
    <w:rsid w:val="00C332BD"/>
    <w:rsid w:val="00C358ED"/>
    <w:rsid w:val="00C35A41"/>
    <w:rsid w:val="00C372D9"/>
    <w:rsid w:val="00C40CCF"/>
    <w:rsid w:val="00C40CEC"/>
    <w:rsid w:val="00C43951"/>
    <w:rsid w:val="00C45716"/>
    <w:rsid w:val="00C4639F"/>
    <w:rsid w:val="00C50D22"/>
    <w:rsid w:val="00C512C5"/>
    <w:rsid w:val="00C527EB"/>
    <w:rsid w:val="00C52967"/>
    <w:rsid w:val="00C54182"/>
    <w:rsid w:val="00C553FB"/>
    <w:rsid w:val="00C5560F"/>
    <w:rsid w:val="00C576BE"/>
    <w:rsid w:val="00C57E34"/>
    <w:rsid w:val="00C605DA"/>
    <w:rsid w:val="00C620B3"/>
    <w:rsid w:val="00C62B2A"/>
    <w:rsid w:val="00C62BBC"/>
    <w:rsid w:val="00C62DC3"/>
    <w:rsid w:val="00C63A36"/>
    <w:rsid w:val="00C63C60"/>
    <w:rsid w:val="00C63CBF"/>
    <w:rsid w:val="00C65D8E"/>
    <w:rsid w:val="00C66778"/>
    <w:rsid w:val="00C675A4"/>
    <w:rsid w:val="00C6786B"/>
    <w:rsid w:val="00C72176"/>
    <w:rsid w:val="00C73017"/>
    <w:rsid w:val="00C7448C"/>
    <w:rsid w:val="00C74BBE"/>
    <w:rsid w:val="00C76FAE"/>
    <w:rsid w:val="00C828DE"/>
    <w:rsid w:val="00C831F5"/>
    <w:rsid w:val="00C85877"/>
    <w:rsid w:val="00C85CD1"/>
    <w:rsid w:val="00C85FE0"/>
    <w:rsid w:val="00C870B0"/>
    <w:rsid w:val="00C87639"/>
    <w:rsid w:val="00C91668"/>
    <w:rsid w:val="00C91D79"/>
    <w:rsid w:val="00C93645"/>
    <w:rsid w:val="00C936CF"/>
    <w:rsid w:val="00C939D1"/>
    <w:rsid w:val="00C95830"/>
    <w:rsid w:val="00C964B9"/>
    <w:rsid w:val="00C965B1"/>
    <w:rsid w:val="00C96B6A"/>
    <w:rsid w:val="00C96FEF"/>
    <w:rsid w:val="00CA001E"/>
    <w:rsid w:val="00CA1ED1"/>
    <w:rsid w:val="00CA27BA"/>
    <w:rsid w:val="00CA3D41"/>
    <w:rsid w:val="00CA4C6E"/>
    <w:rsid w:val="00CA583C"/>
    <w:rsid w:val="00CA7331"/>
    <w:rsid w:val="00CB0822"/>
    <w:rsid w:val="00CB082F"/>
    <w:rsid w:val="00CB13A4"/>
    <w:rsid w:val="00CB27B1"/>
    <w:rsid w:val="00CB290A"/>
    <w:rsid w:val="00CB563D"/>
    <w:rsid w:val="00CB5D6C"/>
    <w:rsid w:val="00CB7652"/>
    <w:rsid w:val="00CC0197"/>
    <w:rsid w:val="00CC0ACE"/>
    <w:rsid w:val="00CC0D19"/>
    <w:rsid w:val="00CC1160"/>
    <w:rsid w:val="00CC1D18"/>
    <w:rsid w:val="00CC3B75"/>
    <w:rsid w:val="00CC6013"/>
    <w:rsid w:val="00CC6417"/>
    <w:rsid w:val="00CC7AAA"/>
    <w:rsid w:val="00CD0DBE"/>
    <w:rsid w:val="00CD1D4D"/>
    <w:rsid w:val="00CD402B"/>
    <w:rsid w:val="00CD475A"/>
    <w:rsid w:val="00CD478E"/>
    <w:rsid w:val="00CD51C9"/>
    <w:rsid w:val="00CE0925"/>
    <w:rsid w:val="00CE0F24"/>
    <w:rsid w:val="00CE1644"/>
    <w:rsid w:val="00CE2199"/>
    <w:rsid w:val="00CE27CA"/>
    <w:rsid w:val="00CE2F52"/>
    <w:rsid w:val="00CE50BE"/>
    <w:rsid w:val="00CE5528"/>
    <w:rsid w:val="00CE5779"/>
    <w:rsid w:val="00CE779E"/>
    <w:rsid w:val="00CE7B3A"/>
    <w:rsid w:val="00CF0458"/>
    <w:rsid w:val="00CF0D1A"/>
    <w:rsid w:val="00CF0F79"/>
    <w:rsid w:val="00CF3AA8"/>
    <w:rsid w:val="00CF6692"/>
    <w:rsid w:val="00CF6D41"/>
    <w:rsid w:val="00CF79A0"/>
    <w:rsid w:val="00D016C4"/>
    <w:rsid w:val="00D02370"/>
    <w:rsid w:val="00D027AC"/>
    <w:rsid w:val="00D02D22"/>
    <w:rsid w:val="00D053F1"/>
    <w:rsid w:val="00D06E7A"/>
    <w:rsid w:val="00D07634"/>
    <w:rsid w:val="00D110B7"/>
    <w:rsid w:val="00D11DDC"/>
    <w:rsid w:val="00D128B3"/>
    <w:rsid w:val="00D13370"/>
    <w:rsid w:val="00D14981"/>
    <w:rsid w:val="00D17A28"/>
    <w:rsid w:val="00D17B0B"/>
    <w:rsid w:val="00D20EE8"/>
    <w:rsid w:val="00D21D63"/>
    <w:rsid w:val="00D227D4"/>
    <w:rsid w:val="00D23DA1"/>
    <w:rsid w:val="00D24829"/>
    <w:rsid w:val="00D25259"/>
    <w:rsid w:val="00D31521"/>
    <w:rsid w:val="00D32BC7"/>
    <w:rsid w:val="00D33A8F"/>
    <w:rsid w:val="00D33C67"/>
    <w:rsid w:val="00D35842"/>
    <w:rsid w:val="00D36789"/>
    <w:rsid w:val="00D37603"/>
    <w:rsid w:val="00D37A9C"/>
    <w:rsid w:val="00D37E37"/>
    <w:rsid w:val="00D4015A"/>
    <w:rsid w:val="00D403AC"/>
    <w:rsid w:val="00D41F24"/>
    <w:rsid w:val="00D41F4C"/>
    <w:rsid w:val="00D43351"/>
    <w:rsid w:val="00D44C4B"/>
    <w:rsid w:val="00D4551F"/>
    <w:rsid w:val="00D4643B"/>
    <w:rsid w:val="00D46E0E"/>
    <w:rsid w:val="00D46E9C"/>
    <w:rsid w:val="00D50784"/>
    <w:rsid w:val="00D50985"/>
    <w:rsid w:val="00D522B1"/>
    <w:rsid w:val="00D53BD6"/>
    <w:rsid w:val="00D53BF4"/>
    <w:rsid w:val="00D543B2"/>
    <w:rsid w:val="00D54717"/>
    <w:rsid w:val="00D55D11"/>
    <w:rsid w:val="00D56CC3"/>
    <w:rsid w:val="00D60750"/>
    <w:rsid w:val="00D60B89"/>
    <w:rsid w:val="00D617DC"/>
    <w:rsid w:val="00D636C6"/>
    <w:rsid w:val="00D63721"/>
    <w:rsid w:val="00D638B0"/>
    <w:rsid w:val="00D66016"/>
    <w:rsid w:val="00D66D93"/>
    <w:rsid w:val="00D670F8"/>
    <w:rsid w:val="00D675D7"/>
    <w:rsid w:val="00D6778E"/>
    <w:rsid w:val="00D67AC1"/>
    <w:rsid w:val="00D67B39"/>
    <w:rsid w:val="00D703F7"/>
    <w:rsid w:val="00D72C96"/>
    <w:rsid w:val="00D733C5"/>
    <w:rsid w:val="00D753E4"/>
    <w:rsid w:val="00D75A30"/>
    <w:rsid w:val="00D75D38"/>
    <w:rsid w:val="00D76B92"/>
    <w:rsid w:val="00D76CC7"/>
    <w:rsid w:val="00D77EEE"/>
    <w:rsid w:val="00D80B7A"/>
    <w:rsid w:val="00D8461F"/>
    <w:rsid w:val="00D84B74"/>
    <w:rsid w:val="00D85F9F"/>
    <w:rsid w:val="00D90382"/>
    <w:rsid w:val="00D91563"/>
    <w:rsid w:val="00D9283C"/>
    <w:rsid w:val="00D93971"/>
    <w:rsid w:val="00D941AE"/>
    <w:rsid w:val="00DA0447"/>
    <w:rsid w:val="00DA0DB3"/>
    <w:rsid w:val="00DA1629"/>
    <w:rsid w:val="00DA1868"/>
    <w:rsid w:val="00DA4A83"/>
    <w:rsid w:val="00DA5456"/>
    <w:rsid w:val="00DA5D77"/>
    <w:rsid w:val="00DA7038"/>
    <w:rsid w:val="00DA74F3"/>
    <w:rsid w:val="00DA7FA4"/>
    <w:rsid w:val="00DB208E"/>
    <w:rsid w:val="00DB23BF"/>
    <w:rsid w:val="00DB2513"/>
    <w:rsid w:val="00DB310E"/>
    <w:rsid w:val="00DB3D37"/>
    <w:rsid w:val="00DB48D0"/>
    <w:rsid w:val="00DB4DAE"/>
    <w:rsid w:val="00DB6320"/>
    <w:rsid w:val="00DB6A40"/>
    <w:rsid w:val="00DB6B67"/>
    <w:rsid w:val="00DB7A92"/>
    <w:rsid w:val="00DB7BFC"/>
    <w:rsid w:val="00DB7D05"/>
    <w:rsid w:val="00DC24E8"/>
    <w:rsid w:val="00DC33BE"/>
    <w:rsid w:val="00DC3F3B"/>
    <w:rsid w:val="00DC602B"/>
    <w:rsid w:val="00DC7E5F"/>
    <w:rsid w:val="00DD0AC6"/>
    <w:rsid w:val="00DD0ED1"/>
    <w:rsid w:val="00DD3F9C"/>
    <w:rsid w:val="00DD5316"/>
    <w:rsid w:val="00DD5DEB"/>
    <w:rsid w:val="00DD713F"/>
    <w:rsid w:val="00DD79BD"/>
    <w:rsid w:val="00DE0310"/>
    <w:rsid w:val="00DE13A2"/>
    <w:rsid w:val="00DE15AF"/>
    <w:rsid w:val="00DE2DAC"/>
    <w:rsid w:val="00DE303C"/>
    <w:rsid w:val="00DE398A"/>
    <w:rsid w:val="00DE41B0"/>
    <w:rsid w:val="00DE6FE5"/>
    <w:rsid w:val="00DE7D07"/>
    <w:rsid w:val="00DF003D"/>
    <w:rsid w:val="00DF119F"/>
    <w:rsid w:val="00DF1739"/>
    <w:rsid w:val="00DF2229"/>
    <w:rsid w:val="00DF3172"/>
    <w:rsid w:val="00DF39BD"/>
    <w:rsid w:val="00DF4BD6"/>
    <w:rsid w:val="00DF612E"/>
    <w:rsid w:val="00DF649A"/>
    <w:rsid w:val="00E00845"/>
    <w:rsid w:val="00E02A12"/>
    <w:rsid w:val="00E04274"/>
    <w:rsid w:val="00E043F6"/>
    <w:rsid w:val="00E04A10"/>
    <w:rsid w:val="00E102F5"/>
    <w:rsid w:val="00E11112"/>
    <w:rsid w:val="00E14290"/>
    <w:rsid w:val="00E15341"/>
    <w:rsid w:val="00E154CC"/>
    <w:rsid w:val="00E1678C"/>
    <w:rsid w:val="00E201B2"/>
    <w:rsid w:val="00E21030"/>
    <w:rsid w:val="00E2126F"/>
    <w:rsid w:val="00E22E38"/>
    <w:rsid w:val="00E22E78"/>
    <w:rsid w:val="00E257A3"/>
    <w:rsid w:val="00E2788E"/>
    <w:rsid w:val="00E30417"/>
    <w:rsid w:val="00E30CBC"/>
    <w:rsid w:val="00E317BD"/>
    <w:rsid w:val="00E31C57"/>
    <w:rsid w:val="00E32884"/>
    <w:rsid w:val="00E32EE4"/>
    <w:rsid w:val="00E36055"/>
    <w:rsid w:val="00E36FB3"/>
    <w:rsid w:val="00E40BA2"/>
    <w:rsid w:val="00E4264D"/>
    <w:rsid w:val="00E461FE"/>
    <w:rsid w:val="00E46234"/>
    <w:rsid w:val="00E50150"/>
    <w:rsid w:val="00E50BEC"/>
    <w:rsid w:val="00E50EAA"/>
    <w:rsid w:val="00E51265"/>
    <w:rsid w:val="00E5153E"/>
    <w:rsid w:val="00E53D5A"/>
    <w:rsid w:val="00E5616D"/>
    <w:rsid w:val="00E5623E"/>
    <w:rsid w:val="00E56464"/>
    <w:rsid w:val="00E57414"/>
    <w:rsid w:val="00E57456"/>
    <w:rsid w:val="00E60DCD"/>
    <w:rsid w:val="00E6337E"/>
    <w:rsid w:val="00E647F7"/>
    <w:rsid w:val="00E65AC6"/>
    <w:rsid w:val="00E66C85"/>
    <w:rsid w:val="00E67366"/>
    <w:rsid w:val="00E705FE"/>
    <w:rsid w:val="00E706F4"/>
    <w:rsid w:val="00E716D1"/>
    <w:rsid w:val="00E71CDA"/>
    <w:rsid w:val="00E726E9"/>
    <w:rsid w:val="00E73EB8"/>
    <w:rsid w:val="00E743ED"/>
    <w:rsid w:val="00E74620"/>
    <w:rsid w:val="00E74845"/>
    <w:rsid w:val="00E74B3A"/>
    <w:rsid w:val="00E75971"/>
    <w:rsid w:val="00E75B1E"/>
    <w:rsid w:val="00E8150E"/>
    <w:rsid w:val="00E81CE6"/>
    <w:rsid w:val="00E81F45"/>
    <w:rsid w:val="00E83068"/>
    <w:rsid w:val="00E837D7"/>
    <w:rsid w:val="00E83A1B"/>
    <w:rsid w:val="00E84344"/>
    <w:rsid w:val="00E858F4"/>
    <w:rsid w:val="00E86E18"/>
    <w:rsid w:val="00E87D85"/>
    <w:rsid w:val="00E9071F"/>
    <w:rsid w:val="00E90A7E"/>
    <w:rsid w:val="00E91F94"/>
    <w:rsid w:val="00E92047"/>
    <w:rsid w:val="00E92350"/>
    <w:rsid w:val="00E92DDA"/>
    <w:rsid w:val="00E93D75"/>
    <w:rsid w:val="00E9456A"/>
    <w:rsid w:val="00E97C94"/>
    <w:rsid w:val="00EA0274"/>
    <w:rsid w:val="00EA274D"/>
    <w:rsid w:val="00EA2B25"/>
    <w:rsid w:val="00EA2FAD"/>
    <w:rsid w:val="00EA3006"/>
    <w:rsid w:val="00EA3C79"/>
    <w:rsid w:val="00EA3C89"/>
    <w:rsid w:val="00EA3E99"/>
    <w:rsid w:val="00EA7386"/>
    <w:rsid w:val="00EA7574"/>
    <w:rsid w:val="00EA7CBC"/>
    <w:rsid w:val="00EB09C1"/>
    <w:rsid w:val="00EB10A7"/>
    <w:rsid w:val="00EB346B"/>
    <w:rsid w:val="00EB45D2"/>
    <w:rsid w:val="00EB57F7"/>
    <w:rsid w:val="00EC0620"/>
    <w:rsid w:val="00EC1B8A"/>
    <w:rsid w:val="00EC1C4A"/>
    <w:rsid w:val="00EC1D17"/>
    <w:rsid w:val="00EC3D60"/>
    <w:rsid w:val="00EC3E57"/>
    <w:rsid w:val="00EC43AA"/>
    <w:rsid w:val="00EC6EF9"/>
    <w:rsid w:val="00EC6F1D"/>
    <w:rsid w:val="00EC6FD2"/>
    <w:rsid w:val="00EC77E0"/>
    <w:rsid w:val="00ED0E2B"/>
    <w:rsid w:val="00ED277E"/>
    <w:rsid w:val="00ED443A"/>
    <w:rsid w:val="00ED5F43"/>
    <w:rsid w:val="00ED6483"/>
    <w:rsid w:val="00EE065F"/>
    <w:rsid w:val="00EE1B81"/>
    <w:rsid w:val="00EE2FF8"/>
    <w:rsid w:val="00EE39B0"/>
    <w:rsid w:val="00EE3CB8"/>
    <w:rsid w:val="00EE3F5C"/>
    <w:rsid w:val="00EE6ADA"/>
    <w:rsid w:val="00EF0CC1"/>
    <w:rsid w:val="00EF1B07"/>
    <w:rsid w:val="00EF25AA"/>
    <w:rsid w:val="00EF3131"/>
    <w:rsid w:val="00EF4ED4"/>
    <w:rsid w:val="00EF6BE1"/>
    <w:rsid w:val="00F005ED"/>
    <w:rsid w:val="00F00950"/>
    <w:rsid w:val="00F02C94"/>
    <w:rsid w:val="00F042CD"/>
    <w:rsid w:val="00F046B9"/>
    <w:rsid w:val="00F046E8"/>
    <w:rsid w:val="00F04784"/>
    <w:rsid w:val="00F04D4A"/>
    <w:rsid w:val="00F05FBE"/>
    <w:rsid w:val="00F0672C"/>
    <w:rsid w:val="00F0678E"/>
    <w:rsid w:val="00F10A7C"/>
    <w:rsid w:val="00F123D1"/>
    <w:rsid w:val="00F12483"/>
    <w:rsid w:val="00F12765"/>
    <w:rsid w:val="00F1302E"/>
    <w:rsid w:val="00F147E1"/>
    <w:rsid w:val="00F14FC5"/>
    <w:rsid w:val="00F16634"/>
    <w:rsid w:val="00F16635"/>
    <w:rsid w:val="00F16BE4"/>
    <w:rsid w:val="00F216BF"/>
    <w:rsid w:val="00F236BB"/>
    <w:rsid w:val="00F240D7"/>
    <w:rsid w:val="00F24809"/>
    <w:rsid w:val="00F24ABD"/>
    <w:rsid w:val="00F25D1F"/>
    <w:rsid w:val="00F31C48"/>
    <w:rsid w:val="00F31D2C"/>
    <w:rsid w:val="00F34582"/>
    <w:rsid w:val="00F37720"/>
    <w:rsid w:val="00F37D84"/>
    <w:rsid w:val="00F404C2"/>
    <w:rsid w:val="00F419D4"/>
    <w:rsid w:val="00F421D3"/>
    <w:rsid w:val="00F430DB"/>
    <w:rsid w:val="00F43963"/>
    <w:rsid w:val="00F4550D"/>
    <w:rsid w:val="00F45F58"/>
    <w:rsid w:val="00F506CA"/>
    <w:rsid w:val="00F50ADB"/>
    <w:rsid w:val="00F52FB3"/>
    <w:rsid w:val="00F531E2"/>
    <w:rsid w:val="00F541E3"/>
    <w:rsid w:val="00F54A96"/>
    <w:rsid w:val="00F54ADD"/>
    <w:rsid w:val="00F5502F"/>
    <w:rsid w:val="00F553EA"/>
    <w:rsid w:val="00F55D7B"/>
    <w:rsid w:val="00F56613"/>
    <w:rsid w:val="00F572BB"/>
    <w:rsid w:val="00F609E8"/>
    <w:rsid w:val="00F60F9E"/>
    <w:rsid w:val="00F62433"/>
    <w:rsid w:val="00F62B25"/>
    <w:rsid w:val="00F63258"/>
    <w:rsid w:val="00F63301"/>
    <w:rsid w:val="00F6418A"/>
    <w:rsid w:val="00F65255"/>
    <w:rsid w:val="00F65835"/>
    <w:rsid w:val="00F6652F"/>
    <w:rsid w:val="00F7012A"/>
    <w:rsid w:val="00F7029B"/>
    <w:rsid w:val="00F70A09"/>
    <w:rsid w:val="00F70CEB"/>
    <w:rsid w:val="00F710EB"/>
    <w:rsid w:val="00F72B64"/>
    <w:rsid w:val="00F73241"/>
    <w:rsid w:val="00F73CF4"/>
    <w:rsid w:val="00F74E01"/>
    <w:rsid w:val="00F75F05"/>
    <w:rsid w:val="00F76040"/>
    <w:rsid w:val="00F76304"/>
    <w:rsid w:val="00F76841"/>
    <w:rsid w:val="00F76E79"/>
    <w:rsid w:val="00F77C45"/>
    <w:rsid w:val="00F800FE"/>
    <w:rsid w:val="00F81EC0"/>
    <w:rsid w:val="00F832E7"/>
    <w:rsid w:val="00F861F4"/>
    <w:rsid w:val="00F87626"/>
    <w:rsid w:val="00F9101F"/>
    <w:rsid w:val="00F91139"/>
    <w:rsid w:val="00F91BA3"/>
    <w:rsid w:val="00F92A45"/>
    <w:rsid w:val="00F93A03"/>
    <w:rsid w:val="00F93AD3"/>
    <w:rsid w:val="00F94805"/>
    <w:rsid w:val="00F95076"/>
    <w:rsid w:val="00F9543E"/>
    <w:rsid w:val="00F959B2"/>
    <w:rsid w:val="00F962FF"/>
    <w:rsid w:val="00F97972"/>
    <w:rsid w:val="00FA21F6"/>
    <w:rsid w:val="00FA26E4"/>
    <w:rsid w:val="00FA3373"/>
    <w:rsid w:val="00FA39CB"/>
    <w:rsid w:val="00FA3D50"/>
    <w:rsid w:val="00FA5355"/>
    <w:rsid w:val="00FA5800"/>
    <w:rsid w:val="00FB1711"/>
    <w:rsid w:val="00FB223A"/>
    <w:rsid w:val="00FB2E29"/>
    <w:rsid w:val="00FB3127"/>
    <w:rsid w:val="00FB3187"/>
    <w:rsid w:val="00FB32D8"/>
    <w:rsid w:val="00FB5AFD"/>
    <w:rsid w:val="00FB5D9F"/>
    <w:rsid w:val="00FB626F"/>
    <w:rsid w:val="00FB69EC"/>
    <w:rsid w:val="00FC0A3B"/>
    <w:rsid w:val="00FC2232"/>
    <w:rsid w:val="00FC22D6"/>
    <w:rsid w:val="00FC23EF"/>
    <w:rsid w:val="00FC37CB"/>
    <w:rsid w:val="00FC3AFE"/>
    <w:rsid w:val="00FC3D33"/>
    <w:rsid w:val="00FC4B69"/>
    <w:rsid w:val="00FC5B09"/>
    <w:rsid w:val="00FC7003"/>
    <w:rsid w:val="00FD2319"/>
    <w:rsid w:val="00FD2B14"/>
    <w:rsid w:val="00FD37DE"/>
    <w:rsid w:val="00FD3889"/>
    <w:rsid w:val="00FD4A91"/>
    <w:rsid w:val="00FD5311"/>
    <w:rsid w:val="00FD55F0"/>
    <w:rsid w:val="00FD5627"/>
    <w:rsid w:val="00FD6697"/>
    <w:rsid w:val="00FD669D"/>
    <w:rsid w:val="00FE122A"/>
    <w:rsid w:val="00FE1629"/>
    <w:rsid w:val="00FE1B30"/>
    <w:rsid w:val="00FE1FBE"/>
    <w:rsid w:val="00FE2E13"/>
    <w:rsid w:val="00FE7633"/>
    <w:rsid w:val="00FF0CE5"/>
    <w:rsid w:val="00FF14B7"/>
    <w:rsid w:val="00FF30BB"/>
    <w:rsid w:val="00FF35ED"/>
    <w:rsid w:val="00FF46FC"/>
    <w:rsid w:val="00FF61AB"/>
    <w:rsid w:val="00FF73F8"/>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9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140"/>
    <w:pPr>
      <w:ind w:left="720"/>
    </w:pPr>
    <w:rPr>
      <w:rFonts w:ascii="Calibri" w:eastAsia="Calibri" w:hAnsi="Calibri"/>
      <w:sz w:val="22"/>
      <w:szCs w:val="22"/>
      <w:lang w:eastAsia="en-GB"/>
    </w:rPr>
  </w:style>
  <w:style w:type="paragraph" w:styleId="FootnoteText">
    <w:name w:val="footnote text"/>
    <w:basedOn w:val="Normal"/>
    <w:link w:val="FootnoteTextChar"/>
    <w:rsid w:val="00FD3889"/>
    <w:rPr>
      <w:sz w:val="20"/>
      <w:szCs w:val="20"/>
    </w:rPr>
  </w:style>
  <w:style w:type="character" w:customStyle="1" w:styleId="FootnoteTextChar">
    <w:name w:val="Footnote Text Char"/>
    <w:basedOn w:val="DefaultParagraphFont"/>
    <w:link w:val="FootnoteText"/>
    <w:rsid w:val="00FD3889"/>
    <w:rPr>
      <w:lang w:eastAsia="en-US"/>
    </w:rPr>
  </w:style>
  <w:style w:type="character" w:styleId="FootnoteReference">
    <w:name w:val="footnote reference"/>
    <w:basedOn w:val="DefaultParagraphFont"/>
    <w:rsid w:val="00FD3889"/>
    <w:rPr>
      <w:vertAlign w:val="superscript"/>
    </w:rPr>
  </w:style>
  <w:style w:type="character" w:styleId="CommentReference">
    <w:name w:val="annotation reference"/>
    <w:basedOn w:val="DefaultParagraphFont"/>
    <w:rsid w:val="009D0F88"/>
    <w:rPr>
      <w:sz w:val="16"/>
      <w:szCs w:val="16"/>
    </w:rPr>
  </w:style>
  <w:style w:type="paragraph" w:styleId="CommentText">
    <w:name w:val="annotation text"/>
    <w:basedOn w:val="Normal"/>
    <w:link w:val="CommentTextChar"/>
    <w:rsid w:val="009D0F88"/>
    <w:rPr>
      <w:sz w:val="20"/>
      <w:szCs w:val="20"/>
    </w:rPr>
  </w:style>
  <w:style w:type="character" w:customStyle="1" w:styleId="CommentTextChar">
    <w:name w:val="Comment Text Char"/>
    <w:basedOn w:val="DefaultParagraphFont"/>
    <w:link w:val="CommentText"/>
    <w:rsid w:val="009D0F88"/>
    <w:rPr>
      <w:lang w:eastAsia="en-US"/>
    </w:rPr>
  </w:style>
  <w:style w:type="paragraph" w:styleId="CommentSubject">
    <w:name w:val="annotation subject"/>
    <w:basedOn w:val="CommentText"/>
    <w:next w:val="CommentText"/>
    <w:link w:val="CommentSubjectChar"/>
    <w:rsid w:val="009D0F88"/>
    <w:rPr>
      <w:b/>
      <w:bCs/>
    </w:rPr>
  </w:style>
  <w:style w:type="character" w:customStyle="1" w:styleId="CommentSubjectChar">
    <w:name w:val="Comment Subject Char"/>
    <w:basedOn w:val="CommentTextChar"/>
    <w:link w:val="CommentSubject"/>
    <w:rsid w:val="009D0F88"/>
    <w:rPr>
      <w:b/>
      <w:bCs/>
      <w:lang w:eastAsia="en-US"/>
    </w:rPr>
  </w:style>
  <w:style w:type="paragraph" w:styleId="BalloonText">
    <w:name w:val="Balloon Text"/>
    <w:basedOn w:val="Normal"/>
    <w:link w:val="BalloonTextChar"/>
    <w:rsid w:val="009D0F88"/>
    <w:rPr>
      <w:rFonts w:ascii="Tahoma" w:hAnsi="Tahoma" w:cs="Tahoma"/>
      <w:sz w:val="16"/>
      <w:szCs w:val="16"/>
    </w:rPr>
  </w:style>
  <w:style w:type="character" w:customStyle="1" w:styleId="BalloonTextChar">
    <w:name w:val="Balloon Text Char"/>
    <w:basedOn w:val="DefaultParagraphFont"/>
    <w:link w:val="BalloonText"/>
    <w:rsid w:val="009D0F88"/>
    <w:rPr>
      <w:rFonts w:ascii="Tahoma" w:hAnsi="Tahoma" w:cs="Tahoma"/>
      <w:sz w:val="16"/>
      <w:szCs w:val="16"/>
      <w:lang w:eastAsia="en-US"/>
    </w:rPr>
  </w:style>
  <w:style w:type="character" w:styleId="Hyperlink">
    <w:name w:val="Hyperlink"/>
    <w:basedOn w:val="DefaultParagraphFont"/>
    <w:rsid w:val="001E6A07"/>
    <w:rPr>
      <w:color w:val="0000FF"/>
      <w:u w:val="single"/>
    </w:rPr>
  </w:style>
  <w:style w:type="paragraph" w:styleId="BodyText">
    <w:name w:val="Body Text"/>
    <w:basedOn w:val="Normal"/>
    <w:link w:val="BodyTextChar"/>
    <w:rsid w:val="002D31AE"/>
    <w:pPr>
      <w:widowControl w:val="0"/>
      <w:adjustRightInd w:val="0"/>
      <w:spacing w:after="120"/>
      <w:textAlignment w:val="baseline"/>
    </w:pPr>
    <w:rPr>
      <w:rFonts w:ascii="Calibri" w:hAnsi="Calibri"/>
    </w:rPr>
  </w:style>
  <w:style w:type="character" w:customStyle="1" w:styleId="BodyTextChar">
    <w:name w:val="Body Text Char"/>
    <w:basedOn w:val="DefaultParagraphFont"/>
    <w:link w:val="BodyText"/>
    <w:rsid w:val="002D31AE"/>
    <w:rPr>
      <w:rFonts w:ascii="Calibri" w:hAnsi="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9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140"/>
    <w:pPr>
      <w:ind w:left="720"/>
    </w:pPr>
    <w:rPr>
      <w:rFonts w:ascii="Calibri" w:eastAsia="Calibri" w:hAnsi="Calibri"/>
      <w:sz w:val="22"/>
      <w:szCs w:val="22"/>
      <w:lang w:eastAsia="en-GB"/>
    </w:rPr>
  </w:style>
  <w:style w:type="paragraph" w:styleId="FootnoteText">
    <w:name w:val="footnote text"/>
    <w:basedOn w:val="Normal"/>
    <w:link w:val="FootnoteTextChar"/>
    <w:rsid w:val="00FD3889"/>
    <w:rPr>
      <w:sz w:val="20"/>
      <w:szCs w:val="20"/>
    </w:rPr>
  </w:style>
  <w:style w:type="character" w:customStyle="1" w:styleId="FootnoteTextChar">
    <w:name w:val="Footnote Text Char"/>
    <w:basedOn w:val="DefaultParagraphFont"/>
    <w:link w:val="FootnoteText"/>
    <w:rsid w:val="00FD3889"/>
    <w:rPr>
      <w:lang w:eastAsia="en-US"/>
    </w:rPr>
  </w:style>
  <w:style w:type="character" w:styleId="FootnoteReference">
    <w:name w:val="footnote reference"/>
    <w:basedOn w:val="DefaultParagraphFont"/>
    <w:rsid w:val="00FD3889"/>
    <w:rPr>
      <w:vertAlign w:val="superscript"/>
    </w:rPr>
  </w:style>
  <w:style w:type="character" w:styleId="CommentReference">
    <w:name w:val="annotation reference"/>
    <w:basedOn w:val="DefaultParagraphFont"/>
    <w:rsid w:val="009D0F88"/>
    <w:rPr>
      <w:sz w:val="16"/>
      <w:szCs w:val="16"/>
    </w:rPr>
  </w:style>
  <w:style w:type="paragraph" w:styleId="CommentText">
    <w:name w:val="annotation text"/>
    <w:basedOn w:val="Normal"/>
    <w:link w:val="CommentTextChar"/>
    <w:rsid w:val="009D0F88"/>
    <w:rPr>
      <w:sz w:val="20"/>
      <w:szCs w:val="20"/>
    </w:rPr>
  </w:style>
  <w:style w:type="character" w:customStyle="1" w:styleId="CommentTextChar">
    <w:name w:val="Comment Text Char"/>
    <w:basedOn w:val="DefaultParagraphFont"/>
    <w:link w:val="CommentText"/>
    <w:rsid w:val="009D0F88"/>
    <w:rPr>
      <w:lang w:eastAsia="en-US"/>
    </w:rPr>
  </w:style>
  <w:style w:type="paragraph" w:styleId="CommentSubject">
    <w:name w:val="annotation subject"/>
    <w:basedOn w:val="CommentText"/>
    <w:next w:val="CommentText"/>
    <w:link w:val="CommentSubjectChar"/>
    <w:rsid w:val="009D0F88"/>
    <w:rPr>
      <w:b/>
      <w:bCs/>
    </w:rPr>
  </w:style>
  <w:style w:type="character" w:customStyle="1" w:styleId="CommentSubjectChar">
    <w:name w:val="Comment Subject Char"/>
    <w:basedOn w:val="CommentTextChar"/>
    <w:link w:val="CommentSubject"/>
    <w:rsid w:val="009D0F88"/>
    <w:rPr>
      <w:b/>
      <w:bCs/>
      <w:lang w:eastAsia="en-US"/>
    </w:rPr>
  </w:style>
  <w:style w:type="paragraph" w:styleId="BalloonText">
    <w:name w:val="Balloon Text"/>
    <w:basedOn w:val="Normal"/>
    <w:link w:val="BalloonTextChar"/>
    <w:rsid w:val="009D0F88"/>
    <w:rPr>
      <w:rFonts w:ascii="Tahoma" w:hAnsi="Tahoma" w:cs="Tahoma"/>
      <w:sz w:val="16"/>
      <w:szCs w:val="16"/>
    </w:rPr>
  </w:style>
  <w:style w:type="character" w:customStyle="1" w:styleId="BalloonTextChar">
    <w:name w:val="Balloon Text Char"/>
    <w:basedOn w:val="DefaultParagraphFont"/>
    <w:link w:val="BalloonText"/>
    <w:rsid w:val="009D0F88"/>
    <w:rPr>
      <w:rFonts w:ascii="Tahoma" w:hAnsi="Tahoma" w:cs="Tahoma"/>
      <w:sz w:val="16"/>
      <w:szCs w:val="16"/>
      <w:lang w:eastAsia="en-US"/>
    </w:rPr>
  </w:style>
  <w:style w:type="character" w:styleId="Hyperlink">
    <w:name w:val="Hyperlink"/>
    <w:basedOn w:val="DefaultParagraphFont"/>
    <w:rsid w:val="001E6A07"/>
    <w:rPr>
      <w:color w:val="0000FF"/>
      <w:u w:val="single"/>
    </w:rPr>
  </w:style>
  <w:style w:type="paragraph" w:styleId="BodyText">
    <w:name w:val="Body Text"/>
    <w:basedOn w:val="Normal"/>
    <w:link w:val="BodyTextChar"/>
    <w:rsid w:val="002D31AE"/>
    <w:pPr>
      <w:widowControl w:val="0"/>
      <w:adjustRightInd w:val="0"/>
      <w:spacing w:after="120"/>
      <w:textAlignment w:val="baseline"/>
    </w:pPr>
    <w:rPr>
      <w:rFonts w:ascii="Calibri" w:hAnsi="Calibri"/>
    </w:rPr>
  </w:style>
  <w:style w:type="character" w:customStyle="1" w:styleId="BodyTextChar">
    <w:name w:val="Body Text Char"/>
    <w:basedOn w:val="DefaultParagraphFont"/>
    <w:link w:val="BodyText"/>
    <w:rsid w:val="002D31AE"/>
    <w:rPr>
      <w:rFonts w:ascii="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34898">
      <w:bodyDiv w:val="1"/>
      <w:marLeft w:val="0"/>
      <w:marRight w:val="0"/>
      <w:marTop w:val="0"/>
      <w:marBottom w:val="0"/>
      <w:divBdr>
        <w:top w:val="none" w:sz="0" w:space="0" w:color="auto"/>
        <w:left w:val="none" w:sz="0" w:space="0" w:color="auto"/>
        <w:bottom w:val="none" w:sz="0" w:space="0" w:color="auto"/>
        <w:right w:val="none" w:sz="0" w:space="0" w:color="auto"/>
      </w:divBdr>
    </w:div>
    <w:div w:id="968052553">
      <w:bodyDiv w:val="1"/>
      <w:marLeft w:val="0"/>
      <w:marRight w:val="0"/>
      <w:marTop w:val="0"/>
      <w:marBottom w:val="0"/>
      <w:divBdr>
        <w:top w:val="none" w:sz="0" w:space="0" w:color="auto"/>
        <w:left w:val="none" w:sz="0" w:space="0" w:color="auto"/>
        <w:bottom w:val="none" w:sz="0" w:space="0" w:color="auto"/>
        <w:right w:val="none" w:sz="0" w:space="0" w:color="auto"/>
      </w:divBdr>
    </w:div>
    <w:div w:id="112253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dr.undp.or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20720351-3ac7-441c-ae80-bfbe3807cbc0">English</Language>
    <Page_x002d_Section xmlns="20720351-3ac7-441c-ae80-bfbe3807cbc0">Country-Regional</Page_x002d_Section>
    <TaxCatchAll xmlns="1ed4137b-41b2-488b-8250-6d369ec27664"/>
    <Country_x0020_Grouping xmlns="20720351-3ac7-441c-ae80-bfbe3807cbc0" xsi:nil="true"/>
    <Sort_x0020_Order_x0020_for_x0020_Reports xmlns="20720351-3ac7-441c-ae80-bfbe3807cbc0" xsi:nil="true"/>
    <_dlc_DocId xmlns="5ebeba3d-fd60-4dcb-8548-a9fd3c51d9ff">UNITOFFICE-135-819</_dlc_DocId>
    <_dlc_DocIdUrl xmlns="5ebeba3d-fd60-4dcb-8548-a9fd3c51d9ff">
      <Url>https://intranet.undp.org/unit/office/hdro/hdr4co/hdr4co/_layouts/DocIdRedir.aspx?ID=UNITOFFICE-135-819</Url>
      <Description>UNITOFFICE-135-819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641E788B475574EA7535D7C0BBB2261" ma:contentTypeVersion="8" ma:contentTypeDescription="Create a new document." ma:contentTypeScope="" ma:versionID="cdd6d66d9045d50c0e43e51b5cca4778">
  <xsd:schema xmlns:xsd="http://www.w3.org/2001/XMLSchema" xmlns:xs="http://www.w3.org/2001/XMLSchema" xmlns:p="http://schemas.microsoft.com/office/2006/metadata/properties" xmlns:ns2="20720351-3ac7-441c-ae80-bfbe3807cbc0" xmlns:ns3="1ed4137b-41b2-488b-8250-6d369ec27664" xmlns:ns4="5ebeba3d-fd60-4dcb-8548-a9fd3c51d9ff" targetNamespace="http://schemas.microsoft.com/office/2006/metadata/properties" ma:root="true" ma:fieldsID="0204f394268a063cd36fb4c6612e8453" ns2:_="" ns3:_="" ns4:_="">
    <xsd:import namespace="20720351-3ac7-441c-ae80-bfbe3807cbc0"/>
    <xsd:import namespace="1ed4137b-41b2-488b-8250-6d369ec27664"/>
    <xsd:import namespace="5ebeba3d-fd60-4dcb-8548-a9fd3c51d9ff"/>
    <xsd:element name="properties">
      <xsd:complexType>
        <xsd:sequence>
          <xsd:element name="documentManagement">
            <xsd:complexType>
              <xsd:all>
                <xsd:element ref="ns2:Sort_x0020_Order_x0020_for_x0020_Reports" minOccurs="0"/>
                <xsd:element ref="ns2:Language"/>
                <xsd:element ref="ns2:Page_x002d_Section"/>
                <xsd:element ref="ns2:Country_x0020_Grouping" minOccurs="0"/>
                <xsd:element ref="ns3: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20351-3ac7-441c-ae80-bfbe3807cbc0" elementFormDefault="qualified">
    <xsd:import namespace="http://schemas.microsoft.com/office/2006/documentManagement/types"/>
    <xsd:import namespace="http://schemas.microsoft.com/office/infopath/2007/PartnerControls"/>
    <xsd:element name="Sort_x0020_Order_x0020_for_x0020_Reports" ma:index="2" nillable="true" ma:displayName="Sort Order for Reports" ma:decimals="0" ma:description="This is for the Reports section only. Items without a number in this column will not display on the page!" ma:internalName="Sort_x0020_Order_x0020_for_x0020_Reports" ma:percentage="FALSE">
      <xsd:simpleType>
        <xsd:restriction base="dms:Number"/>
      </xsd:simpleType>
    </xsd:element>
    <xsd:element name="Language" ma:index="3" ma:displayName="Language" ma:format="Dropdown" ma:internalName="Language">
      <xsd:simpleType>
        <xsd:restriction base="dms:Choice">
          <xsd:enumeration value="Arabic"/>
          <xsd:enumeration value="Chinese"/>
          <xsd:enumeration value="English"/>
          <xsd:enumeration value="French"/>
          <xsd:enumeration value="German"/>
          <xsd:enumeration value="Portuguese"/>
          <xsd:enumeration value="Spanish"/>
          <xsd:enumeration value="Russian"/>
        </xsd:restriction>
      </xsd:simpleType>
    </xsd:element>
    <xsd:element name="Page_x002d_Section" ma:index="4" ma:displayName="Page-Section" ma:description="This is the page and section where the document will display on the site." ma:format="Dropdown" ma:internalName="Page_x002d_Section">
      <xsd:simpleType>
        <xsd:restriction base="dms:Choice">
          <xsd:enumeration value="Not applicable"/>
          <xsd:enumeration value="Country-Regional"/>
          <xsd:enumeration value="Country-HDI"/>
          <xsd:enumeration value="Country-MPI"/>
          <xsd:enumeration value="Outreach-Outreach"/>
          <xsd:enumeration value="Outreach-Notes"/>
          <xsd:enumeration value="Outreach-FAQ"/>
          <xsd:enumeration value="Outreach-Main PR"/>
          <xsd:enumeration value="Outreach-Regional PR"/>
          <xsd:enumeration value="Outreach-Download PR"/>
          <xsd:enumeration value="Outreach-2013 Report"/>
          <xsd:enumeration value="Outreach-Charts"/>
          <xsd:enumeration value="Report-PDFs"/>
          <xsd:enumeration value="Report-Translations"/>
          <xsd:enumeration value="Report-Material"/>
          <xsd:enumeration value="Report-Distribution"/>
          <xsd:enumeration value="Report-FAQs"/>
        </xsd:restriction>
      </xsd:simpleType>
    </xsd:element>
    <xsd:element name="Country_x0020_Grouping" ma:index="5" nillable="true" ma:displayName="Country Grouping" ma:format="Dropdown" ma:internalName="Country_x0020_Grouping">
      <xsd:simpleType>
        <xsd:restriction base="dms:Choice">
          <xsd:enumeration value="Africa"/>
          <xsd:enumeration value="Arab States"/>
          <xsd:enumeration value="Asia and the Pacific"/>
          <xsd:enumeration value="Europe and CIS"/>
          <xsd:enumeration value="Latin America and the Caribbean"/>
          <xsd:enumeration value="Other Countries"/>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49c4ab-6277-4a77-a373-28d704ef5607}" ma:internalName="TaxCatchAll" ma:showField="CatchAllData" ma:web="5ebeba3d-fd60-4dcb-8548-a9fd3c51d9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F0ACD-1503-4F39-BD38-0AE04AA5EA04}"/>
</file>

<file path=customXml/itemProps2.xml><?xml version="1.0" encoding="utf-8"?>
<ds:datastoreItem xmlns:ds="http://schemas.openxmlformats.org/officeDocument/2006/customXml" ds:itemID="{063214A3-2064-49E4-A9FB-48894B716E83}"/>
</file>

<file path=customXml/itemProps3.xml><?xml version="1.0" encoding="utf-8"?>
<ds:datastoreItem xmlns:ds="http://schemas.openxmlformats.org/officeDocument/2006/customXml" ds:itemID="{0863C16D-A6BC-40F5-9276-52821755A3FA}"/>
</file>

<file path=customXml/itemProps4.xml><?xml version="1.0" encoding="utf-8"?>
<ds:datastoreItem xmlns:ds="http://schemas.openxmlformats.org/officeDocument/2006/customXml" ds:itemID="{048AA5F3-3675-4E88-9A76-5586E5B27DC8}"/>
</file>

<file path=customXml/itemProps5.xml><?xml version="1.0" encoding="utf-8"?>
<ds:datastoreItem xmlns:ds="http://schemas.openxmlformats.org/officeDocument/2006/customXml" ds:itemID="{076D73F8-5C14-487F-9464-09BFD2240EEA}"/>
</file>

<file path=docProps/app.xml><?xml version="1.0" encoding="utf-8"?>
<Properties xmlns="http://schemas.openxmlformats.org/officeDocument/2006/extended-properties" xmlns:vt="http://schemas.openxmlformats.org/officeDocument/2006/docPropsVTypes">
  <Template>Normal</Template>
  <TotalTime>0</TotalTime>
  <Pages>7</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Summary of the Human Development Index results for HDR2007</vt:lpstr>
    </vt:vector>
  </TitlesOfParts>
  <Company>UNDP</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Briefing Arab States HDR 2013</dc:title>
  <dc:creator>Alison Kennedy</dc:creator>
  <cp:lastModifiedBy>Eleonore Fournier-Tombs</cp:lastModifiedBy>
  <cp:revision>2</cp:revision>
  <cp:lastPrinted>2012-08-09T17:05:00Z</cp:lastPrinted>
  <dcterms:created xsi:type="dcterms:W3CDTF">2013-02-23T20:47:00Z</dcterms:created>
  <dcterms:modified xsi:type="dcterms:W3CDTF">2013-02-23T20:47:00Z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0x010100E641E788B475574EA7535D7C0BBB2261</vt:lpwstr>
  </property>
  <property fmtid="{D5CDD505-2E9C-101B-9397-08002B2CF9AE}" pid="3" name="_dlc_DocIdItemGuid">
    <vt:lpwstr>07024351-ffc5-4c99-bc17-ddf6f5813306</vt:lpwstr>
  </property>
</Properties>
</file>