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E9DB" w14:textId="77777777" w:rsidR="00E56A57" w:rsidRPr="003313B9" w:rsidRDefault="00E56A57" w:rsidP="005452A5">
      <w:pPr>
        <w:spacing w:after="0" w:line="240" w:lineRule="auto"/>
        <w:jc w:val="both"/>
        <w:rPr>
          <w:rFonts w:ascii="Times New Roman" w:hAnsi="Times New Roman" w:cs="Times New Roman"/>
          <w:b/>
        </w:rPr>
      </w:pPr>
      <w:r w:rsidRPr="003313B9">
        <w:rPr>
          <w:rFonts w:ascii="Times New Roman" w:hAnsi="Times New Roman" w:cs="Times New Roman"/>
          <w:noProof/>
        </w:rPr>
        <w:drawing>
          <wp:anchor distT="0" distB="0" distL="114300" distR="114300" simplePos="0" relativeHeight="251658241" behindDoc="1" locked="0" layoutInCell="1" allowOverlap="1" wp14:anchorId="007E5E44" wp14:editId="7A314B08">
            <wp:simplePos x="0" y="0"/>
            <wp:positionH relativeFrom="margin">
              <wp:posOffset>5685790</wp:posOffset>
            </wp:positionH>
            <wp:positionV relativeFrom="paragraph">
              <wp:posOffset>0</wp:posOffset>
            </wp:positionV>
            <wp:extent cx="403225" cy="604520"/>
            <wp:effectExtent l="0" t="0" r="0" b="5080"/>
            <wp:wrapTight wrapText="bothSides">
              <wp:wrapPolygon edited="0">
                <wp:start x="0" y="0"/>
                <wp:lineTo x="0" y="21101"/>
                <wp:lineTo x="20409" y="21101"/>
                <wp:lineTo x="20409" y="0"/>
                <wp:lineTo x="0" y="0"/>
              </wp:wrapPolygon>
            </wp:wrapTight>
            <wp:docPr id="4" name="Picture 4"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739"/>
                    <a:stretch/>
                  </pic:blipFill>
                  <pic:spPr bwMode="auto">
                    <a:xfrm>
                      <a:off x="0" y="0"/>
                      <a:ext cx="403225" cy="604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18EBF1" w14:textId="77777777" w:rsidR="00D07E80" w:rsidRPr="00727CDE" w:rsidRDefault="00D07E80" w:rsidP="005452A5">
      <w:pPr>
        <w:spacing w:after="0" w:line="240" w:lineRule="auto"/>
        <w:jc w:val="both"/>
        <w:rPr>
          <w:rFonts w:ascii="Times New Roman" w:eastAsia="Times New Roman,Batang" w:hAnsi="Times New Roman" w:cs="Times New Roman"/>
          <w:b/>
          <w:bCs/>
          <w:color w:val="000000" w:themeColor="text1"/>
          <w:sz w:val="32"/>
          <w:szCs w:val="32"/>
          <w:lang w:eastAsia="ko-KR"/>
        </w:rPr>
      </w:pPr>
    </w:p>
    <w:p w14:paraId="3B0767DD" w14:textId="5636A2E5" w:rsidR="000708D7" w:rsidRPr="00A16A36" w:rsidRDefault="000708D7" w:rsidP="005452A5">
      <w:pPr>
        <w:spacing w:after="0" w:line="240" w:lineRule="auto"/>
        <w:jc w:val="both"/>
        <w:rPr>
          <w:rFonts w:ascii="Times New Roman" w:eastAsia="Times New Roman,Batang" w:hAnsi="Times New Roman" w:cs="Times New Roman"/>
          <w:b/>
          <w:bCs/>
          <w:color w:val="000000" w:themeColor="text1"/>
          <w:sz w:val="44"/>
          <w:szCs w:val="44"/>
          <w:lang w:eastAsia="ko-KR"/>
        </w:rPr>
      </w:pPr>
    </w:p>
    <w:p w14:paraId="09142208" w14:textId="77777777" w:rsidR="00231620" w:rsidRPr="00727CDE" w:rsidRDefault="00231620" w:rsidP="005452A5">
      <w:pPr>
        <w:spacing w:after="0" w:line="240" w:lineRule="auto"/>
        <w:jc w:val="both"/>
        <w:rPr>
          <w:rFonts w:ascii="Times New Roman" w:eastAsia="Times New Roman,Batang" w:hAnsi="Times New Roman" w:cs="Times New Roman"/>
          <w:b/>
          <w:bCs/>
          <w:color w:val="000000" w:themeColor="text1"/>
          <w:sz w:val="8"/>
          <w:szCs w:val="8"/>
          <w:lang w:eastAsia="ko-KR"/>
        </w:rPr>
      </w:pPr>
    </w:p>
    <w:bookmarkStart w:id="0" w:name="_Hlk97819581"/>
    <w:p w14:paraId="3263EE62" w14:textId="77777777" w:rsidR="0050259B" w:rsidRPr="003313B9" w:rsidRDefault="0050259B" w:rsidP="0050259B">
      <w:pPr>
        <w:spacing w:after="0" w:line="240" w:lineRule="auto"/>
        <w:jc w:val="center"/>
        <w:rPr>
          <w:rFonts w:ascii="Times New Roman" w:eastAsia="Times New Roman,Batang" w:hAnsi="Times New Roman" w:cs="Times New Roman"/>
          <w:b/>
          <w:bCs/>
          <w:color w:val="000000" w:themeColor="text1"/>
          <w:sz w:val="40"/>
          <w:szCs w:val="40"/>
          <w:lang w:eastAsia="ko-KR"/>
        </w:rPr>
      </w:pPr>
      <w:r w:rsidRPr="003313B9">
        <w:rPr>
          <w:rFonts w:ascii="Times New Roman" w:hAnsi="Times New Roman" w:cs="Times New Roman"/>
          <w:noProof/>
        </w:rPr>
        <mc:AlternateContent>
          <mc:Choice Requires="wpg">
            <w:drawing>
              <wp:anchor distT="0" distB="0" distL="114300" distR="114300" simplePos="0" relativeHeight="251658243" behindDoc="0" locked="0" layoutInCell="1" allowOverlap="1" wp14:anchorId="143384DB" wp14:editId="177C743E">
                <wp:simplePos x="0" y="0"/>
                <wp:positionH relativeFrom="page">
                  <wp:posOffset>-31750</wp:posOffset>
                </wp:positionH>
                <wp:positionV relativeFrom="page">
                  <wp:posOffset>-4445</wp:posOffset>
                </wp:positionV>
                <wp:extent cx="7810500" cy="1176655"/>
                <wp:effectExtent l="6350" t="508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1176655"/>
                          <a:chOff x="0" y="0"/>
                          <a:chExt cx="73152" cy="12161"/>
                        </a:xfrm>
                      </wpg:grpSpPr>
                      <wps:wsp>
                        <wps:cNvPr id="5"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ctr" anchorCtr="0" upright="1">
                          <a:noAutofit/>
                        </wps:bodyPr>
                      </wps:wsp>
                      <wps:wsp>
                        <wps:cNvPr id="6" name="Rectangle 151"/>
                        <wps:cNvSpPr>
                          <a:spLocks noChangeArrowheads="1"/>
                        </wps:cNvSpPr>
                        <wps:spPr bwMode="auto">
                          <a:xfrm>
                            <a:off x="0" y="0"/>
                            <a:ext cx="73152" cy="12161"/>
                          </a:xfrm>
                          <a:prstGeom prst="rect">
                            <a:avLst/>
                          </a:prstGeom>
                          <a:blipFill dpi="0" rotWithShape="1">
                            <a:blip r:embed="rId12"/>
                            <a:srcRect/>
                            <a:stretch>
                              <a:fillRect/>
                            </a:stretch>
                          </a:blip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45CFC" id="Group 2" o:spid="_x0000_s1026" style="position:absolute;margin-left:-2.5pt;margin-top:-.35pt;width:615pt;height:92.65pt;z-index:251658243;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" path="m,l7312660,r,1129665l3619500,733425,,1091565,,xe" fillcolor="#3494ba [3204]" stroked="f" strokeweight="1.25pt">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" stroked="f" strokeweight="1.25pt">
                  <v:fill r:id="rId13" o:title="" recolor="t" rotate="t" type="frame"/>
                </v:rect>
                <w10:wrap anchorx="page" anchory="page"/>
              </v:group>
            </w:pict>
          </mc:Fallback>
        </mc:AlternateContent>
      </w:r>
      <w:r w:rsidRPr="003313B9">
        <w:rPr>
          <w:rFonts w:ascii="Times New Roman" w:eastAsia="Times New Roman,Batang" w:hAnsi="Times New Roman" w:cs="Times New Roman"/>
          <w:b/>
          <w:bCs/>
          <w:color w:val="000000" w:themeColor="text1"/>
          <w:sz w:val="40"/>
          <w:szCs w:val="40"/>
          <w:lang w:eastAsia="ko-KR"/>
        </w:rPr>
        <w:t>UNDP management commentaries on the</w:t>
      </w:r>
    </w:p>
    <w:p w14:paraId="3EBCFBC5" w14:textId="77777777" w:rsidR="0050259B" w:rsidRPr="003313B9" w:rsidRDefault="0050259B" w:rsidP="0050259B">
      <w:pPr>
        <w:spacing w:after="0" w:line="240" w:lineRule="auto"/>
        <w:jc w:val="center"/>
        <w:rPr>
          <w:rFonts w:ascii="Times New Roman" w:eastAsia="Times New Roman,Batang" w:hAnsi="Times New Roman" w:cs="Times New Roman"/>
          <w:b/>
          <w:bCs/>
          <w:color w:val="000000" w:themeColor="text1"/>
          <w:sz w:val="40"/>
          <w:szCs w:val="40"/>
          <w:lang w:eastAsia="ko-KR"/>
        </w:rPr>
      </w:pPr>
      <w:r w:rsidRPr="003313B9">
        <w:rPr>
          <w:rFonts w:ascii="Times New Roman" w:eastAsia="Times New Roman,Batang" w:hAnsi="Times New Roman" w:cs="Times New Roman"/>
          <w:b/>
          <w:bCs/>
          <w:color w:val="000000" w:themeColor="text1"/>
          <w:sz w:val="40"/>
          <w:szCs w:val="40"/>
          <w:lang w:eastAsia="ko-KR"/>
        </w:rPr>
        <w:t>2021 Annual Report on Evaluation</w:t>
      </w:r>
    </w:p>
    <w:p w14:paraId="73138A0F" w14:textId="77777777" w:rsidR="0050259B" w:rsidRDefault="0050259B" w:rsidP="0050259B">
      <w:pPr>
        <w:spacing w:after="0" w:line="240" w:lineRule="auto"/>
        <w:jc w:val="both"/>
        <w:rPr>
          <w:rFonts w:ascii="Times New Roman" w:eastAsia="Times New Roman,Batang" w:hAnsi="Times New Roman" w:cs="Times New Roman"/>
          <w:b/>
          <w:bCs/>
          <w:color w:val="000000" w:themeColor="text1"/>
          <w:u w:val="single"/>
          <w:lang w:eastAsia="ko-KR"/>
        </w:rPr>
      </w:pPr>
    </w:p>
    <w:p w14:paraId="4FA444F4" w14:textId="77777777" w:rsidR="0050259B" w:rsidRPr="00777562" w:rsidRDefault="0050259B" w:rsidP="0050259B">
      <w:pPr>
        <w:spacing w:after="0" w:line="240" w:lineRule="auto"/>
        <w:jc w:val="both"/>
        <w:rPr>
          <w:rFonts w:ascii="Times New Roman" w:eastAsia="Times New Roman,Batang" w:hAnsi="Times New Roman" w:cs="Times New Roman"/>
          <w:b/>
          <w:bCs/>
          <w:color w:val="000000" w:themeColor="text1"/>
          <w:sz w:val="4"/>
          <w:szCs w:val="4"/>
          <w:u w:val="single"/>
          <w:lang w:eastAsia="ko-KR"/>
        </w:rPr>
      </w:pPr>
    </w:p>
    <w:p w14:paraId="6BF626DF" w14:textId="77777777" w:rsidR="0050259B" w:rsidRDefault="0050259B" w:rsidP="0050259B">
      <w:pPr>
        <w:spacing w:after="0" w:line="240" w:lineRule="auto"/>
        <w:jc w:val="both"/>
        <w:rPr>
          <w:rFonts w:ascii="Times New Roman" w:eastAsia="Times New Roman,Batang" w:hAnsi="Times New Roman" w:cs="Times New Roman"/>
          <w:b/>
          <w:bCs/>
          <w:color w:val="000000" w:themeColor="text1"/>
          <w:u w:val="single"/>
          <w:lang w:eastAsia="ko-KR"/>
        </w:rPr>
      </w:pPr>
    </w:p>
    <w:p w14:paraId="5D3E17DF" w14:textId="77777777" w:rsidR="0050259B" w:rsidRDefault="0050259B" w:rsidP="0050259B">
      <w:pPr>
        <w:pStyle w:val="ListParagraph"/>
        <w:numPr>
          <w:ilvl w:val="0"/>
          <w:numId w:val="17"/>
        </w:numPr>
        <w:ind w:left="360" w:hanging="360"/>
        <w:rPr>
          <w:rFonts w:ascii="Times New Roman" w:eastAsia="Times New Roman,Batang" w:hAnsi="Times New Roman" w:cs="Times New Roman"/>
          <w:b/>
          <w:bCs/>
          <w:color w:val="000000" w:themeColor="text1"/>
          <w:sz w:val="24"/>
          <w:szCs w:val="24"/>
          <w:lang w:eastAsia="ko-KR"/>
        </w:rPr>
      </w:pPr>
      <w:r w:rsidRPr="000E2A47">
        <w:rPr>
          <w:rFonts w:ascii="Times New Roman" w:eastAsia="Times New Roman,Batang" w:hAnsi="Times New Roman" w:cs="Times New Roman"/>
          <w:b/>
          <w:bCs/>
          <w:color w:val="000000" w:themeColor="text1"/>
          <w:sz w:val="24"/>
          <w:szCs w:val="24"/>
          <w:lang w:eastAsia="ko-KR"/>
        </w:rPr>
        <w:t>INTRODUCTION</w:t>
      </w:r>
    </w:p>
    <w:p w14:paraId="32269E5A" w14:textId="77777777" w:rsidR="0050259B" w:rsidRDefault="0050259B" w:rsidP="0050259B">
      <w:pPr>
        <w:pStyle w:val="ListParagraph"/>
        <w:ind w:left="360"/>
        <w:rPr>
          <w:rFonts w:ascii="Times New Roman" w:eastAsia="Times New Roman,Batang" w:hAnsi="Times New Roman" w:cs="Times New Roman"/>
          <w:b/>
          <w:bCs/>
          <w:color w:val="000000" w:themeColor="text1"/>
          <w:sz w:val="24"/>
          <w:szCs w:val="24"/>
          <w:lang w:eastAsia="ko-KR"/>
        </w:rPr>
      </w:pPr>
    </w:p>
    <w:p w14:paraId="0E95C275" w14:textId="329DA2C0" w:rsidR="0050259B" w:rsidRPr="00231620" w:rsidRDefault="0050259B" w:rsidP="0050259B">
      <w:pPr>
        <w:pStyle w:val="ListParagraph"/>
        <w:numPr>
          <w:ilvl w:val="0"/>
          <w:numId w:val="25"/>
        </w:numPr>
        <w:tabs>
          <w:tab w:val="left" w:pos="360"/>
        </w:tabs>
        <w:spacing w:after="0" w:line="240" w:lineRule="auto"/>
        <w:ind w:left="0" w:firstLine="0"/>
        <w:jc w:val="both"/>
        <w:rPr>
          <w:rFonts w:ascii="Times New Roman" w:eastAsia="Times New Roman,Batang" w:hAnsi="Times New Roman" w:cs="Times New Roman"/>
          <w:bCs/>
          <w:lang w:eastAsia="ko-KR"/>
        </w:rPr>
      </w:pPr>
      <w:r w:rsidRPr="00231620">
        <w:rPr>
          <w:rFonts w:ascii="Times New Roman" w:eastAsia="Times New Roman,Batang" w:hAnsi="Times New Roman" w:cs="Times New Roman"/>
          <w:bCs/>
          <w:lang w:eastAsia="ko-KR"/>
        </w:rPr>
        <w:t>UNDP welcomes the 2021 Annual Report on Evaluation, submitted by the Independent Evaluation Office</w:t>
      </w:r>
      <w:r>
        <w:rPr>
          <w:rFonts w:ascii="Times New Roman" w:eastAsia="Times New Roman,Batang" w:hAnsi="Times New Roman" w:cs="Times New Roman"/>
          <w:bCs/>
          <w:lang w:eastAsia="ko-KR"/>
        </w:rPr>
        <w:t xml:space="preserve"> (IEO)</w:t>
      </w:r>
      <w:r w:rsidRPr="00231620">
        <w:rPr>
          <w:rFonts w:ascii="Times New Roman" w:eastAsia="Times New Roman,Batang" w:hAnsi="Times New Roman" w:cs="Times New Roman"/>
          <w:bCs/>
          <w:lang w:eastAsia="ko-KR"/>
        </w:rPr>
        <w:t xml:space="preserve"> to the Executive Board, which</w:t>
      </w:r>
      <w:r w:rsidRPr="00231620">
        <w:rPr>
          <w:rFonts w:ascii="Times New Roman" w:eastAsia="Times New Roman,Batang" w:hAnsi="Times New Roman" w:cs="Times New Roman"/>
          <w:lang w:eastAsia="ko-KR"/>
        </w:rPr>
        <w:t xml:space="preserve"> provides the summary of key findings from the independent evaluations for organizational lessons and analytical data</w:t>
      </w:r>
      <w:r>
        <w:rPr>
          <w:rFonts w:ascii="Times New Roman" w:eastAsia="Times New Roman,Batang" w:hAnsi="Times New Roman" w:cs="Times New Roman"/>
          <w:lang w:eastAsia="ko-KR"/>
        </w:rPr>
        <w:t xml:space="preserve"> both from independent and decentralized evaluations</w:t>
      </w:r>
      <w:r w:rsidRPr="00231620">
        <w:rPr>
          <w:rFonts w:ascii="Times New Roman" w:eastAsia="Times New Roman,Batang" w:hAnsi="Times New Roman" w:cs="Times New Roman"/>
          <w:lang w:eastAsia="ko-KR"/>
        </w:rPr>
        <w:t xml:space="preserve"> to help UNDP improve evaluation functions. </w:t>
      </w:r>
      <w:r w:rsidRPr="00231620">
        <w:rPr>
          <w:rFonts w:ascii="Times New Roman" w:eastAsia="Times New Roman,Batang" w:hAnsi="Times New Roman" w:cs="Times New Roman"/>
          <w:bCs/>
          <w:lang w:eastAsia="ko-KR"/>
        </w:rPr>
        <w:t xml:space="preserve">Management commentaries reflect UNDP perspectives of critical elements related to evaluation </w:t>
      </w:r>
      <w:r>
        <w:rPr>
          <w:rFonts w:ascii="Times New Roman" w:eastAsia="Times New Roman,Batang" w:hAnsi="Times New Roman" w:cs="Times New Roman"/>
          <w:bCs/>
          <w:lang w:eastAsia="ko-KR"/>
        </w:rPr>
        <w:t>tasks</w:t>
      </w:r>
      <w:r w:rsidRPr="00231620">
        <w:rPr>
          <w:rFonts w:ascii="Times New Roman" w:eastAsia="Times New Roman,Batang" w:hAnsi="Times New Roman" w:cs="Times New Roman"/>
          <w:bCs/>
          <w:lang w:eastAsia="ko-KR"/>
        </w:rPr>
        <w:t xml:space="preserve">, independent and decentralized evaluations, actions taken by UNDP in 2021, and </w:t>
      </w:r>
      <w:r>
        <w:rPr>
          <w:rFonts w:ascii="Times New Roman" w:eastAsia="Times New Roman,Batang" w:hAnsi="Times New Roman" w:cs="Times New Roman"/>
          <w:bCs/>
          <w:lang w:eastAsia="ko-KR"/>
        </w:rPr>
        <w:t>those</w:t>
      </w:r>
      <w:r w:rsidRPr="00231620">
        <w:rPr>
          <w:rFonts w:ascii="Times New Roman" w:eastAsia="Times New Roman,Batang" w:hAnsi="Times New Roman" w:cs="Times New Roman"/>
          <w:bCs/>
          <w:lang w:eastAsia="ko-KR"/>
        </w:rPr>
        <w:t xml:space="preserve"> that will be elaborated in collaboration with the </w:t>
      </w:r>
      <w:r>
        <w:rPr>
          <w:rFonts w:ascii="Times New Roman" w:eastAsia="Times New Roman,Batang" w:hAnsi="Times New Roman" w:cs="Times New Roman"/>
          <w:bCs/>
          <w:lang w:eastAsia="ko-KR"/>
        </w:rPr>
        <w:t>IEO</w:t>
      </w:r>
      <w:r w:rsidRPr="00231620">
        <w:rPr>
          <w:rFonts w:ascii="Times New Roman" w:eastAsia="Times New Roman,Batang" w:hAnsi="Times New Roman" w:cs="Times New Roman"/>
          <w:bCs/>
          <w:lang w:eastAsia="ko-KR"/>
        </w:rPr>
        <w:t xml:space="preserve"> to strengthen UNDP evaluation functions during the 2022-2025</w:t>
      </w:r>
      <w:r>
        <w:rPr>
          <w:rFonts w:ascii="Times New Roman" w:eastAsia="Times New Roman,Batang" w:hAnsi="Times New Roman" w:cs="Times New Roman"/>
          <w:bCs/>
          <w:lang w:eastAsia="ko-KR"/>
        </w:rPr>
        <w:t xml:space="preserve"> </w:t>
      </w:r>
      <w:r w:rsidRPr="00231620">
        <w:rPr>
          <w:rFonts w:ascii="Times New Roman" w:eastAsia="Times New Roman,Batang" w:hAnsi="Times New Roman" w:cs="Times New Roman"/>
          <w:bCs/>
          <w:lang w:eastAsia="ko-KR"/>
        </w:rPr>
        <w:t xml:space="preserve">strategic plan period. </w:t>
      </w:r>
    </w:p>
    <w:p w14:paraId="2251BB3A" w14:textId="77777777" w:rsidR="0050259B" w:rsidRDefault="0050259B" w:rsidP="0050259B">
      <w:pPr>
        <w:spacing w:after="0" w:line="240" w:lineRule="auto"/>
        <w:jc w:val="both"/>
        <w:rPr>
          <w:rFonts w:ascii="Times New Roman" w:eastAsia="Times New Roman,Batang" w:hAnsi="Times New Roman" w:cs="Times New Roman"/>
          <w:bCs/>
          <w:lang w:eastAsia="ko-KR"/>
        </w:rPr>
      </w:pPr>
    </w:p>
    <w:p w14:paraId="348866CE" w14:textId="77777777" w:rsidR="0050259B" w:rsidRDefault="0050259B" w:rsidP="0050259B">
      <w:pPr>
        <w:spacing w:after="0" w:line="240" w:lineRule="auto"/>
        <w:jc w:val="both"/>
        <w:rPr>
          <w:rFonts w:ascii="Times New Roman" w:eastAsia="Times New Roman,Batang" w:hAnsi="Times New Roman" w:cs="Times New Roman"/>
          <w:bCs/>
          <w:lang w:eastAsia="ko-KR"/>
        </w:rPr>
      </w:pPr>
    </w:p>
    <w:p w14:paraId="6FDCB24B" w14:textId="77777777" w:rsidR="0050259B" w:rsidRPr="000E2A47" w:rsidRDefault="0050259B" w:rsidP="0050259B">
      <w:pPr>
        <w:pStyle w:val="ListParagraph"/>
        <w:numPr>
          <w:ilvl w:val="0"/>
          <w:numId w:val="17"/>
        </w:numPr>
        <w:spacing w:after="0" w:line="240" w:lineRule="auto"/>
        <w:ind w:left="630" w:hanging="630"/>
        <w:jc w:val="both"/>
        <w:rPr>
          <w:rFonts w:ascii="Times New Roman" w:eastAsia="Times New Roman,Batang" w:hAnsi="Times New Roman" w:cs="Times New Roman"/>
          <w:b/>
          <w:sz w:val="24"/>
          <w:szCs w:val="24"/>
          <w:lang w:eastAsia="ko-KR"/>
        </w:rPr>
      </w:pPr>
      <w:r w:rsidRPr="000E2A47">
        <w:rPr>
          <w:rFonts w:ascii="Times New Roman" w:eastAsia="Times New Roman,Batang" w:hAnsi="Times New Roman" w:cs="Times New Roman"/>
          <w:b/>
          <w:sz w:val="24"/>
          <w:szCs w:val="24"/>
          <w:lang w:eastAsia="ko-KR"/>
        </w:rPr>
        <w:t>LESSONS LEARNED</w:t>
      </w:r>
      <w:r w:rsidRPr="003D0AD6">
        <w:rPr>
          <w:rStyle w:val="FootnoteReference"/>
          <w:rFonts w:ascii="Times New Roman" w:eastAsia="Times New Roman,Batang" w:hAnsi="Times New Roman" w:cs="Times New Roman"/>
          <w:b/>
          <w:sz w:val="20"/>
          <w:szCs w:val="20"/>
          <w:lang w:eastAsia="ko-KR"/>
        </w:rPr>
        <w:footnoteReference w:id="2"/>
      </w:r>
    </w:p>
    <w:p w14:paraId="00B0CFB3" w14:textId="77777777" w:rsidR="0050259B" w:rsidRPr="00234326" w:rsidRDefault="0050259B" w:rsidP="0050259B">
      <w:pPr>
        <w:spacing w:after="0" w:line="240" w:lineRule="auto"/>
        <w:jc w:val="both"/>
        <w:rPr>
          <w:rFonts w:ascii="Times New Roman" w:eastAsia="Times New Roman,Batang" w:hAnsi="Times New Roman" w:cs="Times New Roman"/>
          <w:bCs/>
          <w:highlight w:val="yellow"/>
          <w:lang w:eastAsia="ko-KR"/>
        </w:rPr>
      </w:pPr>
    </w:p>
    <w:p w14:paraId="1A1CC199" w14:textId="77777777" w:rsidR="0050259B" w:rsidRPr="00231620" w:rsidRDefault="0050259B" w:rsidP="0050259B">
      <w:pPr>
        <w:pStyle w:val="ListParagraph"/>
        <w:numPr>
          <w:ilvl w:val="0"/>
          <w:numId w:val="25"/>
        </w:numPr>
        <w:tabs>
          <w:tab w:val="left" w:pos="360"/>
        </w:tabs>
        <w:spacing w:after="0" w:line="240" w:lineRule="auto"/>
        <w:ind w:left="0" w:firstLine="0"/>
        <w:jc w:val="both"/>
        <w:rPr>
          <w:rFonts w:ascii="Times New Roman" w:hAnsi="Times New Roman" w:cs="Times New Roman"/>
          <w:color w:val="0E101A"/>
        </w:rPr>
      </w:pPr>
      <w:r w:rsidRPr="00231620">
        <w:rPr>
          <w:rFonts w:ascii="Times New Roman" w:hAnsi="Times New Roman" w:cs="Times New Roman"/>
          <w:color w:val="0E101A"/>
        </w:rPr>
        <w:t>UNDP highly values findings reflected in the report, synthesizing lessons from thematic and independent country programme evaluations (ICPEs)</w:t>
      </w:r>
      <w:r>
        <w:rPr>
          <w:rFonts w:ascii="Times New Roman" w:hAnsi="Times New Roman" w:cs="Times New Roman"/>
          <w:color w:val="0E101A"/>
        </w:rPr>
        <w:t>,</w:t>
      </w:r>
      <w:r w:rsidRPr="00231620">
        <w:rPr>
          <w:rFonts w:ascii="Times New Roman" w:hAnsi="Times New Roman" w:cs="Times New Roman"/>
          <w:color w:val="0E101A"/>
        </w:rPr>
        <w:t xml:space="preserve"> as well as the Reflection </w:t>
      </w:r>
      <w:r>
        <w:rPr>
          <w:rFonts w:ascii="Times New Roman" w:hAnsi="Times New Roman" w:cs="Times New Roman"/>
          <w:color w:val="0E101A"/>
        </w:rPr>
        <w:t>S</w:t>
      </w:r>
      <w:r w:rsidRPr="00231620">
        <w:rPr>
          <w:rFonts w:ascii="Times New Roman" w:hAnsi="Times New Roman" w:cs="Times New Roman"/>
          <w:color w:val="0E101A"/>
        </w:rPr>
        <w:t xml:space="preserve">eries produced by </w:t>
      </w:r>
      <w:r>
        <w:rPr>
          <w:rFonts w:ascii="Times New Roman" w:hAnsi="Times New Roman" w:cs="Times New Roman"/>
          <w:color w:val="0E101A"/>
        </w:rPr>
        <w:t>IEO</w:t>
      </w:r>
      <w:r w:rsidRPr="00231620">
        <w:rPr>
          <w:rFonts w:ascii="Times New Roman" w:hAnsi="Times New Roman" w:cs="Times New Roman"/>
          <w:color w:val="0E101A"/>
        </w:rPr>
        <w:t>.  UNDP found lessons from evaluations</w:t>
      </w:r>
      <w:r>
        <w:rPr>
          <w:rFonts w:ascii="Times New Roman" w:hAnsi="Times New Roman" w:cs="Times New Roman"/>
          <w:color w:val="0E101A"/>
        </w:rPr>
        <w:t xml:space="preserve"> to be</w:t>
      </w:r>
      <w:r w:rsidRPr="00231620">
        <w:rPr>
          <w:rFonts w:ascii="Times New Roman" w:hAnsi="Times New Roman" w:cs="Times New Roman"/>
          <w:color w:val="0E101A"/>
        </w:rPr>
        <w:t xml:space="preserve"> useful</w:t>
      </w:r>
      <w:r>
        <w:rPr>
          <w:rFonts w:ascii="Times New Roman" w:hAnsi="Times New Roman" w:cs="Times New Roman"/>
          <w:color w:val="0E101A"/>
        </w:rPr>
        <w:t>,</w:t>
      </w:r>
      <w:r w:rsidRPr="00231620">
        <w:rPr>
          <w:rFonts w:ascii="Times New Roman" w:hAnsi="Times New Roman" w:cs="Times New Roman"/>
          <w:color w:val="0E101A"/>
        </w:rPr>
        <w:t xml:space="preserve"> not only </w:t>
      </w:r>
      <w:r>
        <w:rPr>
          <w:rFonts w:ascii="Times New Roman" w:hAnsi="Times New Roman" w:cs="Times New Roman"/>
          <w:color w:val="0E101A"/>
        </w:rPr>
        <w:t>in</w:t>
      </w:r>
      <w:r w:rsidRPr="00231620">
        <w:rPr>
          <w:rFonts w:ascii="Times New Roman" w:hAnsi="Times New Roman" w:cs="Times New Roman"/>
          <w:color w:val="0E101A"/>
        </w:rPr>
        <w:t xml:space="preserve"> </w:t>
      </w:r>
      <w:r>
        <w:rPr>
          <w:rFonts w:ascii="Times New Roman" w:hAnsi="Times New Roman" w:cs="Times New Roman"/>
          <w:color w:val="0E101A"/>
        </w:rPr>
        <w:t>guiding</w:t>
      </w:r>
      <w:r w:rsidRPr="00231620">
        <w:rPr>
          <w:rFonts w:ascii="Times New Roman" w:hAnsi="Times New Roman" w:cs="Times New Roman"/>
          <w:color w:val="0E101A"/>
        </w:rPr>
        <w:t xml:space="preserve"> the design of the strategic plan</w:t>
      </w:r>
      <w:r>
        <w:rPr>
          <w:rFonts w:ascii="Times New Roman" w:hAnsi="Times New Roman" w:cs="Times New Roman"/>
          <w:color w:val="0E101A"/>
        </w:rPr>
        <w:t xml:space="preserve"> for</w:t>
      </w:r>
      <w:r w:rsidRPr="00231620">
        <w:rPr>
          <w:rFonts w:ascii="Times New Roman" w:hAnsi="Times New Roman" w:cs="Times New Roman"/>
          <w:color w:val="0E101A"/>
        </w:rPr>
        <w:t xml:space="preserve"> 2022-2025</w:t>
      </w:r>
      <w:r>
        <w:rPr>
          <w:rFonts w:ascii="Times New Roman" w:hAnsi="Times New Roman" w:cs="Times New Roman"/>
          <w:color w:val="0E101A"/>
        </w:rPr>
        <w:t>,</w:t>
      </w:r>
      <w:r w:rsidRPr="00231620">
        <w:rPr>
          <w:rFonts w:ascii="Times New Roman" w:hAnsi="Times New Roman" w:cs="Times New Roman"/>
          <w:color w:val="0E101A"/>
        </w:rPr>
        <w:t xml:space="preserve"> but also </w:t>
      </w:r>
      <w:r>
        <w:rPr>
          <w:rFonts w:ascii="Times New Roman" w:hAnsi="Times New Roman" w:cs="Times New Roman"/>
          <w:color w:val="0E101A"/>
        </w:rPr>
        <w:t>in</w:t>
      </w:r>
      <w:r w:rsidRPr="00231620">
        <w:rPr>
          <w:rFonts w:ascii="Times New Roman" w:hAnsi="Times New Roman" w:cs="Times New Roman"/>
          <w:color w:val="0E101A"/>
        </w:rPr>
        <w:t xml:space="preserve"> shap</w:t>
      </w:r>
      <w:r>
        <w:rPr>
          <w:rFonts w:ascii="Times New Roman" w:hAnsi="Times New Roman" w:cs="Times New Roman"/>
          <w:color w:val="0E101A"/>
        </w:rPr>
        <w:t>ing</w:t>
      </w:r>
      <w:r w:rsidRPr="00231620">
        <w:rPr>
          <w:rFonts w:ascii="Times New Roman" w:hAnsi="Times New Roman" w:cs="Times New Roman"/>
          <w:color w:val="0E101A"/>
        </w:rPr>
        <w:t xml:space="preserve"> several critical policies and programmes </w:t>
      </w:r>
      <w:r>
        <w:rPr>
          <w:rFonts w:ascii="Times New Roman" w:hAnsi="Times New Roman" w:cs="Times New Roman"/>
          <w:color w:val="0E101A"/>
        </w:rPr>
        <w:t>that</w:t>
      </w:r>
      <w:r w:rsidRPr="00231620">
        <w:rPr>
          <w:rFonts w:ascii="Times New Roman" w:hAnsi="Times New Roman" w:cs="Times New Roman"/>
          <w:color w:val="0E101A"/>
        </w:rPr>
        <w:t xml:space="preserve"> support the implementation of the plan. </w:t>
      </w:r>
      <w:r w:rsidRPr="00231620">
        <w:rPr>
          <w:rFonts w:ascii="Times New Roman" w:hAnsi="Times New Roman" w:cs="Times New Roman"/>
        </w:rPr>
        <w:t>This section illustrates how UNDP has learned lessons from various evaluations and is taking actions to fulfill commitment</w:t>
      </w:r>
      <w:r>
        <w:rPr>
          <w:rFonts w:ascii="Times New Roman" w:hAnsi="Times New Roman" w:cs="Times New Roman"/>
        </w:rPr>
        <w:t>s</w:t>
      </w:r>
      <w:r w:rsidRPr="00231620">
        <w:rPr>
          <w:rFonts w:ascii="Times New Roman" w:hAnsi="Times New Roman" w:cs="Times New Roman"/>
        </w:rPr>
        <w:t xml:space="preserve"> the organization made in the strategic plan.</w:t>
      </w:r>
    </w:p>
    <w:p w14:paraId="5C3BCD91" w14:textId="77777777" w:rsidR="0050259B" w:rsidRPr="00141DF9" w:rsidRDefault="0050259B" w:rsidP="0050259B">
      <w:pPr>
        <w:tabs>
          <w:tab w:val="left" w:pos="360"/>
        </w:tabs>
        <w:spacing w:after="0" w:line="240" w:lineRule="auto"/>
        <w:jc w:val="both"/>
        <w:rPr>
          <w:rFonts w:ascii="Times New Roman" w:hAnsi="Times New Roman" w:cs="Times New Roman"/>
          <w:color w:val="0E101A"/>
        </w:rPr>
      </w:pPr>
    </w:p>
    <w:p w14:paraId="7D4A27D9" w14:textId="77777777" w:rsidR="0050259B" w:rsidRPr="00231620" w:rsidRDefault="0050259B" w:rsidP="0050259B">
      <w:pPr>
        <w:pStyle w:val="ListParagraph"/>
        <w:numPr>
          <w:ilvl w:val="0"/>
          <w:numId w:val="25"/>
        </w:numPr>
        <w:tabs>
          <w:tab w:val="left" w:pos="360"/>
        </w:tabs>
        <w:spacing w:after="0" w:line="240" w:lineRule="auto"/>
        <w:ind w:left="0" w:firstLine="0"/>
        <w:jc w:val="both"/>
        <w:rPr>
          <w:rFonts w:ascii="Times New Roman" w:hAnsi="Times New Roman" w:cs="Times New Roman"/>
          <w:color w:val="0E101A"/>
        </w:rPr>
      </w:pPr>
      <w:r w:rsidRPr="00231620">
        <w:rPr>
          <w:rFonts w:ascii="Times New Roman" w:hAnsi="Times New Roman" w:cs="Times New Roman"/>
          <w:color w:val="0E101A"/>
        </w:rPr>
        <w:t xml:space="preserve">UNDP is pleased to be recognized by its stakeholders as </w:t>
      </w:r>
      <w:r w:rsidRPr="00231620">
        <w:rPr>
          <w:rFonts w:ascii="Times New Roman" w:hAnsi="Times New Roman" w:cs="Times New Roman"/>
          <w:i/>
          <w:iCs/>
          <w:color w:val="0E101A"/>
        </w:rPr>
        <w:t>a neutral, responsive, and trusted provider of development services in support of diverse national priorities</w:t>
      </w:r>
      <w:r w:rsidRPr="00231620">
        <w:rPr>
          <w:rFonts w:ascii="Times New Roman" w:hAnsi="Times New Roman" w:cs="Times New Roman"/>
          <w:color w:val="0E101A"/>
        </w:rPr>
        <w:t xml:space="preserve">, which is </w:t>
      </w:r>
      <w:r>
        <w:rPr>
          <w:rFonts w:ascii="Times New Roman" w:hAnsi="Times New Roman" w:cs="Times New Roman"/>
          <w:color w:val="0E101A"/>
        </w:rPr>
        <w:t>a</w:t>
      </w:r>
      <w:r w:rsidRPr="00231620">
        <w:rPr>
          <w:rFonts w:ascii="Times New Roman" w:hAnsi="Times New Roman" w:cs="Times New Roman"/>
          <w:color w:val="0E101A"/>
        </w:rPr>
        <w:t xml:space="preserve"> core value of the organization.  The Strategic Plan 2022-2025 reflects priorities </w:t>
      </w:r>
      <w:r w:rsidRPr="00231620">
        <w:rPr>
          <w:rFonts w:ascii="Times New Roman" w:hAnsi="Times New Roman" w:cs="Times New Roman"/>
          <w:i/>
          <w:iCs/>
          <w:color w:val="0E101A"/>
        </w:rPr>
        <w:t>deemed vital by programme governments</w:t>
      </w:r>
      <w:r>
        <w:rPr>
          <w:rFonts w:ascii="Times New Roman" w:hAnsi="Times New Roman" w:cs="Times New Roman"/>
          <w:i/>
          <w:iCs/>
          <w:color w:val="0E101A"/>
        </w:rPr>
        <w:t>—</w:t>
      </w:r>
      <w:r w:rsidRPr="00231620">
        <w:rPr>
          <w:rFonts w:ascii="Times New Roman" w:hAnsi="Times New Roman" w:cs="Times New Roman"/>
          <w:i/>
          <w:iCs/>
          <w:color w:val="0E101A"/>
        </w:rPr>
        <w:t>such as elections, justice reforms, access to energy</w:t>
      </w:r>
      <w:r>
        <w:rPr>
          <w:rFonts w:ascii="Times New Roman" w:hAnsi="Times New Roman" w:cs="Times New Roman"/>
          <w:i/>
          <w:iCs/>
          <w:color w:val="0E101A"/>
        </w:rPr>
        <w:t>,</w:t>
      </w:r>
      <w:r w:rsidRPr="00231620">
        <w:rPr>
          <w:rFonts w:ascii="Times New Roman" w:hAnsi="Times New Roman" w:cs="Times New Roman"/>
          <w:i/>
          <w:iCs/>
          <w:color w:val="0E101A"/>
        </w:rPr>
        <w:t xml:space="preserve"> reactivation of governing institutions</w:t>
      </w:r>
      <w:r>
        <w:rPr>
          <w:rFonts w:ascii="Times New Roman" w:hAnsi="Times New Roman" w:cs="Times New Roman"/>
          <w:i/>
          <w:iCs/>
          <w:color w:val="0E101A"/>
        </w:rPr>
        <w:t>,</w:t>
      </w:r>
      <w:r w:rsidRPr="00231620">
        <w:rPr>
          <w:rFonts w:ascii="Times New Roman" w:hAnsi="Times New Roman" w:cs="Times New Roman"/>
          <w:i/>
          <w:iCs/>
          <w:color w:val="0E101A"/>
        </w:rPr>
        <w:t xml:space="preserve"> and development of national capacities in fragile contexts</w:t>
      </w:r>
      <w:r>
        <w:rPr>
          <w:rFonts w:ascii="Times New Roman" w:hAnsi="Times New Roman" w:cs="Times New Roman"/>
          <w:i/>
          <w:iCs/>
          <w:color w:val="0E101A"/>
        </w:rPr>
        <w:t>—</w:t>
      </w:r>
      <w:r w:rsidRPr="00231620">
        <w:rPr>
          <w:rFonts w:ascii="Times New Roman" w:hAnsi="Times New Roman" w:cs="Times New Roman"/>
          <w:color w:val="0E101A"/>
        </w:rPr>
        <w:t>as key components of signature solutions. Learning from the lessons of the last four years, signature solutions will be adapted to better match countries’ evolving needs.</w:t>
      </w:r>
    </w:p>
    <w:p w14:paraId="20E7B535" w14:textId="77777777" w:rsidR="0050259B" w:rsidRPr="00141DF9" w:rsidRDefault="0050259B" w:rsidP="0050259B">
      <w:pPr>
        <w:tabs>
          <w:tab w:val="left" w:pos="360"/>
        </w:tabs>
        <w:spacing w:after="0" w:line="240" w:lineRule="auto"/>
        <w:jc w:val="both"/>
        <w:rPr>
          <w:rFonts w:ascii="Times New Roman" w:hAnsi="Times New Roman" w:cs="Times New Roman"/>
          <w:color w:val="0E101A"/>
        </w:rPr>
      </w:pPr>
    </w:p>
    <w:p w14:paraId="741F7204" w14:textId="77777777" w:rsidR="0050259B" w:rsidRPr="00231620" w:rsidRDefault="0050259B" w:rsidP="0050259B">
      <w:pPr>
        <w:pStyle w:val="ListParagraph"/>
        <w:numPr>
          <w:ilvl w:val="0"/>
          <w:numId w:val="25"/>
        </w:numPr>
        <w:tabs>
          <w:tab w:val="left" w:pos="360"/>
        </w:tabs>
        <w:spacing w:after="0" w:line="240" w:lineRule="auto"/>
        <w:ind w:left="0" w:firstLine="0"/>
        <w:jc w:val="both"/>
        <w:rPr>
          <w:rFonts w:ascii="Times New Roman" w:hAnsi="Times New Roman" w:cs="Times New Roman"/>
        </w:rPr>
      </w:pPr>
      <w:r w:rsidRPr="00231620">
        <w:rPr>
          <w:rFonts w:ascii="Times New Roman" w:eastAsia="Times New Roman" w:hAnsi="Times New Roman" w:cs="Times New Roman"/>
          <w:lang w:eastAsia="en-US"/>
        </w:rPr>
        <w:t xml:space="preserve">As an organization striving to be flexible, agile, and adaptable, UNDP is pleased to be appraised for its </w:t>
      </w:r>
      <w:r w:rsidRPr="00231620">
        <w:rPr>
          <w:rFonts w:ascii="Times New Roman" w:eastAsia="Times New Roman" w:hAnsi="Times New Roman" w:cs="Times New Roman"/>
          <w:i/>
          <w:iCs/>
          <w:lang w:eastAsia="en-US"/>
        </w:rPr>
        <w:t>quick response to the COVID-19 crisis, demonstrating extraordinary flexibility and leadership</w:t>
      </w:r>
      <w:r w:rsidRPr="00A65E61">
        <w:rPr>
          <w:rFonts w:ascii="Times New Roman" w:eastAsia="Times New Roman" w:hAnsi="Times New Roman" w:cs="Times New Roman"/>
          <w:lang w:eastAsia="en-US"/>
        </w:rPr>
        <w:t>.</w:t>
      </w:r>
      <w:r w:rsidRPr="00231620">
        <w:rPr>
          <w:rFonts w:ascii="Times New Roman" w:eastAsia="Times New Roman" w:hAnsi="Times New Roman" w:cs="Times New Roman"/>
          <w:b/>
          <w:bCs/>
          <w:lang w:eastAsia="en-US"/>
        </w:rPr>
        <w:t xml:space="preserve"> </w:t>
      </w:r>
      <w:r w:rsidRPr="00231620">
        <w:rPr>
          <w:rFonts w:ascii="Times New Roman" w:eastAsia="Times New Roman" w:hAnsi="Times New Roman" w:cs="Times New Roman"/>
          <w:lang w:eastAsia="en-US"/>
        </w:rPr>
        <w:t>As noted in the report, UNDP rapidly reprogrammed some activities and mobilized additional resources</w:t>
      </w:r>
      <w:r w:rsidRPr="00231620">
        <w:rPr>
          <w:rFonts w:ascii="Times New Roman" w:eastAsia="Times New Roman" w:hAnsi="Times New Roman" w:cs="Times New Roman"/>
          <w:b/>
          <w:bCs/>
          <w:lang w:eastAsia="en-US"/>
        </w:rPr>
        <w:t xml:space="preserve"> </w:t>
      </w:r>
      <w:r w:rsidRPr="00231620">
        <w:rPr>
          <w:rFonts w:ascii="Times New Roman" w:eastAsia="Times New Roman" w:hAnsi="Times New Roman" w:cs="Times New Roman"/>
          <w:lang w:eastAsia="en-US"/>
        </w:rPr>
        <w:t xml:space="preserve">to respond to the pandemic. </w:t>
      </w:r>
      <w:r>
        <w:rPr>
          <w:rFonts w:ascii="Times New Roman" w:hAnsi="Times New Roman" w:cs="Times New Roman"/>
        </w:rPr>
        <w:t>Under t</w:t>
      </w:r>
      <w:r w:rsidRPr="00231620">
        <w:rPr>
          <w:rFonts w:ascii="Times New Roman" w:hAnsi="Times New Roman" w:cs="Times New Roman"/>
        </w:rPr>
        <w:t xml:space="preserve">he Strategic Plan 2022-2025, UNDP remains committed to supporting the next generation of </w:t>
      </w:r>
      <w:r>
        <w:rPr>
          <w:rFonts w:ascii="Times New Roman" w:hAnsi="Times New Roman" w:cs="Times New Roman"/>
        </w:rPr>
        <w:t>c</w:t>
      </w:r>
      <w:r w:rsidRPr="00231620">
        <w:rPr>
          <w:rFonts w:ascii="Times New Roman" w:hAnsi="Times New Roman" w:cs="Times New Roman"/>
        </w:rPr>
        <w:t xml:space="preserve">ountry </w:t>
      </w:r>
      <w:r>
        <w:rPr>
          <w:rFonts w:ascii="Times New Roman" w:hAnsi="Times New Roman" w:cs="Times New Roman"/>
        </w:rPr>
        <w:t>p</w:t>
      </w:r>
      <w:r w:rsidRPr="00231620">
        <w:rPr>
          <w:rFonts w:ascii="Times New Roman" w:hAnsi="Times New Roman" w:cs="Times New Roman"/>
        </w:rPr>
        <w:t>rogrammes and United Nations Sustainable Development Cooperation Frameworks</w:t>
      </w:r>
      <w:r>
        <w:rPr>
          <w:rFonts w:ascii="Times New Roman" w:hAnsi="Times New Roman" w:cs="Times New Roman"/>
        </w:rPr>
        <w:t xml:space="preserve"> (UNSDCF)</w:t>
      </w:r>
      <w:r w:rsidRPr="00231620">
        <w:rPr>
          <w:rFonts w:ascii="Times New Roman" w:hAnsi="Times New Roman" w:cs="Times New Roman"/>
        </w:rPr>
        <w:t xml:space="preserve"> with a focus on inclusiveness and sustainability for COVID-19 recovery as recommended </w:t>
      </w:r>
      <w:r>
        <w:rPr>
          <w:rFonts w:ascii="Times New Roman" w:hAnsi="Times New Roman" w:cs="Times New Roman"/>
        </w:rPr>
        <w:t>in</w:t>
      </w:r>
      <w:r w:rsidRPr="00231620">
        <w:rPr>
          <w:rFonts w:ascii="Times New Roman" w:hAnsi="Times New Roman" w:cs="Times New Roman"/>
        </w:rPr>
        <w:t xml:space="preserve"> the strategic plan evaluation. </w:t>
      </w:r>
      <w:r>
        <w:rPr>
          <w:rFonts w:ascii="Times New Roman" w:hAnsi="Times New Roman" w:cs="Times New Roman"/>
        </w:rPr>
        <w:t>Furthermore</w:t>
      </w:r>
      <w:r w:rsidRPr="00231620">
        <w:rPr>
          <w:rFonts w:ascii="Times New Roman" w:hAnsi="Times New Roman" w:cs="Times New Roman"/>
        </w:rPr>
        <w:t xml:space="preserve">, several evaluations noted that </w:t>
      </w:r>
      <w:r w:rsidRPr="00231620">
        <w:rPr>
          <w:rFonts w:ascii="Times New Roman" w:eastAsia="Times New Roman" w:hAnsi="Times New Roman" w:cs="Times New Roman"/>
          <w:lang w:eastAsia="en-US"/>
        </w:rPr>
        <w:t xml:space="preserve">UNDP </w:t>
      </w:r>
      <w:r w:rsidRPr="00231620">
        <w:rPr>
          <w:rFonts w:ascii="Times New Roman" w:eastAsia="Times New Roman" w:hAnsi="Times New Roman" w:cs="Times New Roman"/>
          <w:i/>
          <w:iCs/>
          <w:lang w:eastAsia="en-US"/>
        </w:rPr>
        <w:t>accelerated innovative ideas</w:t>
      </w:r>
      <w:r w:rsidRPr="00231620">
        <w:rPr>
          <w:rFonts w:ascii="Times New Roman" w:eastAsia="Times New Roman" w:hAnsi="Times New Roman" w:cs="Times New Roman"/>
          <w:lang w:eastAsia="en-US"/>
        </w:rPr>
        <w:t xml:space="preserve"> under the pandemic, such as</w:t>
      </w:r>
      <w:r w:rsidRPr="00231620">
        <w:rPr>
          <w:rFonts w:ascii="Times New Roman" w:eastAsia="Times New Roman" w:hAnsi="Times New Roman" w:cs="Times New Roman"/>
          <w:b/>
          <w:bCs/>
          <w:lang w:eastAsia="en-US"/>
        </w:rPr>
        <w:t xml:space="preserve"> </w:t>
      </w:r>
      <w:r w:rsidRPr="00231620">
        <w:rPr>
          <w:rFonts w:ascii="Times New Roman" w:eastAsia="Times New Roman" w:hAnsi="Times New Roman" w:cs="Times New Roman"/>
          <w:i/>
          <w:iCs/>
          <w:lang w:eastAsia="en-US"/>
        </w:rPr>
        <w:t>digitalizing services for government and supporting micro, small</w:t>
      </w:r>
      <w:r>
        <w:rPr>
          <w:rFonts w:ascii="Times New Roman" w:eastAsia="Times New Roman" w:hAnsi="Times New Roman" w:cs="Times New Roman"/>
          <w:i/>
          <w:iCs/>
          <w:lang w:eastAsia="en-US"/>
        </w:rPr>
        <w:t>,</w:t>
      </w:r>
      <w:r w:rsidRPr="00231620">
        <w:rPr>
          <w:rFonts w:ascii="Times New Roman" w:eastAsia="Times New Roman" w:hAnsi="Times New Roman" w:cs="Times New Roman"/>
          <w:i/>
          <w:iCs/>
          <w:lang w:eastAsia="en-US"/>
        </w:rPr>
        <w:t xml:space="preserve"> and medium enterprises</w:t>
      </w:r>
      <w:r w:rsidRPr="0023162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In l</w:t>
      </w:r>
      <w:r w:rsidRPr="00231620">
        <w:rPr>
          <w:rFonts w:ascii="Times New Roman" w:eastAsia="Times New Roman" w:hAnsi="Times New Roman" w:cs="Times New Roman"/>
          <w:lang w:eastAsia="en-US"/>
        </w:rPr>
        <w:t xml:space="preserve">everaging </w:t>
      </w:r>
      <w:r>
        <w:rPr>
          <w:rFonts w:ascii="Times New Roman" w:eastAsia="Times New Roman" w:hAnsi="Times New Roman" w:cs="Times New Roman"/>
          <w:lang w:eastAsia="en-US"/>
        </w:rPr>
        <w:t>these</w:t>
      </w:r>
      <w:r w:rsidRPr="00231620">
        <w:rPr>
          <w:rFonts w:ascii="Times New Roman" w:eastAsia="Times New Roman" w:hAnsi="Times New Roman" w:cs="Times New Roman"/>
          <w:lang w:eastAsia="en-US"/>
        </w:rPr>
        <w:t xml:space="preserve"> lessons, </w:t>
      </w:r>
      <w:r w:rsidRPr="00231620">
        <w:rPr>
          <w:rFonts w:ascii="Times New Roman" w:hAnsi="Times New Roman" w:cs="Times New Roman"/>
        </w:rPr>
        <w:t xml:space="preserve">UNDP </w:t>
      </w:r>
      <w:r>
        <w:rPr>
          <w:rFonts w:ascii="Times New Roman" w:hAnsi="Times New Roman" w:cs="Times New Roman"/>
        </w:rPr>
        <w:t>committed</w:t>
      </w:r>
      <w:r w:rsidRPr="00231620">
        <w:rPr>
          <w:rFonts w:ascii="Times New Roman" w:hAnsi="Times New Roman" w:cs="Times New Roman"/>
        </w:rPr>
        <w:t xml:space="preserve"> to expand</w:t>
      </w:r>
      <w:r>
        <w:rPr>
          <w:rFonts w:ascii="Times New Roman" w:hAnsi="Times New Roman" w:cs="Times New Roman"/>
        </w:rPr>
        <w:t>ing</w:t>
      </w:r>
      <w:r w:rsidRPr="00231620">
        <w:rPr>
          <w:rFonts w:ascii="Times New Roman" w:hAnsi="Times New Roman" w:cs="Times New Roman"/>
        </w:rPr>
        <w:t xml:space="preserve"> its support to partner countries in the areas of </w:t>
      </w:r>
      <w:r w:rsidRPr="00231620">
        <w:rPr>
          <w:rFonts w:ascii="Times New Roman" w:hAnsi="Times New Roman" w:cs="Times New Roman"/>
          <w:color w:val="0E101A"/>
        </w:rPr>
        <w:t xml:space="preserve">innovation and digital transformation as development enablers.  </w:t>
      </w:r>
    </w:p>
    <w:p w14:paraId="7565F365" w14:textId="77777777" w:rsidR="0050259B" w:rsidRPr="00231620" w:rsidRDefault="0050259B" w:rsidP="0050259B">
      <w:pPr>
        <w:pStyle w:val="ListParagraph"/>
        <w:numPr>
          <w:ilvl w:val="0"/>
          <w:numId w:val="25"/>
        </w:numPr>
        <w:tabs>
          <w:tab w:val="left" w:pos="360"/>
        </w:tabs>
        <w:spacing w:after="0" w:line="240" w:lineRule="auto"/>
        <w:ind w:left="0" w:firstLine="0"/>
        <w:jc w:val="both"/>
        <w:rPr>
          <w:rFonts w:ascii="Times New Roman" w:hAnsi="Times New Roman" w:cs="Times New Roman"/>
        </w:rPr>
      </w:pPr>
      <w:r w:rsidRPr="00231620">
        <w:rPr>
          <w:rFonts w:ascii="Times New Roman" w:hAnsi="Times New Roman" w:cs="Times New Roman"/>
        </w:rPr>
        <w:lastRenderedPageBreak/>
        <w:t xml:space="preserve">UNDP is pleased to report key actions </w:t>
      </w:r>
      <w:r>
        <w:rPr>
          <w:rFonts w:ascii="Times New Roman" w:hAnsi="Times New Roman" w:cs="Times New Roman"/>
        </w:rPr>
        <w:t>have</w:t>
      </w:r>
      <w:r w:rsidRPr="00231620">
        <w:rPr>
          <w:rFonts w:ascii="Times New Roman" w:hAnsi="Times New Roman" w:cs="Times New Roman"/>
        </w:rPr>
        <w:t xml:space="preserve"> already been taken to address several challenges identified in the evaluations. For instance, the strategic plan evaluation for 2018-2021 </w:t>
      </w:r>
      <w:r>
        <w:rPr>
          <w:rFonts w:ascii="Times New Roman" w:hAnsi="Times New Roman" w:cs="Times New Roman"/>
        </w:rPr>
        <w:t>and</w:t>
      </w:r>
      <w:r w:rsidRPr="00231620">
        <w:rPr>
          <w:rFonts w:ascii="Times New Roman" w:hAnsi="Times New Roman" w:cs="Times New Roman"/>
        </w:rPr>
        <w:t xml:space="preserve"> several ICPEs pointed out the </w:t>
      </w:r>
      <w:r w:rsidRPr="00231620">
        <w:rPr>
          <w:rFonts w:ascii="Times New Roman" w:hAnsi="Times New Roman" w:cs="Times New Roman"/>
          <w:i/>
          <w:iCs/>
        </w:rPr>
        <w:t>fragmented nature of UNDP programmes, with projects often limited</w:t>
      </w:r>
      <w:r>
        <w:rPr>
          <w:rFonts w:ascii="Times New Roman" w:hAnsi="Times New Roman" w:cs="Times New Roman"/>
          <w:i/>
          <w:iCs/>
        </w:rPr>
        <w:t xml:space="preserve"> in</w:t>
      </w:r>
      <w:r w:rsidRPr="00231620">
        <w:rPr>
          <w:rFonts w:ascii="Times New Roman" w:hAnsi="Times New Roman" w:cs="Times New Roman"/>
          <w:i/>
          <w:iCs/>
        </w:rPr>
        <w:t xml:space="preserve"> scope and scale.</w:t>
      </w:r>
      <w:r w:rsidRPr="00231620">
        <w:rPr>
          <w:rFonts w:ascii="Times New Roman" w:hAnsi="Times New Roman" w:cs="Times New Roman"/>
        </w:rPr>
        <w:t xml:space="preserve"> To address </w:t>
      </w:r>
      <w:r>
        <w:rPr>
          <w:rFonts w:ascii="Times New Roman" w:hAnsi="Times New Roman" w:cs="Times New Roman"/>
        </w:rPr>
        <w:t>this</w:t>
      </w:r>
      <w:r w:rsidRPr="00231620">
        <w:rPr>
          <w:rFonts w:ascii="Times New Roman" w:hAnsi="Times New Roman" w:cs="Times New Roman"/>
        </w:rPr>
        <w:t xml:space="preserve"> issue, UNDP is taking steps to shift from project-driven fundraising to more holistic portfolio approaches </w:t>
      </w:r>
      <w:r>
        <w:rPr>
          <w:rFonts w:ascii="Times New Roman" w:hAnsi="Times New Roman" w:cs="Times New Roman"/>
        </w:rPr>
        <w:t>with</w:t>
      </w:r>
      <w:r w:rsidRPr="00231620">
        <w:rPr>
          <w:rFonts w:ascii="Times New Roman" w:hAnsi="Times New Roman" w:cs="Times New Roman"/>
        </w:rPr>
        <w:t xml:space="preserve"> longer-term, transformative goals and </w:t>
      </w:r>
      <w:r>
        <w:rPr>
          <w:rFonts w:ascii="Times New Roman" w:hAnsi="Times New Roman" w:cs="Times New Roman"/>
        </w:rPr>
        <w:t xml:space="preserve">in terms of </w:t>
      </w:r>
      <w:r w:rsidRPr="00231620">
        <w:rPr>
          <w:rFonts w:ascii="Times New Roman" w:hAnsi="Times New Roman" w:cs="Times New Roman"/>
        </w:rPr>
        <w:t xml:space="preserve">brokering stronger public-private collaboration. </w:t>
      </w:r>
      <w:r>
        <w:rPr>
          <w:rFonts w:ascii="Times New Roman" w:hAnsi="Times New Roman" w:cs="Times New Roman"/>
        </w:rPr>
        <w:t>To start,</w:t>
      </w:r>
      <w:r w:rsidRPr="00231620">
        <w:rPr>
          <w:rFonts w:ascii="Times New Roman" w:hAnsi="Times New Roman" w:cs="Times New Roman"/>
        </w:rPr>
        <w:t xml:space="preserve"> UNDP rolled out a portfolio acceleration protocol </w:t>
      </w:r>
      <w:r>
        <w:rPr>
          <w:rFonts w:ascii="Times New Roman" w:hAnsi="Times New Roman" w:cs="Times New Roman"/>
        </w:rPr>
        <w:t>in</w:t>
      </w:r>
      <w:r w:rsidRPr="00231620">
        <w:rPr>
          <w:rFonts w:ascii="Times New Roman" w:hAnsi="Times New Roman" w:cs="Times New Roman"/>
        </w:rPr>
        <w:t xml:space="preserve"> 40 country offices. </w:t>
      </w:r>
    </w:p>
    <w:p w14:paraId="633751EA" w14:textId="77777777" w:rsidR="0050259B" w:rsidRPr="00141DF9" w:rsidRDefault="0050259B" w:rsidP="0050259B">
      <w:pPr>
        <w:tabs>
          <w:tab w:val="left" w:pos="360"/>
        </w:tabs>
        <w:spacing w:after="0" w:line="240" w:lineRule="auto"/>
        <w:jc w:val="both"/>
        <w:rPr>
          <w:rFonts w:ascii="Times New Roman" w:hAnsi="Times New Roman" w:cs="Times New Roman"/>
        </w:rPr>
      </w:pPr>
    </w:p>
    <w:p w14:paraId="5C4E7152" w14:textId="77777777" w:rsidR="0050259B" w:rsidRPr="00231620" w:rsidRDefault="0050259B" w:rsidP="0050259B">
      <w:pPr>
        <w:pStyle w:val="ListParagraph"/>
        <w:numPr>
          <w:ilvl w:val="0"/>
          <w:numId w:val="25"/>
        </w:numPr>
        <w:tabs>
          <w:tab w:val="left" w:pos="360"/>
          <w:tab w:val="left" w:pos="1710"/>
        </w:tabs>
        <w:spacing w:after="0" w:line="240" w:lineRule="auto"/>
        <w:ind w:left="0" w:firstLine="0"/>
        <w:jc w:val="both"/>
        <w:rPr>
          <w:rFonts w:ascii="Times New Roman" w:hAnsi="Times New Roman" w:cs="Times New Roman"/>
        </w:rPr>
      </w:pPr>
      <w:r w:rsidRPr="00231620">
        <w:rPr>
          <w:rFonts w:ascii="Times New Roman" w:hAnsi="Times New Roman" w:cs="Times New Roman"/>
        </w:rPr>
        <w:t xml:space="preserve">While gender equality and women’s empowerment continue to be a key accelerator of development results, several evaluations stated that </w:t>
      </w:r>
      <w:r w:rsidRPr="00231620">
        <w:rPr>
          <w:rFonts w:ascii="Times New Roman" w:hAnsi="Times New Roman" w:cs="Times New Roman"/>
          <w:i/>
          <w:iCs/>
        </w:rPr>
        <w:t>gender equality programmes in UNDP remain underfunded</w:t>
      </w:r>
      <w:r w:rsidRPr="00231620">
        <w:rPr>
          <w:rFonts w:ascii="Times New Roman" w:eastAsia="Times New Roman" w:hAnsi="Times New Roman" w:cs="Times New Roman"/>
          <w:i/>
          <w:iCs/>
          <w:lang w:eastAsia="en-US"/>
        </w:rPr>
        <w:t xml:space="preserve"> with overall investments well below the organizational commitment of 15 per</w:t>
      </w:r>
      <w:r>
        <w:rPr>
          <w:rFonts w:ascii="Times New Roman" w:eastAsia="Times New Roman" w:hAnsi="Times New Roman" w:cs="Times New Roman"/>
          <w:i/>
          <w:iCs/>
          <w:lang w:eastAsia="en-US"/>
        </w:rPr>
        <w:t xml:space="preserve"> </w:t>
      </w:r>
      <w:r w:rsidRPr="00231620">
        <w:rPr>
          <w:rFonts w:ascii="Times New Roman" w:eastAsia="Times New Roman" w:hAnsi="Times New Roman" w:cs="Times New Roman"/>
          <w:i/>
          <w:iCs/>
          <w:lang w:eastAsia="en-US"/>
        </w:rPr>
        <w:t>cent to</w:t>
      </w:r>
      <w:r>
        <w:rPr>
          <w:rFonts w:ascii="Times New Roman" w:eastAsia="Times New Roman" w:hAnsi="Times New Roman" w:cs="Times New Roman"/>
          <w:i/>
          <w:iCs/>
          <w:lang w:eastAsia="en-US"/>
        </w:rPr>
        <w:t>ward</w:t>
      </w:r>
      <w:r w:rsidRPr="00231620">
        <w:rPr>
          <w:rFonts w:ascii="Times New Roman" w:eastAsia="Times New Roman" w:hAnsi="Times New Roman" w:cs="Times New Roman"/>
          <w:i/>
          <w:iCs/>
          <w:lang w:eastAsia="en-US"/>
        </w:rPr>
        <w:t xml:space="preserve"> gender transformative projects.</w:t>
      </w:r>
      <w:r w:rsidRPr="00231620">
        <w:rPr>
          <w:rFonts w:ascii="Times New Roman" w:eastAsia="Times New Roman" w:hAnsi="Times New Roman" w:cs="Times New Roman"/>
          <w:lang w:eastAsia="en-US"/>
        </w:rPr>
        <w:t xml:space="preserve"> In response to these findings, </w:t>
      </w:r>
      <w:r w:rsidRPr="00231620">
        <w:rPr>
          <w:rFonts w:ascii="Times New Roman" w:hAnsi="Times New Roman" w:cs="Times New Roman"/>
        </w:rPr>
        <w:t xml:space="preserve">UNDP </w:t>
      </w:r>
      <w:r>
        <w:rPr>
          <w:rFonts w:ascii="Times New Roman" w:hAnsi="Times New Roman" w:cs="Times New Roman"/>
        </w:rPr>
        <w:t>took</w:t>
      </w:r>
      <w:r w:rsidRPr="00231620">
        <w:rPr>
          <w:rFonts w:ascii="Times New Roman" w:hAnsi="Times New Roman" w:cs="Times New Roman"/>
        </w:rPr>
        <w:t xml:space="preserve"> decisive steps to reverse the trend. The roll-out of the Rapid Funding Facility for the COVID-19 response required country offices to include gender equality and women’s empowerment as principal or significant objective</w:t>
      </w:r>
      <w:r>
        <w:rPr>
          <w:rFonts w:ascii="Times New Roman" w:hAnsi="Times New Roman" w:cs="Times New Roman"/>
        </w:rPr>
        <w:t>s</w:t>
      </w:r>
      <w:r w:rsidRPr="00231620">
        <w:rPr>
          <w:rFonts w:ascii="Times New Roman" w:hAnsi="Times New Roman" w:cs="Times New Roman"/>
        </w:rPr>
        <w:t xml:space="preserve"> of interventions. In addition, UNDP allocate</w:t>
      </w:r>
      <w:r>
        <w:rPr>
          <w:rFonts w:ascii="Times New Roman" w:hAnsi="Times New Roman" w:cs="Times New Roman"/>
        </w:rPr>
        <w:t>d</w:t>
      </w:r>
      <w:r w:rsidRPr="00231620">
        <w:rPr>
          <w:rFonts w:ascii="Times New Roman" w:hAnsi="Times New Roman" w:cs="Times New Roman"/>
        </w:rPr>
        <w:t xml:space="preserve"> 15 per</w:t>
      </w:r>
      <w:r>
        <w:rPr>
          <w:rFonts w:ascii="Times New Roman" w:hAnsi="Times New Roman" w:cs="Times New Roman"/>
        </w:rPr>
        <w:t xml:space="preserve"> </w:t>
      </w:r>
      <w:r w:rsidRPr="00231620">
        <w:rPr>
          <w:rFonts w:ascii="Times New Roman" w:hAnsi="Times New Roman" w:cs="Times New Roman"/>
        </w:rPr>
        <w:t xml:space="preserve">cent of TRAC3 core resources for gender-dedicated programme activities. </w:t>
      </w:r>
      <w:r>
        <w:rPr>
          <w:rFonts w:ascii="Times New Roman" w:hAnsi="Times New Roman" w:cs="Times New Roman"/>
        </w:rPr>
        <w:t>D</w:t>
      </w:r>
      <w:r w:rsidRPr="00231620">
        <w:rPr>
          <w:rFonts w:ascii="Times New Roman" w:hAnsi="Times New Roman" w:cs="Times New Roman"/>
        </w:rPr>
        <w:t xml:space="preserve">etailed actions to strengthen gender equality and women’s empowerment are included in the Gender Equality Strategy for 2022-2025, which will be submitted to the Executive Board in the </w:t>
      </w:r>
      <w:r>
        <w:rPr>
          <w:rFonts w:ascii="Times New Roman" w:hAnsi="Times New Roman" w:cs="Times New Roman"/>
        </w:rPr>
        <w:t xml:space="preserve">2022 </w:t>
      </w:r>
      <w:r w:rsidRPr="00231620">
        <w:rPr>
          <w:rFonts w:ascii="Times New Roman" w:hAnsi="Times New Roman" w:cs="Times New Roman"/>
        </w:rPr>
        <w:t>annual session.</w:t>
      </w:r>
    </w:p>
    <w:p w14:paraId="485E4588" w14:textId="77777777" w:rsidR="0050259B" w:rsidRPr="00141DF9" w:rsidRDefault="0050259B" w:rsidP="0050259B">
      <w:pPr>
        <w:tabs>
          <w:tab w:val="left" w:pos="360"/>
          <w:tab w:val="left" w:pos="1710"/>
        </w:tabs>
        <w:spacing w:after="0" w:line="240" w:lineRule="auto"/>
        <w:jc w:val="both"/>
        <w:rPr>
          <w:rFonts w:ascii="Times New Roman" w:hAnsi="Times New Roman" w:cs="Times New Roman"/>
        </w:rPr>
      </w:pPr>
    </w:p>
    <w:p w14:paraId="639E5E14" w14:textId="77777777" w:rsidR="0050259B" w:rsidRPr="00231620" w:rsidRDefault="0050259B" w:rsidP="0050259B">
      <w:pPr>
        <w:pStyle w:val="ListParagraph"/>
        <w:numPr>
          <w:ilvl w:val="0"/>
          <w:numId w:val="25"/>
        </w:numPr>
        <w:tabs>
          <w:tab w:val="left" w:pos="360"/>
          <w:tab w:val="left" w:pos="1710"/>
        </w:tabs>
        <w:spacing w:after="0" w:line="240" w:lineRule="auto"/>
        <w:ind w:left="0" w:firstLine="0"/>
        <w:jc w:val="both"/>
        <w:rPr>
          <w:rFonts w:ascii="Times New Roman" w:hAnsi="Times New Roman" w:cs="Times New Roman"/>
        </w:rPr>
      </w:pPr>
      <w:r w:rsidRPr="00231620">
        <w:rPr>
          <w:rFonts w:ascii="Times New Roman" w:eastAsia="Times New Roman" w:hAnsi="Times New Roman" w:cs="Times New Roman"/>
          <w:lang w:eastAsia="en-US"/>
        </w:rPr>
        <w:t>Several evaluations, both thematic and ICPEs</w:t>
      </w:r>
      <w:r>
        <w:rPr>
          <w:rFonts w:ascii="Times New Roman" w:eastAsia="Times New Roman" w:hAnsi="Times New Roman" w:cs="Times New Roman"/>
          <w:lang w:eastAsia="en-US"/>
        </w:rPr>
        <w:t>,</w:t>
      </w:r>
      <w:r w:rsidRPr="00231620">
        <w:rPr>
          <w:rFonts w:ascii="Times New Roman" w:eastAsia="Times New Roman" w:hAnsi="Times New Roman" w:cs="Times New Roman"/>
          <w:lang w:eastAsia="en-US"/>
        </w:rPr>
        <w:t xml:space="preserve"> identified that </w:t>
      </w:r>
      <w:r w:rsidRPr="00231620">
        <w:rPr>
          <w:rFonts w:ascii="Times New Roman" w:eastAsia="Times New Roman" w:hAnsi="Times New Roman" w:cs="Times New Roman"/>
          <w:i/>
          <w:iCs/>
          <w:lang w:eastAsia="en-US"/>
        </w:rPr>
        <w:t>promising engagements with the private sector to advance innovation and economic opportunities</w:t>
      </w:r>
      <w:r>
        <w:rPr>
          <w:rFonts w:ascii="Times New Roman" w:eastAsia="Times New Roman" w:hAnsi="Times New Roman" w:cs="Times New Roman"/>
          <w:i/>
          <w:iCs/>
          <w:lang w:eastAsia="en-US"/>
        </w:rPr>
        <w:t xml:space="preserve"> have been made</w:t>
      </w:r>
      <w:r w:rsidRPr="00231620">
        <w:rPr>
          <w:rFonts w:ascii="Times New Roman" w:eastAsia="Times New Roman" w:hAnsi="Times New Roman" w:cs="Times New Roman"/>
          <w:i/>
          <w:iCs/>
          <w:lang w:eastAsia="en-US"/>
        </w:rPr>
        <w:t xml:space="preserve">, </w:t>
      </w:r>
      <w:r>
        <w:rPr>
          <w:rFonts w:ascii="Times New Roman" w:eastAsia="Times New Roman" w:hAnsi="Times New Roman" w:cs="Times New Roman"/>
          <w:i/>
          <w:iCs/>
          <w:lang w:eastAsia="en-US"/>
        </w:rPr>
        <w:t>but there is still</w:t>
      </w:r>
      <w:r w:rsidRPr="00231620">
        <w:rPr>
          <w:rFonts w:ascii="Times New Roman" w:eastAsia="Times New Roman" w:hAnsi="Times New Roman" w:cs="Times New Roman"/>
          <w:i/>
          <w:iCs/>
          <w:lang w:eastAsia="en-US"/>
        </w:rPr>
        <w:t xml:space="preserve"> room to further leverage these partnerships beyond financial assets.</w:t>
      </w:r>
      <w:r w:rsidRPr="00231620">
        <w:rPr>
          <w:rFonts w:ascii="Times New Roman" w:eastAsia="Times New Roman" w:hAnsi="Times New Roman" w:cs="Times New Roman"/>
          <w:lang w:eastAsia="en-US"/>
        </w:rPr>
        <w:t xml:space="preserve"> </w:t>
      </w:r>
      <w:r w:rsidRPr="00231620">
        <w:rPr>
          <w:rFonts w:ascii="Times New Roman" w:hAnsi="Times New Roman" w:cs="Times New Roman"/>
        </w:rPr>
        <w:t xml:space="preserve">In the strategic plan for 2022-2025, UNDP made a commitment to use its convening power to continue building new alliances with the private sector, cognizant that strengthening existing partnerships and forging new ones will require flexible instruments, modalities, and funding. </w:t>
      </w:r>
      <w:r>
        <w:rPr>
          <w:rFonts w:ascii="Times New Roman" w:hAnsi="Times New Roman" w:cs="Times New Roman"/>
        </w:rPr>
        <w:t>In-country</w:t>
      </w:r>
      <w:r w:rsidRPr="00231620">
        <w:rPr>
          <w:rFonts w:ascii="Times New Roman" w:hAnsi="Times New Roman" w:cs="Times New Roman"/>
        </w:rPr>
        <w:t xml:space="preserve"> programme documents </w:t>
      </w:r>
      <w:r>
        <w:rPr>
          <w:rFonts w:ascii="Times New Roman" w:hAnsi="Times New Roman" w:cs="Times New Roman"/>
        </w:rPr>
        <w:t xml:space="preserve">(CPDs) </w:t>
      </w:r>
      <w:r w:rsidRPr="00231620">
        <w:rPr>
          <w:rFonts w:ascii="Times New Roman" w:hAnsi="Times New Roman" w:cs="Times New Roman"/>
        </w:rPr>
        <w:t xml:space="preserve">adopted in 2021, several country offices included new initiatives aiming at supporting the private sector, wealth creation, and </w:t>
      </w:r>
      <w:r>
        <w:rPr>
          <w:rFonts w:ascii="Times New Roman" w:hAnsi="Times New Roman" w:cs="Times New Roman"/>
        </w:rPr>
        <w:t>improving</w:t>
      </w:r>
      <w:r w:rsidRPr="00231620">
        <w:rPr>
          <w:rFonts w:ascii="Times New Roman" w:hAnsi="Times New Roman" w:cs="Times New Roman"/>
        </w:rPr>
        <w:t xml:space="preserve"> the quality of businesses implemented by micro, small</w:t>
      </w:r>
      <w:r>
        <w:rPr>
          <w:rFonts w:ascii="Times New Roman" w:hAnsi="Times New Roman" w:cs="Times New Roman"/>
        </w:rPr>
        <w:t>,</w:t>
      </w:r>
      <w:r w:rsidRPr="00231620">
        <w:rPr>
          <w:rFonts w:ascii="Times New Roman" w:hAnsi="Times New Roman" w:cs="Times New Roman"/>
        </w:rPr>
        <w:t xml:space="preserve"> and medium enterprises.</w:t>
      </w:r>
    </w:p>
    <w:p w14:paraId="4D8BFFC7" w14:textId="77777777" w:rsidR="0050259B" w:rsidRPr="00141DF9" w:rsidRDefault="0050259B" w:rsidP="0050259B">
      <w:pPr>
        <w:tabs>
          <w:tab w:val="left" w:pos="360"/>
          <w:tab w:val="left" w:pos="1710"/>
        </w:tabs>
        <w:spacing w:after="0" w:line="240" w:lineRule="auto"/>
        <w:jc w:val="both"/>
        <w:rPr>
          <w:rFonts w:ascii="Times New Roman" w:hAnsi="Times New Roman" w:cs="Times New Roman"/>
        </w:rPr>
      </w:pPr>
    </w:p>
    <w:p w14:paraId="0EE05F52" w14:textId="77777777" w:rsidR="0050259B" w:rsidRPr="00231620" w:rsidRDefault="0050259B" w:rsidP="0050259B">
      <w:pPr>
        <w:pStyle w:val="ListParagraph"/>
        <w:numPr>
          <w:ilvl w:val="0"/>
          <w:numId w:val="25"/>
        </w:numPr>
        <w:tabs>
          <w:tab w:val="left" w:pos="360"/>
        </w:tabs>
        <w:spacing w:after="0" w:line="240" w:lineRule="auto"/>
        <w:ind w:left="0" w:firstLine="0"/>
        <w:jc w:val="both"/>
        <w:rPr>
          <w:rFonts w:ascii="Times New Roman" w:hAnsi="Times New Roman" w:cs="Times New Roman"/>
        </w:rPr>
      </w:pPr>
      <w:r w:rsidRPr="00231620">
        <w:rPr>
          <w:rFonts w:ascii="Times New Roman" w:eastAsia="Times New Roman" w:hAnsi="Times New Roman" w:cs="Times New Roman"/>
          <w:i/>
          <w:iCs/>
          <w:lang w:eastAsia="en-US"/>
        </w:rPr>
        <w:t>Monitoring and evaluation systems</w:t>
      </w:r>
      <w:r>
        <w:rPr>
          <w:rFonts w:ascii="Times New Roman" w:eastAsia="Times New Roman" w:hAnsi="Times New Roman" w:cs="Times New Roman"/>
          <w:i/>
          <w:iCs/>
          <w:lang w:eastAsia="en-US"/>
        </w:rPr>
        <w:t>,</w:t>
      </w:r>
      <w:r w:rsidRPr="00231620">
        <w:rPr>
          <w:rFonts w:ascii="Times New Roman" w:eastAsia="Times New Roman" w:hAnsi="Times New Roman" w:cs="Times New Roman"/>
          <w:i/>
          <w:iCs/>
          <w:lang w:eastAsia="en-US"/>
        </w:rPr>
        <w:t xml:space="preserve"> and evaluation culture</w:t>
      </w:r>
      <w:r w:rsidRPr="00231620">
        <w:rPr>
          <w:rFonts w:ascii="Times New Roman" w:eastAsia="Times New Roman" w:hAnsi="Times New Roman" w:cs="Times New Roman"/>
          <w:b/>
          <w:bCs/>
          <w:lang w:eastAsia="en-US"/>
        </w:rPr>
        <w:t xml:space="preserve"> </w:t>
      </w:r>
      <w:r>
        <w:rPr>
          <w:rFonts w:ascii="Times New Roman" w:eastAsia="Times New Roman" w:hAnsi="Times New Roman" w:cs="Times New Roman"/>
          <w:lang w:eastAsia="en-US"/>
        </w:rPr>
        <w:t>are</w:t>
      </w:r>
      <w:r w:rsidRPr="0023162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other</w:t>
      </w:r>
      <w:r w:rsidRPr="00231620">
        <w:rPr>
          <w:rFonts w:ascii="Times New Roman" w:eastAsia="Times New Roman" w:hAnsi="Times New Roman" w:cs="Times New Roman"/>
          <w:lang w:eastAsia="en-US"/>
        </w:rPr>
        <w:t xml:space="preserve"> area</w:t>
      </w:r>
      <w:r>
        <w:rPr>
          <w:rFonts w:ascii="Times New Roman" w:eastAsia="Times New Roman" w:hAnsi="Times New Roman" w:cs="Times New Roman"/>
          <w:lang w:eastAsia="en-US"/>
        </w:rPr>
        <w:t>s</w:t>
      </w:r>
      <w:r w:rsidRPr="00231620">
        <w:rPr>
          <w:rFonts w:ascii="Times New Roman" w:eastAsia="Times New Roman" w:hAnsi="Times New Roman" w:cs="Times New Roman"/>
          <w:lang w:eastAsia="en-US"/>
        </w:rPr>
        <w:t xml:space="preserve"> of challenge identified in several evaluations, including the strategic plan evaluation for 2018-2021. </w:t>
      </w:r>
      <w:r w:rsidRPr="00231620">
        <w:rPr>
          <w:rFonts w:ascii="Times New Roman" w:hAnsi="Times New Roman" w:cs="Times New Roman"/>
        </w:rPr>
        <w:t>Acknowledging evaluation recommendations to strengthen results-</w:t>
      </w:r>
      <w:r w:rsidRPr="00231620">
        <w:rPr>
          <w:rFonts w:ascii="Times New Roman" w:eastAsia="Times New Roman" w:hAnsi="Times New Roman" w:cs="Times New Roman"/>
          <w:lang w:eastAsia="en-US"/>
        </w:rPr>
        <w:t xml:space="preserve">based management and systems, UNDP is holistically redesigning current results planning, monitoring, risk assessment, and reporting systems that link results at all levels to support the implementation of the </w:t>
      </w:r>
      <w:r>
        <w:rPr>
          <w:rFonts w:ascii="Times New Roman" w:eastAsia="Times New Roman" w:hAnsi="Times New Roman" w:cs="Times New Roman"/>
          <w:lang w:eastAsia="en-US"/>
        </w:rPr>
        <w:t>S</w:t>
      </w:r>
      <w:r w:rsidRPr="00231620">
        <w:rPr>
          <w:rFonts w:ascii="Times New Roman" w:eastAsia="Times New Roman" w:hAnsi="Times New Roman" w:cs="Times New Roman"/>
          <w:lang w:eastAsia="en-US"/>
        </w:rPr>
        <w:t xml:space="preserve">trategic </w:t>
      </w:r>
      <w:r>
        <w:rPr>
          <w:rFonts w:ascii="Times New Roman" w:eastAsia="Times New Roman" w:hAnsi="Times New Roman" w:cs="Times New Roman"/>
          <w:lang w:eastAsia="en-US"/>
        </w:rPr>
        <w:t>P</w:t>
      </w:r>
      <w:r w:rsidRPr="00231620">
        <w:rPr>
          <w:rFonts w:ascii="Times New Roman" w:eastAsia="Times New Roman" w:hAnsi="Times New Roman" w:cs="Times New Roman"/>
          <w:lang w:eastAsia="en-US"/>
        </w:rPr>
        <w:t>lan 2022-2025 by leveraging the new enterprise resource planning system and existing platforms. This new architecture will enhance capabilit</w:t>
      </w:r>
      <w:r>
        <w:rPr>
          <w:rFonts w:ascii="Times New Roman" w:eastAsia="Times New Roman" w:hAnsi="Times New Roman" w:cs="Times New Roman"/>
          <w:lang w:eastAsia="en-US"/>
        </w:rPr>
        <w:t>ies</w:t>
      </w:r>
      <w:r w:rsidRPr="00231620">
        <w:rPr>
          <w:rFonts w:ascii="Times New Roman" w:eastAsia="Times New Roman" w:hAnsi="Times New Roman" w:cs="Times New Roman"/>
          <w:lang w:eastAsia="en-US"/>
        </w:rPr>
        <w:t xml:space="preserve"> for results planning, performance monitoring, risk assessment, </w:t>
      </w:r>
      <w:r>
        <w:rPr>
          <w:rFonts w:ascii="Times New Roman" w:eastAsia="Times New Roman" w:hAnsi="Times New Roman" w:cs="Times New Roman"/>
          <w:lang w:eastAsia="en-US"/>
        </w:rPr>
        <w:t xml:space="preserve">and </w:t>
      </w:r>
      <w:r w:rsidRPr="00231620">
        <w:rPr>
          <w:rFonts w:ascii="Times New Roman" w:eastAsia="Times New Roman" w:hAnsi="Times New Roman" w:cs="Times New Roman"/>
          <w:lang w:eastAsia="en-US"/>
        </w:rPr>
        <w:t xml:space="preserve">lesson learning at all levels </w:t>
      </w:r>
      <w:r>
        <w:rPr>
          <w:rFonts w:ascii="Times New Roman" w:eastAsia="Times New Roman" w:hAnsi="Times New Roman" w:cs="Times New Roman"/>
          <w:lang w:eastAsia="en-US"/>
        </w:rPr>
        <w:t>along with increased</w:t>
      </w:r>
      <w:r w:rsidRPr="00231620">
        <w:rPr>
          <w:rFonts w:ascii="Times New Roman" w:eastAsia="Times New Roman" w:hAnsi="Times New Roman" w:cs="Times New Roman"/>
          <w:lang w:eastAsia="en-US"/>
        </w:rPr>
        <w:t xml:space="preserve"> transparency. Detailed actions to strengthen UNDP evaluation performance and culture are articulated in this paper</w:t>
      </w:r>
      <w:r>
        <w:rPr>
          <w:rFonts w:ascii="Times New Roman" w:eastAsia="Times New Roman" w:hAnsi="Times New Roman" w:cs="Times New Roman"/>
          <w:lang w:eastAsia="en-US"/>
        </w:rPr>
        <w:t>,</w:t>
      </w:r>
      <w:r w:rsidRPr="00231620">
        <w:rPr>
          <w:rFonts w:ascii="Times New Roman" w:eastAsia="Times New Roman" w:hAnsi="Times New Roman" w:cs="Times New Roman"/>
          <w:lang w:eastAsia="en-US"/>
        </w:rPr>
        <w:t xml:space="preserve"> as well as in the </w:t>
      </w:r>
      <w:r w:rsidRPr="007643FF">
        <w:rPr>
          <w:rFonts w:ascii="Times New Roman" w:eastAsia="Times New Roman" w:hAnsi="Times New Roman" w:cs="Times New Roman"/>
          <w:i/>
          <w:iCs/>
          <w:lang w:eastAsia="en-US"/>
        </w:rPr>
        <w:t>Roadmap for Strengthening Decentralized Evaluations in UNDP</w:t>
      </w:r>
      <w:r>
        <w:rPr>
          <w:rFonts w:ascii="Times New Roman" w:eastAsia="Times New Roman" w:hAnsi="Times New Roman" w:cs="Times New Roman"/>
          <w:lang w:eastAsia="en-US"/>
        </w:rPr>
        <w:t xml:space="preserve"> document that</w:t>
      </w:r>
      <w:r w:rsidRPr="0023162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will be</w:t>
      </w:r>
      <w:r w:rsidRPr="00231620">
        <w:rPr>
          <w:rFonts w:ascii="Times New Roman" w:eastAsia="Times New Roman" w:hAnsi="Times New Roman" w:cs="Times New Roman"/>
          <w:lang w:eastAsia="en-US"/>
        </w:rPr>
        <w:t xml:space="preserve"> presented to the Executive Board at the</w:t>
      </w:r>
      <w:r>
        <w:rPr>
          <w:rFonts w:ascii="Times New Roman" w:eastAsia="Times New Roman" w:hAnsi="Times New Roman" w:cs="Times New Roman"/>
          <w:lang w:eastAsia="en-US"/>
        </w:rPr>
        <w:t xml:space="preserve"> 2022</w:t>
      </w:r>
      <w:r w:rsidRPr="00231620">
        <w:rPr>
          <w:rFonts w:ascii="Times New Roman" w:eastAsia="Times New Roman" w:hAnsi="Times New Roman" w:cs="Times New Roman"/>
          <w:lang w:eastAsia="en-US"/>
        </w:rPr>
        <w:t xml:space="preserve"> annual session.</w:t>
      </w:r>
    </w:p>
    <w:p w14:paraId="50B58117" w14:textId="77777777" w:rsidR="0050259B" w:rsidRPr="00141DF9" w:rsidRDefault="0050259B" w:rsidP="0050259B">
      <w:pPr>
        <w:tabs>
          <w:tab w:val="left" w:pos="360"/>
        </w:tabs>
        <w:spacing w:after="0" w:line="240" w:lineRule="auto"/>
        <w:jc w:val="both"/>
        <w:rPr>
          <w:rFonts w:ascii="Times New Roman" w:hAnsi="Times New Roman" w:cs="Times New Roman"/>
        </w:rPr>
      </w:pPr>
    </w:p>
    <w:p w14:paraId="5E2620F3" w14:textId="77777777" w:rsidR="0050259B" w:rsidRPr="00231620" w:rsidRDefault="0050259B" w:rsidP="0050259B">
      <w:pPr>
        <w:pStyle w:val="ListParagraph"/>
        <w:numPr>
          <w:ilvl w:val="0"/>
          <w:numId w:val="25"/>
        </w:numPr>
        <w:tabs>
          <w:tab w:val="left" w:pos="360"/>
        </w:tabs>
        <w:spacing w:after="0" w:line="240" w:lineRule="auto"/>
        <w:ind w:left="0" w:firstLine="0"/>
        <w:jc w:val="both"/>
        <w:rPr>
          <w:rFonts w:ascii="Times New Roman" w:hAnsi="Times New Roman" w:cs="Times New Roman"/>
        </w:rPr>
      </w:pPr>
      <w:r w:rsidRPr="00231620">
        <w:rPr>
          <w:rFonts w:ascii="Times New Roman" w:hAnsi="Times New Roman" w:cs="Times New Roman"/>
        </w:rPr>
        <w:t xml:space="preserve">UNDP will continue to, and further evolve, its policies and programmes </w:t>
      </w:r>
      <w:r>
        <w:rPr>
          <w:rFonts w:ascii="Times New Roman" w:hAnsi="Times New Roman" w:cs="Times New Roman"/>
        </w:rPr>
        <w:t xml:space="preserve">for </w:t>
      </w:r>
      <w:r w:rsidRPr="00231620">
        <w:rPr>
          <w:rFonts w:ascii="Times New Roman" w:hAnsi="Times New Roman" w:cs="Times New Roman"/>
        </w:rPr>
        <w:t>responding to the changing needs of programme countries. UNDP will continuously analyze key findings that arise from evaluations as objective evidence to improve its work for delivering results for</w:t>
      </w:r>
      <w:r>
        <w:rPr>
          <w:rFonts w:ascii="Times New Roman" w:hAnsi="Times New Roman" w:cs="Times New Roman"/>
        </w:rPr>
        <w:t xml:space="preserve"> maximum</w:t>
      </w:r>
      <w:r w:rsidRPr="00231620">
        <w:rPr>
          <w:rFonts w:ascii="Times New Roman" w:hAnsi="Times New Roman" w:cs="Times New Roman"/>
        </w:rPr>
        <w:t xml:space="preserve"> impact.  </w:t>
      </w:r>
    </w:p>
    <w:p w14:paraId="77CB030F" w14:textId="77777777" w:rsidR="0050259B" w:rsidRDefault="0050259B" w:rsidP="0050259B">
      <w:pPr>
        <w:spacing w:after="0" w:line="240" w:lineRule="auto"/>
        <w:jc w:val="both"/>
        <w:rPr>
          <w:rFonts w:ascii="Times New Roman" w:eastAsia="Times New Roman,Batang" w:hAnsi="Times New Roman" w:cs="Times New Roman"/>
          <w:bCs/>
          <w:highlight w:val="yellow"/>
          <w:lang w:eastAsia="ko-KR"/>
        </w:rPr>
      </w:pPr>
    </w:p>
    <w:p w14:paraId="42414F29" w14:textId="77777777" w:rsidR="0050259B" w:rsidRPr="00CE1AA7" w:rsidRDefault="0050259B" w:rsidP="0050259B">
      <w:pPr>
        <w:spacing w:after="0" w:line="240" w:lineRule="auto"/>
        <w:jc w:val="both"/>
        <w:rPr>
          <w:rFonts w:ascii="Times New Roman" w:eastAsia="Times New Roman,Batang" w:hAnsi="Times New Roman" w:cs="Times New Roman"/>
          <w:bCs/>
          <w:sz w:val="12"/>
          <w:szCs w:val="12"/>
          <w:highlight w:val="yellow"/>
          <w:lang w:eastAsia="ko-KR"/>
        </w:rPr>
      </w:pPr>
    </w:p>
    <w:p w14:paraId="5E86A359" w14:textId="77777777" w:rsidR="0050259B" w:rsidRPr="000E2A47" w:rsidRDefault="0050259B" w:rsidP="0050259B">
      <w:pPr>
        <w:pStyle w:val="ListParagraph"/>
        <w:numPr>
          <w:ilvl w:val="0"/>
          <w:numId w:val="17"/>
        </w:numPr>
        <w:spacing w:after="0" w:line="240" w:lineRule="auto"/>
        <w:ind w:left="630" w:hanging="630"/>
        <w:jc w:val="both"/>
        <w:rPr>
          <w:rFonts w:ascii="Times New Roman" w:eastAsia="Times New Roman,Batang" w:hAnsi="Times New Roman" w:cs="Times New Roman"/>
          <w:b/>
          <w:sz w:val="24"/>
          <w:szCs w:val="24"/>
          <w:lang w:eastAsia="ko-KR"/>
        </w:rPr>
      </w:pPr>
      <w:r w:rsidRPr="000E2A47">
        <w:rPr>
          <w:rFonts w:ascii="Times New Roman" w:eastAsia="Times New Roman,Batang" w:hAnsi="Times New Roman" w:cs="Times New Roman"/>
          <w:b/>
          <w:sz w:val="24"/>
          <w:szCs w:val="24"/>
          <w:lang w:eastAsia="ko-KR"/>
        </w:rPr>
        <w:t>INDEPENDENT EVALUATIONS</w:t>
      </w:r>
    </w:p>
    <w:p w14:paraId="6E3563CC" w14:textId="77777777" w:rsidR="0050259B" w:rsidRDefault="0050259B" w:rsidP="0050259B">
      <w:pPr>
        <w:spacing w:after="0" w:line="240" w:lineRule="auto"/>
        <w:jc w:val="both"/>
        <w:rPr>
          <w:rFonts w:ascii="Times New Roman" w:hAnsi="Times New Roman" w:cs="Times New Roman"/>
          <w:b/>
          <w:bCs/>
          <w:color w:val="000000" w:themeColor="text1"/>
          <w:u w:val="single"/>
        </w:rPr>
      </w:pPr>
    </w:p>
    <w:p w14:paraId="11427A7B" w14:textId="77777777" w:rsidR="0050259B" w:rsidRDefault="0050259B" w:rsidP="0050259B">
      <w:pPr>
        <w:spacing w:after="0" w:line="240" w:lineRule="auto"/>
        <w:jc w:val="both"/>
        <w:rPr>
          <w:rFonts w:ascii="Times New Roman" w:eastAsia="Times New Roman,Batang" w:hAnsi="Times New Roman" w:cs="Times New Roman"/>
          <w:b/>
          <w:lang w:eastAsia="ko-KR"/>
        </w:rPr>
      </w:pPr>
      <w:r>
        <w:rPr>
          <w:rFonts w:ascii="Times New Roman" w:eastAsia="Times New Roman,Batang" w:hAnsi="Times New Roman" w:cs="Times New Roman"/>
          <w:b/>
          <w:lang w:eastAsia="ko-KR"/>
        </w:rPr>
        <w:t>THEMATIC EVALUATIONS</w:t>
      </w:r>
    </w:p>
    <w:p w14:paraId="3E616D6B" w14:textId="77777777" w:rsidR="0050259B" w:rsidRDefault="0050259B" w:rsidP="0050259B">
      <w:pPr>
        <w:spacing w:after="0" w:line="240" w:lineRule="auto"/>
        <w:jc w:val="both"/>
        <w:rPr>
          <w:rFonts w:ascii="Times New Roman" w:hAnsi="Times New Roman" w:cs="Times New Roman"/>
          <w:b/>
          <w:bCs/>
          <w:color w:val="0070C0"/>
        </w:rPr>
      </w:pPr>
    </w:p>
    <w:p w14:paraId="3AAF6635" w14:textId="77777777" w:rsidR="0050259B" w:rsidRPr="00B0231A" w:rsidRDefault="0050259B" w:rsidP="0050259B">
      <w:pPr>
        <w:pStyle w:val="NoSpacing"/>
        <w:spacing w:after="120"/>
        <w:jc w:val="both"/>
        <w:rPr>
          <w:rFonts w:ascii="Times New Roman" w:eastAsia="Times New Roman,Batang" w:hAnsi="Times New Roman" w:cs="Times New Roman"/>
          <w:b/>
          <w:lang w:eastAsia="ko-KR"/>
        </w:rPr>
      </w:pPr>
      <w:r w:rsidRPr="00B0231A">
        <w:rPr>
          <w:rFonts w:ascii="Times New Roman" w:eastAsia="Times New Roman,Batang" w:hAnsi="Times New Roman" w:cs="Times New Roman"/>
          <w:b/>
          <w:lang w:eastAsia="ko-KR"/>
        </w:rPr>
        <w:t>Implementation of thematic evaluation</w:t>
      </w:r>
      <w:r>
        <w:rPr>
          <w:rFonts w:ascii="Times New Roman" w:eastAsia="Times New Roman,Batang" w:hAnsi="Times New Roman" w:cs="Times New Roman"/>
          <w:b/>
          <w:lang w:eastAsia="ko-KR"/>
        </w:rPr>
        <w:t>s</w:t>
      </w:r>
      <w:r w:rsidRPr="00B0231A">
        <w:rPr>
          <w:rFonts w:ascii="Times New Roman" w:eastAsia="Times New Roman,Batang" w:hAnsi="Times New Roman" w:cs="Times New Roman"/>
          <w:b/>
          <w:lang w:eastAsia="ko-KR"/>
        </w:rPr>
        <w:t xml:space="preserve"> </w:t>
      </w:r>
    </w:p>
    <w:p w14:paraId="75F0CBE7" w14:textId="77777777" w:rsidR="0050259B" w:rsidRDefault="0050259B" w:rsidP="0050259B">
      <w:pPr>
        <w:pStyle w:val="NoSpacing"/>
        <w:numPr>
          <w:ilvl w:val="0"/>
          <w:numId w:val="25"/>
        </w:numPr>
        <w:tabs>
          <w:tab w:val="left" w:pos="360"/>
        </w:tabs>
        <w:spacing w:before="40" w:after="40"/>
        <w:ind w:left="0" w:firstLine="0"/>
        <w:jc w:val="both"/>
        <w:rPr>
          <w:rFonts w:ascii="Times New Roman" w:eastAsia="Times New Roman,Batang" w:hAnsi="Times New Roman" w:cs="Times New Roman"/>
          <w:bCs/>
          <w:lang w:eastAsia="ko-KR"/>
        </w:rPr>
      </w:pPr>
      <w:r w:rsidRPr="00D26AB4">
        <w:rPr>
          <w:rFonts w:ascii="Times New Roman" w:eastAsia="Times New Roman,Batang" w:hAnsi="Times New Roman" w:cs="Times New Roman"/>
          <w:bCs/>
          <w:lang w:eastAsia="ko-KR"/>
        </w:rPr>
        <w:t xml:space="preserve">UNDP </w:t>
      </w:r>
      <w:r>
        <w:rPr>
          <w:rFonts w:ascii="Times New Roman" w:eastAsia="Times New Roman,Batang" w:hAnsi="Times New Roman" w:cs="Times New Roman"/>
          <w:bCs/>
          <w:lang w:eastAsia="ko-KR"/>
        </w:rPr>
        <w:t xml:space="preserve">appreciates the IEO for conducting </w:t>
      </w:r>
      <w:r w:rsidRPr="00D26AB4">
        <w:rPr>
          <w:rFonts w:ascii="Times New Roman" w:eastAsia="Times New Roman,Batang" w:hAnsi="Times New Roman" w:cs="Times New Roman"/>
          <w:bCs/>
          <w:lang w:eastAsia="ko-KR"/>
        </w:rPr>
        <w:t xml:space="preserve">three thematic evaluations </w:t>
      </w:r>
      <w:r>
        <w:rPr>
          <w:rFonts w:ascii="Times New Roman" w:eastAsia="Times New Roman,Batang" w:hAnsi="Times New Roman" w:cs="Times New Roman"/>
          <w:bCs/>
          <w:lang w:eastAsia="ko-KR"/>
        </w:rPr>
        <w:t xml:space="preserve">on </w:t>
      </w:r>
      <w:r w:rsidRPr="00D26AB4">
        <w:rPr>
          <w:rFonts w:ascii="Times New Roman" w:eastAsia="Times New Roman,Batang" w:hAnsi="Times New Roman" w:cs="Times New Roman"/>
          <w:bCs/>
          <w:lang w:eastAsia="ko-KR"/>
        </w:rPr>
        <w:t xml:space="preserve">critical and timely topics, namely the </w:t>
      </w:r>
      <w:r>
        <w:rPr>
          <w:rFonts w:ascii="Times New Roman" w:eastAsia="Times New Roman,Batang" w:hAnsi="Times New Roman" w:cs="Times New Roman"/>
          <w:bCs/>
          <w:lang w:eastAsia="ko-KR"/>
        </w:rPr>
        <w:t>e</w:t>
      </w:r>
      <w:r w:rsidRPr="00D26AB4">
        <w:rPr>
          <w:rFonts w:ascii="Times New Roman" w:eastAsia="Times New Roman,Batang" w:hAnsi="Times New Roman" w:cs="Times New Roman"/>
          <w:bCs/>
          <w:lang w:eastAsia="ko-KR"/>
        </w:rPr>
        <w:t xml:space="preserve">valuation of UNDP support to </w:t>
      </w:r>
      <w:r>
        <w:rPr>
          <w:rFonts w:ascii="Times New Roman" w:eastAsia="Times New Roman,Batang" w:hAnsi="Times New Roman" w:cs="Times New Roman"/>
          <w:bCs/>
          <w:lang w:eastAsia="ko-KR"/>
        </w:rPr>
        <w:t>y</w:t>
      </w:r>
      <w:r w:rsidRPr="00D26AB4">
        <w:rPr>
          <w:rFonts w:ascii="Times New Roman" w:eastAsia="Times New Roman,Batang" w:hAnsi="Times New Roman" w:cs="Times New Roman"/>
          <w:bCs/>
          <w:lang w:eastAsia="ko-KR"/>
        </w:rPr>
        <w:t xml:space="preserve">outh </w:t>
      </w:r>
      <w:r>
        <w:rPr>
          <w:rFonts w:ascii="Times New Roman" w:eastAsia="Times New Roman,Batang" w:hAnsi="Times New Roman" w:cs="Times New Roman"/>
          <w:bCs/>
          <w:lang w:eastAsia="ko-KR"/>
        </w:rPr>
        <w:t>e</w:t>
      </w:r>
      <w:r w:rsidRPr="00D26AB4">
        <w:rPr>
          <w:rFonts w:ascii="Times New Roman" w:eastAsia="Times New Roman,Batang" w:hAnsi="Times New Roman" w:cs="Times New Roman"/>
          <w:bCs/>
          <w:lang w:eastAsia="ko-KR"/>
        </w:rPr>
        <w:t xml:space="preserve">conomic </w:t>
      </w:r>
      <w:r>
        <w:rPr>
          <w:rFonts w:ascii="Times New Roman" w:eastAsia="Times New Roman,Batang" w:hAnsi="Times New Roman" w:cs="Times New Roman"/>
          <w:bCs/>
          <w:lang w:eastAsia="ko-KR"/>
        </w:rPr>
        <w:t>e</w:t>
      </w:r>
      <w:r w:rsidRPr="00D26AB4">
        <w:rPr>
          <w:rFonts w:ascii="Times New Roman" w:eastAsia="Times New Roman,Batang" w:hAnsi="Times New Roman" w:cs="Times New Roman"/>
          <w:bCs/>
          <w:lang w:eastAsia="ko-KR"/>
        </w:rPr>
        <w:t xml:space="preserve">mpowerment, </w:t>
      </w:r>
      <w:r>
        <w:rPr>
          <w:rFonts w:ascii="Times New Roman" w:eastAsia="Times New Roman,Batang" w:hAnsi="Times New Roman" w:cs="Times New Roman"/>
          <w:bCs/>
          <w:lang w:eastAsia="ko-KR"/>
        </w:rPr>
        <w:t xml:space="preserve">evaluation of </w:t>
      </w:r>
      <w:r w:rsidRPr="00D26AB4">
        <w:rPr>
          <w:rFonts w:ascii="Times New Roman" w:eastAsia="Times New Roman,Batang" w:hAnsi="Times New Roman" w:cs="Times New Roman"/>
          <w:bCs/>
          <w:lang w:eastAsia="ko-KR"/>
        </w:rPr>
        <w:t xml:space="preserve">UNDP support to </w:t>
      </w:r>
      <w:r>
        <w:rPr>
          <w:rFonts w:ascii="Times New Roman" w:eastAsia="Times New Roman,Batang" w:hAnsi="Times New Roman" w:cs="Times New Roman"/>
          <w:bCs/>
          <w:lang w:eastAsia="ko-KR"/>
        </w:rPr>
        <w:t>e</w:t>
      </w:r>
      <w:r w:rsidRPr="00D26AB4">
        <w:rPr>
          <w:rFonts w:ascii="Times New Roman" w:eastAsia="Times New Roman,Batang" w:hAnsi="Times New Roman" w:cs="Times New Roman"/>
          <w:bCs/>
          <w:lang w:eastAsia="ko-KR"/>
        </w:rPr>
        <w:t xml:space="preserve">nergy </w:t>
      </w:r>
      <w:r>
        <w:rPr>
          <w:rFonts w:ascii="Times New Roman" w:eastAsia="Times New Roman,Batang" w:hAnsi="Times New Roman" w:cs="Times New Roman"/>
          <w:bCs/>
          <w:lang w:eastAsia="ko-KR"/>
        </w:rPr>
        <w:t>a</w:t>
      </w:r>
      <w:r w:rsidRPr="00D26AB4">
        <w:rPr>
          <w:rFonts w:ascii="Times New Roman" w:eastAsia="Times New Roman,Batang" w:hAnsi="Times New Roman" w:cs="Times New Roman"/>
          <w:bCs/>
          <w:lang w:eastAsia="ko-KR"/>
        </w:rPr>
        <w:t xml:space="preserve">ccess and </w:t>
      </w:r>
      <w:r>
        <w:rPr>
          <w:rFonts w:ascii="Times New Roman" w:eastAsia="Times New Roman,Batang" w:hAnsi="Times New Roman" w:cs="Times New Roman"/>
          <w:bCs/>
          <w:lang w:eastAsia="ko-KR"/>
        </w:rPr>
        <w:t>t</w:t>
      </w:r>
      <w:r w:rsidRPr="00D26AB4">
        <w:rPr>
          <w:rFonts w:ascii="Times New Roman" w:eastAsia="Times New Roman,Batang" w:hAnsi="Times New Roman" w:cs="Times New Roman"/>
          <w:bCs/>
          <w:lang w:eastAsia="ko-KR"/>
        </w:rPr>
        <w:t>ransition, and</w:t>
      </w:r>
      <w:r>
        <w:rPr>
          <w:rFonts w:ascii="Times New Roman" w:eastAsia="Times New Roman,Batang" w:hAnsi="Times New Roman" w:cs="Times New Roman"/>
          <w:bCs/>
          <w:lang w:eastAsia="ko-KR"/>
        </w:rPr>
        <w:t xml:space="preserve"> the </w:t>
      </w:r>
      <w:r w:rsidRPr="00F71D4E">
        <w:rPr>
          <w:rFonts w:ascii="Times New Roman" w:eastAsia="Times New Roman,Batang" w:hAnsi="Times New Roman" w:cs="Times New Roman"/>
          <w:bCs/>
          <w:lang w:eastAsia="ko-KR"/>
        </w:rPr>
        <w:t xml:space="preserve">formative evaluation of </w:t>
      </w:r>
      <w:r>
        <w:rPr>
          <w:rFonts w:ascii="Times New Roman" w:eastAsia="Times New Roman,Batang" w:hAnsi="Times New Roman" w:cs="Times New Roman"/>
          <w:bCs/>
          <w:lang w:eastAsia="ko-KR"/>
        </w:rPr>
        <w:t xml:space="preserve">the </w:t>
      </w:r>
      <w:r w:rsidRPr="00F71D4E">
        <w:rPr>
          <w:rFonts w:ascii="Times New Roman" w:eastAsia="Times New Roman,Batang" w:hAnsi="Times New Roman" w:cs="Times New Roman"/>
          <w:bCs/>
          <w:lang w:eastAsia="ko-KR"/>
        </w:rPr>
        <w:t xml:space="preserve">UNDP response to the </w:t>
      </w:r>
      <w:r>
        <w:rPr>
          <w:rFonts w:ascii="Times New Roman" w:eastAsia="Times New Roman,Batang" w:hAnsi="Times New Roman" w:cs="Times New Roman"/>
          <w:bCs/>
          <w:lang w:eastAsia="ko-KR"/>
        </w:rPr>
        <w:t>p</w:t>
      </w:r>
      <w:r w:rsidRPr="00F71D4E">
        <w:rPr>
          <w:rFonts w:ascii="Times New Roman" w:eastAsia="Times New Roman,Batang" w:hAnsi="Times New Roman" w:cs="Times New Roman"/>
          <w:bCs/>
          <w:lang w:eastAsia="ko-KR"/>
        </w:rPr>
        <w:t xml:space="preserve">andemic and </w:t>
      </w:r>
      <w:r>
        <w:rPr>
          <w:rFonts w:ascii="Times New Roman" w:eastAsia="Times New Roman,Batang" w:hAnsi="Times New Roman" w:cs="Times New Roman"/>
          <w:bCs/>
          <w:lang w:eastAsia="ko-KR"/>
        </w:rPr>
        <w:t xml:space="preserve">SDG </w:t>
      </w:r>
      <w:r w:rsidRPr="00F71D4E">
        <w:rPr>
          <w:rFonts w:ascii="Times New Roman" w:eastAsia="Times New Roman,Batang" w:hAnsi="Times New Roman" w:cs="Times New Roman"/>
          <w:bCs/>
          <w:lang w:eastAsia="ko-KR"/>
        </w:rPr>
        <w:t>financing</w:t>
      </w:r>
      <w:r>
        <w:rPr>
          <w:rFonts w:ascii="Times New Roman" w:eastAsia="Times New Roman,Batang" w:hAnsi="Times New Roman" w:cs="Times New Roman"/>
          <w:bCs/>
          <w:lang w:eastAsia="ko-KR"/>
        </w:rPr>
        <w:t xml:space="preserve">. UNDP presented its management response to the first two evaluations at the first regular session </w:t>
      </w:r>
      <w:r>
        <w:rPr>
          <w:rFonts w:ascii="Times New Roman" w:eastAsia="Times New Roman,Batang" w:hAnsi="Times New Roman" w:cs="Times New Roman"/>
          <w:bCs/>
          <w:lang w:eastAsia="ko-KR"/>
        </w:rPr>
        <w:lastRenderedPageBreak/>
        <w:t xml:space="preserve">in February 2022, where UNDP accepted all recommendations made in the evaluations. The management response to the formative evaluation of the UNDP response to the pandemic and SDG financing </w:t>
      </w:r>
      <w:r w:rsidRPr="00D26AB4">
        <w:rPr>
          <w:rFonts w:ascii="Times New Roman" w:eastAsia="Times New Roman,Batang" w:hAnsi="Times New Roman" w:cs="Times New Roman"/>
          <w:bCs/>
          <w:lang w:eastAsia="ko-KR"/>
        </w:rPr>
        <w:t xml:space="preserve">will be presented </w:t>
      </w:r>
      <w:r>
        <w:rPr>
          <w:rFonts w:ascii="Times New Roman" w:eastAsia="Times New Roman,Batang" w:hAnsi="Times New Roman" w:cs="Times New Roman"/>
          <w:bCs/>
          <w:lang w:eastAsia="ko-KR"/>
        </w:rPr>
        <w:t xml:space="preserve">to the Executive Board </w:t>
      </w:r>
      <w:r w:rsidRPr="00D26AB4">
        <w:rPr>
          <w:rFonts w:ascii="Times New Roman" w:eastAsia="Times New Roman,Batang" w:hAnsi="Times New Roman" w:cs="Times New Roman"/>
          <w:bCs/>
          <w:lang w:eastAsia="ko-KR"/>
        </w:rPr>
        <w:t xml:space="preserve">at the </w:t>
      </w:r>
      <w:r>
        <w:rPr>
          <w:rFonts w:ascii="Times New Roman" w:eastAsia="Times New Roman,Batang" w:hAnsi="Times New Roman" w:cs="Times New Roman"/>
          <w:bCs/>
          <w:lang w:eastAsia="ko-KR"/>
        </w:rPr>
        <w:t>2022 a</w:t>
      </w:r>
      <w:r w:rsidRPr="00D26AB4">
        <w:rPr>
          <w:rFonts w:ascii="Times New Roman" w:eastAsia="Times New Roman,Batang" w:hAnsi="Times New Roman" w:cs="Times New Roman"/>
          <w:bCs/>
          <w:lang w:eastAsia="ko-KR"/>
        </w:rPr>
        <w:t xml:space="preserve">nnual session.  </w:t>
      </w:r>
    </w:p>
    <w:p w14:paraId="31CB5627" w14:textId="77777777" w:rsidR="0050259B" w:rsidRDefault="0050259B" w:rsidP="0050259B">
      <w:pPr>
        <w:pStyle w:val="NoSpacing"/>
        <w:tabs>
          <w:tab w:val="left" w:pos="360"/>
        </w:tabs>
        <w:jc w:val="both"/>
        <w:rPr>
          <w:rFonts w:ascii="Times New Roman" w:eastAsia="Times New Roman,Batang" w:hAnsi="Times New Roman" w:cs="Times New Roman"/>
          <w:bCs/>
          <w:lang w:eastAsia="ko-KR"/>
        </w:rPr>
      </w:pPr>
    </w:p>
    <w:p w14:paraId="60B4EC1C" w14:textId="77777777" w:rsidR="0050259B" w:rsidRPr="00727CDE" w:rsidRDefault="0050259B" w:rsidP="0050259B">
      <w:pPr>
        <w:pStyle w:val="ListParagraph"/>
        <w:numPr>
          <w:ilvl w:val="0"/>
          <w:numId w:val="25"/>
        </w:numPr>
        <w:tabs>
          <w:tab w:val="left" w:pos="360"/>
        </w:tabs>
        <w:spacing w:after="0" w:line="240" w:lineRule="auto"/>
        <w:ind w:left="0" w:firstLine="0"/>
        <w:contextualSpacing w:val="0"/>
        <w:jc w:val="both"/>
        <w:rPr>
          <w:rFonts w:ascii="Times New Roman" w:hAnsi="Times New Roman" w:cs="Times New Roman"/>
        </w:rPr>
      </w:pPr>
      <w:r w:rsidRPr="00727CDE">
        <w:rPr>
          <w:rFonts w:ascii="Times New Roman" w:eastAsia="Times New Roman,Batang" w:hAnsi="Times New Roman" w:cs="Times New Roman"/>
          <w:bCs/>
          <w:lang w:eastAsia="ko-KR"/>
        </w:rPr>
        <w:t xml:space="preserve">The thematic evaluations conducted over the last strategic plan period covered all six signature solution areas. These contributed to an enhanced understanding of UNDP strengths and areas for improvement </w:t>
      </w:r>
      <w:r>
        <w:rPr>
          <w:rFonts w:ascii="Times New Roman" w:eastAsia="Times New Roman,Batang" w:hAnsi="Times New Roman" w:cs="Times New Roman"/>
          <w:bCs/>
          <w:lang w:eastAsia="ko-KR"/>
        </w:rPr>
        <w:t>in</w:t>
      </w:r>
      <w:r w:rsidRPr="00727CDE">
        <w:rPr>
          <w:rFonts w:ascii="Times New Roman" w:eastAsia="Times New Roman,Batang" w:hAnsi="Times New Roman" w:cs="Times New Roman"/>
          <w:bCs/>
          <w:lang w:eastAsia="ko-KR"/>
        </w:rPr>
        <w:t xml:space="preserve"> strategic programmatic prioritization. </w:t>
      </w:r>
      <w:r w:rsidRPr="00727CDE">
        <w:rPr>
          <w:rFonts w:ascii="Times New Roman" w:hAnsi="Times New Roman" w:cs="Times New Roman"/>
        </w:rPr>
        <w:t xml:space="preserve">UNDP especially welcomes IEO efforts to strengthen evaluation quality and utility by appointing seven </w:t>
      </w:r>
      <w:r>
        <w:rPr>
          <w:rFonts w:ascii="Times New Roman" w:hAnsi="Times New Roman" w:cs="Times New Roman"/>
        </w:rPr>
        <w:t xml:space="preserve">IEO </w:t>
      </w:r>
      <w:r w:rsidRPr="00727CDE">
        <w:rPr>
          <w:rFonts w:ascii="Times New Roman" w:hAnsi="Times New Roman" w:cs="Times New Roman"/>
        </w:rPr>
        <w:t>staff members as thematic focal points.</w:t>
      </w:r>
    </w:p>
    <w:p w14:paraId="17D2D520" w14:textId="77777777" w:rsidR="0050259B" w:rsidRDefault="0050259B" w:rsidP="0050259B">
      <w:pPr>
        <w:spacing w:after="0" w:line="240" w:lineRule="auto"/>
        <w:jc w:val="both"/>
        <w:rPr>
          <w:rFonts w:ascii="Times New Roman" w:eastAsia="Times New Roman,Batang" w:hAnsi="Times New Roman" w:cs="Times New Roman"/>
          <w:bCs/>
          <w:lang w:eastAsia="ko-KR"/>
        </w:rPr>
      </w:pPr>
    </w:p>
    <w:p w14:paraId="0E46F622" w14:textId="77777777" w:rsidR="0050259B" w:rsidRPr="00C43379" w:rsidRDefault="0050259B" w:rsidP="0050259B">
      <w:pPr>
        <w:pStyle w:val="NoSpacing"/>
        <w:spacing w:after="120"/>
        <w:jc w:val="both"/>
        <w:rPr>
          <w:rFonts w:ascii="Times New Roman" w:eastAsia="Times New Roman,Batang" w:hAnsi="Times New Roman" w:cs="Times New Roman"/>
          <w:b/>
          <w:lang w:eastAsia="ko-KR"/>
        </w:rPr>
      </w:pPr>
      <w:r w:rsidRPr="00C43379">
        <w:rPr>
          <w:rFonts w:ascii="Times New Roman" w:eastAsia="Times New Roman,Batang" w:hAnsi="Times New Roman" w:cs="Times New Roman"/>
          <w:b/>
          <w:lang w:eastAsia="ko-KR"/>
        </w:rPr>
        <w:t xml:space="preserve">Implementation of management actions of </w:t>
      </w:r>
      <w:r>
        <w:rPr>
          <w:rFonts w:ascii="Times New Roman" w:eastAsia="Times New Roman,Batang" w:hAnsi="Times New Roman" w:cs="Times New Roman"/>
          <w:b/>
          <w:lang w:eastAsia="ko-KR"/>
        </w:rPr>
        <w:t>thematic</w:t>
      </w:r>
      <w:r w:rsidRPr="00C43379">
        <w:rPr>
          <w:rFonts w:ascii="Times New Roman" w:eastAsia="Times New Roman,Batang" w:hAnsi="Times New Roman" w:cs="Times New Roman"/>
          <w:b/>
          <w:lang w:eastAsia="ko-KR"/>
        </w:rPr>
        <w:t xml:space="preserve"> evaluations</w:t>
      </w:r>
    </w:p>
    <w:p w14:paraId="535D3118" w14:textId="77777777" w:rsidR="0050259B" w:rsidRPr="00BC44BA" w:rsidRDefault="0050259B" w:rsidP="0050259B">
      <w:pPr>
        <w:pStyle w:val="ListParagraph"/>
        <w:numPr>
          <w:ilvl w:val="0"/>
          <w:numId w:val="25"/>
        </w:numPr>
        <w:tabs>
          <w:tab w:val="left" w:pos="180"/>
          <w:tab w:val="left" w:pos="360"/>
        </w:tabs>
        <w:spacing w:after="0" w:line="240" w:lineRule="auto"/>
        <w:ind w:left="0" w:firstLine="0"/>
        <w:jc w:val="both"/>
        <w:rPr>
          <w:rFonts w:ascii="Times New Roman" w:hAnsi="Times New Roman" w:cs="Times New Roman"/>
          <w:color w:val="0070C0"/>
        </w:rPr>
      </w:pPr>
      <w:r w:rsidRPr="00727CDE">
        <w:rPr>
          <w:rFonts w:ascii="Times New Roman" w:eastAsia="Times New Roman,Batang" w:hAnsi="Times New Roman" w:cs="Times New Roman"/>
          <w:bCs/>
          <w:lang w:eastAsia="ko-KR"/>
        </w:rPr>
        <w:t xml:space="preserve">Given the criticality of </w:t>
      </w:r>
      <w:r w:rsidRPr="00BC44BA">
        <w:rPr>
          <w:rFonts w:ascii="Times New Roman" w:eastAsia="Times New Roman,Batang" w:hAnsi="Times New Roman" w:cs="Times New Roman"/>
          <w:bCs/>
          <w:lang w:eastAsia="ko-KR"/>
        </w:rPr>
        <w:t xml:space="preserve">knowledge and lessons emanating from thematic evaluations to strengthen UNDP programmes and projects, the organization intensified efforts to implement management actions.  Over the last five years, the IEO completed 11 thematic evaluations, </w:t>
      </w:r>
      <w:r>
        <w:rPr>
          <w:rFonts w:ascii="Times New Roman" w:eastAsia="Times New Roman,Batang" w:hAnsi="Times New Roman" w:cs="Times New Roman"/>
          <w:bCs/>
          <w:lang w:eastAsia="ko-KR"/>
        </w:rPr>
        <w:t>resulting in</w:t>
      </w:r>
      <w:r w:rsidRPr="00BC44BA">
        <w:rPr>
          <w:rFonts w:ascii="Times New Roman" w:eastAsia="Times New Roman,Batang" w:hAnsi="Times New Roman" w:cs="Times New Roman"/>
          <w:bCs/>
          <w:lang w:eastAsia="ko-KR"/>
        </w:rPr>
        <w:t xml:space="preserve"> 90 valuable recommendations. UNDP is pleased to inform that UNDP implemented 96 per</w:t>
      </w:r>
      <w:r>
        <w:rPr>
          <w:rFonts w:ascii="Times New Roman" w:eastAsia="Times New Roman,Batang" w:hAnsi="Times New Roman" w:cs="Times New Roman"/>
          <w:bCs/>
          <w:lang w:eastAsia="ko-KR"/>
        </w:rPr>
        <w:t xml:space="preserve"> </w:t>
      </w:r>
      <w:r w:rsidRPr="00BC44BA">
        <w:rPr>
          <w:rFonts w:ascii="Times New Roman" w:eastAsia="Times New Roman,Batang" w:hAnsi="Times New Roman" w:cs="Times New Roman"/>
          <w:bCs/>
          <w:lang w:eastAsia="ko-KR"/>
        </w:rPr>
        <w:t>cent of management actions (73 per</w:t>
      </w:r>
      <w:r>
        <w:rPr>
          <w:rFonts w:ascii="Times New Roman" w:eastAsia="Times New Roman,Batang" w:hAnsi="Times New Roman" w:cs="Times New Roman"/>
          <w:bCs/>
          <w:lang w:eastAsia="ko-KR"/>
        </w:rPr>
        <w:t xml:space="preserve"> </w:t>
      </w:r>
      <w:r w:rsidRPr="00BC44BA">
        <w:rPr>
          <w:rFonts w:ascii="Times New Roman" w:eastAsia="Times New Roman,Batang" w:hAnsi="Times New Roman" w:cs="Times New Roman"/>
          <w:bCs/>
          <w:lang w:eastAsia="ko-KR"/>
        </w:rPr>
        <w:t>cent “completed” and 23 per</w:t>
      </w:r>
      <w:r>
        <w:rPr>
          <w:rFonts w:ascii="Times New Roman" w:eastAsia="Times New Roman,Batang" w:hAnsi="Times New Roman" w:cs="Times New Roman"/>
          <w:bCs/>
          <w:lang w:eastAsia="ko-KR"/>
        </w:rPr>
        <w:t xml:space="preserve"> </w:t>
      </w:r>
      <w:r w:rsidRPr="00BC44BA">
        <w:rPr>
          <w:rFonts w:ascii="Times New Roman" w:eastAsia="Times New Roman,Batang" w:hAnsi="Times New Roman" w:cs="Times New Roman"/>
          <w:bCs/>
          <w:lang w:eastAsia="ko-KR"/>
        </w:rPr>
        <w:t xml:space="preserve">cent “ongoing or initiated”), </w:t>
      </w:r>
      <w:r>
        <w:rPr>
          <w:rFonts w:ascii="Times New Roman" w:eastAsia="Times New Roman,Batang" w:hAnsi="Times New Roman" w:cs="Times New Roman"/>
          <w:bCs/>
          <w:lang w:eastAsia="ko-KR"/>
        </w:rPr>
        <w:t xml:space="preserve">which is </w:t>
      </w:r>
      <w:r w:rsidRPr="00BC44BA">
        <w:rPr>
          <w:rFonts w:ascii="Times New Roman" w:eastAsia="Times New Roman,Batang" w:hAnsi="Times New Roman" w:cs="Times New Roman"/>
          <w:bCs/>
          <w:lang w:eastAsia="ko-KR"/>
        </w:rPr>
        <w:t>a 10</w:t>
      </w:r>
      <w:r>
        <w:rPr>
          <w:rFonts w:ascii="Times New Roman" w:eastAsia="Times New Roman,Batang" w:hAnsi="Times New Roman" w:cs="Times New Roman"/>
          <w:bCs/>
          <w:lang w:eastAsia="ko-KR"/>
        </w:rPr>
        <w:t xml:space="preserve"> per cent</w:t>
      </w:r>
      <w:r w:rsidRPr="00BC44BA">
        <w:rPr>
          <w:rFonts w:ascii="Times New Roman" w:eastAsia="Times New Roman,Batang" w:hAnsi="Times New Roman" w:cs="Times New Roman"/>
          <w:bCs/>
          <w:lang w:eastAsia="ko-KR"/>
        </w:rPr>
        <w:t xml:space="preserve"> point increase from 2020. For evaluations completed in 2021, 43 per</w:t>
      </w:r>
      <w:r>
        <w:rPr>
          <w:rFonts w:ascii="Times New Roman" w:eastAsia="Times New Roman,Batang" w:hAnsi="Times New Roman" w:cs="Times New Roman"/>
          <w:bCs/>
          <w:lang w:eastAsia="ko-KR"/>
        </w:rPr>
        <w:t xml:space="preserve"> </w:t>
      </w:r>
      <w:r w:rsidRPr="00BC44BA">
        <w:rPr>
          <w:rFonts w:ascii="Times New Roman" w:eastAsia="Times New Roman,Batang" w:hAnsi="Times New Roman" w:cs="Times New Roman"/>
          <w:bCs/>
          <w:lang w:eastAsia="ko-KR"/>
        </w:rPr>
        <w:t xml:space="preserve">cent of actions </w:t>
      </w:r>
      <w:r>
        <w:rPr>
          <w:rFonts w:ascii="Times New Roman" w:eastAsia="Times New Roman,Batang" w:hAnsi="Times New Roman" w:cs="Times New Roman"/>
          <w:bCs/>
          <w:lang w:eastAsia="ko-KR"/>
        </w:rPr>
        <w:t>were</w:t>
      </w:r>
      <w:r w:rsidRPr="00BC44BA">
        <w:rPr>
          <w:rFonts w:ascii="Times New Roman" w:eastAsia="Times New Roman,Batang" w:hAnsi="Times New Roman" w:cs="Times New Roman"/>
          <w:bCs/>
          <w:lang w:eastAsia="ko-KR"/>
        </w:rPr>
        <w:t xml:space="preserve"> completed and 49 per</w:t>
      </w:r>
      <w:r>
        <w:rPr>
          <w:rFonts w:ascii="Times New Roman" w:eastAsia="Times New Roman,Batang" w:hAnsi="Times New Roman" w:cs="Times New Roman"/>
          <w:bCs/>
          <w:lang w:eastAsia="ko-KR"/>
        </w:rPr>
        <w:t xml:space="preserve"> </w:t>
      </w:r>
      <w:r w:rsidRPr="00BC44BA">
        <w:rPr>
          <w:rFonts w:ascii="Times New Roman" w:eastAsia="Times New Roman,Batang" w:hAnsi="Times New Roman" w:cs="Times New Roman"/>
          <w:bCs/>
          <w:lang w:eastAsia="ko-KR"/>
        </w:rPr>
        <w:t xml:space="preserve">cent are in progress. Out of </w:t>
      </w:r>
      <w:r>
        <w:rPr>
          <w:rFonts w:ascii="Times New Roman" w:eastAsia="Times New Roman,Batang" w:hAnsi="Times New Roman" w:cs="Times New Roman"/>
          <w:bCs/>
          <w:lang w:eastAsia="ko-KR"/>
        </w:rPr>
        <w:t>five</w:t>
      </w:r>
      <w:r w:rsidRPr="00BC44BA">
        <w:rPr>
          <w:rFonts w:ascii="Times New Roman" w:eastAsia="Times New Roman,Batang" w:hAnsi="Times New Roman" w:cs="Times New Roman"/>
          <w:bCs/>
          <w:lang w:eastAsia="ko-KR"/>
        </w:rPr>
        <w:t xml:space="preserve"> thematic evaluations from 2021, two were presented and endorsed at the Annual </w:t>
      </w:r>
      <w:r>
        <w:rPr>
          <w:rFonts w:ascii="Times New Roman" w:eastAsia="Times New Roman,Batang" w:hAnsi="Times New Roman" w:cs="Times New Roman"/>
          <w:bCs/>
          <w:lang w:eastAsia="ko-KR"/>
        </w:rPr>
        <w:t>E</w:t>
      </w:r>
      <w:r w:rsidRPr="00BC44BA">
        <w:rPr>
          <w:rFonts w:ascii="Times New Roman" w:eastAsia="Times New Roman,Batang" w:hAnsi="Times New Roman" w:cs="Times New Roman"/>
          <w:bCs/>
          <w:lang w:eastAsia="ko-KR"/>
        </w:rPr>
        <w:t xml:space="preserve">xecutive </w:t>
      </w:r>
      <w:r>
        <w:rPr>
          <w:rFonts w:ascii="Times New Roman" w:eastAsia="Times New Roman,Batang" w:hAnsi="Times New Roman" w:cs="Times New Roman"/>
          <w:bCs/>
          <w:lang w:eastAsia="ko-KR"/>
        </w:rPr>
        <w:t>B</w:t>
      </w:r>
      <w:r w:rsidRPr="00BC44BA">
        <w:rPr>
          <w:rFonts w:ascii="Times New Roman" w:eastAsia="Times New Roman,Batang" w:hAnsi="Times New Roman" w:cs="Times New Roman"/>
          <w:bCs/>
          <w:lang w:eastAsia="ko-KR"/>
        </w:rPr>
        <w:t xml:space="preserve">oard session </w:t>
      </w:r>
      <w:r>
        <w:rPr>
          <w:rFonts w:ascii="Times New Roman" w:eastAsia="Times New Roman,Batang" w:hAnsi="Times New Roman" w:cs="Times New Roman"/>
          <w:bCs/>
          <w:lang w:eastAsia="ko-KR"/>
        </w:rPr>
        <w:t xml:space="preserve">for </w:t>
      </w:r>
      <w:r w:rsidRPr="00BC44BA">
        <w:rPr>
          <w:rFonts w:ascii="Times New Roman" w:eastAsia="Times New Roman,Batang" w:hAnsi="Times New Roman" w:cs="Times New Roman"/>
          <w:bCs/>
          <w:lang w:eastAsia="ko-KR"/>
        </w:rPr>
        <w:t>2021. The use of thematic evaluations</w:t>
      </w:r>
      <w:r>
        <w:rPr>
          <w:rFonts w:ascii="Times New Roman" w:eastAsia="Times New Roman,Batang" w:hAnsi="Times New Roman" w:cs="Times New Roman"/>
          <w:bCs/>
          <w:lang w:eastAsia="ko-KR"/>
        </w:rPr>
        <w:t>,</w:t>
      </w:r>
      <w:r w:rsidRPr="00BC44BA">
        <w:rPr>
          <w:rFonts w:ascii="Times New Roman" w:eastAsia="Times New Roman,Batang" w:hAnsi="Times New Roman" w:cs="Times New Roman"/>
          <w:bCs/>
          <w:lang w:eastAsia="ko-KR"/>
        </w:rPr>
        <w:t xml:space="preserve"> and the extent to which they informed management decisions and design of the strategic plan for 2022-2025</w:t>
      </w:r>
      <w:r>
        <w:rPr>
          <w:rFonts w:ascii="Times New Roman" w:eastAsia="Times New Roman,Batang" w:hAnsi="Times New Roman" w:cs="Times New Roman"/>
          <w:bCs/>
          <w:lang w:eastAsia="ko-KR"/>
        </w:rPr>
        <w:t>,</w:t>
      </w:r>
      <w:r w:rsidRPr="00BC44BA">
        <w:rPr>
          <w:rFonts w:ascii="Times New Roman" w:eastAsia="Times New Roman,Batang" w:hAnsi="Times New Roman" w:cs="Times New Roman"/>
          <w:bCs/>
          <w:lang w:eastAsia="ko-KR"/>
        </w:rPr>
        <w:t xml:space="preserve"> are detailed in</w:t>
      </w:r>
      <w:r w:rsidRPr="00BC44BA">
        <w:rPr>
          <w:rFonts w:ascii="Times New Roman" w:hAnsi="Times New Roman" w:cs="Times New Roman"/>
        </w:rPr>
        <w:t xml:space="preserve"> Addendum I.</w:t>
      </w:r>
    </w:p>
    <w:p w14:paraId="39314F25" w14:textId="77777777" w:rsidR="0050259B" w:rsidRDefault="0050259B" w:rsidP="0050259B">
      <w:pPr>
        <w:spacing w:after="0" w:line="240" w:lineRule="auto"/>
        <w:jc w:val="both"/>
        <w:rPr>
          <w:rFonts w:ascii="Times New Roman" w:eastAsia="Times New Roman,Batang" w:hAnsi="Times New Roman" w:cs="Times New Roman"/>
          <w:bCs/>
          <w:lang w:eastAsia="ko-KR"/>
        </w:rPr>
      </w:pPr>
    </w:p>
    <w:p w14:paraId="33B607B9" w14:textId="77777777" w:rsidR="0050259B" w:rsidRPr="00D2759D" w:rsidRDefault="0050259B" w:rsidP="0050259B">
      <w:pPr>
        <w:spacing w:after="120" w:line="240" w:lineRule="auto"/>
        <w:jc w:val="center"/>
        <w:rPr>
          <w:rFonts w:ascii="Times New Roman" w:eastAsia="Times New Roman,Batang" w:hAnsi="Times New Roman" w:cs="Times New Roman"/>
          <w:bCs/>
          <w:sz w:val="20"/>
          <w:szCs w:val="20"/>
          <w:lang w:eastAsia="ko-KR"/>
        </w:rPr>
      </w:pPr>
      <w:r w:rsidRPr="00D2759D">
        <w:rPr>
          <w:rFonts w:ascii="Times New Roman" w:eastAsia="Times New Roman,Batang" w:hAnsi="Times New Roman" w:cs="Times New Roman"/>
          <w:bCs/>
          <w:sz w:val="20"/>
          <w:szCs w:val="20"/>
          <w:lang w:eastAsia="ko-KR"/>
        </w:rPr>
        <w:t>Figure 1: Implementation of management response key actions for thematic evaluations conducted in 2017-2021</w:t>
      </w:r>
    </w:p>
    <w:p w14:paraId="69531068" w14:textId="77777777" w:rsidR="0050259B" w:rsidRPr="00732C07" w:rsidRDefault="0050259B" w:rsidP="0050259B">
      <w:pPr>
        <w:spacing w:after="0" w:line="240" w:lineRule="auto"/>
        <w:jc w:val="both"/>
        <w:rPr>
          <w:rFonts w:ascii="Times New Roman" w:hAnsi="Times New Roman" w:cs="Times New Roman"/>
          <w:b/>
          <w:bCs/>
          <w:color w:val="0070C0"/>
        </w:rPr>
      </w:pPr>
      <w:r w:rsidRPr="00732C07">
        <w:rPr>
          <w:rFonts w:ascii="Times New Roman" w:eastAsia="Times New Roman,Batang" w:hAnsi="Times New Roman" w:cs="Times New Roman"/>
          <w:noProof/>
          <w:color w:val="0070C0"/>
          <w:sz w:val="40"/>
          <w:szCs w:val="40"/>
          <w:lang w:eastAsia="ko-KR"/>
        </w:rPr>
        <w:drawing>
          <wp:inline distT="0" distB="0" distL="0" distR="0" wp14:anchorId="1C842839" wp14:editId="1507C0F1">
            <wp:extent cx="5887720" cy="1514902"/>
            <wp:effectExtent l="0" t="0" r="1778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A95B92" w14:textId="77777777" w:rsidR="0050259B" w:rsidRDefault="0050259B" w:rsidP="0050259B">
      <w:pPr>
        <w:spacing w:after="0" w:line="240" w:lineRule="auto"/>
        <w:jc w:val="both"/>
        <w:rPr>
          <w:rFonts w:ascii="Times New Roman" w:eastAsia="Times New Roman,Batang" w:hAnsi="Times New Roman" w:cs="Times New Roman"/>
          <w:bCs/>
          <w:lang w:eastAsia="ko-KR"/>
        </w:rPr>
      </w:pPr>
    </w:p>
    <w:p w14:paraId="262AB832" w14:textId="77777777" w:rsidR="0050259B" w:rsidRPr="003863A2" w:rsidRDefault="0050259B" w:rsidP="0050259B">
      <w:pPr>
        <w:spacing w:after="0"/>
        <w:jc w:val="both"/>
        <w:rPr>
          <w:rFonts w:ascii="Times New Roman" w:hAnsi="Times New Roman" w:cs="Times New Roman"/>
          <w:b/>
          <w:bCs/>
          <w:sz w:val="14"/>
          <w:szCs w:val="14"/>
        </w:rPr>
      </w:pPr>
    </w:p>
    <w:p w14:paraId="4FE92CEE" w14:textId="77777777" w:rsidR="0050259B" w:rsidRDefault="0050259B" w:rsidP="0050259B">
      <w:pPr>
        <w:spacing w:after="0"/>
        <w:jc w:val="both"/>
        <w:rPr>
          <w:rFonts w:ascii="Times New Roman" w:hAnsi="Times New Roman" w:cs="Times New Roman"/>
          <w:b/>
          <w:bCs/>
        </w:rPr>
      </w:pPr>
      <w:r>
        <w:rPr>
          <w:rFonts w:ascii="Times New Roman" w:hAnsi="Times New Roman" w:cs="Times New Roman"/>
          <w:b/>
          <w:bCs/>
        </w:rPr>
        <w:t>INDEPENDENT COUNTRY PROGRAMME EVALUATIONS (</w:t>
      </w:r>
      <w:r>
        <w:rPr>
          <w:rFonts w:ascii="Times New Roman" w:hAnsi="Times New Roman" w:cs="Times New Roman"/>
          <w:b/>
          <w:bCs/>
          <w:w w:val="103"/>
        </w:rPr>
        <w:t>ICPEs)</w:t>
      </w:r>
    </w:p>
    <w:p w14:paraId="3F6D8D56" w14:textId="77777777" w:rsidR="0050259B" w:rsidRPr="00732C07" w:rsidRDefault="0050259B" w:rsidP="0050259B">
      <w:pPr>
        <w:spacing w:after="0" w:line="240" w:lineRule="auto"/>
        <w:jc w:val="both"/>
        <w:rPr>
          <w:rFonts w:ascii="Times New Roman" w:hAnsi="Times New Roman" w:cs="Times New Roman"/>
          <w:b/>
          <w:color w:val="0070C0"/>
        </w:rPr>
      </w:pPr>
    </w:p>
    <w:p w14:paraId="68D40524" w14:textId="77777777" w:rsidR="0050259B" w:rsidRDefault="0050259B" w:rsidP="0050259B">
      <w:pPr>
        <w:spacing w:after="120" w:line="240" w:lineRule="auto"/>
        <w:jc w:val="both"/>
        <w:rPr>
          <w:rFonts w:ascii="Times New Roman" w:hAnsi="Times New Roman" w:cs="Times New Roman"/>
          <w:b/>
        </w:rPr>
      </w:pPr>
      <w:r w:rsidRPr="00B0231A">
        <w:rPr>
          <w:rFonts w:ascii="Times New Roman" w:hAnsi="Times New Roman" w:cs="Times New Roman"/>
          <w:b/>
        </w:rPr>
        <w:t xml:space="preserve">Implementation of </w:t>
      </w:r>
      <w:r>
        <w:rPr>
          <w:rFonts w:ascii="Times New Roman" w:hAnsi="Times New Roman" w:cs="Times New Roman"/>
          <w:b/>
        </w:rPr>
        <w:t>ICPE</w:t>
      </w:r>
    </w:p>
    <w:p w14:paraId="28D61B4F" w14:textId="77777777" w:rsidR="0050259B" w:rsidRPr="00757CE7" w:rsidRDefault="0050259B" w:rsidP="0050259B">
      <w:pPr>
        <w:pStyle w:val="ListParagraph"/>
        <w:numPr>
          <w:ilvl w:val="0"/>
          <w:numId w:val="25"/>
        </w:numPr>
        <w:tabs>
          <w:tab w:val="left" w:pos="180"/>
          <w:tab w:val="left" w:pos="270"/>
          <w:tab w:val="left" w:pos="360"/>
        </w:tabs>
        <w:spacing w:after="120" w:line="240" w:lineRule="auto"/>
        <w:ind w:left="0" w:firstLine="0"/>
        <w:jc w:val="both"/>
        <w:rPr>
          <w:rFonts w:ascii="Times New Roman" w:hAnsi="Times New Roman" w:cs="Times New Roman"/>
          <w:b/>
        </w:rPr>
      </w:pPr>
      <w:r w:rsidRPr="00757CE7">
        <w:rPr>
          <w:rFonts w:ascii="Times New Roman" w:hAnsi="Times New Roman" w:cs="Times New Roman"/>
          <w:i/>
          <w:iCs/>
        </w:rPr>
        <w:t xml:space="preserve">In 2021, the </w:t>
      </w:r>
      <w:r>
        <w:rPr>
          <w:rFonts w:ascii="Times New Roman" w:hAnsi="Times New Roman" w:cs="Times New Roman"/>
          <w:i/>
          <w:iCs/>
        </w:rPr>
        <w:t>IEO</w:t>
      </w:r>
      <w:r w:rsidRPr="00757CE7">
        <w:rPr>
          <w:rFonts w:ascii="Times New Roman" w:hAnsi="Times New Roman" w:cs="Times New Roman"/>
          <w:i/>
          <w:iCs/>
        </w:rPr>
        <w:t xml:space="preserve"> produced 16 independent country programme evaluations (ICPEs)</w:t>
      </w:r>
      <w:r w:rsidRPr="00E40B1B">
        <w:rPr>
          <w:vertAlign w:val="superscript"/>
        </w:rPr>
        <w:footnoteReference w:id="3"/>
      </w:r>
      <w:r w:rsidRPr="00757CE7">
        <w:rPr>
          <w:rFonts w:ascii="Times New Roman" w:hAnsi="Times New Roman" w:cs="Times New Roman"/>
          <w:i/>
          <w:iCs/>
          <w:vertAlign w:val="superscript"/>
        </w:rPr>
        <w:t xml:space="preserve"> </w:t>
      </w:r>
      <w:r w:rsidRPr="00757CE7">
        <w:rPr>
          <w:rFonts w:ascii="Times New Roman" w:hAnsi="Times New Roman" w:cs="Times New Roman"/>
          <w:i/>
          <w:iCs/>
        </w:rPr>
        <w:t xml:space="preserve">and also </w:t>
      </w:r>
      <w:r>
        <w:rPr>
          <w:rFonts w:ascii="Times New Roman" w:hAnsi="Times New Roman" w:cs="Times New Roman"/>
          <w:i/>
          <w:iCs/>
        </w:rPr>
        <w:t>completed three</w:t>
      </w:r>
      <w:r w:rsidRPr="00757CE7">
        <w:rPr>
          <w:rFonts w:ascii="Times New Roman" w:hAnsi="Times New Roman" w:cs="Times New Roman"/>
          <w:i/>
          <w:iCs/>
        </w:rPr>
        <w:t xml:space="preserve"> ICPEs</w:t>
      </w:r>
      <w:r w:rsidRPr="003313B9">
        <w:rPr>
          <w:rStyle w:val="FootnoteReference"/>
          <w:rFonts w:ascii="Times New Roman" w:hAnsi="Times New Roman" w:cs="Times New Roman"/>
          <w:b/>
          <w:color w:val="000000"/>
        </w:rPr>
        <w:footnoteReference w:id="4"/>
      </w:r>
      <w:r w:rsidRPr="00757CE7">
        <w:rPr>
          <w:rFonts w:ascii="Times New Roman" w:hAnsi="Times New Roman" w:cs="Times New Roman"/>
          <w:i/>
          <w:iCs/>
        </w:rPr>
        <w:t xml:space="preserve"> </w:t>
      </w:r>
      <w:r>
        <w:rPr>
          <w:rFonts w:ascii="Times New Roman" w:hAnsi="Times New Roman" w:cs="Times New Roman"/>
          <w:i/>
          <w:iCs/>
        </w:rPr>
        <w:t xml:space="preserve">that </w:t>
      </w:r>
      <w:r w:rsidRPr="00757CE7">
        <w:rPr>
          <w:rFonts w:ascii="Times New Roman" w:hAnsi="Times New Roman" w:cs="Times New Roman"/>
          <w:i/>
          <w:iCs/>
        </w:rPr>
        <w:t xml:space="preserve">started in late 2020. </w:t>
      </w:r>
      <w:r w:rsidRPr="00757CE7">
        <w:rPr>
          <w:rFonts w:ascii="Times New Roman" w:hAnsi="Times New Roman" w:cs="Times New Roman"/>
        </w:rPr>
        <w:t>UNDP values</w:t>
      </w:r>
      <w:r w:rsidRPr="00757CE7">
        <w:rPr>
          <w:rFonts w:ascii="Times New Roman" w:hAnsi="Times New Roman" w:cs="Times New Roman"/>
          <w:i/>
          <w:iCs/>
        </w:rPr>
        <w:t xml:space="preserve"> </w:t>
      </w:r>
      <w:r w:rsidRPr="00307FD5">
        <w:rPr>
          <w:rFonts w:ascii="Times New Roman" w:hAnsi="Times New Roman" w:cs="Times New Roman"/>
        </w:rPr>
        <w:t>credible evaluation</w:t>
      </w:r>
      <w:r>
        <w:rPr>
          <w:rFonts w:ascii="Times New Roman" w:hAnsi="Times New Roman" w:cs="Times New Roman"/>
          <w:i/>
          <w:iCs/>
        </w:rPr>
        <w:t xml:space="preserve"> </w:t>
      </w:r>
      <w:r w:rsidRPr="00757CE7">
        <w:rPr>
          <w:rFonts w:ascii="Times New Roman" w:hAnsi="Times New Roman" w:cs="Times New Roman"/>
        </w:rPr>
        <w:t>evidence from ICPEs to support the development of new CPDs and strengthen UNDP accountability to national stakeholders</w:t>
      </w:r>
      <w:r>
        <w:rPr>
          <w:rFonts w:ascii="Times New Roman" w:hAnsi="Times New Roman" w:cs="Times New Roman"/>
        </w:rPr>
        <w:t>,</w:t>
      </w:r>
      <w:r w:rsidRPr="00757CE7">
        <w:rPr>
          <w:rFonts w:ascii="Times New Roman" w:hAnsi="Times New Roman" w:cs="Times New Roman"/>
        </w:rPr>
        <w:t xml:space="preserve"> as well as the Executive Board. </w:t>
      </w:r>
    </w:p>
    <w:p w14:paraId="38E26863" w14:textId="77777777" w:rsidR="0050259B" w:rsidRDefault="0050259B" w:rsidP="0050259B">
      <w:pPr>
        <w:spacing w:after="0" w:line="240" w:lineRule="auto"/>
        <w:jc w:val="both"/>
        <w:rPr>
          <w:rFonts w:ascii="Times New Roman" w:hAnsi="Times New Roman" w:cs="Times New Roman"/>
          <w:b/>
          <w:color w:val="000000"/>
        </w:rPr>
      </w:pPr>
    </w:p>
    <w:p w14:paraId="60CB6AC4" w14:textId="77777777" w:rsidR="0050259B" w:rsidRDefault="0050259B" w:rsidP="0050259B">
      <w:pPr>
        <w:spacing w:after="120" w:line="240" w:lineRule="auto"/>
        <w:jc w:val="both"/>
        <w:rPr>
          <w:rFonts w:ascii="Times New Roman" w:hAnsi="Times New Roman" w:cs="Times New Roman"/>
          <w:b/>
        </w:rPr>
      </w:pPr>
      <w:r>
        <w:rPr>
          <w:rFonts w:ascii="Times New Roman" w:hAnsi="Times New Roman" w:cs="Times New Roman"/>
          <w:b/>
        </w:rPr>
        <w:t xml:space="preserve">Coverage </w:t>
      </w:r>
      <w:r w:rsidRPr="00B0231A">
        <w:rPr>
          <w:rFonts w:ascii="Times New Roman" w:hAnsi="Times New Roman" w:cs="Times New Roman"/>
          <w:b/>
        </w:rPr>
        <w:t>of</w:t>
      </w:r>
      <w:r>
        <w:rPr>
          <w:rFonts w:ascii="Times New Roman" w:hAnsi="Times New Roman" w:cs="Times New Roman"/>
          <w:b/>
        </w:rPr>
        <w:t xml:space="preserve"> ICPEs/ICPRs </w:t>
      </w:r>
    </w:p>
    <w:p w14:paraId="76CBC202" w14:textId="77777777" w:rsidR="0050259B" w:rsidRPr="00A16A36"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rPr>
      </w:pPr>
      <w:r w:rsidRPr="00A16A36">
        <w:rPr>
          <w:rFonts w:ascii="Times New Roman" w:hAnsi="Times New Roman" w:cs="Times New Roman"/>
        </w:rPr>
        <w:t xml:space="preserve">To ensure </w:t>
      </w:r>
      <w:r>
        <w:rPr>
          <w:rFonts w:ascii="Times New Roman" w:hAnsi="Times New Roman" w:cs="Times New Roman"/>
        </w:rPr>
        <w:t>the</w:t>
      </w:r>
      <w:r w:rsidRPr="00A16A36">
        <w:rPr>
          <w:rFonts w:ascii="Times New Roman" w:hAnsi="Times New Roman" w:cs="Times New Roman"/>
        </w:rPr>
        <w:t xml:space="preserve"> UNDP framework of support at the country level is anchored in an independent assessment of development results, it is crucial that all new CPDs submitted for board approval are backed by high quality and timely ICPEs. The 2018 Executive Board decision (2018/1) noted the IEO decision “to achieve full evaluation coverage of all country programmes prior to the Board’s consideration of new </w:t>
      </w:r>
      <w:r w:rsidRPr="00A16A36">
        <w:rPr>
          <w:rFonts w:ascii="Times New Roman" w:hAnsi="Times New Roman" w:cs="Times New Roman"/>
        </w:rPr>
        <w:lastRenderedPageBreak/>
        <w:t>country programme documents, as guided by decision 2015/8.”  While 100 per</w:t>
      </w:r>
      <w:r>
        <w:rPr>
          <w:rFonts w:ascii="Times New Roman" w:hAnsi="Times New Roman" w:cs="Times New Roman"/>
        </w:rPr>
        <w:t xml:space="preserve"> </w:t>
      </w:r>
      <w:r w:rsidRPr="00A16A36">
        <w:rPr>
          <w:rFonts w:ascii="Times New Roman" w:hAnsi="Times New Roman" w:cs="Times New Roman"/>
        </w:rPr>
        <w:t xml:space="preserve">cent of CPDs were covered by ICPEs in 2019, coverage has constantly gone down to </w:t>
      </w:r>
      <w:r>
        <w:rPr>
          <w:rFonts w:ascii="Times New Roman" w:hAnsi="Times New Roman" w:cs="Times New Roman"/>
        </w:rPr>
        <w:t>66</w:t>
      </w:r>
      <w:r w:rsidRPr="00A16A36">
        <w:rPr>
          <w:rFonts w:ascii="Times New Roman" w:hAnsi="Times New Roman" w:cs="Times New Roman"/>
        </w:rPr>
        <w:t xml:space="preserve"> per</w:t>
      </w:r>
      <w:r>
        <w:rPr>
          <w:rFonts w:ascii="Times New Roman" w:hAnsi="Times New Roman" w:cs="Times New Roman"/>
        </w:rPr>
        <w:t xml:space="preserve"> </w:t>
      </w:r>
      <w:r w:rsidRPr="00A16A36">
        <w:rPr>
          <w:rFonts w:ascii="Times New Roman" w:hAnsi="Times New Roman" w:cs="Times New Roman"/>
        </w:rPr>
        <w:t>cent in 2022</w:t>
      </w:r>
      <w:r>
        <w:rPr>
          <w:rStyle w:val="FootnoteReference"/>
          <w:rFonts w:ascii="Times New Roman" w:hAnsi="Times New Roman" w:cs="Times New Roman"/>
        </w:rPr>
        <w:footnoteReference w:id="5"/>
      </w:r>
      <w:r w:rsidRPr="00A16A36">
        <w:rPr>
          <w:rFonts w:ascii="Times New Roman" w:hAnsi="Times New Roman" w:cs="Times New Roman"/>
        </w:rPr>
        <w:t xml:space="preserve">. </w:t>
      </w:r>
      <w:r>
        <w:rPr>
          <w:rFonts w:ascii="Times New Roman" w:hAnsi="Times New Roman" w:cs="Times New Roman"/>
        </w:rPr>
        <w:t>Annex IV</w:t>
      </w:r>
      <w:r w:rsidRPr="00A16A36">
        <w:rPr>
          <w:rFonts w:ascii="Times New Roman" w:hAnsi="Times New Roman" w:cs="Times New Roman"/>
        </w:rPr>
        <w:t xml:space="preserve">, Table 2 summarizes the coverage of ICPEs/ICPRs in 2017-2022.  </w:t>
      </w:r>
      <w:r w:rsidRPr="00725E05">
        <w:t xml:space="preserve"> </w:t>
      </w:r>
    </w:p>
    <w:p w14:paraId="01DEBAA5" w14:textId="77777777" w:rsidR="0050259B" w:rsidRDefault="0050259B" w:rsidP="0050259B">
      <w:pPr>
        <w:tabs>
          <w:tab w:val="left" w:pos="450"/>
        </w:tabs>
        <w:spacing w:after="0" w:line="240" w:lineRule="auto"/>
        <w:jc w:val="both"/>
        <w:rPr>
          <w:rFonts w:ascii="Times New Roman" w:hAnsi="Times New Roman" w:cs="Times New Roman"/>
        </w:rPr>
      </w:pPr>
    </w:p>
    <w:p w14:paraId="58AAFF6A" w14:textId="77777777" w:rsidR="0050259B" w:rsidRPr="00A16A36" w:rsidRDefault="0050259B" w:rsidP="0050259B">
      <w:pPr>
        <w:pStyle w:val="ListParagraph"/>
        <w:numPr>
          <w:ilvl w:val="0"/>
          <w:numId w:val="25"/>
        </w:numPr>
        <w:tabs>
          <w:tab w:val="left" w:pos="450"/>
        </w:tabs>
        <w:ind w:left="0" w:firstLine="0"/>
        <w:jc w:val="both"/>
        <w:rPr>
          <w:rFonts w:ascii="Times New Roman" w:hAnsi="Times New Roman" w:cs="Times New Roman"/>
        </w:rPr>
      </w:pPr>
      <w:r w:rsidRPr="00A16A36">
        <w:rPr>
          <w:rFonts w:ascii="Times New Roman" w:hAnsi="Times New Roman" w:cs="Times New Roman"/>
        </w:rPr>
        <w:t xml:space="preserve">UNDP </w:t>
      </w:r>
      <w:r>
        <w:rPr>
          <w:rFonts w:ascii="Times New Roman" w:hAnsi="Times New Roman" w:cs="Times New Roman"/>
        </w:rPr>
        <w:t xml:space="preserve">welcomes </w:t>
      </w:r>
      <w:r w:rsidRPr="00307FD5">
        <w:rPr>
          <w:rFonts w:ascii="Times New Roman" w:hAnsi="Times New Roman" w:cs="Times New Roman"/>
        </w:rPr>
        <w:t xml:space="preserve">the </w:t>
      </w:r>
      <w:r>
        <w:rPr>
          <w:rFonts w:ascii="Times New Roman" w:hAnsi="Times New Roman" w:cs="Times New Roman"/>
        </w:rPr>
        <w:t xml:space="preserve">IEO </w:t>
      </w:r>
      <w:r w:rsidRPr="00307FD5">
        <w:rPr>
          <w:rFonts w:ascii="Times New Roman" w:hAnsi="Times New Roman" w:cs="Times New Roman"/>
        </w:rPr>
        <w:t xml:space="preserve">commitment to evaluate all </w:t>
      </w:r>
      <w:r>
        <w:rPr>
          <w:rFonts w:ascii="Times New Roman" w:hAnsi="Times New Roman" w:cs="Times New Roman"/>
        </w:rPr>
        <w:t>c</w:t>
      </w:r>
      <w:r w:rsidRPr="00307FD5">
        <w:rPr>
          <w:rFonts w:ascii="Times New Roman" w:hAnsi="Times New Roman" w:cs="Times New Roman"/>
        </w:rPr>
        <w:t xml:space="preserve">ountry </w:t>
      </w:r>
      <w:r>
        <w:rPr>
          <w:rFonts w:ascii="Times New Roman" w:hAnsi="Times New Roman" w:cs="Times New Roman"/>
        </w:rPr>
        <w:t>p</w:t>
      </w:r>
      <w:r w:rsidRPr="00307FD5">
        <w:rPr>
          <w:rFonts w:ascii="Times New Roman" w:hAnsi="Times New Roman" w:cs="Times New Roman"/>
        </w:rPr>
        <w:t xml:space="preserve">rogrammes through ICPEs, with timely submissions informing Executive Board decisions on </w:t>
      </w:r>
      <w:r>
        <w:rPr>
          <w:rFonts w:ascii="Times New Roman" w:hAnsi="Times New Roman" w:cs="Times New Roman"/>
        </w:rPr>
        <w:t xml:space="preserve">approval of new </w:t>
      </w:r>
      <w:r w:rsidRPr="00307FD5">
        <w:rPr>
          <w:rFonts w:ascii="Times New Roman" w:hAnsi="Times New Roman" w:cs="Times New Roman"/>
        </w:rPr>
        <w:t xml:space="preserve">CPDs. </w:t>
      </w:r>
      <w:r w:rsidRPr="00A16A36">
        <w:rPr>
          <w:rFonts w:ascii="Times New Roman" w:hAnsi="Times New Roman" w:cs="Times New Roman"/>
        </w:rPr>
        <w:t xml:space="preserve">UNDP </w:t>
      </w:r>
      <w:r>
        <w:rPr>
          <w:rFonts w:ascii="Times New Roman" w:hAnsi="Times New Roman" w:cs="Times New Roman"/>
        </w:rPr>
        <w:t xml:space="preserve">will continue to coordinate with </w:t>
      </w:r>
      <w:r w:rsidRPr="00A16A36">
        <w:rPr>
          <w:rFonts w:ascii="Times New Roman" w:hAnsi="Times New Roman" w:cs="Times New Roman"/>
        </w:rPr>
        <w:t>IEO on the timing of these evaluations</w:t>
      </w:r>
      <w:r>
        <w:rPr>
          <w:rFonts w:ascii="Times New Roman" w:hAnsi="Times New Roman" w:cs="Times New Roman"/>
        </w:rPr>
        <w:t xml:space="preserve">, so </w:t>
      </w:r>
      <w:r w:rsidRPr="00A16A36">
        <w:rPr>
          <w:rFonts w:ascii="Times New Roman" w:hAnsi="Times New Roman" w:cs="Times New Roman"/>
        </w:rPr>
        <w:t>findings and recommendations feed into the preparation of new CPDs.</w:t>
      </w:r>
    </w:p>
    <w:p w14:paraId="33157D8C" w14:textId="77777777" w:rsidR="0050259B" w:rsidRDefault="0050259B" w:rsidP="0050259B">
      <w:pPr>
        <w:spacing w:after="0" w:line="240" w:lineRule="auto"/>
        <w:jc w:val="both"/>
        <w:rPr>
          <w:rFonts w:ascii="Times New Roman" w:hAnsi="Times New Roman" w:cs="Times New Roman"/>
          <w:sz w:val="10"/>
          <w:szCs w:val="10"/>
        </w:rPr>
      </w:pPr>
    </w:p>
    <w:p w14:paraId="5A7E2DE3" w14:textId="77777777" w:rsidR="0050259B" w:rsidRPr="003D0AD6" w:rsidRDefault="0050259B" w:rsidP="0050259B">
      <w:pPr>
        <w:spacing w:after="0" w:line="240" w:lineRule="auto"/>
        <w:jc w:val="both"/>
        <w:rPr>
          <w:rFonts w:ascii="Times New Roman" w:hAnsi="Times New Roman" w:cs="Times New Roman"/>
          <w:sz w:val="10"/>
          <w:szCs w:val="10"/>
        </w:rPr>
      </w:pPr>
    </w:p>
    <w:p w14:paraId="35B348FD" w14:textId="77777777" w:rsidR="0050259B" w:rsidRDefault="0050259B" w:rsidP="0050259B">
      <w:pPr>
        <w:spacing w:after="120" w:line="240" w:lineRule="auto"/>
        <w:jc w:val="both"/>
        <w:rPr>
          <w:rFonts w:ascii="Times New Roman" w:hAnsi="Times New Roman" w:cs="Times New Roman"/>
          <w:b/>
          <w:bCs/>
        </w:rPr>
      </w:pPr>
      <w:r>
        <w:rPr>
          <w:rFonts w:ascii="Times New Roman" w:hAnsi="Times New Roman" w:cs="Times New Roman"/>
          <w:b/>
          <w:bCs/>
        </w:rPr>
        <w:t>Quality</w:t>
      </w:r>
      <w:r w:rsidRPr="00C7198E">
        <w:rPr>
          <w:rFonts w:ascii="Times New Roman" w:hAnsi="Times New Roman" w:cs="Times New Roman"/>
          <w:b/>
          <w:bCs/>
        </w:rPr>
        <w:t xml:space="preserve"> </w:t>
      </w:r>
      <w:r>
        <w:rPr>
          <w:rFonts w:ascii="Times New Roman" w:hAnsi="Times New Roman" w:cs="Times New Roman"/>
          <w:b/>
          <w:bCs/>
        </w:rPr>
        <w:t xml:space="preserve">and use </w:t>
      </w:r>
      <w:r w:rsidRPr="00C7198E">
        <w:rPr>
          <w:rFonts w:ascii="Times New Roman" w:hAnsi="Times New Roman" w:cs="Times New Roman"/>
          <w:b/>
          <w:bCs/>
        </w:rPr>
        <w:t xml:space="preserve">of ICPEs/ICPRs </w:t>
      </w:r>
    </w:p>
    <w:p w14:paraId="3A03DE7D" w14:textId="77777777" w:rsidR="0050259B" w:rsidRPr="00757CE7"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bCs/>
        </w:rPr>
      </w:pPr>
      <w:r w:rsidRPr="00725E05">
        <w:rPr>
          <w:rFonts w:ascii="Times New Roman" w:hAnsi="Times New Roman" w:cs="Times New Roman"/>
          <w:bCs/>
        </w:rPr>
        <w:t xml:space="preserve">IEO concluded 19 ICPEs in 2021. These </w:t>
      </w:r>
      <w:r>
        <w:rPr>
          <w:rFonts w:ascii="Times New Roman" w:hAnsi="Times New Roman" w:cs="Times New Roman"/>
          <w:bCs/>
        </w:rPr>
        <w:t xml:space="preserve">inform the design of the </w:t>
      </w:r>
      <w:r w:rsidRPr="00725E05">
        <w:rPr>
          <w:rFonts w:ascii="Times New Roman" w:hAnsi="Times New Roman" w:cs="Times New Roman"/>
          <w:bCs/>
        </w:rPr>
        <w:t>ten new country programmes</w:t>
      </w:r>
      <w:r w:rsidRPr="00757CE7">
        <w:rPr>
          <w:rFonts w:ascii="Times New Roman" w:hAnsi="Times New Roman" w:cs="Times New Roman"/>
          <w:bCs/>
        </w:rPr>
        <w:t xml:space="preserve"> </w:t>
      </w:r>
      <w:r>
        <w:rPr>
          <w:rFonts w:ascii="Times New Roman" w:hAnsi="Times New Roman" w:cs="Times New Roman"/>
          <w:bCs/>
        </w:rPr>
        <w:t>that will be</w:t>
      </w:r>
      <w:r w:rsidRPr="00757CE7">
        <w:rPr>
          <w:rFonts w:ascii="Times New Roman" w:hAnsi="Times New Roman" w:cs="Times New Roman"/>
          <w:bCs/>
        </w:rPr>
        <w:t xml:space="preserve"> approved </w:t>
      </w:r>
      <w:r>
        <w:rPr>
          <w:rFonts w:ascii="Times New Roman" w:hAnsi="Times New Roman" w:cs="Times New Roman"/>
          <w:bCs/>
        </w:rPr>
        <w:t>by</w:t>
      </w:r>
      <w:r w:rsidRPr="00757CE7">
        <w:rPr>
          <w:rFonts w:ascii="Times New Roman" w:hAnsi="Times New Roman" w:cs="Times New Roman"/>
          <w:bCs/>
        </w:rPr>
        <w:t xml:space="preserve"> the Executive Board in 2022. As of March 2022, </w:t>
      </w:r>
      <w:r>
        <w:rPr>
          <w:rFonts w:ascii="Times New Roman" w:hAnsi="Times New Roman" w:cs="Times New Roman"/>
          <w:bCs/>
        </w:rPr>
        <w:t>11</w:t>
      </w:r>
      <w:r w:rsidRPr="00757CE7">
        <w:rPr>
          <w:rFonts w:ascii="Times New Roman" w:hAnsi="Times New Roman" w:cs="Times New Roman"/>
          <w:bCs/>
        </w:rPr>
        <w:t xml:space="preserve"> out of 19 ICPEs </w:t>
      </w:r>
      <w:r>
        <w:rPr>
          <w:rFonts w:ascii="Times New Roman" w:hAnsi="Times New Roman" w:cs="Times New Roman"/>
          <w:bCs/>
        </w:rPr>
        <w:t xml:space="preserve">still have to be </w:t>
      </w:r>
      <w:r w:rsidRPr="00757CE7">
        <w:rPr>
          <w:rFonts w:ascii="Times New Roman" w:hAnsi="Times New Roman" w:cs="Times New Roman"/>
          <w:bCs/>
        </w:rPr>
        <w:t xml:space="preserve">posted </w:t>
      </w:r>
      <w:r>
        <w:rPr>
          <w:rFonts w:ascii="Times New Roman" w:hAnsi="Times New Roman" w:cs="Times New Roman"/>
          <w:bCs/>
        </w:rPr>
        <w:t>on</w:t>
      </w:r>
      <w:r w:rsidRPr="00757CE7">
        <w:rPr>
          <w:rFonts w:ascii="Times New Roman" w:hAnsi="Times New Roman" w:cs="Times New Roman"/>
          <w:bCs/>
        </w:rPr>
        <w:t xml:space="preserve"> the Evaluation Resource Center</w:t>
      </w:r>
      <w:r w:rsidRPr="00725E05">
        <w:rPr>
          <w:rFonts w:ascii="Times New Roman" w:hAnsi="Times New Roman" w:cs="Times New Roman"/>
          <w:bCs/>
        </w:rPr>
        <w:t>.</w:t>
      </w:r>
      <w:r>
        <w:rPr>
          <w:rFonts w:ascii="Times New Roman" w:hAnsi="Times New Roman" w:cs="Times New Roman"/>
          <w:bCs/>
        </w:rPr>
        <w:t xml:space="preserve"> Annex IV</w:t>
      </w:r>
      <w:r w:rsidRPr="00725E05">
        <w:rPr>
          <w:rFonts w:ascii="Times New Roman" w:hAnsi="Times New Roman" w:cs="Times New Roman"/>
          <w:bCs/>
        </w:rPr>
        <w:t xml:space="preserve">, Table 1 </w:t>
      </w:r>
      <w:r>
        <w:rPr>
          <w:rFonts w:ascii="Times New Roman" w:hAnsi="Times New Roman" w:cs="Times New Roman"/>
          <w:bCs/>
        </w:rPr>
        <w:t xml:space="preserve">shows </w:t>
      </w:r>
      <w:r w:rsidRPr="00725E05">
        <w:rPr>
          <w:rFonts w:ascii="Times New Roman" w:hAnsi="Times New Roman" w:cs="Times New Roman"/>
          <w:bCs/>
        </w:rPr>
        <w:t>data on the availability of 2021 ICPEs.</w:t>
      </w:r>
      <w:r>
        <w:rPr>
          <w:rFonts w:ascii="Times New Roman" w:hAnsi="Times New Roman" w:cs="Times New Roman"/>
          <w:bCs/>
        </w:rPr>
        <w:t xml:space="preserve">  </w:t>
      </w:r>
    </w:p>
    <w:p w14:paraId="417B2D50" w14:textId="77777777" w:rsidR="0050259B" w:rsidRDefault="0050259B" w:rsidP="0050259B">
      <w:pPr>
        <w:tabs>
          <w:tab w:val="left" w:pos="450"/>
        </w:tabs>
        <w:spacing w:after="0" w:line="240" w:lineRule="auto"/>
        <w:jc w:val="both"/>
        <w:rPr>
          <w:rFonts w:ascii="Times New Roman" w:hAnsi="Times New Roman" w:cs="Times New Roman"/>
          <w:bCs/>
        </w:rPr>
      </w:pPr>
    </w:p>
    <w:p w14:paraId="2D862FFA" w14:textId="77777777" w:rsidR="0050259B" w:rsidRPr="00757CE7"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bCs/>
          <w:i/>
          <w:iCs/>
        </w:rPr>
      </w:pPr>
      <w:r w:rsidRPr="00725E05">
        <w:rPr>
          <w:rFonts w:ascii="Times New Roman" w:hAnsi="Times New Roman" w:cs="Times New Roman"/>
          <w:bCs/>
        </w:rPr>
        <w:t xml:space="preserve">The timely availability of evaluation </w:t>
      </w:r>
      <w:r>
        <w:rPr>
          <w:rFonts w:ascii="Times New Roman" w:hAnsi="Times New Roman" w:cs="Times New Roman"/>
          <w:bCs/>
        </w:rPr>
        <w:t xml:space="preserve">is critical for ensuring </w:t>
      </w:r>
      <w:r w:rsidRPr="00725E05">
        <w:rPr>
          <w:rFonts w:ascii="Times New Roman" w:hAnsi="Times New Roman" w:cs="Times New Roman"/>
          <w:bCs/>
        </w:rPr>
        <w:t xml:space="preserve">the </w:t>
      </w:r>
      <w:r>
        <w:rPr>
          <w:rFonts w:ascii="Times New Roman" w:hAnsi="Times New Roman" w:cs="Times New Roman"/>
          <w:bCs/>
        </w:rPr>
        <w:t>maximum use of evaluation findings and recommendations for decision making</w:t>
      </w:r>
      <w:r w:rsidRPr="00725E05">
        <w:rPr>
          <w:rFonts w:ascii="Times New Roman" w:hAnsi="Times New Roman" w:cs="Times New Roman"/>
          <w:bCs/>
        </w:rPr>
        <w:t>.</w:t>
      </w:r>
      <w:r w:rsidRPr="00757CE7">
        <w:rPr>
          <w:rFonts w:ascii="Times New Roman" w:hAnsi="Times New Roman" w:cs="Times New Roman"/>
          <w:bCs/>
        </w:rPr>
        <w:t xml:space="preserve"> The </w:t>
      </w:r>
      <w:r>
        <w:rPr>
          <w:rFonts w:ascii="Times New Roman" w:hAnsi="Times New Roman" w:cs="Times New Roman"/>
          <w:bCs/>
        </w:rPr>
        <w:t xml:space="preserve">satisfaction rate of evaluation utility in the </w:t>
      </w:r>
      <w:r w:rsidRPr="00757CE7">
        <w:rPr>
          <w:rFonts w:ascii="Times New Roman" w:hAnsi="Times New Roman" w:cs="Times New Roman"/>
          <w:bCs/>
        </w:rPr>
        <w:t xml:space="preserve">IEO 2021 Stakeholder Survey </w:t>
      </w:r>
      <w:r>
        <w:rPr>
          <w:rFonts w:ascii="Times New Roman" w:hAnsi="Times New Roman" w:cs="Times New Roman"/>
          <w:bCs/>
        </w:rPr>
        <w:t xml:space="preserve">was </w:t>
      </w:r>
      <w:r w:rsidRPr="00757CE7">
        <w:rPr>
          <w:rFonts w:ascii="Times New Roman" w:hAnsi="Times New Roman" w:cs="Times New Roman"/>
          <w:bCs/>
        </w:rPr>
        <w:t>72 per</w:t>
      </w:r>
      <w:r>
        <w:rPr>
          <w:rFonts w:ascii="Times New Roman" w:hAnsi="Times New Roman" w:cs="Times New Roman"/>
          <w:bCs/>
        </w:rPr>
        <w:t xml:space="preserve"> </w:t>
      </w:r>
      <w:r w:rsidRPr="00757CE7">
        <w:rPr>
          <w:rFonts w:ascii="Times New Roman" w:hAnsi="Times New Roman" w:cs="Times New Roman"/>
          <w:bCs/>
        </w:rPr>
        <w:t>cent</w:t>
      </w:r>
      <w:r>
        <w:rPr>
          <w:rFonts w:ascii="Times New Roman" w:hAnsi="Times New Roman" w:cs="Times New Roman"/>
          <w:bCs/>
        </w:rPr>
        <w:t xml:space="preserve">, relatively low compared to other areas such as credibility and competence, which saw the satisfaction rate rise to 81 per cent. UNDP will design and introduce a user feedback mechanism to increase the usability of evaluation recommendations.   </w:t>
      </w:r>
    </w:p>
    <w:p w14:paraId="0FEB6277" w14:textId="77777777" w:rsidR="0050259B" w:rsidRDefault="0050259B" w:rsidP="0050259B">
      <w:pPr>
        <w:tabs>
          <w:tab w:val="left" w:pos="450"/>
        </w:tabs>
        <w:spacing w:after="0" w:line="240" w:lineRule="auto"/>
        <w:jc w:val="both"/>
        <w:rPr>
          <w:rFonts w:ascii="Times New Roman" w:hAnsi="Times New Roman" w:cs="Times New Roman"/>
          <w:bCs/>
          <w:i/>
          <w:iCs/>
        </w:rPr>
      </w:pPr>
    </w:p>
    <w:p w14:paraId="542D1E22" w14:textId="77777777" w:rsidR="0050259B" w:rsidRPr="00725E05"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bCs/>
        </w:rPr>
      </w:pPr>
      <w:r>
        <w:rPr>
          <w:rFonts w:ascii="Times New Roman" w:hAnsi="Times New Roman" w:cs="Times New Roman"/>
          <w:bCs/>
        </w:rPr>
        <w:t xml:space="preserve">To maximize the uptake of </w:t>
      </w:r>
      <w:r w:rsidRPr="00757CE7">
        <w:rPr>
          <w:rFonts w:ascii="Times New Roman" w:hAnsi="Times New Roman" w:cs="Times New Roman"/>
          <w:bCs/>
        </w:rPr>
        <w:t>ICPEs in the design of new country programme</w:t>
      </w:r>
      <w:r>
        <w:rPr>
          <w:rFonts w:ascii="Times New Roman" w:hAnsi="Times New Roman" w:cs="Times New Roman"/>
          <w:bCs/>
        </w:rPr>
        <w:t>s</w:t>
      </w:r>
      <w:r w:rsidRPr="00757CE7">
        <w:rPr>
          <w:rFonts w:ascii="Times New Roman" w:hAnsi="Times New Roman" w:cs="Times New Roman"/>
          <w:bCs/>
        </w:rPr>
        <w:t xml:space="preserve">, </w:t>
      </w:r>
      <w:r>
        <w:rPr>
          <w:rFonts w:ascii="Times New Roman" w:hAnsi="Times New Roman" w:cs="Times New Roman"/>
          <w:bCs/>
        </w:rPr>
        <w:t xml:space="preserve">timely </w:t>
      </w:r>
      <w:r w:rsidRPr="00757CE7">
        <w:rPr>
          <w:rFonts w:ascii="Times New Roman" w:hAnsi="Times New Roman" w:cs="Times New Roman"/>
          <w:bCs/>
        </w:rPr>
        <w:t>complet</w:t>
      </w:r>
      <w:r>
        <w:rPr>
          <w:rFonts w:ascii="Times New Roman" w:hAnsi="Times New Roman" w:cs="Times New Roman"/>
          <w:bCs/>
        </w:rPr>
        <w:t>ion,</w:t>
      </w:r>
      <w:r w:rsidRPr="00757CE7">
        <w:rPr>
          <w:rFonts w:ascii="Times New Roman" w:hAnsi="Times New Roman" w:cs="Times New Roman"/>
          <w:bCs/>
        </w:rPr>
        <w:t xml:space="preserve"> and publ</w:t>
      </w:r>
      <w:r>
        <w:rPr>
          <w:rFonts w:ascii="Times New Roman" w:hAnsi="Times New Roman" w:cs="Times New Roman"/>
          <w:bCs/>
        </w:rPr>
        <w:t>ication</w:t>
      </w:r>
      <w:r w:rsidRPr="00757CE7">
        <w:rPr>
          <w:rFonts w:ascii="Times New Roman" w:hAnsi="Times New Roman" w:cs="Times New Roman"/>
          <w:bCs/>
        </w:rPr>
        <w:t xml:space="preserve"> the ICPE</w:t>
      </w:r>
      <w:r>
        <w:rPr>
          <w:rFonts w:ascii="Times New Roman" w:hAnsi="Times New Roman" w:cs="Times New Roman"/>
          <w:bCs/>
        </w:rPr>
        <w:t xml:space="preserve"> (</w:t>
      </w:r>
      <w:r w:rsidRPr="00757CE7">
        <w:rPr>
          <w:rFonts w:ascii="Times New Roman" w:hAnsi="Times New Roman" w:cs="Times New Roman"/>
          <w:bCs/>
        </w:rPr>
        <w:t>at least a year prior to the conclusion of ongoing CPDs</w:t>
      </w:r>
      <w:r>
        <w:rPr>
          <w:rFonts w:ascii="Times New Roman" w:hAnsi="Times New Roman" w:cs="Times New Roman"/>
          <w:bCs/>
        </w:rPr>
        <w:t>) will be appreciated.</w:t>
      </w:r>
      <w:r>
        <w:rPr>
          <w:rFonts w:ascii="Times New Roman" w:hAnsi="Times New Roman" w:cs="Times New Roman"/>
          <w:b/>
          <w:bCs/>
        </w:rPr>
        <w:t xml:space="preserve"> </w:t>
      </w:r>
      <w:r>
        <w:rPr>
          <w:rFonts w:ascii="Times New Roman" w:hAnsi="Times New Roman" w:cs="Times New Roman"/>
          <w:bCs/>
        </w:rPr>
        <w:t>A</w:t>
      </w:r>
      <w:r w:rsidRPr="00725E05">
        <w:rPr>
          <w:rFonts w:ascii="Times New Roman" w:hAnsi="Times New Roman" w:cs="Times New Roman"/>
          <w:bCs/>
        </w:rPr>
        <w:t xml:space="preserve">long the same lines as </w:t>
      </w:r>
      <w:r>
        <w:rPr>
          <w:rFonts w:ascii="Times New Roman" w:hAnsi="Times New Roman" w:cs="Times New Roman"/>
          <w:bCs/>
        </w:rPr>
        <w:t xml:space="preserve">assuring the </w:t>
      </w:r>
      <w:r w:rsidRPr="00725E05">
        <w:rPr>
          <w:rFonts w:ascii="Times New Roman" w:hAnsi="Times New Roman" w:cs="Times New Roman"/>
          <w:bCs/>
        </w:rPr>
        <w:t xml:space="preserve">quality </w:t>
      </w:r>
      <w:r>
        <w:rPr>
          <w:rFonts w:ascii="Times New Roman" w:hAnsi="Times New Roman" w:cs="Times New Roman"/>
          <w:bCs/>
        </w:rPr>
        <w:t xml:space="preserve">of </w:t>
      </w:r>
      <w:r w:rsidRPr="00725E05">
        <w:rPr>
          <w:rFonts w:ascii="Times New Roman" w:hAnsi="Times New Roman" w:cs="Times New Roman"/>
          <w:bCs/>
        </w:rPr>
        <w:t>decentralized evaluations</w:t>
      </w:r>
      <w:r>
        <w:rPr>
          <w:rFonts w:ascii="Times New Roman" w:hAnsi="Times New Roman" w:cs="Times New Roman"/>
          <w:bCs/>
        </w:rPr>
        <w:t xml:space="preserve">, </w:t>
      </w:r>
      <w:r w:rsidRPr="00725E05">
        <w:rPr>
          <w:rFonts w:ascii="Times New Roman" w:hAnsi="Times New Roman" w:cs="Times New Roman"/>
          <w:bCs/>
        </w:rPr>
        <w:t xml:space="preserve">UNDP </w:t>
      </w:r>
      <w:r>
        <w:rPr>
          <w:rFonts w:ascii="Times New Roman" w:hAnsi="Times New Roman" w:cs="Times New Roman"/>
          <w:bCs/>
        </w:rPr>
        <w:t>suggests</w:t>
      </w:r>
      <w:r w:rsidRPr="00725E05">
        <w:rPr>
          <w:rFonts w:ascii="Times New Roman" w:hAnsi="Times New Roman" w:cs="Times New Roman"/>
          <w:bCs/>
        </w:rPr>
        <w:t xml:space="preserve"> IEO </w:t>
      </w:r>
      <w:r>
        <w:rPr>
          <w:rFonts w:ascii="Times New Roman" w:hAnsi="Times New Roman" w:cs="Times New Roman"/>
          <w:bCs/>
        </w:rPr>
        <w:t xml:space="preserve">introduce </w:t>
      </w:r>
      <w:r w:rsidRPr="00725E05">
        <w:rPr>
          <w:rFonts w:ascii="Times New Roman" w:hAnsi="Times New Roman" w:cs="Times New Roman"/>
          <w:bCs/>
        </w:rPr>
        <w:t>independent reviews to assess the quality of ICPEs and related recommendations</w:t>
      </w:r>
      <w:r>
        <w:rPr>
          <w:rFonts w:ascii="Times New Roman" w:hAnsi="Times New Roman" w:cs="Times New Roman"/>
          <w:bCs/>
        </w:rPr>
        <w:t>.</w:t>
      </w:r>
      <w:r w:rsidRPr="00725E05">
        <w:rPr>
          <w:rFonts w:ascii="Times New Roman" w:hAnsi="Times New Roman" w:cs="Times New Roman"/>
          <w:bCs/>
        </w:rPr>
        <w:t xml:space="preserve"> </w:t>
      </w:r>
    </w:p>
    <w:p w14:paraId="61E9F350" w14:textId="77777777" w:rsidR="0050259B" w:rsidRPr="00D4762E" w:rsidRDefault="0050259B" w:rsidP="0050259B">
      <w:pPr>
        <w:tabs>
          <w:tab w:val="left" w:pos="450"/>
        </w:tabs>
        <w:spacing w:after="0" w:line="240" w:lineRule="auto"/>
        <w:jc w:val="both"/>
        <w:rPr>
          <w:rFonts w:ascii="Times New Roman" w:hAnsi="Times New Roman" w:cs="Times New Roman"/>
          <w:bCs/>
        </w:rPr>
      </w:pPr>
    </w:p>
    <w:p w14:paraId="672832A8" w14:textId="77777777" w:rsidR="0050259B"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bCs/>
        </w:rPr>
      </w:pPr>
      <w:r w:rsidRPr="00757CE7">
        <w:rPr>
          <w:rFonts w:ascii="Times New Roman" w:hAnsi="Times New Roman" w:cs="Times New Roman"/>
          <w:bCs/>
        </w:rPr>
        <w:t xml:space="preserve">UNDP takes note of IEO piloting an ICPE rating system along with </w:t>
      </w:r>
      <w:r>
        <w:rPr>
          <w:rFonts w:ascii="Times New Roman" w:hAnsi="Times New Roman" w:cs="Times New Roman"/>
          <w:bCs/>
        </w:rPr>
        <w:t>refining</w:t>
      </w:r>
      <w:r w:rsidRPr="00757CE7">
        <w:rPr>
          <w:rFonts w:ascii="Times New Roman" w:hAnsi="Times New Roman" w:cs="Times New Roman"/>
          <w:bCs/>
        </w:rPr>
        <w:t xml:space="preserve"> its methodologies for </w:t>
      </w:r>
      <w:r>
        <w:rPr>
          <w:rFonts w:ascii="Times New Roman" w:hAnsi="Times New Roman" w:cs="Times New Roman"/>
          <w:bCs/>
        </w:rPr>
        <w:t>ICPEs</w:t>
      </w:r>
      <w:r w:rsidRPr="00757CE7">
        <w:rPr>
          <w:rFonts w:ascii="Times New Roman" w:hAnsi="Times New Roman" w:cs="Times New Roman"/>
          <w:bCs/>
        </w:rPr>
        <w:t>. UNDP looks forward to hearing key finding</w:t>
      </w:r>
      <w:r>
        <w:rPr>
          <w:rFonts w:ascii="Times New Roman" w:hAnsi="Times New Roman" w:cs="Times New Roman"/>
          <w:bCs/>
        </w:rPr>
        <w:t>s</w:t>
      </w:r>
      <w:r w:rsidRPr="00757CE7">
        <w:rPr>
          <w:rFonts w:ascii="Times New Roman" w:hAnsi="Times New Roman" w:cs="Times New Roman"/>
          <w:bCs/>
        </w:rPr>
        <w:t xml:space="preserve"> and lessons from the piloting exercise and continuing </w:t>
      </w:r>
      <w:r>
        <w:rPr>
          <w:rFonts w:ascii="Times New Roman" w:hAnsi="Times New Roman" w:cs="Times New Roman"/>
          <w:bCs/>
        </w:rPr>
        <w:t>to collaborate</w:t>
      </w:r>
      <w:r w:rsidRPr="00757CE7">
        <w:rPr>
          <w:rFonts w:ascii="Times New Roman" w:hAnsi="Times New Roman" w:cs="Times New Roman"/>
          <w:bCs/>
        </w:rPr>
        <w:t xml:space="preserve"> with IEO on </w:t>
      </w:r>
      <w:r>
        <w:rPr>
          <w:rFonts w:ascii="Times New Roman" w:hAnsi="Times New Roman" w:cs="Times New Roman"/>
          <w:bCs/>
        </w:rPr>
        <w:t>improving</w:t>
      </w:r>
      <w:r w:rsidRPr="00757CE7">
        <w:rPr>
          <w:rFonts w:ascii="Times New Roman" w:hAnsi="Times New Roman" w:cs="Times New Roman"/>
          <w:bCs/>
        </w:rPr>
        <w:t xml:space="preserve"> ICPE quality and utility.  </w:t>
      </w:r>
    </w:p>
    <w:p w14:paraId="0C2C34C5" w14:textId="77777777" w:rsidR="0050259B" w:rsidRPr="00CE1AA7" w:rsidRDefault="0050259B" w:rsidP="0050259B">
      <w:pPr>
        <w:pStyle w:val="ListParagraph"/>
        <w:rPr>
          <w:rFonts w:ascii="Times New Roman" w:hAnsi="Times New Roman" w:cs="Times New Roman"/>
          <w:bCs/>
        </w:rPr>
      </w:pPr>
    </w:p>
    <w:p w14:paraId="16F125F6" w14:textId="77777777" w:rsidR="0050259B" w:rsidRPr="00C43379" w:rsidRDefault="0050259B" w:rsidP="0050259B">
      <w:pPr>
        <w:pStyle w:val="NoSpacing"/>
        <w:spacing w:after="120"/>
        <w:jc w:val="both"/>
        <w:rPr>
          <w:rFonts w:ascii="Times New Roman" w:eastAsia="Times New Roman,Batang" w:hAnsi="Times New Roman" w:cs="Times New Roman"/>
          <w:b/>
          <w:lang w:eastAsia="ko-KR"/>
        </w:rPr>
      </w:pPr>
      <w:r w:rsidRPr="00C43379">
        <w:rPr>
          <w:rFonts w:ascii="Times New Roman" w:eastAsia="Times New Roman,Batang" w:hAnsi="Times New Roman" w:cs="Times New Roman"/>
          <w:b/>
          <w:lang w:eastAsia="ko-KR"/>
        </w:rPr>
        <w:t xml:space="preserve">Implementation of management actions of </w:t>
      </w:r>
      <w:r>
        <w:rPr>
          <w:rFonts w:ascii="Times New Roman" w:eastAsia="Times New Roman,Batang" w:hAnsi="Times New Roman" w:cs="Times New Roman"/>
          <w:b/>
          <w:lang w:eastAsia="ko-KR"/>
        </w:rPr>
        <w:t xml:space="preserve">ICPE </w:t>
      </w:r>
      <w:r w:rsidRPr="00C43379">
        <w:rPr>
          <w:rFonts w:ascii="Times New Roman" w:eastAsia="Times New Roman,Batang" w:hAnsi="Times New Roman" w:cs="Times New Roman"/>
          <w:b/>
          <w:lang w:eastAsia="ko-KR"/>
        </w:rPr>
        <w:t>evaluations</w:t>
      </w:r>
    </w:p>
    <w:p w14:paraId="3C4A1147" w14:textId="77777777" w:rsidR="0050259B" w:rsidRPr="00C87404" w:rsidRDefault="0050259B" w:rsidP="0050259B">
      <w:pPr>
        <w:pStyle w:val="ListParagraph"/>
        <w:numPr>
          <w:ilvl w:val="0"/>
          <w:numId w:val="25"/>
        </w:numPr>
        <w:tabs>
          <w:tab w:val="left" w:pos="90"/>
          <w:tab w:val="left" w:pos="450"/>
        </w:tabs>
        <w:spacing w:after="0" w:line="240" w:lineRule="auto"/>
        <w:ind w:left="0" w:firstLine="0"/>
        <w:jc w:val="both"/>
        <w:rPr>
          <w:rFonts w:ascii="Times New Roman" w:hAnsi="Times New Roman" w:cs="Times New Roman"/>
          <w:i/>
          <w:iCs/>
        </w:rPr>
      </w:pPr>
      <w:r w:rsidRPr="00757CE7">
        <w:rPr>
          <w:rFonts w:ascii="Times New Roman" w:hAnsi="Times New Roman" w:cs="Times New Roman"/>
        </w:rPr>
        <w:t>Along the same lines as the thematic evaluations, UNDP took decisive actions to implement management actions in response to the valuable recommendations made in the ICPEs. In 2017-2020, IEO conducted 74 ICPEs in five regions, for which UNDP agreed to 989 out of 1</w:t>
      </w:r>
      <w:r>
        <w:rPr>
          <w:rFonts w:ascii="Times New Roman" w:hAnsi="Times New Roman" w:cs="Times New Roman"/>
        </w:rPr>
        <w:t>,</w:t>
      </w:r>
      <w:r w:rsidRPr="00757CE7">
        <w:rPr>
          <w:rFonts w:ascii="Times New Roman" w:hAnsi="Times New Roman" w:cs="Times New Roman"/>
        </w:rPr>
        <w:t>002 management actions. By the end of 2021, the</w:t>
      </w:r>
      <w:r>
        <w:rPr>
          <w:rFonts w:ascii="Times New Roman" w:hAnsi="Times New Roman" w:cs="Times New Roman"/>
        </w:rPr>
        <w:t>re was a considerable improvement in the</w:t>
      </w:r>
      <w:r w:rsidRPr="00757CE7">
        <w:rPr>
          <w:rFonts w:ascii="Times New Roman" w:hAnsi="Times New Roman" w:cs="Times New Roman"/>
        </w:rPr>
        <w:t xml:space="preserve"> implementation rate of agreed actions compared to the previous years. The implementation rate of management actions reached 92 per</w:t>
      </w:r>
      <w:r>
        <w:rPr>
          <w:rFonts w:ascii="Times New Roman" w:hAnsi="Times New Roman" w:cs="Times New Roman"/>
        </w:rPr>
        <w:t xml:space="preserve"> </w:t>
      </w:r>
      <w:r w:rsidRPr="00757CE7">
        <w:rPr>
          <w:rFonts w:ascii="Times New Roman" w:hAnsi="Times New Roman" w:cs="Times New Roman"/>
        </w:rPr>
        <w:t>cent (67 per</w:t>
      </w:r>
      <w:r>
        <w:rPr>
          <w:rFonts w:ascii="Times New Roman" w:hAnsi="Times New Roman" w:cs="Times New Roman"/>
        </w:rPr>
        <w:t xml:space="preserve"> </w:t>
      </w:r>
      <w:r w:rsidRPr="00757CE7">
        <w:rPr>
          <w:rFonts w:ascii="Times New Roman" w:hAnsi="Times New Roman" w:cs="Times New Roman"/>
        </w:rPr>
        <w:t>cent completed</w:t>
      </w:r>
      <w:r>
        <w:rPr>
          <w:rFonts w:ascii="Times New Roman" w:hAnsi="Times New Roman" w:cs="Times New Roman"/>
        </w:rPr>
        <w:t xml:space="preserve">, </w:t>
      </w:r>
      <w:r w:rsidRPr="00757CE7">
        <w:rPr>
          <w:rFonts w:ascii="Times New Roman" w:hAnsi="Times New Roman" w:cs="Times New Roman"/>
        </w:rPr>
        <w:t>25 per</w:t>
      </w:r>
      <w:r>
        <w:rPr>
          <w:rFonts w:ascii="Times New Roman" w:hAnsi="Times New Roman" w:cs="Times New Roman"/>
        </w:rPr>
        <w:t xml:space="preserve"> </w:t>
      </w:r>
      <w:r w:rsidRPr="00757CE7">
        <w:rPr>
          <w:rFonts w:ascii="Times New Roman" w:hAnsi="Times New Roman" w:cs="Times New Roman"/>
        </w:rPr>
        <w:t>cent ongoing), an eight-percentage point increase from 8</w:t>
      </w:r>
      <w:r>
        <w:rPr>
          <w:rFonts w:ascii="Times New Roman" w:hAnsi="Times New Roman" w:cs="Times New Roman"/>
        </w:rPr>
        <w:t>4</w:t>
      </w:r>
      <w:r w:rsidRPr="00757CE7">
        <w:rPr>
          <w:rFonts w:ascii="Times New Roman" w:hAnsi="Times New Roman" w:cs="Times New Roman"/>
        </w:rPr>
        <w:t xml:space="preserve"> per</w:t>
      </w:r>
      <w:r>
        <w:rPr>
          <w:rFonts w:ascii="Times New Roman" w:hAnsi="Times New Roman" w:cs="Times New Roman"/>
        </w:rPr>
        <w:t xml:space="preserve"> </w:t>
      </w:r>
      <w:r w:rsidRPr="00757CE7">
        <w:rPr>
          <w:rFonts w:ascii="Times New Roman" w:hAnsi="Times New Roman" w:cs="Times New Roman"/>
        </w:rPr>
        <w:t>cent in 2018</w:t>
      </w:r>
      <w:r>
        <w:rPr>
          <w:rFonts w:ascii="Times New Roman" w:hAnsi="Times New Roman" w:cs="Times New Roman"/>
        </w:rPr>
        <w:t>, which</w:t>
      </w:r>
      <w:r w:rsidRPr="00BA2DC7">
        <w:t xml:space="preserve"> </w:t>
      </w:r>
      <w:r w:rsidRPr="00757CE7">
        <w:rPr>
          <w:rFonts w:ascii="Times New Roman" w:hAnsi="Times New Roman" w:cs="Times New Roman"/>
        </w:rPr>
        <w:t>demonstrat</w:t>
      </w:r>
      <w:r>
        <w:rPr>
          <w:rFonts w:ascii="Times New Roman" w:hAnsi="Times New Roman" w:cs="Times New Roman"/>
        </w:rPr>
        <w:t>es</w:t>
      </w:r>
      <w:r w:rsidRPr="00757CE7">
        <w:rPr>
          <w:rFonts w:ascii="Times New Roman" w:hAnsi="Times New Roman" w:cs="Times New Roman"/>
        </w:rPr>
        <w:t xml:space="preserve"> that implementation was timely and without delay (Figure 2). </w:t>
      </w:r>
    </w:p>
    <w:p w14:paraId="0085B281" w14:textId="77777777" w:rsidR="0050259B" w:rsidRPr="00C87404" w:rsidRDefault="0050259B" w:rsidP="0050259B">
      <w:pPr>
        <w:pStyle w:val="ListParagraph"/>
        <w:tabs>
          <w:tab w:val="left" w:pos="90"/>
          <w:tab w:val="left" w:pos="450"/>
        </w:tabs>
        <w:spacing w:after="0" w:line="240" w:lineRule="auto"/>
        <w:ind w:left="0"/>
        <w:jc w:val="both"/>
        <w:rPr>
          <w:rFonts w:ascii="Times New Roman" w:hAnsi="Times New Roman" w:cs="Times New Roman"/>
          <w:i/>
          <w:iCs/>
        </w:rPr>
      </w:pPr>
    </w:p>
    <w:p w14:paraId="241DACF2" w14:textId="77777777" w:rsidR="0050259B" w:rsidRPr="00757CE7" w:rsidRDefault="0050259B" w:rsidP="0050259B">
      <w:pPr>
        <w:pStyle w:val="ListParagraph"/>
        <w:numPr>
          <w:ilvl w:val="0"/>
          <w:numId w:val="25"/>
        </w:numPr>
        <w:tabs>
          <w:tab w:val="left" w:pos="90"/>
          <w:tab w:val="left" w:pos="450"/>
        </w:tabs>
        <w:spacing w:after="0" w:line="240" w:lineRule="auto"/>
        <w:ind w:left="0" w:firstLine="0"/>
        <w:jc w:val="both"/>
        <w:rPr>
          <w:rFonts w:ascii="Times New Roman" w:hAnsi="Times New Roman" w:cs="Times New Roman"/>
          <w:i/>
          <w:iCs/>
        </w:rPr>
      </w:pPr>
      <w:r w:rsidRPr="00757CE7">
        <w:rPr>
          <w:rFonts w:ascii="Times New Roman" w:hAnsi="Times New Roman" w:cs="Times New Roman"/>
        </w:rPr>
        <w:t>Given the importance of tracking the annual implementation of management actions</w:t>
      </w:r>
      <w:r>
        <w:rPr>
          <w:rFonts w:ascii="Times New Roman" w:hAnsi="Times New Roman" w:cs="Times New Roman"/>
        </w:rPr>
        <w:t xml:space="preserve"> in a consistent manner</w:t>
      </w:r>
      <w:r w:rsidRPr="00757CE7">
        <w:rPr>
          <w:rFonts w:ascii="Times New Roman" w:hAnsi="Times New Roman" w:cs="Times New Roman"/>
        </w:rPr>
        <w:t xml:space="preserve"> (disaggregated by completed, ongoing, not completed, and overdue</w:t>
      </w:r>
      <w:r>
        <w:rPr>
          <w:rFonts w:ascii="Times New Roman" w:hAnsi="Times New Roman" w:cs="Times New Roman"/>
        </w:rPr>
        <w:t xml:space="preserve"> tasks</w:t>
      </w:r>
      <w:r w:rsidRPr="00757CE7">
        <w:rPr>
          <w:rFonts w:ascii="Times New Roman" w:hAnsi="Times New Roman" w:cs="Times New Roman"/>
        </w:rPr>
        <w:t xml:space="preserve">), UNDP requests IEO align tracking and documenting </w:t>
      </w:r>
      <w:r>
        <w:rPr>
          <w:rFonts w:ascii="Times New Roman" w:hAnsi="Times New Roman" w:cs="Times New Roman"/>
        </w:rPr>
        <w:t>systems for completing</w:t>
      </w:r>
      <w:r w:rsidRPr="00757CE7">
        <w:rPr>
          <w:rFonts w:ascii="Times New Roman" w:hAnsi="Times New Roman" w:cs="Times New Roman"/>
        </w:rPr>
        <w:t xml:space="preserve"> management actions to the agreed timeframe for their completion rather than measuring performance </w:t>
      </w:r>
      <w:r>
        <w:rPr>
          <w:rFonts w:ascii="Times New Roman" w:hAnsi="Times New Roman" w:cs="Times New Roman"/>
        </w:rPr>
        <w:t>according to a</w:t>
      </w:r>
      <w:r w:rsidRPr="00757CE7">
        <w:rPr>
          <w:rFonts w:ascii="Times New Roman" w:hAnsi="Times New Roman" w:cs="Times New Roman"/>
        </w:rPr>
        <w:t xml:space="preserve"> specific </w:t>
      </w:r>
      <w:r>
        <w:rPr>
          <w:rFonts w:ascii="Times New Roman" w:hAnsi="Times New Roman" w:cs="Times New Roman"/>
        </w:rPr>
        <w:t xml:space="preserve">time of </w:t>
      </w:r>
      <w:r w:rsidRPr="00757CE7">
        <w:rPr>
          <w:rFonts w:ascii="Times New Roman" w:hAnsi="Times New Roman" w:cs="Times New Roman"/>
        </w:rPr>
        <w:t>year.</w:t>
      </w:r>
      <w:r>
        <w:t xml:space="preserve"> </w:t>
      </w:r>
      <w:r>
        <w:rPr>
          <w:rFonts w:ascii="Times New Roman" w:hAnsi="Times New Roman" w:cs="Times New Roman"/>
        </w:rPr>
        <w:t xml:space="preserve"> Such a</w:t>
      </w:r>
      <w:r w:rsidRPr="00757CE7">
        <w:rPr>
          <w:rFonts w:ascii="Times New Roman" w:hAnsi="Times New Roman" w:cs="Times New Roman"/>
        </w:rPr>
        <w:t xml:space="preserve">lignment will avoid underestimating efforts as reported in the ARE such as </w:t>
      </w:r>
      <w:r w:rsidRPr="00757CE7">
        <w:rPr>
          <w:rFonts w:ascii="Times New Roman" w:hAnsi="Times New Roman" w:cs="Times New Roman"/>
          <w:i/>
          <w:iCs/>
        </w:rPr>
        <w:t>the implementation of recommendations appears also as not always timely, with only 42 per</w:t>
      </w:r>
      <w:r>
        <w:rPr>
          <w:rFonts w:ascii="Times New Roman" w:hAnsi="Times New Roman" w:cs="Times New Roman"/>
          <w:i/>
          <w:iCs/>
        </w:rPr>
        <w:t xml:space="preserve"> </w:t>
      </w:r>
      <w:r w:rsidRPr="00757CE7">
        <w:rPr>
          <w:rFonts w:ascii="Times New Roman" w:hAnsi="Times New Roman" w:cs="Times New Roman"/>
          <w:i/>
          <w:iCs/>
        </w:rPr>
        <w:t>cent of actions to recommendations presented to the Executive Board in 2021 fully implemented</w:t>
      </w:r>
      <w:r>
        <w:rPr>
          <w:rFonts w:ascii="Times New Roman" w:hAnsi="Times New Roman" w:cs="Times New Roman"/>
          <w:i/>
          <w:iCs/>
        </w:rPr>
        <w:t xml:space="preserve"> while rest had to be initiated or were overdue</w:t>
      </w:r>
      <w:r w:rsidRPr="00757CE7">
        <w:rPr>
          <w:rFonts w:ascii="Times New Roman" w:hAnsi="Times New Roman" w:cs="Times New Roman"/>
          <w:i/>
          <w:iCs/>
        </w:rPr>
        <w:t xml:space="preserve">. </w:t>
      </w:r>
    </w:p>
    <w:p w14:paraId="21808E98" w14:textId="77777777" w:rsidR="0050259B" w:rsidRDefault="0050259B" w:rsidP="0050259B">
      <w:pPr>
        <w:spacing w:after="0" w:line="240" w:lineRule="auto"/>
        <w:jc w:val="both"/>
        <w:rPr>
          <w:rFonts w:ascii="Times New Roman" w:hAnsi="Times New Roman" w:cs="Times New Roman"/>
        </w:rPr>
      </w:pPr>
    </w:p>
    <w:p w14:paraId="5BEB118E" w14:textId="77777777" w:rsidR="0050259B" w:rsidRPr="00D2759D" w:rsidRDefault="0050259B" w:rsidP="0050259B">
      <w:pPr>
        <w:spacing w:after="120" w:line="240" w:lineRule="auto"/>
        <w:jc w:val="center"/>
        <w:rPr>
          <w:rFonts w:ascii="Times New Roman" w:eastAsia="Times New Roman,Batang" w:hAnsi="Times New Roman" w:cs="Times New Roman"/>
          <w:bCs/>
          <w:sz w:val="20"/>
          <w:szCs w:val="20"/>
          <w:lang w:eastAsia="ko-KR"/>
        </w:rPr>
      </w:pPr>
      <w:r w:rsidRPr="00D2759D">
        <w:rPr>
          <w:rFonts w:ascii="Times New Roman" w:eastAsia="Times New Roman,Batang" w:hAnsi="Times New Roman" w:cs="Times New Roman"/>
          <w:bCs/>
          <w:sz w:val="20"/>
          <w:szCs w:val="20"/>
          <w:lang w:eastAsia="ko-KR"/>
        </w:rPr>
        <w:lastRenderedPageBreak/>
        <w:t>Figure 2: Implementation of management actions in 2021 for ICPEs evaluations conducted in 2017-2020</w:t>
      </w:r>
    </w:p>
    <w:p w14:paraId="640D5CD9" w14:textId="77777777" w:rsidR="0050259B" w:rsidRDefault="0050259B" w:rsidP="0050259B">
      <w:pPr>
        <w:spacing w:after="0" w:line="240" w:lineRule="auto"/>
        <w:jc w:val="both"/>
        <w:rPr>
          <w:rFonts w:ascii="Times New Roman" w:hAnsi="Times New Roman" w:cs="Times New Roman"/>
        </w:rPr>
      </w:pPr>
      <w:r w:rsidRPr="00732C07">
        <w:rPr>
          <w:rFonts w:ascii="Times New Roman" w:eastAsia="Times New Roman,Batang" w:hAnsi="Times New Roman" w:cs="Times New Roman"/>
          <w:noProof/>
          <w:color w:val="0070C0"/>
          <w:sz w:val="40"/>
          <w:szCs w:val="40"/>
          <w:lang w:eastAsia="ko-KR"/>
        </w:rPr>
        <w:drawing>
          <wp:inline distT="0" distB="0" distL="0" distR="0" wp14:anchorId="658193CC" wp14:editId="370FE66E">
            <wp:extent cx="5887720" cy="1400783"/>
            <wp:effectExtent l="0" t="0" r="1778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AFD456" w14:textId="77777777" w:rsidR="0050259B" w:rsidRDefault="0050259B" w:rsidP="0050259B">
      <w:pPr>
        <w:spacing w:after="0" w:line="240" w:lineRule="auto"/>
        <w:jc w:val="both"/>
        <w:rPr>
          <w:rFonts w:ascii="Times New Roman" w:hAnsi="Times New Roman" w:cs="Times New Roman"/>
        </w:rPr>
      </w:pPr>
    </w:p>
    <w:p w14:paraId="4771C979" w14:textId="77777777" w:rsidR="0050259B" w:rsidRPr="00C87404"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i/>
          <w:iCs/>
        </w:rPr>
      </w:pPr>
      <w:r>
        <w:rPr>
          <w:rFonts w:ascii="Times New Roman" w:hAnsi="Times New Roman" w:cs="Times New Roman"/>
        </w:rPr>
        <w:t>Between</w:t>
      </w:r>
      <w:r w:rsidRPr="00C87404">
        <w:rPr>
          <w:rFonts w:ascii="Times New Roman" w:hAnsi="Times New Roman" w:cs="Times New Roman"/>
        </w:rPr>
        <w:t xml:space="preserve"> 2017 </w:t>
      </w:r>
      <w:r>
        <w:rPr>
          <w:rFonts w:ascii="Times New Roman" w:hAnsi="Times New Roman" w:cs="Times New Roman"/>
        </w:rPr>
        <w:t>and</w:t>
      </w:r>
      <w:r w:rsidRPr="00C87404">
        <w:rPr>
          <w:rFonts w:ascii="Times New Roman" w:hAnsi="Times New Roman" w:cs="Times New Roman"/>
        </w:rPr>
        <w:t xml:space="preserve"> 2020, 74 ICPEs were conducted</w:t>
      </w:r>
      <w:r>
        <w:rPr>
          <w:rFonts w:ascii="Times New Roman" w:hAnsi="Times New Roman" w:cs="Times New Roman"/>
        </w:rPr>
        <w:t>, with o</w:t>
      </w:r>
      <w:r w:rsidRPr="00C87404">
        <w:rPr>
          <w:rFonts w:ascii="Times New Roman" w:hAnsi="Times New Roman" w:cs="Times New Roman"/>
        </w:rPr>
        <w:t xml:space="preserve">ne-third of ICPEs </w:t>
      </w:r>
      <w:r>
        <w:rPr>
          <w:rFonts w:ascii="Times New Roman" w:hAnsi="Times New Roman" w:cs="Times New Roman"/>
        </w:rPr>
        <w:t xml:space="preserve">in </w:t>
      </w:r>
      <w:r w:rsidRPr="00C87404">
        <w:rPr>
          <w:rFonts w:ascii="Times New Roman" w:hAnsi="Times New Roman" w:cs="Times New Roman"/>
        </w:rPr>
        <w:t>Africa</w:t>
      </w:r>
      <w:r>
        <w:rPr>
          <w:rFonts w:ascii="Times New Roman" w:hAnsi="Times New Roman" w:cs="Times New Roman"/>
        </w:rPr>
        <w:t>. I</w:t>
      </w:r>
      <w:r w:rsidRPr="00C87404">
        <w:rPr>
          <w:rFonts w:ascii="Times New Roman" w:hAnsi="Times New Roman" w:cs="Times New Roman"/>
        </w:rPr>
        <w:t xml:space="preserve">n 2019, the highest number of ICPEs were conducted </w:t>
      </w:r>
      <w:r>
        <w:rPr>
          <w:rFonts w:ascii="Times New Roman" w:hAnsi="Times New Roman" w:cs="Times New Roman"/>
        </w:rPr>
        <w:t>across</w:t>
      </w:r>
      <w:r w:rsidRPr="00C87404">
        <w:rPr>
          <w:rFonts w:ascii="Times New Roman" w:hAnsi="Times New Roman" w:cs="Times New Roman"/>
        </w:rPr>
        <w:t xml:space="preserve"> Europe and CIS (n=13)</w:t>
      </w:r>
      <w:r>
        <w:rPr>
          <w:rFonts w:ascii="Times New Roman" w:hAnsi="Times New Roman" w:cs="Times New Roman"/>
        </w:rPr>
        <w:t xml:space="preserve">, followed by </w:t>
      </w:r>
      <w:r w:rsidRPr="00C87404">
        <w:rPr>
          <w:rFonts w:ascii="Times New Roman" w:hAnsi="Times New Roman" w:cs="Times New Roman"/>
        </w:rPr>
        <w:t>Latin America and the Caribbean in 2021 (n=7). Four regions had more than 90 per</w:t>
      </w:r>
      <w:r>
        <w:rPr>
          <w:rFonts w:ascii="Times New Roman" w:hAnsi="Times New Roman" w:cs="Times New Roman"/>
        </w:rPr>
        <w:t xml:space="preserve"> </w:t>
      </w:r>
      <w:r w:rsidRPr="00C87404">
        <w:rPr>
          <w:rFonts w:ascii="Times New Roman" w:hAnsi="Times New Roman" w:cs="Times New Roman"/>
        </w:rPr>
        <w:t xml:space="preserve">cent of ICPE management actions implemented (completed and ongoing). Asia and the Pacific </w:t>
      </w:r>
      <w:r>
        <w:rPr>
          <w:rFonts w:ascii="Times New Roman" w:hAnsi="Times New Roman" w:cs="Times New Roman"/>
        </w:rPr>
        <w:t xml:space="preserve">(99 per cent) </w:t>
      </w:r>
      <w:r w:rsidRPr="00C87404">
        <w:rPr>
          <w:rFonts w:ascii="Times New Roman" w:hAnsi="Times New Roman" w:cs="Times New Roman"/>
        </w:rPr>
        <w:t xml:space="preserve">and Europe and CIS regions </w:t>
      </w:r>
      <w:r>
        <w:rPr>
          <w:rFonts w:ascii="Times New Roman" w:hAnsi="Times New Roman" w:cs="Times New Roman"/>
        </w:rPr>
        <w:t>(</w:t>
      </w:r>
      <w:r w:rsidRPr="00C87404">
        <w:rPr>
          <w:rFonts w:ascii="Times New Roman" w:hAnsi="Times New Roman" w:cs="Times New Roman"/>
        </w:rPr>
        <w:t>98 per</w:t>
      </w:r>
      <w:r>
        <w:rPr>
          <w:rFonts w:ascii="Times New Roman" w:hAnsi="Times New Roman" w:cs="Times New Roman"/>
        </w:rPr>
        <w:t xml:space="preserve"> </w:t>
      </w:r>
      <w:r w:rsidRPr="00C87404">
        <w:rPr>
          <w:rFonts w:ascii="Times New Roman" w:hAnsi="Times New Roman" w:cs="Times New Roman"/>
        </w:rPr>
        <w:t>cent</w:t>
      </w:r>
      <w:r>
        <w:rPr>
          <w:rFonts w:ascii="Times New Roman" w:hAnsi="Times New Roman" w:cs="Times New Roman"/>
        </w:rPr>
        <w:t>)</w:t>
      </w:r>
      <w:r w:rsidRPr="00C87404">
        <w:rPr>
          <w:rFonts w:ascii="Times New Roman" w:hAnsi="Times New Roman" w:cs="Times New Roman"/>
        </w:rPr>
        <w:t xml:space="preserve"> </w:t>
      </w:r>
      <w:r>
        <w:rPr>
          <w:rFonts w:ascii="Times New Roman" w:hAnsi="Times New Roman" w:cs="Times New Roman"/>
        </w:rPr>
        <w:t>saw</w:t>
      </w:r>
      <w:r w:rsidRPr="00C87404">
        <w:rPr>
          <w:rFonts w:ascii="Times New Roman" w:hAnsi="Times New Roman" w:cs="Times New Roman"/>
        </w:rPr>
        <w:t xml:space="preserve"> ICPE management actions </w:t>
      </w:r>
      <w:r>
        <w:rPr>
          <w:rFonts w:ascii="Times New Roman" w:hAnsi="Times New Roman" w:cs="Times New Roman"/>
        </w:rPr>
        <w:t>move into</w:t>
      </w:r>
      <w:r w:rsidRPr="00C87404">
        <w:rPr>
          <w:rFonts w:ascii="Times New Roman" w:hAnsi="Times New Roman" w:cs="Times New Roman"/>
        </w:rPr>
        <w:t xml:space="preserve"> the implementation phase. In Latin America and the Caribbean, most ICPEs were completed in the last quarter of 2020, which led to a relatively low implementation rate of 80 per</w:t>
      </w:r>
      <w:r>
        <w:rPr>
          <w:rFonts w:ascii="Times New Roman" w:hAnsi="Times New Roman" w:cs="Times New Roman"/>
        </w:rPr>
        <w:t xml:space="preserve"> </w:t>
      </w:r>
      <w:r w:rsidRPr="00C87404">
        <w:rPr>
          <w:rFonts w:ascii="Times New Roman" w:hAnsi="Times New Roman" w:cs="Times New Roman"/>
        </w:rPr>
        <w:t xml:space="preserve">cent. </w:t>
      </w:r>
    </w:p>
    <w:p w14:paraId="734B05E3" w14:textId="77777777" w:rsidR="0050259B" w:rsidRDefault="0050259B" w:rsidP="0050259B">
      <w:pPr>
        <w:spacing w:after="0" w:line="240" w:lineRule="auto"/>
        <w:jc w:val="both"/>
        <w:rPr>
          <w:rFonts w:ascii="Times New Roman" w:hAnsi="Times New Roman" w:cs="Times New Roman"/>
        </w:rPr>
      </w:pPr>
    </w:p>
    <w:p w14:paraId="202DDAFD" w14:textId="77777777" w:rsidR="0050259B" w:rsidRPr="00D2759D" w:rsidRDefault="0050259B" w:rsidP="0050259B">
      <w:pPr>
        <w:spacing w:after="120" w:line="240" w:lineRule="auto"/>
        <w:jc w:val="center"/>
        <w:rPr>
          <w:rFonts w:ascii="Times New Roman" w:eastAsia="Times New Roman,Batang" w:hAnsi="Times New Roman" w:cs="Times New Roman"/>
          <w:bCs/>
          <w:sz w:val="20"/>
          <w:szCs w:val="20"/>
          <w:lang w:eastAsia="ko-KR"/>
        </w:rPr>
      </w:pPr>
      <w:r w:rsidRPr="00D2759D">
        <w:rPr>
          <w:rFonts w:ascii="Times New Roman" w:hAnsi="Times New Roman" w:cs="Times New Roman"/>
          <w:sz w:val="20"/>
          <w:szCs w:val="20"/>
        </w:rPr>
        <w:t xml:space="preserve">Figure 3: </w:t>
      </w:r>
      <w:r w:rsidRPr="00D2759D">
        <w:rPr>
          <w:rFonts w:ascii="Times New Roman" w:eastAsia="Times New Roman,Batang" w:hAnsi="Times New Roman" w:cs="Times New Roman"/>
          <w:bCs/>
          <w:sz w:val="20"/>
          <w:szCs w:val="20"/>
          <w:lang w:eastAsia="ko-KR"/>
        </w:rPr>
        <w:t>Implementation of management actions for ICPEs conducted in 2017-2021, disaggregated by region</w:t>
      </w:r>
    </w:p>
    <w:p w14:paraId="1A36E9C3" w14:textId="77777777" w:rsidR="0050259B" w:rsidRPr="00732C07" w:rsidRDefault="0050259B" w:rsidP="0050259B">
      <w:pPr>
        <w:spacing w:after="120" w:line="240" w:lineRule="auto"/>
        <w:rPr>
          <w:rFonts w:ascii="Times New Roman" w:hAnsi="Times New Roman" w:cs="Times New Roman"/>
          <w:color w:val="0070C0"/>
        </w:rPr>
      </w:pPr>
      <w:r w:rsidRPr="00732C07">
        <w:rPr>
          <w:rFonts w:ascii="Times New Roman" w:eastAsia="Times New Roman,Batang" w:hAnsi="Times New Roman" w:cs="Times New Roman"/>
          <w:noProof/>
          <w:color w:val="0070C0"/>
          <w:sz w:val="40"/>
          <w:szCs w:val="40"/>
          <w:lang w:eastAsia="ko-KR"/>
        </w:rPr>
        <w:drawing>
          <wp:inline distT="0" distB="0" distL="0" distR="0" wp14:anchorId="7807E452" wp14:editId="7D764510">
            <wp:extent cx="5878195" cy="1381328"/>
            <wp:effectExtent l="0" t="0" r="825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B2AD1D" w14:textId="77777777" w:rsidR="0050259B" w:rsidRPr="00757CE7" w:rsidRDefault="0050259B" w:rsidP="0050259B">
      <w:pPr>
        <w:pStyle w:val="ListParagraph"/>
        <w:numPr>
          <w:ilvl w:val="0"/>
          <w:numId w:val="25"/>
        </w:numPr>
        <w:tabs>
          <w:tab w:val="left" w:pos="360"/>
        </w:tabs>
        <w:spacing w:after="0" w:line="240" w:lineRule="auto"/>
        <w:ind w:left="0" w:firstLine="0"/>
        <w:jc w:val="both"/>
        <w:rPr>
          <w:rFonts w:ascii="Times New Roman" w:hAnsi="Times New Roman" w:cs="Times New Roman"/>
          <w:bCs/>
        </w:rPr>
      </w:pPr>
      <w:r w:rsidRPr="00757CE7">
        <w:rPr>
          <w:rFonts w:ascii="Times New Roman" w:hAnsi="Times New Roman" w:cs="Times New Roman"/>
          <w:bCs/>
        </w:rPr>
        <w:t>Knowledge and lessons backed by credible evidence from ICPEs, when shared and published in a timely manner, reinforced the design of new CPDs to determine the theory of change and approach for new programme cycle</w:t>
      </w:r>
      <w:r>
        <w:rPr>
          <w:rFonts w:ascii="Times New Roman" w:hAnsi="Times New Roman" w:cs="Times New Roman"/>
          <w:bCs/>
        </w:rPr>
        <w:t>s</w:t>
      </w:r>
      <w:r w:rsidRPr="00757CE7">
        <w:rPr>
          <w:rFonts w:ascii="Times New Roman" w:hAnsi="Times New Roman" w:cs="Times New Roman"/>
          <w:bCs/>
        </w:rPr>
        <w:t>. In this regard, UNDP conducted case reviews from five regions to demonstrate how ICPE recommendations are incorporated in new CPD formulation</w:t>
      </w:r>
      <w:r>
        <w:rPr>
          <w:rFonts w:ascii="Times New Roman" w:hAnsi="Times New Roman" w:cs="Times New Roman"/>
          <w:bCs/>
        </w:rPr>
        <w:t>s</w:t>
      </w:r>
      <w:r w:rsidRPr="00757CE7">
        <w:rPr>
          <w:rFonts w:ascii="Times New Roman" w:hAnsi="Times New Roman" w:cs="Times New Roman"/>
          <w:bCs/>
        </w:rPr>
        <w:t xml:space="preserve"> in 2021 and 2022. These are detailed in </w:t>
      </w:r>
      <w:r>
        <w:rPr>
          <w:rFonts w:ascii="Times New Roman" w:hAnsi="Times New Roman" w:cs="Times New Roman"/>
          <w:bCs/>
        </w:rPr>
        <w:t xml:space="preserve">Annex II </w:t>
      </w:r>
      <w:r w:rsidRPr="00757CE7">
        <w:rPr>
          <w:rFonts w:ascii="Times New Roman" w:hAnsi="Times New Roman" w:cs="Times New Roman"/>
          <w:bCs/>
        </w:rPr>
        <w:t>with five case reviews from five regions.</w:t>
      </w:r>
    </w:p>
    <w:p w14:paraId="2CA8121F" w14:textId="77777777" w:rsidR="0050259B" w:rsidRDefault="0050259B" w:rsidP="0050259B">
      <w:pPr>
        <w:tabs>
          <w:tab w:val="left" w:pos="360"/>
        </w:tabs>
        <w:spacing w:after="0" w:line="240" w:lineRule="auto"/>
        <w:jc w:val="both"/>
        <w:rPr>
          <w:rFonts w:ascii="Times New Roman" w:hAnsi="Times New Roman" w:cs="Times New Roman"/>
          <w:bCs/>
        </w:rPr>
      </w:pPr>
    </w:p>
    <w:p w14:paraId="46CBE7E8" w14:textId="77777777" w:rsidR="0050259B" w:rsidRDefault="0050259B" w:rsidP="0050259B">
      <w:pPr>
        <w:pStyle w:val="ListParagraph"/>
        <w:numPr>
          <w:ilvl w:val="0"/>
          <w:numId w:val="25"/>
        </w:numPr>
        <w:tabs>
          <w:tab w:val="left" w:pos="90"/>
          <w:tab w:val="left" w:pos="360"/>
        </w:tabs>
        <w:spacing w:after="0" w:line="240" w:lineRule="auto"/>
        <w:ind w:left="0" w:firstLine="0"/>
        <w:jc w:val="both"/>
        <w:rPr>
          <w:rFonts w:ascii="Times New Roman" w:hAnsi="Times New Roman" w:cs="Times New Roman"/>
          <w:bCs/>
        </w:rPr>
      </w:pPr>
      <w:r w:rsidRPr="00757CE7">
        <w:rPr>
          <w:rFonts w:ascii="Times New Roman" w:hAnsi="Times New Roman" w:cs="Times New Roman"/>
          <w:bCs/>
        </w:rPr>
        <w:t xml:space="preserve">The uptake of </w:t>
      </w:r>
      <w:r>
        <w:rPr>
          <w:rFonts w:ascii="Times New Roman" w:hAnsi="Times New Roman" w:cs="Times New Roman"/>
          <w:bCs/>
        </w:rPr>
        <w:t xml:space="preserve">ICPE </w:t>
      </w:r>
      <w:r w:rsidRPr="00757CE7">
        <w:rPr>
          <w:rFonts w:ascii="Times New Roman" w:hAnsi="Times New Roman" w:cs="Times New Roman"/>
          <w:bCs/>
        </w:rPr>
        <w:t xml:space="preserve">recommendations </w:t>
      </w:r>
      <w:r>
        <w:rPr>
          <w:rFonts w:ascii="Times New Roman" w:hAnsi="Times New Roman" w:cs="Times New Roman"/>
          <w:bCs/>
        </w:rPr>
        <w:t>in</w:t>
      </w:r>
      <w:r w:rsidRPr="00757CE7">
        <w:rPr>
          <w:rFonts w:ascii="Times New Roman" w:hAnsi="Times New Roman" w:cs="Times New Roman"/>
          <w:bCs/>
        </w:rPr>
        <w:t xml:space="preserve"> the design of new CPDs is evident in programme quality assurance rating</w:t>
      </w:r>
      <w:r>
        <w:rPr>
          <w:rFonts w:ascii="Times New Roman" w:hAnsi="Times New Roman" w:cs="Times New Roman"/>
          <w:bCs/>
        </w:rPr>
        <w:t>s</w:t>
      </w:r>
      <w:r w:rsidRPr="00757CE7">
        <w:rPr>
          <w:rFonts w:ascii="Times New Roman" w:hAnsi="Times New Roman" w:cs="Times New Roman"/>
          <w:bCs/>
        </w:rPr>
        <w:t xml:space="preserve"> in 2020 and 2021. Out of 43 new CPDs, more than 50 per</w:t>
      </w:r>
      <w:r>
        <w:rPr>
          <w:rFonts w:ascii="Times New Roman" w:hAnsi="Times New Roman" w:cs="Times New Roman"/>
          <w:bCs/>
        </w:rPr>
        <w:t xml:space="preserve"> </w:t>
      </w:r>
      <w:r w:rsidRPr="00757CE7">
        <w:rPr>
          <w:rFonts w:ascii="Times New Roman" w:hAnsi="Times New Roman" w:cs="Times New Roman"/>
          <w:bCs/>
        </w:rPr>
        <w:t>cent explicitly used</w:t>
      </w:r>
      <w:r w:rsidRPr="00062039">
        <w:t xml:space="preserve"> </w:t>
      </w:r>
      <w:r w:rsidRPr="00757CE7">
        <w:rPr>
          <w:rFonts w:ascii="Times New Roman" w:hAnsi="Times New Roman" w:cs="Times New Roman"/>
          <w:bCs/>
        </w:rPr>
        <w:t>knowledge and lessons learned backed by credible evidence from evaluation, with appropriate referencing, whereas 46 per</w:t>
      </w:r>
      <w:r>
        <w:rPr>
          <w:rFonts w:ascii="Times New Roman" w:hAnsi="Times New Roman" w:cs="Times New Roman"/>
          <w:bCs/>
        </w:rPr>
        <w:t xml:space="preserve"> </w:t>
      </w:r>
      <w:r w:rsidRPr="00757CE7">
        <w:rPr>
          <w:rFonts w:ascii="Times New Roman" w:hAnsi="Times New Roman" w:cs="Times New Roman"/>
          <w:bCs/>
        </w:rPr>
        <w:t xml:space="preserve">cent of new CPDs were informed by evaluation findings and other outcome-level evidence </w:t>
      </w:r>
      <w:r>
        <w:rPr>
          <w:rFonts w:ascii="Times New Roman" w:hAnsi="Times New Roman" w:cs="Times New Roman"/>
          <w:bCs/>
        </w:rPr>
        <w:t>(</w:t>
      </w:r>
      <w:r w:rsidRPr="00757CE7">
        <w:rPr>
          <w:rFonts w:ascii="Times New Roman" w:hAnsi="Times New Roman" w:cs="Times New Roman"/>
          <w:bCs/>
        </w:rPr>
        <w:t xml:space="preserve">but </w:t>
      </w:r>
      <w:r>
        <w:rPr>
          <w:rFonts w:ascii="Times New Roman" w:hAnsi="Times New Roman" w:cs="Times New Roman"/>
          <w:bCs/>
        </w:rPr>
        <w:t>where</w:t>
      </w:r>
      <w:r w:rsidRPr="00757CE7">
        <w:rPr>
          <w:rFonts w:ascii="Times New Roman" w:hAnsi="Times New Roman" w:cs="Times New Roman"/>
          <w:bCs/>
        </w:rPr>
        <w:t xml:space="preserve"> references </w:t>
      </w:r>
      <w:r>
        <w:rPr>
          <w:rFonts w:ascii="Times New Roman" w:hAnsi="Times New Roman" w:cs="Times New Roman"/>
          <w:bCs/>
        </w:rPr>
        <w:t>were</w:t>
      </w:r>
      <w:r w:rsidRPr="00757CE7">
        <w:rPr>
          <w:rFonts w:ascii="Times New Roman" w:hAnsi="Times New Roman" w:cs="Times New Roman"/>
          <w:bCs/>
        </w:rPr>
        <w:t xml:space="preserve"> not explicitly used</w:t>
      </w:r>
      <w:r>
        <w:rPr>
          <w:rFonts w:ascii="Times New Roman" w:hAnsi="Times New Roman" w:cs="Times New Roman"/>
          <w:bCs/>
        </w:rPr>
        <w:t>)</w:t>
      </w:r>
      <w:r w:rsidRPr="00757CE7">
        <w:rPr>
          <w:rFonts w:ascii="Times New Roman" w:hAnsi="Times New Roman" w:cs="Times New Roman"/>
          <w:bCs/>
        </w:rPr>
        <w:t>. UNDP will make continuous efforts to enhance the quality of new country programmes backed by credible evidence</w:t>
      </w:r>
      <w:r w:rsidRPr="00757CE7">
        <w:rPr>
          <w:rStyle w:val="normaltextrun"/>
          <w:rFonts w:ascii="Calibri" w:hAnsi="Calibri" w:cs="Calibri"/>
          <w:color w:val="000000"/>
          <w:sz w:val="18"/>
          <w:szCs w:val="18"/>
          <w:shd w:val="clear" w:color="auto" w:fill="FFFFFF"/>
          <w:lang w:val="en-GB"/>
        </w:rPr>
        <w:t xml:space="preserve"> </w:t>
      </w:r>
      <w:r w:rsidRPr="00757CE7">
        <w:rPr>
          <w:rFonts w:ascii="Times New Roman" w:hAnsi="Times New Roman" w:cs="Times New Roman"/>
          <w:bCs/>
        </w:rPr>
        <w:t xml:space="preserve">and track the improvement of quality scores between two program cycles.  </w:t>
      </w:r>
    </w:p>
    <w:p w14:paraId="178C9569" w14:textId="77777777" w:rsidR="0050259B" w:rsidRPr="00B82D38" w:rsidRDefault="0050259B" w:rsidP="0050259B">
      <w:pPr>
        <w:pStyle w:val="ListParagraph"/>
        <w:rPr>
          <w:rFonts w:ascii="Times New Roman" w:hAnsi="Times New Roman" w:cs="Times New Roman"/>
          <w:bCs/>
        </w:rPr>
      </w:pPr>
    </w:p>
    <w:p w14:paraId="074CA6BA" w14:textId="77777777" w:rsidR="0050259B" w:rsidRPr="00D27C3F" w:rsidRDefault="0050259B" w:rsidP="0050259B">
      <w:pPr>
        <w:pStyle w:val="ListParagraph"/>
        <w:numPr>
          <w:ilvl w:val="0"/>
          <w:numId w:val="17"/>
        </w:numPr>
        <w:spacing w:after="0" w:line="240" w:lineRule="auto"/>
        <w:ind w:left="540" w:hanging="540"/>
        <w:jc w:val="both"/>
        <w:rPr>
          <w:rFonts w:ascii="Times New Roman" w:hAnsi="Times New Roman" w:cs="Times New Roman"/>
          <w:b/>
          <w:bCs/>
        </w:rPr>
      </w:pPr>
      <w:r>
        <w:rPr>
          <w:rFonts w:ascii="Times New Roman" w:hAnsi="Times New Roman" w:cs="Times New Roman"/>
          <w:b/>
          <w:bCs/>
          <w:color w:val="000000" w:themeColor="text1"/>
        </w:rPr>
        <w:t>DECENTRALIZED EVALUATIONS</w:t>
      </w:r>
    </w:p>
    <w:p w14:paraId="22A4EF49" w14:textId="77777777" w:rsidR="0050259B" w:rsidRDefault="0050259B" w:rsidP="0050259B">
      <w:pPr>
        <w:spacing w:after="0" w:line="240" w:lineRule="auto"/>
        <w:jc w:val="both"/>
        <w:rPr>
          <w:rFonts w:ascii="Times New Roman" w:hAnsi="Times New Roman" w:cs="Times New Roman"/>
        </w:rPr>
      </w:pPr>
    </w:p>
    <w:p w14:paraId="2C7C8276" w14:textId="77777777" w:rsidR="0050259B" w:rsidRPr="00757CE7" w:rsidRDefault="0050259B" w:rsidP="0050259B">
      <w:pPr>
        <w:pStyle w:val="ListParagraph"/>
        <w:numPr>
          <w:ilvl w:val="0"/>
          <w:numId w:val="25"/>
        </w:numPr>
        <w:tabs>
          <w:tab w:val="left" w:pos="360"/>
        </w:tabs>
        <w:spacing w:after="0" w:line="240" w:lineRule="auto"/>
        <w:ind w:left="0" w:firstLine="0"/>
        <w:jc w:val="both"/>
        <w:rPr>
          <w:rFonts w:ascii="Times New Roman" w:hAnsi="Times New Roman" w:cs="Times New Roman"/>
        </w:rPr>
      </w:pPr>
      <w:r w:rsidRPr="00757CE7">
        <w:rPr>
          <w:rFonts w:ascii="Times New Roman" w:hAnsi="Times New Roman" w:cs="Times New Roman"/>
        </w:rPr>
        <w:t>Despite uncertainties posed by the COVID-19 pandemic, volatile situation</w:t>
      </w:r>
      <w:r>
        <w:rPr>
          <w:rFonts w:ascii="Times New Roman" w:hAnsi="Times New Roman" w:cs="Times New Roman"/>
        </w:rPr>
        <w:t>s</w:t>
      </w:r>
      <w:r w:rsidRPr="00757CE7">
        <w:rPr>
          <w:rFonts w:ascii="Times New Roman" w:hAnsi="Times New Roman" w:cs="Times New Roman"/>
        </w:rPr>
        <w:t xml:space="preserve"> in protracted crisis countries, and </w:t>
      </w:r>
      <w:r>
        <w:rPr>
          <w:rFonts w:ascii="Times New Roman" w:hAnsi="Times New Roman" w:cs="Times New Roman"/>
        </w:rPr>
        <w:t xml:space="preserve">shifting </w:t>
      </w:r>
      <w:r w:rsidRPr="00757CE7">
        <w:rPr>
          <w:rFonts w:ascii="Times New Roman" w:hAnsi="Times New Roman" w:cs="Times New Roman"/>
        </w:rPr>
        <w:t xml:space="preserve">political dynamics, UNDP and its partners remained committed to deliver results. The ARE highlighted several </w:t>
      </w:r>
      <w:r w:rsidRPr="00757CE7">
        <w:rPr>
          <w:rFonts w:ascii="Times New Roman" w:hAnsi="Times New Roman" w:cs="Times New Roman" w:hint="eastAsia"/>
        </w:rPr>
        <w:t>p</w:t>
      </w:r>
      <w:r w:rsidRPr="00757CE7">
        <w:rPr>
          <w:rFonts w:ascii="Times New Roman" w:hAnsi="Times New Roman" w:cs="Times New Roman"/>
        </w:rPr>
        <w:t xml:space="preserve">ositive </w:t>
      </w:r>
      <w:r>
        <w:rPr>
          <w:rFonts w:ascii="Times New Roman" w:hAnsi="Times New Roman" w:cs="Times New Roman"/>
        </w:rPr>
        <w:t>aspects of the</w:t>
      </w:r>
      <w:r w:rsidRPr="00757CE7">
        <w:rPr>
          <w:rFonts w:ascii="Times New Roman" w:hAnsi="Times New Roman" w:cs="Times New Roman"/>
        </w:rPr>
        <w:t xml:space="preserve"> implementation and quality of UNDP decentralized evaluations.  </w:t>
      </w:r>
    </w:p>
    <w:p w14:paraId="3FA5B286" w14:textId="77777777" w:rsidR="0050259B" w:rsidRDefault="0050259B" w:rsidP="0050259B">
      <w:pPr>
        <w:spacing w:after="120" w:line="240" w:lineRule="auto"/>
        <w:jc w:val="both"/>
        <w:rPr>
          <w:rFonts w:ascii="Times New Roman" w:hAnsi="Times New Roman" w:cs="Times New Roman"/>
          <w:b/>
          <w:bCs/>
        </w:rPr>
      </w:pPr>
    </w:p>
    <w:p w14:paraId="52BE875C" w14:textId="77777777" w:rsidR="0050259B" w:rsidRPr="00797F11" w:rsidRDefault="0050259B" w:rsidP="0050259B">
      <w:pPr>
        <w:spacing w:after="120" w:line="240" w:lineRule="auto"/>
        <w:jc w:val="both"/>
        <w:rPr>
          <w:rFonts w:ascii="Times New Roman" w:hAnsi="Times New Roman" w:cs="Times New Roman"/>
          <w:b/>
          <w:bCs/>
        </w:rPr>
      </w:pPr>
      <w:r>
        <w:rPr>
          <w:rFonts w:ascii="Times New Roman" w:hAnsi="Times New Roman" w:cs="Times New Roman"/>
          <w:b/>
          <w:bCs/>
        </w:rPr>
        <w:lastRenderedPageBreak/>
        <w:t>Implementation of d</w:t>
      </w:r>
      <w:r w:rsidRPr="00797F11">
        <w:rPr>
          <w:rFonts w:ascii="Times New Roman" w:hAnsi="Times New Roman" w:cs="Times New Roman"/>
          <w:b/>
          <w:bCs/>
        </w:rPr>
        <w:t>ecentralized evaluation</w:t>
      </w:r>
      <w:r>
        <w:rPr>
          <w:rFonts w:ascii="Times New Roman" w:hAnsi="Times New Roman" w:cs="Times New Roman"/>
          <w:b/>
          <w:bCs/>
        </w:rPr>
        <w:t xml:space="preserve"> plans</w:t>
      </w:r>
    </w:p>
    <w:p w14:paraId="725BB59A" w14:textId="77777777" w:rsidR="0050259B" w:rsidRPr="00757CE7" w:rsidRDefault="0050259B" w:rsidP="0050259B">
      <w:pPr>
        <w:pStyle w:val="ListParagraph"/>
        <w:numPr>
          <w:ilvl w:val="0"/>
          <w:numId w:val="25"/>
        </w:numPr>
        <w:shd w:val="clear" w:color="auto" w:fill="FFFFFF" w:themeFill="background1"/>
        <w:tabs>
          <w:tab w:val="left" w:pos="450"/>
        </w:tabs>
        <w:spacing w:after="0" w:line="240" w:lineRule="auto"/>
        <w:ind w:left="0" w:firstLine="0"/>
        <w:jc w:val="both"/>
        <w:rPr>
          <w:rFonts w:ascii="Times New Roman" w:eastAsia="Times New Roman,Batang" w:hAnsi="Times New Roman" w:cs="Times New Roman"/>
          <w:color w:val="0070C0"/>
          <w:lang w:eastAsia="ko-KR"/>
        </w:rPr>
      </w:pPr>
      <w:r w:rsidRPr="00757CE7">
        <w:rPr>
          <w:rFonts w:ascii="Times New Roman" w:hAnsi="Times New Roman" w:cs="Times New Roman"/>
        </w:rPr>
        <w:t xml:space="preserve">While planning and implementation of decentralized evaluations </w:t>
      </w:r>
      <w:r>
        <w:rPr>
          <w:rFonts w:ascii="Times New Roman" w:hAnsi="Times New Roman" w:cs="Times New Roman"/>
        </w:rPr>
        <w:t>was</w:t>
      </w:r>
      <w:r w:rsidRPr="00757CE7">
        <w:rPr>
          <w:rFonts w:ascii="Times New Roman" w:hAnsi="Times New Roman" w:cs="Times New Roman"/>
        </w:rPr>
        <w:t xml:space="preserve"> impacted by COVID-19 related travel restrictions, </w:t>
      </w:r>
      <w:r>
        <w:rPr>
          <w:rFonts w:ascii="Times New Roman" w:hAnsi="Times New Roman" w:cs="Times New Roman"/>
        </w:rPr>
        <w:t xml:space="preserve">the </w:t>
      </w:r>
      <w:r w:rsidRPr="00757CE7">
        <w:rPr>
          <w:rFonts w:ascii="Times New Roman" w:hAnsi="Times New Roman" w:cs="Times New Roman"/>
        </w:rPr>
        <w:t xml:space="preserve">reprioritizations of activities, delays in stakeholder approval, and difficulty in engaging evaluators in a timely manner, </w:t>
      </w:r>
      <w:r w:rsidRPr="00757CE7">
        <w:rPr>
          <w:rFonts w:ascii="Times New Roman" w:hAnsi="Times New Roman" w:cs="Times New Roman"/>
          <w:i/>
          <w:iCs/>
        </w:rPr>
        <w:t>UNDP managed to complete 352 decentralized evaluations against 559 planned (63 per</w:t>
      </w:r>
      <w:r>
        <w:rPr>
          <w:rFonts w:ascii="Times New Roman" w:hAnsi="Times New Roman" w:cs="Times New Roman"/>
          <w:i/>
          <w:iCs/>
        </w:rPr>
        <w:t xml:space="preserve"> </w:t>
      </w:r>
      <w:r w:rsidRPr="00757CE7">
        <w:rPr>
          <w:rFonts w:ascii="Times New Roman" w:hAnsi="Times New Roman" w:cs="Times New Roman"/>
          <w:i/>
          <w:iCs/>
        </w:rPr>
        <w:t>cent).</w:t>
      </w:r>
      <w:r w:rsidRPr="00757CE7">
        <w:rPr>
          <w:rFonts w:ascii="Times New Roman" w:hAnsi="Times New Roman" w:cs="Times New Roman"/>
        </w:rPr>
        <w:t xml:space="preserve">  </w:t>
      </w:r>
      <w:r w:rsidRPr="00757CE7">
        <w:rPr>
          <w:rFonts w:ascii="Times New Roman" w:hAnsi="Times New Roman" w:cs="Times New Roman"/>
          <w:i/>
          <w:iCs/>
        </w:rPr>
        <w:t>The implementation rate of decentralized evaluations in 2021 provides</w:t>
      </w:r>
      <w:r>
        <w:rPr>
          <w:rFonts w:ascii="Times New Roman" w:hAnsi="Times New Roman" w:cs="Times New Roman"/>
          <w:i/>
          <w:iCs/>
        </w:rPr>
        <w:t xml:space="preserve"> </w:t>
      </w:r>
      <w:r w:rsidRPr="00757CE7">
        <w:rPr>
          <w:rFonts w:ascii="Times New Roman" w:hAnsi="Times New Roman" w:cs="Times New Roman"/>
          <w:i/>
          <w:iCs/>
        </w:rPr>
        <w:t>a highly encouraging signal with more than 100 additional evaluations</w:t>
      </w:r>
      <w:r>
        <w:rPr>
          <w:rFonts w:ascii="Times New Roman" w:hAnsi="Times New Roman" w:cs="Times New Roman"/>
          <w:i/>
          <w:iCs/>
        </w:rPr>
        <w:t xml:space="preserve"> completed</w:t>
      </w:r>
      <w:r w:rsidRPr="00757CE7">
        <w:rPr>
          <w:rFonts w:ascii="Times New Roman" w:hAnsi="Times New Roman" w:cs="Times New Roman"/>
          <w:i/>
          <w:iCs/>
        </w:rPr>
        <w:t xml:space="preserve"> compared to 2020, fully reversing </w:t>
      </w:r>
      <w:r>
        <w:rPr>
          <w:rFonts w:ascii="Times New Roman" w:hAnsi="Times New Roman" w:cs="Times New Roman"/>
          <w:i/>
          <w:iCs/>
        </w:rPr>
        <w:t>the</w:t>
      </w:r>
      <w:r w:rsidRPr="00757CE7">
        <w:rPr>
          <w:rFonts w:ascii="Times New Roman" w:hAnsi="Times New Roman" w:cs="Times New Roman"/>
          <w:i/>
          <w:iCs/>
        </w:rPr>
        <w:t xml:space="preserve"> downward trend that </w:t>
      </w:r>
      <w:r>
        <w:rPr>
          <w:rFonts w:ascii="Times New Roman" w:hAnsi="Times New Roman" w:cs="Times New Roman"/>
          <w:i/>
          <w:iCs/>
        </w:rPr>
        <w:t>began</w:t>
      </w:r>
      <w:r w:rsidRPr="00757CE7">
        <w:rPr>
          <w:rFonts w:ascii="Times New Roman" w:hAnsi="Times New Roman" w:cs="Times New Roman"/>
          <w:i/>
          <w:iCs/>
        </w:rPr>
        <w:t xml:space="preserve"> in 2017.</w:t>
      </w:r>
      <w:r w:rsidRPr="00757CE7">
        <w:rPr>
          <w:rFonts w:ascii="Times New Roman" w:hAnsi="Times New Roman" w:cs="Times New Roman"/>
        </w:rPr>
        <w:t xml:space="preserve"> </w:t>
      </w:r>
    </w:p>
    <w:p w14:paraId="4352C556" w14:textId="77777777" w:rsidR="0050259B" w:rsidRPr="000A0CD5" w:rsidRDefault="0050259B" w:rsidP="0050259B">
      <w:pPr>
        <w:tabs>
          <w:tab w:val="left" w:pos="450"/>
        </w:tabs>
        <w:spacing w:after="0" w:line="240" w:lineRule="auto"/>
        <w:jc w:val="both"/>
        <w:rPr>
          <w:rFonts w:ascii="Times New Roman" w:hAnsi="Times New Roman" w:cs="Times New Roman"/>
        </w:rPr>
      </w:pPr>
    </w:p>
    <w:p w14:paraId="59695FC3" w14:textId="77777777" w:rsidR="0050259B" w:rsidRPr="00757CE7" w:rsidRDefault="0050259B" w:rsidP="0050259B">
      <w:pPr>
        <w:pStyle w:val="ListParagraph"/>
        <w:numPr>
          <w:ilvl w:val="0"/>
          <w:numId w:val="25"/>
        </w:numPr>
        <w:shd w:val="clear" w:color="auto" w:fill="FFFFFF" w:themeFill="background1"/>
        <w:tabs>
          <w:tab w:val="left" w:pos="450"/>
        </w:tabs>
        <w:spacing w:after="0" w:line="240" w:lineRule="auto"/>
        <w:ind w:left="0" w:firstLine="0"/>
        <w:jc w:val="both"/>
        <w:rPr>
          <w:rFonts w:ascii="Times New Roman" w:hAnsi="Times New Roman" w:cs="Times New Roman"/>
          <w:i/>
          <w:iCs/>
        </w:rPr>
      </w:pPr>
      <w:r w:rsidRPr="00757CE7">
        <w:rPr>
          <w:rFonts w:ascii="Times New Roman" w:hAnsi="Times New Roman" w:cs="Times New Roman"/>
        </w:rPr>
        <w:t xml:space="preserve">Two years </w:t>
      </w:r>
      <w:r>
        <w:rPr>
          <w:rFonts w:ascii="Times New Roman" w:hAnsi="Times New Roman" w:cs="Times New Roman"/>
        </w:rPr>
        <w:t>of</w:t>
      </w:r>
      <w:r w:rsidRPr="00757CE7">
        <w:rPr>
          <w:rFonts w:ascii="Times New Roman" w:hAnsi="Times New Roman" w:cs="Times New Roman"/>
        </w:rPr>
        <w:t xml:space="preserve"> pandemic</w:t>
      </w:r>
      <w:r>
        <w:rPr>
          <w:rFonts w:ascii="Times New Roman" w:hAnsi="Times New Roman" w:cs="Times New Roman"/>
        </w:rPr>
        <w:t xml:space="preserve"> restrictions, delays, and lockdowns</w:t>
      </w:r>
      <w:r w:rsidRPr="00757CE7">
        <w:rPr>
          <w:rFonts w:ascii="Times New Roman" w:hAnsi="Times New Roman" w:cs="Times New Roman"/>
        </w:rPr>
        <w:t xml:space="preserve"> necessitated UNDP </w:t>
      </w:r>
      <w:r>
        <w:rPr>
          <w:rFonts w:ascii="Times New Roman" w:hAnsi="Times New Roman" w:cs="Times New Roman"/>
        </w:rPr>
        <w:t>c</w:t>
      </w:r>
      <w:r w:rsidRPr="00757CE7">
        <w:rPr>
          <w:rFonts w:ascii="Times New Roman" w:hAnsi="Times New Roman" w:cs="Times New Roman"/>
        </w:rPr>
        <w:t xml:space="preserve">ountry </w:t>
      </w:r>
      <w:r>
        <w:rPr>
          <w:rFonts w:ascii="Times New Roman" w:hAnsi="Times New Roman" w:cs="Times New Roman"/>
        </w:rPr>
        <w:t>o</w:t>
      </w:r>
      <w:r w:rsidRPr="00757CE7">
        <w:rPr>
          <w:rFonts w:ascii="Times New Roman" w:hAnsi="Times New Roman" w:cs="Times New Roman"/>
        </w:rPr>
        <w:t>ffices to review and reprioritize evaluation plans. In 2021, UNDP made considerable efforts to systematically review the quality and sensitivity of annual evaluation plans at the beginning of the year and mid-year for necessary adjustments. Where scoping exercises and evaluability assessments were recommended, evaluation plans were adjusted by combining evaluations, sharpening the scope, and in some cases, postponing a few evaluations while ensuring balanced coverage of portfolios and adhering to mandatory benchmarks for evaluations. This is verified and evident with ARE 2021 findings</w:t>
      </w:r>
      <w:r>
        <w:rPr>
          <w:rFonts w:ascii="Times New Roman" w:hAnsi="Times New Roman" w:cs="Times New Roman"/>
        </w:rPr>
        <w:t>—</w:t>
      </w:r>
      <w:r w:rsidRPr="00757CE7">
        <w:rPr>
          <w:rFonts w:ascii="Times New Roman" w:hAnsi="Times New Roman" w:cs="Times New Roman"/>
        </w:rPr>
        <w:t>except for</w:t>
      </w:r>
      <w:r w:rsidRPr="00757CE7">
        <w:rPr>
          <w:rFonts w:ascii="Times New Roman" w:hAnsi="Times New Roman" w:cs="Times New Roman"/>
          <w:i/>
          <w:iCs/>
        </w:rPr>
        <w:t xml:space="preserve"> RBA</w:t>
      </w:r>
      <w:r>
        <w:rPr>
          <w:rFonts w:ascii="Times New Roman" w:hAnsi="Times New Roman" w:cs="Times New Roman"/>
          <w:i/>
          <w:iCs/>
        </w:rPr>
        <w:t>. A</w:t>
      </w:r>
      <w:r w:rsidRPr="00757CE7">
        <w:rPr>
          <w:rFonts w:ascii="Times New Roman" w:hAnsi="Times New Roman" w:cs="Times New Roman"/>
          <w:i/>
          <w:iCs/>
        </w:rPr>
        <w:t>ll Regional Bureaux successfully completed more evaluations than the average</w:t>
      </w:r>
      <w:r>
        <w:rPr>
          <w:rFonts w:ascii="Times New Roman" w:hAnsi="Times New Roman" w:cs="Times New Roman"/>
          <w:i/>
          <w:iCs/>
        </w:rPr>
        <w:t xml:space="preserve"> from</w:t>
      </w:r>
      <w:r w:rsidRPr="00757CE7">
        <w:rPr>
          <w:rFonts w:ascii="Times New Roman" w:hAnsi="Times New Roman" w:cs="Times New Roman"/>
          <w:i/>
          <w:iCs/>
        </w:rPr>
        <w:t xml:space="preserve"> 2017-</w:t>
      </w:r>
      <w:r>
        <w:rPr>
          <w:rFonts w:ascii="Times New Roman" w:hAnsi="Times New Roman" w:cs="Times New Roman"/>
          <w:i/>
          <w:iCs/>
        </w:rPr>
        <w:t>20</w:t>
      </w:r>
      <w:r w:rsidRPr="00757CE7">
        <w:rPr>
          <w:rFonts w:ascii="Times New Roman" w:hAnsi="Times New Roman" w:cs="Times New Roman"/>
          <w:i/>
          <w:iCs/>
        </w:rPr>
        <w:t>20, with higher increases in Asia and the Pacific.</w:t>
      </w:r>
    </w:p>
    <w:p w14:paraId="3A8BAEC8" w14:textId="77777777" w:rsidR="0050259B" w:rsidRDefault="0050259B" w:rsidP="0050259B">
      <w:pPr>
        <w:shd w:val="clear" w:color="auto" w:fill="FFFFFF" w:themeFill="background1"/>
        <w:tabs>
          <w:tab w:val="left" w:pos="450"/>
        </w:tabs>
        <w:spacing w:after="0" w:line="240" w:lineRule="auto"/>
        <w:jc w:val="both"/>
        <w:rPr>
          <w:rFonts w:ascii="Times New Roman" w:hAnsi="Times New Roman" w:cs="Times New Roman"/>
        </w:rPr>
      </w:pPr>
    </w:p>
    <w:p w14:paraId="1BBCFA90" w14:textId="77777777" w:rsidR="0050259B" w:rsidRPr="00757CE7" w:rsidRDefault="0050259B" w:rsidP="0050259B">
      <w:pPr>
        <w:pStyle w:val="ListParagraph"/>
        <w:numPr>
          <w:ilvl w:val="0"/>
          <w:numId w:val="25"/>
        </w:numPr>
        <w:shd w:val="clear" w:color="auto" w:fill="FFFFFF" w:themeFill="background1"/>
        <w:tabs>
          <w:tab w:val="left" w:pos="450"/>
        </w:tabs>
        <w:spacing w:after="0" w:line="240" w:lineRule="auto"/>
        <w:ind w:left="0" w:firstLine="0"/>
        <w:jc w:val="both"/>
        <w:rPr>
          <w:rFonts w:ascii="Times New Roman" w:hAnsi="Times New Roman" w:cs="Times New Roman"/>
        </w:rPr>
      </w:pPr>
      <w:r w:rsidRPr="00757CE7">
        <w:rPr>
          <w:rFonts w:ascii="Times New Roman" w:eastAsia="Times New Roman,Batang" w:hAnsi="Times New Roman" w:cs="Times New Roman"/>
          <w:lang w:eastAsia="ko-KR"/>
        </w:rPr>
        <w:t>UNDP annually implement</w:t>
      </w:r>
      <w:r>
        <w:rPr>
          <w:rFonts w:ascii="Times New Roman" w:eastAsia="Times New Roman,Batang" w:hAnsi="Times New Roman" w:cs="Times New Roman"/>
          <w:lang w:eastAsia="ko-KR"/>
        </w:rPr>
        <w:t>ed</w:t>
      </w:r>
      <w:r w:rsidRPr="00757CE7">
        <w:rPr>
          <w:rFonts w:ascii="Times New Roman" w:eastAsia="Times New Roman,Batang" w:hAnsi="Times New Roman" w:cs="Times New Roman"/>
          <w:lang w:eastAsia="ko-KR"/>
        </w:rPr>
        <w:t xml:space="preserve"> approximately 300 decentralized evaluations, providing rich information on UNDP project</w:t>
      </w:r>
      <w:r>
        <w:rPr>
          <w:rFonts w:ascii="Times New Roman" w:eastAsia="Times New Roman,Batang" w:hAnsi="Times New Roman" w:cs="Times New Roman"/>
          <w:lang w:eastAsia="ko-KR"/>
        </w:rPr>
        <w:t xml:space="preserve"> performance</w:t>
      </w:r>
      <w:r w:rsidRPr="00757CE7">
        <w:rPr>
          <w:rFonts w:ascii="Times New Roman" w:eastAsia="Times New Roman,Batang" w:hAnsi="Times New Roman" w:cs="Times New Roman"/>
          <w:lang w:eastAsia="ko-KR"/>
        </w:rPr>
        <w:t>, results achieved, areas of improvement, and lessons for future programming.</w:t>
      </w:r>
      <w:r w:rsidRPr="00757CE7">
        <w:rPr>
          <w:rFonts w:ascii="Times New Roman" w:hAnsi="Times New Roman" w:cs="Times New Roman"/>
        </w:rPr>
        <w:t xml:space="preserve"> UNDP acknowledges the need for more strategic planning and deliberate actions to increase the timely completion of planned evaluations. </w:t>
      </w:r>
      <w:r>
        <w:rPr>
          <w:rFonts w:ascii="Times New Roman" w:hAnsi="Times New Roman" w:cs="Times New Roman"/>
        </w:rPr>
        <w:t xml:space="preserve">In the meantime, </w:t>
      </w:r>
      <w:r w:rsidRPr="00B82D38">
        <w:rPr>
          <w:rFonts w:ascii="Times New Roman" w:hAnsi="Times New Roman" w:cs="Times New Roman"/>
        </w:rPr>
        <w:t>UNDP note</w:t>
      </w:r>
      <w:r>
        <w:rPr>
          <w:rFonts w:ascii="Times New Roman" w:hAnsi="Times New Roman" w:cs="Times New Roman"/>
        </w:rPr>
        <w:t>d</w:t>
      </w:r>
      <w:r w:rsidRPr="00B82D38">
        <w:rPr>
          <w:rFonts w:ascii="Times New Roman" w:hAnsi="Times New Roman" w:cs="Times New Roman"/>
        </w:rPr>
        <w:t xml:space="preserve"> IEO used </w:t>
      </w:r>
      <w:r>
        <w:rPr>
          <w:rFonts w:ascii="Times New Roman" w:hAnsi="Times New Roman" w:cs="Times New Roman"/>
        </w:rPr>
        <w:t>different</w:t>
      </w:r>
      <w:r w:rsidRPr="00B82D38">
        <w:rPr>
          <w:rFonts w:ascii="Times New Roman" w:hAnsi="Times New Roman" w:cs="Times New Roman"/>
        </w:rPr>
        <w:t xml:space="preserve"> cut</w:t>
      </w:r>
      <w:r>
        <w:rPr>
          <w:rFonts w:ascii="Times New Roman" w:hAnsi="Times New Roman" w:cs="Times New Roman"/>
        </w:rPr>
        <w:t>-</w:t>
      </w:r>
      <w:r w:rsidRPr="00B82D38">
        <w:rPr>
          <w:rFonts w:ascii="Times New Roman" w:hAnsi="Times New Roman" w:cs="Times New Roman"/>
        </w:rPr>
        <w:t xml:space="preserve">off dates (beginning, mid, or end of the year) </w:t>
      </w:r>
      <w:r>
        <w:rPr>
          <w:rFonts w:ascii="Times New Roman" w:hAnsi="Times New Roman" w:cs="Times New Roman"/>
        </w:rPr>
        <w:t xml:space="preserve">over the last five years to </w:t>
      </w:r>
      <w:r w:rsidRPr="00B82D38">
        <w:rPr>
          <w:rFonts w:ascii="Times New Roman" w:hAnsi="Times New Roman" w:cs="Times New Roman"/>
        </w:rPr>
        <w:t>calculat</w:t>
      </w:r>
      <w:r>
        <w:rPr>
          <w:rFonts w:ascii="Times New Roman" w:hAnsi="Times New Roman" w:cs="Times New Roman"/>
        </w:rPr>
        <w:t>e</w:t>
      </w:r>
      <w:r w:rsidRPr="00B82D38">
        <w:rPr>
          <w:rFonts w:ascii="Times New Roman" w:hAnsi="Times New Roman" w:cs="Times New Roman"/>
        </w:rPr>
        <w:t xml:space="preserve"> evaluation completion rates</w:t>
      </w:r>
      <w:r>
        <w:rPr>
          <w:rFonts w:ascii="Times New Roman" w:hAnsi="Times New Roman" w:cs="Times New Roman"/>
        </w:rPr>
        <w:t>. T</w:t>
      </w:r>
      <w:r w:rsidRPr="00757CE7">
        <w:rPr>
          <w:rFonts w:ascii="Times New Roman" w:hAnsi="Times New Roman" w:cs="Times New Roman"/>
        </w:rPr>
        <w:t xml:space="preserve">o support effective </w:t>
      </w:r>
      <w:r>
        <w:rPr>
          <w:rFonts w:ascii="Times New Roman" w:hAnsi="Times New Roman" w:cs="Times New Roman"/>
        </w:rPr>
        <w:t>trend analysis,</w:t>
      </w:r>
      <w:r w:rsidRPr="00757CE7">
        <w:rPr>
          <w:rFonts w:ascii="Times New Roman" w:hAnsi="Times New Roman" w:cs="Times New Roman"/>
        </w:rPr>
        <w:t xml:space="preserve"> </w:t>
      </w:r>
      <w:r w:rsidRPr="00B82D38">
        <w:rPr>
          <w:rFonts w:ascii="Times New Roman" w:hAnsi="Times New Roman" w:cs="Times New Roman"/>
        </w:rPr>
        <w:t xml:space="preserve">UNDP requests IEO </w:t>
      </w:r>
      <w:r>
        <w:rPr>
          <w:rFonts w:ascii="Times New Roman" w:hAnsi="Times New Roman" w:cs="Times New Roman"/>
        </w:rPr>
        <w:t>use</w:t>
      </w:r>
      <w:r w:rsidRPr="00B82D38">
        <w:rPr>
          <w:rFonts w:ascii="Times New Roman" w:hAnsi="Times New Roman" w:cs="Times New Roman"/>
        </w:rPr>
        <w:t xml:space="preserve"> consistent </w:t>
      </w:r>
      <w:r>
        <w:rPr>
          <w:rFonts w:ascii="Times New Roman" w:hAnsi="Times New Roman" w:cs="Times New Roman"/>
        </w:rPr>
        <w:t xml:space="preserve">cut-off dates, </w:t>
      </w:r>
      <w:r w:rsidRPr="00B82D38">
        <w:rPr>
          <w:rFonts w:ascii="Times New Roman" w:hAnsi="Times New Roman" w:cs="Times New Roman"/>
        </w:rPr>
        <w:t>which would facilitate</w:t>
      </w:r>
      <w:r>
        <w:rPr>
          <w:rFonts w:ascii="Times New Roman" w:hAnsi="Times New Roman" w:cs="Times New Roman"/>
        </w:rPr>
        <w:t xml:space="preserve"> </w:t>
      </w:r>
      <w:r w:rsidRPr="00B82D38">
        <w:rPr>
          <w:rFonts w:ascii="Times New Roman" w:hAnsi="Times New Roman" w:cs="Times New Roman"/>
        </w:rPr>
        <w:t>effective evaluation planning</w:t>
      </w:r>
      <w:r>
        <w:rPr>
          <w:rFonts w:ascii="Times New Roman" w:hAnsi="Times New Roman" w:cs="Times New Roman"/>
        </w:rPr>
        <w:t xml:space="preserve"> and implementation. </w:t>
      </w:r>
      <w:r w:rsidRPr="00757CE7">
        <w:rPr>
          <w:rFonts w:ascii="Times New Roman" w:hAnsi="Times New Roman" w:cs="Times New Roman"/>
        </w:rPr>
        <w:t xml:space="preserve">Annex IV, Table 3 </w:t>
      </w:r>
      <w:r>
        <w:rPr>
          <w:rFonts w:ascii="Times New Roman" w:hAnsi="Times New Roman" w:cs="Times New Roman"/>
        </w:rPr>
        <w:t>shows</w:t>
      </w:r>
      <w:r w:rsidRPr="00757CE7">
        <w:rPr>
          <w:rFonts w:ascii="Times New Roman" w:hAnsi="Times New Roman" w:cs="Times New Roman"/>
        </w:rPr>
        <w:t xml:space="preserve"> </w:t>
      </w:r>
      <w:r>
        <w:rPr>
          <w:rFonts w:ascii="Times New Roman" w:hAnsi="Times New Roman" w:cs="Times New Roman"/>
        </w:rPr>
        <w:t>cut-off dates used to populate the evaluation completion rate in 2017-2021.</w:t>
      </w:r>
    </w:p>
    <w:p w14:paraId="3BE519DD" w14:textId="77777777" w:rsidR="0050259B" w:rsidRDefault="0050259B" w:rsidP="0050259B">
      <w:pPr>
        <w:spacing w:after="120" w:line="240" w:lineRule="auto"/>
        <w:jc w:val="both"/>
        <w:rPr>
          <w:rFonts w:ascii="Times New Roman" w:hAnsi="Times New Roman" w:cs="Times New Roman"/>
          <w:b/>
        </w:rPr>
      </w:pPr>
    </w:p>
    <w:p w14:paraId="5F1E0BEC" w14:textId="77777777" w:rsidR="0050259B" w:rsidRPr="00E84D12" w:rsidRDefault="0050259B" w:rsidP="0050259B">
      <w:pPr>
        <w:spacing w:after="120" w:line="240" w:lineRule="auto"/>
        <w:jc w:val="both"/>
        <w:rPr>
          <w:rFonts w:ascii="Times New Roman" w:eastAsia="Times New Roman,Batang" w:hAnsi="Times New Roman" w:cs="Times New Roman"/>
          <w:b/>
          <w:bCs/>
          <w:lang w:eastAsia="ko-KR"/>
        </w:rPr>
      </w:pPr>
      <w:r w:rsidRPr="00E84D12">
        <w:rPr>
          <w:rFonts w:ascii="Times New Roman" w:hAnsi="Times New Roman" w:cs="Times New Roman"/>
          <w:b/>
        </w:rPr>
        <w:t xml:space="preserve">Implementation of </w:t>
      </w:r>
      <w:r>
        <w:rPr>
          <w:rFonts w:ascii="Times New Roman" w:hAnsi="Times New Roman" w:cs="Times New Roman"/>
          <w:b/>
        </w:rPr>
        <w:t>M</w:t>
      </w:r>
      <w:r w:rsidRPr="00E84D12">
        <w:rPr>
          <w:rFonts w:ascii="Times New Roman" w:hAnsi="Times New Roman" w:cs="Times New Roman"/>
          <w:b/>
        </w:rPr>
        <w:t xml:space="preserve">anagement </w:t>
      </w:r>
      <w:r>
        <w:rPr>
          <w:rFonts w:ascii="Times New Roman" w:hAnsi="Times New Roman" w:cs="Times New Roman"/>
          <w:b/>
        </w:rPr>
        <w:t>A</w:t>
      </w:r>
      <w:r w:rsidRPr="00E84D12">
        <w:rPr>
          <w:rFonts w:ascii="Times New Roman" w:hAnsi="Times New Roman" w:cs="Times New Roman"/>
          <w:b/>
        </w:rPr>
        <w:t xml:space="preserve">ctions of </w:t>
      </w:r>
      <w:r>
        <w:rPr>
          <w:rFonts w:ascii="Times New Roman" w:hAnsi="Times New Roman" w:cs="Times New Roman"/>
          <w:b/>
        </w:rPr>
        <w:t>D</w:t>
      </w:r>
      <w:r w:rsidRPr="00E84D12">
        <w:rPr>
          <w:rFonts w:ascii="Times New Roman" w:hAnsi="Times New Roman" w:cs="Times New Roman"/>
          <w:b/>
        </w:rPr>
        <w:t xml:space="preserve">ecentralized </w:t>
      </w:r>
      <w:r>
        <w:rPr>
          <w:rFonts w:ascii="Times New Roman" w:hAnsi="Times New Roman" w:cs="Times New Roman"/>
          <w:b/>
        </w:rPr>
        <w:t>E</w:t>
      </w:r>
      <w:r w:rsidRPr="00E84D12">
        <w:rPr>
          <w:rFonts w:ascii="Times New Roman" w:hAnsi="Times New Roman" w:cs="Times New Roman"/>
          <w:b/>
        </w:rPr>
        <w:t>valuations</w:t>
      </w:r>
    </w:p>
    <w:p w14:paraId="1EBC585E" w14:textId="77777777" w:rsidR="0050259B" w:rsidRPr="00C87404" w:rsidRDefault="0050259B" w:rsidP="0050259B">
      <w:pPr>
        <w:pStyle w:val="ListParagraph"/>
        <w:numPr>
          <w:ilvl w:val="0"/>
          <w:numId w:val="25"/>
        </w:numPr>
        <w:tabs>
          <w:tab w:val="left" w:pos="360"/>
        </w:tabs>
        <w:spacing w:after="0" w:line="240" w:lineRule="auto"/>
        <w:ind w:left="0" w:firstLine="0"/>
        <w:jc w:val="both"/>
        <w:rPr>
          <w:rFonts w:ascii="Times New Roman" w:eastAsia="Times New Roman,Batang" w:hAnsi="Times New Roman" w:cs="Times New Roman"/>
          <w:b/>
          <w:bCs/>
          <w:lang w:eastAsia="ko-KR"/>
        </w:rPr>
      </w:pPr>
      <w:r w:rsidRPr="00757CE7">
        <w:rPr>
          <w:rFonts w:ascii="Times New Roman" w:eastAsia="Times New Roman,Batang" w:hAnsi="Times New Roman" w:cs="Times New Roman"/>
          <w:lang w:eastAsia="ko-KR"/>
        </w:rPr>
        <w:t xml:space="preserve">UNDP strengthened its system for uptake of decentralized evaluation by institutionalizing mechanisms, processes, and accountability for </w:t>
      </w:r>
      <w:r>
        <w:rPr>
          <w:rFonts w:ascii="Times New Roman" w:eastAsia="Times New Roman,Batang" w:hAnsi="Times New Roman" w:cs="Times New Roman"/>
          <w:lang w:eastAsia="ko-KR"/>
        </w:rPr>
        <w:t xml:space="preserve">the </w:t>
      </w:r>
      <w:r w:rsidRPr="00757CE7">
        <w:rPr>
          <w:rFonts w:ascii="Times New Roman" w:eastAsia="Times New Roman,Batang" w:hAnsi="Times New Roman" w:cs="Times New Roman"/>
          <w:lang w:eastAsia="ko-KR"/>
        </w:rPr>
        <w:t>timely implementation of management actions via management response systems. In 2021, UNDP made sustained efforts to implement management actions on time through regular follow-up, oversight, and quarterly reviews with regional bureau</w:t>
      </w:r>
      <w:r>
        <w:rPr>
          <w:rFonts w:ascii="Times New Roman" w:eastAsia="Times New Roman,Batang" w:hAnsi="Times New Roman" w:cs="Times New Roman"/>
          <w:lang w:eastAsia="ko-KR"/>
        </w:rPr>
        <w:t>x</w:t>
      </w:r>
      <w:r w:rsidRPr="00757CE7">
        <w:rPr>
          <w:rFonts w:ascii="Times New Roman" w:eastAsia="Times New Roman,Batang" w:hAnsi="Times New Roman" w:cs="Times New Roman"/>
          <w:lang w:eastAsia="ko-KR"/>
        </w:rPr>
        <w:t xml:space="preserve"> and UNDP headquarters on evaluation performance issues. </w:t>
      </w:r>
    </w:p>
    <w:p w14:paraId="3A96DCC0" w14:textId="77777777" w:rsidR="0050259B" w:rsidRPr="00C87404" w:rsidRDefault="0050259B" w:rsidP="0050259B">
      <w:pPr>
        <w:pStyle w:val="ListParagraph"/>
        <w:tabs>
          <w:tab w:val="left" w:pos="360"/>
        </w:tabs>
        <w:spacing w:after="0" w:line="240" w:lineRule="auto"/>
        <w:ind w:left="0"/>
        <w:jc w:val="both"/>
        <w:rPr>
          <w:rFonts w:ascii="Times New Roman" w:eastAsia="Times New Roman,Batang" w:hAnsi="Times New Roman" w:cs="Times New Roman"/>
          <w:b/>
          <w:bCs/>
          <w:lang w:eastAsia="ko-KR"/>
        </w:rPr>
      </w:pPr>
    </w:p>
    <w:p w14:paraId="489F79FB" w14:textId="77777777" w:rsidR="0050259B" w:rsidRPr="00757CE7" w:rsidRDefault="0050259B" w:rsidP="0050259B">
      <w:pPr>
        <w:pStyle w:val="ListParagraph"/>
        <w:numPr>
          <w:ilvl w:val="0"/>
          <w:numId w:val="25"/>
        </w:numPr>
        <w:tabs>
          <w:tab w:val="left" w:pos="360"/>
        </w:tabs>
        <w:spacing w:after="0" w:line="240" w:lineRule="auto"/>
        <w:ind w:left="0" w:firstLine="0"/>
        <w:jc w:val="both"/>
        <w:rPr>
          <w:rFonts w:ascii="Times New Roman" w:eastAsia="Times New Roman,Batang" w:hAnsi="Times New Roman" w:cs="Times New Roman"/>
          <w:b/>
          <w:bCs/>
          <w:lang w:eastAsia="ko-KR"/>
        </w:rPr>
      </w:pPr>
      <w:r w:rsidRPr="00757CE7">
        <w:rPr>
          <w:rFonts w:ascii="Times New Roman" w:eastAsia="Times New Roman,Batang" w:hAnsi="Times New Roman" w:cs="Times New Roman"/>
          <w:lang w:eastAsia="ko-KR"/>
        </w:rPr>
        <w:t>For evaluations conducted in the last five years, 98 per</w:t>
      </w:r>
      <w:r>
        <w:rPr>
          <w:rFonts w:ascii="Times New Roman" w:eastAsia="Times New Roman,Batang" w:hAnsi="Times New Roman" w:cs="Times New Roman"/>
          <w:lang w:eastAsia="ko-KR"/>
        </w:rPr>
        <w:t xml:space="preserve"> </w:t>
      </w:r>
      <w:r w:rsidRPr="00757CE7">
        <w:rPr>
          <w:rFonts w:ascii="Times New Roman" w:eastAsia="Times New Roman,Batang" w:hAnsi="Times New Roman" w:cs="Times New Roman"/>
          <w:lang w:eastAsia="ko-KR"/>
        </w:rPr>
        <w:t>cent of decentralized evaluations had a management response, a four-percentage point increase from 94 per</w:t>
      </w:r>
      <w:r>
        <w:rPr>
          <w:rFonts w:ascii="Times New Roman" w:eastAsia="Times New Roman,Batang" w:hAnsi="Times New Roman" w:cs="Times New Roman"/>
          <w:lang w:eastAsia="ko-KR"/>
        </w:rPr>
        <w:t xml:space="preserve"> </w:t>
      </w:r>
      <w:r w:rsidRPr="00757CE7">
        <w:rPr>
          <w:rFonts w:ascii="Times New Roman" w:eastAsia="Times New Roman,Batang" w:hAnsi="Times New Roman" w:cs="Times New Roman"/>
          <w:lang w:eastAsia="ko-KR"/>
        </w:rPr>
        <w:t xml:space="preserve">cent in 2020. </w:t>
      </w:r>
      <w:r w:rsidRPr="00A8749F">
        <w:rPr>
          <w:rFonts w:ascii="Times New Roman" w:eastAsia="Times New Roman,Batang" w:hAnsi="Times New Roman" w:cs="Times New Roman"/>
          <w:lang w:eastAsia="ko-KR"/>
        </w:rPr>
        <w:t xml:space="preserve">The implementation rate of agreed actions of decentralized evaluations conducted in the past five years (2017-2021) </w:t>
      </w:r>
      <w:r>
        <w:rPr>
          <w:rFonts w:ascii="Times New Roman" w:eastAsia="Times New Roman,Batang" w:hAnsi="Times New Roman" w:cs="Times New Roman"/>
          <w:lang w:eastAsia="ko-KR"/>
        </w:rPr>
        <w:t>stood at</w:t>
      </w:r>
      <w:r w:rsidRPr="00A8749F">
        <w:rPr>
          <w:rFonts w:ascii="Times New Roman" w:eastAsia="Times New Roman,Batang" w:hAnsi="Times New Roman" w:cs="Times New Roman"/>
          <w:lang w:eastAsia="ko-KR"/>
        </w:rPr>
        <w:t xml:space="preserve"> 92 per</w:t>
      </w:r>
      <w:r>
        <w:rPr>
          <w:rFonts w:ascii="Times New Roman" w:eastAsia="Times New Roman,Batang" w:hAnsi="Times New Roman" w:cs="Times New Roman"/>
          <w:lang w:eastAsia="ko-KR"/>
        </w:rPr>
        <w:t xml:space="preserve"> </w:t>
      </w:r>
      <w:r w:rsidRPr="00A8749F">
        <w:rPr>
          <w:rFonts w:ascii="Times New Roman" w:eastAsia="Times New Roman,Batang" w:hAnsi="Times New Roman" w:cs="Times New Roman"/>
          <w:lang w:eastAsia="ko-KR"/>
        </w:rPr>
        <w:t>cent (“completed” and “ongoing/initiated”). UNDP completed 75 per</w:t>
      </w:r>
      <w:r>
        <w:rPr>
          <w:rFonts w:ascii="Times New Roman" w:eastAsia="Times New Roman,Batang" w:hAnsi="Times New Roman" w:cs="Times New Roman"/>
          <w:lang w:eastAsia="ko-KR"/>
        </w:rPr>
        <w:t xml:space="preserve"> </w:t>
      </w:r>
      <w:r w:rsidRPr="00A8749F">
        <w:rPr>
          <w:rFonts w:ascii="Times New Roman" w:eastAsia="Times New Roman,Batang" w:hAnsi="Times New Roman" w:cs="Times New Roman"/>
          <w:lang w:eastAsia="ko-KR"/>
        </w:rPr>
        <w:t>cent of planned key actions, while 16 per</w:t>
      </w:r>
      <w:r>
        <w:rPr>
          <w:rFonts w:ascii="Times New Roman" w:eastAsia="Times New Roman,Batang" w:hAnsi="Times New Roman" w:cs="Times New Roman"/>
          <w:lang w:eastAsia="ko-KR"/>
        </w:rPr>
        <w:t xml:space="preserve"> </w:t>
      </w:r>
      <w:r w:rsidRPr="00A8749F">
        <w:rPr>
          <w:rFonts w:ascii="Times New Roman" w:eastAsia="Times New Roman,Batang" w:hAnsi="Times New Roman" w:cs="Times New Roman"/>
          <w:lang w:eastAsia="ko-KR"/>
        </w:rPr>
        <w:t>cent were ongoing/initiated, 8 per</w:t>
      </w:r>
      <w:r>
        <w:rPr>
          <w:rFonts w:ascii="Times New Roman" w:eastAsia="Times New Roman,Batang" w:hAnsi="Times New Roman" w:cs="Times New Roman"/>
          <w:lang w:eastAsia="ko-KR"/>
        </w:rPr>
        <w:t xml:space="preserve"> </w:t>
      </w:r>
      <w:r w:rsidRPr="00A8749F">
        <w:rPr>
          <w:rFonts w:ascii="Times New Roman" w:eastAsia="Times New Roman,Batang" w:hAnsi="Times New Roman" w:cs="Times New Roman"/>
          <w:lang w:eastAsia="ko-KR"/>
        </w:rPr>
        <w:t>cent had not been initiated, and 1 per</w:t>
      </w:r>
      <w:r>
        <w:rPr>
          <w:rFonts w:ascii="Times New Roman" w:eastAsia="Times New Roman,Batang" w:hAnsi="Times New Roman" w:cs="Times New Roman"/>
          <w:lang w:eastAsia="ko-KR"/>
        </w:rPr>
        <w:t xml:space="preserve"> </w:t>
      </w:r>
      <w:r w:rsidRPr="00A8749F">
        <w:rPr>
          <w:rFonts w:ascii="Times New Roman" w:eastAsia="Times New Roman,Batang" w:hAnsi="Times New Roman" w:cs="Times New Roman"/>
          <w:lang w:eastAsia="ko-KR"/>
        </w:rPr>
        <w:t xml:space="preserve">cent </w:t>
      </w:r>
      <w:r>
        <w:rPr>
          <w:rFonts w:ascii="Times New Roman" w:eastAsia="Times New Roman,Batang" w:hAnsi="Times New Roman" w:cs="Times New Roman"/>
          <w:lang w:eastAsia="ko-KR"/>
        </w:rPr>
        <w:t>were</w:t>
      </w:r>
      <w:r w:rsidRPr="00A8749F">
        <w:rPr>
          <w:rFonts w:ascii="Times New Roman" w:eastAsia="Times New Roman,Batang" w:hAnsi="Times New Roman" w:cs="Times New Roman"/>
          <w:lang w:eastAsia="ko-KR"/>
        </w:rPr>
        <w:t xml:space="preserve"> overdue.</w:t>
      </w:r>
    </w:p>
    <w:p w14:paraId="29176FEC" w14:textId="77777777" w:rsidR="0050259B" w:rsidRDefault="0050259B" w:rsidP="0050259B">
      <w:pPr>
        <w:tabs>
          <w:tab w:val="left" w:pos="360"/>
        </w:tabs>
        <w:spacing w:after="0" w:line="240" w:lineRule="auto"/>
        <w:jc w:val="both"/>
        <w:rPr>
          <w:rFonts w:ascii="Times New Roman" w:eastAsia="Times New Roman,Batang" w:hAnsi="Times New Roman" w:cs="Times New Roman"/>
          <w:b/>
          <w:bCs/>
          <w:lang w:eastAsia="ko-KR"/>
        </w:rPr>
      </w:pPr>
    </w:p>
    <w:p w14:paraId="032D6D21" w14:textId="77777777" w:rsidR="0050259B" w:rsidRPr="00757CE7" w:rsidRDefault="0050259B" w:rsidP="0050259B">
      <w:pPr>
        <w:pStyle w:val="ListParagraph"/>
        <w:numPr>
          <w:ilvl w:val="0"/>
          <w:numId w:val="25"/>
        </w:numPr>
        <w:tabs>
          <w:tab w:val="left" w:pos="360"/>
        </w:tabs>
        <w:spacing w:after="0" w:line="240" w:lineRule="auto"/>
        <w:ind w:left="0" w:firstLine="0"/>
        <w:jc w:val="both"/>
        <w:rPr>
          <w:rFonts w:ascii="Times New Roman" w:eastAsia="Times New Roman,Batang" w:hAnsi="Times New Roman" w:cs="Times New Roman"/>
          <w:b/>
          <w:bCs/>
          <w:lang w:eastAsia="ko-KR"/>
        </w:rPr>
      </w:pPr>
      <w:r w:rsidRPr="00757CE7">
        <w:rPr>
          <w:rFonts w:ascii="Times New Roman" w:eastAsia="Times New Roman,Batang" w:hAnsi="Times New Roman" w:cs="Times New Roman"/>
          <w:lang w:eastAsia="ko-KR"/>
        </w:rPr>
        <w:t>UNDP takes note that</w:t>
      </w:r>
      <w:r w:rsidRPr="00757CE7">
        <w:rPr>
          <w:rFonts w:ascii="Times New Roman" w:eastAsia="Times New Roman,Batang" w:hAnsi="Times New Roman" w:cs="Times New Roman"/>
          <w:b/>
          <w:bCs/>
          <w:lang w:eastAsia="ko-KR"/>
        </w:rPr>
        <w:t xml:space="preserve"> </w:t>
      </w:r>
      <w:r w:rsidRPr="00757CE7">
        <w:rPr>
          <w:rFonts w:ascii="Times New Roman" w:eastAsia="Times New Roman,Batang" w:hAnsi="Times New Roman" w:cs="Times New Roman"/>
          <w:i/>
          <w:iCs/>
          <w:lang w:eastAsia="ko-KR"/>
        </w:rPr>
        <w:t>although the majority (70 per</w:t>
      </w:r>
      <w:r>
        <w:rPr>
          <w:rFonts w:ascii="Times New Roman" w:eastAsia="Times New Roman,Batang" w:hAnsi="Times New Roman" w:cs="Times New Roman"/>
          <w:i/>
          <w:iCs/>
          <w:lang w:eastAsia="ko-KR"/>
        </w:rPr>
        <w:t xml:space="preserve"> </w:t>
      </w:r>
      <w:r w:rsidRPr="00757CE7">
        <w:rPr>
          <w:rFonts w:ascii="Times New Roman" w:eastAsia="Times New Roman,Batang" w:hAnsi="Times New Roman" w:cs="Times New Roman"/>
          <w:i/>
          <w:iCs/>
          <w:lang w:eastAsia="ko-KR"/>
        </w:rPr>
        <w:t xml:space="preserve">cent) of actions included in decentralized evaluation reports since 2017 </w:t>
      </w:r>
      <w:r>
        <w:rPr>
          <w:rFonts w:ascii="Times New Roman" w:eastAsia="Times New Roman,Batang" w:hAnsi="Times New Roman" w:cs="Times New Roman"/>
          <w:i/>
          <w:iCs/>
          <w:lang w:eastAsia="ko-KR"/>
        </w:rPr>
        <w:t>were</w:t>
      </w:r>
      <w:r w:rsidRPr="00757CE7">
        <w:rPr>
          <w:rFonts w:ascii="Times New Roman" w:eastAsia="Times New Roman,Batang" w:hAnsi="Times New Roman" w:cs="Times New Roman"/>
          <w:i/>
          <w:iCs/>
          <w:lang w:eastAsia="ko-KR"/>
        </w:rPr>
        <w:t xml:space="preserve"> fully acted upon, evidence of actual implementation is limited. </w:t>
      </w:r>
      <w:r>
        <w:rPr>
          <w:rFonts w:ascii="Times New Roman" w:eastAsia="Times New Roman,Batang" w:hAnsi="Times New Roman" w:cs="Times New Roman"/>
          <w:lang w:eastAsia="ko-KR"/>
        </w:rPr>
        <w:t>T</w:t>
      </w:r>
      <w:r w:rsidRPr="00CA3F67">
        <w:rPr>
          <w:rFonts w:ascii="Times New Roman" w:eastAsia="Times New Roman,Batang" w:hAnsi="Times New Roman" w:cs="Times New Roman"/>
          <w:lang w:eastAsia="ko-KR"/>
        </w:rPr>
        <w:t>o strengthen the evidence of actual implementation</w:t>
      </w:r>
      <w:r>
        <w:rPr>
          <w:rFonts w:ascii="Times New Roman" w:eastAsia="Times New Roman,Batang" w:hAnsi="Times New Roman" w:cs="Times New Roman"/>
          <w:lang w:eastAsia="ko-KR"/>
        </w:rPr>
        <w:t>,</w:t>
      </w:r>
      <w:r w:rsidRPr="00CA3F67">
        <w:rPr>
          <w:rFonts w:ascii="Times New Roman" w:eastAsia="Times New Roman,Batang" w:hAnsi="Times New Roman" w:cs="Times New Roman"/>
          <w:i/>
          <w:iCs/>
          <w:lang w:eastAsia="ko-KR"/>
        </w:rPr>
        <w:t xml:space="preserve"> </w:t>
      </w:r>
      <w:r w:rsidRPr="00757CE7">
        <w:rPr>
          <w:rFonts w:ascii="Times New Roman" w:eastAsia="Times New Roman,Batang" w:hAnsi="Times New Roman" w:cs="Times New Roman"/>
          <w:lang w:eastAsia="ko-KR"/>
        </w:rPr>
        <w:t xml:space="preserve">UNDP will take concrete actions to enhance the practice of uploading credible evidence in the Evaluation Resource Center in addition to updates on completed implemented actions. </w:t>
      </w:r>
    </w:p>
    <w:p w14:paraId="00C04DE7" w14:textId="77777777" w:rsidR="0050259B" w:rsidRDefault="0050259B" w:rsidP="0050259B">
      <w:pPr>
        <w:spacing w:after="120" w:line="240" w:lineRule="auto"/>
        <w:jc w:val="both"/>
        <w:rPr>
          <w:rFonts w:ascii="Times New Roman" w:hAnsi="Times New Roman" w:cs="Times New Roman"/>
          <w:b/>
          <w:bCs/>
        </w:rPr>
      </w:pPr>
    </w:p>
    <w:p w14:paraId="1D439724" w14:textId="77777777" w:rsidR="00DA268F" w:rsidRDefault="00DA268F">
      <w:pPr>
        <w:rPr>
          <w:rFonts w:ascii="Times New Roman" w:hAnsi="Times New Roman" w:cs="Times New Roman"/>
          <w:b/>
          <w:bCs/>
        </w:rPr>
      </w:pPr>
      <w:r>
        <w:rPr>
          <w:rFonts w:ascii="Times New Roman" w:hAnsi="Times New Roman" w:cs="Times New Roman"/>
          <w:b/>
          <w:bCs/>
        </w:rPr>
        <w:br w:type="page"/>
      </w:r>
    </w:p>
    <w:p w14:paraId="0555BFC9" w14:textId="57EF9568" w:rsidR="0050259B" w:rsidRPr="00E55027" w:rsidRDefault="0050259B" w:rsidP="0050259B">
      <w:pPr>
        <w:rPr>
          <w:rFonts w:ascii="Times New Roman" w:hAnsi="Times New Roman" w:cs="Times New Roman"/>
          <w:b/>
          <w:bCs/>
        </w:rPr>
      </w:pPr>
      <w:r w:rsidRPr="00E55027">
        <w:rPr>
          <w:rFonts w:ascii="Times New Roman" w:hAnsi="Times New Roman" w:cs="Times New Roman"/>
          <w:b/>
          <w:bCs/>
        </w:rPr>
        <w:lastRenderedPageBreak/>
        <w:t>Quality of decentralized evaluations</w:t>
      </w:r>
    </w:p>
    <w:p w14:paraId="45AB3499" w14:textId="77777777" w:rsidR="0050259B" w:rsidRPr="00757CE7" w:rsidRDefault="0050259B" w:rsidP="0050259B">
      <w:pPr>
        <w:pStyle w:val="ListParagraph"/>
        <w:numPr>
          <w:ilvl w:val="0"/>
          <w:numId w:val="25"/>
        </w:numPr>
        <w:tabs>
          <w:tab w:val="left" w:pos="360"/>
          <w:tab w:val="left" w:pos="1710"/>
        </w:tabs>
        <w:spacing w:after="0" w:line="240" w:lineRule="auto"/>
        <w:ind w:left="0" w:firstLine="0"/>
        <w:jc w:val="both"/>
        <w:rPr>
          <w:rFonts w:ascii="Times New Roman" w:hAnsi="Times New Roman" w:cs="Times New Roman"/>
        </w:rPr>
      </w:pPr>
      <w:r>
        <w:rPr>
          <w:rFonts w:ascii="Times New Roman" w:hAnsi="Times New Roman" w:cs="Times New Roman"/>
        </w:rPr>
        <w:t>An</w:t>
      </w:r>
      <w:r w:rsidRPr="00757CE7">
        <w:rPr>
          <w:rFonts w:ascii="Times New Roman" w:hAnsi="Times New Roman" w:cs="Times New Roman"/>
        </w:rPr>
        <w:t xml:space="preserve">other positive trend noted in the Annual Report on Evaluation 2021 is </w:t>
      </w:r>
      <w:r w:rsidRPr="00757CE7">
        <w:rPr>
          <w:rFonts w:ascii="Times New Roman" w:hAnsi="Times New Roman" w:cs="Times New Roman"/>
          <w:i/>
          <w:iCs/>
        </w:rPr>
        <w:t>the improvement of the quality of decentralized evaluations</w:t>
      </w:r>
      <w:r w:rsidRPr="00E76296">
        <w:t xml:space="preserve"> </w:t>
      </w:r>
      <w:r w:rsidRPr="00757CE7">
        <w:rPr>
          <w:rFonts w:ascii="Times New Roman" w:hAnsi="Times New Roman" w:cs="Times New Roman"/>
          <w:i/>
          <w:iCs/>
        </w:rPr>
        <w:t>compared to 2020</w:t>
      </w:r>
      <w:r w:rsidRPr="00757CE7">
        <w:rPr>
          <w:rFonts w:ascii="Times New Roman" w:hAnsi="Times New Roman" w:cs="Times New Roman"/>
        </w:rPr>
        <w:t xml:space="preserve">. </w:t>
      </w:r>
      <w:r w:rsidRPr="00757CE7">
        <w:rPr>
          <w:rFonts w:ascii="Times New Roman" w:hAnsi="Times New Roman" w:cs="Times New Roman"/>
          <w:i/>
          <w:iCs/>
        </w:rPr>
        <w:t>Of the 272 evaluations assessed in 2021</w:t>
      </w:r>
      <w:r>
        <w:rPr>
          <w:rFonts w:ascii="Times New Roman" w:hAnsi="Times New Roman" w:cs="Times New Roman"/>
          <w:i/>
          <w:iCs/>
        </w:rPr>
        <w:t xml:space="preserve"> for quality</w:t>
      </w:r>
      <w:r w:rsidRPr="00757CE7">
        <w:rPr>
          <w:rFonts w:ascii="Times New Roman" w:hAnsi="Times New Roman" w:cs="Times New Roman"/>
          <w:i/>
          <w:iCs/>
        </w:rPr>
        <w:t>, 42 per</w:t>
      </w:r>
      <w:r>
        <w:rPr>
          <w:rFonts w:ascii="Times New Roman" w:hAnsi="Times New Roman" w:cs="Times New Roman"/>
          <w:i/>
          <w:iCs/>
        </w:rPr>
        <w:t xml:space="preserve"> </w:t>
      </w:r>
      <w:r w:rsidRPr="00757CE7">
        <w:rPr>
          <w:rFonts w:ascii="Times New Roman" w:hAnsi="Times New Roman" w:cs="Times New Roman"/>
          <w:i/>
          <w:iCs/>
        </w:rPr>
        <w:t>cent were rated as satisfactory (an eight-percentage point increase compared to 2020); 47 per</w:t>
      </w:r>
      <w:r>
        <w:rPr>
          <w:rFonts w:ascii="Times New Roman" w:hAnsi="Times New Roman" w:cs="Times New Roman"/>
          <w:i/>
          <w:iCs/>
        </w:rPr>
        <w:t xml:space="preserve"> </w:t>
      </w:r>
      <w:r w:rsidRPr="00757CE7">
        <w:rPr>
          <w:rFonts w:ascii="Times New Roman" w:hAnsi="Times New Roman" w:cs="Times New Roman"/>
          <w:i/>
          <w:iCs/>
        </w:rPr>
        <w:t>cent moderately satisfactory, and 11 per</w:t>
      </w:r>
      <w:r>
        <w:rPr>
          <w:rFonts w:ascii="Times New Roman" w:hAnsi="Times New Roman" w:cs="Times New Roman"/>
          <w:i/>
          <w:iCs/>
        </w:rPr>
        <w:t xml:space="preserve"> </w:t>
      </w:r>
      <w:r w:rsidRPr="00757CE7">
        <w:rPr>
          <w:rFonts w:ascii="Times New Roman" w:hAnsi="Times New Roman" w:cs="Times New Roman"/>
          <w:i/>
          <w:iCs/>
        </w:rPr>
        <w:t>cent moderately unsatisfactory or unsatisfactory.</w:t>
      </w:r>
      <w:r w:rsidRPr="00757CE7">
        <w:rPr>
          <w:rFonts w:ascii="Times New Roman" w:hAnsi="Times New Roman" w:cs="Times New Roman"/>
        </w:rPr>
        <w:t xml:space="preserve"> </w:t>
      </w:r>
    </w:p>
    <w:p w14:paraId="540D9C5C" w14:textId="77777777" w:rsidR="0050259B" w:rsidRPr="00D54497" w:rsidRDefault="0050259B" w:rsidP="0050259B">
      <w:pPr>
        <w:tabs>
          <w:tab w:val="left" w:pos="360"/>
          <w:tab w:val="left" w:pos="1710"/>
        </w:tabs>
        <w:spacing w:after="0" w:line="240" w:lineRule="auto"/>
        <w:jc w:val="both"/>
        <w:rPr>
          <w:rFonts w:ascii="Times New Roman" w:hAnsi="Times New Roman" w:cs="Times New Roman"/>
        </w:rPr>
      </w:pPr>
    </w:p>
    <w:p w14:paraId="293459E7" w14:textId="77777777" w:rsidR="0050259B" w:rsidRPr="00757CE7" w:rsidRDefault="0050259B" w:rsidP="0050259B">
      <w:pPr>
        <w:pStyle w:val="ListParagraph"/>
        <w:numPr>
          <w:ilvl w:val="0"/>
          <w:numId w:val="25"/>
        </w:numPr>
        <w:tabs>
          <w:tab w:val="left" w:pos="360"/>
          <w:tab w:val="left" w:pos="1710"/>
        </w:tabs>
        <w:spacing w:after="0" w:line="240" w:lineRule="auto"/>
        <w:ind w:left="0" w:firstLine="0"/>
        <w:jc w:val="both"/>
        <w:rPr>
          <w:rFonts w:ascii="Times New Roman" w:hAnsi="Times New Roman" w:cs="Times New Roman"/>
        </w:rPr>
      </w:pPr>
      <w:r w:rsidRPr="00757CE7">
        <w:rPr>
          <w:rFonts w:ascii="Times New Roman" w:hAnsi="Times New Roman" w:cs="Times New Roman"/>
        </w:rPr>
        <w:t>The chart below shows the quality of decentralized evaluations over the past five years based on 240 decentralized evaluations (85 per</w:t>
      </w:r>
      <w:r>
        <w:rPr>
          <w:rFonts w:ascii="Times New Roman" w:hAnsi="Times New Roman" w:cs="Times New Roman"/>
        </w:rPr>
        <w:t xml:space="preserve"> </w:t>
      </w:r>
      <w:r w:rsidRPr="00757CE7">
        <w:rPr>
          <w:rFonts w:ascii="Times New Roman" w:hAnsi="Times New Roman" w:cs="Times New Roman"/>
        </w:rPr>
        <w:t>cent) quality assur</w:t>
      </w:r>
      <w:r>
        <w:rPr>
          <w:rFonts w:ascii="Times New Roman" w:hAnsi="Times New Roman" w:cs="Times New Roman"/>
        </w:rPr>
        <w:t>ed annually</w:t>
      </w:r>
      <w:r w:rsidRPr="00757CE7">
        <w:rPr>
          <w:rFonts w:ascii="Times New Roman" w:hAnsi="Times New Roman" w:cs="Times New Roman"/>
        </w:rPr>
        <w:t>. UNDP is pleased to report that decentralized evaluations rated as satisfactory increased from 19 per</w:t>
      </w:r>
      <w:r>
        <w:rPr>
          <w:rFonts w:ascii="Times New Roman" w:hAnsi="Times New Roman" w:cs="Times New Roman"/>
        </w:rPr>
        <w:t xml:space="preserve"> </w:t>
      </w:r>
      <w:r w:rsidRPr="00757CE7">
        <w:rPr>
          <w:rFonts w:ascii="Times New Roman" w:hAnsi="Times New Roman" w:cs="Times New Roman"/>
        </w:rPr>
        <w:t>cent in 2017 to 42 per</w:t>
      </w:r>
      <w:r>
        <w:rPr>
          <w:rFonts w:ascii="Times New Roman" w:hAnsi="Times New Roman" w:cs="Times New Roman"/>
        </w:rPr>
        <w:t xml:space="preserve"> </w:t>
      </w:r>
      <w:r w:rsidRPr="00757CE7">
        <w:rPr>
          <w:rFonts w:ascii="Times New Roman" w:hAnsi="Times New Roman" w:cs="Times New Roman"/>
        </w:rPr>
        <w:t xml:space="preserve">cent in 2021 whereas </w:t>
      </w:r>
      <w:r>
        <w:rPr>
          <w:rFonts w:ascii="Times New Roman" w:hAnsi="Times New Roman" w:cs="Times New Roman"/>
        </w:rPr>
        <w:t>unsatisfactory</w:t>
      </w:r>
      <w:r w:rsidRPr="00757CE7">
        <w:rPr>
          <w:rFonts w:ascii="Times New Roman" w:hAnsi="Times New Roman" w:cs="Times New Roman"/>
        </w:rPr>
        <w:t xml:space="preserve"> decentralized evaluations decreased from seven per</w:t>
      </w:r>
      <w:r>
        <w:rPr>
          <w:rFonts w:ascii="Times New Roman" w:hAnsi="Times New Roman" w:cs="Times New Roman"/>
        </w:rPr>
        <w:t xml:space="preserve"> </w:t>
      </w:r>
      <w:r w:rsidRPr="00757CE7">
        <w:rPr>
          <w:rFonts w:ascii="Times New Roman" w:hAnsi="Times New Roman" w:cs="Times New Roman"/>
        </w:rPr>
        <w:t>cent in 2017 to one per</w:t>
      </w:r>
      <w:r>
        <w:rPr>
          <w:rFonts w:ascii="Times New Roman" w:hAnsi="Times New Roman" w:cs="Times New Roman"/>
        </w:rPr>
        <w:t xml:space="preserve"> </w:t>
      </w:r>
      <w:r w:rsidRPr="00757CE7">
        <w:rPr>
          <w:rFonts w:ascii="Times New Roman" w:hAnsi="Times New Roman" w:cs="Times New Roman"/>
        </w:rPr>
        <w:t xml:space="preserve">cent in 2021. </w:t>
      </w:r>
      <w:r>
        <w:rPr>
          <w:rFonts w:ascii="Times New Roman" w:hAnsi="Times New Roman" w:cs="Times New Roman"/>
        </w:rPr>
        <w:t>As such</w:t>
      </w:r>
      <w:r w:rsidRPr="00757CE7">
        <w:rPr>
          <w:rFonts w:ascii="Times New Roman" w:hAnsi="Times New Roman" w:cs="Times New Roman"/>
        </w:rPr>
        <w:t xml:space="preserve">, UNDP recognizes the need for further efforts to </w:t>
      </w:r>
      <w:r>
        <w:rPr>
          <w:rFonts w:ascii="Times New Roman" w:hAnsi="Times New Roman" w:cs="Times New Roman"/>
        </w:rPr>
        <w:t>shift</w:t>
      </w:r>
      <w:r w:rsidRPr="00757CE7">
        <w:rPr>
          <w:rFonts w:ascii="Times New Roman" w:hAnsi="Times New Roman" w:cs="Times New Roman"/>
        </w:rPr>
        <w:t xml:space="preserve"> the quality of evaluations, reducing the number of ‘unsatisfactory’ and </w:t>
      </w:r>
      <w:r>
        <w:rPr>
          <w:rFonts w:ascii="Times New Roman" w:hAnsi="Times New Roman" w:cs="Times New Roman"/>
        </w:rPr>
        <w:t>increasing</w:t>
      </w:r>
      <w:r w:rsidRPr="00757CE7">
        <w:rPr>
          <w:rFonts w:ascii="Times New Roman" w:hAnsi="Times New Roman" w:cs="Times New Roman"/>
        </w:rPr>
        <w:t xml:space="preserve"> more ‘fully satisfactory’ </w:t>
      </w:r>
      <w:r>
        <w:rPr>
          <w:rFonts w:ascii="Times New Roman" w:hAnsi="Times New Roman" w:cs="Times New Roman"/>
        </w:rPr>
        <w:t>ratings</w:t>
      </w:r>
      <w:r w:rsidRPr="00757CE7">
        <w:rPr>
          <w:rFonts w:ascii="Times New Roman" w:hAnsi="Times New Roman" w:cs="Times New Roman"/>
        </w:rPr>
        <w:t xml:space="preserve">.  </w:t>
      </w:r>
    </w:p>
    <w:p w14:paraId="5869BCA5" w14:textId="77777777" w:rsidR="0050259B" w:rsidRDefault="0050259B" w:rsidP="0050259B">
      <w:pPr>
        <w:spacing w:after="0" w:line="240" w:lineRule="auto"/>
        <w:jc w:val="both"/>
        <w:rPr>
          <w:rFonts w:ascii="Times New Roman" w:hAnsi="Times New Roman" w:cs="Times New Roman"/>
          <w:color w:val="0070C0"/>
        </w:rPr>
      </w:pPr>
    </w:p>
    <w:p w14:paraId="6B76FBF3" w14:textId="77777777" w:rsidR="0050259B" w:rsidRPr="00D2759D" w:rsidRDefault="0050259B" w:rsidP="0050259B">
      <w:pPr>
        <w:spacing w:after="120" w:line="240" w:lineRule="auto"/>
        <w:jc w:val="center"/>
        <w:rPr>
          <w:rFonts w:ascii="Times New Roman" w:hAnsi="Times New Roman" w:cs="Times New Roman"/>
          <w:sz w:val="20"/>
          <w:szCs w:val="20"/>
        </w:rPr>
      </w:pPr>
      <w:r w:rsidRPr="00D2759D">
        <w:rPr>
          <w:rFonts w:ascii="Times New Roman" w:hAnsi="Times New Roman" w:cs="Times New Roman"/>
          <w:sz w:val="20"/>
          <w:szCs w:val="20"/>
        </w:rPr>
        <w:t>Figure 4: Decentralized evaluation quality, 2017-2021</w:t>
      </w:r>
    </w:p>
    <w:p w14:paraId="4EAC9CB3" w14:textId="77777777" w:rsidR="0050259B" w:rsidRPr="00732C07" w:rsidRDefault="0050259B" w:rsidP="0050259B">
      <w:pPr>
        <w:spacing w:after="0" w:line="240" w:lineRule="auto"/>
        <w:jc w:val="both"/>
        <w:rPr>
          <w:rFonts w:ascii="Times New Roman" w:eastAsia="Times New Roman,Batang" w:hAnsi="Times New Roman" w:cs="Times New Roman"/>
          <w:i/>
          <w:iCs/>
          <w:color w:val="0070C0"/>
          <w:lang w:eastAsia="ko-KR"/>
        </w:rPr>
      </w:pPr>
      <w:r w:rsidRPr="00732C07">
        <w:rPr>
          <w:rFonts w:ascii="Times New Roman" w:hAnsi="Times New Roman" w:cs="Times New Roman"/>
          <w:noProof/>
          <w:color w:val="0070C0"/>
        </w:rPr>
        <mc:AlternateContent>
          <mc:Choice Requires="wps">
            <w:drawing>
              <wp:anchor distT="0" distB="0" distL="114300" distR="114300" simplePos="0" relativeHeight="251658244" behindDoc="0" locked="0" layoutInCell="1" allowOverlap="1" wp14:anchorId="6214A724" wp14:editId="4D5CE7E5">
                <wp:simplePos x="0" y="0"/>
                <wp:positionH relativeFrom="margin">
                  <wp:posOffset>574040</wp:posOffset>
                </wp:positionH>
                <wp:positionV relativeFrom="paragraph">
                  <wp:posOffset>1281430</wp:posOffset>
                </wp:positionV>
                <wp:extent cx="4412512" cy="170121"/>
                <wp:effectExtent l="0" t="0" r="26670" b="209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2512" cy="170121"/>
                        </a:xfrm>
                        <a:prstGeom prst="line">
                          <a:avLst/>
                        </a:prstGeom>
                        <a:ln w="22225">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67F11" id="Straight Connector 7"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2pt,100.9pt" to="392.6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" strokecolor="#c00000" strokeweight="1.75pt">
                <v:stroke dashstyle="1 1" joinstyle="miter"/>
                <o:lock v:ext="edit" shapetype="f"/>
                <w10:wrap anchorx="margin"/>
              </v:line>
            </w:pict>
          </mc:Fallback>
        </mc:AlternateContent>
      </w:r>
      <w:r w:rsidRPr="00732C07">
        <w:rPr>
          <w:rFonts w:ascii="Times New Roman" w:eastAsia="Times New Roman,Batang" w:hAnsi="Times New Roman" w:cs="Times New Roman"/>
          <w:i/>
          <w:iCs/>
          <w:noProof/>
          <w:color w:val="0070C0"/>
          <w:lang w:eastAsia="ko-KR"/>
        </w:rPr>
        <w:drawing>
          <wp:inline distT="0" distB="0" distL="0" distR="0" wp14:anchorId="0039118A" wp14:editId="28628A57">
            <wp:extent cx="5996305" cy="1818167"/>
            <wp:effectExtent l="0" t="0" r="4445"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046FF2" w14:textId="77777777" w:rsidR="0050259B" w:rsidRPr="0061783B" w:rsidRDefault="0050259B" w:rsidP="0050259B">
      <w:pPr>
        <w:spacing w:before="60" w:after="0" w:line="240" w:lineRule="auto"/>
        <w:jc w:val="both"/>
        <w:rPr>
          <w:rFonts w:ascii="Times New Roman" w:hAnsi="Times New Roman" w:cs="Times New Roman"/>
          <w:color w:val="000000" w:themeColor="text1"/>
          <w:sz w:val="16"/>
          <w:szCs w:val="16"/>
        </w:rPr>
      </w:pPr>
      <w:r w:rsidRPr="0061783B">
        <w:rPr>
          <w:rFonts w:ascii="Times New Roman" w:hAnsi="Times New Roman" w:cs="Times New Roman"/>
          <w:color w:val="000000" w:themeColor="text1"/>
          <w:sz w:val="16"/>
          <w:szCs w:val="16"/>
        </w:rPr>
        <w:t>Note:</w:t>
      </w:r>
      <w:r w:rsidRPr="0061783B">
        <w:rPr>
          <w:rFonts w:ascii="Times New Roman" w:hAnsi="Times New Roman" w:cs="Times New Roman"/>
          <w:color w:val="0070C0"/>
          <w:sz w:val="20"/>
          <w:szCs w:val="20"/>
        </w:rPr>
        <w:t xml:space="preserve"> </w:t>
      </w:r>
      <w:r w:rsidRPr="0061783B">
        <w:rPr>
          <w:rFonts w:ascii="Times New Roman" w:hAnsi="Times New Roman" w:cs="Times New Roman"/>
          <w:color w:val="000000" w:themeColor="text1"/>
          <w:sz w:val="16"/>
          <w:szCs w:val="16"/>
        </w:rPr>
        <w:t>Number of evaluations completed in year 2017 =315; 2018= 283; 2019 =290; 2020 = 249 and 2021 = 352</w:t>
      </w:r>
    </w:p>
    <w:p w14:paraId="7847667C" w14:textId="77777777" w:rsidR="0050259B" w:rsidRPr="00732C07" w:rsidRDefault="0050259B" w:rsidP="0050259B">
      <w:pPr>
        <w:spacing w:after="0" w:line="240" w:lineRule="auto"/>
        <w:jc w:val="both"/>
        <w:rPr>
          <w:rFonts w:ascii="Times New Roman" w:hAnsi="Times New Roman" w:cs="Times New Roman"/>
          <w:b/>
          <w:bCs/>
          <w:color w:val="0070C0"/>
        </w:rPr>
      </w:pPr>
    </w:p>
    <w:p w14:paraId="66339F80" w14:textId="77777777" w:rsidR="0050259B" w:rsidRPr="00757CE7" w:rsidRDefault="0050259B" w:rsidP="0050259B">
      <w:pPr>
        <w:pStyle w:val="ListParagraph"/>
        <w:numPr>
          <w:ilvl w:val="0"/>
          <w:numId w:val="25"/>
        </w:numPr>
        <w:shd w:val="clear" w:color="auto" w:fill="FFFFFF" w:themeFill="background1"/>
        <w:tabs>
          <w:tab w:val="left" w:pos="360"/>
        </w:tabs>
        <w:spacing w:after="0" w:line="240" w:lineRule="auto"/>
        <w:ind w:left="0" w:firstLine="0"/>
        <w:jc w:val="both"/>
        <w:rPr>
          <w:rFonts w:ascii="Times New Roman" w:eastAsia="Times New Roman,Batang" w:hAnsi="Times New Roman" w:cs="Times New Roman"/>
          <w:b/>
          <w:bCs/>
          <w:lang w:eastAsia="ko-KR"/>
        </w:rPr>
      </w:pPr>
      <w:r w:rsidRPr="00757CE7">
        <w:rPr>
          <w:rFonts w:ascii="Times New Roman" w:eastAsia="Times New Roman,Batang" w:hAnsi="Times New Roman" w:cs="Times New Roman"/>
          <w:lang w:eastAsia="ko-KR"/>
        </w:rPr>
        <w:t xml:space="preserve">Regional disaggregation </w:t>
      </w:r>
      <w:r>
        <w:rPr>
          <w:rFonts w:ascii="Times New Roman" w:eastAsia="Times New Roman,Batang" w:hAnsi="Times New Roman" w:cs="Times New Roman"/>
          <w:lang w:eastAsia="ko-KR"/>
        </w:rPr>
        <w:t>shows</w:t>
      </w:r>
      <w:r w:rsidRPr="00757CE7">
        <w:rPr>
          <w:rFonts w:ascii="Times New Roman" w:eastAsia="Times New Roman,Batang" w:hAnsi="Times New Roman" w:cs="Times New Roman"/>
          <w:lang w:eastAsia="ko-KR"/>
        </w:rPr>
        <w:t xml:space="preserve"> a notable trend in the improvement of the quality of decentralized evaluations. In Asia and the Pacific, over 40 per</w:t>
      </w:r>
      <w:r>
        <w:rPr>
          <w:rFonts w:ascii="Times New Roman" w:eastAsia="Times New Roman,Batang" w:hAnsi="Times New Roman" w:cs="Times New Roman"/>
          <w:lang w:eastAsia="ko-KR"/>
        </w:rPr>
        <w:t xml:space="preserve"> </w:t>
      </w:r>
      <w:r w:rsidRPr="00757CE7">
        <w:rPr>
          <w:rFonts w:ascii="Times New Roman" w:eastAsia="Times New Roman,Batang" w:hAnsi="Times New Roman" w:cs="Times New Roman"/>
          <w:lang w:eastAsia="ko-KR"/>
        </w:rPr>
        <w:t xml:space="preserve">cent of decentralized evaluations were rated as satisfactory.  The Annual Report on Evaluation also acknowledged </w:t>
      </w:r>
      <w:r w:rsidRPr="00757CE7">
        <w:rPr>
          <w:rFonts w:ascii="Times New Roman" w:eastAsia="Times New Roman,Batang" w:hAnsi="Times New Roman" w:cs="Times New Roman"/>
          <w:i/>
          <w:iCs/>
          <w:lang w:eastAsia="ko-KR"/>
        </w:rPr>
        <w:t>significant improvements in the quality of evaluations conducted by the country offices in the Arab States and Europe and Central Asia region</w:t>
      </w:r>
      <w:r w:rsidRPr="00757CE7">
        <w:rPr>
          <w:rFonts w:ascii="Times New Roman" w:eastAsia="Times New Roman,Batang" w:hAnsi="Times New Roman" w:cs="Times New Roman"/>
          <w:lang w:eastAsia="ko-KR"/>
        </w:rPr>
        <w:t xml:space="preserve">, where </w:t>
      </w:r>
      <w:r>
        <w:rPr>
          <w:rFonts w:ascii="Times New Roman" w:eastAsia="Times New Roman,Batang" w:hAnsi="Times New Roman" w:cs="Times New Roman"/>
          <w:lang w:eastAsia="ko-KR"/>
        </w:rPr>
        <w:t>58</w:t>
      </w:r>
      <w:r w:rsidRPr="00757CE7">
        <w:rPr>
          <w:rFonts w:ascii="Times New Roman" w:eastAsia="Times New Roman,Batang" w:hAnsi="Times New Roman" w:cs="Times New Roman"/>
          <w:lang w:eastAsia="ko-KR"/>
        </w:rPr>
        <w:t xml:space="preserve"> per</w:t>
      </w:r>
      <w:r>
        <w:rPr>
          <w:rFonts w:ascii="Times New Roman" w:eastAsia="Times New Roman,Batang" w:hAnsi="Times New Roman" w:cs="Times New Roman"/>
          <w:lang w:eastAsia="ko-KR"/>
        </w:rPr>
        <w:t xml:space="preserve"> </w:t>
      </w:r>
      <w:r w:rsidRPr="00757CE7">
        <w:rPr>
          <w:rFonts w:ascii="Times New Roman" w:eastAsia="Times New Roman,Batang" w:hAnsi="Times New Roman" w:cs="Times New Roman"/>
          <w:lang w:eastAsia="ko-KR"/>
        </w:rPr>
        <w:t>cent (20 per</w:t>
      </w:r>
      <w:r>
        <w:rPr>
          <w:rFonts w:ascii="Times New Roman" w:eastAsia="Times New Roman,Batang" w:hAnsi="Times New Roman" w:cs="Times New Roman"/>
          <w:lang w:eastAsia="ko-KR"/>
        </w:rPr>
        <w:t xml:space="preserve"> </w:t>
      </w:r>
      <w:r w:rsidRPr="00757CE7">
        <w:rPr>
          <w:rFonts w:ascii="Times New Roman" w:eastAsia="Times New Roman,Batang" w:hAnsi="Times New Roman" w:cs="Times New Roman"/>
          <w:lang w:eastAsia="ko-KR"/>
        </w:rPr>
        <w:t>cent in 2020) and 47 per</w:t>
      </w:r>
      <w:r>
        <w:rPr>
          <w:rFonts w:ascii="Times New Roman" w:eastAsia="Times New Roman,Batang" w:hAnsi="Times New Roman" w:cs="Times New Roman"/>
          <w:lang w:eastAsia="ko-KR"/>
        </w:rPr>
        <w:t xml:space="preserve"> </w:t>
      </w:r>
      <w:r w:rsidRPr="00757CE7">
        <w:rPr>
          <w:rFonts w:ascii="Times New Roman" w:eastAsia="Times New Roman,Batang" w:hAnsi="Times New Roman" w:cs="Times New Roman"/>
          <w:lang w:eastAsia="ko-KR"/>
        </w:rPr>
        <w:t>cent (21 per</w:t>
      </w:r>
      <w:r>
        <w:rPr>
          <w:rFonts w:ascii="Times New Roman" w:eastAsia="Times New Roman,Batang" w:hAnsi="Times New Roman" w:cs="Times New Roman"/>
          <w:lang w:eastAsia="ko-KR"/>
        </w:rPr>
        <w:t xml:space="preserve"> </w:t>
      </w:r>
      <w:r w:rsidRPr="00757CE7">
        <w:rPr>
          <w:rFonts w:ascii="Times New Roman" w:eastAsia="Times New Roman,Batang" w:hAnsi="Times New Roman" w:cs="Times New Roman"/>
          <w:lang w:eastAsia="ko-KR"/>
        </w:rPr>
        <w:t xml:space="preserve">cent in 2020) of evaluation reports </w:t>
      </w:r>
      <w:r>
        <w:rPr>
          <w:rFonts w:ascii="Times New Roman" w:eastAsia="Times New Roman,Batang" w:hAnsi="Times New Roman" w:cs="Times New Roman"/>
          <w:lang w:eastAsia="ko-KR"/>
        </w:rPr>
        <w:t>were</w:t>
      </w:r>
      <w:r w:rsidRPr="00757CE7">
        <w:rPr>
          <w:rFonts w:ascii="Times New Roman" w:eastAsia="Times New Roman,Batang" w:hAnsi="Times New Roman" w:cs="Times New Roman"/>
          <w:lang w:eastAsia="ko-KR"/>
        </w:rPr>
        <w:t xml:space="preserve"> rated as satisfactory.</w:t>
      </w:r>
      <w:r w:rsidRPr="00757CE7">
        <w:rPr>
          <w:rFonts w:ascii="Times New Roman" w:eastAsia="Times New Roman,Batang" w:hAnsi="Times New Roman" w:cs="Times New Roman"/>
          <w:b/>
          <w:bCs/>
          <w:lang w:eastAsia="ko-KR"/>
        </w:rPr>
        <w:t xml:space="preserve"> </w:t>
      </w:r>
    </w:p>
    <w:p w14:paraId="657AE676" w14:textId="77777777" w:rsidR="0050259B" w:rsidRPr="00732C07" w:rsidRDefault="0050259B" w:rsidP="0050259B">
      <w:pPr>
        <w:shd w:val="clear" w:color="auto" w:fill="FFFFFF" w:themeFill="background1"/>
        <w:tabs>
          <w:tab w:val="left" w:pos="360"/>
        </w:tabs>
        <w:spacing w:after="0" w:line="240" w:lineRule="auto"/>
        <w:jc w:val="both"/>
        <w:rPr>
          <w:rFonts w:ascii="Times New Roman" w:eastAsia="Times New Roman,Batang" w:hAnsi="Times New Roman" w:cs="Times New Roman"/>
          <w:color w:val="0070C0"/>
          <w:lang w:eastAsia="ko-KR"/>
        </w:rPr>
      </w:pPr>
    </w:p>
    <w:p w14:paraId="36E82B76" w14:textId="77777777" w:rsidR="0050259B" w:rsidRDefault="0050259B" w:rsidP="0050259B">
      <w:pPr>
        <w:pStyle w:val="ListParagraph"/>
        <w:numPr>
          <w:ilvl w:val="0"/>
          <w:numId w:val="25"/>
        </w:numPr>
        <w:tabs>
          <w:tab w:val="left" w:pos="360"/>
        </w:tabs>
        <w:spacing w:after="0" w:line="240" w:lineRule="auto"/>
        <w:ind w:left="0" w:firstLine="0"/>
        <w:jc w:val="both"/>
        <w:rPr>
          <w:rFonts w:ascii="Times New Roman" w:eastAsia="Times New Roman,Batang" w:hAnsi="Times New Roman" w:cs="Times New Roman"/>
          <w:lang w:eastAsia="ko-KR"/>
        </w:rPr>
      </w:pPr>
      <w:r w:rsidRPr="00757CE7">
        <w:rPr>
          <w:rFonts w:ascii="Times New Roman" w:eastAsia="Times New Roman,Batang" w:hAnsi="Times New Roman" w:cs="Times New Roman"/>
          <w:lang w:eastAsia="ko-KR"/>
        </w:rPr>
        <w:t xml:space="preserve">This positive trend </w:t>
      </w:r>
      <w:r>
        <w:rPr>
          <w:rFonts w:ascii="Times New Roman" w:eastAsia="Times New Roman,Batang" w:hAnsi="Times New Roman" w:cs="Times New Roman"/>
          <w:lang w:eastAsia="ko-KR"/>
        </w:rPr>
        <w:t>was</w:t>
      </w:r>
      <w:r w:rsidRPr="00757CE7">
        <w:rPr>
          <w:rFonts w:ascii="Times New Roman" w:eastAsia="Times New Roman,Batang" w:hAnsi="Times New Roman" w:cs="Times New Roman"/>
          <w:lang w:eastAsia="ko-KR"/>
        </w:rPr>
        <w:t xml:space="preserve"> made possible by Regional Bureaux </w:t>
      </w:r>
      <w:r>
        <w:rPr>
          <w:rFonts w:ascii="Times New Roman" w:eastAsia="Times New Roman,Batang" w:hAnsi="Times New Roman" w:cs="Times New Roman"/>
          <w:lang w:eastAsia="ko-KR"/>
        </w:rPr>
        <w:t xml:space="preserve">efforts </w:t>
      </w:r>
      <w:r w:rsidRPr="00757CE7">
        <w:rPr>
          <w:rFonts w:ascii="Times New Roman" w:eastAsia="Times New Roman,Batang" w:hAnsi="Times New Roman" w:cs="Times New Roman"/>
          <w:lang w:eastAsia="ko-KR"/>
        </w:rPr>
        <w:t xml:space="preserve">in strengthening quality assurance systems at regional and country levels, including capacity development of monitoring and evaluation specialists and programme staff </w:t>
      </w:r>
      <w:r>
        <w:rPr>
          <w:rFonts w:ascii="Times New Roman" w:eastAsia="Times New Roman,Batang" w:hAnsi="Times New Roman" w:cs="Times New Roman"/>
          <w:lang w:eastAsia="ko-KR"/>
        </w:rPr>
        <w:t xml:space="preserve">when </w:t>
      </w:r>
      <w:r w:rsidRPr="00757CE7">
        <w:rPr>
          <w:rFonts w:ascii="Times New Roman" w:eastAsia="Times New Roman,Batang" w:hAnsi="Times New Roman" w:cs="Times New Roman"/>
          <w:lang w:eastAsia="ko-KR"/>
        </w:rPr>
        <w:t>managing decentralized evaluations</w:t>
      </w:r>
      <w:r>
        <w:rPr>
          <w:rFonts w:ascii="Times New Roman" w:eastAsia="Times New Roman,Batang" w:hAnsi="Times New Roman" w:cs="Times New Roman"/>
          <w:lang w:eastAsia="ko-KR"/>
        </w:rPr>
        <w:t>. This</w:t>
      </w:r>
      <w:r w:rsidRPr="00757CE7">
        <w:rPr>
          <w:rFonts w:ascii="Times New Roman" w:eastAsia="Times New Roman,Batang" w:hAnsi="Times New Roman" w:cs="Times New Roman"/>
          <w:lang w:eastAsia="ko-KR"/>
        </w:rPr>
        <w:t xml:space="preserve"> </w:t>
      </w:r>
      <w:r>
        <w:rPr>
          <w:rFonts w:ascii="Times New Roman" w:eastAsia="Times New Roman,Batang" w:hAnsi="Times New Roman" w:cs="Times New Roman"/>
          <w:lang w:eastAsia="ko-KR"/>
        </w:rPr>
        <w:t>resulted</w:t>
      </w:r>
      <w:r w:rsidRPr="00757CE7">
        <w:rPr>
          <w:rFonts w:ascii="Times New Roman" w:eastAsia="Times New Roman,Batang" w:hAnsi="Times New Roman" w:cs="Times New Roman"/>
          <w:lang w:eastAsia="ko-KR"/>
        </w:rPr>
        <w:t xml:space="preserve"> in well-developed terms of reference, sound inception reports, </w:t>
      </w:r>
      <w:r>
        <w:rPr>
          <w:rFonts w:ascii="Times New Roman" w:eastAsia="Times New Roman,Batang" w:hAnsi="Times New Roman" w:cs="Times New Roman"/>
          <w:lang w:eastAsia="ko-KR"/>
        </w:rPr>
        <w:t xml:space="preserve">and </w:t>
      </w:r>
      <w:r w:rsidRPr="00757CE7">
        <w:rPr>
          <w:rFonts w:ascii="Times New Roman" w:eastAsia="Times New Roman,Batang" w:hAnsi="Times New Roman" w:cs="Times New Roman"/>
          <w:lang w:eastAsia="ko-KR"/>
        </w:rPr>
        <w:t xml:space="preserve">improved management processes engaging senior management and evaluation focal points to validate final evaluation reports. </w:t>
      </w:r>
      <w:r>
        <w:rPr>
          <w:rFonts w:ascii="Times New Roman" w:eastAsia="Times New Roman,Batang" w:hAnsi="Times New Roman" w:cs="Times New Roman"/>
          <w:lang w:eastAsia="ko-KR"/>
        </w:rPr>
        <w:t>Moreover</w:t>
      </w:r>
      <w:r w:rsidRPr="00757CE7">
        <w:rPr>
          <w:rFonts w:ascii="Times New Roman" w:eastAsia="Times New Roman,Batang" w:hAnsi="Times New Roman" w:cs="Times New Roman"/>
          <w:lang w:eastAsia="ko-KR"/>
        </w:rPr>
        <w:t xml:space="preserve">, Regional Bureaux continue to explore key contributing factors </w:t>
      </w:r>
      <w:r>
        <w:rPr>
          <w:rFonts w:ascii="Times New Roman" w:eastAsia="Times New Roman,Batang" w:hAnsi="Times New Roman" w:cs="Times New Roman"/>
          <w:lang w:eastAsia="ko-KR"/>
        </w:rPr>
        <w:t>for</w:t>
      </w:r>
      <w:r w:rsidRPr="00757CE7">
        <w:rPr>
          <w:rFonts w:ascii="Times New Roman" w:eastAsia="Times New Roman,Batang" w:hAnsi="Times New Roman" w:cs="Times New Roman"/>
          <w:lang w:eastAsia="ko-KR"/>
        </w:rPr>
        <w:t xml:space="preserve"> high-quality evaluations, areas for improvement and </w:t>
      </w:r>
      <w:r>
        <w:rPr>
          <w:rFonts w:ascii="Times New Roman" w:eastAsia="Times New Roman,Batang" w:hAnsi="Times New Roman" w:cs="Times New Roman"/>
          <w:lang w:eastAsia="ko-KR"/>
        </w:rPr>
        <w:t xml:space="preserve">to </w:t>
      </w:r>
      <w:r w:rsidRPr="00757CE7">
        <w:rPr>
          <w:rFonts w:ascii="Times New Roman" w:eastAsia="Times New Roman,Batang" w:hAnsi="Times New Roman" w:cs="Times New Roman"/>
          <w:lang w:eastAsia="ko-KR"/>
        </w:rPr>
        <w:t xml:space="preserve">facilitate the use of valuable experience to strengthen decentralized evaluation quality across </w:t>
      </w:r>
      <w:r>
        <w:rPr>
          <w:rFonts w:ascii="Times New Roman" w:eastAsia="Times New Roman,Batang" w:hAnsi="Times New Roman" w:cs="Times New Roman"/>
          <w:lang w:eastAsia="ko-KR"/>
        </w:rPr>
        <w:t>c</w:t>
      </w:r>
      <w:r w:rsidRPr="00757CE7">
        <w:rPr>
          <w:rFonts w:ascii="Times New Roman" w:eastAsia="Times New Roman,Batang" w:hAnsi="Times New Roman" w:cs="Times New Roman"/>
          <w:lang w:eastAsia="ko-KR"/>
        </w:rPr>
        <w:t xml:space="preserve">ountry </w:t>
      </w:r>
      <w:r>
        <w:rPr>
          <w:rFonts w:ascii="Times New Roman" w:eastAsia="Times New Roman,Batang" w:hAnsi="Times New Roman" w:cs="Times New Roman"/>
          <w:lang w:eastAsia="ko-KR"/>
        </w:rPr>
        <w:t>o</w:t>
      </w:r>
      <w:r w:rsidRPr="00757CE7">
        <w:rPr>
          <w:rFonts w:ascii="Times New Roman" w:eastAsia="Times New Roman,Batang" w:hAnsi="Times New Roman" w:cs="Times New Roman"/>
          <w:lang w:eastAsia="ko-KR"/>
        </w:rPr>
        <w:t>ffices.</w:t>
      </w:r>
      <w:r w:rsidRPr="0011108F">
        <w:t xml:space="preserve"> </w:t>
      </w:r>
      <w:r w:rsidRPr="0011108F">
        <w:rPr>
          <w:rFonts w:ascii="Times New Roman" w:eastAsia="Times New Roman,Batang" w:hAnsi="Times New Roman" w:cs="Times New Roman"/>
          <w:lang w:eastAsia="ko-KR"/>
        </w:rPr>
        <w:t xml:space="preserve">UNDP established the evaluation roster under the GPN/Experts Roster for Rapid Response to engage quality/expert evaluators within minimum procurement timeframes. UNDP is also making sure that independence is fully maintained by separating duties (e.g. roster coordination by BPPS and implementing decentralized evaluations by the independent consultants).     </w:t>
      </w:r>
      <w:r w:rsidRPr="00757CE7">
        <w:rPr>
          <w:rFonts w:ascii="Times New Roman" w:eastAsia="Times New Roman,Batang" w:hAnsi="Times New Roman" w:cs="Times New Roman"/>
          <w:lang w:eastAsia="ko-KR"/>
        </w:rPr>
        <w:t xml:space="preserve">   </w:t>
      </w:r>
    </w:p>
    <w:p w14:paraId="03D82B9B" w14:textId="77777777" w:rsidR="0050259B" w:rsidRPr="00BC44BA" w:rsidRDefault="0050259B" w:rsidP="0050259B">
      <w:pPr>
        <w:pStyle w:val="ListParagraph"/>
        <w:rPr>
          <w:rFonts w:ascii="Times New Roman" w:eastAsia="Times New Roman,Batang" w:hAnsi="Times New Roman" w:cs="Times New Roman"/>
          <w:lang w:eastAsia="ko-KR"/>
        </w:rPr>
      </w:pPr>
    </w:p>
    <w:p w14:paraId="170D95B4" w14:textId="77777777" w:rsidR="0050259B" w:rsidRPr="0011108F" w:rsidRDefault="0050259B" w:rsidP="0050259B">
      <w:pPr>
        <w:pStyle w:val="ListParagraph"/>
        <w:numPr>
          <w:ilvl w:val="0"/>
          <w:numId w:val="25"/>
        </w:numPr>
        <w:tabs>
          <w:tab w:val="left" w:pos="360"/>
        </w:tabs>
        <w:spacing w:after="0" w:line="240" w:lineRule="auto"/>
        <w:ind w:left="0" w:firstLine="0"/>
        <w:jc w:val="both"/>
        <w:rPr>
          <w:rFonts w:ascii="Times New Roman" w:eastAsia="Times New Roman,Batang" w:hAnsi="Times New Roman" w:cs="Times New Roman"/>
          <w:color w:val="0070C0"/>
          <w:lang w:eastAsia="ko-KR"/>
        </w:rPr>
      </w:pPr>
      <w:r w:rsidRPr="00BC44BA">
        <w:rPr>
          <w:rFonts w:ascii="Times New Roman" w:eastAsia="Times New Roman,Batang" w:hAnsi="Times New Roman" w:cs="Times New Roman"/>
          <w:lang w:eastAsia="ko-KR"/>
        </w:rPr>
        <w:t xml:space="preserve"> To sustain and further lift the quality of evaluations, UNDP highly appreciates IEO support to conduct quality assessment</w:t>
      </w:r>
      <w:r>
        <w:rPr>
          <w:rFonts w:ascii="Times New Roman" w:eastAsia="Times New Roman,Batang" w:hAnsi="Times New Roman" w:cs="Times New Roman"/>
          <w:lang w:eastAsia="ko-KR"/>
        </w:rPr>
        <w:t>s</w:t>
      </w:r>
      <w:r w:rsidRPr="00BC44BA">
        <w:rPr>
          <w:rFonts w:ascii="Times New Roman" w:eastAsia="Times New Roman,Batang" w:hAnsi="Times New Roman" w:cs="Times New Roman"/>
          <w:lang w:eastAsia="ko-KR"/>
        </w:rPr>
        <w:t xml:space="preserve"> of decentralized evaluations on a quarterly basis </w:t>
      </w:r>
      <w:r>
        <w:rPr>
          <w:rFonts w:ascii="Times New Roman" w:eastAsia="Times New Roman,Batang" w:hAnsi="Times New Roman" w:cs="Times New Roman"/>
          <w:lang w:eastAsia="ko-KR"/>
        </w:rPr>
        <w:t>and</w:t>
      </w:r>
      <w:r w:rsidRPr="00BC44BA">
        <w:rPr>
          <w:rFonts w:ascii="Times New Roman" w:eastAsia="Times New Roman,Batang" w:hAnsi="Times New Roman" w:cs="Times New Roman"/>
          <w:lang w:eastAsia="ko-KR"/>
        </w:rPr>
        <w:t xml:space="preserve"> enable </w:t>
      </w:r>
      <w:r>
        <w:rPr>
          <w:rFonts w:ascii="Times New Roman" w:eastAsia="Times New Roman,Batang" w:hAnsi="Times New Roman" w:cs="Times New Roman"/>
          <w:lang w:eastAsia="ko-KR"/>
        </w:rPr>
        <w:t>c</w:t>
      </w:r>
      <w:r w:rsidRPr="00BC44BA">
        <w:rPr>
          <w:rFonts w:ascii="Times New Roman" w:eastAsia="Times New Roman,Batang" w:hAnsi="Times New Roman" w:cs="Times New Roman"/>
          <w:lang w:eastAsia="ko-KR"/>
        </w:rPr>
        <w:t xml:space="preserve">ountry </w:t>
      </w:r>
      <w:r>
        <w:rPr>
          <w:rFonts w:ascii="Times New Roman" w:eastAsia="Times New Roman,Batang" w:hAnsi="Times New Roman" w:cs="Times New Roman"/>
          <w:lang w:eastAsia="ko-KR"/>
        </w:rPr>
        <w:t>o</w:t>
      </w:r>
      <w:r w:rsidRPr="00BC44BA">
        <w:rPr>
          <w:rFonts w:ascii="Times New Roman" w:eastAsia="Times New Roman,Batang" w:hAnsi="Times New Roman" w:cs="Times New Roman"/>
          <w:lang w:eastAsia="ko-KR"/>
        </w:rPr>
        <w:t>ffices to take timely actions and make course corrections, as necessary.</w:t>
      </w:r>
    </w:p>
    <w:p w14:paraId="7F34DD4C" w14:textId="77777777" w:rsidR="0050259B" w:rsidRDefault="0050259B" w:rsidP="0050259B">
      <w:pPr>
        <w:shd w:val="clear" w:color="auto" w:fill="FFFFFF" w:themeFill="background1"/>
        <w:tabs>
          <w:tab w:val="left" w:pos="720"/>
        </w:tabs>
        <w:spacing w:after="0" w:line="240" w:lineRule="auto"/>
        <w:jc w:val="both"/>
        <w:rPr>
          <w:rFonts w:ascii="Times New Roman" w:eastAsia="Times New Roman,Batang" w:hAnsi="Times New Roman" w:cs="Times New Roman"/>
          <w:color w:val="0070C0"/>
          <w:lang w:eastAsia="ko-KR"/>
        </w:rPr>
      </w:pPr>
    </w:p>
    <w:p w14:paraId="2A1AB4AE" w14:textId="77777777" w:rsidR="0050259B" w:rsidRPr="00066D21" w:rsidRDefault="0050259B" w:rsidP="0050259B">
      <w:pPr>
        <w:shd w:val="clear" w:color="auto" w:fill="FFFFFF" w:themeFill="background1"/>
        <w:tabs>
          <w:tab w:val="left" w:pos="720"/>
        </w:tabs>
        <w:spacing w:after="120" w:line="240" w:lineRule="auto"/>
        <w:jc w:val="both"/>
        <w:rPr>
          <w:rFonts w:ascii="Times New Roman" w:hAnsi="Times New Roman" w:cs="Times New Roman"/>
          <w:b/>
          <w:bCs/>
        </w:rPr>
      </w:pPr>
      <w:r>
        <w:rPr>
          <w:rFonts w:ascii="Times New Roman" w:hAnsi="Times New Roman" w:cs="Times New Roman"/>
          <w:b/>
          <w:bCs/>
        </w:rPr>
        <w:lastRenderedPageBreak/>
        <w:t>C</w:t>
      </w:r>
      <w:r w:rsidRPr="00066D21">
        <w:rPr>
          <w:rFonts w:ascii="Times New Roman" w:hAnsi="Times New Roman" w:cs="Times New Roman"/>
          <w:b/>
          <w:bCs/>
        </w:rPr>
        <w:t xml:space="preserve">overage of </w:t>
      </w:r>
      <w:r>
        <w:rPr>
          <w:rFonts w:ascii="Times New Roman" w:hAnsi="Times New Roman" w:cs="Times New Roman"/>
          <w:b/>
          <w:bCs/>
        </w:rPr>
        <w:t>D</w:t>
      </w:r>
      <w:r w:rsidRPr="00066D21">
        <w:rPr>
          <w:rFonts w:ascii="Times New Roman" w:hAnsi="Times New Roman" w:cs="Times New Roman"/>
          <w:b/>
          <w:bCs/>
        </w:rPr>
        <w:t xml:space="preserve">ecentralized </w:t>
      </w:r>
      <w:r>
        <w:rPr>
          <w:rFonts w:ascii="Times New Roman" w:hAnsi="Times New Roman" w:cs="Times New Roman"/>
          <w:b/>
          <w:bCs/>
        </w:rPr>
        <w:t>E</w:t>
      </w:r>
      <w:r w:rsidRPr="00066D21">
        <w:rPr>
          <w:rFonts w:ascii="Times New Roman" w:hAnsi="Times New Roman" w:cs="Times New Roman"/>
          <w:b/>
          <w:bCs/>
        </w:rPr>
        <w:t>valuations</w:t>
      </w:r>
    </w:p>
    <w:p w14:paraId="5D924BA7" w14:textId="77777777" w:rsidR="0050259B" w:rsidRPr="000169AD" w:rsidRDefault="0050259B" w:rsidP="0050259B">
      <w:pPr>
        <w:pStyle w:val="ListParagraph"/>
        <w:numPr>
          <w:ilvl w:val="0"/>
          <w:numId w:val="25"/>
        </w:numPr>
        <w:shd w:val="clear" w:color="auto" w:fill="FFFFFF" w:themeFill="background1"/>
        <w:tabs>
          <w:tab w:val="left" w:pos="90"/>
          <w:tab w:val="left" w:pos="450"/>
          <w:tab w:val="left" w:pos="720"/>
        </w:tabs>
        <w:spacing w:after="0" w:line="240" w:lineRule="auto"/>
        <w:ind w:left="0" w:firstLine="0"/>
        <w:jc w:val="both"/>
        <w:rPr>
          <w:rFonts w:ascii="Times New Roman" w:hAnsi="Times New Roman" w:cs="Times New Roman"/>
        </w:rPr>
      </w:pPr>
      <w:r w:rsidRPr="000169AD">
        <w:rPr>
          <w:rFonts w:ascii="Times New Roman" w:hAnsi="Times New Roman" w:cs="Times New Roman"/>
        </w:rPr>
        <w:t xml:space="preserve">While the implementation and quality of decentralized evaluations have </w:t>
      </w:r>
      <w:r>
        <w:rPr>
          <w:rFonts w:ascii="Times New Roman" w:hAnsi="Times New Roman" w:cs="Times New Roman"/>
        </w:rPr>
        <w:t>trended in a positive direction</w:t>
      </w:r>
      <w:r w:rsidRPr="000169AD">
        <w:rPr>
          <w:rFonts w:ascii="Times New Roman" w:hAnsi="Times New Roman" w:cs="Times New Roman"/>
        </w:rPr>
        <w:t>, UNDP continued to face challenges in terms of decentralized evaluation</w:t>
      </w:r>
      <w:r>
        <w:rPr>
          <w:rFonts w:ascii="Times New Roman" w:hAnsi="Times New Roman" w:cs="Times New Roman"/>
        </w:rPr>
        <w:t xml:space="preserve"> coverage</w:t>
      </w:r>
      <w:r w:rsidRPr="000169AD">
        <w:rPr>
          <w:rFonts w:ascii="Times New Roman" w:hAnsi="Times New Roman" w:cs="Times New Roman"/>
        </w:rPr>
        <w:t xml:space="preserve">. As noted in the Annual Report on Evaluation, </w:t>
      </w:r>
      <w:r w:rsidRPr="000169AD">
        <w:rPr>
          <w:rFonts w:ascii="Times New Roman" w:hAnsi="Times New Roman" w:cs="Times New Roman"/>
          <w:i/>
          <w:iCs/>
        </w:rPr>
        <w:t>91 per</w:t>
      </w:r>
      <w:r>
        <w:rPr>
          <w:rFonts w:ascii="Times New Roman" w:hAnsi="Times New Roman" w:cs="Times New Roman"/>
          <w:i/>
          <w:iCs/>
        </w:rPr>
        <w:t xml:space="preserve"> </w:t>
      </w:r>
      <w:r w:rsidRPr="000169AD">
        <w:rPr>
          <w:rFonts w:ascii="Times New Roman" w:hAnsi="Times New Roman" w:cs="Times New Roman"/>
          <w:i/>
          <w:iCs/>
        </w:rPr>
        <w:t>cent of decentralized evaluations conducted in 2021 were project-level evaluations</w:t>
      </w:r>
      <w:r w:rsidRPr="00A731F9">
        <w:t xml:space="preserve"> </w:t>
      </w:r>
      <w:r w:rsidRPr="000169AD">
        <w:rPr>
          <w:rFonts w:ascii="Times New Roman" w:hAnsi="Times New Roman" w:cs="Times New Roman"/>
          <w:i/>
          <w:iCs/>
        </w:rPr>
        <w:t>and not strategic in nature</w:t>
      </w:r>
      <w:r w:rsidRPr="000169AD">
        <w:rPr>
          <w:rFonts w:ascii="Times New Roman" w:hAnsi="Times New Roman" w:cs="Times New Roman"/>
        </w:rPr>
        <w:t xml:space="preserve">, </w:t>
      </w:r>
      <w:r w:rsidRPr="000169AD">
        <w:rPr>
          <w:rFonts w:ascii="Times New Roman" w:hAnsi="Times New Roman" w:cs="Times New Roman"/>
          <w:i/>
          <w:iCs/>
        </w:rPr>
        <w:t>including 35 per</w:t>
      </w:r>
      <w:r>
        <w:rPr>
          <w:rFonts w:ascii="Times New Roman" w:hAnsi="Times New Roman" w:cs="Times New Roman"/>
          <w:i/>
          <w:iCs/>
        </w:rPr>
        <w:t xml:space="preserve"> </w:t>
      </w:r>
      <w:r w:rsidRPr="000169AD">
        <w:rPr>
          <w:rFonts w:ascii="Times New Roman" w:hAnsi="Times New Roman" w:cs="Times New Roman"/>
          <w:i/>
          <w:iCs/>
        </w:rPr>
        <w:t>cent of evaluations conducted for mandatory GEF-funded projects.</w:t>
      </w:r>
      <w:r w:rsidRPr="000169AD">
        <w:rPr>
          <w:rFonts w:ascii="Times New Roman" w:hAnsi="Times New Roman" w:cs="Times New Roman"/>
        </w:rPr>
        <w:t xml:space="preserve"> UNDP conducted </w:t>
      </w:r>
      <w:r>
        <w:rPr>
          <w:rFonts w:ascii="Times New Roman" w:hAnsi="Times New Roman" w:cs="Times New Roman"/>
        </w:rPr>
        <w:t>1</w:t>
      </w:r>
      <w:r w:rsidRPr="000169AD">
        <w:rPr>
          <w:rFonts w:ascii="Times New Roman" w:hAnsi="Times New Roman" w:cs="Times New Roman"/>
        </w:rPr>
        <w:t xml:space="preserve">2 outcome or thematic evaluations </w:t>
      </w:r>
      <w:r w:rsidRPr="00DA6318">
        <w:rPr>
          <w:rFonts w:ascii="Times New Roman" w:hAnsi="Times New Roman" w:cs="Times New Roman"/>
        </w:rPr>
        <w:t xml:space="preserve">and 19 UNDAF or CPD evaluations </w:t>
      </w:r>
      <w:r w:rsidRPr="000169AD">
        <w:rPr>
          <w:rFonts w:ascii="Times New Roman" w:hAnsi="Times New Roman" w:cs="Times New Roman"/>
        </w:rPr>
        <w:t>in 2021</w:t>
      </w:r>
      <w:r>
        <w:rPr>
          <w:rFonts w:ascii="Times New Roman" w:hAnsi="Times New Roman" w:cs="Times New Roman"/>
        </w:rPr>
        <w:t>,</w:t>
      </w:r>
      <w:r w:rsidRPr="000169AD">
        <w:rPr>
          <w:rFonts w:ascii="Times New Roman" w:hAnsi="Times New Roman" w:cs="Times New Roman"/>
        </w:rPr>
        <w:t xml:space="preserve"> which constitutes 9 per</w:t>
      </w:r>
      <w:r>
        <w:rPr>
          <w:rFonts w:ascii="Times New Roman" w:hAnsi="Times New Roman" w:cs="Times New Roman"/>
        </w:rPr>
        <w:t xml:space="preserve"> </w:t>
      </w:r>
      <w:r w:rsidRPr="000169AD">
        <w:rPr>
          <w:rFonts w:ascii="Times New Roman" w:hAnsi="Times New Roman" w:cs="Times New Roman"/>
        </w:rPr>
        <w:t xml:space="preserve">cent of total decentralized evaluations </w:t>
      </w:r>
      <w:r>
        <w:rPr>
          <w:rFonts w:ascii="Times New Roman" w:hAnsi="Times New Roman" w:cs="Times New Roman"/>
        </w:rPr>
        <w:t>carried out</w:t>
      </w:r>
      <w:r w:rsidRPr="000169AD">
        <w:rPr>
          <w:rFonts w:ascii="Times New Roman" w:hAnsi="Times New Roman" w:cs="Times New Roman"/>
        </w:rPr>
        <w:t xml:space="preserve"> in 2021. </w:t>
      </w:r>
    </w:p>
    <w:p w14:paraId="506D3AB5" w14:textId="77777777" w:rsidR="0050259B" w:rsidRDefault="0050259B" w:rsidP="0050259B">
      <w:pPr>
        <w:shd w:val="clear" w:color="auto" w:fill="FFFFFF" w:themeFill="background1"/>
        <w:tabs>
          <w:tab w:val="left" w:pos="90"/>
          <w:tab w:val="left" w:pos="450"/>
          <w:tab w:val="left" w:pos="720"/>
        </w:tabs>
        <w:spacing w:after="0" w:line="240" w:lineRule="auto"/>
        <w:jc w:val="both"/>
        <w:rPr>
          <w:rFonts w:ascii="Times New Roman" w:hAnsi="Times New Roman" w:cs="Times New Roman"/>
        </w:rPr>
      </w:pPr>
    </w:p>
    <w:p w14:paraId="097200F5" w14:textId="77777777" w:rsidR="0050259B" w:rsidRDefault="0050259B" w:rsidP="0050259B">
      <w:pPr>
        <w:pStyle w:val="ListParagraph"/>
        <w:numPr>
          <w:ilvl w:val="0"/>
          <w:numId w:val="25"/>
        </w:numPr>
        <w:shd w:val="clear" w:color="auto" w:fill="FFFFFF" w:themeFill="background1"/>
        <w:tabs>
          <w:tab w:val="left" w:pos="90"/>
          <w:tab w:val="left" w:pos="450"/>
          <w:tab w:val="left" w:pos="720"/>
        </w:tabs>
        <w:spacing w:after="0" w:line="240" w:lineRule="auto"/>
        <w:ind w:left="0" w:firstLine="0"/>
        <w:jc w:val="both"/>
        <w:rPr>
          <w:rFonts w:ascii="Times New Roman" w:hAnsi="Times New Roman" w:cs="Times New Roman"/>
        </w:rPr>
      </w:pPr>
      <w:r>
        <w:rPr>
          <w:rFonts w:ascii="Times New Roman" w:hAnsi="Times New Roman" w:cs="Times New Roman"/>
        </w:rPr>
        <w:t>E</w:t>
      </w:r>
      <w:r w:rsidRPr="00757CE7">
        <w:rPr>
          <w:rFonts w:ascii="Times New Roman" w:hAnsi="Times New Roman" w:cs="Times New Roman"/>
        </w:rPr>
        <w:t>valuation guideline</w:t>
      </w:r>
      <w:r>
        <w:rPr>
          <w:rFonts w:ascii="Times New Roman" w:hAnsi="Times New Roman" w:cs="Times New Roman"/>
        </w:rPr>
        <w:t>s</w:t>
      </w:r>
      <w:r w:rsidRPr="00757CE7">
        <w:rPr>
          <w:rFonts w:ascii="Times New Roman" w:hAnsi="Times New Roman" w:cs="Times New Roman"/>
        </w:rPr>
        <w:t xml:space="preserve"> and funding partner requirements currently focus on project-level evaluations (including GEF projects)</w:t>
      </w:r>
      <w:r>
        <w:rPr>
          <w:rFonts w:ascii="Times New Roman" w:hAnsi="Times New Roman" w:cs="Times New Roman"/>
        </w:rPr>
        <w:t>—</w:t>
      </w:r>
      <w:r w:rsidRPr="00757CE7">
        <w:rPr>
          <w:rFonts w:ascii="Times New Roman" w:hAnsi="Times New Roman" w:cs="Times New Roman"/>
        </w:rPr>
        <w:t xml:space="preserve">a mandatory requirement for projects of a certain duration and budget. Outcome or portfolio evaluations are not mandatory and are difficult to finance from projects, resulting in a large concentration of project-level evaluations, hindering opportunities to learn lessons from portfolios to achieve higher-level results.    </w:t>
      </w:r>
    </w:p>
    <w:p w14:paraId="759B6A40" w14:textId="77777777" w:rsidR="0050259B" w:rsidRPr="00D41D5D" w:rsidRDefault="0050259B" w:rsidP="0050259B">
      <w:pPr>
        <w:pStyle w:val="ListParagraph"/>
        <w:rPr>
          <w:rFonts w:ascii="Times New Roman" w:hAnsi="Times New Roman" w:cs="Times New Roman"/>
        </w:rPr>
      </w:pPr>
    </w:p>
    <w:p w14:paraId="664822BE" w14:textId="77777777" w:rsidR="0050259B" w:rsidRPr="00BC44BA" w:rsidRDefault="0050259B" w:rsidP="0050259B">
      <w:pPr>
        <w:pStyle w:val="ListParagraph"/>
        <w:numPr>
          <w:ilvl w:val="0"/>
          <w:numId w:val="25"/>
        </w:numPr>
        <w:shd w:val="clear" w:color="auto" w:fill="FFFFFF" w:themeFill="background1"/>
        <w:tabs>
          <w:tab w:val="left" w:pos="90"/>
          <w:tab w:val="left" w:pos="450"/>
          <w:tab w:val="left" w:pos="720"/>
        </w:tabs>
        <w:spacing w:after="0" w:line="240" w:lineRule="auto"/>
        <w:ind w:left="0" w:firstLine="0"/>
        <w:jc w:val="both"/>
        <w:rPr>
          <w:rFonts w:ascii="Times New Roman" w:eastAsia="Times New Roman,Batang" w:hAnsi="Times New Roman" w:cs="Times New Roman"/>
          <w:lang w:eastAsia="ko-KR"/>
        </w:rPr>
      </w:pPr>
      <w:r w:rsidRPr="00BC44BA">
        <w:rPr>
          <w:rFonts w:ascii="Times New Roman" w:eastAsia="Times New Roman,Batang" w:hAnsi="Times New Roman" w:cs="Times New Roman"/>
          <w:lang w:eastAsia="ko-KR"/>
        </w:rPr>
        <w:t xml:space="preserve">Building on lessons from the 2018-2021 evaluation trend of an unrealistic high number of project evaluations </w:t>
      </w:r>
      <w:r>
        <w:rPr>
          <w:rFonts w:ascii="Times New Roman" w:eastAsia="Times New Roman,Batang" w:hAnsi="Times New Roman" w:cs="Times New Roman"/>
          <w:lang w:eastAsia="ko-KR"/>
        </w:rPr>
        <w:t>each</w:t>
      </w:r>
      <w:r w:rsidRPr="00BC44BA">
        <w:rPr>
          <w:rFonts w:ascii="Times New Roman" w:eastAsia="Times New Roman,Batang" w:hAnsi="Times New Roman" w:cs="Times New Roman"/>
          <w:lang w:eastAsia="ko-KR"/>
        </w:rPr>
        <w:t xml:space="preserve"> year </w:t>
      </w:r>
      <w:r>
        <w:rPr>
          <w:rFonts w:ascii="Times New Roman" w:eastAsia="Times New Roman,Batang" w:hAnsi="Times New Roman" w:cs="Times New Roman"/>
          <w:lang w:eastAsia="ko-KR"/>
        </w:rPr>
        <w:t>and</w:t>
      </w:r>
      <w:r w:rsidRPr="00BC44BA">
        <w:rPr>
          <w:rFonts w:ascii="Times New Roman" w:eastAsia="Times New Roman,Batang" w:hAnsi="Times New Roman" w:cs="Times New Roman"/>
          <w:lang w:eastAsia="ko-KR"/>
        </w:rPr>
        <w:t xml:space="preserve"> low completion rate, UNDP committed to more strategic evaluations than stand-alone project evaluations in the new UNDP strategic plan cycle. Several corporate actions have been prioritized by UNDP to operationalize the vision like stronger indicators in </w:t>
      </w:r>
      <w:r>
        <w:rPr>
          <w:rFonts w:ascii="Times New Roman" w:eastAsia="Times New Roman,Batang" w:hAnsi="Times New Roman" w:cs="Times New Roman"/>
          <w:lang w:eastAsia="ko-KR"/>
        </w:rPr>
        <w:t xml:space="preserve">the </w:t>
      </w:r>
      <w:r w:rsidRPr="00BC44BA">
        <w:rPr>
          <w:rFonts w:ascii="Times New Roman" w:eastAsia="Times New Roman,Batang" w:hAnsi="Times New Roman" w:cs="Times New Roman"/>
          <w:lang w:eastAsia="ko-KR"/>
        </w:rPr>
        <w:t>result</w:t>
      </w:r>
      <w:r>
        <w:rPr>
          <w:rFonts w:ascii="Times New Roman" w:eastAsia="Times New Roman,Batang" w:hAnsi="Times New Roman" w:cs="Times New Roman"/>
          <w:lang w:eastAsia="ko-KR"/>
        </w:rPr>
        <w:t>s</w:t>
      </w:r>
      <w:r w:rsidRPr="00BC44BA">
        <w:rPr>
          <w:rFonts w:ascii="Times New Roman" w:eastAsia="Times New Roman,Batang" w:hAnsi="Times New Roman" w:cs="Times New Roman"/>
          <w:lang w:eastAsia="ko-KR"/>
        </w:rPr>
        <w:t xml:space="preserve"> framework on </w:t>
      </w:r>
      <w:r>
        <w:rPr>
          <w:rFonts w:ascii="Times New Roman" w:eastAsia="Times New Roman,Batang" w:hAnsi="Times New Roman" w:cs="Times New Roman"/>
          <w:lang w:eastAsia="ko-KR"/>
        </w:rPr>
        <w:t>completing</w:t>
      </w:r>
      <w:r w:rsidRPr="00BC44BA">
        <w:rPr>
          <w:rFonts w:ascii="Times New Roman" w:eastAsia="Times New Roman,Batang" w:hAnsi="Times New Roman" w:cs="Times New Roman"/>
          <w:lang w:eastAsia="ko-KR"/>
        </w:rPr>
        <w:t xml:space="preserve"> strategic evaluations </w:t>
      </w:r>
      <w:r>
        <w:rPr>
          <w:rFonts w:ascii="Times New Roman" w:eastAsia="Times New Roman,Batang" w:hAnsi="Times New Roman" w:cs="Times New Roman"/>
          <w:lang w:eastAsia="ko-KR"/>
        </w:rPr>
        <w:t>(</w:t>
      </w:r>
      <w:r w:rsidRPr="00BC44BA">
        <w:rPr>
          <w:rFonts w:ascii="Times New Roman" w:eastAsia="Times New Roman,Batang" w:hAnsi="Times New Roman" w:cs="Times New Roman"/>
          <w:lang w:eastAsia="ko-KR"/>
        </w:rPr>
        <w:t>programme, portfolio, and outcome</w:t>
      </w:r>
      <w:r>
        <w:rPr>
          <w:rFonts w:ascii="Times New Roman" w:eastAsia="Times New Roman,Batang" w:hAnsi="Times New Roman" w:cs="Times New Roman"/>
          <w:lang w:eastAsia="ko-KR"/>
        </w:rPr>
        <w:t>)</w:t>
      </w:r>
      <w:r w:rsidRPr="00BC44BA">
        <w:rPr>
          <w:rFonts w:ascii="Times New Roman" w:eastAsia="Times New Roman,Batang" w:hAnsi="Times New Roman" w:cs="Times New Roman"/>
          <w:lang w:eastAsia="ko-KR"/>
        </w:rPr>
        <w:t xml:space="preserve">, </w:t>
      </w:r>
      <w:r>
        <w:rPr>
          <w:rFonts w:ascii="Times New Roman" w:eastAsia="Times New Roman,Batang" w:hAnsi="Times New Roman" w:cs="Times New Roman"/>
          <w:lang w:eastAsia="ko-KR"/>
        </w:rPr>
        <w:t xml:space="preserve">and </w:t>
      </w:r>
      <w:r w:rsidRPr="00BC44BA">
        <w:rPr>
          <w:rFonts w:ascii="Times New Roman" w:eastAsia="Times New Roman,Batang" w:hAnsi="Times New Roman" w:cs="Times New Roman"/>
          <w:lang w:eastAsia="ko-KR"/>
        </w:rPr>
        <w:t>providing support and guidance to regional bureau</w:t>
      </w:r>
      <w:r>
        <w:rPr>
          <w:rFonts w:ascii="Times New Roman" w:eastAsia="Times New Roman,Batang" w:hAnsi="Times New Roman" w:cs="Times New Roman"/>
          <w:lang w:eastAsia="ko-KR"/>
        </w:rPr>
        <w:t>x</w:t>
      </w:r>
      <w:r w:rsidRPr="00BC44BA">
        <w:rPr>
          <w:rFonts w:ascii="Times New Roman" w:eastAsia="Times New Roman,Batang" w:hAnsi="Times New Roman" w:cs="Times New Roman"/>
          <w:lang w:eastAsia="ko-KR"/>
        </w:rPr>
        <w:t xml:space="preserve"> through programme appraisal committee reviews on prioritizing the most strategic evaluations during </w:t>
      </w:r>
      <w:r>
        <w:rPr>
          <w:rFonts w:ascii="Times New Roman" w:eastAsia="Times New Roman,Batang" w:hAnsi="Times New Roman" w:cs="Times New Roman"/>
          <w:lang w:eastAsia="ko-KR"/>
        </w:rPr>
        <w:t>programme formulation</w:t>
      </w:r>
      <w:r w:rsidRPr="00BC44BA">
        <w:rPr>
          <w:rFonts w:ascii="Times New Roman" w:eastAsia="Times New Roman,Batang" w:hAnsi="Times New Roman" w:cs="Times New Roman"/>
          <w:lang w:eastAsia="ko-KR"/>
        </w:rPr>
        <w:t>.</w:t>
      </w:r>
    </w:p>
    <w:p w14:paraId="7869B8D9" w14:textId="77777777" w:rsidR="0050259B" w:rsidRPr="00BC44BA" w:rsidRDefault="0050259B" w:rsidP="0050259B">
      <w:pPr>
        <w:tabs>
          <w:tab w:val="left" w:pos="90"/>
          <w:tab w:val="left" w:pos="450"/>
        </w:tabs>
        <w:spacing w:after="0" w:line="240" w:lineRule="auto"/>
        <w:jc w:val="both"/>
        <w:rPr>
          <w:rFonts w:ascii="Times New Roman" w:hAnsi="Times New Roman" w:cs="Times New Roman"/>
        </w:rPr>
      </w:pPr>
    </w:p>
    <w:p w14:paraId="0AE55745" w14:textId="77777777" w:rsidR="0050259B" w:rsidRPr="00BC44BA" w:rsidRDefault="0050259B" w:rsidP="0050259B">
      <w:pPr>
        <w:pStyle w:val="ListParagraph"/>
        <w:numPr>
          <w:ilvl w:val="0"/>
          <w:numId w:val="25"/>
        </w:numPr>
        <w:tabs>
          <w:tab w:val="left" w:pos="90"/>
          <w:tab w:val="left" w:pos="450"/>
        </w:tabs>
        <w:spacing w:after="0" w:line="240" w:lineRule="auto"/>
        <w:ind w:left="0" w:firstLine="0"/>
        <w:jc w:val="both"/>
        <w:rPr>
          <w:rFonts w:ascii="Times New Roman" w:hAnsi="Times New Roman" w:cs="Times New Roman"/>
        </w:rPr>
      </w:pPr>
      <w:r>
        <w:rPr>
          <w:rFonts w:ascii="Times New Roman" w:hAnsi="Times New Roman" w:cs="Times New Roman"/>
        </w:rPr>
        <w:t>T</w:t>
      </w:r>
      <w:r w:rsidRPr="00BC44BA">
        <w:rPr>
          <w:rFonts w:ascii="Times New Roman" w:hAnsi="Times New Roman" w:cs="Times New Roman"/>
        </w:rPr>
        <w:t>he roadmap for strengthening decentralized evaluations in UNDP</w:t>
      </w:r>
      <w:r w:rsidRPr="00BC14F5">
        <w:rPr>
          <w:sz w:val="21"/>
          <w:szCs w:val="21"/>
          <w:vertAlign w:val="superscript"/>
        </w:rPr>
        <w:footnoteReference w:id="6"/>
      </w:r>
      <w:r w:rsidRPr="00BC44BA">
        <w:rPr>
          <w:rFonts w:ascii="Times New Roman" w:hAnsi="Times New Roman" w:cs="Times New Roman"/>
        </w:rPr>
        <w:t xml:space="preserve"> prioritizes efforts by IEO to produce additional evaluation guidance, including on portfolio approaches and </w:t>
      </w:r>
      <w:r>
        <w:rPr>
          <w:rFonts w:ascii="Times New Roman" w:hAnsi="Times New Roman" w:cs="Times New Roman"/>
        </w:rPr>
        <w:t>i</w:t>
      </w:r>
      <w:r w:rsidRPr="00BC44BA">
        <w:rPr>
          <w:rFonts w:ascii="Times New Roman" w:hAnsi="Times New Roman" w:cs="Times New Roman"/>
        </w:rPr>
        <w:t xml:space="preserve">mpact </w:t>
      </w:r>
      <w:r>
        <w:rPr>
          <w:rFonts w:ascii="Times New Roman" w:hAnsi="Times New Roman" w:cs="Times New Roman"/>
        </w:rPr>
        <w:t>e</w:t>
      </w:r>
      <w:r w:rsidRPr="00BC44BA">
        <w:rPr>
          <w:rFonts w:ascii="Times New Roman" w:hAnsi="Times New Roman" w:cs="Times New Roman"/>
        </w:rPr>
        <w:t xml:space="preserve">valuations. These additional guidance notes will be critical enablers </w:t>
      </w:r>
      <w:r>
        <w:rPr>
          <w:rFonts w:ascii="Times New Roman" w:hAnsi="Times New Roman" w:cs="Times New Roman"/>
        </w:rPr>
        <w:t>for</w:t>
      </w:r>
      <w:r w:rsidRPr="00BC44BA">
        <w:rPr>
          <w:rFonts w:ascii="Times New Roman" w:hAnsi="Times New Roman" w:cs="Times New Roman"/>
        </w:rPr>
        <w:t xml:space="preserve"> plac</w:t>
      </w:r>
      <w:r>
        <w:rPr>
          <w:rFonts w:ascii="Times New Roman" w:hAnsi="Times New Roman" w:cs="Times New Roman"/>
        </w:rPr>
        <w:t>ing</w:t>
      </w:r>
      <w:r w:rsidRPr="00BC44BA">
        <w:rPr>
          <w:rFonts w:ascii="Times New Roman" w:hAnsi="Times New Roman" w:cs="Times New Roman"/>
        </w:rPr>
        <w:t xml:space="preserve"> a stronger emphasis on </w:t>
      </w:r>
      <w:r>
        <w:rPr>
          <w:rFonts w:ascii="Times New Roman" w:hAnsi="Times New Roman" w:cs="Times New Roman"/>
        </w:rPr>
        <w:t>attaining</w:t>
      </w:r>
      <w:r w:rsidRPr="00BC44BA">
        <w:rPr>
          <w:rFonts w:ascii="Times New Roman" w:hAnsi="Times New Roman" w:cs="Times New Roman"/>
        </w:rPr>
        <w:t xml:space="preserve"> higher-level results and </w:t>
      </w:r>
      <w:r>
        <w:rPr>
          <w:rFonts w:ascii="Times New Roman" w:hAnsi="Times New Roman" w:cs="Times New Roman"/>
        </w:rPr>
        <w:t>assessing</w:t>
      </w:r>
      <w:r w:rsidRPr="00BC44BA">
        <w:rPr>
          <w:rFonts w:ascii="Times New Roman" w:hAnsi="Times New Roman" w:cs="Times New Roman"/>
        </w:rPr>
        <w:t xml:space="preserve"> development impact. UNDP appreciates the IEO plan to review the portfolio to ensure mandatory benchmarks for evaluations are being met and </w:t>
      </w:r>
      <w:r>
        <w:rPr>
          <w:rFonts w:ascii="Times New Roman" w:hAnsi="Times New Roman" w:cs="Times New Roman"/>
        </w:rPr>
        <w:t xml:space="preserve">to </w:t>
      </w:r>
      <w:r w:rsidRPr="00BC44BA">
        <w:rPr>
          <w:rFonts w:ascii="Times New Roman" w:hAnsi="Times New Roman" w:cs="Times New Roman"/>
        </w:rPr>
        <w:t>revisit benchmarks as needed</w:t>
      </w:r>
      <w:r w:rsidRPr="00BC44BA">
        <w:t xml:space="preserve"> </w:t>
      </w:r>
      <w:r w:rsidRPr="00BC44BA">
        <w:rPr>
          <w:rFonts w:ascii="Times New Roman" w:hAnsi="Times New Roman" w:cs="Times New Roman"/>
        </w:rPr>
        <w:t>to consider the balance of evaluations on large and strategic projects.</w:t>
      </w:r>
    </w:p>
    <w:p w14:paraId="1B519E0D" w14:textId="77777777" w:rsidR="0050259B" w:rsidRDefault="0050259B" w:rsidP="0050259B">
      <w:pPr>
        <w:spacing w:after="0" w:line="240" w:lineRule="auto"/>
        <w:jc w:val="both"/>
        <w:rPr>
          <w:rFonts w:ascii="Times New Roman" w:hAnsi="Times New Roman" w:cs="Times New Roman"/>
        </w:rPr>
      </w:pPr>
    </w:p>
    <w:p w14:paraId="2529241A" w14:textId="77777777" w:rsidR="0050259B" w:rsidRPr="00A90148" w:rsidRDefault="0050259B" w:rsidP="0050259B">
      <w:pPr>
        <w:spacing w:after="120" w:line="240" w:lineRule="auto"/>
        <w:jc w:val="both"/>
        <w:rPr>
          <w:rFonts w:ascii="Times New Roman" w:hAnsi="Times New Roman" w:cs="Times New Roman"/>
          <w:b/>
          <w:bCs/>
        </w:rPr>
      </w:pPr>
      <w:r w:rsidRPr="00A90148">
        <w:rPr>
          <w:rFonts w:ascii="Times New Roman" w:hAnsi="Times New Roman" w:cs="Times New Roman"/>
          <w:b/>
          <w:bCs/>
        </w:rPr>
        <w:t xml:space="preserve">Capacity building for strengthening </w:t>
      </w:r>
      <w:r>
        <w:rPr>
          <w:rFonts w:ascii="Times New Roman" w:hAnsi="Times New Roman" w:cs="Times New Roman"/>
          <w:b/>
          <w:bCs/>
        </w:rPr>
        <w:t xml:space="preserve">of </w:t>
      </w:r>
      <w:r w:rsidRPr="00A90148">
        <w:rPr>
          <w:rFonts w:ascii="Times New Roman" w:hAnsi="Times New Roman" w:cs="Times New Roman"/>
          <w:b/>
          <w:bCs/>
        </w:rPr>
        <w:t>decentralized evaluations</w:t>
      </w:r>
    </w:p>
    <w:p w14:paraId="365AC8F2" w14:textId="77777777" w:rsidR="0050259B" w:rsidRPr="00757CE7" w:rsidRDefault="0050259B" w:rsidP="0050259B">
      <w:pPr>
        <w:pStyle w:val="ListParagraph"/>
        <w:numPr>
          <w:ilvl w:val="0"/>
          <w:numId w:val="25"/>
        </w:numPr>
        <w:tabs>
          <w:tab w:val="left" w:pos="540"/>
        </w:tabs>
        <w:spacing w:after="0" w:line="240" w:lineRule="auto"/>
        <w:ind w:left="0" w:firstLine="0"/>
        <w:jc w:val="both"/>
        <w:rPr>
          <w:rFonts w:ascii="Times New Roman" w:hAnsi="Times New Roman" w:cs="Times New Roman"/>
        </w:rPr>
      </w:pPr>
      <w:r w:rsidRPr="00757CE7">
        <w:rPr>
          <w:rFonts w:ascii="Times New Roman" w:hAnsi="Times New Roman" w:cs="Times New Roman"/>
        </w:rPr>
        <w:t xml:space="preserve">UNDP welcomes </w:t>
      </w:r>
      <w:r>
        <w:rPr>
          <w:rFonts w:ascii="Times New Roman" w:hAnsi="Times New Roman" w:cs="Times New Roman"/>
        </w:rPr>
        <w:t>IEO</w:t>
      </w:r>
      <w:r w:rsidRPr="00757CE7">
        <w:rPr>
          <w:rFonts w:ascii="Times New Roman" w:hAnsi="Times New Roman" w:cs="Times New Roman"/>
        </w:rPr>
        <w:t xml:space="preserve"> </w:t>
      </w:r>
      <w:r w:rsidRPr="00757CE7">
        <w:rPr>
          <w:rFonts w:ascii="Times New Roman" w:hAnsi="Times New Roman" w:cs="Times New Roman"/>
          <w:i/>
          <w:iCs/>
        </w:rPr>
        <w:t>continu</w:t>
      </w:r>
      <w:r>
        <w:rPr>
          <w:rFonts w:ascii="Times New Roman" w:hAnsi="Times New Roman" w:cs="Times New Roman"/>
          <w:i/>
          <w:iCs/>
        </w:rPr>
        <w:t>ed</w:t>
      </w:r>
      <w:r w:rsidRPr="00757CE7">
        <w:rPr>
          <w:rFonts w:ascii="Times New Roman" w:hAnsi="Times New Roman" w:cs="Times New Roman"/>
          <w:i/>
          <w:iCs/>
        </w:rPr>
        <w:t xml:space="preserve"> support to </w:t>
      </w:r>
      <w:r>
        <w:rPr>
          <w:rFonts w:ascii="Times New Roman" w:hAnsi="Times New Roman" w:cs="Times New Roman"/>
          <w:i/>
          <w:iCs/>
        </w:rPr>
        <w:t>c</w:t>
      </w:r>
      <w:r w:rsidRPr="00757CE7">
        <w:rPr>
          <w:rFonts w:ascii="Times New Roman" w:hAnsi="Times New Roman" w:cs="Times New Roman"/>
          <w:i/>
          <w:iCs/>
        </w:rPr>
        <w:t xml:space="preserve">ountry and </w:t>
      </w:r>
      <w:r>
        <w:rPr>
          <w:rFonts w:ascii="Times New Roman" w:hAnsi="Times New Roman" w:cs="Times New Roman"/>
          <w:i/>
          <w:iCs/>
        </w:rPr>
        <w:t>r</w:t>
      </w:r>
      <w:r w:rsidRPr="00757CE7">
        <w:rPr>
          <w:rFonts w:ascii="Times New Roman" w:hAnsi="Times New Roman" w:cs="Times New Roman"/>
          <w:i/>
          <w:iCs/>
        </w:rPr>
        <w:t xml:space="preserve">egional </w:t>
      </w:r>
      <w:r>
        <w:rPr>
          <w:rFonts w:ascii="Times New Roman" w:hAnsi="Times New Roman" w:cs="Times New Roman"/>
          <w:i/>
          <w:iCs/>
        </w:rPr>
        <w:t>o</w:t>
      </w:r>
      <w:r w:rsidRPr="00757CE7">
        <w:rPr>
          <w:rFonts w:ascii="Times New Roman" w:hAnsi="Times New Roman" w:cs="Times New Roman"/>
          <w:i/>
          <w:iCs/>
        </w:rPr>
        <w:t>ffices to strengthen evaluation capabilities through tailored regional training, online training sessions, and ‘Evaluation Ask Us Anything’ webinars</w:t>
      </w:r>
      <w:r w:rsidRPr="00757CE7">
        <w:rPr>
          <w:rFonts w:ascii="Times New Roman" w:hAnsi="Times New Roman" w:cs="Times New Roman"/>
        </w:rPr>
        <w:t>. UNDP especially welcomes efforts to strengthen decentralized evaluation capacities by offering M&amp;E focal points of country offices 20 scholarships to virtually attend the 2021 International Program for Development Evaluation and Training. The Evaluation Excellence Awards recogniz</w:t>
      </w:r>
      <w:r>
        <w:rPr>
          <w:rFonts w:ascii="Times New Roman" w:hAnsi="Times New Roman" w:cs="Times New Roman"/>
        </w:rPr>
        <w:t>ed</w:t>
      </w:r>
      <w:r w:rsidRPr="00757CE7">
        <w:rPr>
          <w:rFonts w:ascii="Times New Roman" w:hAnsi="Times New Roman" w:cs="Times New Roman"/>
        </w:rPr>
        <w:t xml:space="preserve"> the high quality of decentralized evaluations help</w:t>
      </w:r>
      <w:r>
        <w:rPr>
          <w:rFonts w:ascii="Times New Roman" w:hAnsi="Times New Roman" w:cs="Times New Roman"/>
        </w:rPr>
        <w:t>ed</w:t>
      </w:r>
      <w:r w:rsidRPr="00757CE7">
        <w:rPr>
          <w:rFonts w:ascii="Times New Roman" w:hAnsi="Times New Roman" w:cs="Times New Roman"/>
        </w:rPr>
        <w:t xml:space="preserve"> stimulate learning and motivate staff </w:t>
      </w:r>
      <w:r>
        <w:rPr>
          <w:rFonts w:ascii="Times New Roman" w:hAnsi="Times New Roman" w:cs="Times New Roman"/>
        </w:rPr>
        <w:t>toward</w:t>
      </w:r>
      <w:r w:rsidRPr="00757CE7">
        <w:rPr>
          <w:rFonts w:ascii="Times New Roman" w:hAnsi="Times New Roman" w:cs="Times New Roman"/>
        </w:rPr>
        <w:t xml:space="preserve"> better evaluation performance. UNDP is reinforcing staff capacity development in evaluation planning and management to mitigate the dearth of </w:t>
      </w:r>
      <w:r>
        <w:rPr>
          <w:rFonts w:ascii="Times New Roman" w:hAnsi="Times New Roman" w:cs="Times New Roman"/>
        </w:rPr>
        <w:t>c</w:t>
      </w:r>
      <w:r w:rsidRPr="00757CE7">
        <w:rPr>
          <w:rFonts w:ascii="Times New Roman" w:hAnsi="Times New Roman" w:cs="Times New Roman"/>
        </w:rPr>
        <w:t xml:space="preserve">ountry </w:t>
      </w:r>
      <w:r>
        <w:rPr>
          <w:rFonts w:ascii="Times New Roman" w:hAnsi="Times New Roman" w:cs="Times New Roman"/>
        </w:rPr>
        <w:t>o</w:t>
      </w:r>
      <w:r w:rsidRPr="00757CE7">
        <w:rPr>
          <w:rFonts w:ascii="Times New Roman" w:hAnsi="Times New Roman" w:cs="Times New Roman"/>
        </w:rPr>
        <w:t>ffice evaluation expertise. By the end of 2021, 97 offices</w:t>
      </w:r>
      <w:r>
        <w:rPr>
          <w:rFonts w:ascii="Times New Roman" w:hAnsi="Times New Roman" w:cs="Times New Roman"/>
        </w:rPr>
        <w:t xml:space="preserve"> out of 129</w:t>
      </w:r>
      <w:r w:rsidRPr="00757CE7">
        <w:rPr>
          <w:rFonts w:ascii="Times New Roman" w:hAnsi="Times New Roman" w:cs="Times New Roman"/>
        </w:rPr>
        <w:t xml:space="preserve"> (75 per</w:t>
      </w:r>
      <w:r>
        <w:rPr>
          <w:rFonts w:ascii="Times New Roman" w:hAnsi="Times New Roman" w:cs="Times New Roman"/>
        </w:rPr>
        <w:t xml:space="preserve"> </w:t>
      </w:r>
      <w:r w:rsidRPr="00757CE7">
        <w:rPr>
          <w:rFonts w:ascii="Times New Roman" w:hAnsi="Times New Roman" w:cs="Times New Roman"/>
        </w:rPr>
        <w:t xml:space="preserve">cent) had at least one focal point certified in UNDP evaluation </w:t>
      </w:r>
      <w:r>
        <w:rPr>
          <w:rFonts w:ascii="Times New Roman" w:hAnsi="Times New Roman" w:cs="Times New Roman"/>
        </w:rPr>
        <w:t>standards</w:t>
      </w:r>
      <w:r w:rsidRPr="00757CE7">
        <w:rPr>
          <w:rFonts w:ascii="Times New Roman" w:hAnsi="Times New Roman" w:cs="Times New Roman"/>
        </w:rPr>
        <w:t>.</w:t>
      </w:r>
    </w:p>
    <w:p w14:paraId="53DBBB0A" w14:textId="77777777" w:rsidR="0050259B" w:rsidRDefault="0050259B" w:rsidP="0050259B">
      <w:pPr>
        <w:tabs>
          <w:tab w:val="left" w:pos="270"/>
        </w:tabs>
        <w:spacing w:after="0" w:line="240" w:lineRule="auto"/>
        <w:jc w:val="both"/>
        <w:rPr>
          <w:rFonts w:ascii="Times New Roman" w:hAnsi="Times New Roman" w:cs="Times New Roman"/>
        </w:rPr>
      </w:pPr>
    </w:p>
    <w:p w14:paraId="2FA34148" w14:textId="31B38A37" w:rsidR="0050259B" w:rsidRDefault="0050259B" w:rsidP="0050259B">
      <w:pPr>
        <w:pStyle w:val="ListParagraph"/>
        <w:numPr>
          <w:ilvl w:val="0"/>
          <w:numId w:val="25"/>
        </w:numPr>
        <w:tabs>
          <w:tab w:val="left" w:pos="270"/>
          <w:tab w:val="left" w:pos="450"/>
        </w:tabs>
        <w:spacing w:after="0" w:line="240" w:lineRule="auto"/>
        <w:ind w:left="0" w:firstLine="0"/>
        <w:jc w:val="both"/>
        <w:rPr>
          <w:rFonts w:ascii="Times New Roman" w:hAnsi="Times New Roman" w:cs="Times New Roman"/>
        </w:rPr>
      </w:pPr>
      <w:r w:rsidRPr="00757CE7">
        <w:rPr>
          <w:rFonts w:ascii="Times New Roman" w:hAnsi="Times New Roman" w:cs="Times New Roman"/>
        </w:rPr>
        <w:t xml:space="preserve">UNDP especially appreciates IEO efforts to </w:t>
      </w:r>
      <w:r w:rsidRPr="00757CE7">
        <w:rPr>
          <w:rFonts w:ascii="Times New Roman" w:hAnsi="Times New Roman" w:cs="Times New Roman"/>
          <w:i/>
          <w:iCs/>
        </w:rPr>
        <w:t>strengthen oversight and technical support to improve planning, quality, and coverage of decentralized evaluation</w:t>
      </w:r>
      <w:r w:rsidRPr="00757CE7">
        <w:rPr>
          <w:i/>
          <w:iCs/>
        </w:rPr>
        <w:t xml:space="preserve"> </w:t>
      </w:r>
      <w:r w:rsidRPr="00757CE7">
        <w:rPr>
          <w:rFonts w:ascii="Times New Roman" w:hAnsi="Times New Roman" w:cs="Times New Roman"/>
          <w:i/>
          <w:iCs/>
        </w:rPr>
        <w:t>network of IEO Regional Focal Points (RFPs)</w:t>
      </w:r>
      <w:r w:rsidRPr="00757CE7">
        <w:rPr>
          <w:rFonts w:ascii="Times New Roman" w:hAnsi="Times New Roman" w:cs="Times New Roman"/>
        </w:rPr>
        <w:t>. The</w:t>
      </w:r>
      <w:r>
        <w:rPr>
          <w:rFonts w:ascii="Times New Roman" w:hAnsi="Times New Roman" w:cs="Times New Roman"/>
        </w:rPr>
        <w:t>ir</w:t>
      </w:r>
      <w:r w:rsidRPr="00757CE7">
        <w:rPr>
          <w:rFonts w:ascii="Times New Roman" w:hAnsi="Times New Roman" w:cs="Times New Roman"/>
        </w:rPr>
        <w:t xml:space="preserve"> capacities are well-positioned to support regional bureaux in the implementation of regional decentralized evaluation strategies and </w:t>
      </w:r>
      <w:r>
        <w:rPr>
          <w:rFonts w:ascii="Times New Roman" w:hAnsi="Times New Roman" w:cs="Times New Roman"/>
        </w:rPr>
        <w:t>increase involvement</w:t>
      </w:r>
      <w:r w:rsidRPr="00757CE7">
        <w:rPr>
          <w:rFonts w:ascii="Times New Roman" w:hAnsi="Times New Roman" w:cs="Times New Roman"/>
        </w:rPr>
        <w:t xml:space="preserve"> in the decentralized evaluation processes</w:t>
      </w:r>
      <w:r>
        <w:rPr>
          <w:rFonts w:ascii="Times New Roman" w:hAnsi="Times New Roman" w:cs="Times New Roman"/>
        </w:rPr>
        <w:t>,</w:t>
      </w:r>
      <w:r w:rsidRPr="00757CE7">
        <w:rPr>
          <w:rFonts w:ascii="Times New Roman" w:hAnsi="Times New Roman" w:cs="Times New Roman"/>
        </w:rPr>
        <w:t xml:space="preserve"> in addition to country programme evaluation and support to Programme Appraisal meetings. Moving forward, UNDP hopes to leverage the capacities of IEO regional focal points through regional evaluation training and technical guidance to support the conduct strategic portfolio, outcome, and impact evaluations. </w:t>
      </w:r>
    </w:p>
    <w:p w14:paraId="4FC4CFCB" w14:textId="31B38A37" w:rsidR="007B6208" w:rsidRDefault="007B6208" w:rsidP="007B6208">
      <w:pPr>
        <w:pStyle w:val="ListParagraph"/>
        <w:tabs>
          <w:tab w:val="left" w:pos="270"/>
          <w:tab w:val="left" w:pos="450"/>
        </w:tabs>
        <w:spacing w:after="0" w:line="240" w:lineRule="auto"/>
        <w:ind w:left="0"/>
        <w:jc w:val="both"/>
        <w:rPr>
          <w:rFonts w:ascii="Times New Roman" w:hAnsi="Times New Roman" w:cs="Times New Roman"/>
        </w:rPr>
      </w:pPr>
    </w:p>
    <w:p w14:paraId="46740EA9" w14:textId="5E720A20" w:rsidR="007B6208" w:rsidRDefault="007B6208" w:rsidP="00BC14F5">
      <w:pPr>
        <w:pStyle w:val="ListParagraph"/>
        <w:tabs>
          <w:tab w:val="left" w:pos="270"/>
          <w:tab w:val="left" w:pos="450"/>
        </w:tabs>
        <w:spacing w:after="0" w:line="240" w:lineRule="auto"/>
        <w:ind w:left="0"/>
        <w:jc w:val="both"/>
        <w:rPr>
          <w:rFonts w:ascii="Times New Roman" w:hAnsi="Times New Roman" w:cs="Times New Roman"/>
        </w:rPr>
      </w:pPr>
    </w:p>
    <w:p w14:paraId="250C280C" w14:textId="77777777" w:rsidR="0050259B" w:rsidRPr="006E3904" w:rsidRDefault="0050259B" w:rsidP="0050259B">
      <w:pPr>
        <w:tabs>
          <w:tab w:val="left" w:pos="0"/>
        </w:tabs>
        <w:ind w:left="-90"/>
        <w:rPr>
          <w:rFonts w:ascii="Times New Roman" w:hAnsi="Times New Roman" w:cs="Times New Roman"/>
          <w:b/>
          <w:bCs/>
        </w:rPr>
      </w:pPr>
      <w:r>
        <w:rPr>
          <w:rFonts w:ascii="Times New Roman" w:hAnsi="Times New Roman" w:cs="Times New Roman"/>
        </w:rPr>
        <w:tab/>
      </w:r>
      <w:r>
        <w:rPr>
          <w:rFonts w:ascii="Times New Roman" w:hAnsi="Times New Roman" w:cs="Times New Roman"/>
          <w:b/>
          <w:bCs/>
          <w:color w:val="000000" w:themeColor="text1"/>
        </w:rPr>
        <w:t>V.</w:t>
      </w:r>
      <w:r>
        <w:rPr>
          <w:rFonts w:ascii="Times New Roman" w:hAnsi="Times New Roman" w:cs="Times New Roman"/>
        </w:rPr>
        <w:t xml:space="preserve"> </w:t>
      </w:r>
      <w:r>
        <w:rPr>
          <w:rFonts w:ascii="Times New Roman" w:hAnsi="Times New Roman" w:cs="Times New Roman"/>
          <w:b/>
          <w:bCs/>
          <w:color w:val="000000" w:themeColor="text1"/>
        </w:rPr>
        <w:t>ACTION TAKEN IN 2021</w:t>
      </w:r>
    </w:p>
    <w:p w14:paraId="5E69135F" w14:textId="77777777" w:rsidR="0050259B" w:rsidRPr="00757CE7" w:rsidRDefault="0050259B" w:rsidP="0050259B">
      <w:pPr>
        <w:pStyle w:val="ListParagraph"/>
        <w:numPr>
          <w:ilvl w:val="0"/>
          <w:numId w:val="25"/>
        </w:numPr>
        <w:tabs>
          <w:tab w:val="left" w:pos="450"/>
        </w:tabs>
        <w:spacing w:after="0" w:line="240" w:lineRule="auto"/>
        <w:ind w:left="0" w:firstLine="0"/>
        <w:jc w:val="both"/>
        <w:rPr>
          <w:rFonts w:ascii="Times New Roman" w:eastAsia="Times New Roman,Batang" w:hAnsi="Times New Roman" w:cs="Times New Roman"/>
          <w:lang w:eastAsia="ko-KR"/>
        </w:rPr>
      </w:pPr>
      <w:r w:rsidRPr="00757CE7">
        <w:rPr>
          <w:rFonts w:ascii="Times New Roman" w:eastAsia="Times New Roman,Batang" w:hAnsi="Times New Roman" w:cs="Times New Roman"/>
          <w:lang w:eastAsia="ko-KR"/>
        </w:rPr>
        <w:t>In response to the Annual Report on Evaluation 2020</w:t>
      </w:r>
      <w:r>
        <w:rPr>
          <w:rFonts w:ascii="Times New Roman" w:eastAsia="Times New Roman,Batang" w:hAnsi="Times New Roman" w:cs="Times New Roman"/>
          <w:lang w:eastAsia="ko-KR"/>
        </w:rPr>
        <w:t>,</w:t>
      </w:r>
      <w:r>
        <w:rPr>
          <w:rStyle w:val="FootnoteReference"/>
          <w:rFonts w:ascii="Times New Roman" w:hAnsi="Times New Roman"/>
          <w:sz w:val="20"/>
          <w:szCs w:val="20"/>
        </w:rPr>
        <w:footnoteReference w:id="7"/>
      </w:r>
      <w:r w:rsidRPr="00757CE7">
        <w:rPr>
          <w:rFonts w:ascii="Times New Roman" w:eastAsia="Times New Roman,Batang" w:hAnsi="Times New Roman" w:cs="Times New Roman"/>
          <w:lang w:eastAsia="ko-KR"/>
        </w:rPr>
        <w:t xml:space="preserve"> which identified gaps in the quality, coverage, and utility of decentralized evaluations, the Executive Board </w:t>
      </w:r>
      <w:r w:rsidRPr="00757CE7">
        <w:rPr>
          <w:rFonts w:ascii="Times New Roman" w:hAnsi="Times New Roman"/>
        </w:rPr>
        <w:t xml:space="preserve">encouraged UNDP to </w:t>
      </w:r>
      <w:r w:rsidRPr="00757CE7">
        <w:rPr>
          <w:rFonts w:ascii="Times New Roman" w:hAnsi="Times New Roman"/>
          <w:i/>
          <w:iCs/>
        </w:rPr>
        <w:t xml:space="preserve">“continue this effort to identify and build evaluation capacities and resources to increase the satisfactory rating of decentralized evaluations significantly.” </w:t>
      </w:r>
      <w:r w:rsidRPr="00757CE7">
        <w:rPr>
          <w:rFonts w:ascii="Times New Roman" w:hAnsi="Times New Roman"/>
        </w:rPr>
        <w:t>In response</w:t>
      </w:r>
      <w:r>
        <w:rPr>
          <w:rFonts w:ascii="Times New Roman" w:hAnsi="Times New Roman"/>
        </w:rPr>
        <w:t>,</w:t>
      </w:r>
      <w:r w:rsidRPr="00757CE7">
        <w:rPr>
          <w:rFonts w:ascii="Times New Roman" w:hAnsi="Times New Roman"/>
        </w:rPr>
        <w:t xml:space="preserve"> and j</w:t>
      </w:r>
      <w:r w:rsidRPr="00757CE7">
        <w:rPr>
          <w:rFonts w:ascii="Times New Roman" w:eastAsia="Times New Roman,Batang" w:hAnsi="Times New Roman" w:cs="Times New Roman"/>
          <w:lang w:eastAsia="ko-KR"/>
        </w:rPr>
        <w:t xml:space="preserve">ointly with </w:t>
      </w:r>
      <w:r>
        <w:rPr>
          <w:rFonts w:ascii="Times New Roman" w:eastAsia="Times New Roman,Batang" w:hAnsi="Times New Roman" w:cs="Times New Roman"/>
          <w:lang w:eastAsia="ko-KR"/>
        </w:rPr>
        <w:t>IEO</w:t>
      </w:r>
      <w:r w:rsidRPr="00757CE7">
        <w:rPr>
          <w:rFonts w:ascii="Times New Roman" w:eastAsia="Times New Roman,Batang" w:hAnsi="Times New Roman" w:cs="Times New Roman"/>
          <w:lang w:eastAsia="ko-KR"/>
        </w:rPr>
        <w:t>, UNDP Management took several key actions in 202</w:t>
      </w:r>
      <w:r>
        <w:rPr>
          <w:rFonts w:ascii="Times New Roman" w:eastAsia="Times New Roman,Batang" w:hAnsi="Times New Roman" w:cs="Times New Roman"/>
          <w:lang w:eastAsia="ko-KR"/>
        </w:rPr>
        <w:t>1</w:t>
      </w:r>
      <w:r w:rsidRPr="00757CE7">
        <w:rPr>
          <w:rFonts w:ascii="Times New Roman" w:eastAsia="Times New Roman,Batang" w:hAnsi="Times New Roman" w:cs="Times New Roman"/>
          <w:lang w:eastAsia="ko-KR"/>
        </w:rPr>
        <w:t xml:space="preserve">.   </w:t>
      </w:r>
    </w:p>
    <w:p w14:paraId="00191A81" w14:textId="77777777" w:rsidR="0050259B" w:rsidRDefault="0050259B" w:rsidP="0050259B">
      <w:pPr>
        <w:spacing w:after="0" w:line="240" w:lineRule="auto"/>
        <w:jc w:val="both"/>
        <w:rPr>
          <w:rFonts w:ascii="Times New Roman" w:eastAsia="Times New Roman,Batang" w:hAnsi="Times New Roman" w:cs="Times New Roman"/>
          <w:lang w:eastAsia="ko-KR"/>
        </w:rPr>
      </w:pPr>
    </w:p>
    <w:p w14:paraId="5E1A650F" w14:textId="77777777" w:rsidR="0050259B" w:rsidRPr="001B6A53" w:rsidRDefault="0050259B" w:rsidP="0050259B">
      <w:pPr>
        <w:spacing w:after="120" w:line="240" w:lineRule="auto"/>
        <w:jc w:val="both"/>
        <w:rPr>
          <w:rFonts w:ascii="Times New Roman" w:eastAsia="Times New Roman,Batang" w:hAnsi="Times New Roman" w:cs="Times New Roman"/>
          <w:b/>
          <w:bCs/>
          <w:lang w:eastAsia="ko-KR"/>
        </w:rPr>
      </w:pPr>
      <w:r>
        <w:rPr>
          <w:rFonts w:ascii="Times New Roman" w:eastAsia="Times New Roman,Batang" w:hAnsi="Times New Roman" w:cs="Times New Roman"/>
          <w:b/>
          <w:bCs/>
          <w:lang w:eastAsia="ko-KR"/>
        </w:rPr>
        <w:t>Quarterly m</w:t>
      </w:r>
      <w:r w:rsidRPr="001B6A53">
        <w:rPr>
          <w:rFonts w:ascii="Times New Roman" w:eastAsia="Times New Roman,Batang" w:hAnsi="Times New Roman" w:cs="Times New Roman"/>
          <w:b/>
          <w:bCs/>
          <w:lang w:eastAsia="ko-KR"/>
        </w:rPr>
        <w:t>onitoring</w:t>
      </w:r>
      <w:r>
        <w:rPr>
          <w:rFonts w:ascii="Times New Roman" w:eastAsia="Times New Roman,Batang" w:hAnsi="Times New Roman" w:cs="Times New Roman"/>
          <w:b/>
          <w:bCs/>
          <w:lang w:eastAsia="ko-KR"/>
        </w:rPr>
        <w:t xml:space="preserve"> of the Evaluation Scorecard key performance indicators </w:t>
      </w:r>
    </w:p>
    <w:p w14:paraId="35A3D202" w14:textId="77777777" w:rsidR="0050259B" w:rsidRPr="00757CE7" w:rsidRDefault="0050259B" w:rsidP="0050259B">
      <w:pPr>
        <w:pStyle w:val="ListParagraph"/>
        <w:numPr>
          <w:ilvl w:val="0"/>
          <w:numId w:val="25"/>
        </w:numPr>
        <w:tabs>
          <w:tab w:val="left" w:pos="450"/>
        </w:tabs>
        <w:spacing w:after="0" w:line="240" w:lineRule="auto"/>
        <w:ind w:left="0" w:firstLine="0"/>
        <w:jc w:val="both"/>
        <w:rPr>
          <w:rFonts w:ascii="Times New Roman" w:eastAsia="Times New Roman,Batang" w:hAnsi="Times New Roman" w:cs="Times New Roman"/>
          <w:lang w:eastAsia="ko-KR"/>
        </w:rPr>
      </w:pPr>
      <w:r w:rsidRPr="00757CE7">
        <w:rPr>
          <w:rFonts w:ascii="Times New Roman" w:eastAsia="Times New Roman,Batang" w:hAnsi="Times New Roman" w:cs="Times New Roman"/>
          <w:lang w:eastAsia="ko-KR"/>
        </w:rPr>
        <w:t>In 2021, UNDP systematized the monitoring, analysis, and dissemination of evaluation performance by region and central bureaux using the key performance indicators (KPIs) introduced in the Evaluation Scorecard in 2020. The introduction of KPIs offered an overview of high-risk or critical areas that require thorough analysis and management actions and</w:t>
      </w:r>
      <w:r>
        <w:rPr>
          <w:rFonts w:ascii="Times New Roman" w:eastAsia="Times New Roman,Batang" w:hAnsi="Times New Roman" w:cs="Times New Roman"/>
          <w:lang w:eastAsia="ko-KR"/>
        </w:rPr>
        <w:t xml:space="preserve"> increase</w:t>
      </w:r>
      <w:r w:rsidRPr="00757CE7">
        <w:rPr>
          <w:rFonts w:ascii="Times New Roman" w:eastAsia="Times New Roman,Batang" w:hAnsi="Times New Roman" w:cs="Times New Roman"/>
          <w:lang w:eastAsia="ko-KR"/>
        </w:rPr>
        <w:t xml:space="preserve"> efficiency by reducing manual analysis. Special attention was given to the country offices with 1</w:t>
      </w:r>
      <w:r>
        <w:rPr>
          <w:rFonts w:ascii="Times New Roman" w:eastAsia="Times New Roman,Batang" w:hAnsi="Times New Roman" w:cs="Times New Roman"/>
          <w:lang w:eastAsia="ko-KR"/>
        </w:rPr>
        <w:t xml:space="preserve">) </w:t>
      </w:r>
      <w:r w:rsidRPr="00757CE7">
        <w:rPr>
          <w:rFonts w:ascii="Times New Roman" w:eastAsia="Times New Roman,Batang" w:hAnsi="Times New Roman" w:cs="Times New Roman"/>
          <w:lang w:eastAsia="ko-KR"/>
        </w:rPr>
        <w:t>a high number of evaluations planned, 2</w:t>
      </w:r>
      <w:r>
        <w:rPr>
          <w:rFonts w:ascii="Times New Roman" w:eastAsia="Times New Roman,Batang" w:hAnsi="Times New Roman" w:cs="Times New Roman"/>
          <w:lang w:eastAsia="ko-KR"/>
        </w:rPr>
        <w:t>)</w:t>
      </w:r>
      <w:r w:rsidRPr="00757CE7">
        <w:rPr>
          <w:rFonts w:ascii="Times New Roman" w:eastAsia="Times New Roman,Batang" w:hAnsi="Times New Roman" w:cs="Times New Roman"/>
          <w:lang w:eastAsia="ko-KR"/>
        </w:rPr>
        <w:t xml:space="preserve"> high overdue evaluations, </w:t>
      </w:r>
      <w:r>
        <w:rPr>
          <w:rFonts w:ascii="Times New Roman" w:eastAsia="Times New Roman,Batang" w:hAnsi="Times New Roman" w:cs="Times New Roman"/>
          <w:lang w:eastAsia="ko-KR"/>
        </w:rPr>
        <w:t xml:space="preserve">and </w:t>
      </w:r>
      <w:r w:rsidRPr="00757CE7">
        <w:rPr>
          <w:rFonts w:ascii="Times New Roman" w:eastAsia="Times New Roman,Batang" w:hAnsi="Times New Roman" w:cs="Times New Roman"/>
          <w:lang w:eastAsia="ko-KR"/>
        </w:rPr>
        <w:t>3</w:t>
      </w:r>
      <w:r>
        <w:rPr>
          <w:rFonts w:ascii="Times New Roman" w:eastAsia="Times New Roman,Batang" w:hAnsi="Times New Roman" w:cs="Times New Roman"/>
          <w:lang w:eastAsia="ko-KR"/>
        </w:rPr>
        <w:t>)</w:t>
      </w:r>
      <w:r w:rsidRPr="00757CE7">
        <w:rPr>
          <w:rFonts w:ascii="Times New Roman" w:eastAsia="Times New Roman,Batang" w:hAnsi="Times New Roman" w:cs="Times New Roman"/>
          <w:lang w:eastAsia="ko-KR"/>
        </w:rPr>
        <w:t xml:space="preserve"> no evaluations planned in the year. Real-time data on critical evaluation performance enabled timely tracking of high-risk and critical areas for bureaux to take timely remedial actions.</w:t>
      </w:r>
    </w:p>
    <w:p w14:paraId="68BC6ADE" w14:textId="77777777" w:rsidR="0050259B" w:rsidRDefault="0050259B" w:rsidP="0050259B">
      <w:pPr>
        <w:tabs>
          <w:tab w:val="left" w:pos="450"/>
        </w:tabs>
        <w:spacing w:after="0" w:line="240" w:lineRule="auto"/>
        <w:jc w:val="both"/>
        <w:rPr>
          <w:rFonts w:ascii="Times New Roman" w:eastAsia="Times New Roman,Batang" w:hAnsi="Times New Roman" w:cs="Times New Roman"/>
          <w:lang w:eastAsia="ko-KR"/>
        </w:rPr>
      </w:pPr>
    </w:p>
    <w:p w14:paraId="1F5CC62E" w14:textId="77777777" w:rsidR="0050259B" w:rsidRPr="00757CE7"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rPr>
      </w:pPr>
      <w:r w:rsidRPr="00757CE7">
        <w:rPr>
          <w:rFonts w:ascii="Times New Roman" w:hAnsi="Times New Roman" w:cs="Times New Roman"/>
        </w:rPr>
        <w:t>As shown in Figure 4, compared to 2020, the performance of all KPIs improved in 2021, including a 14-percentage point increase in KPI 1 (evaluation completion rate) and a notable 31-percentage point increase in KPI 5 (M&amp;E focal points certified in evaluation).</w:t>
      </w:r>
    </w:p>
    <w:p w14:paraId="452B8C08" w14:textId="77777777" w:rsidR="0050259B" w:rsidRDefault="0050259B" w:rsidP="0050259B">
      <w:pPr>
        <w:spacing w:after="0" w:line="240" w:lineRule="auto"/>
        <w:jc w:val="both"/>
        <w:rPr>
          <w:rFonts w:ascii="Times New Roman" w:hAnsi="Times New Roman" w:cs="Times New Roman"/>
        </w:rPr>
      </w:pPr>
    </w:p>
    <w:p w14:paraId="32A7E706" w14:textId="77777777" w:rsidR="0050259B" w:rsidRPr="00B64F63" w:rsidRDefault="0050259B" w:rsidP="0050259B">
      <w:pPr>
        <w:spacing w:after="120" w:line="240" w:lineRule="auto"/>
        <w:jc w:val="center"/>
        <w:rPr>
          <w:rFonts w:ascii="Times New Roman" w:hAnsi="Times New Roman" w:cs="Times New Roman"/>
          <w:sz w:val="20"/>
          <w:szCs w:val="20"/>
        </w:rPr>
      </w:pPr>
      <w:r w:rsidRPr="00B64F63">
        <w:rPr>
          <w:rFonts w:ascii="Times New Roman" w:hAnsi="Times New Roman" w:cs="Times New Roman"/>
          <w:sz w:val="20"/>
          <w:szCs w:val="20"/>
        </w:rPr>
        <w:t xml:space="preserve">Figure 5: Trend of </w:t>
      </w:r>
      <w:r>
        <w:rPr>
          <w:rFonts w:ascii="Times New Roman" w:hAnsi="Times New Roman" w:cs="Times New Roman"/>
          <w:sz w:val="20"/>
          <w:szCs w:val="20"/>
        </w:rPr>
        <w:t>d</w:t>
      </w:r>
      <w:r w:rsidRPr="00B64F63">
        <w:rPr>
          <w:rFonts w:ascii="Times New Roman" w:hAnsi="Times New Roman" w:cs="Times New Roman"/>
          <w:sz w:val="20"/>
          <w:szCs w:val="20"/>
        </w:rPr>
        <w:t>ecentralized evaluation Key Performance Indicators (2017-2021)</w:t>
      </w:r>
    </w:p>
    <w:p w14:paraId="6E569C08" w14:textId="77777777" w:rsidR="0050259B" w:rsidRDefault="0050259B" w:rsidP="0050259B">
      <w:pPr>
        <w:spacing w:after="0" w:line="240" w:lineRule="auto"/>
        <w:jc w:val="both"/>
        <w:rPr>
          <w:rFonts w:ascii="Times New Roman" w:eastAsia="Times New Roman,Batang" w:hAnsi="Times New Roman" w:cs="Times New Roman"/>
          <w:lang w:eastAsia="ko-KR"/>
        </w:rPr>
      </w:pPr>
      <w:r w:rsidRPr="002B287F">
        <w:rPr>
          <w:rFonts w:ascii="Times New Roman" w:eastAsia="Times New Roman,Batang" w:hAnsi="Times New Roman" w:cs="Times New Roman"/>
          <w:b/>
          <w:bCs/>
          <w:noProof/>
          <w:lang w:eastAsia="ko-KR"/>
        </w:rPr>
        <w:drawing>
          <wp:inline distT="0" distB="0" distL="0" distR="0" wp14:anchorId="6761EFB7" wp14:editId="33362BFA">
            <wp:extent cx="5867400" cy="27527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ACCA5B" w14:textId="77777777" w:rsidR="0050259B" w:rsidRDefault="0050259B" w:rsidP="0050259B">
      <w:pPr>
        <w:spacing w:after="120" w:line="240" w:lineRule="auto"/>
        <w:jc w:val="both"/>
        <w:rPr>
          <w:rFonts w:ascii="Times New Roman" w:eastAsia="Times New Roman,Batang" w:hAnsi="Times New Roman" w:cs="Times New Roman"/>
          <w:b/>
          <w:bCs/>
          <w:lang w:eastAsia="ko-KR"/>
        </w:rPr>
      </w:pPr>
    </w:p>
    <w:p w14:paraId="7EDBCAD0" w14:textId="77777777" w:rsidR="0050259B" w:rsidRPr="00652F31" w:rsidRDefault="0050259B" w:rsidP="0050259B">
      <w:pPr>
        <w:spacing w:after="120" w:line="240" w:lineRule="auto"/>
        <w:jc w:val="both"/>
        <w:rPr>
          <w:rFonts w:ascii="Times New Roman" w:eastAsia="Times New Roman,Batang" w:hAnsi="Times New Roman" w:cs="Times New Roman"/>
          <w:b/>
          <w:bCs/>
          <w:lang w:eastAsia="ko-KR"/>
        </w:rPr>
      </w:pPr>
      <w:r>
        <w:rPr>
          <w:rFonts w:ascii="Times New Roman" w:eastAsia="Times New Roman,Batang" w:hAnsi="Times New Roman" w:cs="Times New Roman"/>
          <w:b/>
          <w:bCs/>
          <w:lang w:eastAsia="ko-KR"/>
        </w:rPr>
        <w:t>B</w:t>
      </w:r>
      <w:r w:rsidRPr="002152C1">
        <w:rPr>
          <w:rFonts w:ascii="Times New Roman" w:eastAsia="Times New Roman,Batang" w:hAnsi="Times New Roman" w:cs="Times New Roman"/>
          <w:b/>
          <w:bCs/>
          <w:lang w:eastAsia="ko-KR"/>
        </w:rPr>
        <w:t>ureau-</w:t>
      </w:r>
      <w:r>
        <w:rPr>
          <w:rFonts w:ascii="Times New Roman" w:eastAsia="Times New Roman,Batang" w:hAnsi="Times New Roman" w:cs="Times New Roman"/>
          <w:b/>
          <w:bCs/>
          <w:lang w:eastAsia="ko-KR"/>
        </w:rPr>
        <w:t>level</w:t>
      </w:r>
      <w:r w:rsidRPr="002152C1">
        <w:rPr>
          <w:rFonts w:ascii="Times New Roman" w:eastAsia="Times New Roman,Batang" w:hAnsi="Times New Roman" w:cs="Times New Roman"/>
          <w:b/>
          <w:bCs/>
          <w:lang w:eastAsia="ko-KR"/>
        </w:rPr>
        <w:t xml:space="preserve"> strategies for </w:t>
      </w:r>
      <w:r>
        <w:rPr>
          <w:rFonts w:ascii="Times New Roman" w:eastAsia="Times New Roman,Batang" w:hAnsi="Times New Roman" w:cs="Times New Roman"/>
          <w:b/>
          <w:bCs/>
          <w:lang w:eastAsia="ko-KR"/>
        </w:rPr>
        <w:t xml:space="preserve">strengthening decentralized evaluations </w:t>
      </w:r>
    </w:p>
    <w:p w14:paraId="510091E3" w14:textId="5E720A20" w:rsidR="0050259B" w:rsidRDefault="0050259B" w:rsidP="0050259B">
      <w:pPr>
        <w:pStyle w:val="ListParagraph"/>
        <w:numPr>
          <w:ilvl w:val="0"/>
          <w:numId w:val="25"/>
        </w:numPr>
        <w:tabs>
          <w:tab w:val="left" w:pos="450"/>
        </w:tabs>
        <w:spacing w:after="0" w:line="240" w:lineRule="auto"/>
        <w:ind w:left="0" w:firstLine="0"/>
        <w:jc w:val="both"/>
        <w:rPr>
          <w:rFonts w:ascii="Times New Roman" w:eastAsia="Times New Roman,Batang" w:hAnsi="Times New Roman" w:cs="Times New Roman"/>
          <w:lang w:eastAsia="ko-KR"/>
        </w:rPr>
      </w:pPr>
      <w:r w:rsidRPr="00757CE7">
        <w:rPr>
          <w:rFonts w:ascii="Times New Roman" w:eastAsia="Times New Roman,Batang" w:hAnsi="Times New Roman" w:cs="Times New Roman"/>
          <w:lang w:eastAsia="ko-KR"/>
        </w:rPr>
        <w:t xml:space="preserve">In November 2021, UNDP senior management reviewed the status of evaluation KPIs and requested </w:t>
      </w:r>
      <w:r>
        <w:rPr>
          <w:rFonts w:ascii="Times New Roman" w:eastAsia="Times New Roman,Batang" w:hAnsi="Times New Roman" w:cs="Times New Roman"/>
          <w:lang w:eastAsia="ko-KR"/>
        </w:rPr>
        <w:t>c</w:t>
      </w:r>
      <w:r w:rsidRPr="00757CE7">
        <w:rPr>
          <w:rFonts w:ascii="Times New Roman" w:eastAsia="Times New Roman,Batang" w:hAnsi="Times New Roman" w:cs="Times New Roman"/>
          <w:lang w:eastAsia="ko-KR"/>
        </w:rPr>
        <w:t xml:space="preserve">entral (GPN) and </w:t>
      </w:r>
      <w:r>
        <w:rPr>
          <w:rFonts w:ascii="Times New Roman" w:eastAsia="Times New Roman,Batang" w:hAnsi="Times New Roman" w:cs="Times New Roman"/>
          <w:lang w:eastAsia="ko-KR"/>
        </w:rPr>
        <w:t>r</w:t>
      </w:r>
      <w:r w:rsidRPr="00757CE7">
        <w:rPr>
          <w:rFonts w:ascii="Times New Roman" w:eastAsia="Times New Roman,Batang" w:hAnsi="Times New Roman" w:cs="Times New Roman"/>
          <w:lang w:eastAsia="ko-KR"/>
        </w:rPr>
        <w:t xml:space="preserve">egional </w:t>
      </w:r>
      <w:r>
        <w:rPr>
          <w:rFonts w:ascii="Times New Roman" w:eastAsia="Times New Roman,Batang" w:hAnsi="Times New Roman" w:cs="Times New Roman"/>
          <w:lang w:eastAsia="ko-KR"/>
        </w:rPr>
        <w:t>b</w:t>
      </w:r>
      <w:r w:rsidRPr="00757CE7">
        <w:rPr>
          <w:rFonts w:ascii="Times New Roman" w:eastAsia="Times New Roman,Batang" w:hAnsi="Times New Roman" w:cs="Times New Roman"/>
          <w:lang w:eastAsia="ko-KR"/>
        </w:rPr>
        <w:t>ureau</w:t>
      </w:r>
      <w:r>
        <w:rPr>
          <w:rFonts w:ascii="Times New Roman" w:eastAsia="Times New Roman,Batang" w:hAnsi="Times New Roman" w:cs="Times New Roman"/>
          <w:lang w:eastAsia="ko-KR"/>
        </w:rPr>
        <w:t>x</w:t>
      </w:r>
      <w:r w:rsidRPr="00757CE7">
        <w:rPr>
          <w:rFonts w:ascii="Times New Roman" w:eastAsia="Times New Roman,Batang" w:hAnsi="Times New Roman" w:cs="Times New Roman"/>
          <w:lang w:eastAsia="ko-KR"/>
        </w:rPr>
        <w:t xml:space="preserve"> to develop tailored strategies for implementation starting in January 2022. </w:t>
      </w:r>
      <w:r>
        <w:rPr>
          <w:rFonts w:ascii="Times New Roman" w:eastAsia="Times New Roman,Batang" w:hAnsi="Times New Roman" w:cs="Times New Roman"/>
          <w:lang w:eastAsia="ko-KR"/>
        </w:rPr>
        <w:t>S</w:t>
      </w:r>
      <w:r w:rsidRPr="00757CE7">
        <w:rPr>
          <w:rFonts w:ascii="Times New Roman" w:eastAsia="Times New Roman,Batang" w:hAnsi="Times New Roman" w:cs="Times New Roman"/>
          <w:lang w:eastAsia="ko-KR"/>
        </w:rPr>
        <w:t>trategies contained commitments from the bureau</w:t>
      </w:r>
      <w:r>
        <w:rPr>
          <w:rFonts w:ascii="Times New Roman" w:eastAsia="Times New Roman,Batang" w:hAnsi="Times New Roman" w:cs="Times New Roman"/>
          <w:lang w:eastAsia="ko-KR"/>
        </w:rPr>
        <w:t>x</w:t>
      </w:r>
      <w:r w:rsidRPr="00757CE7">
        <w:rPr>
          <w:rFonts w:ascii="Times New Roman" w:eastAsia="Times New Roman,Batang" w:hAnsi="Times New Roman" w:cs="Times New Roman"/>
          <w:lang w:eastAsia="ko-KR"/>
        </w:rPr>
        <w:t xml:space="preserve"> to strengthen management accountability and strategic actions to improve the coverage, quality, and use of decentralized evaluations in decision making. </w:t>
      </w:r>
      <w:r w:rsidRPr="00757CE7">
        <w:rPr>
          <w:rFonts w:ascii="Times New Roman" w:eastAsia="Times New Roman,Batang" w:hAnsi="Times New Roman" w:cs="Times New Roman"/>
          <w:lang w:eastAsia="ko-KR"/>
        </w:rPr>
        <w:lastRenderedPageBreak/>
        <w:t xml:space="preserve">All bureaux are required to report quarterly on their performance and status of the KPIs through the established oversight and mechanisms </w:t>
      </w:r>
      <w:r>
        <w:rPr>
          <w:rFonts w:ascii="Times New Roman" w:eastAsia="Times New Roman,Batang" w:hAnsi="Times New Roman" w:cs="Times New Roman"/>
          <w:lang w:eastAsia="ko-KR"/>
        </w:rPr>
        <w:t xml:space="preserve">for </w:t>
      </w:r>
      <w:r w:rsidRPr="00757CE7">
        <w:rPr>
          <w:rFonts w:ascii="Times New Roman" w:eastAsia="Times New Roman,Batang" w:hAnsi="Times New Roman" w:cs="Times New Roman"/>
          <w:lang w:eastAsia="ko-KR"/>
        </w:rPr>
        <w:t xml:space="preserve">engaging senior management.  </w:t>
      </w:r>
    </w:p>
    <w:p w14:paraId="507A7F90" w14:textId="5E720A20" w:rsidR="00942333" w:rsidRDefault="00942333" w:rsidP="00BC14F5">
      <w:pPr>
        <w:pStyle w:val="ListParagraph"/>
        <w:tabs>
          <w:tab w:val="left" w:pos="450"/>
        </w:tabs>
        <w:spacing w:after="0" w:line="240" w:lineRule="auto"/>
        <w:ind w:left="0"/>
        <w:jc w:val="both"/>
        <w:rPr>
          <w:rFonts w:ascii="Times New Roman" w:eastAsia="Times New Roman,Batang" w:hAnsi="Times New Roman" w:cs="Times New Roman"/>
          <w:lang w:eastAsia="ko-KR"/>
        </w:rPr>
      </w:pPr>
    </w:p>
    <w:p w14:paraId="1DE982EA" w14:textId="77777777" w:rsidR="0050259B" w:rsidRPr="00A42E7D" w:rsidRDefault="0050259B" w:rsidP="0050259B">
      <w:pPr>
        <w:spacing w:after="120" w:line="240" w:lineRule="auto"/>
        <w:jc w:val="both"/>
        <w:rPr>
          <w:rFonts w:ascii="Times New Roman" w:eastAsia="Times New Roman,Batang" w:hAnsi="Times New Roman" w:cs="Times New Roman"/>
          <w:b/>
          <w:bCs/>
          <w:lang w:eastAsia="ko-KR"/>
        </w:rPr>
      </w:pPr>
      <w:r w:rsidRPr="00A42E7D">
        <w:rPr>
          <w:rFonts w:ascii="Times New Roman" w:eastAsia="Times New Roman,Batang" w:hAnsi="Times New Roman" w:cs="Times New Roman"/>
          <w:b/>
          <w:bCs/>
          <w:lang w:eastAsia="ko-KR"/>
        </w:rPr>
        <w:t>Strengthening UNDP programming tools related to evaluation</w:t>
      </w:r>
    </w:p>
    <w:p w14:paraId="22500F7F" w14:textId="77777777" w:rsidR="0050259B" w:rsidRPr="00BC44BA"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bCs/>
        </w:rPr>
      </w:pPr>
      <w:r w:rsidRPr="00BC44BA">
        <w:rPr>
          <w:rFonts w:ascii="Times New Roman" w:hAnsi="Times New Roman" w:cs="Times New Roman"/>
          <w:bCs/>
        </w:rPr>
        <w:t xml:space="preserve">UNDP updated and strengthened its </w:t>
      </w:r>
      <w:r>
        <w:rPr>
          <w:rFonts w:ascii="Times New Roman" w:hAnsi="Times New Roman" w:cs="Times New Roman"/>
          <w:bCs/>
        </w:rPr>
        <w:t>p</w:t>
      </w:r>
      <w:r w:rsidRPr="00BC44BA">
        <w:rPr>
          <w:rFonts w:ascii="Times New Roman" w:hAnsi="Times New Roman" w:cs="Times New Roman"/>
          <w:bCs/>
        </w:rPr>
        <w:t xml:space="preserve">rogramme Quality Assurance (QA) tools in 2021 so credible evidence generated from evaluations can be compared against key assumptions and expected outcomes and outputs as established in the programme ‘theory of change’. These QA tools require explicit referencing of evaluation in programme and project design, and availability of fully costed evaluation plans. For ongoing projects, the QA assesses the use of evaluation in decision-making and the quality of </w:t>
      </w:r>
      <w:r>
        <w:rPr>
          <w:rFonts w:ascii="Times New Roman" w:hAnsi="Times New Roman" w:cs="Times New Roman"/>
          <w:bCs/>
        </w:rPr>
        <w:t>d</w:t>
      </w:r>
      <w:r w:rsidRPr="00BC44BA">
        <w:rPr>
          <w:rFonts w:ascii="Times New Roman" w:hAnsi="Times New Roman" w:cs="Times New Roman"/>
          <w:bCs/>
        </w:rPr>
        <w:t xml:space="preserve">ecentralized </w:t>
      </w:r>
      <w:r>
        <w:rPr>
          <w:rFonts w:ascii="Times New Roman" w:hAnsi="Times New Roman" w:cs="Times New Roman"/>
          <w:bCs/>
        </w:rPr>
        <w:t>e</w:t>
      </w:r>
      <w:r w:rsidRPr="00BC44BA">
        <w:rPr>
          <w:rFonts w:ascii="Times New Roman" w:hAnsi="Times New Roman" w:cs="Times New Roman"/>
          <w:bCs/>
        </w:rPr>
        <w:t>valuations.</w:t>
      </w:r>
    </w:p>
    <w:p w14:paraId="746F2F5C" w14:textId="77777777" w:rsidR="0050259B" w:rsidRDefault="0050259B" w:rsidP="0050259B">
      <w:pPr>
        <w:spacing w:after="0" w:line="240" w:lineRule="auto"/>
        <w:jc w:val="both"/>
        <w:rPr>
          <w:rFonts w:ascii="Times New Roman" w:eastAsia="Times New Roman,Batang" w:hAnsi="Times New Roman" w:cs="Times New Roman"/>
          <w:b/>
          <w:bCs/>
          <w:lang w:eastAsia="ko-KR"/>
        </w:rPr>
      </w:pPr>
    </w:p>
    <w:p w14:paraId="6878CD69" w14:textId="77777777" w:rsidR="0050259B" w:rsidRDefault="0050259B" w:rsidP="0050259B">
      <w:pPr>
        <w:spacing w:after="120" w:line="240" w:lineRule="auto"/>
        <w:jc w:val="both"/>
        <w:rPr>
          <w:rFonts w:ascii="Times New Roman" w:eastAsia="Times New Roman,Batang" w:hAnsi="Times New Roman" w:cs="Times New Roman"/>
          <w:b/>
          <w:bCs/>
          <w:lang w:eastAsia="ko-KR"/>
        </w:rPr>
      </w:pPr>
      <w:r>
        <w:rPr>
          <w:rFonts w:ascii="Times New Roman" w:eastAsia="Times New Roman,Batang" w:hAnsi="Times New Roman" w:cs="Times New Roman"/>
          <w:b/>
          <w:bCs/>
          <w:lang w:eastAsia="ko-KR"/>
        </w:rPr>
        <w:t>Stronger indicators in the Integrated Results and Resources Framework for 2022-2025</w:t>
      </w:r>
    </w:p>
    <w:p w14:paraId="7D6D320C" w14:textId="77777777" w:rsidR="0050259B" w:rsidRPr="00757CE7" w:rsidRDefault="0050259B" w:rsidP="0050259B">
      <w:pPr>
        <w:pStyle w:val="ListParagraph"/>
        <w:numPr>
          <w:ilvl w:val="0"/>
          <w:numId w:val="25"/>
        </w:numPr>
        <w:tabs>
          <w:tab w:val="left" w:pos="450"/>
        </w:tabs>
        <w:spacing w:after="0"/>
        <w:ind w:left="0" w:firstLine="0"/>
        <w:jc w:val="both"/>
        <w:rPr>
          <w:rFonts w:ascii="Times New Roman" w:eastAsia="Times New Roman,Batang" w:hAnsi="Times New Roman" w:cs="Times New Roman"/>
          <w:lang w:eastAsia="ko-KR"/>
        </w:rPr>
      </w:pPr>
      <w:r w:rsidRPr="00757CE7">
        <w:rPr>
          <w:rFonts w:ascii="Times New Roman" w:eastAsia="Times New Roman,Batang" w:hAnsi="Times New Roman" w:cs="Times New Roman"/>
          <w:lang w:eastAsia="ko-KR"/>
        </w:rPr>
        <w:t>In the second annual session of 2021, the Executive Board adopted the Strategic Plan for 2022-2025, accompanied by the Integrated Results and Resources Framework (IRRF). Building upon lessons learned in the previous strategic plan, UNDP introduced stronger and more robust indicators to monitor organization</w:t>
      </w:r>
      <w:r>
        <w:rPr>
          <w:rFonts w:ascii="Times New Roman" w:eastAsia="Times New Roman,Batang" w:hAnsi="Times New Roman" w:cs="Times New Roman"/>
          <w:lang w:eastAsia="ko-KR"/>
        </w:rPr>
        <w:t>al</w:t>
      </w:r>
      <w:r w:rsidRPr="00757CE7">
        <w:rPr>
          <w:rFonts w:ascii="Times New Roman" w:eastAsia="Times New Roman,Batang" w:hAnsi="Times New Roman" w:cs="Times New Roman"/>
          <w:lang w:eastAsia="ko-KR"/>
        </w:rPr>
        <w:t xml:space="preserve"> evaluation perform</w:t>
      </w:r>
      <w:r>
        <w:rPr>
          <w:rFonts w:ascii="Times New Roman" w:eastAsia="Times New Roman,Batang" w:hAnsi="Times New Roman" w:cs="Times New Roman"/>
          <w:lang w:eastAsia="ko-KR"/>
        </w:rPr>
        <w:t>ance</w:t>
      </w:r>
      <w:r w:rsidRPr="00757CE7">
        <w:rPr>
          <w:rFonts w:ascii="Times New Roman" w:eastAsia="Times New Roman,Batang" w:hAnsi="Times New Roman" w:cs="Times New Roman"/>
          <w:lang w:eastAsia="ko-KR"/>
        </w:rPr>
        <w:t xml:space="preserve"> as part of </w:t>
      </w:r>
      <w:r>
        <w:rPr>
          <w:rFonts w:ascii="Times New Roman" w:eastAsia="Times New Roman,Batang" w:hAnsi="Times New Roman" w:cs="Times New Roman"/>
          <w:lang w:eastAsia="ko-KR"/>
        </w:rPr>
        <w:t xml:space="preserve">the </w:t>
      </w:r>
      <w:r w:rsidRPr="00757CE7">
        <w:rPr>
          <w:rFonts w:ascii="Times New Roman" w:eastAsia="Times New Roman,Batang" w:hAnsi="Times New Roman" w:cs="Times New Roman"/>
          <w:lang w:eastAsia="ko-KR"/>
        </w:rPr>
        <w:t xml:space="preserve">UNDP pursuit towards organizational effectiveness.  IRRF indicator performance against annual milestones is reported in </w:t>
      </w:r>
      <w:r>
        <w:rPr>
          <w:rFonts w:ascii="Times New Roman" w:eastAsia="Times New Roman,Batang" w:hAnsi="Times New Roman" w:cs="Times New Roman"/>
          <w:lang w:eastAsia="ko-KR"/>
        </w:rPr>
        <w:t>the</w:t>
      </w:r>
      <w:r w:rsidRPr="00757CE7">
        <w:rPr>
          <w:rFonts w:ascii="Times New Roman" w:eastAsia="Times New Roman,Batang" w:hAnsi="Times New Roman" w:cs="Times New Roman"/>
          <w:lang w:eastAsia="ko-KR"/>
        </w:rPr>
        <w:t xml:space="preserve"> annex of the Annual Report of the Administrator. </w:t>
      </w:r>
      <w:r>
        <w:rPr>
          <w:rFonts w:ascii="Times New Roman" w:eastAsia="Times New Roman,Batang" w:hAnsi="Times New Roman" w:cs="Times New Roman"/>
          <w:lang w:eastAsia="ko-KR"/>
        </w:rPr>
        <w:t>Key i</w:t>
      </w:r>
      <w:r w:rsidRPr="00757CE7">
        <w:rPr>
          <w:rFonts w:ascii="Times New Roman" w:eastAsia="Times New Roman,Batang" w:hAnsi="Times New Roman" w:cs="Times New Roman"/>
          <w:lang w:eastAsia="ko-KR"/>
        </w:rPr>
        <w:t>ndicators are:</w:t>
      </w:r>
    </w:p>
    <w:p w14:paraId="6125EEB1" w14:textId="77777777" w:rsidR="0050259B" w:rsidRDefault="0050259B" w:rsidP="0050259B">
      <w:pPr>
        <w:spacing w:after="0"/>
        <w:rPr>
          <w:rFonts w:ascii="Times New Roman" w:eastAsia="Times New Roman,Batang" w:hAnsi="Times New Roman" w:cs="Times New Roman"/>
          <w:lang w:eastAsia="ko-K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8365"/>
      </w:tblGrid>
      <w:tr w:rsidR="0050259B" w14:paraId="5F7B7AE7" w14:textId="77777777" w:rsidTr="00341018">
        <w:tc>
          <w:tcPr>
            <w:tcW w:w="985" w:type="dxa"/>
          </w:tcPr>
          <w:p w14:paraId="0742F1B8" w14:textId="77777777" w:rsidR="0050259B" w:rsidRDefault="0050259B" w:rsidP="00341018">
            <w:pPr>
              <w:jc w:val="center"/>
              <w:rPr>
                <w:rFonts w:ascii="Times New Roman" w:eastAsia="Times New Roman,Batang" w:hAnsi="Times New Roman" w:cs="Times New Roman"/>
                <w:lang w:eastAsia="ko-KR"/>
              </w:rPr>
            </w:pPr>
            <w:r>
              <w:rPr>
                <w:rFonts w:ascii="Times New Roman" w:eastAsia="Times New Roman,Batang" w:hAnsi="Times New Roman" w:cs="Times New Roman"/>
                <w:lang w:eastAsia="ko-KR"/>
              </w:rPr>
              <w:t>1.1.1</w:t>
            </w:r>
          </w:p>
        </w:tc>
        <w:tc>
          <w:tcPr>
            <w:tcW w:w="8365" w:type="dxa"/>
          </w:tcPr>
          <w:p w14:paraId="2E3FC529" w14:textId="77777777" w:rsidR="0050259B" w:rsidRDefault="0050259B" w:rsidP="00341018">
            <w:pPr>
              <w:rPr>
                <w:rFonts w:ascii="Times New Roman" w:eastAsia="Times New Roman,Batang" w:hAnsi="Times New Roman" w:cs="Times New Roman"/>
                <w:lang w:eastAsia="ko-KR"/>
              </w:rPr>
            </w:pPr>
            <w:r w:rsidRPr="00183AC5">
              <w:rPr>
                <w:rFonts w:ascii="Times New Roman" w:eastAsia="Times New Roman,Batang" w:hAnsi="Times New Roman" w:cs="Times New Roman"/>
                <w:lang w:eastAsia="ko-KR"/>
              </w:rPr>
              <w:t>Quality of fully costed evaluation plan (part of the Programme Quality Index)</w:t>
            </w:r>
            <w:r>
              <w:rPr>
                <w:rFonts w:ascii="Times New Roman" w:eastAsia="Times New Roman,Batang" w:hAnsi="Times New Roman" w:cs="Times New Roman"/>
                <w:lang w:eastAsia="ko-KR"/>
              </w:rPr>
              <w:t>.</w:t>
            </w:r>
          </w:p>
        </w:tc>
      </w:tr>
      <w:tr w:rsidR="0050259B" w14:paraId="6EF6D1E7" w14:textId="77777777" w:rsidTr="00341018">
        <w:tc>
          <w:tcPr>
            <w:tcW w:w="985" w:type="dxa"/>
          </w:tcPr>
          <w:p w14:paraId="1F26D4EC" w14:textId="77777777" w:rsidR="0050259B" w:rsidRDefault="0050259B" w:rsidP="00341018">
            <w:pPr>
              <w:jc w:val="center"/>
              <w:rPr>
                <w:rFonts w:ascii="Times New Roman" w:eastAsia="Times New Roman,Batang" w:hAnsi="Times New Roman" w:cs="Times New Roman"/>
                <w:lang w:eastAsia="ko-KR"/>
              </w:rPr>
            </w:pPr>
            <w:r>
              <w:rPr>
                <w:rFonts w:ascii="Times New Roman" w:eastAsia="Times New Roman,Batang" w:hAnsi="Times New Roman" w:cs="Times New Roman"/>
                <w:lang w:eastAsia="ko-KR"/>
              </w:rPr>
              <w:t>3.2.1</w:t>
            </w:r>
          </w:p>
        </w:tc>
        <w:tc>
          <w:tcPr>
            <w:tcW w:w="8365" w:type="dxa"/>
          </w:tcPr>
          <w:p w14:paraId="2FC335E1" w14:textId="77777777" w:rsidR="0050259B" w:rsidRDefault="0050259B" w:rsidP="00341018">
            <w:pPr>
              <w:rPr>
                <w:rFonts w:ascii="Times New Roman" w:eastAsia="Times New Roman,Batang" w:hAnsi="Times New Roman" w:cs="Times New Roman"/>
                <w:lang w:eastAsia="ko-KR"/>
              </w:rPr>
            </w:pPr>
            <w:r w:rsidRPr="00183AC5">
              <w:rPr>
                <w:rFonts w:ascii="Times New Roman" w:eastAsia="Times New Roman,Batang" w:hAnsi="Times New Roman" w:cs="Times New Roman"/>
                <w:lang w:eastAsia="ko-KR"/>
              </w:rPr>
              <w:t>Percentage of decentralized evaluations quality assessed which are highly satisfactory</w:t>
            </w:r>
            <w:r>
              <w:rPr>
                <w:rFonts w:ascii="Times New Roman" w:eastAsia="Times New Roman,Batang" w:hAnsi="Times New Roman" w:cs="Times New Roman"/>
                <w:lang w:eastAsia="ko-KR"/>
              </w:rPr>
              <w:t xml:space="preserve"> </w:t>
            </w:r>
            <w:r w:rsidRPr="00183AC5">
              <w:rPr>
                <w:rFonts w:ascii="Times New Roman" w:eastAsia="Times New Roman,Batang" w:hAnsi="Times New Roman" w:cs="Times New Roman"/>
                <w:lang w:eastAsia="ko-KR"/>
              </w:rPr>
              <w:t>or</w:t>
            </w:r>
            <w:r>
              <w:rPr>
                <w:rFonts w:ascii="Times New Roman" w:eastAsia="Times New Roman,Batang" w:hAnsi="Times New Roman" w:cs="Times New Roman"/>
                <w:lang w:eastAsia="ko-KR"/>
              </w:rPr>
              <w:t xml:space="preserve"> </w:t>
            </w:r>
            <w:r w:rsidRPr="00183AC5">
              <w:rPr>
                <w:rFonts w:ascii="Times New Roman" w:eastAsia="Times New Roman,Batang" w:hAnsi="Times New Roman" w:cs="Times New Roman"/>
                <w:lang w:eastAsia="ko-KR"/>
              </w:rPr>
              <w:t>satisfactory</w:t>
            </w:r>
            <w:r>
              <w:rPr>
                <w:rFonts w:ascii="Times New Roman" w:eastAsia="Times New Roman,Batang" w:hAnsi="Times New Roman" w:cs="Times New Roman"/>
                <w:lang w:eastAsia="ko-KR"/>
              </w:rPr>
              <w:t>.</w:t>
            </w:r>
          </w:p>
        </w:tc>
      </w:tr>
      <w:tr w:rsidR="0050259B" w14:paraId="37D3068A" w14:textId="77777777" w:rsidTr="00341018">
        <w:tc>
          <w:tcPr>
            <w:tcW w:w="985" w:type="dxa"/>
          </w:tcPr>
          <w:p w14:paraId="0DDF6A9B" w14:textId="77777777" w:rsidR="0050259B" w:rsidRDefault="0050259B" w:rsidP="00341018">
            <w:pPr>
              <w:jc w:val="center"/>
              <w:rPr>
                <w:rFonts w:ascii="Times New Roman" w:eastAsia="Times New Roman,Batang" w:hAnsi="Times New Roman" w:cs="Times New Roman"/>
                <w:lang w:eastAsia="ko-KR"/>
              </w:rPr>
            </w:pPr>
            <w:r>
              <w:rPr>
                <w:rFonts w:ascii="Times New Roman" w:eastAsia="Times New Roman,Batang" w:hAnsi="Times New Roman" w:cs="Times New Roman"/>
                <w:lang w:eastAsia="ko-KR"/>
              </w:rPr>
              <w:t>3.2.2</w:t>
            </w:r>
          </w:p>
        </w:tc>
        <w:tc>
          <w:tcPr>
            <w:tcW w:w="8365" w:type="dxa"/>
          </w:tcPr>
          <w:p w14:paraId="4F096E23" w14:textId="77777777" w:rsidR="0050259B" w:rsidRDefault="0050259B" w:rsidP="00341018">
            <w:pPr>
              <w:rPr>
                <w:rFonts w:ascii="Times New Roman" w:eastAsia="Times New Roman,Batang" w:hAnsi="Times New Roman" w:cs="Times New Roman"/>
                <w:lang w:eastAsia="ko-KR"/>
              </w:rPr>
            </w:pPr>
            <w:r>
              <w:rPr>
                <w:rFonts w:ascii="Times New Roman" w:eastAsia="Times New Roman,Batang" w:hAnsi="Times New Roman" w:cs="Times New Roman"/>
                <w:lang w:eastAsia="ko-KR"/>
              </w:rPr>
              <w:t>The implementation</w:t>
            </w:r>
            <w:r w:rsidRPr="00183AC5">
              <w:rPr>
                <w:rFonts w:ascii="Times New Roman" w:eastAsia="Times New Roman,Batang" w:hAnsi="Times New Roman" w:cs="Times New Roman"/>
                <w:lang w:eastAsia="ko-KR"/>
              </w:rPr>
              <w:t xml:space="preserve"> rate of actions in evaluation management responses</w:t>
            </w:r>
            <w:r>
              <w:rPr>
                <w:rFonts w:ascii="Times New Roman" w:eastAsia="Times New Roman,Batang" w:hAnsi="Times New Roman" w:cs="Times New Roman"/>
                <w:lang w:eastAsia="ko-KR"/>
              </w:rPr>
              <w:t>.</w:t>
            </w:r>
          </w:p>
        </w:tc>
      </w:tr>
      <w:tr w:rsidR="0050259B" w14:paraId="16CFEEAE" w14:textId="77777777" w:rsidTr="00341018">
        <w:tc>
          <w:tcPr>
            <w:tcW w:w="985" w:type="dxa"/>
          </w:tcPr>
          <w:p w14:paraId="35AE9D19" w14:textId="77777777" w:rsidR="0050259B" w:rsidRDefault="0050259B" w:rsidP="00341018">
            <w:pPr>
              <w:jc w:val="center"/>
              <w:rPr>
                <w:rFonts w:ascii="Times New Roman" w:eastAsia="Times New Roman,Batang" w:hAnsi="Times New Roman" w:cs="Times New Roman"/>
                <w:lang w:eastAsia="ko-KR"/>
              </w:rPr>
            </w:pPr>
            <w:r>
              <w:rPr>
                <w:rFonts w:ascii="Times New Roman" w:eastAsia="Times New Roman,Batang" w:hAnsi="Times New Roman" w:cs="Times New Roman"/>
                <w:lang w:eastAsia="ko-KR"/>
              </w:rPr>
              <w:t>7.1.1</w:t>
            </w:r>
          </w:p>
        </w:tc>
        <w:tc>
          <w:tcPr>
            <w:tcW w:w="8365" w:type="dxa"/>
          </w:tcPr>
          <w:p w14:paraId="06CD8E12" w14:textId="77777777" w:rsidR="0050259B" w:rsidRDefault="0050259B" w:rsidP="00341018">
            <w:pPr>
              <w:rPr>
                <w:rFonts w:ascii="Times New Roman" w:eastAsia="Times New Roman,Batang" w:hAnsi="Times New Roman" w:cs="Times New Roman"/>
                <w:lang w:eastAsia="ko-KR"/>
              </w:rPr>
            </w:pPr>
            <w:r w:rsidRPr="00183AC5">
              <w:rPr>
                <w:rFonts w:ascii="Times New Roman" w:eastAsia="Times New Roman,Batang" w:hAnsi="Times New Roman" w:cs="Times New Roman"/>
                <w:lang w:eastAsia="ko-KR"/>
              </w:rPr>
              <w:t>Percentage of impact, thematic, programme, outcome, and portfolio evaluations</w:t>
            </w:r>
            <w:r>
              <w:rPr>
                <w:rFonts w:ascii="Times New Roman" w:eastAsia="Times New Roman,Batang" w:hAnsi="Times New Roman" w:cs="Times New Roman"/>
                <w:lang w:eastAsia="ko-KR"/>
              </w:rPr>
              <w:t xml:space="preserve"> </w:t>
            </w:r>
            <w:r w:rsidRPr="00183AC5">
              <w:rPr>
                <w:rFonts w:ascii="Times New Roman" w:eastAsia="Times New Roman,Batang" w:hAnsi="Times New Roman" w:cs="Times New Roman"/>
                <w:lang w:eastAsia="ko-KR"/>
              </w:rPr>
              <w:t>out of total evaluation.</w:t>
            </w:r>
          </w:p>
        </w:tc>
      </w:tr>
    </w:tbl>
    <w:p w14:paraId="42044E25" w14:textId="77777777" w:rsidR="0050259B" w:rsidRPr="00183AC5" w:rsidRDefault="0050259B" w:rsidP="0050259B">
      <w:pPr>
        <w:spacing w:after="0" w:line="240" w:lineRule="auto"/>
        <w:jc w:val="both"/>
        <w:rPr>
          <w:rFonts w:ascii="Times New Roman" w:eastAsia="Times New Roman,Batang" w:hAnsi="Times New Roman" w:cs="Times New Roman"/>
          <w:lang w:eastAsia="ko-KR"/>
        </w:rPr>
      </w:pPr>
    </w:p>
    <w:p w14:paraId="3A36BF7A" w14:textId="77777777" w:rsidR="0050259B" w:rsidRPr="00757CE7" w:rsidRDefault="0050259B" w:rsidP="0050259B">
      <w:pPr>
        <w:pStyle w:val="ListParagraph"/>
        <w:numPr>
          <w:ilvl w:val="0"/>
          <w:numId w:val="25"/>
        </w:numPr>
        <w:tabs>
          <w:tab w:val="left" w:pos="450"/>
        </w:tabs>
        <w:spacing w:after="0" w:line="240" w:lineRule="auto"/>
        <w:ind w:left="0" w:firstLine="0"/>
        <w:jc w:val="both"/>
        <w:rPr>
          <w:rFonts w:ascii="Times New Roman" w:eastAsia="Times New Roman,Batang" w:hAnsi="Times New Roman" w:cs="Times New Roman"/>
          <w:lang w:eastAsia="ko-KR"/>
        </w:rPr>
      </w:pPr>
      <w:r w:rsidRPr="00757CE7">
        <w:rPr>
          <w:rFonts w:ascii="Times New Roman" w:eastAsia="Times New Roman,Batang" w:hAnsi="Times New Roman" w:cs="Times New Roman"/>
          <w:lang w:eastAsia="ko-KR"/>
        </w:rPr>
        <w:t>UNDP actions on strengthening decentralized evaluation</w:t>
      </w:r>
      <w:r>
        <w:rPr>
          <w:rFonts w:ascii="Times New Roman" w:eastAsia="Times New Roman,Batang" w:hAnsi="Times New Roman" w:cs="Times New Roman"/>
          <w:lang w:eastAsia="ko-KR"/>
        </w:rPr>
        <w:t xml:space="preserve"> for</w:t>
      </w:r>
      <w:r w:rsidRPr="00757CE7">
        <w:rPr>
          <w:rFonts w:ascii="Times New Roman" w:eastAsia="Times New Roman,Batang" w:hAnsi="Times New Roman" w:cs="Times New Roman"/>
          <w:lang w:eastAsia="ko-KR"/>
        </w:rPr>
        <w:t xml:space="preserve"> 2022-2025 are presented in the </w:t>
      </w:r>
      <w:r w:rsidRPr="00BD610F">
        <w:rPr>
          <w:rFonts w:ascii="Times New Roman" w:eastAsia="Times New Roman,Batang" w:hAnsi="Times New Roman" w:cs="Times New Roman"/>
          <w:lang w:eastAsia="ko-KR"/>
        </w:rPr>
        <w:t xml:space="preserve">report “Roadmap for strengthening decentralized evaluations in UNDP” </w:t>
      </w:r>
      <w:r w:rsidRPr="00757CE7">
        <w:rPr>
          <w:rFonts w:ascii="Times New Roman" w:eastAsia="Times New Roman,Batang" w:hAnsi="Times New Roman" w:cs="Times New Roman"/>
          <w:lang w:eastAsia="ko-KR"/>
        </w:rPr>
        <w:t xml:space="preserve">to the </w:t>
      </w:r>
      <w:r>
        <w:rPr>
          <w:rFonts w:ascii="Times New Roman" w:eastAsia="Times New Roman,Batang" w:hAnsi="Times New Roman" w:cs="Times New Roman"/>
          <w:lang w:eastAsia="ko-KR"/>
        </w:rPr>
        <w:t>E</w:t>
      </w:r>
      <w:r w:rsidRPr="00757CE7">
        <w:rPr>
          <w:rFonts w:ascii="Times New Roman" w:eastAsia="Times New Roman,Batang" w:hAnsi="Times New Roman" w:cs="Times New Roman"/>
          <w:lang w:eastAsia="ko-KR"/>
        </w:rPr>
        <w:t xml:space="preserve">xecutive </w:t>
      </w:r>
      <w:r>
        <w:rPr>
          <w:rFonts w:ascii="Times New Roman" w:eastAsia="Times New Roman,Batang" w:hAnsi="Times New Roman" w:cs="Times New Roman"/>
          <w:lang w:eastAsia="ko-KR"/>
        </w:rPr>
        <w:t>B</w:t>
      </w:r>
      <w:r w:rsidRPr="00757CE7">
        <w:rPr>
          <w:rFonts w:ascii="Times New Roman" w:eastAsia="Times New Roman,Batang" w:hAnsi="Times New Roman" w:cs="Times New Roman"/>
          <w:lang w:eastAsia="ko-KR"/>
        </w:rPr>
        <w:t>oard. An excerpt from that report is presented in</w:t>
      </w:r>
      <w:r>
        <w:rPr>
          <w:rFonts w:ascii="Times New Roman" w:eastAsia="Times New Roman,Batang" w:hAnsi="Times New Roman" w:cs="Times New Roman"/>
          <w:lang w:eastAsia="ko-KR"/>
        </w:rPr>
        <w:t xml:space="preserve"> Annex III</w:t>
      </w:r>
      <w:r w:rsidRPr="00757CE7">
        <w:rPr>
          <w:rFonts w:ascii="Times New Roman" w:eastAsia="Times New Roman,Batang" w:hAnsi="Times New Roman" w:cs="Times New Roman"/>
          <w:lang w:eastAsia="ko-KR"/>
        </w:rPr>
        <w:t>.</w:t>
      </w:r>
    </w:p>
    <w:p w14:paraId="615C8396" w14:textId="77777777" w:rsidR="0050259B" w:rsidRDefault="0050259B" w:rsidP="0050259B">
      <w:pPr>
        <w:spacing w:before="120" w:after="120" w:line="240" w:lineRule="auto"/>
        <w:jc w:val="both"/>
        <w:rPr>
          <w:rFonts w:ascii="Times New Roman" w:hAnsi="Times New Roman" w:cs="Times New Roman"/>
          <w:b/>
          <w:highlight w:val="yellow"/>
          <w:u w:val="single"/>
        </w:rPr>
      </w:pPr>
    </w:p>
    <w:p w14:paraId="3530EA48" w14:textId="77777777" w:rsidR="0050259B" w:rsidRPr="006D677C" w:rsidRDefault="0050259B" w:rsidP="0050259B">
      <w:pPr>
        <w:pStyle w:val="ListParagraph"/>
        <w:numPr>
          <w:ilvl w:val="0"/>
          <w:numId w:val="17"/>
        </w:numPr>
        <w:spacing w:after="0" w:line="240" w:lineRule="auto"/>
        <w:ind w:left="360" w:hanging="360"/>
        <w:jc w:val="both"/>
        <w:rPr>
          <w:rFonts w:ascii="Times New Roman" w:hAnsi="Times New Roman" w:cs="Times New Roman"/>
          <w:b/>
        </w:rPr>
      </w:pPr>
      <w:r>
        <w:rPr>
          <w:rFonts w:ascii="Times New Roman" w:hAnsi="Times New Roman" w:cs="Times New Roman"/>
          <w:b/>
        </w:rPr>
        <w:t>INVESTMENT IN EVALUATION</w:t>
      </w:r>
    </w:p>
    <w:p w14:paraId="3098AF5D" w14:textId="77777777" w:rsidR="0050259B" w:rsidRPr="006D677C" w:rsidRDefault="0050259B" w:rsidP="0050259B">
      <w:pPr>
        <w:pStyle w:val="ListParagraph"/>
        <w:spacing w:after="0" w:line="240" w:lineRule="auto"/>
        <w:ind w:left="810" w:firstLine="270"/>
        <w:jc w:val="both"/>
        <w:rPr>
          <w:rFonts w:ascii="Times New Roman" w:hAnsi="Times New Roman" w:cs="Times New Roman"/>
          <w:bCs/>
        </w:rPr>
      </w:pPr>
      <w:r w:rsidRPr="006D677C">
        <w:rPr>
          <w:rFonts w:ascii="Times New Roman" w:hAnsi="Times New Roman" w:cs="Times New Roman"/>
          <w:bCs/>
        </w:rPr>
        <w:t xml:space="preserve">                                                                                                                                                       </w:t>
      </w:r>
    </w:p>
    <w:p w14:paraId="6C8C4924" w14:textId="77777777" w:rsidR="0050259B" w:rsidRPr="00901B51"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color w:val="000000"/>
        </w:rPr>
      </w:pPr>
      <w:r w:rsidRPr="00901B51">
        <w:rPr>
          <w:rFonts w:ascii="Times New Roman" w:hAnsi="Times New Roman" w:cs="Times New Roman"/>
          <w:color w:val="000000"/>
        </w:rPr>
        <w:t xml:space="preserve">In 2021, UNDP evaluation expenditure was $16.4 million US dollars whereas </w:t>
      </w:r>
      <w:r>
        <w:rPr>
          <w:rFonts w:ascii="Times New Roman" w:hAnsi="Times New Roman" w:cs="Times New Roman"/>
          <w:color w:val="000000"/>
        </w:rPr>
        <w:t>IEO</w:t>
      </w:r>
      <w:r w:rsidRPr="00901B51">
        <w:rPr>
          <w:rFonts w:ascii="Times New Roman" w:hAnsi="Times New Roman" w:cs="Times New Roman"/>
          <w:color w:val="000000"/>
        </w:rPr>
        <w:t xml:space="preserve"> evaluation expenditure was $11.4 million. The share of UNDP programme expenditure </w:t>
      </w:r>
      <w:r w:rsidRPr="00901B51">
        <w:rPr>
          <w:rFonts w:ascii="Times New Roman" w:hAnsi="Times New Roman" w:cs="Times New Roman"/>
        </w:rPr>
        <w:t>(core and non-core)</w:t>
      </w:r>
      <w:r w:rsidRPr="00901B51">
        <w:rPr>
          <w:rFonts w:ascii="Times New Roman" w:hAnsi="Times New Roman" w:cs="Times New Roman"/>
          <w:color w:val="000000"/>
        </w:rPr>
        <w:t xml:space="preserve"> for evaluation was 0.58 per</w:t>
      </w:r>
      <w:r>
        <w:rPr>
          <w:rFonts w:ascii="Times New Roman" w:hAnsi="Times New Roman" w:cs="Times New Roman"/>
          <w:color w:val="000000"/>
        </w:rPr>
        <w:t xml:space="preserve"> </w:t>
      </w:r>
      <w:r w:rsidRPr="00901B51">
        <w:rPr>
          <w:rFonts w:ascii="Times New Roman" w:hAnsi="Times New Roman" w:cs="Times New Roman"/>
          <w:color w:val="000000"/>
        </w:rPr>
        <w:t>cent (0.57 per</w:t>
      </w:r>
      <w:r>
        <w:rPr>
          <w:rFonts w:ascii="Times New Roman" w:hAnsi="Times New Roman" w:cs="Times New Roman"/>
          <w:color w:val="000000"/>
        </w:rPr>
        <w:t xml:space="preserve"> </w:t>
      </w:r>
      <w:r w:rsidRPr="00901B51">
        <w:rPr>
          <w:rFonts w:ascii="Times New Roman" w:hAnsi="Times New Roman" w:cs="Times New Roman"/>
          <w:color w:val="000000"/>
        </w:rPr>
        <w:t xml:space="preserve">cent in 2020), representing a gap of </w:t>
      </w:r>
      <w:r>
        <w:rPr>
          <w:rFonts w:ascii="Times New Roman" w:hAnsi="Times New Roman" w:cs="Times New Roman"/>
          <w:color w:val="000000"/>
        </w:rPr>
        <w:t xml:space="preserve">the </w:t>
      </w:r>
      <w:r w:rsidRPr="00901B51">
        <w:rPr>
          <w:rFonts w:ascii="Times New Roman" w:hAnsi="Times New Roman" w:cs="Times New Roman"/>
          <w:color w:val="000000"/>
        </w:rPr>
        <w:t>one per</w:t>
      </w:r>
      <w:r>
        <w:rPr>
          <w:rFonts w:ascii="Times New Roman" w:hAnsi="Times New Roman" w:cs="Times New Roman"/>
          <w:color w:val="000000"/>
        </w:rPr>
        <w:t xml:space="preserve"> </w:t>
      </w:r>
      <w:r w:rsidRPr="00901B51">
        <w:rPr>
          <w:rFonts w:ascii="Times New Roman" w:hAnsi="Times New Roman" w:cs="Times New Roman"/>
          <w:color w:val="000000"/>
        </w:rPr>
        <w:t xml:space="preserve">cent prescribed in the 2019 UNDP Evaluation Policy. </w:t>
      </w:r>
    </w:p>
    <w:p w14:paraId="5CDED96C" w14:textId="77777777" w:rsidR="0050259B" w:rsidRPr="00901B51" w:rsidRDefault="0050259B" w:rsidP="0050259B">
      <w:pPr>
        <w:tabs>
          <w:tab w:val="left" w:pos="450"/>
        </w:tabs>
        <w:spacing w:after="0" w:line="240" w:lineRule="auto"/>
        <w:jc w:val="both"/>
        <w:rPr>
          <w:rFonts w:ascii="Times New Roman" w:hAnsi="Times New Roman" w:cs="Times New Roman"/>
          <w:color w:val="000000"/>
        </w:rPr>
      </w:pPr>
    </w:p>
    <w:p w14:paraId="6C47DB13" w14:textId="77777777" w:rsidR="0050259B" w:rsidRPr="00901B51" w:rsidRDefault="0050259B" w:rsidP="0050259B">
      <w:pPr>
        <w:pStyle w:val="ListParagraph"/>
        <w:numPr>
          <w:ilvl w:val="0"/>
          <w:numId w:val="25"/>
        </w:numPr>
        <w:tabs>
          <w:tab w:val="left" w:pos="450"/>
        </w:tabs>
        <w:spacing w:after="0" w:line="240" w:lineRule="auto"/>
        <w:ind w:left="0" w:firstLine="0"/>
        <w:jc w:val="both"/>
        <w:rPr>
          <w:rFonts w:ascii="Times New Roman" w:hAnsi="Times New Roman" w:cs="Times New Roman"/>
          <w:bCs/>
        </w:rPr>
      </w:pPr>
      <w:r w:rsidRPr="00901B51">
        <w:rPr>
          <w:rFonts w:ascii="Times New Roman" w:hAnsi="Times New Roman" w:cs="Times New Roman"/>
          <w:bCs/>
        </w:rPr>
        <w:t>As guided by the revised Evaluation Policy, UNDP financial investment in the evaluation was $27.8 million US dollars in 2021</w:t>
      </w:r>
      <w:r>
        <w:rPr>
          <w:rFonts w:ascii="Times New Roman" w:hAnsi="Times New Roman" w:cs="Times New Roman"/>
          <w:bCs/>
        </w:rPr>
        <w:t xml:space="preserve"> (vs. </w:t>
      </w:r>
      <w:r w:rsidRPr="00901B51">
        <w:rPr>
          <w:rFonts w:ascii="Times New Roman" w:hAnsi="Times New Roman" w:cs="Times New Roman"/>
          <w:bCs/>
        </w:rPr>
        <w:t>25.7 million in 2020</w:t>
      </w:r>
      <w:r>
        <w:rPr>
          <w:rFonts w:ascii="Times New Roman" w:hAnsi="Times New Roman" w:cs="Times New Roman"/>
          <w:bCs/>
        </w:rPr>
        <w:t>)</w:t>
      </w:r>
      <w:r w:rsidRPr="00901B51">
        <w:rPr>
          <w:rFonts w:ascii="Times New Roman" w:hAnsi="Times New Roman" w:cs="Times New Roman"/>
          <w:bCs/>
        </w:rPr>
        <w:t>. UNDP allocation to the IEO increased from $11.2 million US dollars in 2020 to $12 million in 2021, reflecting 0.24 per</w:t>
      </w:r>
      <w:r>
        <w:rPr>
          <w:rFonts w:ascii="Times New Roman" w:hAnsi="Times New Roman" w:cs="Times New Roman"/>
          <w:bCs/>
        </w:rPr>
        <w:t xml:space="preserve"> </w:t>
      </w:r>
      <w:r w:rsidRPr="00901B51">
        <w:rPr>
          <w:rFonts w:ascii="Times New Roman" w:hAnsi="Times New Roman" w:cs="Times New Roman"/>
          <w:bCs/>
        </w:rPr>
        <w:t xml:space="preserve">cent of UNDP programmatic expenditure in 2021.  </w:t>
      </w:r>
    </w:p>
    <w:p w14:paraId="1BAC55C0" w14:textId="77777777" w:rsidR="0050259B" w:rsidRPr="00901B51" w:rsidRDefault="0050259B" w:rsidP="0050259B">
      <w:pPr>
        <w:spacing w:after="0" w:line="240" w:lineRule="auto"/>
        <w:jc w:val="both"/>
        <w:rPr>
          <w:rFonts w:ascii="Times New Roman" w:hAnsi="Times New Roman" w:cs="Times New Roman"/>
          <w:bCs/>
        </w:rPr>
      </w:pPr>
    </w:p>
    <w:p w14:paraId="3D626551" w14:textId="77777777" w:rsidR="0050259B" w:rsidRPr="001665A1" w:rsidRDefault="0050259B" w:rsidP="0050259B">
      <w:pPr>
        <w:pStyle w:val="ListParagraph"/>
        <w:numPr>
          <w:ilvl w:val="0"/>
          <w:numId w:val="25"/>
        </w:numPr>
        <w:tabs>
          <w:tab w:val="left" w:pos="450"/>
          <w:tab w:val="left" w:pos="1710"/>
        </w:tabs>
        <w:spacing w:after="0" w:line="240" w:lineRule="auto"/>
        <w:ind w:left="0" w:firstLine="0"/>
        <w:jc w:val="both"/>
        <w:rPr>
          <w:rFonts w:ascii="Times New Roman" w:hAnsi="Times New Roman" w:cs="Times New Roman"/>
        </w:rPr>
      </w:pPr>
      <w:r w:rsidRPr="001665A1">
        <w:rPr>
          <w:rFonts w:ascii="Times New Roman" w:hAnsi="Times New Roman" w:cs="Times New Roman"/>
          <w:bCs/>
        </w:rPr>
        <w:t>UNDP country offices spent $14.27 million US dollars on evaluation in 2021</w:t>
      </w:r>
      <w:r>
        <w:rPr>
          <w:rFonts w:ascii="Times New Roman" w:hAnsi="Times New Roman" w:cs="Times New Roman"/>
          <w:bCs/>
        </w:rPr>
        <w:t>, which</w:t>
      </w:r>
      <w:r w:rsidRPr="001665A1">
        <w:rPr>
          <w:rFonts w:ascii="Times New Roman" w:hAnsi="Times New Roman" w:cs="Times New Roman"/>
          <w:bCs/>
        </w:rPr>
        <w:t xml:space="preserve"> included evaluation implementation ($9.04 million), staff ($5.16 million), and additional evaluation-related costs ($0.07 million). Headquarters and regional bureaux expenditures for implementing</w:t>
      </w:r>
      <w:r w:rsidRPr="001665A1">
        <w:rPr>
          <w:rFonts w:ascii="Times New Roman" w:hAnsi="Times New Roman" w:cs="Times New Roman"/>
        </w:rPr>
        <w:t xml:space="preserve">, supporting, and overseeing evaluation amounted to $2.13 million US dollars, including evaluation ($0.8 million) and staff costs ($1.32 million), and additional evaluation expenditures ($0.015 million). </w:t>
      </w:r>
    </w:p>
    <w:p w14:paraId="02D5A19B" w14:textId="544AB993" w:rsidR="0050259B" w:rsidRDefault="0050259B" w:rsidP="0050259B">
      <w:pPr>
        <w:rPr>
          <w:rFonts w:ascii="Times New Roman" w:hAnsi="Times New Roman" w:cs="Times New Roman"/>
        </w:rPr>
      </w:pPr>
    </w:p>
    <w:p w14:paraId="58A56E3B" w14:textId="77777777" w:rsidR="0050259B" w:rsidRDefault="0050259B" w:rsidP="00BC14F5">
      <w:pPr>
        <w:pStyle w:val="ListParagraph"/>
        <w:numPr>
          <w:ilvl w:val="0"/>
          <w:numId w:val="17"/>
        </w:numPr>
        <w:tabs>
          <w:tab w:val="left" w:pos="180"/>
        </w:tabs>
        <w:ind w:left="450" w:hanging="450"/>
        <w:rPr>
          <w:rFonts w:ascii="Times New Roman" w:hAnsi="Times New Roman" w:cs="Times New Roman"/>
          <w:b/>
          <w:bCs/>
          <w:color w:val="000000" w:themeColor="text1"/>
        </w:rPr>
      </w:pPr>
      <w:r w:rsidRPr="001665A1">
        <w:rPr>
          <w:rFonts w:ascii="Times New Roman" w:hAnsi="Times New Roman" w:cs="Times New Roman"/>
          <w:b/>
          <w:bCs/>
          <w:color w:val="000000" w:themeColor="text1"/>
        </w:rPr>
        <w:lastRenderedPageBreak/>
        <w:t>CONCLUSION AND THE WAY FORWARD</w:t>
      </w:r>
    </w:p>
    <w:p w14:paraId="5D82ACBE" w14:textId="77777777" w:rsidR="0050259B" w:rsidRPr="001665A1" w:rsidRDefault="0050259B" w:rsidP="0050259B">
      <w:pPr>
        <w:pStyle w:val="ListParagraph"/>
        <w:tabs>
          <w:tab w:val="left" w:pos="180"/>
        </w:tabs>
        <w:ind w:left="450"/>
        <w:rPr>
          <w:rFonts w:ascii="Times New Roman" w:hAnsi="Times New Roman" w:cs="Times New Roman"/>
          <w:b/>
          <w:bCs/>
          <w:color w:val="000000" w:themeColor="text1"/>
        </w:rPr>
      </w:pPr>
    </w:p>
    <w:p w14:paraId="7929E7A9" w14:textId="237EBFE1" w:rsidR="0050259B" w:rsidRPr="00901B51" w:rsidRDefault="00281987" w:rsidP="0050259B">
      <w:pPr>
        <w:pStyle w:val="ListParagraph"/>
        <w:numPr>
          <w:ilvl w:val="0"/>
          <w:numId w:val="25"/>
        </w:numPr>
        <w:tabs>
          <w:tab w:val="left" w:pos="0"/>
          <w:tab w:val="left" w:pos="450"/>
        </w:tabs>
        <w:spacing w:after="0" w:line="240" w:lineRule="auto"/>
        <w:ind w:left="0" w:firstLine="0"/>
        <w:jc w:val="both"/>
        <w:rPr>
          <w:rFonts w:ascii="Times New Roman" w:hAnsi="Times New Roman" w:cs="Times New Roman"/>
        </w:rPr>
      </w:pPr>
      <w:r>
        <w:rPr>
          <w:rFonts w:ascii="Times New Roman" w:hAnsi="Times New Roman" w:cs="Times New Roman"/>
        </w:rPr>
        <w:t xml:space="preserve">As UNDP </w:t>
      </w:r>
      <w:r w:rsidR="00F62573">
        <w:rPr>
          <w:rFonts w:ascii="Times New Roman" w:hAnsi="Times New Roman" w:cs="Times New Roman"/>
        </w:rPr>
        <w:t>aspir</w:t>
      </w:r>
      <w:r w:rsidR="00F87E0D">
        <w:rPr>
          <w:rFonts w:ascii="Times New Roman" w:hAnsi="Times New Roman" w:cs="Times New Roman"/>
        </w:rPr>
        <w:t xml:space="preserve">es </w:t>
      </w:r>
      <w:r w:rsidR="00F62573">
        <w:rPr>
          <w:rFonts w:ascii="Times New Roman" w:hAnsi="Times New Roman" w:cs="Times New Roman"/>
        </w:rPr>
        <w:t xml:space="preserve">to </w:t>
      </w:r>
      <w:r w:rsidR="00676EE1">
        <w:rPr>
          <w:rFonts w:ascii="Times New Roman" w:hAnsi="Times New Roman" w:cs="Times New Roman"/>
        </w:rPr>
        <w:t>shift</w:t>
      </w:r>
      <w:r w:rsidR="00F87E0D">
        <w:rPr>
          <w:rFonts w:ascii="Times New Roman" w:hAnsi="Times New Roman" w:cs="Times New Roman"/>
        </w:rPr>
        <w:t xml:space="preserve"> its culture</w:t>
      </w:r>
      <w:r w:rsidR="00676EE1">
        <w:rPr>
          <w:rFonts w:ascii="Times New Roman" w:hAnsi="Times New Roman" w:cs="Times New Roman"/>
        </w:rPr>
        <w:t xml:space="preserve"> </w:t>
      </w:r>
      <w:r w:rsidR="00A21BA3">
        <w:rPr>
          <w:rFonts w:ascii="Times New Roman" w:hAnsi="Times New Roman" w:cs="Times New Roman"/>
        </w:rPr>
        <w:t>from p</w:t>
      </w:r>
      <w:r w:rsidR="00A21BA3" w:rsidRPr="00231620">
        <w:rPr>
          <w:rFonts w:ascii="Times New Roman" w:hAnsi="Times New Roman" w:cs="Times New Roman"/>
        </w:rPr>
        <w:t xml:space="preserve">roject-driven to more holistic </w:t>
      </w:r>
      <w:r w:rsidR="00F62573">
        <w:rPr>
          <w:rFonts w:ascii="Times New Roman" w:hAnsi="Times New Roman" w:cs="Times New Roman"/>
        </w:rPr>
        <w:t xml:space="preserve">longer-term </w:t>
      </w:r>
      <w:r w:rsidR="00A21BA3" w:rsidRPr="00231620">
        <w:rPr>
          <w:rFonts w:ascii="Times New Roman" w:hAnsi="Times New Roman" w:cs="Times New Roman"/>
        </w:rPr>
        <w:t>portfolio approaches</w:t>
      </w:r>
      <w:r w:rsidR="00F62573">
        <w:rPr>
          <w:rFonts w:ascii="Times New Roman" w:hAnsi="Times New Roman" w:cs="Times New Roman"/>
        </w:rPr>
        <w:t xml:space="preserve">, </w:t>
      </w:r>
      <w:r w:rsidR="0050259B" w:rsidRPr="00901B51">
        <w:rPr>
          <w:rFonts w:ascii="Times New Roman" w:hAnsi="Times New Roman" w:cs="Times New Roman"/>
        </w:rPr>
        <w:t xml:space="preserve">UNDP continues to value the </w:t>
      </w:r>
      <w:r w:rsidR="0050259B">
        <w:rPr>
          <w:rFonts w:ascii="Times New Roman" w:hAnsi="Times New Roman" w:cs="Times New Roman"/>
        </w:rPr>
        <w:t>IEO</w:t>
      </w:r>
      <w:r w:rsidR="0050259B" w:rsidRPr="00901B51">
        <w:rPr>
          <w:rFonts w:ascii="Times New Roman" w:hAnsi="Times New Roman" w:cs="Times New Roman"/>
        </w:rPr>
        <w:t xml:space="preserve"> commitment to adopting a systems approach to evaluation, strengthening both decentralized and independent evaluation functions, and adhering closely to United Nations values.</w:t>
      </w:r>
    </w:p>
    <w:p w14:paraId="57A93B26" w14:textId="77777777" w:rsidR="0050259B" w:rsidRPr="00770D8F" w:rsidRDefault="0050259B" w:rsidP="0050259B">
      <w:pPr>
        <w:tabs>
          <w:tab w:val="left" w:pos="0"/>
          <w:tab w:val="left" w:pos="450"/>
        </w:tabs>
        <w:spacing w:after="0" w:line="240" w:lineRule="auto"/>
        <w:jc w:val="both"/>
        <w:rPr>
          <w:rFonts w:ascii="Times New Roman" w:hAnsi="Times New Roman" w:cs="Times New Roman"/>
        </w:rPr>
      </w:pPr>
    </w:p>
    <w:p w14:paraId="124F0B48" w14:textId="77777777" w:rsidR="0050259B" w:rsidRPr="00901B51" w:rsidRDefault="0050259B" w:rsidP="0050259B">
      <w:pPr>
        <w:pStyle w:val="ListParagraph"/>
        <w:numPr>
          <w:ilvl w:val="0"/>
          <w:numId w:val="25"/>
        </w:numPr>
        <w:tabs>
          <w:tab w:val="left" w:pos="0"/>
          <w:tab w:val="left" w:pos="450"/>
        </w:tabs>
        <w:spacing w:after="0" w:line="240" w:lineRule="auto"/>
        <w:ind w:left="0" w:firstLine="0"/>
        <w:jc w:val="both"/>
        <w:rPr>
          <w:rFonts w:ascii="Times New Roman" w:hAnsi="Times New Roman"/>
        </w:rPr>
      </w:pPr>
      <w:r w:rsidRPr="00901B51">
        <w:rPr>
          <w:rFonts w:ascii="Times New Roman" w:hAnsi="Times New Roman"/>
        </w:rPr>
        <w:t xml:space="preserve">While several positive trends were noted in the Annual Report on Evaluation 2021, such as the steady improvement of the implementation and quality of decentralized evaluations, several challenges remained.  As summarized in this report, UNDP took several decisive actions to enhance UNDP evaluation performance, including the institutionalization of the quarterly </w:t>
      </w:r>
      <w:r>
        <w:rPr>
          <w:rFonts w:ascii="Times New Roman" w:hAnsi="Times New Roman"/>
        </w:rPr>
        <w:t xml:space="preserve">evaluation </w:t>
      </w:r>
      <w:r w:rsidRPr="00901B51">
        <w:rPr>
          <w:rFonts w:ascii="Times New Roman" w:hAnsi="Times New Roman"/>
        </w:rPr>
        <w:t>review of KPIs by senior management and the development of bureau</w:t>
      </w:r>
      <w:r>
        <w:rPr>
          <w:rFonts w:ascii="Times New Roman" w:hAnsi="Times New Roman"/>
        </w:rPr>
        <w:t>x</w:t>
      </w:r>
      <w:r w:rsidRPr="00901B51">
        <w:rPr>
          <w:rFonts w:ascii="Times New Roman" w:hAnsi="Times New Roman"/>
        </w:rPr>
        <w:t xml:space="preserve">-specific strategies to enhance decentralized evaluations.  </w:t>
      </w:r>
    </w:p>
    <w:p w14:paraId="7D7080E6" w14:textId="77777777" w:rsidR="0050259B" w:rsidRDefault="0050259B" w:rsidP="0050259B">
      <w:pPr>
        <w:tabs>
          <w:tab w:val="left" w:pos="0"/>
          <w:tab w:val="left" w:pos="450"/>
        </w:tabs>
        <w:spacing w:after="0" w:line="240" w:lineRule="auto"/>
        <w:jc w:val="both"/>
        <w:rPr>
          <w:rFonts w:ascii="Times New Roman" w:hAnsi="Times New Roman"/>
        </w:rPr>
      </w:pPr>
    </w:p>
    <w:p w14:paraId="600DFD26" w14:textId="77777777" w:rsidR="0050259B" w:rsidRPr="00901B51" w:rsidRDefault="0050259B" w:rsidP="0050259B">
      <w:pPr>
        <w:pStyle w:val="ListParagraph"/>
        <w:numPr>
          <w:ilvl w:val="0"/>
          <w:numId w:val="25"/>
        </w:numPr>
        <w:tabs>
          <w:tab w:val="left" w:pos="0"/>
          <w:tab w:val="left" w:pos="450"/>
        </w:tabs>
        <w:spacing w:after="0" w:line="240" w:lineRule="auto"/>
        <w:ind w:left="0" w:firstLine="0"/>
        <w:jc w:val="both"/>
        <w:rPr>
          <w:rFonts w:ascii="Times New Roman" w:hAnsi="Times New Roman" w:cs="Times New Roman"/>
        </w:rPr>
      </w:pPr>
      <w:r w:rsidRPr="00901B51">
        <w:rPr>
          <w:rFonts w:ascii="Times New Roman" w:hAnsi="Times New Roman"/>
        </w:rPr>
        <w:t xml:space="preserve">At the first regular session of 2022, the Executive Board requested UNDP management and </w:t>
      </w:r>
      <w:r>
        <w:rPr>
          <w:rFonts w:ascii="Times New Roman" w:hAnsi="Times New Roman"/>
        </w:rPr>
        <w:t>IEO</w:t>
      </w:r>
      <w:r w:rsidRPr="00901B51">
        <w:rPr>
          <w:rFonts w:ascii="Times New Roman" w:hAnsi="Times New Roman"/>
        </w:rPr>
        <w:t xml:space="preserve"> develop “</w:t>
      </w:r>
      <w:r w:rsidRPr="00901B51">
        <w:rPr>
          <w:rFonts w:ascii="Times New Roman" w:hAnsi="Times New Roman"/>
          <w:i/>
          <w:iCs/>
        </w:rPr>
        <w:t>a plan to improve the independence, reliability, and quality of decentralized evaluations and to present it to the Executive Board at its annual session 2022</w:t>
      </w:r>
      <w:r w:rsidRPr="00901B51">
        <w:rPr>
          <w:rFonts w:ascii="Times New Roman" w:hAnsi="Times New Roman"/>
        </w:rPr>
        <w:t>.”</w:t>
      </w:r>
      <w:r w:rsidRPr="00770D8F">
        <w:rPr>
          <w:rStyle w:val="FootnoteReference"/>
          <w:rFonts w:ascii="Times New Roman" w:hAnsi="Times New Roman"/>
        </w:rPr>
        <w:footnoteReference w:id="8"/>
      </w:r>
      <w:r w:rsidRPr="00901B51">
        <w:rPr>
          <w:rFonts w:ascii="Times New Roman" w:hAnsi="Times New Roman" w:cs="Times New Roman"/>
        </w:rPr>
        <w:t xml:space="preserve">  </w:t>
      </w:r>
      <w:r>
        <w:rPr>
          <w:rFonts w:ascii="Times New Roman" w:hAnsi="Times New Roman" w:cs="Times New Roman"/>
        </w:rPr>
        <w:t xml:space="preserve">As such, </w:t>
      </w:r>
      <w:r w:rsidRPr="00901B51">
        <w:rPr>
          <w:rFonts w:ascii="Times New Roman" w:hAnsi="Times New Roman" w:cs="Times New Roman"/>
        </w:rPr>
        <w:t>UNDP</w:t>
      </w:r>
      <w:r>
        <w:rPr>
          <w:rFonts w:ascii="Times New Roman" w:hAnsi="Times New Roman" w:cs="Times New Roman"/>
        </w:rPr>
        <w:t xml:space="preserve"> and IEO are</w:t>
      </w:r>
      <w:r w:rsidRPr="00901B51">
        <w:rPr>
          <w:rFonts w:ascii="Times New Roman" w:hAnsi="Times New Roman" w:cs="Times New Roman"/>
        </w:rPr>
        <w:t xml:space="preserve"> pleased to present the “</w:t>
      </w:r>
      <w:r w:rsidRPr="00901B51">
        <w:rPr>
          <w:rFonts w:ascii="Times New Roman" w:hAnsi="Times New Roman"/>
          <w:i/>
          <w:iCs/>
        </w:rPr>
        <w:t xml:space="preserve">Roadmap for strengthening decentralized evaluations in UNDP” </w:t>
      </w:r>
      <w:r w:rsidRPr="00901B51">
        <w:rPr>
          <w:rFonts w:ascii="Times New Roman" w:hAnsi="Times New Roman"/>
        </w:rPr>
        <w:t xml:space="preserve">to the Executive Board in the annual session of 2022.  </w:t>
      </w:r>
    </w:p>
    <w:p w14:paraId="13B595EA" w14:textId="77777777" w:rsidR="0050259B" w:rsidRPr="007B5F2E" w:rsidRDefault="0050259B" w:rsidP="0050259B">
      <w:pPr>
        <w:tabs>
          <w:tab w:val="left" w:pos="0"/>
          <w:tab w:val="left" w:pos="450"/>
        </w:tabs>
        <w:spacing w:after="0" w:line="240" w:lineRule="auto"/>
        <w:jc w:val="both"/>
        <w:rPr>
          <w:rFonts w:ascii="Times New Roman" w:hAnsi="Times New Roman" w:cs="Times New Roman"/>
        </w:rPr>
      </w:pPr>
    </w:p>
    <w:p w14:paraId="59EEAE7E" w14:textId="128AC97D" w:rsidR="0050259B" w:rsidRPr="0050259B" w:rsidRDefault="0050259B" w:rsidP="0050259B">
      <w:pPr>
        <w:pStyle w:val="ListParagraph"/>
        <w:numPr>
          <w:ilvl w:val="0"/>
          <w:numId w:val="25"/>
        </w:numPr>
        <w:tabs>
          <w:tab w:val="left" w:pos="0"/>
          <w:tab w:val="left" w:pos="450"/>
        </w:tabs>
        <w:spacing w:after="0" w:line="240" w:lineRule="auto"/>
        <w:ind w:left="0" w:firstLine="0"/>
        <w:jc w:val="both"/>
        <w:rPr>
          <w:rFonts w:ascii="Times New Roman" w:eastAsia="Times New Roman,Batang" w:hAnsi="Times New Roman" w:cs="Times New Roman"/>
          <w:lang w:eastAsia="ko-KR"/>
        </w:rPr>
      </w:pPr>
      <w:r w:rsidRPr="00901B51">
        <w:rPr>
          <w:rFonts w:ascii="Times New Roman" w:hAnsi="Times New Roman" w:cs="Times New Roman"/>
        </w:rPr>
        <w:t xml:space="preserve">Evaluation will continue to be an area where critical lessons inform UNDP decisions and choices to improve programme quality and results around the world. UNDP looks forward to further strengthening its partnership with </w:t>
      </w:r>
      <w:r>
        <w:rPr>
          <w:rFonts w:ascii="Times New Roman" w:hAnsi="Times New Roman" w:cs="Times New Roman"/>
        </w:rPr>
        <w:t>IEO</w:t>
      </w:r>
      <w:r w:rsidRPr="00901B51">
        <w:rPr>
          <w:rFonts w:ascii="Times New Roman" w:hAnsi="Times New Roman" w:cs="Times New Roman"/>
        </w:rPr>
        <w:t xml:space="preserve"> </w:t>
      </w:r>
      <w:r>
        <w:rPr>
          <w:rFonts w:ascii="Times New Roman" w:hAnsi="Times New Roman" w:cs="Times New Roman"/>
        </w:rPr>
        <w:t>in</w:t>
      </w:r>
      <w:r w:rsidRPr="00901B51">
        <w:rPr>
          <w:rFonts w:ascii="Times New Roman" w:hAnsi="Times New Roman" w:cs="Times New Roman"/>
        </w:rPr>
        <w:t xml:space="preserve"> implement</w:t>
      </w:r>
      <w:r>
        <w:rPr>
          <w:rFonts w:ascii="Times New Roman" w:hAnsi="Times New Roman" w:cs="Times New Roman"/>
        </w:rPr>
        <w:t>ing</w:t>
      </w:r>
      <w:r w:rsidRPr="00901B51">
        <w:rPr>
          <w:rFonts w:ascii="Times New Roman" w:hAnsi="Times New Roman" w:cs="Times New Roman"/>
        </w:rPr>
        <w:t xml:space="preserve"> planned actions articulated in the roadmap with </w:t>
      </w:r>
      <w:r>
        <w:rPr>
          <w:rFonts w:ascii="Times New Roman" w:hAnsi="Times New Roman" w:cs="Times New Roman"/>
        </w:rPr>
        <w:t>the</w:t>
      </w:r>
      <w:r w:rsidRPr="00901B51">
        <w:rPr>
          <w:rFonts w:ascii="Times New Roman" w:hAnsi="Times New Roman" w:cs="Times New Roman"/>
        </w:rPr>
        <w:t xml:space="preserve"> aim to reinforce management accountability and responsibilities for improved evaluation planning, implementation, and decision making.  </w:t>
      </w:r>
      <w:r w:rsidRPr="00901B51">
        <w:rPr>
          <w:rFonts w:ascii="Times New Roman" w:eastAsia="Times New Roman,Batang" w:hAnsi="Times New Roman" w:cs="Times New Roman"/>
          <w:lang w:eastAsia="ko-KR"/>
        </w:rPr>
        <w:t xml:space="preserve"> </w:t>
      </w:r>
    </w:p>
    <w:p w14:paraId="4F8C2E3E" w14:textId="67628597" w:rsidR="009A66FB" w:rsidRDefault="009A66FB">
      <w:pPr>
        <w:rPr>
          <w:rFonts w:ascii="Times New Roman" w:eastAsia="Times New Roman,Batang" w:hAnsi="Times New Roman" w:cs="Times New Roman"/>
          <w:b/>
          <w:bCs/>
          <w:color w:val="000000" w:themeColor="text1"/>
          <w:sz w:val="40"/>
          <w:szCs w:val="40"/>
          <w:lang w:eastAsia="ko-KR"/>
        </w:rPr>
      </w:pPr>
      <w:r>
        <w:rPr>
          <w:rFonts w:ascii="Times New Roman" w:eastAsia="Times New Roman,Batang" w:hAnsi="Times New Roman" w:cs="Times New Roman"/>
          <w:b/>
          <w:bCs/>
          <w:color w:val="000000" w:themeColor="text1"/>
          <w:sz w:val="40"/>
          <w:szCs w:val="40"/>
          <w:lang w:eastAsia="ko-KR"/>
        </w:rPr>
        <w:br w:type="page"/>
      </w:r>
    </w:p>
    <w:p w14:paraId="176E94DA" w14:textId="77777777" w:rsidR="008D3F1E" w:rsidRDefault="008D3F1E" w:rsidP="008D3F1E"/>
    <w:p w14:paraId="085129F1" w14:textId="77777777" w:rsidR="008D3F1E" w:rsidRPr="002E47FA" w:rsidRDefault="008D3F1E" w:rsidP="008D3F1E">
      <w:pPr>
        <w:spacing w:after="0" w:line="240" w:lineRule="auto"/>
        <w:jc w:val="center"/>
        <w:rPr>
          <w:rFonts w:ascii="Times New Roman" w:eastAsia="Times New Roman,Batang" w:hAnsi="Times New Roman" w:cs="Times New Roman"/>
          <w:b/>
          <w:u w:val="single"/>
          <w:lang w:eastAsia="ko-KR"/>
        </w:rPr>
      </w:pPr>
      <w:r w:rsidRPr="002E47FA">
        <w:rPr>
          <w:rFonts w:ascii="Times New Roman" w:eastAsia="Times New Roman,Batang" w:hAnsi="Times New Roman" w:cs="Times New Roman"/>
          <w:b/>
          <w:u w:val="single"/>
          <w:lang w:eastAsia="ko-KR"/>
        </w:rPr>
        <w:t>ADDENDUM – I</w:t>
      </w:r>
    </w:p>
    <w:p w14:paraId="2CC2C59D" w14:textId="77777777" w:rsidR="008D3F1E" w:rsidRPr="002E47FA" w:rsidRDefault="008D3F1E" w:rsidP="008D3F1E">
      <w:pPr>
        <w:spacing w:after="0" w:line="240" w:lineRule="auto"/>
        <w:jc w:val="both"/>
        <w:rPr>
          <w:rFonts w:ascii="Times New Roman" w:eastAsia="Times New Roman,Batang" w:hAnsi="Times New Roman" w:cs="Times New Roman"/>
          <w:b/>
          <w:color w:val="0070C0"/>
          <w:u w:val="single"/>
          <w:lang w:eastAsia="ko-KR"/>
        </w:rPr>
      </w:pPr>
    </w:p>
    <w:p w14:paraId="4723E151" w14:textId="77777777" w:rsidR="008D3F1E" w:rsidRPr="002E47FA" w:rsidRDefault="008D3F1E" w:rsidP="008D3F1E">
      <w:pPr>
        <w:spacing w:before="120" w:after="120" w:line="240" w:lineRule="auto"/>
        <w:jc w:val="center"/>
        <w:rPr>
          <w:rFonts w:ascii="Times New Roman" w:hAnsi="Times New Roman" w:cs="Times New Roman"/>
          <w:b/>
        </w:rPr>
      </w:pPr>
      <w:r w:rsidRPr="002E47FA">
        <w:rPr>
          <w:rFonts w:ascii="Times New Roman" w:hAnsi="Times New Roman" w:cs="Times New Roman"/>
          <w:b/>
        </w:rPr>
        <w:t>THEMATIC EVALUATIONS (2020-2021)</w:t>
      </w:r>
    </w:p>
    <w:p w14:paraId="4687ACA1" w14:textId="77777777" w:rsidR="008D3F1E" w:rsidRPr="002E47FA" w:rsidRDefault="008D3F1E" w:rsidP="008D3F1E">
      <w:pPr>
        <w:spacing w:before="120" w:after="120" w:line="240" w:lineRule="auto"/>
        <w:jc w:val="center"/>
        <w:rPr>
          <w:rFonts w:ascii="Times New Roman" w:hAnsi="Times New Roman" w:cs="Times New Roman"/>
          <w:b/>
        </w:rPr>
      </w:pPr>
      <w:r w:rsidRPr="002E47FA">
        <w:rPr>
          <w:rFonts w:ascii="Times New Roman" w:eastAsia="Times New Roman,Batang" w:hAnsi="Times New Roman" w:cs="Times New Roman"/>
          <w:b/>
          <w:lang w:eastAsia="ko-KR"/>
        </w:rPr>
        <w:t>USE OF THEMATIC EVALUATION IN THE NEW SP FORMULATION IN 2022-2025</w:t>
      </w:r>
    </w:p>
    <w:p w14:paraId="5DF66BE9" w14:textId="77777777" w:rsidR="008D3F1E" w:rsidRPr="002E47FA" w:rsidRDefault="008D3F1E" w:rsidP="008D3F1E">
      <w:pPr>
        <w:tabs>
          <w:tab w:val="left" w:pos="1760"/>
        </w:tabs>
        <w:spacing w:after="0" w:line="240" w:lineRule="auto"/>
        <w:jc w:val="both"/>
        <w:rPr>
          <w:rFonts w:ascii="Times New Roman" w:hAnsi="Times New Roman" w:cs="Times New Roman"/>
        </w:rPr>
      </w:pPr>
      <w:r w:rsidRPr="002E47FA">
        <w:rPr>
          <w:rFonts w:ascii="Times New Roman" w:hAnsi="Times New Roman" w:cs="Times New Roman"/>
        </w:rPr>
        <w:tab/>
      </w:r>
    </w:p>
    <w:p w14:paraId="5196B82A" w14:textId="77777777" w:rsidR="008D3F1E" w:rsidRDefault="008D3F1E" w:rsidP="008D3F1E">
      <w:pPr>
        <w:spacing w:after="0" w:line="240" w:lineRule="auto"/>
        <w:jc w:val="both"/>
        <w:rPr>
          <w:rFonts w:ascii="Times New Roman" w:hAnsi="Times New Roman" w:cs="Times New Roman"/>
          <w:i/>
          <w:iCs/>
          <w:spacing w:val="8"/>
        </w:rPr>
      </w:pPr>
      <w:r w:rsidRPr="002E47FA">
        <w:rPr>
          <w:rFonts w:ascii="Times New Roman" w:hAnsi="Times New Roman" w:cs="Times New Roman"/>
        </w:rPr>
        <w:t>This section summarizes lessons UNDP learned from the six evaluations conducted in 2020</w:t>
      </w:r>
      <w:r>
        <w:rPr>
          <w:rFonts w:ascii="Times New Roman" w:hAnsi="Times New Roman" w:cs="Times New Roman"/>
        </w:rPr>
        <w:t xml:space="preserve"> and</w:t>
      </w:r>
      <w:r w:rsidRPr="002E47FA">
        <w:rPr>
          <w:rFonts w:ascii="Times New Roman" w:hAnsi="Times New Roman" w:cs="Times New Roman"/>
        </w:rPr>
        <w:t xml:space="preserve"> 2021</w:t>
      </w:r>
      <w:r>
        <w:rPr>
          <w:rFonts w:ascii="Times New Roman" w:hAnsi="Times New Roman" w:cs="Times New Roman"/>
        </w:rPr>
        <w:t>,</w:t>
      </w:r>
      <w:r w:rsidRPr="002E47FA">
        <w:rPr>
          <w:rFonts w:ascii="Times New Roman" w:hAnsi="Times New Roman" w:cs="Times New Roman"/>
        </w:rPr>
        <w:t xml:space="preserve"> and </w:t>
      </w:r>
      <w:r>
        <w:rPr>
          <w:rFonts w:ascii="Times New Roman" w:hAnsi="Times New Roman" w:cs="Times New Roman"/>
        </w:rPr>
        <w:t xml:space="preserve">the </w:t>
      </w:r>
      <w:r w:rsidRPr="002E47FA">
        <w:rPr>
          <w:rFonts w:ascii="Times New Roman" w:hAnsi="Times New Roman" w:cs="Times New Roman"/>
        </w:rPr>
        <w:t xml:space="preserve">management actions reflected in the formulation of the Strategic </w:t>
      </w:r>
      <w:r>
        <w:rPr>
          <w:rFonts w:ascii="Times New Roman" w:hAnsi="Times New Roman" w:cs="Times New Roman"/>
        </w:rPr>
        <w:t>P</w:t>
      </w:r>
      <w:r w:rsidRPr="002E47FA">
        <w:rPr>
          <w:rFonts w:ascii="Times New Roman" w:hAnsi="Times New Roman" w:cs="Times New Roman"/>
        </w:rPr>
        <w:t xml:space="preserve">lan 2022-2025 </w:t>
      </w:r>
      <w:r>
        <w:rPr>
          <w:rFonts w:ascii="Times New Roman" w:hAnsi="Times New Roman" w:cs="Times New Roman"/>
        </w:rPr>
        <w:t>that</w:t>
      </w:r>
      <w:r w:rsidRPr="002E47FA">
        <w:rPr>
          <w:rFonts w:ascii="Times New Roman" w:hAnsi="Times New Roman" w:cs="Times New Roman"/>
        </w:rPr>
        <w:t xml:space="preserve"> informed UNDP </w:t>
      </w:r>
      <w:r>
        <w:rPr>
          <w:rFonts w:ascii="Times New Roman" w:hAnsi="Times New Roman" w:cs="Times New Roman"/>
        </w:rPr>
        <w:t>decision-making</w:t>
      </w:r>
      <w:r w:rsidRPr="002E47FA">
        <w:rPr>
          <w:rFonts w:ascii="Times New Roman" w:hAnsi="Times New Roman" w:cs="Times New Roman"/>
        </w:rPr>
        <w:t xml:space="preserve"> and programming.  </w:t>
      </w:r>
    </w:p>
    <w:p w14:paraId="1E23FA07" w14:textId="77777777" w:rsidR="008D3F1E" w:rsidRDefault="008D3F1E" w:rsidP="008D3F1E">
      <w:pPr>
        <w:spacing w:after="0" w:line="240" w:lineRule="auto"/>
        <w:jc w:val="both"/>
        <w:rPr>
          <w:rFonts w:ascii="Times New Roman" w:hAnsi="Times New Roman" w:cs="Times New Roman"/>
          <w:i/>
          <w:iCs/>
          <w:spacing w:val="8"/>
        </w:rPr>
      </w:pPr>
    </w:p>
    <w:p w14:paraId="653B9F0E" w14:textId="683B81E3" w:rsidR="008D3F1E" w:rsidRPr="00E20EAC" w:rsidRDefault="008D3F1E" w:rsidP="008D3F1E">
      <w:pPr>
        <w:spacing w:after="0" w:line="240" w:lineRule="auto"/>
        <w:jc w:val="both"/>
        <w:rPr>
          <w:rFonts w:ascii="Times New Roman" w:hAnsi="Times New Roman" w:cs="Times New Roman"/>
          <w:i/>
          <w:iCs/>
          <w:spacing w:val="8"/>
        </w:rPr>
      </w:pPr>
      <w:r w:rsidRPr="00E20EAC">
        <w:rPr>
          <w:rFonts w:ascii="Times New Roman" w:eastAsia="Times New Roman" w:hAnsi="Times New Roman" w:cs="Times New Roman"/>
          <w:b/>
          <w:bCs/>
          <w:color w:val="222222"/>
          <w:lang w:eastAsia="en-GB"/>
        </w:rPr>
        <w:t xml:space="preserve">Evaluation </w:t>
      </w:r>
      <w:r w:rsidRPr="00064046">
        <w:rPr>
          <w:rFonts w:ascii="Times New Roman" w:eastAsia="Batang" w:hAnsi="Times New Roman" w:cs="Times New Roman"/>
          <w:b/>
          <w:bCs/>
          <w:lang w:eastAsia="ko-KR"/>
        </w:rPr>
        <w:t>on UNDP development support services to middle income countries (MICs)</w:t>
      </w:r>
    </w:p>
    <w:p w14:paraId="3B51C4FC" w14:textId="77777777" w:rsidR="008D3F1E" w:rsidRPr="00E20EAC" w:rsidRDefault="008D3F1E" w:rsidP="008D3F1E">
      <w:pPr>
        <w:shd w:val="clear" w:color="auto" w:fill="FFFFFF"/>
        <w:spacing w:after="0" w:line="240" w:lineRule="auto"/>
        <w:jc w:val="both"/>
        <w:rPr>
          <w:rFonts w:ascii="Times New Roman" w:eastAsia="Times New Roman" w:hAnsi="Times New Roman" w:cs="Times New Roman"/>
          <w:color w:val="222222"/>
          <w:lang w:eastAsia="en-GB"/>
        </w:rPr>
      </w:pPr>
      <w:r w:rsidRPr="00E20EAC">
        <w:rPr>
          <w:rFonts w:ascii="Times New Roman" w:eastAsia="Times New Roman" w:hAnsi="Times New Roman" w:cs="Times New Roman"/>
          <w:color w:val="0A0A0A"/>
          <w:spacing w:val="8"/>
          <w:lang w:eastAsia="en-GB"/>
        </w:rPr>
        <w:t>Completed in 2020</w:t>
      </w:r>
    </w:p>
    <w:p w14:paraId="4AFEDCC6" w14:textId="77777777" w:rsidR="008D3F1E" w:rsidRPr="00E20EAC" w:rsidRDefault="008D3F1E" w:rsidP="008D3F1E">
      <w:pPr>
        <w:shd w:val="clear" w:color="auto" w:fill="FFFFFF"/>
        <w:spacing w:after="0" w:line="240" w:lineRule="auto"/>
        <w:jc w:val="both"/>
        <w:rPr>
          <w:rFonts w:ascii="Times New Roman" w:eastAsia="Times New Roman" w:hAnsi="Times New Roman" w:cs="Times New Roman"/>
          <w:color w:val="222222"/>
          <w:lang w:eastAsia="en-GB"/>
        </w:rPr>
      </w:pPr>
      <w:r w:rsidRPr="00E20EAC">
        <w:rPr>
          <w:rFonts w:ascii="Times New Roman" w:eastAsia="Times New Roman" w:hAnsi="Times New Roman" w:cs="Times New Roman"/>
          <w:b/>
          <w:bCs/>
          <w:color w:val="0A0A0A"/>
          <w:spacing w:val="8"/>
          <w:lang w:eastAsia="en-GB"/>
        </w:rPr>
        <w:t> </w:t>
      </w:r>
    </w:p>
    <w:p w14:paraId="2E6880FB" w14:textId="77777777" w:rsidR="008D3F1E" w:rsidRPr="00E20EAC" w:rsidRDefault="008D3F1E" w:rsidP="008D3F1E">
      <w:pPr>
        <w:shd w:val="clear" w:color="auto" w:fill="FFFFFF"/>
        <w:spacing w:after="0" w:line="240" w:lineRule="auto"/>
        <w:jc w:val="both"/>
        <w:rPr>
          <w:rFonts w:ascii="Times New Roman" w:eastAsia="Times New Roman" w:hAnsi="Times New Roman" w:cs="Times New Roman"/>
          <w:color w:val="222222"/>
          <w:lang w:eastAsia="en-GB"/>
        </w:rPr>
      </w:pPr>
      <w:r w:rsidRPr="00E20EAC">
        <w:rPr>
          <w:rFonts w:ascii="Times New Roman" w:eastAsia="Times New Roman" w:hAnsi="Times New Roman" w:cs="Times New Roman"/>
          <w:color w:val="222222"/>
          <w:lang w:eastAsia="en-GB"/>
        </w:rPr>
        <w:t xml:space="preserve">The evaluation assessed </w:t>
      </w:r>
      <w:r>
        <w:rPr>
          <w:rFonts w:ascii="Times New Roman" w:eastAsia="Times New Roman" w:hAnsi="Times New Roman" w:cs="Times New Roman"/>
          <w:color w:val="222222"/>
          <w:lang w:eastAsia="en-GB"/>
        </w:rPr>
        <w:t>UNDP</w:t>
      </w:r>
      <w:r w:rsidRPr="00E20EAC">
        <w:rPr>
          <w:rFonts w:ascii="Times New Roman" w:eastAsia="Times New Roman" w:hAnsi="Times New Roman" w:cs="Times New Roman"/>
          <w:color w:val="222222"/>
          <w:lang w:eastAsia="en-GB"/>
        </w:rPr>
        <w:t xml:space="preserve"> contributions to national development results in MICs, considering the diversity of development conditions. One of the key evaluation findings was </w:t>
      </w:r>
      <w:r>
        <w:rPr>
          <w:rFonts w:ascii="Times New Roman" w:eastAsia="Times New Roman" w:hAnsi="Times New Roman" w:cs="Times New Roman"/>
          <w:color w:val="222222"/>
          <w:lang w:eastAsia="en-GB"/>
        </w:rPr>
        <w:t>the organization</w:t>
      </w:r>
      <w:r w:rsidRPr="00E20EAC">
        <w:rPr>
          <w:rFonts w:ascii="Times New Roman" w:eastAsia="Times New Roman" w:hAnsi="Times New Roman" w:cs="Times New Roman"/>
          <w:color w:val="222222"/>
          <w:lang w:eastAsia="en-GB"/>
        </w:rPr>
        <w:t xml:space="preserve"> </w:t>
      </w:r>
      <w:r>
        <w:rPr>
          <w:rFonts w:ascii="Times New Roman" w:eastAsia="Times New Roman" w:hAnsi="Times New Roman" w:cs="Times New Roman"/>
          <w:color w:val="222222"/>
          <w:lang w:eastAsia="en-GB"/>
        </w:rPr>
        <w:t>had</w:t>
      </w:r>
      <w:r w:rsidRPr="00E20EAC">
        <w:rPr>
          <w:rFonts w:ascii="Times New Roman" w:eastAsia="Times New Roman" w:hAnsi="Times New Roman" w:cs="Times New Roman"/>
          <w:color w:val="222222"/>
          <w:lang w:eastAsia="en-GB"/>
        </w:rPr>
        <w:t xml:space="preserve"> not established differentiated approaches to programming strategies for MICs. UNDP acknowledges heterogeneity among middle-income countries and other indicators beyond income might provide a more accurate categorization of national development challenges. The evaluation emphasized inequality, vulnerability, and exclusion as key priorities in MIC programming. </w:t>
      </w:r>
    </w:p>
    <w:p w14:paraId="7A28E9FB" w14:textId="77777777" w:rsidR="008D3F1E" w:rsidRPr="00E20EAC" w:rsidRDefault="008D3F1E" w:rsidP="008D3F1E">
      <w:pPr>
        <w:shd w:val="clear" w:color="auto" w:fill="FFFFFF"/>
        <w:spacing w:after="0" w:line="240" w:lineRule="auto"/>
        <w:jc w:val="both"/>
        <w:rPr>
          <w:rFonts w:ascii="Times New Roman" w:eastAsia="Times New Roman" w:hAnsi="Times New Roman" w:cs="Times New Roman"/>
          <w:color w:val="222222"/>
          <w:lang w:eastAsia="en-GB"/>
        </w:rPr>
      </w:pPr>
      <w:r w:rsidRPr="00E20EAC">
        <w:rPr>
          <w:rFonts w:ascii="Times New Roman" w:eastAsia="Times New Roman" w:hAnsi="Times New Roman" w:cs="Times New Roman"/>
          <w:color w:val="222222"/>
          <w:lang w:eastAsia="en-GB"/>
        </w:rPr>
        <w:t> </w:t>
      </w:r>
    </w:p>
    <w:p w14:paraId="0EA5495C" w14:textId="70141F42" w:rsidR="008D3F1E" w:rsidRPr="00E20EAC" w:rsidRDefault="008D3F1E" w:rsidP="008D3F1E">
      <w:pPr>
        <w:shd w:val="clear" w:color="auto" w:fill="FFFFFF"/>
        <w:spacing w:after="0" w:line="240" w:lineRule="auto"/>
        <w:jc w:val="both"/>
        <w:rPr>
          <w:rFonts w:ascii="Times New Roman" w:eastAsia="Times New Roman" w:hAnsi="Times New Roman" w:cs="Times New Roman"/>
          <w:color w:val="222222"/>
          <w:lang w:eastAsia="en-GB"/>
        </w:rPr>
      </w:pPr>
      <w:r w:rsidRPr="00E20EAC">
        <w:rPr>
          <w:rFonts w:ascii="Times New Roman" w:eastAsia="Times New Roman" w:hAnsi="Times New Roman" w:cs="Times New Roman"/>
          <w:color w:val="222222"/>
          <w:lang w:eastAsia="en-GB"/>
        </w:rPr>
        <w:t>In response to the evaluation, UNDP developed </w:t>
      </w:r>
      <w:r w:rsidRPr="00DC3945">
        <w:rPr>
          <w:rFonts w:ascii="Times New Roman" w:eastAsia="Times New Roman" w:hAnsi="Times New Roman" w:cs="Times New Roman"/>
          <w:color w:val="222222"/>
          <w:lang w:eastAsia="en-GB"/>
        </w:rPr>
        <w:t>a multidimensional vulnerability index (MVI)</w:t>
      </w:r>
      <w:r w:rsidRPr="00E20EAC">
        <w:rPr>
          <w:rFonts w:ascii="Times New Roman" w:eastAsia="Times New Roman" w:hAnsi="Times New Roman" w:cs="Times New Roman"/>
          <w:color w:val="222222"/>
          <w:lang w:eastAsia="en-GB"/>
        </w:rPr>
        <w:t> to account for long-term structural vulnerabilities</w:t>
      </w:r>
      <w:r w:rsidRPr="00DC3945">
        <w:rPr>
          <w:rFonts w:ascii="Times New Roman" w:eastAsia="Times New Roman" w:hAnsi="Times New Roman" w:cs="Times New Roman"/>
          <w:color w:val="222222"/>
          <w:lang w:eastAsia="en-GB"/>
        </w:rPr>
        <w:t>,</w:t>
      </w:r>
      <w:r w:rsidRPr="00E20EAC">
        <w:rPr>
          <w:rFonts w:ascii="Times New Roman" w:eastAsia="Times New Roman" w:hAnsi="Times New Roman" w:cs="Times New Roman"/>
          <w:color w:val="222222"/>
          <w:lang w:eastAsia="en-GB"/>
        </w:rPr>
        <w:t xml:space="preserve"> as well as recent weaknesses uncovered by the COVID-19 pandemic. </w:t>
      </w:r>
      <w:r w:rsidRPr="00DC3945">
        <w:rPr>
          <w:rFonts w:ascii="Times New Roman" w:eastAsia="Times New Roman" w:hAnsi="Times New Roman" w:cs="Times New Roman"/>
          <w:color w:val="222222"/>
          <w:lang w:eastAsia="en-GB"/>
        </w:rPr>
        <w:t xml:space="preserve">In </w:t>
      </w:r>
      <w:r w:rsidRPr="00E20EAC">
        <w:rPr>
          <w:rFonts w:ascii="Times New Roman" w:eastAsia="Times New Roman" w:hAnsi="Times New Roman" w:cs="Times New Roman"/>
          <w:color w:val="222222"/>
          <w:lang w:eastAsia="en-GB"/>
        </w:rPr>
        <w:t xml:space="preserve">Offer 2.0 to address the COVID-19 pandemic, three shifting trends </w:t>
      </w:r>
      <w:r w:rsidRPr="00DC3945">
        <w:rPr>
          <w:rFonts w:ascii="Times New Roman" w:eastAsia="Times New Roman" w:hAnsi="Times New Roman" w:cs="Times New Roman"/>
          <w:color w:val="222222"/>
          <w:lang w:eastAsia="en-GB"/>
        </w:rPr>
        <w:t>were</w:t>
      </w:r>
      <w:r w:rsidRPr="00E20EAC">
        <w:rPr>
          <w:rFonts w:ascii="Times New Roman" w:eastAsia="Times New Roman" w:hAnsi="Times New Roman" w:cs="Times New Roman"/>
          <w:color w:val="222222"/>
          <w:lang w:eastAsia="en-GB"/>
        </w:rPr>
        <w:t xml:space="preserve"> identified, which underpinned UNDP development support to MICs in the Strategic Plan 2022-2025</w:t>
      </w:r>
      <w:r>
        <w:rPr>
          <w:rFonts w:ascii="Times New Roman" w:eastAsia="Times New Roman" w:hAnsi="Times New Roman" w:cs="Times New Roman"/>
          <w:color w:val="222222"/>
          <w:lang w:eastAsia="en-GB"/>
        </w:rPr>
        <w:t>:</w:t>
      </w:r>
      <w:r w:rsidRPr="00E20EAC">
        <w:rPr>
          <w:rFonts w:ascii="Times New Roman" w:eastAsia="Times New Roman" w:hAnsi="Times New Roman" w:cs="Times New Roman"/>
          <w:color w:val="222222"/>
          <w:lang w:eastAsia="en-GB"/>
        </w:rPr>
        <w:t xml:space="preserve"> 1) </w:t>
      </w:r>
      <w:r>
        <w:rPr>
          <w:rFonts w:ascii="Times New Roman" w:eastAsia="Times New Roman" w:hAnsi="Times New Roman" w:cs="Times New Roman"/>
          <w:color w:val="222222"/>
          <w:lang w:eastAsia="en-GB"/>
        </w:rPr>
        <w:t>shifting</w:t>
      </w:r>
      <w:r w:rsidRPr="00E20EAC">
        <w:rPr>
          <w:rFonts w:ascii="Times New Roman" w:eastAsia="Times New Roman" w:hAnsi="Times New Roman" w:cs="Times New Roman"/>
          <w:color w:val="222222"/>
          <w:lang w:eastAsia="en-GB"/>
        </w:rPr>
        <w:t xml:space="preserve"> social expectations and trust indicating a deeper move towards rule of law, human rights, and right-based offers, 2) </w:t>
      </w:r>
      <w:r>
        <w:rPr>
          <w:rFonts w:ascii="Times New Roman" w:eastAsia="Times New Roman" w:hAnsi="Times New Roman" w:cs="Times New Roman"/>
          <w:color w:val="222222"/>
          <w:lang w:eastAsia="en-GB"/>
        </w:rPr>
        <w:t>shifting</w:t>
      </w:r>
      <w:r w:rsidRPr="00E20EAC">
        <w:rPr>
          <w:rFonts w:ascii="Times New Roman" w:eastAsia="Times New Roman" w:hAnsi="Times New Roman" w:cs="Times New Roman"/>
          <w:color w:val="222222"/>
          <w:lang w:eastAsia="en-GB"/>
        </w:rPr>
        <w:t xml:space="preserve"> towards accelerated energy transitions and nature-based solutions, and 3) tackling debt overhang and fiscal stress post-COVID-19, including protecting the poorest and most vulnerable groups, expanding social assistance and insurance systems, and supporting micro, small and medium</w:t>
      </w:r>
      <w:r>
        <w:rPr>
          <w:rFonts w:ascii="Times New Roman" w:eastAsia="Times New Roman" w:hAnsi="Times New Roman" w:cs="Times New Roman"/>
          <w:color w:val="222222"/>
          <w:lang w:eastAsia="en-GB"/>
        </w:rPr>
        <w:t>-</w:t>
      </w:r>
      <w:r w:rsidRPr="00E20EAC">
        <w:rPr>
          <w:rFonts w:ascii="Times New Roman" w:eastAsia="Times New Roman" w:hAnsi="Times New Roman" w:cs="Times New Roman"/>
          <w:color w:val="222222"/>
          <w:lang w:eastAsia="en-GB"/>
        </w:rPr>
        <w:t>sized enterprises. </w:t>
      </w:r>
    </w:p>
    <w:p w14:paraId="75FBF59B" w14:textId="77777777" w:rsidR="008D3F1E" w:rsidRPr="00E20EAC" w:rsidRDefault="008D3F1E" w:rsidP="008D3F1E">
      <w:pPr>
        <w:spacing w:after="0" w:line="240" w:lineRule="auto"/>
        <w:jc w:val="both"/>
        <w:rPr>
          <w:rFonts w:ascii="Times New Roman" w:hAnsi="Times New Roman" w:cs="Times New Roman"/>
        </w:rPr>
      </w:pPr>
    </w:p>
    <w:p w14:paraId="5E0A3B6F" w14:textId="77777777" w:rsidR="008D3F1E" w:rsidRPr="002E47FA" w:rsidRDefault="008D3F1E" w:rsidP="008D3F1E">
      <w:pPr>
        <w:tabs>
          <w:tab w:val="left" w:pos="1980"/>
        </w:tabs>
        <w:spacing w:before="120" w:after="0" w:line="240" w:lineRule="auto"/>
        <w:ind w:right="1224"/>
        <w:jc w:val="both"/>
        <w:rPr>
          <w:rFonts w:ascii="Times New Roman" w:eastAsia="Batang" w:hAnsi="Times New Roman" w:cs="Times New Roman"/>
          <w:b/>
          <w:bCs/>
          <w:lang w:eastAsia="ko-KR"/>
        </w:rPr>
      </w:pPr>
      <w:r w:rsidRPr="002E47FA">
        <w:rPr>
          <w:rFonts w:ascii="Times New Roman" w:eastAsia="Batang" w:hAnsi="Times New Roman" w:cs="Times New Roman"/>
          <w:b/>
          <w:bCs/>
          <w:lang w:eastAsia="ko-KR"/>
        </w:rPr>
        <w:t>Evaluation of UNDP support for Climate change adaptation (CCA)</w:t>
      </w:r>
    </w:p>
    <w:p w14:paraId="4997028A" w14:textId="77777777" w:rsidR="008D3F1E" w:rsidRPr="002E47FA" w:rsidRDefault="008D3F1E" w:rsidP="008D3F1E">
      <w:pPr>
        <w:spacing w:after="0" w:line="240" w:lineRule="auto"/>
        <w:jc w:val="both"/>
        <w:rPr>
          <w:rFonts w:ascii="Times New Roman" w:hAnsi="Times New Roman" w:cs="Times New Roman"/>
          <w:color w:val="0A0A0A"/>
          <w:spacing w:val="8"/>
        </w:rPr>
      </w:pPr>
      <w:r w:rsidRPr="002E47FA">
        <w:rPr>
          <w:rFonts w:ascii="Times New Roman" w:hAnsi="Times New Roman" w:cs="Times New Roman"/>
          <w:color w:val="0A0A0A"/>
          <w:spacing w:val="8"/>
        </w:rPr>
        <w:t>Completed in 2021</w:t>
      </w:r>
    </w:p>
    <w:p w14:paraId="41495395" w14:textId="77777777" w:rsidR="008D3F1E" w:rsidRPr="002E47FA" w:rsidRDefault="008D3F1E" w:rsidP="008D3F1E">
      <w:pPr>
        <w:spacing w:after="0" w:line="240" w:lineRule="auto"/>
        <w:jc w:val="both"/>
        <w:rPr>
          <w:rFonts w:ascii="Times New Roman" w:hAnsi="Times New Roman" w:cs="Times New Roman"/>
          <w:color w:val="0A0A0A"/>
          <w:spacing w:val="8"/>
        </w:rPr>
      </w:pPr>
    </w:p>
    <w:p w14:paraId="351840BD" w14:textId="77777777" w:rsidR="008D3F1E" w:rsidRPr="002E47FA" w:rsidRDefault="008D3F1E" w:rsidP="008D3F1E">
      <w:pPr>
        <w:spacing w:after="0" w:line="240" w:lineRule="auto"/>
        <w:jc w:val="both"/>
        <w:rPr>
          <w:rFonts w:ascii="Times New Roman" w:hAnsi="Times New Roman" w:cs="Times New Roman"/>
        </w:rPr>
      </w:pPr>
      <w:r w:rsidRPr="002E47FA">
        <w:rPr>
          <w:rFonts w:ascii="Times New Roman" w:hAnsi="Times New Roman" w:cs="Times New Roman"/>
        </w:rPr>
        <w:t>The evaluation of UNDP support for Climate Change Adaptation took stock of UNDP achievements and performance in helping partner countries adapt to new climate conditions created by global warming. The evaluation looked across</w:t>
      </w:r>
      <w:r>
        <w:rPr>
          <w:rFonts w:ascii="Times New Roman" w:hAnsi="Times New Roman" w:cs="Times New Roman"/>
        </w:rPr>
        <w:t xml:space="preserve"> the</w:t>
      </w:r>
      <w:r w:rsidRPr="002E47FA">
        <w:rPr>
          <w:rFonts w:ascii="Times New Roman" w:hAnsi="Times New Roman" w:cs="Times New Roman"/>
        </w:rPr>
        <w:t xml:space="preserve"> UNDP climate change adaptation offer but gives special attention to support for countries especially vulnerable to climate shocks. </w:t>
      </w:r>
    </w:p>
    <w:p w14:paraId="7E7862AE" w14:textId="77777777" w:rsidR="008D3F1E" w:rsidRPr="002E47FA" w:rsidRDefault="008D3F1E" w:rsidP="008D3F1E">
      <w:pPr>
        <w:spacing w:after="0" w:line="240" w:lineRule="auto"/>
        <w:jc w:val="both"/>
        <w:rPr>
          <w:rFonts w:ascii="Times New Roman" w:hAnsi="Times New Roman" w:cs="Times New Roman"/>
        </w:rPr>
      </w:pPr>
    </w:p>
    <w:p w14:paraId="6B6EAD1C" w14:textId="77777777" w:rsidR="008D3F1E" w:rsidRPr="002E47FA" w:rsidRDefault="008D3F1E" w:rsidP="008D3F1E">
      <w:pPr>
        <w:spacing w:after="0" w:line="240" w:lineRule="auto"/>
        <w:jc w:val="both"/>
        <w:rPr>
          <w:rFonts w:ascii="Times New Roman" w:hAnsi="Times New Roman" w:cs="Times New Roman"/>
        </w:rPr>
      </w:pPr>
      <w:r w:rsidRPr="002E47FA">
        <w:rPr>
          <w:rFonts w:ascii="Times New Roman" w:hAnsi="Times New Roman" w:cs="Times New Roman"/>
        </w:rPr>
        <w:t>In response to the evaluation, UNDP made climate-risk screening an essential part of the updated Social and Environmental Standards. In the new strategic plan, the UNDP adaptation portfolio was consolidated under its specific CCA offer</w:t>
      </w:r>
      <w:r>
        <w:rPr>
          <w:rFonts w:ascii="Times New Roman" w:hAnsi="Times New Roman" w:cs="Times New Roman"/>
        </w:rPr>
        <w:t>,</w:t>
      </w:r>
      <w:r w:rsidRPr="002E47FA">
        <w:rPr>
          <w:rFonts w:ascii="Times New Roman" w:hAnsi="Times New Roman" w:cs="Times New Roman"/>
        </w:rPr>
        <w:t xml:space="preserve"> </w:t>
      </w:r>
      <w:r>
        <w:rPr>
          <w:rFonts w:ascii="Times New Roman" w:hAnsi="Times New Roman" w:cs="Times New Roman"/>
        </w:rPr>
        <w:t>which</w:t>
      </w:r>
      <w:r w:rsidRPr="002E47FA">
        <w:rPr>
          <w:rFonts w:ascii="Times New Roman" w:hAnsi="Times New Roman" w:cs="Times New Roman"/>
        </w:rPr>
        <w:t xml:space="preserve"> evolved to support transformative, high-impact, at-scale programming </w:t>
      </w:r>
      <w:r>
        <w:rPr>
          <w:rFonts w:ascii="Times New Roman" w:hAnsi="Times New Roman" w:cs="Times New Roman"/>
        </w:rPr>
        <w:t xml:space="preserve">in countries and by communities </w:t>
      </w:r>
      <w:r w:rsidRPr="002E47FA">
        <w:rPr>
          <w:rFonts w:ascii="Times New Roman" w:hAnsi="Times New Roman" w:cs="Times New Roman"/>
        </w:rPr>
        <w:t xml:space="preserve">to reduce fragmentation across climate change adaptation </w:t>
      </w:r>
      <w:r>
        <w:rPr>
          <w:rFonts w:ascii="Times New Roman" w:hAnsi="Times New Roman" w:cs="Times New Roman"/>
        </w:rPr>
        <w:t>programmes</w:t>
      </w:r>
      <w:r w:rsidRPr="002E47FA">
        <w:rPr>
          <w:rFonts w:ascii="Times New Roman" w:hAnsi="Times New Roman" w:cs="Times New Roman"/>
        </w:rPr>
        <w:t xml:space="preserve">.  UNDP strengthened partnerships across the United Nations </w:t>
      </w:r>
      <w:r>
        <w:rPr>
          <w:rFonts w:ascii="Times New Roman" w:hAnsi="Times New Roman" w:cs="Times New Roman"/>
        </w:rPr>
        <w:t xml:space="preserve">development </w:t>
      </w:r>
      <w:r w:rsidRPr="002E47FA">
        <w:rPr>
          <w:rFonts w:ascii="Times New Roman" w:hAnsi="Times New Roman" w:cs="Times New Roman"/>
        </w:rPr>
        <w:t xml:space="preserve">system </w:t>
      </w:r>
      <w:r>
        <w:rPr>
          <w:rFonts w:ascii="Times New Roman" w:hAnsi="Times New Roman" w:cs="Times New Roman"/>
        </w:rPr>
        <w:t xml:space="preserve">(UNDS) </w:t>
      </w:r>
      <w:r w:rsidRPr="002E47FA">
        <w:rPr>
          <w:rFonts w:ascii="Times New Roman" w:hAnsi="Times New Roman" w:cs="Times New Roman"/>
        </w:rPr>
        <w:t xml:space="preserve">and with international financial institutions (IFIs) to advance adaptation action. Efforts are ongoing to explore regional and programmatic approaches to adaptation with a strong emphasis on integrated approaches </w:t>
      </w:r>
      <w:r>
        <w:rPr>
          <w:rFonts w:ascii="Times New Roman" w:hAnsi="Times New Roman" w:cs="Times New Roman"/>
        </w:rPr>
        <w:t>for</w:t>
      </w:r>
      <w:r w:rsidRPr="002E47FA">
        <w:rPr>
          <w:rFonts w:ascii="Times New Roman" w:hAnsi="Times New Roman" w:cs="Times New Roman"/>
        </w:rPr>
        <w:t xml:space="preserve"> deliver</w:t>
      </w:r>
      <w:r>
        <w:rPr>
          <w:rFonts w:ascii="Times New Roman" w:hAnsi="Times New Roman" w:cs="Times New Roman"/>
        </w:rPr>
        <w:t>ing</w:t>
      </w:r>
      <w:r w:rsidRPr="002E47FA">
        <w:rPr>
          <w:rFonts w:ascii="Times New Roman" w:hAnsi="Times New Roman" w:cs="Times New Roman"/>
        </w:rPr>
        <w:t xml:space="preserve"> on the </w:t>
      </w:r>
      <w:r>
        <w:rPr>
          <w:rFonts w:ascii="Times New Roman" w:hAnsi="Times New Roman" w:cs="Times New Roman"/>
        </w:rPr>
        <w:t>Sustainable Development Goals (</w:t>
      </w:r>
      <w:r w:rsidRPr="002E47FA">
        <w:rPr>
          <w:rFonts w:ascii="Times New Roman" w:hAnsi="Times New Roman" w:cs="Times New Roman"/>
        </w:rPr>
        <w:t>SDGs</w:t>
      </w:r>
      <w:r>
        <w:rPr>
          <w:rFonts w:ascii="Times New Roman" w:hAnsi="Times New Roman" w:cs="Times New Roman"/>
        </w:rPr>
        <w:t>)</w:t>
      </w:r>
      <w:r w:rsidRPr="002E47FA">
        <w:rPr>
          <w:rFonts w:ascii="Times New Roman" w:hAnsi="Times New Roman" w:cs="Times New Roman"/>
        </w:rPr>
        <w:t xml:space="preserve">. </w:t>
      </w:r>
    </w:p>
    <w:p w14:paraId="0FF40DC6" w14:textId="77777777" w:rsidR="008D3F1E" w:rsidRPr="002E47FA" w:rsidRDefault="008D3F1E" w:rsidP="008D3F1E">
      <w:pPr>
        <w:spacing w:after="0" w:line="240" w:lineRule="auto"/>
        <w:jc w:val="both"/>
        <w:rPr>
          <w:rFonts w:ascii="Times New Roman" w:hAnsi="Times New Roman" w:cs="Times New Roman"/>
        </w:rPr>
      </w:pPr>
    </w:p>
    <w:p w14:paraId="20C12F7C" w14:textId="77777777" w:rsidR="008D3F1E" w:rsidRPr="002E47FA" w:rsidRDefault="008D3F1E" w:rsidP="008D3F1E">
      <w:pPr>
        <w:spacing w:after="0" w:line="240" w:lineRule="auto"/>
        <w:jc w:val="both"/>
        <w:rPr>
          <w:rFonts w:ascii="Times New Roman" w:hAnsi="Times New Roman" w:cs="Times New Roman"/>
        </w:rPr>
      </w:pPr>
      <w:r w:rsidRPr="002E47FA">
        <w:rPr>
          <w:rFonts w:ascii="Times New Roman" w:hAnsi="Times New Roman" w:cs="Times New Roman"/>
        </w:rPr>
        <w:t>To expand support to small island develop</w:t>
      </w:r>
      <w:r>
        <w:rPr>
          <w:rFonts w:ascii="Times New Roman" w:hAnsi="Times New Roman" w:cs="Times New Roman"/>
        </w:rPr>
        <w:t>ing</w:t>
      </w:r>
      <w:r w:rsidRPr="002E47FA">
        <w:rPr>
          <w:rFonts w:ascii="Times New Roman" w:hAnsi="Times New Roman" w:cs="Times New Roman"/>
        </w:rPr>
        <w:t xml:space="preserve"> states (SID</w:t>
      </w:r>
      <w:r>
        <w:rPr>
          <w:rFonts w:ascii="Times New Roman" w:hAnsi="Times New Roman" w:cs="Times New Roman"/>
        </w:rPr>
        <w:t>S</w:t>
      </w:r>
      <w:r w:rsidRPr="002E47FA">
        <w:rPr>
          <w:rFonts w:ascii="Times New Roman" w:hAnsi="Times New Roman" w:cs="Times New Roman"/>
        </w:rPr>
        <w:t xml:space="preserve">), UNDP is supporting the design and implementation of five adaptation projects by mobilizing public and private sector finance in the new </w:t>
      </w:r>
      <w:r w:rsidRPr="002E47FA">
        <w:rPr>
          <w:rFonts w:ascii="Times New Roman" w:hAnsi="Times New Roman" w:cs="Times New Roman"/>
        </w:rPr>
        <w:lastRenderedPageBreak/>
        <w:t xml:space="preserve">Strategic Plan 2022-2025. These include climate action, blue economies, and promoting digital transformation. </w:t>
      </w:r>
    </w:p>
    <w:p w14:paraId="2E47779F" w14:textId="77777777" w:rsidR="008D3F1E" w:rsidRPr="002E47FA" w:rsidRDefault="008D3F1E" w:rsidP="008D3F1E">
      <w:pPr>
        <w:spacing w:after="0" w:line="240" w:lineRule="auto"/>
        <w:jc w:val="both"/>
        <w:rPr>
          <w:rFonts w:ascii="Times New Roman" w:hAnsi="Times New Roman" w:cs="Times New Roman"/>
        </w:rPr>
      </w:pPr>
    </w:p>
    <w:p w14:paraId="06C4E4DC" w14:textId="77777777" w:rsidR="008D3F1E" w:rsidRPr="002E47FA" w:rsidRDefault="008D3F1E" w:rsidP="008D3F1E">
      <w:pPr>
        <w:spacing w:after="0" w:line="240" w:lineRule="auto"/>
        <w:jc w:val="both"/>
        <w:rPr>
          <w:rFonts w:ascii="Times New Roman" w:hAnsi="Times New Roman" w:cs="Times New Roman"/>
        </w:rPr>
      </w:pPr>
      <w:r w:rsidRPr="002E47FA">
        <w:rPr>
          <w:rFonts w:ascii="Times New Roman" w:hAnsi="Times New Roman" w:cs="Times New Roman"/>
        </w:rPr>
        <w:t>Given the criticality of private sector engagement and scaling up private finance, UNDP developed a structured approach in</w:t>
      </w:r>
      <w:r>
        <w:rPr>
          <w:rFonts w:ascii="Times New Roman" w:hAnsi="Times New Roman" w:cs="Times New Roman"/>
        </w:rPr>
        <w:t xml:space="preserve"> the</w:t>
      </w:r>
      <w:r w:rsidRPr="002E47FA">
        <w:rPr>
          <w:rFonts w:ascii="Times New Roman" w:hAnsi="Times New Roman" w:cs="Times New Roman"/>
        </w:rPr>
        <w:t xml:space="preserve"> CCA Private Sector Strategy for engaging the private sector in climate change adaptation</w:t>
      </w:r>
      <w:r>
        <w:rPr>
          <w:rFonts w:ascii="Times New Roman" w:hAnsi="Times New Roman" w:cs="Times New Roman"/>
        </w:rPr>
        <w:t xml:space="preserve"> that is</w:t>
      </w:r>
      <w:r w:rsidRPr="002E47FA">
        <w:rPr>
          <w:rFonts w:ascii="Times New Roman" w:hAnsi="Times New Roman" w:cs="Times New Roman"/>
        </w:rPr>
        <w:t xml:space="preserve"> informed</w:t>
      </w:r>
      <w:r>
        <w:rPr>
          <w:rFonts w:ascii="Times New Roman" w:hAnsi="Times New Roman" w:cs="Times New Roman"/>
        </w:rPr>
        <w:t>,</w:t>
      </w:r>
      <w:r w:rsidRPr="002E47FA">
        <w:rPr>
          <w:rFonts w:ascii="Times New Roman" w:hAnsi="Times New Roman" w:cs="Times New Roman"/>
        </w:rPr>
        <w:t xml:space="preserve"> in part</w:t>
      </w:r>
      <w:r>
        <w:rPr>
          <w:rFonts w:ascii="Times New Roman" w:hAnsi="Times New Roman" w:cs="Times New Roman"/>
        </w:rPr>
        <w:t>,</w:t>
      </w:r>
      <w:r w:rsidRPr="002E47FA">
        <w:rPr>
          <w:rFonts w:ascii="Times New Roman" w:hAnsi="Times New Roman" w:cs="Times New Roman"/>
        </w:rPr>
        <w:t xml:space="preserve"> by a new framework focused on de-risking private sector investments in the adaptation space. </w:t>
      </w:r>
    </w:p>
    <w:p w14:paraId="4A8C7415" w14:textId="77777777" w:rsidR="008D3F1E" w:rsidRPr="002E47FA" w:rsidRDefault="008D3F1E" w:rsidP="008D3F1E">
      <w:pPr>
        <w:spacing w:after="0" w:line="240" w:lineRule="auto"/>
        <w:jc w:val="both"/>
        <w:rPr>
          <w:rFonts w:ascii="Times New Roman" w:hAnsi="Times New Roman" w:cs="Times New Roman"/>
          <w:color w:val="0A0A0A"/>
          <w:spacing w:val="8"/>
        </w:rPr>
      </w:pPr>
    </w:p>
    <w:p w14:paraId="094E3142" w14:textId="77777777" w:rsidR="008D3F1E" w:rsidRPr="002E47FA" w:rsidRDefault="008D3F1E" w:rsidP="008D3F1E">
      <w:pPr>
        <w:tabs>
          <w:tab w:val="left" w:pos="450"/>
          <w:tab w:val="left" w:pos="2250"/>
        </w:tabs>
        <w:spacing w:before="120" w:after="0" w:line="240" w:lineRule="auto"/>
        <w:ind w:right="1224"/>
        <w:jc w:val="both"/>
        <w:rPr>
          <w:rFonts w:ascii="Times New Roman" w:eastAsia="Batang" w:hAnsi="Times New Roman" w:cs="Times New Roman"/>
          <w:b/>
          <w:bCs/>
          <w:lang w:eastAsia="ko-KR"/>
        </w:rPr>
      </w:pPr>
      <w:r w:rsidRPr="5AD1A194">
        <w:rPr>
          <w:rFonts w:ascii="Times New Roman" w:eastAsia="Batang" w:hAnsi="Times New Roman" w:cs="Times New Roman"/>
          <w:b/>
          <w:bCs/>
          <w:lang w:eastAsia="ko-KR"/>
        </w:rPr>
        <w:t>Evaluation of UNDP support to Conflict-affected Countries</w:t>
      </w:r>
    </w:p>
    <w:p w14:paraId="17C46C79" w14:textId="77777777" w:rsidR="008D3F1E" w:rsidRPr="002E47FA" w:rsidRDefault="008D3F1E" w:rsidP="008D3F1E">
      <w:pPr>
        <w:spacing w:after="0" w:line="240" w:lineRule="auto"/>
        <w:jc w:val="both"/>
        <w:rPr>
          <w:rFonts w:ascii="Times New Roman" w:hAnsi="Times New Roman" w:cs="Times New Roman"/>
          <w:color w:val="0A0A0A"/>
          <w:spacing w:val="8"/>
        </w:rPr>
      </w:pPr>
      <w:r w:rsidRPr="002E47FA">
        <w:rPr>
          <w:rFonts w:ascii="Times New Roman" w:hAnsi="Times New Roman" w:cs="Times New Roman"/>
          <w:color w:val="0A0A0A"/>
          <w:spacing w:val="8"/>
        </w:rPr>
        <w:t>Completed in 2021</w:t>
      </w:r>
    </w:p>
    <w:p w14:paraId="658219F9" w14:textId="77777777" w:rsidR="008D3F1E" w:rsidRPr="002E47FA" w:rsidRDefault="008D3F1E" w:rsidP="008D3F1E">
      <w:pPr>
        <w:spacing w:after="0" w:line="240" w:lineRule="auto"/>
        <w:jc w:val="both"/>
        <w:rPr>
          <w:rFonts w:ascii="Times New Roman" w:hAnsi="Times New Roman" w:cs="Times New Roman"/>
          <w:color w:val="0A0A0A"/>
          <w:spacing w:val="8"/>
        </w:rPr>
      </w:pPr>
    </w:p>
    <w:p w14:paraId="4B2B5241" w14:textId="77777777" w:rsidR="008D3F1E" w:rsidRPr="002E47FA" w:rsidRDefault="008D3F1E" w:rsidP="008D3F1E">
      <w:pPr>
        <w:spacing w:after="0" w:line="240" w:lineRule="auto"/>
        <w:jc w:val="both"/>
        <w:rPr>
          <w:rFonts w:ascii="Times New Roman" w:hAnsi="Times New Roman" w:cs="Times New Roman"/>
        </w:rPr>
      </w:pPr>
      <w:r w:rsidRPr="002E47FA">
        <w:rPr>
          <w:rFonts w:ascii="Times New Roman" w:hAnsi="Times New Roman" w:cs="Times New Roman"/>
        </w:rPr>
        <w:t>The evaluation of support to conflict-affected countries assessed the UNDP role and contributions in 34 conflict-affected countries in the key areas of crisis prevention, response, peacebuilding, and state-building for transition</w:t>
      </w:r>
      <w:r>
        <w:rPr>
          <w:rFonts w:ascii="Times New Roman" w:hAnsi="Times New Roman" w:cs="Times New Roman"/>
        </w:rPr>
        <w:t>s</w:t>
      </w:r>
      <w:r w:rsidRPr="002E47FA">
        <w:rPr>
          <w:rFonts w:ascii="Times New Roman" w:hAnsi="Times New Roman" w:cs="Times New Roman"/>
        </w:rPr>
        <w:t xml:space="preserve"> to medium- to long-term development. </w:t>
      </w:r>
    </w:p>
    <w:p w14:paraId="57FF5790" w14:textId="77777777" w:rsidR="008D3F1E" w:rsidRPr="002E47FA" w:rsidRDefault="008D3F1E" w:rsidP="008D3F1E">
      <w:pPr>
        <w:spacing w:after="0" w:line="240" w:lineRule="auto"/>
        <w:jc w:val="both"/>
        <w:rPr>
          <w:rFonts w:ascii="Times New Roman" w:hAnsi="Times New Roman" w:cs="Times New Roman"/>
        </w:rPr>
      </w:pPr>
    </w:p>
    <w:p w14:paraId="79CF01E1" w14:textId="77CEAC8B" w:rsidR="008D3F1E" w:rsidRPr="002E47FA" w:rsidRDefault="008D3F1E" w:rsidP="008D3F1E">
      <w:pPr>
        <w:spacing w:after="0" w:line="240" w:lineRule="auto"/>
        <w:jc w:val="both"/>
        <w:rPr>
          <w:rFonts w:ascii="Times New Roman" w:hAnsi="Times New Roman" w:cs="Times New Roman"/>
        </w:rPr>
      </w:pPr>
      <w:r w:rsidRPr="5AD1A194">
        <w:rPr>
          <w:rFonts w:ascii="Times New Roman" w:hAnsi="Times New Roman" w:cs="Times New Roman"/>
        </w:rPr>
        <w:t xml:space="preserve">In response to the evaluation, several new policies and programmatic offers were </w:t>
      </w:r>
      <w:r>
        <w:rPr>
          <w:rFonts w:ascii="Times New Roman" w:hAnsi="Times New Roman" w:cs="Times New Roman"/>
        </w:rPr>
        <w:t>designed</w:t>
      </w:r>
      <w:r w:rsidRPr="5AD1A194">
        <w:rPr>
          <w:rFonts w:ascii="Times New Roman" w:hAnsi="Times New Roman" w:cs="Times New Roman"/>
        </w:rPr>
        <w:t xml:space="preserve"> with a view to strengthening UNDP work in conflict-affected countries, including </w:t>
      </w:r>
      <w:r>
        <w:rPr>
          <w:rFonts w:ascii="Times New Roman" w:hAnsi="Times New Roman" w:cs="Times New Roman"/>
        </w:rPr>
        <w:t>the</w:t>
      </w:r>
      <w:r w:rsidRPr="5AD1A194">
        <w:rPr>
          <w:rFonts w:ascii="Times New Roman" w:hAnsi="Times New Roman" w:cs="Times New Roman"/>
        </w:rPr>
        <w:t xml:space="preserve"> new Crisis Offer and updated Standard Operating Procedures for UNDP assistance to</w:t>
      </w:r>
      <w:r>
        <w:rPr>
          <w:rFonts w:ascii="Times New Roman" w:hAnsi="Times New Roman" w:cs="Times New Roman"/>
        </w:rPr>
        <w:t>,</w:t>
      </w:r>
      <w:r w:rsidRPr="5AD1A194">
        <w:rPr>
          <w:rFonts w:ascii="Times New Roman" w:hAnsi="Times New Roman" w:cs="Times New Roman"/>
        </w:rPr>
        <w:t xml:space="preserve"> and work in</w:t>
      </w:r>
      <w:r>
        <w:rPr>
          <w:rFonts w:ascii="Times New Roman" w:hAnsi="Times New Roman" w:cs="Times New Roman"/>
        </w:rPr>
        <w:t>,</w:t>
      </w:r>
      <w:r w:rsidRPr="5AD1A194">
        <w:rPr>
          <w:rFonts w:ascii="Times New Roman" w:hAnsi="Times New Roman" w:cs="Times New Roman"/>
        </w:rPr>
        <w:t xml:space="preserve"> crisis settings. In addition, UNDP operational response systems are being enhanced and expanded to ensure that </w:t>
      </w:r>
      <w:r>
        <w:rPr>
          <w:rFonts w:ascii="Times New Roman" w:hAnsi="Times New Roman" w:cs="Times New Roman"/>
        </w:rPr>
        <w:t>the organization</w:t>
      </w:r>
      <w:r w:rsidRPr="5AD1A194">
        <w:rPr>
          <w:rFonts w:ascii="Times New Roman" w:hAnsi="Times New Roman" w:cs="Times New Roman"/>
        </w:rPr>
        <w:t xml:space="preserve"> is “fit-for-fragility.” New cadres of experienced crisis professionals are being identified, trained, nurtured, and </w:t>
      </w:r>
      <w:r>
        <w:rPr>
          <w:rFonts w:ascii="Times New Roman" w:hAnsi="Times New Roman" w:cs="Times New Roman"/>
        </w:rPr>
        <w:t>included</w:t>
      </w:r>
      <w:r w:rsidRPr="5AD1A194">
        <w:rPr>
          <w:rFonts w:ascii="Times New Roman" w:hAnsi="Times New Roman" w:cs="Times New Roman"/>
        </w:rPr>
        <w:t xml:space="preserve"> </w:t>
      </w:r>
      <w:r>
        <w:rPr>
          <w:rFonts w:ascii="Times New Roman" w:hAnsi="Times New Roman" w:cs="Times New Roman"/>
        </w:rPr>
        <w:t>in</w:t>
      </w:r>
      <w:r w:rsidRPr="5AD1A194">
        <w:rPr>
          <w:rFonts w:ascii="Times New Roman" w:hAnsi="Times New Roman" w:cs="Times New Roman"/>
        </w:rPr>
        <w:t xml:space="preserve"> the Global Policy Network</w:t>
      </w:r>
      <w:r>
        <w:rPr>
          <w:rFonts w:ascii="Times New Roman" w:hAnsi="Times New Roman" w:cs="Times New Roman"/>
        </w:rPr>
        <w:t xml:space="preserve">, </w:t>
      </w:r>
      <w:r w:rsidRPr="5AD1A194">
        <w:rPr>
          <w:rFonts w:ascii="Times New Roman" w:hAnsi="Times New Roman" w:cs="Times New Roman"/>
        </w:rPr>
        <w:t>UNDP SURGE</w:t>
      </w:r>
      <w:r>
        <w:rPr>
          <w:rFonts w:ascii="Times New Roman" w:hAnsi="Times New Roman" w:cs="Times New Roman"/>
        </w:rPr>
        <w:t>,</w:t>
      </w:r>
      <w:r w:rsidRPr="5AD1A194">
        <w:rPr>
          <w:rFonts w:ascii="Times New Roman" w:hAnsi="Times New Roman" w:cs="Times New Roman"/>
        </w:rPr>
        <w:t xml:space="preserve"> and</w:t>
      </w:r>
      <w:r>
        <w:rPr>
          <w:rFonts w:ascii="Times New Roman" w:hAnsi="Times New Roman" w:cs="Times New Roman"/>
        </w:rPr>
        <w:t xml:space="preserve"> the</w:t>
      </w:r>
      <w:r w:rsidRPr="5AD1A194">
        <w:rPr>
          <w:rFonts w:ascii="Times New Roman" w:hAnsi="Times New Roman" w:cs="Times New Roman"/>
        </w:rPr>
        <w:t xml:space="preserve"> </w:t>
      </w:r>
      <w:r w:rsidR="002A6365" w:rsidRPr="5AD1A194">
        <w:rPr>
          <w:rFonts w:ascii="Times New Roman" w:hAnsi="Times New Roman" w:cs="Times New Roman"/>
        </w:rPr>
        <w:t>H</w:t>
      </w:r>
      <w:r w:rsidR="002A6365">
        <w:rPr>
          <w:rFonts w:ascii="Times New Roman" w:hAnsi="Times New Roman" w:cs="Times New Roman"/>
        </w:rPr>
        <w:t>umanitarian</w:t>
      </w:r>
      <w:r>
        <w:rPr>
          <w:rFonts w:ascii="Times New Roman" w:hAnsi="Times New Roman" w:cs="Times New Roman"/>
        </w:rPr>
        <w:t>-</w:t>
      </w:r>
      <w:r w:rsidRPr="5AD1A194">
        <w:rPr>
          <w:rFonts w:ascii="Times New Roman" w:hAnsi="Times New Roman" w:cs="Times New Roman"/>
        </w:rPr>
        <w:t>D</w:t>
      </w:r>
      <w:r>
        <w:rPr>
          <w:rFonts w:ascii="Times New Roman" w:hAnsi="Times New Roman" w:cs="Times New Roman"/>
        </w:rPr>
        <w:t>evelopment-</w:t>
      </w:r>
      <w:r w:rsidRPr="5AD1A194">
        <w:rPr>
          <w:rFonts w:ascii="Times New Roman" w:hAnsi="Times New Roman" w:cs="Times New Roman"/>
        </w:rPr>
        <w:t>P</w:t>
      </w:r>
      <w:r>
        <w:rPr>
          <w:rFonts w:ascii="Times New Roman" w:hAnsi="Times New Roman" w:cs="Times New Roman"/>
        </w:rPr>
        <w:t>eace</w:t>
      </w:r>
      <w:r w:rsidRPr="5AD1A194">
        <w:rPr>
          <w:rFonts w:ascii="Times New Roman" w:hAnsi="Times New Roman" w:cs="Times New Roman"/>
        </w:rPr>
        <w:t xml:space="preserve"> Nexus Academy. </w:t>
      </w:r>
    </w:p>
    <w:p w14:paraId="15881B63" w14:textId="77777777" w:rsidR="008D3F1E" w:rsidRPr="002E47FA" w:rsidRDefault="008D3F1E" w:rsidP="008D3F1E">
      <w:pPr>
        <w:spacing w:after="0" w:line="240" w:lineRule="auto"/>
        <w:jc w:val="both"/>
        <w:rPr>
          <w:rFonts w:ascii="Times New Roman" w:hAnsi="Times New Roman" w:cs="Times New Roman"/>
        </w:rPr>
      </w:pPr>
    </w:p>
    <w:p w14:paraId="218F682D" w14:textId="77777777" w:rsidR="008D3F1E" w:rsidRPr="002E47FA" w:rsidRDefault="008D3F1E" w:rsidP="008D3F1E">
      <w:pPr>
        <w:spacing w:after="0" w:line="240" w:lineRule="auto"/>
        <w:jc w:val="both"/>
        <w:rPr>
          <w:rFonts w:ascii="Times New Roman" w:hAnsi="Times New Roman" w:cs="Times New Roman"/>
        </w:rPr>
      </w:pPr>
      <w:r w:rsidRPr="5AD1A194">
        <w:rPr>
          <w:rFonts w:ascii="Times New Roman" w:hAnsi="Times New Roman" w:cs="Times New Roman"/>
        </w:rPr>
        <w:t>UNDP also strengthened gender considerations in crisis contexts through the new Gender and Crisis Facility</w:t>
      </w:r>
      <w:r>
        <w:rPr>
          <w:rFonts w:ascii="Times New Roman" w:hAnsi="Times New Roman" w:cs="Times New Roman"/>
        </w:rPr>
        <w:t xml:space="preserve"> </w:t>
      </w:r>
      <w:r w:rsidRPr="5AD1A194">
        <w:rPr>
          <w:rFonts w:ascii="Times New Roman" w:hAnsi="Times New Roman" w:cs="Times New Roman"/>
        </w:rPr>
        <w:t xml:space="preserve">launched in 2021. Further actions </w:t>
      </w:r>
      <w:r>
        <w:rPr>
          <w:rFonts w:ascii="Times New Roman" w:hAnsi="Times New Roman" w:cs="Times New Roman"/>
        </w:rPr>
        <w:t>that took</w:t>
      </w:r>
      <w:r w:rsidRPr="5AD1A194">
        <w:rPr>
          <w:rFonts w:ascii="Times New Roman" w:hAnsi="Times New Roman" w:cs="Times New Roman"/>
        </w:rPr>
        <w:t xml:space="preserve"> place include</w:t>
      </w:r>
      <w:r>
        <w:rPr>
          <w:rFonts w:ascii="Times New Roman" w:hAnsi="Times New Roman" w:cs="Times New Roman"/>
        </w:rPr>
        <w:t>d</w:t>
      </w:r>
      <w:r w:rsidRPr="5AD1A194">
        <w:rPr>
          <w:rFonts w:ascii="Times New Roman" w:hAnsi="Times New Roman" w:cs="Times New Roman"/>
        </w:rPr>
        <w:t xml:space="preserve"> </w:t>
      </w:r>
      <w:r>
        <w:rPr>
          <w:rFonts w:ascii="Times New Roman" w:hAnsi="Times New Roman" w:cs="Times New Roman"/>
        </w:rPr>
        <w:t>greater</w:t>
      </w:r>
      <w:r w:rsidRPr="5AD1A194">
        <w:rPr>
          <w:rFonts w:ascii="Times New Roman" w:hAnsi="Times New Roman" w:cs="Times New Roman"/>
        </w:rPr>
        <w:t xml:space="preserve"> deployment of gender-related technical and programmatic capacities on the ground in crisis-affected countries, the allocation of 15 per</w:t>
      </w:r>
      <w:r>
        <w:rPr>
          <w:rFonts w:ascii="Times New Roman" w:hAnsi="Times New Roman" w:cs="Times New Roman"/>
        </w:rPr>
        <w:t xml:space="preserve"> </w:t>
      </w:r>
      <w:r w:rsidRPr="5AD1A194">
        <w:rPr>
          <w:rFonts w:ascii="Times New Roman" w:hAnsi="Times New Roman" w:cs="Times New Roman"/>
        </w:rPr>
        <w:t>cent targets of TRAC3 core resources for gender-dedicated programme activities</w:t>
      </w:r>
      <w:r>
        <w:rPr>
          <w:rFonts w:ascii="Times New Roman" w:hAnsi="Times New Roman" w:cs="Times New Roman"/>
        </w:rPr>
        <w:t>,</w:t>
      </w:r>
      <w:r w:rsidRPr="5AD1A194">
        <w:rPr>
          <w:rFonts w:ascii="Times New Roman" w:hAnsi="Times New Roman" w:cs="Times New Roman"/>
        </w:rPr>
        <w:t xml:space="preserve"> and developing a specific Gender Seal certification track for county offices in crisis settings. </w:t>
      </w:r>
    </w:p>
    <w:p w14:paraId="159C5D91" w14:textId="77777777" w:rsidR="008D3F1E" w:rsidRPr="002E47FA" w:rsidRDefault="008D3F1E" w:rsidP="008D3F1E">
      <w:pPr>
        <w:spacing w:after="0" w:line="240" w:lineRule="auto"/>
        <w:jc w:val="both"/>
        <w:rPr>
          <w:rFonts w:ascii="Times New Roman" w:hAnsi="Times New Roman" w:cs="Times New Roman"/>
        </w:rPr>
      </w:pPr>
    </w:p>
    <w:p w14:paraId="2ABE47A3" w14:textId="77777777" w:rsidR="008D3F1E" w:rsidRPr="002E47FA" w:rsidRDefault="008D3F1E" w:rsidP="008D3F1E">
      <w:pPr>
        <w:spacing w:after="0" w:line="240" w:lineRule="auto"/>
        <w:jc w:val="both"/>
        <w:rPr>
          <w:rFonts w:ascii="Times New Roman" w:hAnsi="Times New Roman" w:cs="Times New Roman"/>
        </w:rPr>
      </w:pPr>
      <w:r w:rsidRPr="002E47FA">
        <w:rPr>
          <w:rFonts w:ascii="Times New Roman" w:hAnsi="Times New Roman" w:cs="Times New Roman"/>
        </w:rPr>
        <w:t xml:space="preserve">To further prioritize private sector engagement, investment, and development in fragile and conflict-affected contexts, UNDP </w:t>
      </w:r>
      <w:r>
        <w:rPr>
          <w:rFonts w:ascii="Times New Roman" w:hAnsi="Times New Roman" w:cs="Times New Roman"/>
        </w:rPr>
        <w:t>created</w:t>
      </w:r>
      <w:r w:rsidRPr="002E47FA">
        <w:rPr>
          <w:rFonts w:ascii="Times New Roman" w:hAnsi="Times New Roman" w:cs="Times New Roman"/>
        </w:rPr>
        <w:t xml:space="preserve"> a private sector development framework including tools and guidance on inclusive market development, financing, and risk management to support </w:t>
      </w:r>
      <w:r>
        <w:rPr>
          <w:rFonts w:ascii="Times New Roman" w:hAnsi="Times New Roman" w:cs="Times New Roman"/>
        </w:rPr>
        <w:t>bureau</w:t>
      </w:r>
      <w:r w:rsidRPr="002E47FA">
        <w:rPr>
          <w:rFonts w:ascii="Times New Roman" w:hAnsi="Times New Roman" w:cs="Times New Roman"/>
        </w:rPr>
        <w:t>x and country offices.</w:t>
      </w:r>
    </w:p>
    <w:p w14:paraId="60CF0863" w14:textId="77777777" w:rsidR="008D3F1E" w:rsidRPr="002E47FA" w:rsidRDefault="008D3F1E" w:rsidP="008D3F1E">
      <w:pPr>
        <w:spacing w:after="0" w:line="240" w:lineRule="auto"/>
        <w:jc w:val="both"/>
        <w:rPr>
          <w:rFonts w:ascii="Times New Roman" w:hAnsi="Times New Roman" w:cs="Times New Roman"/>
        </w:rPr>
      </w:pPr>
    </w:p>
    <w:p w14:paraId="0181A572" w14:textId="77777777" w:rsidR="008D3F1E" w:rsidRPr="002E47FA" w:rsidRDefault="008D3F1E" w:rsidP="008D3F1E">
      <w:pPr>
        <w:tabs>
          <w:tab w:val="left" w:pos="450"/>
          <w:tab w:val="left" w:pos="1980"/>
        </w:tabs>
        <w:spacing w:before="120" w:after="0" w:line="240" w:lineRule="auto"/>
        <w:ind w:right="86"/>
        <w:jc w:val="both"/>
        <w:rPr>
          <w:rFonts w:ascii="Times New Roman" w:eastAsia="Batang" w:hAnsi="Times New Roman" w:cs="Times New Roman"/>
          <w:b/>
          <w:bCs/>
          <w:lang w:eastAsia="ko-KR"/>
        </w:rPr>
      </w:pPr>
      <w:r w:rsidRPr="5AD1A194">
        <w:rPr>
          <w:rFonts w:ascii="Times New Roman" w:eastAsia="Batang" w:hAnsi="Times New Roman" w:cs="Times New Roman"/>
          <w:b/>
          <w:bCs/>
          <w:lang w:eastAsia="ko-KR"/>
        </w:rPr>
        <w:t>Evaluation of UNDP support to the Syrian refugee crisis response and promoting an integrated resilience approach</w:t>
      </w:r>
    </w:p>
    <w:p w14:paraId="65B4B3F8" w14:textId="77777777" w:rsidR="008D3F1E" w:rsidRPr="002E47FA" w:rsidRDefault="008D3F1E" w:rsidP="008D3F1E">
      <w:pPr>
        <w:spacing w:after="0" w:line="240" w:lineRule="auto"/>
        <w:jc w:val="both"/>
        <w:rPr>
          <w:rFonts w:ascii="Times New Roman" w:hAnsi="Times New Roman" w:cs="Times New Roman"/>
          <w:color w:val="0A0A0A"/>
          <w:spacing w:val="8"/>
        </w:rPr>
      </w:pPr>
      <w:r w:rsidRPr="002E47FA">
        <w:rPr>
          <w:rFonts w:ascii="Times New Roman" w:hAnsi="Times New Roman" w:cs="Times New Roman"/>
          <w:color w:val="0A0A0A"/>
          <w:spacing w:val="8"/>
        </w:rPr>
        <w:t>Completed in 2021</w:t>
      </w:r>
    </w:p>
    <w:p w14:paraId="60691BB7" w14:textId="77777777" w:rsidR="008D3F1E" w:rsidRPr="002E47FA" w:rsidRDefault="008D3F1E" w:rsidP="008D3F1E">
      <w:pPr>
        <w:spacing w:after="0" w:line="240" w:lineRule="auto"/>
        <w:jc w:val="both"/>
        <w:rPr>
          <w:rFonts w:ascii="Times New Roman" w:hAnsi="Times New Roman" w:cs="Times New Roman"/>
          <w:color w:val="0A0A0A"/>
          <w:spacing w:val="8"/>
        </w:rPr>
      </w:pPr>
    </w:p>
    <w:p w14:paraId="3B5932FE" w14:textId="77777777" w:rsidR="008D3F1E" w:rsidRPr="008A2093" w:rsidRDefault="008D3F1E" w:rsidP="008D3F1E">
      <w:pPr>
        <w:spacing w:after="0" w:line="240" w:lineRule="auto"/>
        <w:jc w:val="both"/>
        <w:rPr>
          <w:rFonts w:ascii="Times New Roman" w:hAnsi="Times New Roman" w:cs="Times New Roman"/>
        </w:rPr>
      </w:pPr>
      <w:r w:rsidRPr="5AD1A194">
        <w:rPr>
          <w:rFonts w:ascii="Times New Roman" w:hAnsi="Times New Roman" w:cs="Times New Roman"/>
        </w:rPr>
        <w:t>The evaluation of UNDP support to the Syrian crisis response</w:t>
      </w:r>
      <w:r>
        <w:rPr>
          <w:rFonts w:ascii="Times New Roman" w:hAnsi="Times New Roman" w:cs="Times New Roman"/>
        </w:rPr>
        <w:t>,</w:t>
      </w:r>
      <w:r w:rsidRPr="5AD1A194">
        <w:rPr>
          <w:rFonts w:ascii="Times New Roman" w:hAnsi="Times New Roman" w:cs="Times New Roman"/>
        </w:rPr>
        <w:t xml:space="preserve"> and promoting an integrated resilience approach</w:t>
      </w:r>
      <w:r>
        <w:rPr>
          <w:rFonts w:ascii="Times New Roman" w:hAnsi="Times New Roman" w:cs="Times New Roman"/>
        </w:rPr>
        <w:t>,</w:t>
      </w:r>
      <w:r w:rsidRPr="5AD1A194">
        <w:rPr>
          <w:rFonts w:ascii="Times New Roman" w:hAnsi="Times New Roman" w:cs="Times New Roman"/>
        </w:rPr>
        <w:t xml:space="preserve"> assessed the extent to which the humanitarian-development nexus and resilience-based development approaches have underpinned the Syrian refugee response framework</w:t>
      </w:r>
      <w:r>
        <w:rPr>
          <w:rFonts w:ascii="Times New Roman" w:hAnsi="Times New Roman" w:cs="Times New Roman"/>
        </w:rPr>
        <w:t>,</w:t>
      </w:r>
      <w:r w:rsidRPr="5AD1A194">
        <w:rPr>
          <w:rFonts w:ascii="Times New Roman" w:hAnsi="Times New Roman" w:cs="Times New Roman"/>
        </w:rPr>
        <w:t xml:space="preserve"> as well as other UNDP refugee responses and corporate frameworks. </w:t>
      </w:r>
      <w:r w:rsidRPr="008A2093">
        <w:rPr>
          <w:rFonts w:ascii="Times New Roman" w:hAnsi="Times New Roman" w:cs="Times New Roman"/>
        </w:rPr>
        <w:t>The evaluation confirmed the 3RP model is the first of its kind in combining humanitarian support and resilience-based development to address the needs of refugees, host communities and national governments</w:t>
      </w:r>
    </w:p>
    <w:p w14:paraId="6806093F" w14:textId="77777777" w:rsidR="008D3F1E" w:rsidRPr="002E47FA" w:rsidRDefault="008D3F1E" w:rsidP="008D3F1E">
      <w:pPr>
        <w:spacing w:after="0" w:line="240" w:lineRule="auto"/>
        <w:jc w:val="both"/>
        <w:rPr>
          <w:rFonts w:ascii="Times New Roman" w:hAnsi="Times New Roman" w:cs="Times New Roman"/>
        </w:rPr>
      </w:pPr>
    </w:p>
    <w:p w14:paraId="4A9DA0F5" w14:textId="77777777" w:rsidR="008D3F1E" w:rsidRPr="002E47FA" w:rsidRDefault="008D3F1E" w:rsidP="008D3F1E">
      <w:pPr>
        <w:spacing w:after="0" w:line="240" w:lineRule="auto"/>
        <w:jc w:val="both"/>
        <w:rPr>
          <w:rFonts w:ascii="Times New Roman" w:hAnsi="Times New Roman" w:cs="Times New Roman"/>
        </w:rPr>
      </w:pPr>
      <w:r w:rsidRPr="002E47FA">
        <w:rPr>
          <w:rFonts w:ascii="Times New Roman" w:hAnsi="Times New Roman" w:cs="Times New Roman"/>
        </w:rPr>
        <w:t xml:space="preserve">Acknowledging the need for a corporate strategy for engagement in protracted crises, UNDP is developing a framework on crisis and fragility, building on lessons learned from its early recovery and resilience offering </w:t>
      </w:r>
      <w:r>
        <w:rPr>
          <w:rFonts w:ascii="Times New Roman" w:hAnsi="Times New Roman" w:cs="Times New Roman"/>
        </w:rPr>
        <w:t>and</w:t>
      </w:r>
      <w:r w:rsidRPr="002E47FA">
        <w:rPr>
          <w:rFonts w:ascii="Times New Roman" w:hAnsi="Times New Roman" w:cs="Times New Roman"/>
        </w:rPr>
        <w:t xml:space="preserve"> based on renewed integrated development solutions informed by country context and demand.  To play a catalytic role in enabling private sector solutions to promote the resilience of both host communities and refugees, </w:t>
      </w:r>
      <w:r>
        <w:rPr>
          <w:rFonts w:ascii="Times New Roman" w:hAnsi="Times New Roman" w:cs="Times New Roman"/>
        </w:rPr>
        <w:t xml:space="preserve">stakeholders in </w:t>
      </w:r>
      <w:r w:rsidRPr="002E47FA">
        <w:rPr>
          <w:rFonts w:ascii="Times New Roman" w:hAnsi="Times New Roman" w:cs="Times New Roman"/>
        </w:rPr>
        <w:t xml:space="preserve">Iraq, Turkey, and Jordan, in the context of the 3RP, have </w:t>
      </w:r>
      <w:r w:rsidRPr="002E47FA">
        <w:rPr>
          <w:rFonts w:ascii="Times New Roman" w:hAnsi="Times New Roman" w:cs="Times New Roman"/>
        </w:rPr>
        <w:lastRenderedPageBreak/>
        <w:t xml:space="preserve">implemented livelihood programmes in partnership with the private sector to increase the employability of vulnerable populations. </w:t>
      </w:r>
    </w:p>
    <w:p w14:paraId="1C34C680" w14:textId="77777777" w:rsidR="008D3F1E" w:rsidRPr="002E47FA" w:rsidRDefault="008D3F1E" w:rsidP="008D3F1E">
      <w:pPr>
        <w:spacing w:after="0" w:line="240" w:lineRule="auto"/>
        <w:jc w:val="both"/>
        <w:rPr>
          <w:rFonts w:ascii="Times New Roman" w:hAnsi="Times New Roman" w:cs="Times New Roman"/>
        </w:rPr>
      </w:pPr>
    </w:p>
    <w:p w14:paraId="2FAFDAC4" w14:textId="77777777" w:rsidR="008D3F1E" w:rsidRPr="002E47FA" w:rsidRDefault="008D3F1E" w:rsidP="008D3F1E">
      <w:pPr>
        <w:spacing w:after="0" w:line="240" w:lineRule="auto"/>
        <w:jc w:val="both"/>
        <w:rPr>
          <w:rFonts w:ascii="Times New Roman" w:hAnsi="Times New Roman" w:cs="Times New Roman"/>
        </w:rPr>
      </w:pPr>
      <w:r w:rsidRPr="002E47FA">
        <w:rPr>
          <w:rFonts w:ascii="Times New Roman" w:hAnsi="Times New Roman" w:cs="Times New Roman"/>
        </w:rPr>
        <w:t xml:space="preserve">UNDP will continue investing in methods and instruments to ensure gender analysis is at the center of its policy, advocacy, and programming work in forced displacement situations </w:t>
      </w:r>
      <w:r>
        <w:rPr>
          <w:rFonts w:ascii="Times New Roman" w:hAnsi="Times New Roman" w:cs="Times New Roman"/>
        </w:rPr>
        <w:t>throughout</w:t>
      </w:r>
      <w:r w:rsidRPr="002E47FA">
        <w:rPr>
          <w:rFonts w:ascii="Times New Roman" w:hAnsi="Times New Roman" w:cs="Times New Roman"/>
        </w:rPr>
        <w:t xml:space="preserve"> the strategic plan period. Building on the </w:t>
      </w:r>
      <w:r>
        <w:rPr>
          <w:rFonts w:ascii="Times New Roman" w:hAnsi="Times New Roman" w:cs="Times New Roman"/>
        </w:rPr>
        <w:t xml:space="preserve">organizational </w:t>
      </w:r>
      <w:r w:rsidRPr="002E47FA">
        <w:rPr>
          <w:rFonts w:ascii="Times New Roman" w:hAnsi="Times New Roman" w:cs="Times New Roman"/>
        </w:rPr>
        <w:t>gender and recovery toolkit, UNDP is scaling up transformation in priority sectoral areas through gender-responsive prevention, peacebuilding, rule of law, local governance, and digital livelihood offers.</w:t>
      </w:r>
    </w:p>
    <w:p w14:paraId="086868DF" w14:textId="77777777" w:rsidR="008D3F1E" w:rsidRPr="002E47FA" w:rsidRDefault="008D3F1E" w:rsidP="008D3F1E">
      <w:pPr>
        <w:spacing w:after="0" w:line="240" w:lineRule="auto"/>
        <w:jc w:val="both"/>
        <w:rPr>
          <w:rFonts w:ascii="Times New Roman" w:hAnsi="Times New Roman" w:cs="Times New Roman"/>
        </w:rPr>
      </w:pPr>
    </w:p>
    <w:p w14:paraId="288BFA6C" w14:textId="77777777" w:rsidR="008D3F1E" w:rsidRPr="002E47FA" w:rsidRDefault="008D3F1E" w:rsidP="008D3F1E">
      <w:pPr>
        <w:tabs>
          <w:tab w:val="left" w:pos="450"/>
          <w:tab w:val="left" w:pos="2250"/>
        </w:tabs>
        <w:spacing w:before="120" w:after="0" w:line="240" w:lineRule="auto"/>
        <w:ind w:right="1224"/>
        <w:jc w:val="both"/>
        <w:rPr>
          <w:rFonts w:ascii="Times New Roman" w:eastAsia="Batang" w:hAnsi="Times New Roman" w:cs="Times New Roman"/>
          <w:b/>
          <w:bCs/>
          <w:lang w:eastAsia="ko-KR"/>
        </w:rPr>
      </w:pPr>
      <w:r w:rsidRPr="002E47FA">
        <w:rPr>
          <w:rFonts w:ascii="Times New Roman" w:eastAsia="Batang" w:hAnsi="Times New Roman" w:cs="Times New Roman"/>
          <w:b/>
          <w:bCs/>
          <w:lang w:eastAsia="ko-KR"/>
        </w:rPr>
        <w:t>Evaluation of the UNDP Strategic Plan, 2018-2021</w:t>
      </w:r>
    </w:p>
    <w:p w14:paraId="1D12B8AF" w14:textId="77777777" w:rsidR="008D3F1E" w:rsidRPr="002E47FA" w:rsidRDefault="008D3F1E" w:rsidP="008D3F1E">
      <w:pPr>
        <w:spacing w:after="0" w:line="240" w:lineRule="auto"/>
        <w:jc w:val="both"/>
        <w:rPr>
          <w:rFonts w:ascii="Times New Roman" w:hAnsi="Times New Roman" w:cs="Times New Roman"/>
          <w:color w:val="0A0A0A"/>
          <w:spacing w:val="8"/>
        </w:rPr>
      </w:pPr>
      <w:r w:rsidRPr="002E47FA">
        <w:rPr>
          <w:rFonts w:ascii="Times New Roman" w:hAnsi="Times New Roman" w:cs="Times New Roman"/>
          <w:color w:val="0A0A0A"/>
          <w:spacing w:val="8"/>
        </w:rPr>
        <w:t>Completed in 2021</w:t>
      </w:r>
    </w:p>
    <w:p w14:paraId="7243D4EF" w14:textId="77777777" w:rsidR="008D3F1E" w:rsidRPr="002E47FA" w:rsidRDefault="008D3F1E" w:rsidP="008D3F1E">
      <w:pPr>
        <w:spacing w:after="0" w:line="240" w:lineRule="auto"/>
        <w:jc w:val="both"/>
        <w:rPr>
          <w:rFonts w:ascii="Times New Roman" w:hAnsi="Times New Roman" w:cs="Times New Roman"/>
          <w:color w:val="0A0A0A"/>
          <w:spacing w:val="8"/>
        </w:rPr>
      </w:pPr>
    </w:p>
    <w:p w14:paraId="2F4CB9FB" w14:textId="77777777" w:rsidR="008D3F1E" w:rsidRPr="002E47FA" w:rsidRDefault="008D3F1E" w:rsidP="008D3F1E">
      <w:pPr>
        <w:spacing w:after="0" w:line="240" w:lineRule="auto"/>
        <w:jc w:val="both"/>
        <w:rPr>
          <w:rFonts w:ascii="Times New Roman" w:hAnsi="Times New Roman" w:cs="Times New Roman"/>
        </w:rPr>
      </w:pPr>
      <w:r w:rsidRPr="484B8A45">
        <w:rPr>
          <w:rFonts w:ascii="Times New Roman" w:hAnsi="Times New Roman" w:cs="Times New Roman"/>
        </w:rPr>
        <w:t>The Evaluation of UNDP Strategic Plan, 2018-2021, assessed whether the Strategic Plan ​offered a coherent vision, purpose, and sense of mission for the organization​</w:t>
      </w:r>
      <w:r>
        <w:rPr>
          <w:rFonts w:ascii="Times New Roman" w:hAnsi="Times New Roman" w:cs="Times New Roman"/>
        </w:rPr>
        <w:t xml:space="preserve">. It </w:t>
      </w:r>
      <w:r w:rsidRPr="484B8A45">
        <w:rPr>
          <w:rFonts w:ascii="Times New Roman" w:hAnsi="Times New Roman" w:cs="Times New Roman"/>
        </w:rPr>
        <w:t>was recognized across the organization as a guide for action to help countries meet their development needs</w:t>
      </w:r>
      <w:r>
        <w:rPr>
          <w:rFonts w:ascii="Times New Roman" w:hAnsi="Times New Roman" w:cs="Times New Roman"/>
        </w:rPr>
        <w:t xml:space="preserve"> - </w:t>
      </w:r>
      <w:r w:rsidRPr="484B8A45">
        <w:rPr>
          <w:rFonts w:ascii="Times New Roman" w:hAnsi="Times New Roman" w:cs="Times New Roman"/>
        </w:rPr>
        <w:t>especially pertaining to the SDGs</w:t>
      </w:r>
      <w:r>
        <w:rPr>
          <w:rFonts w:ascii="Times New Roman" w:hAnsi="Times New Roman" w:cs="Times New Roman"/>
        </w:rPr>
        <w:t xml:space="preserve"> - </w:t>
      </w:r>
      <w:r w:rsidRPr="484B8A45">
        <w:rPr>
          <w:rFonts w:ascii="Times New Roman" w:hAnsi="Times New Roman" w:cs="Times New Roman"/>
        </w:rPr>
        <w:t xml:space="preserve">and </w:t>
      </w:r>
      <w:r>
        <w:rPr>
          <w:rFonts w:ascii="Times New Roman" w:hAnsi="Times New Roman" w:cs="Times New Roman"/>
        </w:rPr>
        <w:t>contributed</w:t>
      </w:r>
      <w:r w:rsidRPr="484B8A45">
        <w:rPr>
          <w:rFonts w:ascii="Times New Roman" w:hAnsi="Times New Roman" w:cs="Times New Roman"/>
        </w:rPr>
        <w:t xml:space="preserve"> to improved development results within the three broad development settings identified in the Strategic Plan​.  </w:t>
      </w:r>
    </w:p>
    <w:p w14:paraId="2D878E0E" w14:textId="77777777" w:rsidR="008D3F1E" w:rsidRPr="002E47FA" w:rsidRDefault="008D3F1E" w:rsidP="008D3F1E">
      <w:pPr>
        <w:spacing w:after="0" w:line="240" w:lineRule="auto"/>
        <w:jc w:val="both"/>
        <w:rPr>
          <w:rFonts w:ascii="Times New Roman" w:hAnsi="Times New Roman" w:cs="Times New Roman"/>
          <w:color w:val="0A0A0A"/>
          <w:spacing w:val="8"/>
        </w:rPr>
      </w:pPr>
    </w:p>
    <w:p w14:paraId="44616795" w14:textId="77777777" w:rsidR="008D3F1E" w:rsidRPr="002E47FA" w:rsidRDefault="008D3F1E" w:rsidP="008D3F1E">
      <w:pPr>
        <w:spacing w:after="0" w:line="240" w:lineRule="auto"/>
        <w:jc w:val="both"/>
        <w:rPr>
          <w:rFonts w:ascii="Times New Roman" w:hAnsi="Times New Roman" w:cs="Times New Roman"/>
        </w:rPr>
      </w:pPr>
      <w:r w:rsidRPr="484B8A45">
        <w:rPr>
          <w:rFonts w:ascii="Times New Roman" w:hAnsi="Times New Roman" w:cs="Times New Roman"/>
        </w:rPr>
        <w:t xml:space="preserve">In the new strategic plan for 2022-2025, UNDP made deliberate efforts to maximize the development impact of all signature solutions with the aim of supporting countries </w:t>
      </w:r>
      <w:r>
        <w:rPr>
          <w:rFonts w:ascii="Times New Roman" w:hAnsi="Times New Roman" w:cs="Times New Roman"/>
        </w:rPr>
        <w:t>on</w:t>
      </w:r>
      <w:r w:rsidRPr="484B8A45">
        <w:rPr>
          <w:rFonts w:ascii="Times New Roman" w:hAnsi="Times New Roman" w:cs="Times New Roman"/>
        </w:rPr>
        <w:t xml:space="preserve"> </w:t>
      </w:r>
      <w:r>
        <w:rPr>
          <w:rFonts w:ascii="Times New Roman" w:hAnsi="Times New Roman" w:cs="Times New Roman"/>
        </w:rPr>
        <w:t>the</w:t>
      </w:r>
      <w:r w:rsidRPr="484B8A45">
        <w:rPr>
          <w:rFonts w:ascii="Times New Roman" w:hAnsi="Times New Roman" w:cs="Times New Roman"/>
        </w:rPr>
        <w:t xml:space="preserve"> path towards the Sustainable Development Goals and making breakthroughs across the 2030 Agenda. In response to evaluation recommendation</w:t>
      </w:r>
      <w:r>
        <w:rPr>
          <w:rFonts w:ascii="Times New Roman" w:hAnsi="Times New Roman" w:cs="Times New Roman"/>
        </w:rPr>
        <w:t>s</w:t>
      </w:r>
      <w:r w:rsidRPr="484B8A45">
        <w:rPr>
          <w:rFonts w:ascii="Times New Roman" w:hAnsi="Times New Roman" w:cs="Times New Roman"/>
        </w:rPr>
        <w:t>, UNDP is taking concrete steps to shift from a project-driven approach to</w:t>
      </w:r>
      <w:r>
        <w:rPr>
          <w:rFonts w:ascii="Times New Roman" w:hAnsi="Times New Roman" w:cs="Times New Roman"/>
        </w:rPr>
        <w:t>ward</w:t>
      </w:r>
      <w:r w:rsidRPr="484B8A45">
        <w:rPr>
          <w:rFonts w:ascii="Times New Roman" w:hAnsi="Times New Roman" w:cs="Times New Roman"/>
        </w:rPr>
        <w:t xml:space="preserve"> fundraising and advocacy for implement</w:t>
      </w:r>
      <w:r>
        <w:rPr>
          <w:rFonts w:ascii="Times New Roman" w:hAnsi="Times New Roman" w:cs="Times New Roman"/>
        </w:rPr>
        <w:t>ing</w:t>
      </w:r>
      <w:r w:rsidRPr="484B8A45">
        <w:rPr>
          <w:rFonts w:ascii="Times New Roman" w:hAnsi="Times New Roman" w:cs="Times New Roman"/>
        </w:rPr>
        <w:t xml:space="preserve"> at the portfolio level,</w:t>
      </w:r>
      <w:r>
        <w:rPr>
          <w:rFonts w:ascii="Times New Roman" w:hAnsi="Times New Roman" w:cs="Times New Roman"/>
        </w:rPr>
        <w:t xml:space="preserve"> as well as</w:t>
      </w:r>
      <w:r w:rsidRPr="484B8A45">
        <w:rPr>
          <w:rFonts w:ascii="Times New Roman" w:hAnsi="Times New Roman" w:cs="Times New Roman"/>
        </w:rPr>
        <w:t xml:space="preserve"> supporting efforts to attract better-quality funding that is less projectized and transactional</w:t>
      </w:r>
      <w:r>
        <w:rPr>
          <w:rFonts w:ascii="Times New Roman" w:hAnsi="Times New Roman" w:cs="Times New Roman"/>
        </w:rPr>
        <w:t>,</w:t>
      </w:r>
      <w:r w:rsidRPr="484B8A45">
        <w:rPr>
          <w:rFonts w:ascii="Times New Roman" w:hAnsi="Times New Roman" w:cs="Times New Roman"/>
        </w:rPr>
        <w:t xml:space="preserve"> and supports systemic change. </w:t>
      </w:r>
    </w:p>
    <w:p w14:paraId="67CF9751" w14:textId="77777777" w:rsidR="008D3F1E" w:rsidRPr="002E47FA" w:rsidRDefault="008D3F1E" w:rsidP="008D3F1E">
      <w:pPr>
        <w:spacing w:after="0" w:line="240" w:lineRule="auto"/>
        <w:jc w:val="both"/>
        <w:rPr>
          <w:rFonts w:ascii="Times New Roman" w:hAnsi="Times New Roman" w:cs="Times New Roman"/>
        </w:rPr>
      </w:pPr>
    </w:p>
    <w:p w14:paraId="21ECF69D" w14:textId="77777777" w:rsidR="008D3F1E" w:rsidRPr="002E47FA" w:rsidRDefault="008D3F1E" w:rsidP="008D3F1E">
      <w:pPr>
        <w:spacing w:after="0" w:line="240" w:lineRule="auto"/>
        <w:jc w:val="both"/>
        <w:rPr>
          <w:rFonts w:ascii="Times New Roman" w:hAnsi="Times New Roman" w:cs="Times New Roman"/>
        </w:rPr>
      </w:pPr>
      <w:r w:rsidRPr="484B8A45">
        <w:rPr>
          <w:rFonts w:ascii="Times New Roman" w:hAnsi="Times New Roman" w:cs="Times New Roman"/>
        </w:rPr>
        <w:t>To meet increasing demands driven by change</w:t>
      </w:r>
      <w:r>
        <w:rPr>
          <w:rFonts w:ascii="Times New Roman" w:hAnsi="Times New Roman" w:cs="Times New Roman"/>
        </w:rPr>
        <w:t>s</w:t>
      </w:r>
      <w:r w:rsidRPr="484B8A45">
        <w:rPr>
          <w:rFonts w:ascii="Times New Roman" w:hAnsi="Times New Roman" w:cs="Times New Roman"/>
        </w:rPr>
        <w:t xml:space="preserve"> in context brought by the COVID-19 pandemic, UNDP is expanding its support to partner countries</w:t>
      </w:r>
      <w:r>
        <w:rPr>
          <w:rFonts w:ascii="Times New Roman" w:hAnsi="Times New Roman" w:cs="Times New Roman"/>
        </w:rPr>
        <w:t xml:space="preserve"> in the S</w:t>
      </w:r>
      <w:r w:rsidRPr="484B8A45">
        <w:rPr>
          <w:rFonts w:ascii="Times New Roman" w:hAnsi="Times New Roman" w:cs="Times New Roman"/>
        </w:rPr>
        <w:t xml:space="preserve">trategic </w:t>
      </w:r>
      <w:r>
        <w:rPr>
          <w:rFonts w:ascii="Times New Roman" w:hAnsi="Times New Roman" w:cs="Times New Roman"/>
        </w:rPr>
        <w:t>P</w:t>
      </w:r>
      <w:r w:rsidRPr="484B8A45">
        <w:rPr>
          <w:rFonts w:ascii="Times New Roman" w:hAnsi="Times New Roman" w:cs="Times New Roman"/>
        </w:rPr>
        <w:t>lan, 2022-2025</w:t>
      </w:r>
      <w:r>
        <w:rPr>
          <w:rFonts w:ascii="Times New Roman" w:hAnsi="Times New Roman" w:cs="Times New Roman"/>
        </w:rPr>
        <w:t xml:space="preserve"> and this includes </w:t>
      </w:r>
      <w:r w:rsidRPr="484B8A45">
        <w:rPr>
          <w:rFonts w:ascii="Times New Roman" w:hAnsi="Times New Roman" w:cs="Times New Roman"/>
        </w:rPr>
        <w:t>in areas of development financing, strategic innovation and digital transformation (enablers), and creating opportunities to deliver more responsive and effective services to citizens. As part of the</w:t>
      </w:r>
      <w:r>
        <w:rPr>
          <w:rFonts w:ascii="Times New Roman" w:hAnsi="Times New Roman" w:cs="Times New Roman"/>
        </w:rPr>
        <w:t>se</w:t>
      </w:r>
      <w:r w:rsidRPr="484B8A45">
        <w:rPr>
          <w:rFonts w:ascii="Times New Roman" w:hAnsi="Times New Roman" w:cs="Times New Roman"/>
        </w:rPr>
        <w:t xml:space="preserve"> efforts, UNDP </w:t>
      </w:r>
      <w:r>
        <w:rPr>
          <w:rFonts w:ascii="Times New Roman" w:hAnsi="Times New Roman" w:cs="Times New Roman"/>
        </w:rPr>
        <w:t>implemented</w:t>
      </w:r>
      <w:r w:rsidRPr="484B8A45">
        <w:rPr>
          <w:rFonts w:ascii="Times New Roman" w:hAnsi="Times New Roman" w:cs="Times New Roman"/>
        </w:rPr>
        <w:t xml:space="preserve"> its first Data Strategy, drawing on the UNSG Data Strategy to establish foundations across governance, people, technology, and partnerships.</w:t>
      </w:r>
      <w:r>
        <w:t xml:space="preserve"> </w:t>
      </w:r>
      <w:r w:rsidRPr="484B8A45">
        <w:rPr>
          <w:rFonts w:ascii="Times New Roman" w:hAnsi="Times New Roman" w:cs="Times New Roman"/>
        </w:rPr>
        <w:t xml:space="preserve">In addition, </w:t>
      </w:r>
      <w:r>
        <w:rPr>
          <w:rFonts w:ascii="Times New Roman" w:hAnsi="Times New Roman" w:cs="Times New Roman"/>
        </w:rPr>
        <w:t>through</w:t>
      </w:r>
      <w:r w:rsidRPr="484B8A45">
        <w:rPr>
          <w:rFonts w:ascii="Times New Roman" w:hAnsi="Times New Roman" w:cs="Times New Roman"/>
        </w:rPr>
        <w:t xml:space="preserve"> the creation of the Strategic Innovation Unit and pivot in approach </w:t>
      </w:r>
      <w:r>
        <w:rPr>
          <w:rFonts w:ascii="Times New Roman" w:hAnsi="Times New Roman" w:cs="Times New Roman"/>
        </w:rPr>
        <w:t>of</w:t>
      </w:r>
      <w:r w:rsidRPr="484B8A45">
        <w:rPr>
          <w:rFonts w:ascii="Times New Roman" w:hAnsi="Times New Roman" w:cs="Times New Roman"/>
        </w:rPr>
        <w:t xml:space="preserve"> the Innovation Facility, UNDP will continue to explore a transformational method </w:t>
      </w:r>
      <w:r>
        <w:rPr>
          <w:rFonts w:ascii="Times New Roman" w:hAnsi="Times New Roman" w:cs="Times New Roman"/>
        </w:rPr>
        <w:t>of innovating</w:t>
      </w:r>
      <w:r w:rsidRPr="484B8A45">
        <w:rPr>
          <w:rFonts w:ascii="Times New Roman" w:hAnsi="Times New Roman" w:cs="Times New Roman"/>
        </w:rPr>
        <w:t xml:space="preserve"> through “deep demonstrations</w:t>
      </w:r>
      <w:r>
        <w:rPr>
          <w:rFonts w:ascii="Times New Roman" w:hAnsi="Times New Roman" w:cs="Times New Roman"/>
        </w:rPr>
        <w:t>.</w:t>
      </w:r>
      <w:r w:rsidRPr="484B8A45">
        <w:rPr>
          <w:rFonts w:ascii="Times New Roman" w:hAnsi="Times New Roman" w:cs="Times New Roman"/>
        </w:rPr>
        <w:t>”</w:t>
      </w:r>
    </w:p>
    <w:p w14:paraId="1ABDA600" w14:textId="77777777" w:rsidR="008D3F1E" w:rsidRPr="002E47FA" w:rsidRDefault="008D3F1E" w:rsidP="008D3F1E">
      <w:pPr>
        <w:spacing w:after="0" w:line="240" w:lineRule="auto"/>
        <w:jc w:val="both"/>
        <w:rPr>
          <w:rFonts w:ascii="Times New Roman" w:hAnsi="Times New Roman" w:cs="Times New Roman"/>
        </w:rPr>
      </w:pPr>
    </w:p>
    <w:p w14:paraId="789613FB" w14:textId="77777777" w:rsidR="008D3F1E" w:rsidRPr="002E47FA" w:rsidRDefault="008D3F1E" w:rsidP="008D3F1E">
      <w:pPr>
        <w:spacing w:after="0" w:line="240" w:lineRule="auto"/>
        <w:jc w:val="both"/>
        <w:rPr>
          <w:rFonts w:ascii="Times New Roman" w:hAnsi="Times New Roman" w:cs="Times New Roman"/>
        </w:rPr>
      </w:pPr>
      <w:r w:rsidRPr="002E47FA">
        <w:rPr>
          <w:rFonts w:ascii="Times New Roman" w:hAnsi="Times New Roman" w:cs="Times New Roman"/>
        </w:rPr>
        <w:t xml:space="preserve">Following evaluation recommendations, UNDP </w:t>
      </w:r>
      <w:r>
        <w:rPr>
          <w:rFonts w:ascii="Times New Roman" w:hAnsi="Times New Roman" w:cs="Times New Roman"/>
        </w:rPr>
        <w:t>works</w:t>
      </w:r>
      <w:r w:rsidRPr="002E47FA">
        <w:rPr>
          <w:rFonts w:ascii="Times New Roman" w:hAnsi="Times New Roman" w:cs="Times New Roman"/>
        </w:rPr>
        <w:t xml:space="preserve"> towards integrating gender equality and women’s empowerment as a development accelerator.</w:t>
      </w:r>
      <w:r w:rsidRPr="002E47FA">
        <w:t xml:space="preserve"> </w:t>
      </w:r>
      <w:r w:rsidRPr="002E47FA">
        <w:rPr>
          <w:rFonts w:ascii="Times New Roman" w:hAnsi="Times New Roman" w:cs="Times New Roman"/>
        </w:rPr>
        <w:t xml:space="preserve">UNDP country offices and regional hubs will prioritize investments </w:t>
      </w:r>
      <w:r>
        <w:rPr>
          <w:rFonts w:ascii="Times New Roman" w:hAnsi="Times New Roman" w:cs="Times New Roman"/>
        </w:rPr>
        <w:t>for</w:t>
      </w:r>
      <w:r w:rsidRPr="002E47FA">
        <w:rPr>
          <w:rFonts w:ascii="Times New Roman" w:hAnsi="Times New Roman" w:cs="Times New Roman"/>
        </w:rPr>
        <w:t xml:space="preserve"> strengthening government capacities to formulate and implement public policies that deliver for all.</w:t>
      </w:r>
      <w:r w:rsidRPr="002E47FA">
        <w:t xml:space="preserve"> </w:t>
      </w:r>
      <w:r w:rsidRPr="002E47FA">
        <w:rPr>
          <w:rFonts w:ascii="Times New Roman" w:hAnsi="Times New Roman" w:cs="Times New Roman"/>
        </w:rPr>
        <w:t>The</w:t>
      </w:r>
      <w:r>
        <w:rPr>
          <w:rFonts w:ascii="Times New Roman" w:hAnsi="Times New Roman" w:cs="Times New Roman"/>
        </w:rPr>
        <w:t xml:space="preserve"> ongoing</w:t>
      </w:r>
      <w:r w:rsidRPr="002E47FA">
        <w:rPr>
          <w:rFonts w:ascii="Times New Roman" w:hAnsi="Times New Roman" w:cs="Times New Roman"/>
        </w:rPr>
        <w:t xml:space="preserve"> Gender Equality Seal 2021-2023 </w:t>
      </w:r>
      <w:r>
        <w:rPr>
          <w:rFonts w:ascii="Times New Roman" w:hAnsi="Times New Roman" w:cs="Times New Roman"/>
        </w:rPr>
        <w:t>has seen the enrollment of</w:t>
      </w:r>
      <w:r w:rsidRPr="002E47FA">
        <w:rPr>
          <w:rFonts w:ascii="Times New Roman" w:hAnsi="Times New Roman" w:cs="Times New Roman"/>
        </w:rPr>
        <w:t xml:space="preserve"> 83 country offices. </w:t>
      </w:r>
      <w:r>
        <w:rPr>
          <w:rFonts w:ascii="Times New Roman" w:hAnsi="Times New Roman" w:cs="Times New Roman"/>
        </w:rPr>
        <w:t>UNDP will use</w:t>
      </w:r>
      <w:r w:rsidRPr="002E47FA">
        <w:rPr>
          <w:rFonts w:ascii="Times New Roman" w:hAnsi="Times New Roman" w:cs="Times New Roman"/>
        </w:rPr>
        <w:t xml:space="preserve"> the new Gender and Crisis Engagement Facility</w:t>
      </w:r>
      <w:r>
        <w:rPr>
          <w:rFonts w:ascii="Times New Roman" w:hAnsi="Times New Roman" w:cs="Times New Roman"/>
        </w:rPr>
        <w:t xml:space="preserve"> to tailor </w:t>
      </w:r>
      <w:r w:rsidRPr="002E47FA">
        <w:rPr>
          <w:rFonts w:ascii="Times New Roman" w:hAnsi="Times New Roman" w:cs="Times New Roman"/>
        </w:rPr>
        <w:t xml:space="preserve">its responses in crisis contexts, with transformational approaches </w:t>
      </w:r>
      <w:r>
        <w:rPr>
          <w:rFonts w:ascii="Times New Roman" w:hAnsi="Times New Roman" w:cs="Times New Roman"/>
        </w:rPr>
        <w:t>that</w:t>
      </w:r>
      <w:r w:rsidRPr="002E47FA">
        <w:rPr>
          <w:rFonts w:ascii="Times New Roman" w:hAnsi="Times New Roman" w:cs="Times New Roman"/>
        </w:rPr>
        <w:t xml:space="preserve"> increase women’s leadership, economic empowerment, and access to justice.</w:t>
      </w:r>
    </w:p>
    <w:p w14:paraId="3089770D" w14:textId="77777777" w:rsidR="008D3F1E" w:rsidRPr="002E47FA" w:rsidRDefault="008D3F1E" w:rsidP="008D3F1E">
      <w:pPr>
        <w:spacing w:after="0" w:line="240" w:lineRule="auto"/>
        <w:jc w:val="both"/>
        <w:rPr>
          <w:rFonts w:ascii="Times New Roman" w:hAnsi="Times New Roman" w:cs="Times New Roman"/>
        </w:rPr>
      </w:pPr>
    </w:p>
    <w:p w14:paraId="24A8F2BC" w14:textId="77777777" w:rsidR="008D3F1E" w:rsidRPr="002E47FA" w:rsidRDefault="008D3F1E" w:rsidP="008D3F1E">
      <w:pPr>
        <w:spacing w:after="0" w:line="240" w:lineRule="auto"/>
        <w:jc w:val="both"/>
        <w:rPr>
          <w:rFonts w:ascii="Times New Roman" w:hAnsi="Times New Roman" w:cs="Times New Roman"/>
        </w:rPr>
      </w:pPr>
      <w:r w:rsidRPr="484B8A45">
        <w:rPr>
          <w:rFonts w:ascii="Times New Roman" w:hAnsi="Times New Roman" w:cs="Times New Roman"/>
        </w:rPr>
        <w:t xml:space="preserve">Acknowledging the evaluation recommendation to strengthen results-based management and systems, UNDP is holistically redesigning results planning, monitoring, and reporting systems (the corporate planning system) </w:t>
      </w:r>
      <w:r>
        <w:rPr>
          <w:rFonts w:ascii="Times New Roman" w:hAnsi="Times New Roman" w:cs="Times New Roman"/>
        </w:rPr>
        <w:t>to</w:t>
      </w:r>
      <w:r w:rsidRPr="484B8A45">
        <w:rPr>
          <w:rFonts w:ascii="Times New Roman" w:hAnsi="Times New Roman" w:cs="Times New Roman"/>
        </w:rPr>
        <w:t xml:space="preserve"> link results at all levels </w:t>
      </w:r>
      <w:r>
        <w:rPr>
          <w:rFonts w:ascii="Times New Roman" w:hAnsi="Times New Roman" w:cs="Times New Roman"/>
        </w:rPr>
        <w:t>in</w:t>
      </w:r>
      <w:r w:rsidRPr="484B8A45">
        <w:rPr>
          <w:rFonts w:ascii="Times New Roman" w:hAnsi="Times New Roman" w:cs="Times New Roman"/>
        </w:rPr>
        <w:t xml:space="preserve"> support </w:t>
      </w:r>
      <w:r>
        <w:rPr>
          <w:rFonts w:ascii="Times New Roman" w:hAnsi="Times New Roman" w:cs="Times New Roman"/>
        </w:rPr>
        <w:t xml:space="preserve">of </w:t>
      </w:r>
      <w:r w:rsidRPr="484B8A45">
        <w:rPr>
          <w:rFonts w:ascii="Times New Roman" w:hAnsi="Times New Roman" w:cs="Times New Roman"/>
        </w:rPr>
        <w:t xml:space="preserve">the implementation of the </w:t>
      </w:r>
      <w:r>
        <w:rPr>
          <w:rFonts w:ascii="Times New Roman" w:hAnsi="Times New Roman" w:cs="Times New Roman"/>
        </w:rPr>
        <w:t>S</w:t>
      </w:r>
      <w:r w:rsidRPr="484B8A45">
        <w:rPr>
          <w:rFonts w:ascii="Times New Roman" w:hAnsi="Times New Roman" w:cs="Times New Roman"/>
        </w:rPr>
        <w:t xml:space="preserve">trategic </w:t>
      </w:r>
      <w:r>
        <w:rPr>
          <w:rFonts w:ascii="Times New Roman" w:hAnsi="Times New Roman" w:cs="Times New Roman"/>
        </w:rPr>
        <w:t>P</w:t>
      </w:r>
      <w:r w:rsidRPr="484B8A45">
        <w:rPr>
          <w:rFonts w:ascii="Times New Roman" w:hAnsi="Times New Roman" w:cs="Times New Roman"/>
        </w:rPr>
        <w:t>lan 2022-2025</w:t>
      </w:r>
      <w:r>
        <w:rPr>
          <w:rFonts w:ascii="Times New Roman" w:hAnsi="Times New Roman" w:cs="Times New Roman"/>
        </w:rPr>
        <w:t xml:space="preserve">, </w:t>
      </w:r>
      <w:r w:rsidRPr="484B8A45">
        <w:rPr>
          <w:rFonts w:ascii="Times New Roman" w:hAnsi="Times New Roman" w:cs="Times New Roman"/>
        </w:rPr>
        <w:t xml:space="preserve">streamlining the new enterprise resource planning system </w:t>
      </w:r>
      <w:r>
        <w:rPr>
          <w:rFonts w:ascii="Times New Roman" w:hAnsi="Times New Roman" w:cs="Times New Roman"/>
        </w:rPr>
        <w:t>with</w:t>
      </w:r>
      <w:r w:rsidRPr="484B8A45">
        <w:rPr>
          <w:rFonts w:ascii="Times New Roman" w:hAnsi="Times New Roman" w:cs="Times New Roman"/>
        </w:rPr>
        <w:t xml:space="preserve"> existing platforms. This architecture will enhance capabilit</w:t>
      </w:r>
      <w:r>
        <w:rPr>
          <w:rFonts w:ascii="Times New Roman" w:hAnsi="Times New Roman" w:cs="Times New Roman"/>
        </w:rPr>
        <w:t>ies</w:t>
      </w:r>
      <w:r w:rsidRPr="484B8A45">
        <w:rPr>
          <w:rFonts w:ascii="Times New Roman" w:hAnsi="Times New Roman" w:cs="Times New Roman"/>
        </w:rPr>
        <w:t xml:space="preserve"> for results planning, performance monitoring, sharing lessons, improv</w:t>
      </w:r>
      <w:r>
        <w:rPr>
          <w:rFonts w:ascii="Times New Roman" w:hAnsi="Times New Roman" w:cs="Times New Roman"/>
        </w:rPr>
        <w:t>ing</w:t>
      </w:r>
      <w:r w:rsidRPr="484B8A45">
        <w:rPr>
          <w:rFonts w:ascii="Times New Roman" w:hAnsi="Times New Roman" w:cs="Times New Roman"/>
        </w:rPr>
        <w:t xml:space="preserve"> results at all levels</w:t>
      </w:r>
      <w:r>
        <w:rPr>
          <w:rFonts w:ascii="Times New Roman" w:hAnsi="Times New Roman" w:cs="Times New Roman"/>
        </w:rPr>
        <w:t>,</w:t>
      </w:r>
      <w:r w:rsidRPr="484B8A45">
        <w:rPr>
          <w:rFonts w:ascii="Times New Roman" w:hAnsi="Times New Roman" w:cs="Times New Roman"/>
        </w:rPr>
        <w:t xml:space="preserve"> and increas</w:t>
      </w:r>
      <w:r>
        <w:rPr>
          <w:rFonts w:ascii="Times New Roman" w:hAnsi="Times New Roman" w:cs="Times New Roman"/>
        </w:rPr>
        <w:t>ing</w:t>
      </w:r>
      <w:r w:rsidRPr="484B8A45">
        <w:rPr>
          <w:rFonts w:ascii="Times New Roman" w:hAnsi="Times New Roman" w:cs="Times New Roman"/>
        </w:rPr>
        <w:t xml:space="preserve"> transparency. </w:t>
      </w:r>
    </w:p>
    <w:p w14:paraId="0074D4F1" w14:textId="77777777" w:rsidR="008D3F1E" w:rsidRPr="002E47FA" w:rsidRDefault="008D3F1E" w:rsidP="008D3F1E">
      <w:pPr>
        <w:spacing w:after="0" w:line="240" w:lineRule="auto"/>
        <w:jc w:val="both"/>
        <w:rPr>
          <w:rFonts w:ascii="Times New Roman" w:hAnsi="Times New Roman" w:cs="Times New Roman"/>
          <w:color w:val="0A0A0A"/>
          <w:spacing w:val="8"/>
        </w:rPr>
      </w:pPr>
    </w:p>
    <w:p w14:paraId="1D19CF56" w14:textId="77777777" w:rsidR="008D3F1E" w:rsidRPr="002E47FA" w:rsidRDefault="008D3F1E" w:rsidP="008D3F1E">
      <w:pPr>
        <w:tabs>
          <w:tab w:val="left" w:pos="450"/>
          <w:tab w:val="left" w:pos="2250"/>
        </w:tabs>
        <w:spacing w:before="120" w:after="0" w:line="240" w:lineRule="auto"/>
        <w:ind w:right="1224"/>
        <w:jc w:val="both"/>
        <w:rPr>
          <w:rFonts w:ascii="Times New Roman" w:eastAsia="Batang" w:hAnsi="Times New Roman" w:cs="Times New Roman"/>
          <w:b/>
          <w:bCs/>
          <w:lang w:eastAsia="ko-KR"/>
        </w:rPr>
      </w:pPr>
      <w:r w:rsidRPr="1E7C5B12">
        <w:rPr>
          <w:rFonts w:ascii="Times New Roman" w:eastAsia="Batang" w:hAnsi="Times New Roman" w:cs="Times New Roman"/>
          <w:b/>
          <w:bCs/>
          <w:lang w:eastAsia="ko-KR"/>
        </w:rPr>
        <w:t>Evaluation of the GEF Small Grants Programme</w:t>
      </w:r>
    </w:p>
    <w:p w14:paraId="0233C90D" w14:textId="77777777" w:rsidR="008D3F1E" w:rsidRPr="002E47FA" w:rsidRDefault="008D3F1E" w:rsidP="008D3F1E">
      <w:pPr>
        <w:spacing w:after="0" w:line="240" w:lineRule="auto"/>
        <w:jc w:val="both"/>
        <w:rPr>
          <w:rFonts w:ascii="Times New Roman" w:hAnsi="Times New Roman" w:cs="Times New Roman"/>
          <w:color w:val="0A0A0A"/>
          <w:spacing w:val="8"/>
        </w:rPr>
      </w:pPr>
      <w:r w:rsidRPr="002E47FA">
        <w:rPr>
          <w:rFonts w:ascii="Times New Roman" w:hAnsi="Times New Roman" w:cs="Times New Roman"/>
          <w:color w:val="0A0A0A"/>
          <w:spacing w:val="8"/>
        </w:rPr>
        <w:lastRenderedPageBreak/>
        <w:t>Completed in 2021</w:t>
      </w:r>
    </w:p>
    <w:p w14:paraId="17B4962F" w14:textId="77777777" w:rsidR="008D3F1E" w:rsidRPr="002E47FA" w:rsidRDefault="008D3F1E" w:rsidP="008D3F1E">
      <w:pPr>
        <w:spacing w:after="0" w:line="240" w:lineRule="auto"/>
        <w:jc w:val="both"/>
        <w:rPr>
          <w:rFonts w:ascii="Times New Roman" w:hAnsi="Times New Roman" w:cs="Times New Roman"/>
        </w:rPr>
      </w:pPr>
    </w:p>
    <w:p w14:paraId="05F2497B" w14:textId="77777777" w:rsidR="008D3F1E" w:rsidRPr="002E47FA" w:rsidRDefault="008D3F1E" w:rsidP="008D3F1E">
      <w:pPr>
        <w:spacing w:after="0" w:line="240" w:lineRule="auto"/>
        <w:jc w:val="both"/>
        <w:rPr>
          <w:rFonts w:ascii="Times New Roman" w:hAnsi="Times New Roman" w:cs="Times New Roman"/>
        </w:rPr>
      </w:pPr>
      <w:r w:rsidRPr="722B1047">
        <w:rPr>
          <w:rFonts w:ascii="Times New Roman" w:hAnsi="Times New Roman" w:cs="Times New Roman"/>
        </w:rPr>
        <w:t xml:space="preserve">The Small Grants Programme (SGP), a flagship corporate programme of the Global Environment Facility (GEF) implemented by UNDP, was evaluated jointly by the GEF Independent Evaluation Office and UNDP Independent Evaluation Office. The purpose of the joint evaluation was to provide the UNDP Executive Board and GEF Council with evaluative evidence of SGP relevance, effectiveness, efficiency and sustainability while examining whether any changes are required to improve efficacy. </w:t>
      </w:r>
    </w:p>
    <w:p w14:paraId="3AF9AF97" w14:textId="77777777" w:rsidR="008D3F1E" w:rsidRPr="002E47FA" w:rsidRDefault="008D3F1E" w:rsidP="008D3F1E">
      <w:pPr>
        <w:spacing w:after="0" w:line="240" w:lineRule="auto"/>
        <w:jc w:val="both"/>
        <w:rPr>
          <w:rFonts w:ascii="Times New Roman" w:hAnsi="Times New Roman" w:cs="Times New Roman"/>
        </w:rPr>
      </w:pPr>
    </w:p>
    <w:p w14:paraId="17D20305" w14:textId="77777777" w:rsidR="008D3F1E" w:rsidRPr="002E47FA" w:rsidRDefault="008D3F1E" w:rsidP="008D3F1E">
      <w:pPr>
        <w:spacing w:after="0" w:line="240" w:lineRule="auto"/>
        <w:jc w:val="both"/>
        <w:rPr>
          <w:rFonts w:ascii="Times New Roman" w:hAnsi="Times New Roman" w:cs="Times New Roman"/>
        </w:rPr>
      </w:pPr>
      <w:r w:rsidRPr="722B1047">
        <w:rPr>
          <w:rFonts w:ascii="Times New Roman" w:hAnsi="Times New Roman" w:cs="Times New Roman"/>
        </w:rPr>
        <w:t>As per evaluation</w:t>
      </w:r>
      <w:r>
        <w:rPr>
          <w:rFonts w:ascii="Times New Roman" w:hAnsi="Times New Roman" w:cs="Times New Roman"/>
        </w:rPr>
        <w:t xml:space="preserve"> recommendations</w:t>
      </w:r>
      <w:r w:rsidRPr="722B1047">
        <w:rPr>
          <w:rFonts w:ascii="Times New Roman" w:hAnsi="Times New Roman" w:cs="Times New Roman"/>
        </w:rPr>
        <w:t>, the GEF Secretariat</w:t>
      </w:r>
      <w:r>
        <w:rPr>
          <w:rFonts w:ascii="Times New Roman" w:hAnsi="Times New Roman" w:cs="Times New Roman"/>
        </w:rPr>
        <w:t xml:space="preserve">, </w:t>
      </w:r>
      <w:r w:rsidRPr="722B1047">
        <w:rPr>
          <w:rFonts w:ascii="Times New Roman" w:hAnsi="Times New Roman" w:cs="Times New Roman"/>
        </w:rPr>
        <w:t xml:space="preserve">UNDP, </w:t>
      </w:r>
      <w:r>
        <w:rPr>
          <w:rFonts w:ascii="Times New Roman" w:hAnsi="Times New Roman" w:cs="Times New Roman"/>
        </w:rPr>
        <w:t>and</w:t>
      </w:r>
      <w:r w:rsidRPr="722B1047">
        <w:rPr>
          <w:rFonts w:ascii="Times New Roman" w:hAnsi="Times New Roman" w:cs="Times New Roman"/>
        </w:rPr>
        <w:t xml:space="preserve"> SGP Central Programme Management Team developed a draft concept note for </w:t>
      </w:r>
      <w:r>
        <w:rPr>
          <w:rFonts w:ascii="Times New Roman" w:hAnsi="Times New Roman" w:cs="Times New Roman"/>
        </w:rPr>
        <w:t>a</w:t>
      </w:r>
      <w:r w:rsidRPr="722B1047">
        <w:rPr>
          <w:rFonts w:ascii="Times New Roman" w:hAnsi="Times New Roman" w:cs="Times New Roman"/>
        </w:rPr>
        <w:t xml:space="preserve"> long-term visioning exercise for SGP with a focus on growth, synergies, and scaling up. Based on GEF Secretariat suggestion</w:t>
      </w:r>
      <w:r>
        <w:rPr>
          <w:rFonts w:ascii="Times New Roman" w:hAnsi="Times New Roman" w:cs="Times New Roman"/>
        </w:rPr>
        <w:t>s</w:t>
      </w:r>
      <w:r w:rsidRPr="722B1047">
        <w:rPr>
          <w:rFonts w:ascii="Times New Roman" w:hAnsi="Times New Roman" w:cs="Times New Roman"/>
        </w:rPr>
        <w:t xml:space="preserve">, the consultation process is now envisioned </w:t>
      </w:r>
      <w:r>
        <w:rPr>
          <w:rFonts w:ascii="Times New Roman" w:hAnsi="Times New Roman" w:cs="Times New Roman"/>
        </w:rPr>
        <w:t>to be</w:t>
      </w:r>
      <w:r w:rsidRPr="722B1047">
        <w:rPr>
          <w:rFonts w:ascii="Times New Roman" w:hAnsi="Times New Roman" w:cs="Times New Roman"/>
        </w:rPr>
        <w:t xml:space="preserve"> a longer-term exercise </w:t>
      </w:r>
      <w:r>
        <w:rPr>
          <w:rFonts w:ascii="Times New Roman" w:hAnsi="Times New Roman" w:cs="Times New Roman"/>
        </w:rPr>
        <w:t>that will</w:t>
      </w:r>
      <w:r w:rsidRPr="722B1047">
        <w:rPr>
          <w:rFonts w:ascii="Times New Roman" w:hAnsi="Times New Roman" w:cs="Times New Roman"/>
        </w:rPr>
        <w:t xml:space="preserve"> take place during GEF-8 (2022-2026), with consultations initiated mid-2022. The draft concept note proposes strategic directions of the SGP </w:t>
      </w:r>
      <w:r>
        <w:rPr>
          <w:rFonts w:ascii="Times New Roman" w:hAnsi="Times New Roman" w:cs="Times New Roman"/>
        </w:rPr>
        <w:t xml:space="preserve">be </w:t>
      </w:r>
      <w:r w:rsidRPr="722B1047">
        <w:rPr>
          <w:rFonts w:ascii="Times New Roman" w:hAnsi="Times New Roman" w:cs="Times New Roman"/>
        </w:rPr>
        <w:t>in alignment with GEF-8 programming directions and the UNDP Strategic Plan, 2022–2025.</w:t>
      </w:r>
    </w:p>
    <w:p w14:paraId="6ECA99CD" w14:textId="77777777" w:rsidR="008D3F1E" w:rsidRPr="002E47FA" w:rsidRDefault="008D3F1E" w:rsidP="008D3F1E">
      <w:pPr>
        <w:spacing w:after="0" w:line="240" w:lineRule="auto"/>
        <w:jc w:val="both"/>
        <w:rPr>
          <w:rFonts w:ascii="Times New Roman" w:hAnsi="Times New Roman" w:cs="Times New Roman"/>
        </w:rPr>
      </w:pPr>
    </w:p>
    <w:p w14:paraId="6D7B3625" w14:textId="77777777" w:rsidR="008D3F1E" w:rsidRPr="002E47FA" w:rsidRDefault="008D3F1E" w:rsidP="008D3F1E">
      <w:pPr>
        <w:tabs>
          <w:tab w:val="left" w:pos="1350"/>
          <w:tab w:val="left" w:pos="1530"/>
          <w:tab w:val="left" w:pos="1710"/>
        </w:tabs>
        <w:spacing w:after="0" w:line="240" w:lineRule="auto"/>
        <w:ind w:right="86"/>
        <w:jc w:val="both"/>
        <w:rPr>
          <w:rFonts w:ascii="Times New Roman" w:hAnsi="Times New Roman" w:cs="Times New Roman"/>
        </w:rPr>
      </w:pPr>
      <w:r w:rsidRPr="722B1047">
        <w:rPr>
          <w:rFonts w:ascii="Times New Roman" w:hAnsi="Times New Roman" w:cs="Times New Roman"/>
        </w:rPr>
        <w:t>Several steps have been implemented towards ensuring sustainability of the SGP and its Country Programmes. The SGP is continuing to expand its CSO-government-private sector dialogue platform</w:t>
      </w:r>
      <w:r>
        <w:rPr>
          <w:rFonts w:ascii="Times New Roman" w:hAnsi="Times New Roman" w:cs="Times New Roman"/>
        </w:rPr>
        <w:t xml:space="preserve"> - </w:t>
      </w:r>
      <w:r w:rsidRPr="722B1047">
        <w:rPr>
          <w:rFonts w:ascii="Times New Roman" w:hAnsi="Times New Roman" w:cs="Times New Roman"/>
        </w:rPr>
        <w:t xml:space="preserve"> systematically investing in the capacity development of local civil society stakeholders; directly engaging socially marginalized groups in all stages of the grant cycle to enable community ownership and enhance inclusion; promote stronger linkages with relevant national policies and programmes, as well as scal</w:t>
      </w:r>
      <w:r>
        <w:rPr>
          <w:rFonts w:ascii="Times New Roman" w:hAnsi="Times New Roman" w:cs="Times New Roman"/>
        </w:rPr>
        <w:t>e</w:t>
      </w:r>
      <w:r w:rsidRPr="722B1047">
        <w:rPr>
          <w:rFonts w:ascii="Times New Roman" w:hAnsi="Times New Roman" w:cs="Times New Roman"/>
        </w:rPr>
        <w:t xml:space="preserve">-up larger donor- and government-led programmes and projects. </w:t>
      </w:r>
    </w:p>
    <w:p w14:paraId="2AD92034" w14:textId="77777777" w:rsidR="008D3F1E" w:rsidRPr="002E47FA" w:rsidRDefault="008D3F1E" w:rsidP="008D3F1E">
      <w:pPr>
        <w:tabs>
          <w:tab w:val="left" w:pos="1350"/>
          <w:tab w:val="left" w:pos="1530"/>
          <w:tab w:val="left" w:pos="1710"/>
        </w:tabs>
        <w:spacing w:after="0" w:line="240" w:lineRule="auto"/>
        <w:ind w:right="86"/>
        <w:jc w:val="both"/>
        <w:rPr>
          <w:rFonts w:ascii="Times New Roman" w:hAnsi="Times New Roman" w:cs="Times New Roman"/>
        </w:rPr>
      </w:pPr>
    </w:p>
    <w:p w14:paraId="66B540FB" w14:textId="77777777" w:rsidR="008D3F1E" w:rsidRDefault="008D3F1E" w:rsidP="008D3F1E">
      <w:pPr>
        <w:spacing w:after="0" w:line="240" w:lineRule="auto"/>
        <w:jc w:val="both"/>
        <w:rPr>
          <w:rFonts w:ascii="Times New Roman" w:hAnsi="Times New Roman" w:cs="Times New Roman"/>
        </w:rPr>
      </w:pPr>
      <w:r w:rsidRPr="722B1047">
        <w:rPr>
          <w:rFonts w:ascii="Times New Roman" w:hAnsi="Times New Roman" w:cs="Times New Roman"/>
        </w:rPr>
        <w:t>To support business-oriented approaches in</w:t>
      </w:r>
      <w:r>
        <w:rPr>
          <w:rFonts w:ascii="Times New Roman" w:hAnsi="Times New Roman" w:cs="Times New Roman"/>
        </w:rPr>
        <w:t xml:space="preserve"> c</w:t>
      </w:r>
      <w:r w:rsidRPr="722B1047">
        <w:rPr>
          <w:rFonts w:ascii="Times New Roman" w:hAnsi="Times New Roman" w:cs="Times New Roman"/>
        </w:rPr>
        <w:t xml:space="preserve">ountry </w:t>
      </w:r>
      <w:r>
        <w:rPr>
          <w:rFonts w:ascii="Times New Roman" w:hAnsi="Times New Roman" w:cs="Times New Roman"/>
        </w:rPr>
        <w:t>p</w:t>
      </w:r>
      <w:r w:rsidRPr="722B1047">
        <w:rPr>
          <w:rFonts w:ascii="Times New Roman" w:hAnsi="Times New Roman" w:cs="Times New Roman"/>
        </w:rPr>
        <w:t>rogrammes and projects, SGP is developing a private sector guidance note as part of its resource mobilization and partnership strategy (2020-2024)</w:t>
      </w:r>
      <w:r>
        <w:rPr>
          <w:rFonts w:ascii="Times New Roman" w:hAnsi="Times New Roman" w:cs="Times New Roman"/>
        </w:rPr>
        <w:t xml:space="preserve">. This will assist in </w:t>
      </w:r>
      <w:r w:rsidRPr="722B1047">
        <w:rPr>
          <w:rFonts w:ascii="Times New Roman" w:hAnsi="Times New Roman" w:cs="Times New Roman"/>
        </w:rPr>
        <w:t xml:space="preserve">enhancing private sector engagement and adoption of relevant business models, including support to small and medium-scale enterprises and </w:t>
      </w:r>
      <w:r>
        <w:rPr>
          <w:rFonts w:ascii="Times New Roman" w:hAnsi="Times New Roman" w:cs="Times New Roman"/>
        </w:rPr>
        <w:t xml:space="preserve">in the </w:t>
      </w:r>
      <w:r w:rsidRPr="722B1047">
        <w:rPr>
          <w:rFonts w:ascii="Times New Roman" w:hAnsi="Times New Roman" w:cs="Times New Roman"/>
        </w:rPr>
        <w:t>exploration of different financing scales and modalities through the SGP Country Programmes.</w:t>
      </w:r>
    </w:p>
    <w:p w14:paraId="528AD212" w14:textId="77777777" w:rsidR="008D3F1E" w:rsidRPr="002E47FA" w:rsidRDefault="008D3F1E" w:rsidP="008D3F1E">
      <w:pPr>
        <w:spacing w:after="0" w:line="240" w:lineRule="auto"/>
        <w:jc w:val="both"/>
        <w:rPr>
          <w:rFonts w:ascii="Times New Roman" w:hAnsi="Times New Roman" w:cs="Times New Roman"/>
        </w:rPr>
      </w:pPr>
    </w:p>
    <w:p w14:paraId="73F46E53" w14:textId="77777777" w:rsidR="002A6365" w:rsidRDefault="002A6365">
      <w:pPr>
        <w:rPr>
          <w:rFonts w:ascii="Times New Roman" w:eastAsia="Times New Roman,Batang" w:hAnsi="Times New Roman" w:cs="Times New Roman"/>
          <w:b/>
          <w:u w:val="single"/>
          <w:lang w:eastAsia="ko-KR"/>
        </w:rPr>
      </w:pPr>
      <w:r>
        <w:rPr>
          <w:rFonts w:ascii="Times New Roman" w:eastAsia="Times New Roman,Batang" w:hAnsi="Times New Roman" w:cs="Times New Roman"/>
          <w:b/>
          <w:u w:val="single"/>
          <w:lang w:eastAsia="ko-KR"/>
        </w:rPr>
        <w:br w:type="page"/>
      </w:r>
    </w:p>
    <w:p w14:paraId="32A9E42B" w14:textId="4EBE41F0" w:rsidR="008D3F1E" w:rsidRPr="002E47FA" w:rsidRDefault="008D3F1E" w:rsidP="008D3F1E">
      <w:pPr>
        <w:jc w:val="center"/>
        <w:rPr>
          <w:rFonts w:ascii="Times New Roman" w:eastAsia="Times New Roman,Batang" w:hAnsi="Times New Roman" w:cs="Times New Roman"/>
          <w:b/>
          <w:u w:val="single"/>
          <w:lang w:eastAsia="ko-KR"/>
        </w:rPr>
      </w:pPr>
      <w:r w:rsidRPr="002E47FA">
        <w:rPr>
          <w:rFonts w:ascii="Times New Roman" w:eastAsia="Times New Roman,Batang" w:hAnsi="Times New Roman" w:cs="Times New Roman"/>
          <w:b/>
          <w:u w:val="single"/>
          <w:lang w:eastAsia="ko-KR"/>
        </w:rPr>
        <w:lastRenderedPageBreak/>
        <w:t>ADDENDUM – II</w:t>
      </w:r>
    </w:p>
    <w:p w14:paraId="3AA3011D" w14:textId="77777777" w:rsidR="008D3F1E" w:rsidRPr="002E47FA" w:rsidRDefault="008D3F1E" w:rsidP="008D3F1E">
      <w:pPr>
        <w:spacing w:before="120" w:after="120" w:line="240" w:lineRule="auto"/>
        <w:jc w:val="center"/>
        <w:rPr>
          <w:rFonts w:ascii="Times New Roman" w:hAnsi="Times New Roman" w:cs="Times New Roman"/>
          <w:b/>
        </w:rPr>
      </w:pPr>
      <w:r w:rsidRPr="002E47FA">
        <w:rPr>
          <w:rFonts w:ascii="Times New Roman" w:hAnsi="Times New Roman" w:cs="Times New Roman"/>
          <w:b/>
        </w:rPr>
        <w:t xml:space="preserve">INDEPENDENT COUNTRY PROGRAMME EVALUATIONS </w:t>
      </w:r>
    </w:p>
    <w:p w14:paraId="1A6E97EB" w14:textId="77777777" w:rsidR="008D3F1E" w:rsidRPr="002E47FA" w:rsidRDefault="008D3F1E" w:rsidP="008D3F1E">
      <w:pPr>
        <w:spacing w:before="120" w:after="120" w:line="240" w:lineRule="auto"/>
        <w:jc w:val="center"/>
        <w:rPr>
          <w:rFonts w:ascii="Times New Roman" w:hAnsi="Times New Roman" w:cs="Times New Roman"/>
          <w:b/>
        </w:rPr>
      </w:pPr>
      <w:r w:rsidRPr="002E47FA">
        <w:rPr>
          <w:rFonts w:ascii="Times New Roman" w:eastAsia="Times New Roman,Batang" w:hAnsi="Times New Roman" w:cs="Times New Roman"/>
          <w:b/>
          <w:lang w:eastAsia="ko-KR"/>
        </w:rPr>
        <w:t>CASE REVIEWS: USE OF ICPES IN CPD FORMULATION 2021-2022</w:t>
      </w:r>
    </w:p>
    <w:p w14:paraId="1FC6D8CE" w14:textId="77777777" w:rsidR="008D3F1E" w:rsidRPr="002E47FA" w:rsidRDefault="008D3F1E" w:rsidP="008D3F1E">
      <w:pPr>
        <w:spacing w:after="0" w:line="240" w:lineRule="auto"/>
        <w:jc w:val="both"/>
        <w:rPr>
          <w:rFonts w:ascii="Times New Roman" w:hAnsi="Times New Roman" w:cs="Times New Roman"/>
          <w:b/>
        </w:rPr>
      </w:pPr>
    </w:p>
    <w:p w14:paraId="2A7826C9" w14:textId="77777777" w:rsidR="008D3F1E" w:rsidRPr="002E47FA" w:rsidRDefault="008D3F1E" w:rsidP="008D3F1E">
      <w:pPr>
        <w:spacing w:after="0" w:line="240" w:lineRule="auto"/>
        <w:jc w:val="both"/>
        <w:rPr>
          <w:rFonts w:ascii="Times New Roman" w:hAnsi="Times New Roman" w:cs="Times New Roman"/>
          <w:color w:val="000000"/>
        </w:rPr>
      </w:pPr>
      <w:r w:rsidRPr="002E47FA">
        <w:rPr>
          <w:rFonts w:ascii="Times New Roman" w:hAnsi="Times New Roman" w:cs="Times New Roman"/>
          <w:color w:val="000000"/>
        </w:rPr>
        <w:t>This section presents five case reviews, covering all five regions, to showcase how ICPE recommendations have been incorporated in the new CPD formulation in 2021 and 2022.</w:t>
      </w:r>
    </w:p>
    <w:p w14:paraId="5E74BF97" w14:textId="77777777" w:rsidR="008D3F1E" w:rsidRPr="002E47FA" w:rsidRDefault="008D3F1E" w:rsidP="008D3F1E">
      <w:pPr>
        <w:spacing w:after="0" w:line="240" w:lineRule="auto"/>
        <w:jc w:val="both"/>
        <w:rPr>
          <w:rFonts w:ascii="Times New Roman" w:hAnsi="Times New Roman" w:cs="Times New Roman"/>
          <w:color w:val="000000"/>
        </w:rPr>
      </w:pPr>
    </w:p>
    <w:p w14:paraId="3FE6E423" w14:textId="77777777" w:rsidR="008D3F1E" w:rsidRPr="002E47FA" w:rsidRDefault="008D3F1E" w:rsidP="008D3F1E">
      <w:pPr>
        <w:spacing w:after="0" w:line="240" w:lineRule="auto"/>
        <w:rPr>
          <w:rFonts w:ascii="Times New Roman" w:hAnsi="Times New Roman" w:cs="Times New Roman"/>
          <w:b/>
        </w:rPr>
      </w:pPr>
      <w:r w:rsidRPr="002E47FA">
        <w:rPr>
          <w:rFonts w:ascii="Times New Roman" w:hAnsi="Times New Roman" w:cs="Times New Roman"/>
          <w:b/>
        </w:rPr>
        <w:t xml:space="preserve">Guinea Bissau </w:t>
      </w:r>
    </w:p>
    <w:p w14:paraId="17CAFC37" w14:textId="77777777" w:rsidR="008D3F1E" w:rsidRDefault="008D3F1E" w:rsidP="008D3F1E">
      <w:pPr>
        <w:spacing w:after="0" w:line="240" w:lineRule="auto"/>
        <w:rPr>
          <w:rFonts w:ascii="Times New Roman" w:hAnsi="Times New Roman" w:cs="Times New Roman"/>
          <w:bCs/>
        </w:rPr>
      </w:pPr>
    </w:p>
    <w:p w14:paraId="613A9A3A" w14:textId="77777777" w:rsidR="008D3F1E" w:rsidRPr="001517F0" w:rsidRDefault="008D3F1E" w:rsidP="008D3F1E">
      <w:pPr>
        <w:spacing w:after="0" w:line="240" w:lineRule="auto"/>
        <w:jc w:val="both"/>
        <w:rPr>
          <w:rFonts w:ascii="Times New Roman" w:eastAsia="Times New Roman" w:hAnsi="Times New Roman" w:cs="Times New Roman"/>
          <w:lang w:eastAsia="en-GB"/>
        </w:rPr>
      </w:pPr>
      <w:r w:rsidRPr="001517F0">
        <w:rPr>
          <w:rFonts w:ascii="Times New Roman" w:eastAsia="Times New Roman" w:hAnsi="Times New Roman" w:cs="Times New Roman"/>
          <w:color w:val="222222"/>
          <w:shd w:val="clear" w:color="auto" w:fill="FFFFFF"/>
          <w:lang w:eastAsia="en-GB"/>
        </w:rPr>
        <w:t xml:space="preserve">The Guinea Bissau CPD for 2022-2026 was approved at the first regular session of 2022. </w:t>
      </w:r>
      <w:r w:rsidRPr="00AB70AF">
        <w:rPr>
          <w:rFonts w:ascii="Times New Roman" w:eastAsia="Times New Roman" w:hAnsi="Times New Roman" w:cs="Times New Roman"/>
          <w:color w:val="222222"/>
          <w:shd w:val="clear" w:color="auto" w:fill="FFFFFF"/>
          <w:lang w:eastAsia="en-GB"/>
        </w:rPr>
        <w:t>Its</w:t>
      </w:r>
      <w:r w:rsidRPr="001517F0">
        <w:rPr>
          <w:rFonts w:ascii="Times New Roman" w:eastAsia="Times New Roman" w:hAnsi="Times New Roman" w:cs="Times New Roman"/>
          <w:color w:val="222222"/>
          <w:shd w:val="clear" w:color="auto" w:fill="FFFFFF"/>
          <w:lang w:eastAsia="en-GB"/>
        </w:rPr>
        <w:t xml:space="preserve"> design was informed by the ICPE 2019 </w:t>
      </w:r>
      <w:r w:rsidRPr="00AB70AF">
        <w:rPr>
          <w:rFonts w:ascii="Times New Roman" w:eastAsia="Times New Roman" w:hAnsi="Times New Roman" w:cs="Times New Roman"/>
          <w:color w:val="222222"/>
          <w:shd w:val="clear" w:color="auto" w:fill="FFFFFF"/>
          <w:lang w:eastAsia="en-GB"/>
        </w:rPr>
        <w:t>and covered</w:t>
      </w:r>
      <w:r w:rsidRPr="001517F0">
        <w:rPr>
          <w:rFonts w:ascii="Times New Roman" w:eastAsia="Times New Roman" w:hAnsi="Times New Roman" w:cs="Times New Roman"/>
          <w:color w:val="222222"/>
          <w:shd w:val="clear" w:color="auto" w:fill="FFFFFF"/>
          <w:lang w:eastAsia="en-GB"/>
        </w:rPr>
        <w:t xml:space="preserve"> the country programme evaluation for the period of 2016-2020. The evaluation identified several areas for improvement and presented recommendations for UNDP consideration. According to the ICPE, UNDP should invest more strategically in inclusive growth, employment creation, and sustainable livelihoods programmes to respond to the most critical needs of the population </w:t>
      </w:r>
      <w:r w:rsidRPr="00AB70AF">
        <w:rPr>
          <w:rFonts w:ascii="Times New Roman" w:eastAsia="Times New Roman" w:hAnsi="Times New Roman" w:cs="Times New Roman"/>
          <w:color w:val="222222"/>
          <w:shd w:val="clear" w:color="auto" w:fill="FFFFFF"/>
          <w:lang w:eastAsia="en-GB"/>
        </w:rPr>
        <w:t>alongside</w:t>
      </w:r>
      <w:r w:rsidRPr="001517F0">
        <w:rPr>
          <w:rFonts w:ascii="Times New Roman" w:eastAsia="Times New Roman" w:hAnsi="Times New Roman" w:cs="Times New Roman"/>
          <w:color w:val="222222"/>
          <w:shd w:val="clear" w:color="auto" w:fill="FFFFFF"/>
          <w:lang w:eastAsia="en-GB"/>
        </w:rPr>
        <w:t xml:space="preserve"> breaking internal silos, creating a collaborative workspace and expand</w:t>
      </w:r>
      <w:r w:rsidRPr="00AB70AF">
        <w:rPr>
          <w:rFonts w:ascii="Times New Roman" w:eastAsia="Times New Roman" w:hAnsi="Times New Roman" w:cs="Times New Roman"/>
          <w:color w:val="222222"/>
          <w:shd w:val="clear" w:color="auto" w:fill="FFFFFF"/>
          <w:lang w:eastAsia="en-GB"/>
        </w:rPr>
        <w:t>ing</w:t>
      </w:r>
      <w:r w:rsidRPr="001517F0">
        <w:rPr>
          <w:rFonts w:ascii="Times New Roman" w:eastAsia="Times New Roman" w:hAnsi="Times New Roman" w:cs="Times New Roman"/>
          <w:color w:val="222222"/>
          <w:shd w:val="clear" w:color="auto" w:fill="FFFFFF"/>
          <w:lang w:eastAsia="en-GB"/>
        </w:rPr>
        <w:t xml:space="preserve"> partnerships. In the CPD for 2022-2026, UNDP merged environmental conservation and economic growth into </w:t>
      </w:r>
      <w:r w:rsidRPr="00AB70AF">
        <w:rPr>
          <w:rFonts w:ascii="Times New Roman" w:eastAsia="Times New Roman" w:hAnsi="Times New Roman" w:cs="Times New Roman"/>
          <w:color w:val="222222"/>
          <w:shd w:val="clear" w:color="auto" w:fill="FFFFFF"/>
          <w:lang w:eastAsia="en-GB"/>
        </w:rPr>
        <w:t>a</w:t>
      </w:r>
      <w:r w:rsidRPr="001517F0">
        <w:rPr>
          <w:rFonts w:ascii="Times New Roman" w:eastAsia="Times New Roman" w:hAnsi="Times New Roman" w:cs="Times New Roman"/>
          <w:color w:val="222222"/>
          <w:shd w:val="clear" w:color="auto" w:fill="FFFFFF"/>
          <w:lang w:eastAsia="en-GB"/>
        </w:rPr>
        <w:t xml:space="preserve"> single outcome </w:t>
      </w:r>
      <w:r w:rsidRPr="00AB70AF">
        <w:rPr>
          <w:rFonts w:ascii="Times New Roman" w:eastAsia="Times New Roman" w:hAnsi="Times New Roman" w:cs="Times New Roman"/>
          <w:color w:val="222222"/>
          <w:shd w:val="clear" w:color="auto" w:fill="FFFFFF"/>
          <w:lang w:eastAsia="en-GB"/>
        </w:rPr>
        <w:t>that shifts the</w:t>
      </w:r>
      <w:r w:rsidRPr="001517F0">
        <w:rPr>
          <w:rFonts w:ascii="Times New Roman" w:eastAsia="Times New Roman" w:hAnsi="Times New Roman" w:cs="Times New Roman"/>
          <w:color w:val="222222"/>
          <w:shd w:val="clear" w:color="auto" w:fill="FFFFFF"/>
          <w:lang w:eastAsia="en-GB"/>
        </w:rPr>
        <w:t xml:space="preserve"> focus on</w:t>
      </w:r>
      <w:r w:rsidRPr="00AB70AF">
        <w:rPr>
          <w:rFonts w:ascii="Times New Roman" w:eastAsia="Times New Roman" w:hAnsi="Times New Roman" w:cs="Times New Roman"/>
          <w:color w:val="222222"/>
          <w:shd w:val="clear" w:color="auto" w:fill="FFFFFF"/>
          <w:lang w:eastAsia="en-GB"/>
        </w:rPr>
        <w:t>to</w:t>
      </w:r>
      <w:r w:rsidRPr="001517F0">
        <w:rPr>
          <w:rFonts w:ascii="Times New Roman" w:eastAsia="Times New Roman" w:hAnsi="Times New Roman" w:cs="Times New Roman"/>
          <w:color w:val="222222"/>
          <w:shd w:val="clear" w:color="auto" w:fill="FFFFFF"/>
          <w:lang w:eastAsia="en-GB"/>
        </w:rPr>
        <w:t xml:space="preserve"> green and blue economic growth</w:t>
      </w:r>
      <w:r w:rsidRPr="00AB70AF">
        <w:rPr>
          <w:rFonts w:ascii="Times New Roman" w:eastAsia="Times New Roman" w:hAnsi="Times New Roman" w:cs="Times New Roman"/>
          <w:color w:val="222222"/>
          <w:shd w:val="clear" w:color="auto" w:fill="FFFFFF"/>
          <w:lang w:eastAsia="en-GB"/>
        </w:rPr>
        <w:t>,</w:t>
      </w:r>
      <w:r w:rsidRPr="001517F0">
        <w:rPr>
          <w:rFonts w:ascii="Times New Roman" w:eastAsia="Times New Roman" w:hAnsi="Times New Roman" w:cs="Times New Roman"/>
          <w:color w:val="222222"/>
          <w:shd w:val="clear" w:color="auto" w:fill="FFFFFF"/>
          <w:lang w:eastAsia="en-GB"/>
        </w:rPr>
        <w:t xml:space="preserve"> and </w:t>
      </w:r>
      <w:r w:rsidRPr="00AB70AF">
        <w:rPr>
          <w:rFonts w:ascii="Times New Roman" w:eastAsia="Times New Roman" w:hAnsi="Times New Roman" w:cs="Times New Roman"/>
          <w:color w:val="222222"/>
          <w:shd w:val="clear" w:color="auto" w:fill="FFFFFF"/>
          <w:lang w:eastAsia="en-GB"/>
        </w:rPr>
        <w:t xml:space="preserve">puts </w:t>
      </w:r>
      <w:r w:rsidRPr="001517F0">
        <w:rPr>
          <w:rFonts w:ascii="Times New Roman" w:eastAsia="Times New Roman" w:hAnsi="Times New Roman" w:cs="Times New Roman"/>
          <w:color w:val="222222"/>
          <w:shd w:val="clear" w:color="auto" w:fill="FFFFFF"/>
          <w:lang w:eastAsia="en-GB"/>
        </w:rPr>
        <w:t xml:space="preserve">a new lens on sustainable livelihoods. To address recommendations on adaptive management approaches </w:t>
      </w:r>
      <w:r w:rsidRPr="00AB70AF">
        <w:rPr>
          <w:rFonts w:ascii="Times New Roman" w:eastAsia="Times New Roman" w:hAnsi="Times New Roman" w:cs="Times New Roman"/>
          <w:color w:val="222222"/>
          <w:shd w:val="clear" w:color="auto" w:fill="FFFFFF"/>
          <w:lang w:eastAsia="en-GB"/>
        </w:rPr>
        <w:t>in</w:t>
      </w:r>
      <w:r w:rsidRPr="001517F0">
        <w:rPr>
          <w:rFonts w:ascii="Times New Roman" w:eastAsia="Times New Roman" w:hAnsi="Times New Roman" w:cs="Times New Roman"/>
          <w:color w:val="222222"/>
          <w:shd w:val="clear" w:color="auto" w:fill="FFFFFF"/>
          <w:lang w:eastAsia="en-GB"/>
        </w:rPr>
        <w:t xml:space="preserve"> fragile context</w:t>
      </w:r>
      <w:r w:rsidRPr="00AB70AF">
        <w:rPr>
          <w:rFonts w:ascii="Times New Roman" w:eastAsia="Times New Roman" w:hAnsi="Times New Roman" w:cs="Times New Roman"/>
          <w:color w:val="222222"/>
          <w:shd w:val="clear" w:color="auto" w:fill="FFFFFF"/>
          <w:lang w:eastAsia="en-GB"/>
        </w:rPr>
        <w:t>s</w:t>
      </w:r>
      <w:r w:rsidRPr="001517F0">
        <w:rPr>
          <w:rFonts w:ascii="Times New Roman" w:eastAsia="Times New Roman" w:hAnsi="Times New Roman" w:cs="Times New Roman"/>
          <w:color w:val="222222"/>
          <w:shd w:val="clear" w:color="auto" w:fill="FFFFFF"/>
          <w:lang w:eastAsia="en-GB"/>
        </w:rPr>
        <w:t xml:space="preserve">, UNDP contributed to the conflict analysis and Common Country Analysis </w:t>
      </w:r>
      <w:r w:rsidRPr="00AB70AF">
        <w:rPr>
          <w:rFonts w:ascii="Times New Roman" w:eastAsia="Times New Roman" w:hAnsi="Times New Roman" w:cs="Times New Roman"/>
          <w:color w:val="222222"/>
          <w:shd w:val="clear" w:color="auto" w:fill="FFFFFF"/>
          <w:lang w:eastAsia="en-GB"/>
        </w:rPr>
        <w:t xml:space="preserve">that informed </w:t>
      </w:r>
      <w:r w:rsidRPr="001517F0">
        <w:rPr>
          <w:rFonts w:ascii="Times New Roman" w:eastAsia="Times New Roman" w:hAnsi="Times New Roman" w:cs="Times New Roman"/>
          <w:color w:val="222222"/>
          <w:shd w:val="clear" w:color="auto" w:fill="FFFFFF"/>
          <w:lang w:eastAsia="en-GB"/>
        </w:rPr>
        <w:t xml:space="preserve">the </w:t>
      </w:r>
      <w:r w:rsidRPr="00AB70AF">
        <w:rPr>
          <w:rFonts w:ascii="Times New Roman" w:eastAsia="Times New Roman" w:hAnsi="Times New Roman" w:cs="Times New Roman"/>
          <w:color w:val="222222"/>
          <w:shd w:val="clear" w:color="auto" w:fill="FFFFFF"/>
          <w:lang w:eastAsia="en-GB"/>
        </w:rPr>
        <w:t xml:space="preserve">UNSDCF </w:t>
      </w:r>
      <w:r w:rsidRPr="001517F0">
        <w:rPr>
          <w:rFonts w:ascii="Times New Roman" w:eastAsia="Times New Roman" w:hAnsi="Times New Roman" w:cs="Times New Roman"/>
          <w:color w:val="222222"/>
          <w:shd w:val="clear" w:color="auto" w:fill="FFFFFF"/>
          <w:lang w:eastAsia="en-GB"/>
        </w:rPr>
        <w:t>theory of change and CPD</w:t>
      </w:r>
      <w:r w:rsidRPr="00AB70AF">
        <w:rPr>
          <w:rFonts w:ascii="Times New Roman" w:eastAsia="Times New Roman" w:hAnsi="Times New Roman" w:cs="Times New Roman"/>
          <w:color w:val="222222"/>
          <w:shd w:val="clear" w:color="auto" w:fill="FFFFFF"/>
          <w:lang w:eastAsia="en-GB"/>
        </w:rPr>
        <w:t>,</w:t>
      </w:r>
      <w:r w:rsidRPr="001517F0">
        <w:rPr>
          <w:rFonts w:ascii="Times New Roman" w:eastAsia="Times New Roman" w:hAnsi="Times New Roman" w:cs="Times New Roman"/>
          <w:color w:val="222222"/>
          <w:shd w:val="clear" w:color="auto" w:fill="FFFFFF"/>
          <w:lang w:eastAsia="en-GB"/>
        </w:rPr>
        <w:t xml:space="preserve"> and resulted in a specific outcome </w:t>
      </w:r>
      <w:r w:rsidRPr="00AB70AF">
        <w:rPr>
          <w:rFonts w:ascii="Times New Roman" w:eastAsia="Times New Roman" w:hAnsi="Times New Roman" w:cs="Times New Roman"/>
          <w:color w:val="222222"/>
          <w:shd w:val="clear" w:color="auto" w:fill="FFFFFF"/>
          <w:lang w:eastAsia="en-GB"/>
        </w:rPr>
        <w:t>that takes</w:t>
      </w:r>
      <w:r w:rsidRPr="001517F0">
        <w:rPr>
          <w:rFonts w:ascii="Times New Roman" w:eastAsia="Times New Roman" w:hAnsi="Times New Roman" w:cs="Times New Roman"/>
          <w:color w:val="222222"/>
          <w:shd w:val="clear" w:color="auto" w:fill="FFFFFF"/>
          <w:lang w:eastAsia="en-GB"/>
        </w:rPr>
        <w:t xml:space="preserve"> into account peacebuilding priorities identified during the transition. To promote a coherent and integrated programme approach, thematic clusters are more</w:t>
      </w:r>
      <w:r w:rsidRPr="00AB70AF">
        <w:rPr>
          <w:rFonts w:ascii="Times New Roman" w:eastAsia="Times New Roman" w:hAnsi="Times New Roman" w:cs="Times New Roman"/>
          <w:color w:val="222222"/>
          <w:shd w:val="clear" w:color="auto" w:fill="FFFFFF"/>
          <w:lang w:eastAsia="en-GB"/>
        </w:rPr>
        <w:t xml:space="preserve"> </w:t>
      </w:r>
      <w:r w:rsidRPr="001517F0">
        <w:rPr>
          <w:rFonts w:ascii="Times New Roman" w:eastAsia="Times New Roman" w:hAnsi="Times New Roman" w:cs="Times New Roman"/>
          <w:color w:val="222222"/>
          <w:shd w:val="clear" w:color="auto" w:fill="FFFFFF"/>
          <w:lang w:eastAsia="en-GB"/>
        </w:rPr>
        <w:t>connected through cross-cutting working groups on gender, digital transformation</w:t>
      </w:r>
      <w:r w:rsidRPr="00AB70AF">
        <w:rPr>
          <w:rFonts w:ascii="Times New Roman" w:eastAsia="Times New Roman" w:hAnsi="Times New Roman" w:cs="Times New Roman"/>
          <w:color w:val="222222"/>
          <w:shd w:val="clear" w:color="auto" w:fill="FFFFFF"/>
          <w:lang w:eastAsia="en-GB"/>
        </w:rPr>
        <w:t>,</w:t>
      </w:r>
      <w:r w:rsidRPr="001517F0">
        <w:rPr>
          <w:rFonts w:ascii="Times New Roman" w:eastAsia="Times New Roman" w:hAnsi="Times New Roman" w:cs="Times New Roman"/>
          <w:color w:val="222222"/>
          <w:shd w:val="clear" w:color="auto" w:fill="FFFFFF"/>
          <w:lang w:eastAsia="en-GB"/>
        </w:rPr>
        <w:t xml:space="preserve"> and resilience. The newly established Accelerator Lab</w:t>
      </w:r>
      <w:r w:rsidRPr="00AB70AF">
        <w:rPr>
          <w:rFonts w:ascii="Times New Roman" w:eastAsia="Times New Roman" w:hAnsi="Times New Roman" w:cs="Times New Roman"/>
          <w:color w:val="222222"/>
          <w:shd w:val="clear" w:color="auto" w:fill="FFFFFF"/>
          <w:lang w:eastAsia="en-GB"/>
        </w:rPr>
        <w:t>,</w:t>
      </w:r>
      <w:r w:rsidRPr="001517F0">
        <w:rPr>
          <w:rFonts w:ascii="Times New Roman" w:eastAsia="Times New Roman" w:hAnsi="Times New Roman" w:cs="Times New Roman"/>
          <w:color w:val="222222"/>
          <w:shd w:val="clear" w:color="auto" w:fill="FFFFFF"/>
          <w:lang w:eastAsia="en-GB"/>
        </w:rPr>
        <w:t xml:space="preserve"> and innovation connector group </w:t>
      </w:r>
      <w:r w:rsidRPr="00AB70AF">
        <w:rPr>
          <w:rFonts w:ascii="Times New Roman" w:eastAsia="Times New Roman" w:hAnsi="Times New Roman" w:cs="Times New Roman"/>
          <w:color w:val="222222"/>
          <w:shd w:val="clear" w:color="auto" w:fill="FFFFFF"/>
          <w:lang w:eastAsia="en-GB"/>
        </w:rPr>
        <w:t>that</w:t>
      </w:r>
      <w:r w:rsidRPr="001517F0">
        <w:rPr>
          <w:rFonts w:ascii="Times New Roman" w:eastAsia="Times New Roman" w:hAnsi="Times New Roman" w:cs="Times New Roman"/>
          <w:color w:val="222222"/>
          <w:shd w:val="clear" w:color="auto" w:fill="FFFFFF"/>
          <w:lang w:eastAsia="en-GB"/>
        </w:rPr>
        <w:t xml:space="preserve"> links acceleration throughout office</w:t>
      </w:r>
      <w:r w:rsidRPr="00AB70AF">
        <w:rPr>
          <w:rFonts w:ascii="Times New Roman" w:eastAsia="Times New Roman" w:hAnsi="Times New Roman" w:cs="Times New Roman"/>
          <w:color w:val="222222"/>
          <w:shd w:val="clear" w:color="auto" w:fill="FFFFFF"/>
          <w:lang w:eastAsia="en-GB"/>
        </w:rPr>
        <w:t xml:space="preserve"> programmes,</w:t>
      </w:r>
      <w:r w:rsidRPr="001517F0">
        <w:rPr>
          <w:rFonts w:ascii="Times New Roman" w:eastAsia="Times New Roman" w:hAnsi="Times New Roman" w:cs="Times New Roman"/>
          <w:color w:val="222222"/>
          <w:shd w:val="clear" w:color="auto" w:fill="FFFFFF"/>
          <w:lang w:eastAsia="en-GB"/>
        </w:rPr>
        <w:t xml:space="preserve"> </w:t>
      </w:r>
      <w:r w:rsidRPr="00AB70AF">
        <w:rPr>
          <w:rFonts w:ascii="Times New Roman" w:eastAsia="Times New Roman" w:hAnsi="Times New Roman" w:cs="Times New Roman"/>
          <w:color w:val="222222"/>
          <w:shd w:val="clear" w:color="auto" w:fill="FFFFFF"/>
          <w:lang w:eastAsia="en-GB"/>
        </w:rPr>
        <w:t>makes</w:t>
      </w:r>
      <w:r w:rsidRPr="001517F0">
        <w:rPr>
          <w:rFonts w:ascii="Times New Roman" w:eastAsia="Times New Roman" w:hAnsi="Times New Roman" w:cs="Times New Roman"/>
          <w:color w:val="222222"/>
          <w:shd w:val="clear" w:color="auto" w:fill="FFFFFF"/>
          <w:lang w:eastAsia="en-GB"/>
        </w:rPr>
        <w:t xml:space="preserve"> use of a systemic approach to innovation</w:t>
      </w:r>
      <w:r w:rsidRPr="00AB70AF">
        <w:rPr>
          <w:rFonts w:ascii="Times New Roman" w:eastAsia="Times New Roman" w:hAnsi="Times New Roman" w:cs="Times New Roman"/>
          <w:color w:val="222222"/>
          <w:shd w:val="clear" w:color="auto" w:fill="FFFFFF"/>
          <w:lang w:eastAsia="en-GB"/>
        </w:rPr>
        <w:t xml:space="preserve"> and</w:t>
      </w:r>
      <w:r w:rsidRPr="001517F0">
        <w:rPr>
          <w:rFonts w:ascii="Times New Roman" w:eastAsia="Times New Roman" w:hAnsi="Times New Roman" w:cs="Times New Roman"/>
          <w:color w:val="222222"/>
          <w:shd w:val="clear" w:color="auto" w:fill="FFFFFF"/>
          <w:lang w:eastAsia="en-GB"/>
        </w:rPr>
        <w:t xml:space="preserve"> digital transformation</w:t>
      </w:r>
      <w:r w:rsidRPr="00AB70AF">
        <w:rPr>
          <w:rFonts w:ascii="Times New Roman" w:eastAsia="Times New Roman" w:hAnsi="Times New Roman" w:cs="Times New Roman"/>
          <w:color w:val="222222"/>
          <w:shd w:val="clear" w:color="auto" w:fill="FFFFFF"/>
          <w:lang w:eastAsia="en-GB"/>
        </w:rPr>
        <w:t>,</w:t>
      </w:r>
      <w:r w:rsidRPr="001517F0">
        <w:rPr>
          <w:rFonts w:ascii="Times New Roman" w:eastAsia="Times New Roman" w:hAnsi="Times New Roman" w:cs="Times New Roman"/>
          <w:color w:val="222222"/>
          <w:shd w:val="clear" w:color="auto" w:fill="FFFFFF"/>
          <w:lang w:eastAsia="en-GB"/>
        </w:rPr>
        <w:t xml:space="preserve"> allow</w:t>
      </w:r>
      <w:r w:rsidRPr="00AB70AF">
        <w:rPr>
          <w:rFonts w:ascii="Times New Roman" w:eastAsia="Times New Roman" w:hAnsi="Times New Roman" w:cs="Times New Roman"/>
          <w:color w:val="222222"/>
          <w:shd w:val="clear" w:color="auto" w:fill="FFFFFF"/>
          <w:lang w:eastAsia="en-GB"/>
        </w:rPr>
        <w:t>ing</w:t>
      </w:r>
      <w:r w:rsidRPr="001517F0">
        <w:rPr>
          <w:rFonts w:ascii="Times New Roman" w:eastAsia="Times New Roman" w:hAnsi="Times New Roman" w:cs="Times New Roman"/>
          <w:color w:val="222222"/>
          <w:shd w:val="clear" w:color="auto" w:fill="FFFFFF"/>
          <w:lang w:eastAsia="en-GB"/>
        </w:rPr>
        <w:t xml:space="preserve"> for a shift in institutional culture. Furthermore, the evaluation found that UNDP lacked a systemic approach to human rights, youth, and gender mainstreaming. </w:t>
      </w:r>
      <w:r w:rsidRPr="00AB70AF">
        <w:rPr>
          <w:rFonts w:ascii="Times New Roman" w:eastAsia="Times New Roman" w:hAnsi="Times New Roman" w:cs="Times New Roman"/>
          <w:color w:val="222222"/>
          <w:shd w:val="clear" w:color="auto" w:fill="FFFFFF"/>
          <w:lang w:eastAsia="en-GB"/>
        </w:rPr>
        <w:t xml:space="preserve">Based on these findings, </w:t>
      </w:r>
      <w:r w:rsidRPr="001517F0">
        <w:rPr>
          <w:rFonts w:ascii="Times New Roman" w:eastAsia="Times New Roman" w:hAnsi="Times New Roman" w:cs="Times New Roman"/>
          <w:color w:val="222222"/>
          <w:shd w:val="clear" w:color="auto" w:fill="FFFFFF"/>
          <w:lang w:eastAsia="en-GB"/>
        </w:rPr>
        <w:t xml:space="preserve">UNDP plans to support peacebuilding priorities and merge </w:t>
      </w:r>
      <w:r w:rsidRPr="00AB70AF">
        <w:rPr>
          <w:rFonts w:ascii="Times New Roman" w:eastAsia="Times New Roman" w:hAnsi="Times New Roman" w:cs="Times New Roman"/>
          <w:color w:val="222222"/>
          <w:shd w:val="clear" w:color="auto" w:fill="FFFFFF"/>
          <w:lang w:eastAsia="en-GB"/>
        </w:rPr>
        <w:t>them</w:t>
      </w:r>
      <w:r w:rsidRPr="001517F0">
        <w:rPr>
          <w:rFonts w:ascii="Times New Roman" w:eastAsia="Times New Roman" w:hAnsi="Times New Roman" w:cs="Times New Roman"/>
          <w:color w:val="222222"/>
          <w:shd w:val="clear" w:color="auto" w:fill="FFFFFF"/>
          <w:lang w:eastAsia="en-GB"/>
        </w:rPr>
        <w:t xml:space="preserve"> into its support to inclusive political processes. UNDP also included new initiatives </w:t>
      </w:r>
      <w:r w:rsidRPr="00AB70AF">
        <w:rPr>
          <w:rFonts w:ascii="Times New Roman" w:eastAsia="Times New Roman" w:hAnsi="Times New Roman" w:cs="Times New Roman"/>
          <w:color w:val="222222"/>
          <w:shd w:val="clear" w:color="auto" w:fill="FFFFFF"/>
          <w:lang w:eastAsia="en-GB"/>
        </w:rPr>
        <w:t>that support</w:t>
      </w:r>
      <w:r w:rsidRPr="001517F0">
        <w:rPr>
          <w:rFonts w:ascii="Times New Roman" w:eastAsia="Times New Roman" w:hAnsi="Times New Roman" w:cs="Times New Roman"/>
          <w:color w:val="222222"/>
          <w:shd w:val="clear" w:color="auto" w:fill="FFFFFF"/>
          <w:lang w:eastAsia="en-GB"/>
        </w:rPr>
        <w:t xml:space="preserve"> the private sector, wealth creation, and </w:t>
      </w:r>
      <w:r w:rsidRPr="00AB70AF">
        <w:rPr>
          <w:rFonts w:ascii="Times New Roman" w:eastAsia="Times New Roman" w:hAnsi="Times New Roman" w:cs="Times New Roman"/>
          <w:color w:val="222222"/>
          <w:shd w:val="clear" w:color="auto" w:fill="FFFFFF"/>
          <w:lang w:eastAsia="en-GB"/>
        </w:rPr>
        <w:t xml:space="preserve">improving the </w:t>
      </w:r>
      <w:r w:rsidRPr="001517F0">
        <w:rPr>
          <w:rFonts w:ascii="Times New Roman" w:eastAsia="Times New Roman" w:hAnsi="Times New Roman" w:cs="Times New Roman"/>
          <w:color w:val="222222"/>
          <w:shd w:val="clear" w:color="auto" w:fill="FFFFFF"/>
          <w:lang w:eastAsia="en-GB"/>
        </w:rPr>
        <w:t>quality of businesses implemented by micro, small</w:t>
      </w:r>
      <w:r w:rsidRPr="00AB70AF">
        <w:rPr>
          <w:rFonts w:ascii="Times New Roman" w:eastAsia="Times New Roman" w:hAnsi="Times New Roman" w:cs="Times New Roman"/>
          <w:color w:val="222222"/>
          <w:shd w:val="clear" w:color="auto" w:fill="FFFFFF"/>
          <w:lang w:eastAsia="en-GB"/>
        </w:rPr>
        <w:t>,</w:t>
      </w:r>
      <w:r w:rsidRPr="001517F0">
        <w:rPr>
          <w:rFonts w:ascii="Times New Roman" w:eastAsia="Times New Roman" w:hAnsi="Times New Roman" w:cs="Times New Roman"/>
          <w:color w:val="222222"/>
          <w:shd w:val="clear" w:color="auto" w:fill="FFFFFF"/>
          <w:lang w:eastAsia="en-GB"/>
        </w:rPr>
        <w:t xml:space="preserve"> and medium enterprises with a clear focus on start-ups and digital solutions. Youth and women are at the heart of the new CPD as they are agents of change that </w:t>
      </w:r>
      <w:r w:rsidRPr="00AB70AF">
        <w:rPr>
          <w:rFonts w:ascii="Times New Roman" w:eastAsia="Times New Roman" w:hAnsi="Times New Roman" w:cs="Times New Roman"/>
          <w:color w:val="222222"/>
          <w:shd w:val="clear" w:color="auto" w:fill="FFFFFF"/>
          <w:lang w:eastAsia="en-GB"/>
        </w:rPr>
        <w:t>will be</w:t>
      </w:r>
      <w:r w:rsidRPr="001517F0">
        <w:rPr>
          <w:rFonts w:ascii="Times New Roman" w:eastAsia="Times New Roman" w:hAnsi="Times New Roman" w:cs="Times New Roman"/>
          <w:color w:val="222222"/>
          <w:shd w:val="clear" w:color="auto" w:fill="FFFFFF"/>
          <w:lang w:eastAsia="en-GB"/>
        </w:rPr>
        <w:t xml:space="preserve"> empower</w:t>
      </w:r>
      <w:r w:rsidRPr="00AB70AF">
        <w:rPr>
          <w:rFonts w:ascii="Times New Roman" w:eastAsia="Times New Roman" w:hAnsi="Times New Roman" w:cs="Times New Roman"/>
          <w:color w:val="222222"/>
          <w:shd w:val="clear" w:color="auto" w:fill="FFFFFF"/>
          <w:lang w:eastAsia="en-GB"/>
        </w:rPr>
        <w:t>ed</w:t>
      </w:r>
      <w:r w:rsidRPr="001517F0">
        <w:rPr>
          <w:rFonts w:ascii="Times New Roman" w:eastAsia="Times New Roman" w:hAnsi="Times New Roman" w:cs="Times New Roman"/>
          <w:color w:val="222222"/>
          <w:shd w:val="clear" w:color="auto" w:fill="FFFFFF"/>
          <w:lang w:eastAsia="en-GB"/>
        </w:rPr>
        <w:t xml:space="preserve"> through </w:t>
      </w:r>
      <w:r w:rsidRPr="00AB70AF">
        <w:rPr>
          <w:rFonts w:ascii="Times New Roman" w:eastAsia="Times New Roman" w:hAnsi="Times New Roman" w:cs="Times New Roman"/>
          <w:color w:val="222222"/>
          <w:shd w:val="clear" w:color="auto" w:fill="FFFFFF"/>
          <w:lang w:eastAsia="en-GB"/>
        </w:rPr>
        <w:t>UNDP</w:t>
      </w:r>
      <w:r w:rsidRPr="001517F0">
        <w:rPr>
          <w:rFonts w:ascii="Times New Roman" w:eastAsia="Times New Roman" w:hAnsi="Times New Roman" w:cs="Times New Roman"/>
          <w:color w:val="222222"/>
          <w:shd w:val="clear" w:color="auto" w:fill="FFFFFF"/>
          <w:lang w:eastAsia="en-GB"/>
        </w:rPr>
        <w:t xml:space="preserve"> programming and partnerships. </w:t>
      </w:r>
      <w:r w:rsidRPr="00AB70AF">
        <w:rPr>
          <w:rFonts w:ascii="Times New Roman" w:eastAsia="Times New Roman" w:hAnsi="Times New Roman" w:cs="Times New Roman"/>
          <w:color w:val="222222"/>
          <w:shd w:val="clear" w:color="auto" w:fill="FFFFFF"/>
          <w:lang w:eastAsia="en-GB"/>
        </w:rPr>
        <w:t>N</w:t>
      </w:r>
      <w:r w:rsidRPr="001517F0">
        <w:rPr>
          <w:rFonts w:ascii="Times New Roman" w:eastAsia="Times New Roman" w:hAnsi="Times New Roman" w:cs="Times New Roman"/>
          <w:color w:val="222222"/>
          <w:shd w:val="clear" w:color="auto" w:fill="FFFFFF"/>
          <w:lang w:eastAsia="en-GB"/>
        </w:rPr>
        <w:t>ew partners from foundations</w:t>
      </w:r>
      <w:r w:rsidRPr="00AB70AF">
        <w:rPr>
          <w:rFonts w:ascii="Times New Roman" w:eastAsia="Times New Roman" w:hAnsi="Times New Roman" w:cs="Times New Roman"/>
          <w:color w:val="222222"/>
          <w:shd w:val="clear" w:color="auto" w:fill="FFFFFF"/>
          <w:lang w:eastAsia="en-GB"/>
        </w:rPr>
        <w:t xml:space="preserve">, </w:t>
      </w:r>
      <w:r w:rsidRPr="001517F0">
        <w:rPr>
          <w:rFonts w:ascii="Times New Roman" w:eastAsia="Times New Roman" w:hAnsi="Times New Roman" w:cs="Times New Roman"/>
          <w:color w:val="222222"/>
          <w:shd w:val="clear" w:color="auto" w:fill="FFFFFF"/>
          <w:lang w:eastAsia="en-GB"/>
        </w:rPr>
        <w:t xml:space="preserve"> private sector</w:t>
      </w:r>
      <w:r w:rsidRPr="00AB70AF">
        <w:rPr>
          <w:rFonts w:ascii="Times New Roman" w:eastAsia="Times New Roman" w:hAnsi="Times New Roman" w:cs="Times New Roman"/>
          <w:color w:val="222222"/>
          <w:shd w:val="clear" w:color="auto" w:fill="FFFFFF"/>
          <w:lang w:eastAsia="en-GB"/>
        </w:rPr>
        <w:t>, and</w:t>
      </w:r>
      <w:r w:rsidRPr="001517F0">
        <w:rPr>
          <w:rFonts w:ascii="Times New Roman" w:eastAsia="Times New Roman" w:hAnsi="Times New Roman" w:cs="Times New Roman"/>
          <w:color w:val="222222"/>
          <w:shd w:val="clear" w:color="auto" w:fill="FFFFFF"/>
          <w:lang w:eastAsia="en-GB"/>
        </w:rPr>
        <w:t xml:space="preserve"> </w:t>
      </w:r>
      <w:r w:rsidRPr="00AB70AF">
        <w:rPr>
          <w:rFonts w:ascii="Times New Roman" w:eastAsia="Times New Roman" w:hAnsi="Times New Roman" w:cs="Times New Roman"/>
          <w:color w:val="222222"/>
          <w:shd w:val="clear" w:color="auto" w:fill="FFFFFF"/>
          <w:lang w:eastAsia="en-GB"/>
        </w:rPr>
        <w:t>M</w:t>
      </w:r>
      <w:r w:rsidRPr="001517F0">
        <w:rPr>
          <w:rFonts w:ascii="Times New Roman" w:eastAsia="Times New Roman" w:hAnsi="Times New Roman" w:cs="Times New Roman"/>
          <w:color w:val="222222"/>
          <w:shd w:val="clear" w:color="auto" w:fill="FFFFFF"/>
          <w:lang w:eastAsia="en-GB"/>
        </w:rPr>
        <w:t xml:space="preserve">ember </w:t>
      </w:r>
      <w:r w:rsidRPr="00AB70AF">
        <w:rPr>
          <w:rFonts w:ascii="Times New Roman" w:eastAsia="Times New Roman" w:hAnsi="Times New Roman" w:cs="Times New Roman"/>
          <w:color w:val="222222"/>
          <w:shd w:val="clear" w:color="auto" w:fill="FFFFFF"/>
          <w:lang w:eastAsia="en-GB"/>
        </w:rPr>
        <w:t>S</w:t>
      </w:r>
      <w:r w:rsidRPr="001517F0">
        <w:rPr>
          <w:rFonts w:ascii="Times New Roman" w:eastAsia="Times New Roman" w:hAnsi="Times New Roman" w:cs="Times New Roman"/>
          <w:color w:val="222222"/>
          <w:shd w:val="clear" w:color="auto" w:fill="FFFFFF"/>
          <w:lang w:eastAsia="en-GB"/>
        </w:rPr>
        <w:t xml:space="preserve">tates are already collaborating with the </w:t>
      </w:r>
      <w:r w:rsidRPr="00AB70AF">
        <w:rPr>
          <w:rFonts w:ascii="Times New Roman" w:eastAsia="Times New Roman" w:hAnsi="Times New Roman" w:cs="Times New Roman"/>
          <w:color w:val="222222"/>
          <w:shd w:val="clear" w:color="auto" w:fill="FFFFFF"/>
          <w:lang w:eastAsia="en-GB"/>
        </w:rPr>
        <w:t>country office</w:t>
      </w:r>
      <w:r w:rsidRPr="001517F0">
        <w:rPr>
          <w:rFonts w:ascii="Times New Roman" w:eastAsia="Times New Roman" w:hAnsi="Times New Roman" w:cs="Times New Roman"/>
          <w:color w:val="222222"/>
          <w:shd w:val="clear" w:color="auto" w:fill="FFFFFF"/>
          <w:lang w:eastAsia="en-GB"/>
        </w:rPr>
        <w:t xml:space="preserve"> as a result of </w:t>
      </w:r>
      <w:r w:rsidRPr="00AB70AF">
        <w:rPr>
          <w:rFonts w:ascii="Times New Roman" w:eastAsia="Times New Roman" w:hAnsi="Times New Roman" w:cs="Times New Roman"/>
          <w:color w:val="222222"/>
          <w:shd w:val="clear" w:color="auto" w:fill="FFFFFF"/>
          <w:lang w:eastAsia="en-GB"/>
        </w:rPr>
        <w:t xml:space="preserve">these </w:t>
      </w:r>
      <w:r w:rsidRPr="001517F0">
        <w:rPr>
          <w:rFonts w:ascii="Times New Roman" w:eastAsia="Times New Roman" w:hAnsi="Times New Roman" w:cs="Times New Roman"/>
          <w:color w:val="222222"/>
          <w:shd w:val="clear" w:color="auto" w:fill="FFFFFF"/>
          <w:lang w:eastAsia="en-GB"/>
        </w:rPr>
        <w:t>new programmatic approaches.</w:t>
      </w:r>
    </w:p>
    <w:p w14:paraId="203B9184" w14:textId="77777777" w:rsidR="008D3F1E" w:rsidRPr="002E47FA" w:rsidRDefault="008D3F1E" w:rsidP="008D3F1E">
      <w:pPr>
        <w:spacing w:after="0" w:line="240" w:lineRule="auto"/>
        <w:rPr>
          <w:rFonts w:ascii="Times New Roman" w:hAnsi="Times New Roman" w:cs="Times New Roman"/>
          <w:b/>
        </w:rPr>
      </w:pPr>
    </w:p>
    <w:p w14:paraId="284A44C1" w14:textId="77777777" w:rsidR="008D3F1E" w:rsidRPr="002E47FA" w:rsidRDefault="008D3F1E" w:rsidP="008D3F1E">
      <w:pPr>
        <w:spacing w:after="0" w:line="240" w:lineRule="auto"/>
        <w:rPr>
          <w:rFonts w:ascii="Times New Roman" w:hAnsi="Times New Roman" w:cs="Times New Roman"/>
          <w:b/>
        </w:rPr>
      </w:pPr>
      <w:r w:rsidRPr="002E47FA">
        <w:rPr>
          <w:rFonts w:ascii="Times New Roman" w:hAnsi="Times New Roman" w:cs="Times New Roman"/>
          <w:b/>
        </w:rPr>
        <w:t xml:space="preserve">Vietnam </w:t>
      </w:r>
    </w:p>
    <w:p w14:paraId="443C64BF" w14:textId="77777777" w:rsidR="008D3F1E" w:rsidRPr="002E47FA" w:rsidRDefault="008D3F1E" w:rsidP="008D3F1E">
      <w:pPr>
        <w:spacing w:after="0" w:line="240" w:lineRule="auto"/>
        <w:jc w:val="both"/>
        <w:rPr>
          <w:rFonts w:ascii="Times New Roman" w:hAnsi="Times New Roman" w:cs="Times New Roman"/>
          <w:bCs/>
        </w:rPr>
      </w:pPr>
    </w:p>
    <w:p w14:paraId="5BF1DBE9" w14:textId="77777777" w:rsidR="008D3F1E" w:rsidRPr="0029125A" w:rsidRDefault="008D3F1E" w:rsidP="008D3F1E">
      <w:pPr>
        <w:spacing w:after="0" w:line="240" w:lineRule="auto"/>
        <w:jc w:val="both"/>
        <w:rPr>
          <w:rFonts w:ascii="Times New Roman" w:hAnsi="Times New Roman" w:cs="Times New Roman"/>
        </w:rPr>
      </w:pPr>
      <w:r w:rsidRPr="0029125A">
        <w:rPr>
          <w:rFonts w:ascii="Times New Roman" w:hAnsi="Times New Roman" w:cs="Times New Roman"/>
          <w:bCs/>
        </w:rPr>
        <w:t xml:space="preserve">The Vietnam ICPE 2021 covers the programme period </w:t>
      </w:r>
      <w:r>
        <w:rPr>
          <w:rFonts w:ascii="Times New Roman" w:hAnsi="Times New Roman" w:cs="Times New Roman"/>
          <w:bCs/>
        </w:rPr>
        <w:t xml:space="preserve">of </w:t>
      </w:r>
      <w:r w:rsidRPr="0029125A">
        <w:rPr>
          <w:rFonts w:ascii="Times New Roman" w:hAnsi="Times New Roman" w:cs="Times New Roman"/>
          <w:bCs/>
        </w:rPr>
        <w:t xml:space="preserve">2017 to 2020. The Vietnam CPD for 2022-2026 was approved at the </w:t>
      </w:r>
      <w:r>
        <w:rPr>
          <w:rFonts w:ascii="Times New Roman" w:hAnsi="Times New Roman" w:cs="Times New Roman"/>
          <w:bCs/>
        </w:rPr>
        <w:t>f</w:t>
      </w:r>
      <w:r w:rsidRPr="0029125A">
        <w:rPr>
          <w:rFonts w:ascii="Times New Roman" w:hAnsi="Times New Roman" w:cs="Times New Roman"/>
          <w:bCs/>
        </w:rPr>
        <w:t xml:space="preserve">irst regular session of 2022. </w:t>
      </w:r>
      <w:r>
        <w:rPr>
          <w:rFonts w:ascii="Times New Roman" w:hAnsi="Times New Roman" w:cs="Times New Roman"/>
          <w:bCs/>
        </w:rPr>
        <w:t>Some</w:t>
      </w:r>
      <w:r w:rsidRPr="0029125A">
        <w:rPr>
          <w:rFonts w:ascii="Times New Roman" w:hAnsi="Times New Roman" w:cs="Times New Roman"/>
          <w:bCs/>
        </w:rPr>
        <w:t xml:space="preserve"> evidence showed the new CPD was informed by ICPE findings and recommendations</w:t>
      </w:r>
      <w:r>
        <w:rPr>
          <w:rFonts w:ascii="Times New Roman" w:hAnsi="Times New Roman" w:cs="Times New Roman"/>
          <w:bCs/>
        </w:rPr>
        <w:t xml:space="preserve">, </w:t>
      </w:r>
      <w:r w:rsidRPr="0029125A">
        <w:rPr>
          <w:rFonts w:ascii="Times New Roman" w:hAnsi="Times New Roman" w:cs="Times New Roman"/>
          <w:bCs/>
        </w:rPr>
        <w:t xml:space="preserve">five </w:t>
      </w:r>
      <w:r>
        <w:rPr>
          <w:rFonts w:ascii="Times New Roman" w:hAnsi="Times New Roman" w:cs="Times New Roman"/>
          <w:bCs/>
        </w:rPr>
        <w:t>were offered for</w:t>
      </w:r>
      <w:r w:rsidRPr="0029125A">
        <w:rPr>
          <w:rFonts w:ascii="Times New Roman" w:hAnsi="Times New Roman" w:cs="Times New Roman"/>
          <w:bCs/>
        </w:rPr>
        <w:t xml:space="preserve"> new programming theory of change, M&amp;E system, capacity building, sustainability, and ensuring</w:t>
      </w:r>
      <w:r>
        <w:rPr>
          <w:rFonts w:ascii="Times New Roman" w:hAnsi="Times New Roman" w:cs="Times New Roman"/>
          <w:bCs/>
        </w:rPr>
        <w:t xml:space="preserve"> a</w:t>
      </w:r>
      <w:r w:rsidRPr="0029125A">
        <w:rPr>
          <w:rFonts w:ascii="Times New Roman" w:hAnsi="Times New Roman" w:cs="Times New Roman"/>
          <w:bCs/>
        </w:rPr>
        <w:t xml:space="preserve"> leading role in governance. </w:t>
      </w:r>
      <w:r>
        <w:rPr>
          <w:rFonts w:ascii="Times New Roman" w:hAnsi="Times New Roman" w:cs="Times New Roman"/>
          <w:bCs/>
        </w:rPr>
        <w:t>Onboarding</w:t>
      </w:r>
      <w:r w:rsidRPr="0029125A">
        <w:rPr>
          <w:rFonts w:ascii="Times New Roman" w:hAnsi="Times New Roman" w:cs="Times New Roman"/>
          <w:bCs/>
        </w:rPr>
        <w:t xml:space="preserve"> ICPE recommendation</w:t>
      </w:r>
      <w:r>
        <w:rPr>
          <w:rFonts w:ascii="Times New Roman" w:hAnsi="Times New Roman" w:cs="Times New Roman"/>
          <w:bCs/>
        </w:rPr>
        <w:t>s</w:t>
      </w:r>
      <w:r w:rsidRPr="0029125A">
        <w:rPr>
          <w:rFonts w:ascii="Times New Roman" w:hAnsi="Times New Roman" w:cs="Times New Roman"/>
          <w:bCs/>
        </w:rPr>
        <w:t xml:space="preserve">, the theory of change was formulated for the new CPD through </w:t>
      </w:r>
      <w:r>
        <w:rPr>
          <w:rFonts w:ascii="Times New Roman" w:hAnsi="Times New Roman" w:cs="Times New Roman"/>
          <w:bCs/>
        </w:rPr>
        <w:t>a</w:t>
      </w:r>
      <w:r w:rsidRPr="0029125A">
        <w:rPr>
          <w:rFonts w:ascii="Times New Roman" w:hAnsi="Times New Roman" w:cs="Times New Roman"/>
          <w:bCs/>
        </w:rPr>
        <w:t xml:space="preserve"> programme sense-making exercise to better define and develop </w:t>
      </w:r>
      <w:r>
        <w:rPr>
          <w:rFonts w:ascii="Times New Roman" w:hAnsi="Times New Roman" w:cs="Times New Roman"/>
          <w:bCs/>
        </w:rPr>
        <w:t>links</w:t>
      </w:r>
      <w:r w:rsidRPr="0029125A">
        <w:rPr>
          <w:rFonts w:ascii="Times New Roman" w:hAnsi="Times New Roman" w:cs="Times New Roman"/>
          <w:bCs/>
        </w:rPr>
        <w:t xml:space="preserve"> between different solution pathways. To strengthen the M&amp;E system, the new CPD reflected improvements </w:t>
      </w:r>
      <w:r>
        <w:rPr>
          <w:rFonts w:ascii="Times New Roman" w:hAnsi="Times New Roman" w:cs="Times New Roman"/>
          <w:bCs/>
        </w:rPr>
        <w:t>across</w:t>
      </w:r>
      <w:r w:rsidRPr="0029125A">
        <w:rPr>
          <w:rFonts w:ascii="Times New Roman" w:hAnsi="Times New Roman" w:cs="Times New Roman"/>
          <w:bCs/>
        </w:rPr>
        <w:t xml:space="preserve"> roles, capacities, and mechanisms to </w:t>
      </w:r>
      <w:r>
        <w:rPr>
          <w:rFonts w:ascii="Times New Roman" w:hAnsi="Times New Roman" w:cs="Times New Roman"/>
          <w:bCs/>
        </w:rPr>
        <w:t>advance</w:t>
      </w:r>
      <w:r w:rsidRPr="0029125A">
        <w:rPr>
          <w:rFonts w:ascii="Times New Roman" w:hAnsi="Times New Roman" w:cs="Times New Roman"/>
          <w:bCs/>
        </w:rPr>
        <w:t xml:space="preserve"> project monitoring and evaluation throughout the programme cycle</w:t>
      </w:r>
      <w:r>
        <w:rPr>
          <w:rFonts w:ascii="Times New Roman" w:hAnsi="Times New Roman" w:cs="Times New Roman"/>
          <w:bCs/>
        </w:rPr>
        <w:t xml:space="preserve"> (</w:t>
      </w:r>
      <w:r w:rsidRPr="0029125A">
        <w:rPr>
          <w:rFonts w:ascii="Times New Roman" w:hAnsi="Times New Roman" w:cs="Times New Roman"/>
          <w:bCs/>
        </w:rPr>
        <w:t>sections III and IV</w:t>
      </w:r>
      <w:r>
        <w:rPr>
          <w:rFonts w:ascii="Times New Roman" w:hAnsi="Times New Roman" w:cs="Times New Roman"/>
          <w:bCs/>
        </w:rPr>
        <w:t>)</w:t>
      </w:r>
      <w:r w:rsidRPr="0029125A">
        <w:rPr>
          <w:rFonts w:ascii="Times New Roman" w:hAnsi="Times New Roman" w:cs="Times New Roman"/>
          <w:bCs/>
        </w:rPr>
        <w:t xml:space="preserve">. </w:t>
      </w:r>
      <w:r>
        <w:rPr>
          <w:rFonts w:ascii="Times New Roman" w:hAnsi="Times New Roman" w:cs="Times New Roman"/>
          <w:bCs/>
        </w:rPr>
        <w:t>O</w:t>
      </w:r>
      <w:r w:rsidRPr="0029125A">
        <w:rPr>
          <w:rFonts w:ascii="Times New Roman" w:hAnsi="Times New Roman" w:cs="Times New Roman"/>
          <w:bCs/>
        </w:rPr>
        <w:t>utput level indicators in the CPD were formulated to measure behavior change, improvement in communit</w:t>
      </w:r>
      <w:r>
        <w:rPr>
          <w:rFonts w:ascii="Times New Roman" w:hAnsi="Times New Roman" w:cs="Times New Roman"/>
          <w:bCs/>
        </w:rPr>
        <w:t>y</w:t>
      </w:r>
      <w:r w:rsidRPr="0029125A">
        <w:rPr>
          <w:rFonts w:ascii="Times New Roman" w:hAnsi="Times New Roman" w:cs="Times New Roman"/>
          <w:bCs/>
        </w:rPr>
        <w:t xml:space="preserve"> livelihoods, quality of life, and transformative changes on gender equality and social inclusion </w:t>
      </w:r>
      <w:r>
        <w:rPr>
          <w:rFonts w:ascii="Times New Roman" w:hAnsi="Times New Roman" w:cs="Times New Roman"/>
          <w:bCs/>
        </w:rPr>
        <w:t>according to</w:t>
      </w:r>
      <w:r w:rsidRPr="0029125A">
        <w:rPr>
          <w:rFonts w:ascii="Times New Roman" w:hAnsi="Times New Roman" w:cs="Times New Roman"/>
          <w:bCs/>
        </w:rPr>
        <w:t xml:space="preserve"> disaggregated data. </w:t>
      </w:r>
      <w:r>
        <w:rPr>
          <w:rFonts w:ascii="Times New Roman" w:hAnsi="Times New Roman" w:cs="Times New Roman"/>
          <w:bCs/>
        </w:rPr>
        <w:t>O</w:t>
      </w:r>
      <w:r w:rsidRPr="0029125A">
        <w:rPr>
          <w:rFonts w:ascii="Times New Roman" w:hAnsi="Times New Roman" w:cs="Times New Roman"/>
          <w:bCs/>
        </w:rPr>
        <w:t xml:space="preserve">utput 3.4 </w:t>
      </w:r>
      <w:r>
        <w:rPr>
          <w:rFonts w:ascii="Times New Roman" w:hAnsi="Times New Roman" w:cs="Times New Roman"/>
          <w:bCs/>
        </w:rPr>
        <w:t>was</w:t>
      </w:r>
      <w:r w:rsidRPr="0029125A">
        <w:rPr>
          <w:rFonts w:ascii="Times New Roman" w:hAnsi="Times New Roman" w:cs="Times New Roman"/>
          <w:bCs/>
        </w:rPr>
        <w:t xml:space="preserve"> specifically</w:t>
      </w:r>
      <w:r>
        <w:rPr>
          <w:rFonts w:ascii="Times New Roman" w:hAnsi="Times New Roman" w:cs="Times New Roman"/>
          <w:bCs/>
        </w:rPr>
        <w:t xml:space="preserve"> dedicated to</w:t>
      </w:r>
      <w:r w:rsidRPr="0029125A">
        <w:rPr>
          <w:rFonts w:ascii="Times New Roman" w:hAnsi="Times New Roman" w:cs="Times New Roman"/>
          <w:bCs/>
        </w:rPr>
        <w:t xml:space="preserve"> gender and inclusion. Capacity building is integrated into the CPD 2022-2026, which will guide the formulation and implementation of all UNDP projects and interventions. In the new CPD, </w:t>
      </w:r>
      <w:r>
        <w:rPr>
          <w:rFonts w:ascii="Times New Roman" w:hAnsi="Times New Roman" w:cs="Times New Roman"/>
          <w:bCs/>
        </w:rPr>
        <w:t>g</w:t>
      </w:r>
      <w:r w:rsidRPr="0029125A">
        <w:rPr>
          <w:rFonts w:ascii="Times New Roman" w:hAnsi="Times New Roman" w:cs="Times New Roman"/>
          <w:bCs/>
        </w:rPr>
        <w:t xml:space="preserve">overnance and </w:t>
      </w:r>
      <w:r>
        <w:rPr>
          <w:rFonts w:ascii="Times New Roman" w:hAnsi="Times New Roman" w:cs="Times New Roman"/>
          <w:bCs/>
        </w:rPr>
        <w:t>a</w:t>
      </w:r>
      <w:r w:rsidRPr="0029125A">
        <w:rPr>
          <w:rFonts w:ascii="Times New Roman" w:hAnsi="Times New Roman" w:cs="Times New Roman"/>
          <w:bCs/>
        </w:rPr>
        <w:t xml:space="preserve">ccess to </w:t>
      </w:r>
      <w:r>
        <w:rPr>
          <w:rFonts w:ascii="Times New Roman" w:hAnsi="Times New Roman" w:cs="Times New Roman"/>
          <w:bCs/>
        </w:rPr>
        <w:t>j</w:t>
      </w:r>
      <w:r w:rsidRPr="0029125A">
        <w:rPr>
          <w:rFonts w:ascii="Times New Roman" w:hAnsi="Times New Roman" w:cs="Times New Roman"/>
          <w:bCs/>
        </w:rPr>
        <w:t xml:space="preserve">ustice </w:t>
      </w:r>
      <w:r>
        <w:rPr>
          <w:rFonts w:ascii="Times New Roman" w:hAnsi="Times New Roman" w:cs="Times New Roman"/>
          <w:bCs/>
        </w:rPr>
        <w:t>are</w:t>
      </w:r>
      <w:r w:rsidRPr="0029125A">
        <w:rPr>
          <w:rFonts w:ascii="Times New Roman" w:hAnsi="Times New Roman" w:cs="Times New Roman"/>
          <w:bCs/>
        </w:rPr>
        <w:t xml:space="preserve"> standalone </w:t>
      </w:r>
      <w:r w:rsidRPr="0029125A">
        <w:rPr>
          <w:rFonts w:ascii="Times New Roman" w:hAnsi="Times New Roman" w:cs="Times New Roman"/>
        </w:rPr>
        <w:t>and strong-</w:t>
      </w:r>
      <w:r w:rsidRPr="0029125A">
        <w:rPr>
          <w:rFonts w:ascii="Times New Roman" w:hAnsi="Times New Roman" w:cs="Times New Roman"/>
        </w:rPr>
        <w:lastRenderedPageBreak/>
        <w:t>focus</w:t>
      </w:r>
      <w:r w:rsidRPr="0029125A">
        <w:rPr>
          <w:rFonts w:ascii="Times New Roman" w:hAnsi="Times New Roman" w:cs="Times New Roman"/>
          <w:bCs/>
        </w:rPr>
        <w:t xml:space="preserve"> </w:t>
      </w:r>
      <w:r w:rsidRPr="0029125A">
        <w:rPr>
          <w:rFonts w:ascii="Times New Roman" w:hAnsi="Times New Roman" w:cs="Times New Roman"/>
        </w:rPr>
        <w:t>outcome</w:t>
      </w:r>
      <w:r>
        <w:rPr>
          <w:rFonts w:ascii="Times New Roman" w:hAnsi="Times New Roman" w:cs="Times New Roman"/>
        </w:rPr>
        <w:t>s</w:t>
      </w:r>
      <w:r w:rsidRPr="0029125A">
        <w:rPr>
          <w:rFonts w:ascii="Times New Roman" w:hAnsi="Times New Roman" w:cs="Times New Roman"/>
          <w:bCs/>
        </w:rPr>
        <w:t>.</w:t>
      </w:r>
      <w:r w:rsidRPr="0029125A">
        <w:rPr>
          <w:rFonts w:ascii="Times New Roman" w:hAnsi="Times New Roman" w:cs="Times New Roman"/>
        </w:rPr>
        <w:t xml:space="preserve"> The </w:t>
      </w:r>
      <w:r>
        <w:rPr>
          <w:rFonts w:ascii="Times New Roman" w:hAnsi="Times New Roman" w:cs="Times New Roman"/>
        </w:rPr>
        <w:t>t</w:t>
      </w:r>
      <w:r w:rsidRPr="0029125A">
        <w:rPr>
          <w:rFonts w:ascii="Times New Roman" w:hAnsi="Times New Roman" w:cs="Times New Roman"/>
        </w:rPr>
        <w:t xml:space="preserve">heory of </w:t>
      </w:r>
      <w:r>
        <w:rPr>
          <w:rFonts w:ascii="Times New Roman" w:hAnsi="Times New Roman" w:cs="Times New Roman"/>
        </w:rPr>
        <w:t>c</w:t>
      </w:r>
      <w:r w:rsidRPr="0029125A">
        <w:rPr>
          <w:rFonts w:ascii="Times New Roman" w:hAnsi="Times New Roman" w:cs="Times New Roman"/>
        </w:rPr>
        <w:t xml:space="preserve">hange for the </w:t>
      </w:r>
      <w:r>
        <w:rPr>
          <w:rFonts w:ascii="Times New Roman" w:hAnsi="Times New Roman" w:cs="Times New Roman"/>
        </w:rPr>
        <w:t>g</w:t>
      </w:r>
      <w:r w:rsidRPr="0029125A">
        <w:rPr>
          <w:rFonts w:ascii="Times New Roman" w:hAnsi="Times New Roman" w:cs="Times New Roman"/>
        </w:rPr>
        <w:t xml:space="preserve">overnance and </w:t>
      </w:r>
      <w:r>
        <w:rPr>
          <w:rFonts w:ascii="Times New Roman" w:hAnsi="Times New Roman" w:cs="Times New Roman"/>
        </w:rPr>
        <w:t>j</w:t>
      </w:r>
      <w:r w:rsidRPr="0029125A">
        <w:rPr>
          <w:rFonts w:ascii="Times New Roman" w:hAnsi="Times New Roman" w:cs="Times New Roman"/>
        </w:rPr>
        <w:t xml:space="preserve">ustice outcome </w:t>
      </w:r>
      <w:r>
        <w:rPr>
          <w:rFonts w:ascii="Times New Roman" w:hAnsi="Times New Roman" w:cs="Times New Roman"/>
        </w:rPr>
        <w:t>was</w:t>
      </w:r>
      <w:r w:rsidRPr="0029125A">
        <w:rPr>
          <w:rFonts w:ascii="Times New Roman" w:hAnsi="Times New Roman" w:cs="Times New Roman"/>
        </w:rPr>
        <w:t xml:space="preserve"> elaborated and validated </w:t>
      </w:r>
      <w:r>
        <w:rPr>
          <w:rFonts w:ascii="Times New Roman" w:hAnsi="Times New Roman" w:cs="Times New Roman"/>
        </w:rPr>
        <w:t>according to the national</w:t>
      </w:r>
      <w:r w:rsidRPr="0029125A">
        <w:rPr>
          <w:rFonts w:ascii="Times New Roman" w:hAnsi="Times New Roman" w:cs="Times New Roman"/>
        </w:rPr>
        <w:t xml:space="preserve"> </w:t>
      </w:r>
      <w:r>
        <w:rPr>
          <w:rFonts w:ascii="Times New Roman" w:hAnsi="Times New Roman" w:cs="Times New Roman"/>
        </w:rPr>
        <w:t>g</w:t>
      </w:r>
      <w:r w:rsidRPr="0029125A">
        <w:rPr>
          <w:rFonts w:ascii="Times New Roman" w:hAnsi="Times New Roman" w:cs="Times New Roman"/>
        </w:rPr>
        <w:t xml:space="preserve">overnment’s Socio-economic Development Strategy </w:t>
      </w:r>
      <w:r>
        <w:rPr>
          <w:rFonts w:ascii="Times New Roman" w:hAnsi="Times New Roman" w:cs="Times New Roman"/>
        </w:rPr>
        <w:t>with</w:t>
      </w:r>
      <w:r w:rsidRPr="0029125A">
        <w:rPr>
          <w:rFonts w:ascii="Times New Roman" w:hAnsi="Times New Roman" w:cs="Times New Roman"/>
        </w:rPr>
        <w:t xml:space="preserve"> key </w:t>
      </w:r>
      <w:r>
        <w:rPr>
          <w:rFonts w:ascii="Times New Roman" w:hAnsi="Times New Roman" w:cs="Times New Roman"/>
        </w:rPr>
        <w:t>policy</w:t>
      </w:r>
      <w:r w:rsidRPr="0029125A">
        <w:rPr>
          <w:rFonts w:ascii="Times New Roman" w:hAnsi="Times New Roman" w:cs="Times New Roman"/>
        </w:rPr>
        <w:t xml:space="preserve"> resolutions emerging </w:t>
      </w:r>
      <w:r>
        <w:rPr>
          <w:rFonts w:ascii="Times New Roman" w:hAnsi="Times New Roman" w:cs="Times New Roman"/>
        </w:rPr>
        <w:t xml:space="preserve">as </w:t>
      </w:r>
      <w:r w:rsidRPr="0029125A">
        <w:rPr>
          <w:rFonts w:ascii="Times New Roman" w:hAnsi="Times New Roman" w:cs="Times New Roman"/>
        </w:rPr>
        <w:t xml:space="preserve">national strategies </w:t>
      </w:r>
      <w:r>
        <w:rPr>
          <w:rFonts w:ascii="Times New Roman" w:hAnsi="Times New Roman" w:cs="Times New Roman"/>
        </w:rPr>
        <w:t>priorities:</w:t>
      </w:r>
      <w:r w:rsidRPr="0029125A">
        <w:rPr>
          <w:rFonts w:ascii="Times New Roman" w:hAnsi="Times New Roman" w:cs="Times New Roman"/>
        </w:rPr>
        <w:t xml:space="preserve"> IR.4.0, digital transformation and anti-corruption.</w:t>
      </w:r>
    </w:p>
    <w:p w14:paraId="688E6264" w14:textId="77777777" w:rsidR="008D3F1E" w:rsidRDefault="008D3F1E" w:rsidP="008D3F1E">
      <w:pPr>
        <w:jc w:val="both"/>
        <w:rPr>
          <w:rFonts w:ascii="Calibri" w:eastAsia="Yu Mincho" w:hAnsi="Calibri"/>
        </w:rPr>
      </w:pPr>
    </w:p>
    <w:p w14:paraId="396193FC" w14:textId="77777777" w:rsidR="008D3F1E" w:rsidRDefault="008D3F1E" w:rsidP="008D3F1E">
      <w:pPr>
        <w:jc w:val="both"/>
        <w:rPr>
          <w:rFonts w:ascii="Times New Roman" w:eastAsia="Times New Roman" w:hAnsi="Times New Roman" w:cs="Times New Roman"/>
          <w:b/>
          <w:bCs/>
        </w:rPr>
      </w:pPr>
      <w:r w:rsidRPr="008A2093">
        <w:rPr>
          <w:rFonts w:ascii="Times New Roman" w:eastAsia="Yu Mincho" w:hAnsi="Times New Roman" w:cs="Times New Roman"/>
          <w:b/>
          <w:bCs/>
        </w:rPr>
        <w:t>T</w:t>
      </w:r>
      <w:r w:rsidRPr="008A2093">
        <w:rPr>
          <w:rFonts w:ascii="Times New Roman" w:eastAsia="Times New Roman" w:hAnsi="Times New Roman" w:cs="Times New Roman"/>
          <w:b/>
          <w:bCs/>
        </w:rPr>
        <w:t>unisia</w:t>
      </w:r>
    </w:p>
    <w:p w14:paraId="6F76F579" w14:textId="77777777" w:rsidR="008D3F1E" w:rsidRPr="002A57BC" w:rsidRDefault="008D3F1E" w:rsidP="008D3F1E">
      <w:pPr>
        <w:spacing w:after="0" w:line="240" w:lineRule="auto"/>
        <w:jc w:val="both"/>
        <w:rPr>
          <w:rFonts w:ascii="Times New Roman" w:eastAsia="Times New Roman" w:hAnsi="Times New Roman" w:cs="Times New Roman"/>
          <w:color w:val="000000" w:themeColor="text1"/>
        </w:rPr>
      </w:pPr>
      <w:r w:rsidRPr="5AD1A194">
        <w:rPr>
          <w:rFonts w:ascii="Times New Roman" w:eastAsia="Times New Roman" w:hAnsi="Times New Roman" w:cs="Times New Roman"/>
          <w:color w:val="000000" w:themeColor="text1"/>
        </w:rPr>
        <w:t xml:space="preserve">Tunisia’s CPD 2021-2025, informed by ICPE 2018, was approved in the first regular session of the </w:t>
      </w:r>
      <w:r>
        <w:rPr>
          <w:rFonts w:ascii="Times New Roman" w:eastAsia="Times New Roman" w:hAnsi="Times New Roman" w:cs="Times New Roman"/>
          <w:color w:val="000000" w:themeColor="text1"/>
        </w:rPr>
        <w:t>E</w:t>
      </w:r>
      <w:r w:rsidRPr="5AD1A194">
        <w:rPr>
          <w:rFonts w:ascii="Times New Roman" w:eastAsia="Times New Roman" w:hAnsi="Times New Roman" w:cs="Times New Roman"/>
          <w:color w:val="000000" w:themeColor="text1"/>
        </w:rPr>
        <w:t xml:space="preserve">xecutive </w:t>
      </w:r>
      <w:r>
        <w:rPr>
          <w:rFonts w:ascii="Times New Roman" w:eastAsia="Times New Roman" w:hAnsi="Times New Roman" w:cs="Times New Roman"/>
          <w:color w:val="000000" w:themeColor="text1"/>
        </w:rPr>
        <w:t>B</w:t>
      </w:r>
      <w:r w:rsidRPr="5AD1A194">
        <w:rPr>
          <w:rFonts w:ascii="Times New Roman" w:eastAsia="Times New Roman" w:hAnsi="Times New Roman" w:cs="Times New Roman"/>
          <w:color w:val="000000" w:themeColor="text1"/>
        </w:rPr>
        <w:t xml:space="preserve">oard in 2021. The CPD represents a good model of using evaluations to enhance new programming and shows </w:t>
      </w:r>
      <w:r>
        <w:rPr>
          <w:rFonts w:ascii="Times New Roman" w:eastAsia="Times New Roman" w:hAnsi="Times New Roman" w:cs="Times New Roman"/>
          <w:color w:val="000000" w:themeColor="text1"/>
        </w:rPr>
        <w:t xml:space="preserve">how </w:t>
      </w:r>
      <w:r w:rsidRPr="5AD1A194">
        <w:rPr>
          <w:rFonts w:ascii="Times New Roman" w:eastAsia="Times New Roman" w:hAnsi="Times New Roman" w:cs="Times New Roman"/>
          <w:color w:val="000000" w:themeColor="text1"/>
        </w:rPr>
        <w:t xml:space="preserve">UNDP extensive efforts in </w:t>
      </w:r>
      <w:r>
        <w:rPr>
          <w:rFonts w:ascii="Times New Roman" w:eastAsia="Times New Roman" w:hAnsi="Times New Roman" w:cs="Times New Roman"/>
          <w:color w:val="000000" w:themeColor="text1"/>
        </w:rPr>
        <w:t>applying lessons from past experiences is a net benefit</w:t>
      </w:r>
      <w:r w:rsidRPr="5AD1A194">
        <w:rPr>
          <w:rFonts w:ascii="Times New Roman" w:eastAsia="Times New Roman" w:hAnsi="Times New Roman" w:cs="Times New Roman"/>
          <w:color w:val="000000" w:themeColor="text1"/>
        </w:rPr>
        <w:t xml:space="preserve">. The ICPE highlighted </w:t>
      </w:r>
      <w:r w:rsidRPr="005819CE">
        <w:rPr>
          <w:rFonts w:ascii="Times New Roman" w:eastAsia="Times New Roman" w:hAnsi="Times New Roman" w:cs="Times New Roman"/>
          <w:color w:val="000000" w:themeColor="text1"/>
        </w:rPr>
        <w:t>four recommendations</w:t>
      </w:r>
      <w:r w:rsidRPr="5AD1A194">
        <w:rPr>
          <w:rFonts w:ascii="Times New Roman" w:eastAsia="Times New Roman" w:hAnsi="Times New Roman" w:cs="Times New Roman"/>
          <w:i/>
          <w:iCs/>
          <w:color w:val="000000" w:themeColor="text1"/>
        </w:rPr>
        <w:t xml:space="preserve"> </w:t>
      </w:r>
      <w:r w:rsidRPr="5AD1A194">
        <w:rPr>
          <w:rFonts w:ascii="Times New Roman" w:eastAsia="Times New Roman" w:hAnsi="Times New Roman" w:cs="Times New Roman"/>
          <w:color w:val="000000" w:themeColor="text1"/>
        </w:rPr>
        <w:t xml:space="preserve">considered in the formulation of the current country programme: (1) </w:t>
      </w:r>
      <w:r w:rsidRPr="002A57BC">
        <w:rPr>
          <w:rFonts w:ascii="Times New Roman" w:eastAsia="Times New Roman" w:hAnsi="Times New Roman" w:cs="Times New Roman"/>
          <w:color w:val="000000" w:themeColor="text1"/>
        </w:rPr>
        <w:t xml:space="preserve">pursuing greater </w:t>
      </w:r>
      <w:r w:rsidRPr="005819CE">
        <w:rPr>
          <w:rFonts w:ascii="Times New Roman" w:eastAsia="Times New Roman" w:hAnsi="Times New Roman" w:cs="Times New Roman"/>
          <w:color w:val="000000" w:themeColor="text1"/>
        </w:rPr>
        <w:t>adaptive planning and management approaches</w:t>
      </w:r>
      <w:r w:rsidRPr="002A57BC">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2</w:t>
      </w:r>
      <w:r w:rsidRPr="002A57BC">
        <w:rPr>
          <w:rFonts w:ascii="Times New Roman" w:eastAsia="Times New Roman" w:hAnsi="Times New Roman" w:cs="Times New Roman"/>
          <w:color w:val="000000" w:themeColor="text1"/>
        </w:rPr>
        <w:t xml:space="preserve">) strategic review to identify a </w:t>
      </w:r>
      <w:r w:rsidRPr="005819CE">
        <w:rPr>
          <w:rFonts w:ascii="Times New Roman" w:eastAsia="Times New Roman" w:hAnsi="Times New Roman" w:cs="Times New Roman"/>
          <w:color w:val="000000" w:themeColor="text1"/>
        </w:rPr>
        <w:t>differentiated and strategic niche in job creation</w:t>
      </w:r>
      <w:r>
        <w:rPr>
          <w:rFonts w:ascii="Times New Roman" w:eastAsia="Times New Roman" w:hAnsi="Times New Roman" w:cs="Times New Roman"/>
          <w:color w:val="000000" w:themeColor="text1"/>
        </w:rPr>
        <w:t>;</w:t>
      </w:r>
      <w:r w:rsidRPr="002A57BC">
        <w:rPr>
          <w:rFonts w:ascii="Times New Roman" w:eastAsia="Times New Roman" w:hAnsi="Times New Roman" w:cs="Times New Roman"/>
          <w:color w:val="000000" w:themeColor="text1"/>
        </w:rPr>
        <w:t xml:space="preserve"> (3) partnerships with </w:t>
      </w:r>
      <w:r w:rsidRPr="005819CE">
        <w:rPr>
          <w:rFonts w:ascii="Times New Roman" w:eastAsia="Times New Roman" w:hAnsi="Times New Roman" w:cs="Times New Roman"/>
          <w:color w:val="000000" w:themeColor="text1"/>
        </w:rPr>
        <w:t>civil society at the strategic level</w:t>
      </w:r>
      <w:r>
        <w:rPr>
          <w:rFonts w:ascii="Times New Roman" w:eastAsia="Times New Roman" w:hAnsi="Times New Roman" w:cs="Times New Roman"/>
          <w:color w:val="000000" w:themeColor="text1"/>
        </w:rPr>
        <w:t>,</w:t>
      </w:r>
      <w:r w:rsidRPr="002A57BC">
        <w:rPr>
          <w:rFonts w:ascii="Times New Roman" w:eastAsia="Times New Roman" w:hAnsi="Times New Roman" w:cs="Times New Roman"/>
          <w:color w:val="000000" w:themeColor="text1"/>
        </w:rPr>
        <w:t xml:space="preserve"> and (4) engagement in strategic </w:t>
      </w:r>
      <w:r w:rsidRPr="005819CE">
        <w:rPr>
          <w:rFonts w:ascii="Times New Roman" w:eastAsia="Times New Roman" w:hAnsi="Times New Roman" w:cs="Times New Roman"/>
          <w:color w:val="000000" w:themeColor="text1"/>
        </w:rPr>
        <w:t>partnerships with other actors</w:t>
      </w:r>
      <w:r w:rsidRPr="002A57BC">
        <w:rPr>
          <w:rFonts w:ascii="Times New Roman" w:eastAsia="Times New Roman" w:hAnsi="Times New Roman" w:cs="Times New Roman"/>
          <w:color w:val="000000" w:themeColor="text1"/>
        </w:rPr>
        <w:t>.</w:t>
      </w:r>
    </w:p>
    <w:p w14:paraId="41B4155F" w14:textId="77777777" w:rsidR="008D3F1E" w:rsidRDefault="008D3F1E" w:rsidP="008D3F1E">
      <w:pPr>
        <w:spacing w:after="0" w:line="240" w:lineRule="auto"/>
        <w:jc w:val="both"/>
        <w:rPr>
          <w:rFonts w:ascii="Times New Roman" w:eastAsia="Times New Roman" w:hAnsi="Times New Roman" w:cs="Times New Roman"/>
          <w:color w:val="000000" w:themeColor="text1"/>
        </w:rPr>
      </w:pPr>
      <w:r w:rsidRPr="5AD1A194">
        <w:rPr>
          <w:rFonts w:ascii="Times New Roman" w:eastAsia="Times New Roman" w:hAnsi="Times New Roman" w:cs="Times New Roman"/>
          <w:color w:val="000000" w:themeColor="text1"/>
        </w:rPr>
        <w:t xml:space="preserve"> </w:t>
      </w:r>
    </w:p>
    <w:p w14:paraId="34A4C570" w14:textId="77777777" w:rsidR="008D3F1E" w:rsidRDefault="008D3F1E" w:rsidP="008D3F1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Pr="5AD1A194">
        <w:rPr>
          <w:rFonts w:ascii="Times New Roman" w:eastAsia="Times New Roman" w:hAnsi="Times New Roman" w:cs="Times New Roman"/>
          <w:color w:val="000000" w:themeColor="text1"/>
        </w:rPr>
        <w:t>he current CPD adopts a systemic approach that prioritizes the development and consolidation of new aptitudes</w:t>
      </w:r>
      <w:r>
        <w:rPr>
          <w:rFonts w:ascii="Times New Roman" w:eastAsia="Times New Roman" w:hAnsi="Times New Roman" w:cs="Times New Roman"/>
          <w:color w:val="000000" w:themeColor="text1"/>
        </w:rPr>
        <w:t xml:space="preserve"> </w:t>
      </w:r>
      <w:r w:rsidRPr="5AD1A194">
        <w:rPr>
          <w:rFonts w:ascii="Times New Roman" w:eastAsia="Times New Roman" w:hAnsi="Times New Roman" w:cs="Times New Roman"/>
          <w:color w:val="000000" w:themeColor="text1"/>
        </w:rPr>
        <w:t xml:space="preserve">internally and among partners to respond to complexities and uncertainties, and promote greener, more inclusive and strategic choices </w:t>
      </w:r>
      <w:r>
        <w:rPr>
          <w:rFonts w:ascii="Times New Roman" w:eastAsia="Times New Roman" w:hAnsi="Times New Roman" w:cs="Times New Roman"/>
          <w:color w:val="000000" w:themeColor="text1"/>
        </w:rPr>
        <w:t>that</w:t>
      </w:r>
      <w:r w:rsidRPr="5AD1A194">
        <w:rPr>
          <w:rFonts w:ascii="Times New Roman" w:eastAsia="Times New Roman" w:hAnsi="Times New Roman" w:cs="Times New Roman"/>
          <w:color w:val="000000" w:themeColor="text1"/>
        </w:rPr>
        <w:t xml:space="preserve"> accelerate and widen the impact of development, “leaving no one behind</w:t>
      </w:r>
      <w:r>
        <w:rPr>
          <w:rFonts w:ascii="Times New Roman" w:eastAsia="Times New Roman" w:hAnsi="Times New Roman" w:cs="Times New Roman"/>
          <w:color w:val="000000" w:themeColor="text1"/>
        </w:rPr>
        <w:t>.</w:t>
      </w:r>
      <w:r w:rsidRPr="5AD1A194">
        <w:rPr>
          <w:rFonts w:ascii="Times New Roman" w:eastAsia="Times New Roman" w:hAnsi="Times New Roman" w:cs="Times New Roman"/>
          <w:color w:val="000000" w:themeColor="text1"/>
        </w:rPr>
        <w:t xml:space="preserve">” The new CPD was guided by many innovative adaptive approaches and studies, including a </w:t>
      </w:r>
      <w:r w:rsidRPr="005819CE">
        <w:rPr>
          <w:rFonts w:ascii="Times New Roman" w:eastAsia="Times New Roman" w:hAnsi="Times New Roman" w:cs="Times New Roman"/>
          <w:color w:val="000000" w:themeColor="text1"/>
        </w:rPr>
        <w:t>“signal mapping”</w:t>
      </w:r>
      <w:r w:rsidRPr="002A57BC">
        <w:rPr>
          <w:rFonts w:ascii="Times New Roman" w:eastAsia="Times New Roman" w:hAnsi="Times New Roman" w:cs="Times New Roman"/>
          <w:color w:val="000000" w:themeColor="text1"/>
        </w:rPr>
        <w:t xml:space="preserve"> exercise to identify</w:t>
      </w:r>
      <w:r>
        <w:rPr>
          <w:rFonts w:ascii="Times New Roman" w:eastAsia="Times New Roman" w:hAnsi="Times New Roman" w:cs="Times New Roman"/>
          <w:color w:val="000000" w:themeColor="text1"/>
        </w:rPr>
        <w:t xml:space="preserve"> </w:t>
      </w:r>
      <w:r w:rsidRPr="002A57BC">
        <w:rPr>
          <w:rFonts w:ascii="Times New Roman" w:eastAsia="Times New Roman" w:hAnsi="Times New Roman" w:cs="Times New Roman"/>
          <w:color w:val="000000" w:themeColor="text1"/>
        </w:rPr>
        <w:t>“new normal”</w:t>
      </w:r>
      <w:r>
        <w:rPr>
          <w:rFonts w:ascii="Times New Roman" w:eastAsia="Times New Roman" w:hAnsi="Times New Roman" w:cs="Times New Roman"/>
          <w:color w:val="000000" w:themeColor="text1"/>
        </w:rPr>
        <w:t xml:space="preserve"> baselines,</w:t>
      </w:r>
      <w:r w:rsidRPr="002A57BC">
        <w:rPr>
          <w:rFonts w:ascii="Times New Roman" w:eastAsia="Times New Roman" w:hAnsi="Times New Roman" w:cs="Times New Roman"/>
          <w:color w:val="000000" w:themeColor="text1"/>
        </w:rPr>
        <w:t xml:space="preserve"> a s</w:t>
      </w:r>
      <w:r w:rsidRPr="005819CE">
        <w:rPr>
          <w:rFonts w:ascii="Times New Roman" w:eastAsia="Times New Roman" w:hAnsi="Times New Roman" w:cs="Times New Roman"/>
          <w:color w:val="000000" w:themeColor="text1"/>
        </w:rPr>
        <w:t>tudy of tendencies and perceptions on social media</w:t>
      </w:r>
      <w:r>
        <w:rPr>
          <w:rFonts w:ascii="Times New Roman" w:eastAsia="Times New Roman" w:hAnsi="Times New Roman" w:cs="Times New Roman"/>
          <w:color w:val="000000" w:themeColor="text1"/>
        </w:rPr>
        <w:t>,</w:t>
      </w:r>
      <w:r w:rsidRPr="002A57BC">
        <w:rPr>
          <w:rFonts w:ascii="Times New Roman" w:eastAsia="Times New Roman" w:hAnsi="Times New Roman" w:cs="Times New Roman"/>
          <w:color w:val="000000" w:themeColor="text1"/>
        </w:rPr>
        <w:t xml:space="preserve"> and </w:t>
      </w:r>
      <w:r>
        <w:rPr>
          <w:rFonts w:ascii="Times New Roman" w:eastAsia="Times New Roman" w:hAnsi="Times New Roman" w:cs="Times New Roman"/>
          <w:color w:val="000000" w:themeColor="text1"/>
        </w:rPr>
        <w:t xml:space="preserve">a </w:t>
      </w:r>
      <w:r w:rsidRPr="005819CE">
        <w:rPr>
          <w:rFonts w:ascii="Times New Roman" w:eastAsia="Times New Roman" w:hAnsi="Times New Roman" w:cs="Times New Roman"/>
          <w:color w:val="000000" w:themeColor="text1"/>
        </w:rPr>
        <w:t>“Speculative Design”</w:t>
      </w:r>
      <w:r w:rsidRPr="5AD1A194">
        <w:rPr>
          <w:rFonts w:ascii="Times New Roman" w:eastAsia="Times New Roman" w:hAnsi="Times New Roman" w:cs="Times New Roman"/>
          <w:i/>
          <w:iCs/>
          <w:color w:val="000000" w:themeColor="text1"/>
        </w:rPr>
        <w:t xml:space="preserve"> </w:t>
      </w:r>
      <w:r w:rsidRPr="5AD1A194">
        <w:rPr>
          <w:rFonts w:ascii="Times New Roman" w:eastAsia="Times New Roman" w:hAnsi="Times New Roman" w:cs="Times New Roman"/>
          <w:color w:val="000000" w:themeColor="text1"/>
        </w:rPr>
        <w:t>methodology by young people. UNDP Tunisia developed a portfolio of project documents that allows greater integration and flexibility to adapt to the changing context in the country. Iterative M&amp;E mechanisms were devised to document achievements and guide implementation, whereas informative evaluations are the central modality for analyzing multidimensional challenges and the COVID-19 “new normal</w:t>
      </w:r>
      <w:r>
        <w:rPr>
          <w:rFonts w:ascii="Times New Roman" w:eastAsia="Times New Roman" w:hAnsi="Times New Roman" w:cs="Times New Roman"/>
          <w:color w:val="000000" w:themeColor="text1"/>
        </w:rPr>
        <w:t>.</w:t>
      </w:r>
      <w:r w:rsidRPr="5AD1A194">
        <w:rPr>
          <w:rFonts w:ascii="Times New Roman" w:eastAsia="Times New Roman" w:hAnsi="Times New Roman" w:cs="Times New Roman"/>
          <w:color w:val="000000" w:themeColor="text1"/>
        </w:rPr>
        <w:t xml:space="preserve">” </w:t>
      </w:r>
    </w:p>
    <w:p w14:paraId="3037310E" w14:textId="77777777" w:rsidR="008D3F1E" w:rsidRDefault="008D3F1E" w:rsidP="008D3F1E">
      <w:pPr>
        <w:spacing w:after="0" w:line="240" w:lineRule="auto"/>
        <w:jc w:val="both"/>
        <w:rPr>
          <w:rFonts w:ascii="Times New Roman" w:eastAsia="Times New Roman" w:hAnsi="Times New Roman" w:cs="Times New Roman"/>
          <w:color w:val="000000" w:themeColor="text1"/>
        </w:rPr>
      </w:pPr>
      <w:r w:rsidRPr="5AD1A194">
        <w:rPr>
          <w:rFonts w:ascii="Times New Roman" w:eastAsia="Times New Roman" w:hAnsi="Times New Roman" w:cs="Times New Roman"/>
          <w:color w:val="000000" w:themeColor="text1"/>
        </w:rPr>
        <w:t xml:space="preserve"> </w:t>
      </w:r>
    </w:p>
    <w:p w14:paraId="5061B7FB" w14:textId="77777777" w:rsidR="008D3F1E" w:rsidRDefault="008D3F1E" w:rsidP="008D3F1E">
      <w:pPr>
        <w:spacing w:after="0" w:line="240" w:lineRule="auto"/>
        <w:jc w:val="both"/>
        <w:rPr>
          <w:rFonts w:ascii="Times New Roman" w:eastAsia="Times New Roman" w:hAnsi="Times New Roman" w:cs="Times New Roman"/>
          <w:color w:val="000000" w:themeColor="text1"/>
        </w:rPr>
      </w:pPr>
      <w:r w:rsidRPr="5AD1A194">
        <w:rPr>
          <w:rFonts w:ascii="Times New Roman" w:eastAsia="Times New Roman" w:hAnsi="Times New Roman" w:cs="Times New Roman"/>
          <w:color w:val="000000" w:themeColor="text1"/>
        </w:rPr>
        <w:t xml:space="preserve">While integrating the ICPE recommendations, UNDP also identified a </w:t>
      </w:r>
      <w:r w:rsidRPr="005819CE">
        <w:rPr>
          <w:rFonts w:ascii="Times New Roman" w:eastAsia="Times New Roman" w:hAnsi="Times New Roman" w:cs="Times New Roman"/>
          <w:color w:val="000000" w:themeColor="text1"/>
        </w:rPr>
        <w:t>differentiated and strategic niche in the area of job creation</w:t>
      </w:r>
      <w:r w:rsidRPr="5AD1A194">
        <w:rPr>
          <w:rFonts w:ascii="Times New Roman" w:eastAsia="Times New Roman" w:hAnsi="Times New Roman" w:cs="Times New Roman"/>
          <w:color w:val="000000" w:themeColor="text1"/>
        </w:rPr>
        <w:t xml:space="preserve"> by developing an </w:t>
      </w:r>
      <w:r>
        <w:rPr>
          <w:rFonts w:ascii="Times New Roman" w:eastAsia="Times New Roman" w:hAnsi="Times New Roman" w:cs="Times New Roman"/>
          <w:color w:val="000000" w:themeColor="text1"/>
        </w:rPr>
        <w:t>e</w:t>
      </w:r>
      <w:r w:rsidRPr="5AD1A194">
        <w:rPr>
          <w:rFonts w:ascii="Times New Roman" w:eastAsia="Times New Roman" w:hAnsi="Times New Roman" w:cs="Times New Roman"/>
          <w:color w:val="000000" w:themeColor="text1"/>
        </w:rPr>
        <w:t xml:space="preserve">ntrepreneurship project to support the Government of Tunisia </w:t>
      </w:r>
      <w:r>
        <w:rPr>
          <w:rFonts w:ascii="Times New Roman" w:eastAsia="Times New Roman" w:hAnsi="Times New Roman" w:cs="Times New Roman"/>
          <w:color w:val="000000" w:themeColor="text1"/>
        </w:rPr>
        <w:t>implementing</w:t>
      </w:r>
      <w:r w:rsidRPr="5AD1A194">
        <w:rPr>
          <w:rFonts w:ascii="Times New Roman" w:eastAsia="Times New Roman" w:hAnsi="Times New Roman" w:cs="Times New Roman"/>
          <w:color w:val="000000" w:themeColor="text1"/>
        </w:rPr>
        <w:t xml:space="preserve"> a national strategy on entrepreneurship. The strategy will </w:t>
      </w:r>
      <w:r>
        <w:rPr>
          <w:rFonts w:ascii="Times New Roman" w:eastAsia="Times New Roman" w:hAnsi="Times New Roman" w:cs="Times New Roman"/>
          <w:color w:val="000000" w:themeColor="text1"/>
        </w:rPr>
        <w:t>generate</w:t>
      </w:r>
      <w:r w:rsidRPr="5AD1A194">
        <w:rPr>
          <w:rFonts w:ascii="Times New Roman" w:eastAsia="Times New Roman" w:hAnsi="Times New Roman" w:cs="Times New Roman"/>
          <w:color w:val="000000" w:themeColor="text1"/>
        </w:rPr>
        <w:t xml:space="preserve"> greater impact on job creation through </w:t>
      </w:r>
      <w:r>
        <w:rPr>
          <w:rFonts w:ascii="Times New Roman" w:eastAsia="Times New Roman" w:hAnsi="Times New Roman" w:cs="Times New Roman"/>
          <w:color w:val="000000" w:themeColor="text1"/>
        </w:rPr>
        <w:t>the</w:t>
      </w:r>
      <w:r w:rsidRPr="5AD1A194">
        <w:rPr>
          <w:rFonts w:ascii="Times New Roman" w:eastAsia="Times New Roman" w:hAnsi="Times New Roman" w:cs="Times New Roman"/>
          <w:color w:val="000000" w:themeColor="text1"/>
        </w:rPr>
        <w:t xml:space="preserve"> integration of new technologies and innovative approaches as vectors to a more adapted, innovative, and open environment to entrepreneurship. For the </w:t>
      </w:r>
      <w:r w:rsidRPr="005819CE">
        <w:rPr>
          <w:rFonts w:ascii="Times New Roman" w:eastAsia="Times New Roman" w:hAnsi="Times New Roman" w:cs="Times New Roman"/>
          <w:color w:val="000000" w:themeColor="text1"/>
        </w:rPr>
        <w:t>strategic expansion of partnership with civil society</w:t>
      </w:r>
      <w:r w:rsidRPr="5AD1A194">
        <w:rPr>
          <w:rFonts w:ascii="Times New Roman" w:eastAsia="Times New Roman" w:hAnsi="Times New Roman" w:cs="Times New Roman"/>
          <w:color w:val="000000" w:themeColor="text1"/>
        </w:rPr>
        <w:t xml:space="preserve">, large sector NGOs were identified and involved in </w:t>
      </w:r>
      <w:r>
        <w:rPr>
          <w:rFonts w:ascii="Times New Roman" w:eastAsia="Times New Roman" w:hAnsi="Times New Roman" w:cs="Times New Roman"/>
          <w:color w:val="000000" w:themeColor="text1"/>
        </w:rPr>
        <w:t xml:space="preserve">the </w:t>
      </w:r>
      <w:r w:rsidRPr="5AD1A194">
        <w:rPr>
          <w:rFonts w:ascii="Times New Roman" w:eastAsia="Times New Roman" w:hAnsi="Times New Roman" w:cs="Times New Roman"/>
          <w:color w:val="000000" w:themeColor="text1"/>
        </w:rPr>
        <w:t xml:space="preserve">design and implementation of new projects, </w:t>
      </w:r>
      <w:r>
        <w:rPr>
          <w:rFonts w:ascii="Times New Roman" w:eastAsia="Times New Roman" w:hAnsi="Times New Roman" w:cs="Times New Roman"/>
          <w:color w:val="000000" w:themeColor="text1"/>
        </w:rPr>
        <w:t xml:space="preserve">on </w:t>
      </w:r>
      <w:r w:rsidRPr="5AD1A194">
        <w:rPr>
          <w:rFonts w:ascii="Times New Roman" w:eastAsia="Times New Roman" w:hAnsi="Times New Roman" w:cs="Times New Roman"/>
          <w:color w:val="000000" w:themeColor="text1"/>
        </w:rPr>
        <w:t xml:space="preserve">community policing, human rights and access to justice, and youth involvement. To </w:t>
      </w:r>
      <w:r w:rsidRPr="005819CE">
        <w:rPr>
          <w:rFonts w:ascii="Times New Roman" w:eastAsia="Times New Roman" w:hAnsi="Times New Roman" w:cs="Times New Roman"/>
          <w:color w:val="000000" w:themeColor="text1"/>
        </w:rPr>
        <w:t xml:space="preserve">continue </w:t>
      </w:r>
      <w:r>
        <w:rPr>
          <w:rFonts w:ascii="Times New Roman" w:eastAsia="Times New Roman" w:hAnsi="Times New Roman" w:cs="Times New Roman"/>
          <w:color w:val="000000" w:themeColor="text1"/>
        </w:rPr>
        <w:t xml:space="preserve">increasing </w:t>
      </w:r>
      <w:r w:rsidRPr="005819CE">
        <w:rPr>
          <w:rFonts w:ascii="Times New Roman" w:eastAsia="Times New Roman" w:hAnsi="Times New Roman" w:cs="Times New Roman"/>
          <w:color w:val="000000" w:themeColor="text1"/>
        </w:rPr>
        <w:t>engaging in joint UN interventions</w:t>
      </w:r>
      <w:r w:rsidRPr="00755DB6">
        <w:rPr>
          <w:rFonts w:ascii="Times New Roman" w:eastAsia="Times New Roman" w:hAnsi="Times New Roman" w:cs="Times New Roman"/>
          <w:color w:val="000000" w:themeColor="text1"/>
        </w:rPr>
        <w:t>,</w:t>
      </w:r>
      <w:r w:rsidRPr="5AD1A194">
        <w:rPr>
          <w:rFonts w:ascii="Times New Roman" w:eastAsia="Times New Roman" w:hAnsi="Times New Roman" w:cs="Times New Roman"/>
          <w:color w:val="000000" w:themeColor="text1"/>
        </w:rPr>
        <w:t xml:space="preserve"> UNDP designed, as part of the current CPD, three joint projects with UN Women, UN Habitat, FAO, </w:t>
      </w:r>
      <w:r>
        <w:rPr>
          <w:rFonts w:ascii="Times New Roman" w:eastAsia="Times New Roman" w:hAnsi="Times New Roman" w:cs="Times New Roman"/>
          <w:color w:val="000000" w:themeColor="text1"/>
        </w:rPr>
        <w:t xml:space="preserve">and </w:t>
      </w:r>
      <w:r w:rsidRPr="5AD1A194">
        <w:rPr>
          <w:rFonts w:ascii="Times New Roman" w:eastAsia="Times New Roman" w:hAnsi="Times New Roman" w:cs="Times New Roman"/>
          <w:color w:val="000000" w:themeColor="text1"/>
        </w:rPr>
        <w:t>UNICEF</w:t>
      </w:r>
      <w:r>
        <w:rPr>
          <w:rFonts w:ascii="Times New Roman" w:eastAsia="Times New Roman" w:hAnsi="Times New Roman" w:cs="Times New Roman"/>
          <w:color w:val="000000" w:themeColor="text1"/>
        </w:rPr>
        <w:t>,</w:t>
      </w:r>
      <w:r w:rsidRPr="5AD1A194">
        <w:rPr>
          <w:rFonts w:ascii="Times New Roman" w:eastAsia="Times New Roman" w:hAnsi="Times New Roman" w:cs="Times New Roman"/>
          <w:color w:val="000000" w:themeColor="text1"/>
        </w:rPr>
        <w:t xml:space="preserve"> and submitted two new</w:t>
      </w:r>
      <w:r>
        <w:rPr>
          <w:rFonts w:ascii="Times New Roman" w:eastAsia="Times New Roman" w:hAnsi="Times New Roman" w:cs="Times New Roman"/>
          <w:color w:val="000000" w:themeColor="text1"/>
        </w:rPr>
        <w:t xml:space="preserve"> joint</w:t>
      </w:r>
      <w:r w:rsidRPr="5AD1A194">
        <w:rPr>
          <w:rFonts w:ascii="Times New Roman" w:eastAsia="Times New Roman" w:hAnsi="Times New Roman" w:cs="Times New Roman"/>
          <w:color w:val="000000" w:themeColor="text1"/>
        </w:rPr>
        <w:t xml:space="preserve"> proposals with UN</w:t>
      </w:r>
      <w:r>
        <w:rPr>
          <w:rFonts w:ascii="Times New Roman" w:eastAsia="Times New Roman" w:hAnsi="Times New Roman" w:cs="Times New Roman"/>
          <w:color w:val="000000" w:themeColor="text1"/>
        </w:rPr>
        <w:t xml:space="preserve"> </w:t>
      </w:r>
      <w:r w:rsidRPr="5AD1A194">
        <w:rPr>
          <w:rFonts w:ascii="Times New Roman" w:eastAsia="Times New Roman" w:hAnsi="Times New Roman" w:cs="Times New Roman"/>
          <w:color w:val="000000" w:themeColor="text1"/>
        </w:rPr>
        <w:t>W</w:t>
      </w:r>
      <w:r>
        <w:rPr>
          <w:rFonts w:ascii="Times New Roman" w:eastAsia="Times New Roman" w:hAnsi="Times New Roman" w:cs="Times New Roman"/>
          <w:color w:val="000000" w:themeColor="text1"/>
        </w:rPr>
        <w:t>omen</w:t>
      </w:r>
      <w:r w:rsidRPr="5AD1A194">
        <w:rPr>
          <w:rFonts w:ascii="Times New Roman" w:eastAsia="Times New Roman" w:hAnsi="Times New Roman" w:cs="Times New Roman"/>
          <w:color w:val="000000" w:themeColor="text1"/>
        </w:rPr>
        <w:t xml:space="preserve"> and WHO. UNDP continues </w:t>
      </w:r>
      <w:r>
        <w:rPr>
          <w:rFonts w:ascii="Times New Roman" w:eastAsia="Times New Roman" w:hAnsi="Times New Roman" w:cs="Times New Roman"/>
          <w:color w:val="000000" w:themeColor="text1"/>
        </w:rPr>
        <w:t>to support</w:t>
      </w:r>
      <w:r w:rsidRPr="5AD1A194">
        <w:rPr>
          <w:rFonts w:ascii="Times New Roman" w:eastAsia="Times New Roman" w:hAnsi="Times New Roman" w:cs="Times New Roman"/>
          <w:color w:val="000000" w:themeColor="text1"/>
        </w:rPr>
        <w:t xml:space="preserve"> the UNCT in the implementation of an aid coordination platform in the current</w:t>
      </w:r>
      <w:r w:rsidRPr="5AD1A194">
        <w:rPr>
          <w:rFonts w:ascii="Times New Roman" w:eastAsia="Times New Roman" w:hAnsi="Times New Roman" w:cs="Times New Roman"/>
          <w:strike/>
          <w:color w:val="000000" w:themeColor="text1"/>
        </w:rPr>
        <w:t xml:space="preserve"> </w:t>
      </w:r>
      <w:r w:rsidRPr="5AD1A194">
        <w:rPr>
          <w:rFonts w:ascii="Times New Roman" w:eastAsia="Times New Roman" w:hAnsi="Times New Roman" w:cs="Times New Roman"/>
          <w:color w:val="000000" w:themeColor="text1"/>
        </w:rPr>
        <w:t xml:space="preserve">programme cycle. UNDP Tunisia diversified its donor base </w:t>
      </w:r>
      <w:r>
        <w:rPr>
          <w:rFonts w:ascii="Times New Roman" w:eastAsia="Times New Roman" w:hAnsi="Times New Roman" w:cs="Times New Roman"/>
          <w:color w:val="000000" w:themeColor="text1"/>
        </w:rPr>
        <w:t>through</w:t>
      </w:r>
      <w:r w:rsidRPr="5AD1A194">
        <w:rPr>
          <w:rFonts w:ascii="Times New Roman" w:eastAsia="Times New Roman" w:hAnsi="Times New Roman" w:cs="Times New Roman"/>
          <w:color w:val="000000" w:themeColor="text1"/>
        </w:rPr>
        <w:t xml:space="preserve"> the application of the resource mobilization strategy </w:t>
      </w:r>
      <w:r>
        <w:rPr>
          <w:rFonts w:ascii="Times New Roman" w:eastAsia="Times New Roman" w:hAnsi="Times New Roman" w:cs="Times New Roman"/>
          <w:color w:val="000000" w:themeColor="text1"/>
        </w:rPr>
        <w:t xml:space="preserve">for </w:t>
      </w:r>
      <w:r w:rsidRPr="5AD1A194">
        <w:rPr>
          <w:rFonts w:ascii="Times New Roman" w:eastAsia="Times New Roman" w:hAnsi="Times New Roman" w:cs="Times New Roman"/>
          <w:color w:val="000000" w:themeColor="text1"/>
        </w:rPr>
        <w:t xml:space="preserve">programmes, </w:t>
      </w:r>
      <w:r>
        <w:rPr>
          <w:rFonts w:ascii="Times New Roman" w:eastAsia="Times New Roman" w:hAnsi="Times New Roman" w:cs="Times New Roman"/>
          <w:color w:val="000000" w:themeColor="text1"/>
        </w:rPr>
        <w:t>leveraging</w:t>
      </w:r>
      <w:r w:rsidRPr="5AD1A194">
        <w:rPr>
          <w:rFonts w:ascii="Times New Roman" w:eastAsia="Times New Roman" w:hAnsi="Times New Roman" w:cs="Times New Roman"/>
          <w:color w:val="000000" w:themeColor="text1"/>
        </w:rPr>
        <w:t xml:space="preserve"> the SDGs, Prevention of Violent Extremism (PVE)</w:t>
      </w:r>
      <w:r>
        <w:rPr>
          <w:rFonts w:ascii="Times New Roman" w:eastAsia="Times New Roman" w:hAnsi="Times New Roman" w:cs="Times New Roman"/>
          <w:color w:val="000000" w:themeColor="text1"/>
        </w:rPr>
        <w:t>,</w:t>
      </w:r>
      <w:r w:rsidRPr="5AD1A194">
        <w:rPr>
          <w:rFonts w:ascii="Times New Roman" w:eastAsia="Times New Roman" w:hAnsi="Times New Roman" w:cs="Times New Roman"/>
          <w:color w:val="000000" w:themeColor="text1"/>
        </w:rPr>
        <w:t xml:space="preserve"> and </w:t>
      </w:r>
      <w:r>
        <w:rPr>
          <w:rFonts w:ascii="Times New Roman" w:eastAsia="Times New Roman" w:hAnsi="Times New Roman" w:cs="Times New Roman"/>
          <w:color w:val="000000" w:themeColor="text1"/>
        </w:rPr>
        <w:t>e</w:t>
      </w:r>
      <w:r w:rsidRPr="5AD1A194">
        <w:rPr>
          <w:rFonts w:ascii="Times New Roman" w:eastAsia="Times New Roman" w:hAnsi="Times New Roman" w:cs="Times New Roman"/>
          <w:color w:val="000000" w:themeColor="text1"/>
        </w:rPr>
        <w:t>nvironment</w:t>
      </w:r>
      <w:r>
        <w:rPr>
          <w:rFonts w:ascii="Times New Roman" w:eastAsia="Times New Roman" w:hAnsi="Times New Roman" w:cs="Times New Roman"/>
          <w:color w:val="000000" w:themeColor="text1"/>
        </w:rPr>
        <w:t xml:space="preserve"> concerns</w:t>
      </w:r>
      <w:r w:rsidRPr="5AD1A19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Moreover, </w:t>
      </w:r>
      <w:r w:rsidRPr="5AD1A194">
        <w:rPr>
          <w:rFonts w:ascii="Times New Roman" w:eastAsia="Times New Roman" w:hAnsi="Times New Roman" w:cs="Times New Roman"/>
          <w:color w:val="000000" w:themeColor="text1"/>
        </w:rPr>
        <w:t>UNDP Tunisia dedicated special attention to knowledge and data generation, development of decision-making tools, and inputs to national policy dialogue on socio-economic issues, such as dialogue</w:t>
      </w:r>
      <w:r>
        <w:rPr>
          <w:rFonts w:ascii="Times New Roman" w:eastAsia="Times New Roman" w:hAnsi="Times New Roman" w:cs="Times New Roman"/>
          <w:color w:val="000000" w:themeColor="text1"/>
        </w:rPr>
        <w:t>s</w:t>
      </w:r>
      <w:r w:rsidRPr="5AD1A194">
        <w:rPr>
          <w:rFonts w:ascii="Times New Roman" w:eastAsia="Times New Roman" w:hAnsi="Times New Roman" w:cs="Times New Roman"/>
          <w:color w:val="000000" w:themeColor="text1"/>
        </w:rPr>
        <w:t xml:space="preserve"> with World Bank </w:t>
      </w:r>
      <w:r>
        <w:rPr>
          <w:rFonts w:ascii="Times New Roman" w:eastAsia="Times New Roman" w:hAnsi="Times New Roman" w:cs="Times New Roman"/>
          <w:color w:val="000000" w:themeColor="text1"/>
        </w:rPr>
        <w:t xml:space="preserve">experts </w:t>
      </w:r>
      <w:r w:rsidRPr="5AD1A194">
        <w:rPr>
          <w:rFonts w:ascii="Times New Roman" w:eastAsia="Times New Roman" w:hAnsi="Times New Roman" w:cs="Times New Roman"/>
          <w:color w:val="000000" w:themeColor="text1"/>
        </w:rPr>
        <w:t>and others</w:t>
      </w:r>
      <w:r>
        <w:rPr>
          <w:rFonts w:ascii="Times New Roman" w:eastAsia="Times New Roman" w:hAnsi="Times New Roman" w:cs="Times New Roman"/>
          <w:color w:val="000000" w:themeColor="text1"/>
        </w:rPr>
        <w:t xml:space="preserve"> to </w:t>
      </w:r>
      <w:r w:rsidRPr="5AD1A194">
        <w:rPr>
          <w:rFonts w:ascii="Times New Roman" w:eastAsia="Times New Roman" w:hAnsi="Times New Roman" w:cs="Times New Roman"/>
          <w:color w:val="000000" w:themeColor="text1"/>
        </w:rPr>
        <w:t>generate proposals and inputs to policies on inequalities and exclu</w:t>
      </w:r>
      <w:r>
        <w:rPr>
          <w:rFonts w:ascii="Times New Roman" w:eastAsia="Times New Roman" w:hAnsi="Times New Roman" w:cs="Times New Roman"/>
          <w:color w:val="000000" w:themeColor="text1"/>
        </w:rPr>
        <w:t>ded issues</w:t>
      </w:r>
      <w:r w:rsidRPr="5AD1A194">
        <w:rPr>
          <w:rFonts w:ascii="Times New Roman" w:eastAsia="Times New Roman" w:hAnsi="Times New Roman" w:cs="Times New Roman"/>
          <w:color w:val="000000" w:themeColor="text1"/>
        </w:rPr>
        <w:t>.</w:t>
      </w:r>
    </w:p>
    <w:p w14:paraId="4FDC067A" w14:textId="77777777" w:rsidR="008D3F1E" w:rsidRDefault="008D3F1E" w:rsidP="008D3F1E">
      <w:pPr>
        <w:spacing w:after="0" w:line="240" w:lineRule="auto"/>
        <w:jc w:val="both"/>
        <w:rPr>
          <w:rFonts w:ascii="Calibri" w:eastAsia="Yu Mincho" w:hAnsi="Calibri"/>
          <w:b/>
          <w:bCs/>
        </w:rPr>
      </w:pPr>
    </w:p>
    <w:p w14:paraId="46F15E8C" w14:textId="77777777" w:rsidR="008D3F1E" w:rsidRPr="002E47FA" w:rsidRDefault="008D3F1E" w:rsidP="008D3F1E">
      <w:pPr>
        <w:spacing w:after="0" w:line="240" w:lineRule="auto"/>
        <w:jc w:val="both"/>
        <w:rPr>
          <w:rFonts w:ascii="Times New Roman" w:hAnsi="Times New Roman" w:cs="Times New Roman"/>
          <w:b/>
        </w:rPr>
      </w:pPr>
      <w:r w:rsidRPr="002E47FA">
        <w:rPr>
          <w:rFonts w:ascii="Times New Roman" w:hAnsi="Times New Roman" w:cs="Times New Roman"/>
          <w:b/>
        </w:rPr>
        <w:t xml:space="preserve">Georgia </w:t>
      </w:r>
    </w:p>
    <w:p w14:paraId="34C4EDBD" w14:textId="77777777" w:rsidR="008D3F1E" w:rsidRDefault="008D3F1E" w:rsidP="008D3F1E">
      <w:pPr>
        <w:spacing w:after="0" w:line="240" w:lineRule="auto"/>
        <w:jc w:val="both"/>
        <w:rPr>
          <w:rFonts w:ascii="Times New Roman" w:hAnsi="Times New Roman" w:cs="Times New Roman"/>
          <w:bCs/>
        </w:rPr>
      </w:pPr>
    </w:p>
    <w:p w14:paraId="01E12D14" w14:textId="77777777" w:rsidR="008D3F1E" w:rsidRDefault="008D3F1E" w:rsidP="008D3F1E">
      <w:pPr>
        <w:spacing w:after="0" w:line="240" w:lineRule="auto"/>
        <w:jc w:val="both"/>
        <w:rPr>
          <w:rFonts w:ascii="Times New Roman" w:eastAsia="Times New Roman" w:hAnsi="Times New Roman" w:cs="Times New Roman"/>
          <w:color w:val="222222"/>
          <w:shd w:val="clear" w:color="auto" w:fill="FFFFFF"/>
          <w:lang w:eastAsia="en-GB"/>
        </w:rPr>
      </w:pPr>
      <w:r w:rsidRPr="00F115AC">
        <w:rPr>
          <w:rFonts w:ascii="Times New Roman" w:eastAsia="Times New Roman" w:hAnsi="Times New Roman" w:cs="Times New Roman"/>
          <w:color w:val="222222"/>
          <w:shd w:val="clear" w:color="auto" w:fill="FFFFFF"/>
          <w:lang w:eastAsia="en-GB"/>
        </w:rPr>
        <w:t>Informed by ICPE findings and recommendations, the Georgia CPD for 2021-2025 was approved at the first regular session in 2021. Out of six recommendations, one was to align the new CPD with SDG commitment</w:t>
      </w:r>
      <w:r>
        <w:rPr>
          <w:rFonts w:ascii="Times New Roman" w:eastAsia="Times New Roman" w:hAnsi="Times New Roman" w:cs="Times New Roman"/>
          <w:color w:val="222222"/>
          <w:shd w:val="clear" w:color="auto" w:fill="FFFFFF"/>
          <w:lang w:eastAsia="en-GB"/>
        </w:rPr>
        <w:t>s</w:t>
      </w:r>
      <w:r w:rsidRPr="00F115AC">
        <w:rPr>
          <w:rFonts w:ascii="Times New Roman" w:eastAsia="Times New Roman" w:hAnsi="Times New Roman" w:cs="Times New Roman"/>
          <w:color w:val="222222"/>
          <w:shd w:val="clear" w:color="auto" w:fill="FFFFFF"/>
          <w:lang w:eastAsia="en-GB"/>
        </w:rPr>
        <w:t xml:space="preserve"> focusing on human rights, gender equality, rural-urban disparities, and youth. Acknowledging evaluation recommendation</w:t>
      </w:r>
      <w:r>
        <w:rPr>
          <w:rFonts w:ascii="Times New Roman" w:eastAsia="Times New Roman" w:hAnsi="Times New Roman" w:cs="Times New Roman"/>
          <w:color w:val="222222"/>
          <w:shd w:val="clear" w:color="auto" w:fill="FFFFFF"/>
          <w:lang w:eastAsia="en-GB"/>
        </w:rPr>
        <w:t>s</w:t>
      </w:r>
      <w:r w:rsidRPr="00F115AC">
        <w:rPr>
          <w:rFonts w:ascii="Times New Roman" w:eastAsia="Times New Roman" w:hAnsi="Times New Roman" w:cs="Times New Roman"/>
          <w:color w:val="222222"/>
          <w:shd w:val="clear" w:color="auto" w:fill="FFFFFF"/>
          <w:lang w:eastAsia="en-GB"/>
        </w:rPr>
        <w:t xml:space="preserve">, the new CPD was developed with a focus on “leaving no one behind” and boosting country efforts to achieve the SDGs. The CPD builds on MAPS findings to address issues identified as core to the country’s SDG agenda. In the new country program, UNDP plans to work </w:t>
      </w:r>
      <w:r w:rsidRPr="00F115AC">
        <w:rPr>
          <w:rFonts w:ascii="Times New Roman" w:eastAsia="Times New Roman" w:hAnsi="Times New Roman" w:cs="Times New Roman"/>
          <w:color w:val="222222"/>
          <w:shd w:val="clear" w:color="auto" w:fill="FFFFFF"/>
          <w:lang w:eastAsia="en-GB"/>
        </w:rPr>
        <w:lastRenderedPageBreak/>
        <w:t>with partners and donors to deepen and broaden engagement in human rights and gender equality, with a focus on the care economy</w:t>
      </w:r>
      <w:r>
        <w:rPr>
          <w:rFonts w:ascii="Times New Roman" w:eastAsia="Times New Roman" w:hAnsi="Times New Roman" w:cs="Times New Roman"/>
          <w:color w:val="222222"/>
          <w:shd w:val="clear" w:color="auto" w:fill="FFFFFF"/>
          <w:lang w:eastAsia="en-GB"/>
        </w:rPr>
        <w:t>,</w:t>
      </w:r>
      <w:r w:rsidRPr="00F115AC">
        <w:rPr>
          <w:rFonts w:ascii="Times New Roman" w:eastAsia="Times New Roman" w:hAnsi="Times New Roman" w:cs="Times New Roman"/>
          <w:color w:val="222222"/>
          <w:shd w:val="clear" w:color="auto" w:fill="FFFFFF"/>
          <w:lang w:eastAsia="en-GB"/>
        </w:rPr>
        <w:t xml:space="preserve"> unlocking the potential of Georgia’s rural areas and its young people</w:t>
      </w:r>
      <w:r>
        <w:rPr>
          <w:rFonts w:ascii="Times New Roman" w:eastAsia="Times New Roman" w:hAnsi="Times New Roman" w:cs="Times New Roman"/>
          <w:color w:val="222222"/>
          <w:shd w:val="clear" w:color="auto" w:fill="FFFFFF"/>
          <w:lang w:eastAsia="en-GB"/>
        </w:rPr>
        <w:t>,</w:t>
      </w:r>
      <w:r w:rsidRPr="00F115AC">
        <w:rPr>
          <w:rFonts w:ascii="Times New Roman" w:eastAsia="Times New Roman" w:hAnsi="Times New Roman" w:cs="Times New Roman"/>
          <w:color w:val="222222"/>
          <w:shd w:val="clear" w:color="auto" w:fill="FFFFFF"/>
          <w:lang w:eastAsia="en-GB"/>
        </w:rPr>
        <w:t xml:space="preserve"> and building a greener economy and society. </w:t>
      </w:r>
    </w:p>
    <w:p w14:paraId="368AFB55" w14:textId="77777777" w:rsidR="008D3F1E" w:rsidRDefault="008D3F1E" w:rsidP="008D3F1E">
      <w:pPr>
        <w:spacing w:after="0" w:line="240" w:lineRule="auto"/>
        <w:jc w:val="both"/>
        <w:rPr>
          <w:rFonts w:ascii="Times New Roman" w:eastAsia="Times New Roman" w:hAnsi="Times New Roman" w:cs="Times New Roman"/>
          <w:color w:val="222222"/>
          <w:shd w:val="clear" w:color="auto" w:fill="FFFFFF"/>
          <w:lang w:eastAsia="en-GB"/>
        </w:rPr>
      </w:pPr>
    </w:p>
    <w:p w14:paraId="0CD8C606" w14:textId="77777777" w:rsidR="008D3F1E" w:rsidRPr="00F115AC" w:rsidRDefault="008D3F1E" w:rsidP="008D3F1E">
      <w:pPr>
        <w:spacing w:after="0" w:line="240" w:lineRule="auto"/>
        <w:jc w:val="both"/>
        <w:rPr>
          <w:rFonts w:ascii="Times New Roman" w:eastAsia="Times New Roman" w:hAnsi="Times New Roman" w:cs="Times New Roman"/>
          <w:lang w:eastAsia="en-GB"/>
        </w:rPr>
      </w:pPr>
      <w:r w:rsidRPr="00F115AC">
        <w:rPr>
          <w:rFonts w:ascii="Times New Roman" w:eastAsia="Times New Roman" w:hAnsi="Times New Roman" w:cs="Times New Roman"/>
          <w:color w:val="222222"/>
          <w:shd w:val="clear" w:color="auto" w:fill="FFFFFF"/>
          <w:lang w:eastAsia="en-GB"/>
        </w:rPr>
        <w:t xml:space="preserve">Another  recommendation emphasized UNDP develop issue-based </w:t>
      </w:r>
      <w:r>
        <w:rPr>
          <w:rFonts w:ascii="Times New Roman" w:eastAsia="Times New Roman" w:hAnsi="Times New Roman" w:cs="Times New Roman"/>
          <w:color w:val="222222"/>
          <w:shd w:val="clear" w:color="auto" w:fill="FFFFFF"/>
          <w:lang w:eastAsia="en-GB"/>
        </w:rPr>
        <w:t>t</w:t>
      </w:r>
      <w:r w:rsidRPr="00F115AC">
        <w:rPr>
          <w:rFonts w:ascii="Times New Roman" w:eastAsia="Times New Roman" w:hAnsi="Times New Roman" w:cs="Times New Roman"/>
          <w:color w:val="222222"/>
          <w:shd w:val="clear" w:color="auto" w:fill="FFFFFF"/>
          <w:lang w:eastAsia="en-GB"/>
        </w:rPr>
        <w:t xml:space="preserve">heories of </w:t>
      </w:r>
      <w:r>
        <w:rPr>
          <w:rFonts w:ascii="Times New Roman" w:eastAsia="Times New Roman" w:hAnsi="Times New Roman" w:cs="Times New Roman"/>
          <w:color w:val="222222"/>
          <w:shd w:val="clear" w:color="auto" w:fill="FFFFFF"/>
          <w:lang w:eastAsia="en-GB"/>
        </w:rPr>
        <w:t>c</w:t>
      </w:r>
      <w:r w:rsidRPr="00F115AC">
        <w:rPr>
          <w:rFonts w:ascii="Times New Roman" w:eastAsia="Times New Roman" w:hAnsi="Times New Roman" w:cs="Times New Roman"/>
          <w:color w:val="222222"/>
          <w:shd w:val="clear" w:color="auto" w:fill="FFFFFF"/>
          <w:lang w:eastAsia="en-GB"/>
        </w:rPr>
        <w:t xml:space="preserve">hange against which expected results </w:t>
      </w:r>
      <w:r>
        <w:rPr>
          <w:rFonts w:ascii="Times New Roman" w:eastAsia="Times New Roman" w:hAnsi="Times New Roman" w:cs="Times New Roman"/>
          <w:color w:val="222222"/>
          <w:shd w:val="clear" w:color="auto" w:fill="FFFFFF"/>
          <w:lang w:eastAsia="en-GB"/>
        </w:rPr>
        <w:t>can</w:t>
      </w:r>
      <w:r w:rsidRPr="00F115AC">
        <w:rPr>
          <w:rFonts w:ascii="Times New Roman" w:eastAsia="Times New Roman" w:hAnsi="Times New Roman" w:cs="Times New Roman"/>
          <w:color w:val="222222"/>
          <w:shd w:val="clear" w:color="auto" w:fill="FFFFFF"/>
          <w:lang w:eastAsia="en-GB"/>
        </w:rPr>
        <w:t xml:space="preserve"> reveal opportunities for synergies </w:t>
      </w:r>
      <w:r>
        <w:rPr>
          <w:rFonts w:ascii="Times New Roman" w:eastAsia="Times New Roman" w:hAnsi="Times New Roman" w:cs="Times New Roman"/>
          <w:color w:val="222222"/>
          <w:shd w:val="clear" w:color="auto" w:fill="FFFFFF"/>
          <w:lang w:eastAsia="en-GB"/>
        </w:rPr>
        <w:t>across</w:t>
      </w:r>
      <w:r w:rsidRPr="00F115AC">
        <w:rPr>
          <w:rFonts w:ascii="Times New Roman" w:eastAsia="Times New Roman" w:hAnsi="Times New Roman" w:cs="Times New Roman"/>
          <w:color w:val="222222"/>
          <w:shd w:val="clear" w:color="auto" w:fill="FFFFFF"/>
          <w:lang w:eastAsia="en-GB"/>
        </w:rPr>
        <w:t xml:space="preserve"> projects and activities implemented by UNDP</w:t>
      </w:r>
      <w:r>
        <w:rPr>
          <w:rFonts w:ascii="Times New Roman" w:eastAsia="Times New Roman" w:hAnsi="Times New Roman" w:cs="Times New Roman"/>
          <w:color w:val="222222"/>
          <w:shd w:val="clear" w:color="auto" w:fill="FFFFFF"/>
          <w:lang w:eastAsia="en-GB"/>
        </w:rPr>
        <w:t xml:space="preserve">, as well as </w:t>
      </w:r>
      <w:r w:rsidRPr="00F115AC">
        <w:rPr>
          <w:rFonts w:ascii="Times New Roman" w:eastAsia="Times New Roman" w:hAnsi="Times New Roman" w:cs="Times New Roman"/>
          <w:color w:val="222222"/>
          <w:shd w:val="clear" w:color="auto" w:fill="FFFFFF"/>
          <w:lang w:eastAsia="en-GB"/>
        </w:rPr>
        <w:t xml:space="preserve">donors operating in </w:t>
      </w:r>
      <w:r>
        <w:rPr>
          <w:rFonts w:ascii="Times New Roman" w:eastAsia="Times New Roman" w:hAnsi="Times New Roman" w:cs="Times New Roman"/>
          <w:color w:val="222222"/>
          <w:shd w:val="clear" w:color="auto" w:fill="FFFFFF"/>
          <w:lang w:eastAsia="en-GB"/>
        </w:rPr>
        <w:t>specific</w:t>
      </w:r>
      <w:r w:rsidRPr="00F115AC">
        <w:rPr>
          <w:rFonts w:ascii="Times New Roman" w:eastAsia="Times New Roman" w:hAnsi="Times New Roman" w:cs="Times New Roman"/>
          <w:color w:val="222222"/>
          <w:shd w:val="clear" w:color="auto" w:fill="FFFFFF"/>
          <w:lang w:eastAsia="en-GB"/>
        </w:rPr>
        <w:t xml:space="preserve"> areas. Accordingly, the </w:t>
      </w:r>
      <w:r>
        <w:rPr>
          <w:rFonts w:ascii="Times New Roman" w:eastAsia="Times New Roman" w:hAnsi="Times New Roman" w:cs="Times New Roman"/>
          <w:color w:val="222222"/>
          <w:shd w:val="clear" w:color="auto" w:fill="FFFFFF"/>
          <w:lang w:eastAsia="en-GB"/>
        </w:rPr>
        <w:t>t</w:t>
      </w:r>
      <w:r w:rsidRPr="00F115AC">
        <w:rPr>
          <w:rFonts w:ascii="Times New Roman" w:eastAsia="Times New Roman" w:hAnsi="Times New Roman" w:cs="Times New Roman"/>
          <w:color w:val="222222"/>
          <w:shd w:val="clear" w:color="auto" w:fill="FFFFFF"/>
          <w:lang w:eastAsia="en-GB"/>
        </w:rPr>
        <w:t xml:space="preserve">heory of </w:t>
      </w:r>
      <w:r>
        <w:rPr>
          <w:rFonts w:ascii="Times New Roman" w:eastAsia="Times New Roman" w:hAnsi="Times New Roman" w:cs="Times New Roman"/>
          <w:color w:val="222222"/>
          <w:shd w:val="clear" w:color="auto" w:fill="FFFFFF"/>
          <w:lang w:eastAsia="en-GB"/>
        </w:rPr>
        <w:t>c</w:t>
      </w:r>
      <w:r w:rsidRPr="00F115AC">
        <w:rPr>
          <w:rFonts w:ascii="Times New Roman" w:eastAsia="Times New Roman" w:hAnsi="Times New Roman" w:cs="Times New Roman"/>
          <w:color w:val="222222"/>
          <w:shd w:val="clear" w:color="auto" w:fill="FFFFFF"/>
          <w:lang w:eastAsia="en-GB"/>
        </w:rPr>
        <w:t xml:space="preserve">hange was elaborated for the CPD 2021-2025 in line with national challenges and priorities, </w:t>
      </w:r>
      <w:r>
        <w:rPr>
          <w:rFonts w:ascii="Times New Roman" w:eastAsia="Times New Roman" w:hAnsi="Times New Roman" w:cs="Times New Roman"/>
          <w:color w:val="222222"/>
          <w:shd w:val="clear" w:color="auto" w:fill="FFFFFF"/>
          <w:lang w:eastAsia="en-GB"/>
        </w:rPr>
        <w:t>capturing</w:t>
      </w:r>
      <w:r w:rsidRPr="00F115AC">
        <w:rPr>
          <w:rFonts w:ascii="Times New Roman" w:eastAsia="Times New Roman" w:hAnsi="Times New Roman" w:cs="Times New Roman"/>
          <w:color w:val="222222"/>
          <w:shd w:val="clear" w:color="auto" w:fill="FFFFFF"/>
          <w:lang w:eastAsia="en-GB"/>
        </w:rPr>
        <w:t xml:space="preserve"> possible strategies for addressing development challenges in complementarity with other </w:t>
      </w:r>
      <w:r>
        <w:rPr>
          <w:rFonts w:ascii="Times New Roman" w:eastAsia="Times New Roman" w:hAnsi="Times New Roman" w:cs="Times New Roman"/>
          <w:color w:val="222222"/>
          <w:shd w:val="clear" w:color="auto" w:fill="FFFFFF"/>
          <w:lang w:eastAsia="en-GB"/>
        </w:rPr>
        <w:t xml:space="preserve">local </w:t>
      </w:r>
      <w:r w:rsidRPr="00F115AC">
        <w:rPr>
          <w:rFonts w:ascii="Times New Roman" w:eastAsia="Times New Roman" w:hAnsi="Times New Roman" w:cs="Times New Roman"/>
          <w:color w:val="222222"/>
          <w:shd w:val="clear" w:color="auto" w:fill="FFFFFF"/>
          <w:lang w:eastAsia="en-GB"/>
        </w:rPr>
        <w:t xml:space="preserve">development partners. Regarding UNDP support for the implementation of </w:t>
      </w:r>
      <w:r>
        <w:rPr>
          <w:rFonts w:ascii="Times New Roman" w:eastAsia="Times New Roman" w:hAnsi="Times New Roman" w:cs="Times New Roman"/>
          <w:color w:val="222222"/>
          <w:shd w:val="clear" w:color="auto" w:fill="FFFFFF"/>
          <w:lang w:eastAsia="en-GB"/>
        </w:rPr>
        <w:t xml:space="preserve">the </w:t>
      </w:r>
      <w:r w:rsidRPr="00F115AC">
        <w:rPr>
          <w:rFonts w:ascii="Times New Roman" w:eastAsia="Times New Roman" w:hAnsi="Times New Roman" w:cs="Times New Roman"/>
          <w:color w:val="222222"/>
          <w:shd w:val="clear" w:color="auto" w:fill="FFFFFF"/>
          <w:lang w:eastAsia="en-GB"/>
        </w:rPr>
        <w:t xml:space="preserve">decentralization strategy, the new CPD emphasized local economic development to enhance socioeconomic benefits for rural and vulnerable populations. UNDP plans to put efforts to enhance cross-portfolio synergies among </w:t>
      </w:r>
      <w:r>
        <w:rPr>
          <w:rFonts w:ascii="Times New Roman" w:eastAsia="Times New Roman" w:hAnsi="Times New Roman" w:cs="Times New Roman"/>
          <w:color w:val="222222"/>
          <w:shd w:val="clear" w:color="auto" w:fill="FFFFFF"/>
          <w:lang w:eastAsia="en-GB"/>
        </w:rPr>
        <w:t>similar</w:t>
      </w:r>
      <w:r w:rsidRPr="00F115AC">
        <w:rPr>
          <w:rFonts w:ascii="Times New Roman" w:eastAsia="Times New Roman" w:hAnsi="Times New Roman" w:cs="Times New Roman"/>
          <w:color w:val="222222"/>
          <w:shd w:val="clear" w:color="auto" w:fill="FFFFFF"/>
          <w:lang w:eastAsia="en-GB"/>
        </w:rPr>
        <w:t xml:space="preserve"> projects in the regions and support to civil society in rural areas. To address the recommendation to strengthen its monitoring and evaluation practices by establishing outcome-level indicators </w:t>
      </w:r>
      <w:r>
        <w:rPr>
          <w:rFonts w:ascii="Times New Roman" w:eastAsia="Times New Roman" w:hAnsi="Times New Roman" w:cs="Times New Roman"/>
          <w:color w:val="222222"/>
          <w:shd w:val="clear" w:color="auto" w:fill="FFFFFF"/>
          <w:lang w:eastAsia="en-GB"/>
        </w:rPr>
        <w:t>that reflect</w:t>
      </w:r>
      <w:r w:rsidRPr="00F115AC">
        <w:rPr>
          <w:rFonts w:ascii="Times New Roman" w:eastAsia="Times New Roman" w:hAnsi="Times New Roman" w:cs="Times New Roman"/>
          <w:color w:val="222222"/>
          <w:shd w:val="clear" w:color="auto" w:fill="FFFFFF"/>
          <w:lang w:eastAsia="en-GB"/>
        </w:rPr>
        <w:t xml:space="preserve"> behavioral change, UNDP will </w:t>
      </w:r>
      <w:r>
        <w:rPr>
          <w:rFonts w:ascii="Times New Roman" w:eastAsia="Times New Roman" w:hAnsi="Times New Roman" w:cs="Times New Roman"/>
          <w:color w:val="222222"/>
          <w:shd w:val="clear" w:color="auto" w:fill="FFFFFF"/>
          <w:lang w:eastAsia="en-GB"/>
        </w:rPr>
        <w:t>pilot</w:t>
      </w:r>
      <w:r w:rsidRPr="00F115AC">
        <w:rPr>
          <w:rFonts w:ascii="Times New Roman" w:eastAsia="Times New Roman" w:hAnsi="Times New Roman" w:cs="Times New Roman"/>
          <w:color w:val="222222"/>
          <w:shd w:val="clear" w:color="auto" w:fill="FFFFFF"/>
          <w:lang w:eastAsia="en-GB"/>
        </w:rPr>
        <w:t xml:space="preserve"> initiatives across all the portfolios in the programme cycle 2021-2025 </w:t>
      </w:r>
      <w:r>
        <w:rPr>
          <w:rFonts w:ascii="Times New Roman" w:eastAsia="Times New Roman" w:hAnsi="Times New Roman" w:cs="Times New Roman"/>
          <w:color w:val="222222"/>
          <w:shd w:val="clear" w:color="auto" w:fill="FFFFFF"/>
          <w:lang w:eastAsia="en-GB"/>
        </w:rPr>
        <w:t>and</w:t>
      </w:r>
      <w:r w:rsidRPr="00F115AC">
        <w:rPr>
          <w:rFonts w:ascii="Times New Roman" w:eastAsia="Times New Roman" w:hAnsi="Times New Roman" w:cs="Times New Roman"/>
          <w:color w:val="222222"/>
          <w:shd w:val="clear" w:color="auto" w:fill="FFFFFF"/>
          <w:lang w:eastAsia="en-GB"/>
        </w:rPr>
        <w:t xml:space="preserve"> also </w:t>
      </w:r>
      <w:r>
        <w:rPr>
          <w:rFonts w:ascii="Times New Roman" w:eastAsia="Times New Roman" w:hAnsi="Times New Roman" w:cs="Times New Roman"/>
          <w:color w:val="222222"/>
          <w:shd w:val="clear" w:color="auto" w:fill="FFFFFF"/>
          <w:lang w:eastAsia="en-GB"/>
        </w:rPr>
        <w:t>track</w:t>
      </w:r>
      <w:r w:rsidRPr="00F115AC">
        <w:rPr>
          <w:rFonts w:ascii="Times New Roman" w:eastAsia="Times New Roman" w:hAnsi="Times New Roman" w:cs="Times New Roman"/>
          <w:color w:val="222222"/>
          <w:shd w:val="clear" w:color="auto" w:fill="FFFFFF"/>
          <w:lang w:eastAsia="en-GB"/>
        </w:rPr>
        <w:t xml:space="preserve"> </w:t>
      </w:r>
      <w:r>
        <w:rPr>
          <w:rFonts w:ascii="Times New Roman" w:eastAsia="Times New Roman" w:hAnsi="Times New Roman" w:cs="Times New Roman"/>
          <w:color w:val="222222"/>
          <w:shd w:val="clear" w:color="auto" w:fill="FFFFFF"/>
          <w:lang w:eastAsia="en-GB"/>
        </w:rPr>
        <w:t>their</w:t>
      </w:r>
      <w:r w:rsidRPr="00F115AC">
        <w:rPr>
          <w:rFonts w:ascii="Times New Roman" w:eastAsia="Times New Roman" w:hAnsi="Times New Roman" w:cs="Times New Roman"/>
          <w:color w:val="222222"/>
          <w:shd w:val="clear" w:color="auto" w:fill="FFFFFF"/>
          <w:lang w:eastAsia="en-GB"/>
        </w:rPr>
        <w:t xml:space="preserve"> success. </w:t>
      </w:r>
      <w:r>
        <w:rPr>
          <w:rFonts w:ascii="Times New Roman" w:eastAsia="Times New Roman" w:hAnsi="Times New Roman" w:cs="Times New Roman"/>
          <w:color w:val="222222"/>
          <w:shd w:val="clear" w:color="auto" w:fill="FFFFFF"/>
          <w:lang w:eastAsia="en-GB"/>
        </w:rPr>
        <w:t xml:space="preserve">Moreover, UNDP </w:t>
      </w:r>
      <w:r w:rsidRPr="00F115AC">
        <w:rPr>
          <w:rFonts w:ascii="Times New Roman" w:eastAsia="Times New Roman" w:hAnsi="Times New Roman" w:cs="Times New Roman"/>
          <w:color w:val="222222"/>
          <w:shd w:val="clear" w:color="auto" w:fill="FFFFFF"/>
          <w:lang w:eastAsia="en-GB"/>
        </w:rPr>
        <w:t xml:space="preserve">collaborated with other UN agencies and the donor community </w:t>
      </w:r>
      <w:r>
        <w:rPr>
          <w:rFonts w:ascii="Times New Roman" w:eastAsia="Times New Roman" w:hAnsi="Times New Roman" w:cs="Times New Roman"/>
          <w:color w:val="222222"/>
          <w:shd w:val="clear" w:color="auto" w:fill="FFFFFF"/>
          <w:lang w:eastAsia="en-GB"/>
        </w:rPr>
        <w:t>on</w:t>
      </w:r>
      <w:r w:rsidRPr="00F115AC">
        <w:rPr>
          <w:rFonts w:ascii="Times New Roman" w:eastAsia="Times New Roman" w:hAnsi="Times New Roman" w:cs="Times New Roman"/>
          <w:color w:val="222222"/>
          <w:shd w:val="clear" w:color="auto" w:fill="FFFFFF"/>
          <w:lang w:eastAsia="en-GB"/>
        </w:rPr>
        <w:t xml:space="preserve"> adopting </w:t>
      </w:r>
      <w:r>
        <w:rPr>
          <w:rFonts w:ascii="Times New Roman" w:eastAsia="Times New Roman" w:hAnsi="Times New Roman" w:cs="Times New Roman"/>
          <w:color w:val="222222"/>
          <w:shd w:val="clear" w:color="auto" w:fill="FFFFFF"/>
          <w:lang w:eastAsia="en-GB"/>
        </w:rPr>
        <w:t xml:space="preserve">a </w:t>
      </w:r>
      <w:r w:rsidRPr="00F115AC">
        <w:rPr>
          <w:rFonts w:ascii="Times New Roman" w:eastAsia="Times New Roman" w:hAnsi="Times New Roman" w:cs="Times New Roman"/>
          <w:color w:val="222222"/>
          <w:shd w:val="clear" w:color="auto" w:fill="FFFFFF"/>
          <w:lang w:eastAsia="en-GB"/>
        </w:rPr>
        <w:t xml:space="preserve">resource mobilization strategy/plan </w:t>
      </w:r>
      <w:r>
        <w:rPr>
          <w:rFonts w:ascii="Times New Roman" w:eastAsia="Times New Roman" w:hAnsi="Times New Roman" w:cs="Times New Roman"/>
          <w:color w:val="222222"/>
          <w:shd w:val="clear" w:color="auto" w:fill="FFFFFF"/>
          <w:lang w:eastAsia="en-GB"/>
        </w:rPr>
        <w:t xml:space="preserve">for </w:t>
      </w:r>
      <w:r w:rsidRPr="00F115AC">
        <w:rPr>
          <w:rFonts w:ascii="Times New Roman" w:eastAsia="Times New Roman" w:hAnsi="Times New Roman" w:cs="Times New Roman"/>
          <w:color w:val="222222"/>
          <w:shd w:val="clear" w:color="auto" w:fill="FFFFFF"/>
          <w:lang w:eastAsia="en-GB"/>
        </w:rPr>
        <w:t>2021-2025 that prioritizes coordination and maximizes complementariness</w:t>
      </w:r>
      <w:r>
        <w:rPr>
          <w:rFonts w:ascii="Times New Roman" w:eastAsia="Times New Roman" w:hAnsi="Times New Roman" w:cs="Times New Roman"/>
          <w:color w:val="222222"/>
          <w:shd w:val="clear" w:color="auto" w:fill="FFFFFF"/>
          <w:lang w:eastAsia="en-GB"/>
        </w:rPr>
        <w:t xml:space="preserve"> in a bid to </w:t>
      </w:r>
      <w:r w:rsidRPr="00F115AC">
        <w:rPr>
          <w:rFonts w:ascii="Times New Roman" w:eastAsia="Times New Roman" w:hAnsi="Times New Roman" w:cs="Times New Roman"/>
          <w:color w:val="222222"/>
          <w:shd w:val="clear" w:color="auto" w:fill="FFFFFF"/>
          <w:lang w:eastAsia="en-GB"/>
        </w:rPr>
        <w:t>minimizing over-reliance on EU funding.</w:t>
      </w:r>
    </w:p>
    <w:p w14:paraId="73318C00" w14:textId="77777777" w:rsidR="008D3F1E" w:rsidRPr="00F115AC" w:rsidRDefault="008D3F1E" w:rsidP="008D3F1E">
      <w:pPr>
        <w:spacing w:after="0" w:line="240" w:lineRule="auto"/>
        <w:jc w:val="both"/>
        <w:rPr>
          <w:rFonts w:ascii="Times New Roman" w:hAnsi="Times New Roman" w:cs="Times New Roman"/>
          <w:b/>
        </w:rPr>
      </w:pPr>
    </w:p>
    <w:p w14:paraId="4ED4C234" w14:textId="77777777" w:rsidR="008D3F1E" w:rsidRPr="002E47FA" w:rsidRDefault="008D3F1E" w:rsidP="008D3F1E">
      <w:pPr>
        <w:spacing w:after="0" w:line="240" w:lineRule="auto"/>
        <w:jc w:val="both"/>
        <w:rPr>
          <w:rFonts w:ascii="Times New Roman" w:hAnsi="Times New Roman" w:cs="Times New Roman"/>
          <w:bCs/>
        </w:rPr>
      </w:pPr>
      <w:r w:rsidRPr="002E47FA">
        <w:rPr>
          <w:rFonts w:ascii="Times New Roman" w:hAnsi="Times New Roman" w:cs="Times New Roman"/>
          <w:b/>
        </w:rPr>
        <w:t xml:space="preserve">Peru </w:t>
      </w:r>
    </w:p>
    <w:p w14:paraId="532B1570" w14:textId="77777777" w:rsidR="008D3F1E" w:rsidRPr="002E47FA" w:rsidRDefault="008D3F1E" w:rsidP="008D3F1E">
      <w:pPr>
        <w:spacing w:after="0" w:line="240" w:lineRule="auto"/>
        <w:jc w:val="both"/>
        <w:rPr>
          <w:rFonts w:ascii="Times New Roman" w:hAnsi="Times New Roman" w:cs="Times New Roman"/>
          <w:bCs/>
        </w:rPr>
      </w:pPr>
    </w:p>
    <w:p w14:paraId="36E24DA5" w14:textId="77777777" w:rsidR="008D3F1E" w:rsidRPr="002E47FA" w:rsidRDefault="008D3F1E" w:rsidP="008D3F1E">
      <w:pPr>
        <w:rPr>
          <w:rFonts w:ascii="Times New Roman" w:eastAsia="Times New Roman,Batang" w:hAnsi="Times New Roman" w:cs="Times New Roman"/>
          <w:b/>
          <w:lang w:eastAsia="ko-KR"/>
        </w:rPr>
      </w:pPr>
      <w:r>
        <w:rPr>
          <w:rFonts w:ascii="Times New Roman" w:hAnsi="Times New Roman" w:cs="Times New Roman"/>
        </w:rPr>
        <w:t>The</w:t>
      </w:r>
      <w:r w:rsidRPr="6F7DFCFC">
        <w:rPr>
          <w:rFonts w:ascii="Times New Roman" w:hAnsi="Times New Roman" w:cs="Times New Roman"/>
        </w:rPr>
        <w:t xml:space="preserve"> new CPD 2022-2026 </w:t>
      </w:r>
      <w:r>
        <w:rPr>
          <w:rFonts w:ascii="Times New Roman" w:hAnsi="Times New Roman" w:cs="Times New Roman"/>
        </w:rPr>
        <w:t xml:space="preserve">for Peru </w:t>
      </w:r>
      <w:r w:rsidRPr="6F7DFCFC">
        <w:rPr>
          <w:rFonts w:ascii="Times New Roman" w:hAnsi="Times New Roman" w:cs="Times New Roman"/>
        </w:rPr>
        <w:t xml:space="preserve">was presented and approved in the first regular session of 2022. </w:t>
      </w:r>
      <w:r>
        <w:rPr>
          <w:rFonts w:ascii="Times New Roman" w:hAnsi="Times New Roman" w:cs="Times New Roman"/>
        </w:rPr>
        <w:t>S</w:t>
      </w:r>
      <w:r w:rsidRPr="53D2DAA9">
        <w:rPr>
          <w:rFonts w:ascii="Times New Roman" w:hAnsi="Times New Roman" w:cs="Times New Roman"/>
        </w:rPr>
        <w:t>upported</w:t>
      </w:r>
      <w:r w:rsidRPr="6F7DFCFC">
        <w:rPr>
          <w:rFonts w:ascii="Times New Roman" w:hAnsi="Times New Roman" w:cs="Times New Roman"/>
        </w:rPr>
        <w:t xml:space="preserve"> by the ICPE conducted in 2021, which</w:t>
      </w:r>
      <w:r>
        <w:rPr>
          <w:rFonts w:ascii="Times New Roman" w:hAnsi="Times New Roman" w:cs="Times New Roman"/>
        </w:rPr>
        <w:t xml:space="preserve"> </w:t>
      </w:r>
      <w:r w:rsidRPr="7C35D0DE">
        <w:rPr>
          <w:rFonts w:ascii="Times New Roman" w:hAnsi="Times New Roman" w:cs="Times New Roman"/>
        </w:rPr>
        <w:t>evaluated</w:t>
      </w:r>
      <w:r w:rsidRPr="6F7DFCFC">
        <w:rPr>
          <w:rFonts w:ascii="Times New Roman" w:hAnsi="Times New Roman" w:cs="Times New Roman"/>
        </w:rPr>
        <w:t xml:space="preserve"> the country programme for 2017–2021</w:t>
      </w:r>
      <w:r>
        <w:rPr>
          <w:rFonts w:ascii="Times New Roman" w:hAnsi="Times New Roman" w:cs="Times New Roman"/>
        </w:rPr>
        <w:t xml:space="preserve">, </w:t>
      </w:r>
      <w:r w:rsidRPr="6F7DFCFC">
        <w:rPr>
          <w:rFonts w:ascii="Times New Roman" w:hAnsi="Times New Roman" w:cs="Times New Roman"/>
        </w:rPr>
        <w:t xml:space="preserve">the evaluation </w:t>
      </w:r>
      <w:r w:rsidRPr="3EE4805F">
        <w:rPr>
          <w:rFonts w:ascii="Times New Roman" w:hAnsi="Times New Roman" w:cs="Times New Roman"/>
        </w:rPr>
        <w:t>identified 20</w:t>
      </w:r>
      <w:r w:rsidRPr="6F7DFCFC">
        <w:rPr>
          <w:rFonts w:ascii="Times New Roman" w:hAnsi="Times New Roman" w:cs="Times New Roman"/>
        </w:rPr>
        <w:t xml:space="preserve"> findings, </w:t>
      </w:r>
      <w:r>
        <w:rPr>
          <w:rFonts w:ascii="Times New Roman" w:hAnsi="Times New Roman" w:cs="Times New Roman"/>
        </w:rPr>
        <w:t>six</w:t>
      </w:r>
      <w:r w:rsidRPr="6F7DFCFC">
        <w:rPr>
          <w:rFonts w:ascii="Times New Roman" w:hAnsi="Times New Roman" w:cs="Times New Roman"/>
        </w:rPr>
        <w:t xml:space="preserve"> conclusions, and </w:t>
      </w:r>
      <w:r>
        <w:rPr>
          <w:rFonts w:ascii="Times New Roman" w:hAnsi="Times New Roman" w:cs="Times New Roman"/>
        </w:rPr>
        <w:t>four</w:t>
      </w:r>
      <w:r w:rsidRPr="6F7DFCFC">
        <w:rPr>
          <w:rFonts w:ascii="Times New Roman" w:hAnsi="Times New Roman" w:cs="Times New Roman"/>
        </w:rPr>
        <w:t xml:space="preserve"> recommendations. The new CPD incorporated all four recommendations</w:t>
      </w:r>
      <w:r>
        <w:rPr>
          <w:rFonts w:ascii="Times New Roman" w:hAnsi="Times New Roman" w:cs="Times New Roman"/>
        </w:rPr>
        <w:t xml:space="preserve">, the first being developing a </w:t>
      </w:r>
      <w:r w:rsidRPr="6F7DFCFC">
        <w:rPr>
          <w:rFonts w:ascii="Times New Roman" w:hAnsi="Times New Roman" w:cs="Times New Roman"/>
        </w:rPr>
        <w:t>theory of change for</w:t>
      </w:r>
      <w:r w:rsidRPr="1D274A4D">
        <w:rPr>
          <w:rFonts w:ascii="Times New Roman" w:hAnsi="Times New Roman" w:cs="Times New Roman"/>
        </w:rPr>
        <w:t xml:space="preserve"> the</w:t>
      </w:r>
      <w:r w:rsidRPr="6F7DFCFC">
        <w:rPr>
          <w:rFonts w:ascii="Times New Roman" w:hAnsi="Times New Roman" w:cs="Times New Roman"/>
        </w:rPr>
        <w:t xml:space="preserve"> CPD 2022-2026 </w:t>
      </w:r>
      <w:r>
        <w:rPr>
          <w:rFonts w:ascii="Times New Roman" w:hAnsi="Times New Roman" w:cs="Times New Roman"/>
        </w:rPr>
        <w:t>that</w:t>
      </w:r>
      <w:r w:rsidRPr="6F7DFCFC">
        <w:rPr>
          <w:rFonts w:ascii="Times New Roman" w:hAnsi="Times New Roman" w:cs="Times New Roman"/>
        </w:rPr>
        <w:t xml:space="preserve"> built on the momentum and gains made during the </w:t>
      </w:r>
      <w:r w:rsidRPr="7405E0D3">
        <w:rPr>
          <w:rFonts w:ascii="Times New Roman" w:hAnsi="Times New Roman" w:cs="Times New Roman"/>
        </w:rPr>
        <w:t xml:space="preserve">previous </w:t>
      </w:r>
      <w:r w:rsidRPr="6F7DFCFC">
        <w:rPr>
          <w:rFonts w:ascii="Times New Roman" w:hAnsi="Times New Roman" w:cs="Times New Roman"/>
        </w:rPr>
        <w:t>programme cycle</w:t>
      </w:r>
      <w:r>
        <w:rPr>
          <w:rFonts w:ascii="Times New Roman" w:hAnsi="Times New Roman" w:cs="Times New Roman"/>
        </w:rPr>
        <w:t xml:space="preserve">. The theory covers </w:t>
      </w:r>
      <w:r w:rsidRPr="6F7DFCFC">
        <w:rPr>
          <w:rFonts w:ascii="Times New Roman" w:hAnsi="Times New Roman" w:cs="Times New Roman"/>
        </w:rPr>
        <w:t xml:space="preserve">portfolio integration </w:t>
      </w:r>
      <w:r w:rsidRPr="1A4A0936">
        <w:rPr>
          <w:rFonts w:ascii="Times New Roman" w:hAnsi="Times New Roman" w:cs="Times New Roman"/>
        </w:rPr>
        <w:t xml:space="preserve">and </w:t>
      </w:r>
      <w:r w:rsidRPr="6F7DFCFC">
        <w:rPr>
          <w:rFonts w:ascii="Times New Roman" w:hAnsi="Times New Roman" w:cs="Times New Roman"/>
        </w:rPr>
        <w:t xml:space="preserve">additional cross-sector and cross-portfolio interventions </w:t>
      </w:r>
      <w:r>
        <w:rPr>
          <w:rFonts w:ascii="Times New Roman" w:hAnsi="Times New Roman" w:cs="Times New Roman"/>
        </w:rPr>
        <w:t xml:space="preserve">where </w:t>
      </w:r>
      <w:r w:rsidRPr="6F7DFCFC">
        <w:rPr>
          <w:rFonts w:ascii="Times New Roman" w:hAnsi="Times New Roman" w:cs="Times New Roman"/>
        </w:rPr>
        <w:t xml:space="preserve">UNDP has strategic </w:t>
      </w:r>
      <w:r w:rsidRPr="1931CDBF">
        <w:rPr>
          <w:rFonts w:ascii="Times New Roman" w:hAnsi="Times New Roman" w:cs="Times New Roman"/>
        </w:rPr>
        <w:t>positioning</w:t>
      </w:r>
      <w:r w:rsidRPr="6F7DFCFC">
        <w:rPr>
          <w:rFonts w:ascii="Times New Roman" w:hAnsi="Times New Roman" w:cs="Times New Roman"/>
        </w:rPr>
        <w:t xml:space="preserve"> and comparative advantages</w:t>
      </w:r>
      <w:r>
        <w:rPr>
          <w:rFonts w:ascii="Times New Roman" w:hAnsi="Times New Roman" w:cs="Times New Roman"/>
        </w:rPr>
        <w:t>. Secondly, g</w:t>
      </w:r>
      <w:r w:rsidRPr="6F7DFCFC">
        <w:rPr>
          <w:rFonts w:ascii="Times New Roman" w:hAnsi="Times New Roman" w:cs="Times New Roman"/>
        </w:rPr>
        <w:t xml:space="preserve">iven that digitalization is one of three enablers </w:t>
      </w:r>
      <w:r>
        <w:rPr>
          <w:rFonts w:ascii="Times New Roman" w:hAnsi="Times New Roman" w:cs="Times New Roman"/>
        </w:rPr>
        <w:t>laid out in</w:t>
      </w:r>
      <w:r w:rsidRPr="6F7DFCFC">
        <w:rPr>
          <w:rFonts w:ascii="Times New Roman" w:hAnsi="Times New Roman" w:cs="Times New Roman"/>
        </w:rPr>
        <w:t xml:space="preserve"> the UNDP 2022-2025 Strategic Plan</w:t>
      </w:r>
      <w:r>
        <w:rPr>
          <w:rFonts w:ascii="Times New Roman" w:hAnsi="Times New Roman" w:cs="Times New Roman"/>
        </w:rPr>
        <w:t>—and</w:t>
      </w:r>
      <w:r w:rsidRPr="6F7DFCFC">
        <w:rPr>
          <w:rFonts w:ascii="Times New Roman" w:hAnsi="Times New Roman" w:cs="Times New Roman"/>
        </w:rPr>
        <w:t xml:space="preserve"> digital disruption is one of the Beyond Recovery COVID</w:t>
      </w:r>
      <w:r>
        <w:rPr>
          <w:rFonts w:ascii="Times New Roman" w:hAnsi="Times New Roman" w:cs="Times New Roman"/>
        </w:rPr>
        <w:t>-19</w:t>
      </w:r>
      <w:r w:rsidRPr="6F7DFCFC">
        <w:rPr>
          <w:rFonts w:ascii="Times New Roman" w:hAnsi="Times New Roman" w:cs="Times New Roman"/>
        </w:rPr>
        <w:t xml:space="preserve"> response main lines of action</w:t>
      </w:r>
      <w:r>
        <w:rPr>
          <w:rFonts w:ascii="Times New Roman" w:hAnsi="Times New Roman" w:cs="Times New Roman"/>
        </w:rPr>
        <w:t>—</w:t>
      </w:r>
      <w:r w:rsidRPr="07C3D369">
        <w:rPr>
          <w:rFonts w:ascii="Times New Roman" w:hAnsi="Times New Roman" w:cs="Times New Roman"/>
        </w:rPr>
        <w:t xml:space="preserve">the </w:t>
      </w:r>
      <w:r>
        <w:rPr>
          <w:rFonts w:ascii="Times New Roman" w:hAnsi="Times New Roman" w:cs="Times New Roman"/>
        </w:rPr>
        <w:t>country office is mainstreaming</w:t>
      </w:r>
      <w:r w:rsidRPr="6F7DFCFC">
        <w:rPr>
          <w:rFonts w:ascii="Times New Roman" w:hAnsi="Times New Roman" w:cs="Times New Roman"/>
        </w:rPr>
        <w:t xml:space="preserve"> its abilities and reach towards digitalization, including </w:t>
      </w:r>
      <w:r>
        <w:rPr>
          <w:rFonts w:ascii="Times New Roman" w:hAnsi="Times New Roman" w:cs="Times New Roman"/>
        </w:rPr>
        <w:t>with the</w:t>
      </w:r>
      <w:r w:rsidRPr="6F7DFCFC">
        <w:rPr>
          <w:rFonts w:ascii="Times New Roman" w:hAnsi="Times New Roman" w:cs="Times New Roman"/>
        </w:rPr>
        <w:t xml:space="preserve"> government. </w:t>
      </w:r>
      <w:r>
        <w:rPr>
          <w:rFonts w:ascii="Times New Roman" w:hAnsi="Times New Roman" w:cs="Times New Roman"/>
        </w:rPr>
        <w:t>The third adopted recommendation is prioritizing y</w:t>
      </w:r>
      <w:r w:rsidRPr="6F7DFCFC">
        <w:rPr>
          <w:rFonts w:ascii="Times New Roman" w:hAnsi="Times New Roman" w:cs="Times New Roman"/>
        </w:rPr>
        <w:t xml:space="preserve">outh and women, </w:t>
      </w:r>
      <w:r>
        <w:rPr>
          <w:rFonts w:ascii="Times New Roman" w:hAnsi="Times New Roman" w:cs="Times New Roman"/>
        </w:rPr>
        <w:t>as well as</w:t>
      </w:r>
      <w:r w:rsidRPr="6F7DFCFC">
        <w:rPr>
          <w:rFonts w:ascii="Times New Roman" w:hAnsi="Times New Roman" w:cs="Times New Roman"/>
        </w:rPr>
        <w:t xml:space="preserve"> indigenous population</w:t>
      </w:r>
      <w:r>
        <w:rPr>
          <w:rFonts w:ascii="Times New Roman" w:hAnsi="Times New Roman" w:cs="Times New Roman"/>
        </w:rPr>
        <w:t>s</w:t>
      </w:r>
      <w:r w:rsidRPr="6F7DFCFC">
        <w:rPr>
          <w:rFonts w:ascii="Times New Roman" w:hAnsi="Times New Roman" w:cs="Times New Roman"/>
        </w:rPr>
        <w:t xml:space="preserve">, informal workers, and refugee and migrant </w:t>
      </w:r>
      <w:r>
        <w:rPr>
          <w:rFonts w:ascii="Times New Roman" w:hAnsi="Times New Roman" w:cs="Times New Roman"/>
        </w:rPr>
        <w:t>communities</w:t>
      </w:r>
      <w:r w:rsidRPr="6F7DFCFC">
        <w:rPr>
          <w:rFonts w:ascii="Times New Roman" w:hAnsi="Times New Roman" w:cs="Times New Roman"/>
        </w:rPr>
        <w:t xml:space="preserve">. The theory of change considered </w:t>
      </w:r>
      <w:r>
        <w:rPr>
          <w:rFonts w:ascii="Times New Roman" w:hAnsi="Times New Roman" w:cs="Times New Roman"/>
        </w:rPr>
        <w:t xml:space="preserve">the </w:t>
      </w:r>
      <w:r w:rsidRPr="6F7DFCFC">
        <w:rPr>
          <w:rFonts w:ascii="Times New Roman" w:hAnsi="Times New Roman" w:cs="Times New Roman"/>
        </w:rPr>
        <w:t>specific</w:t>
      </w:r>
      <w:r>
        <w:rPr>
          <w:rFonts w:ascii="Times New Roman" w:hAnsi="Times New Roman" w:cs="Times New Roman"/>
        </w:rPr>
        <w:t xml:space="preserve"> needs of</w:t>
      </w:r>
      <w:r w:rsidRPr="6F7DFCFC">
        <w:rPr>
          <w:rFonts w:ascii="Times New Roman" w:hAnsi="Times New Roman" w:cs="Times New Roman"/>
        </w:rPr>
        <w:t xml:space="preserve"> women and youth</w:t>
      </w:r>
      <w:r>
        <w:rPr>
          <w:rFonts w:ascii="Times New Roman" w:hAnsi="Times New Roman" w:cs="Times New Roman"/>
        </w:rPr>
        <w:t>, integrated</w:t>
      </w:r>
      <w:r w:rsidRPr="6F7DFCFC">
        <w:rPr>
          <w:rFonts w:ascii="Times New Roman" w:hAnsi="Times New Roman" w:cs="Times New Roman"/>
        </w:rPr>
        <w:t xml:space="preserve"> solutions</w:t>
      </w:r>
      <w:r>
        <w:rPr>
          <w:rFonts w:ascii="Times New Roman" w:hAnsi="Times New Roman" w:cs="Times New Roman"/>
        </w:rPr>
        <w:t xml:space="preserve"> for both, and several </w:t>
      </w:r>
      <w:r w:rsidRPr="6F7DFCFC">
        <w:rPr>
          <w:rFonts w:ascii="Times New Roman" w:hAnsi="Times New Roman" w:cs="Times New Roman"/>
        </w:rPr>
        <w:t>output indicators include youth and women as a disaggregate</w:t>
      </w:r>
      <w:r>
        <w:rPr>
          <w:rFonts w:ascii="Times New Roman" w:hAnsi="Times New Roman" w:cs="Times New Roman"/>
        </w:rPr>
        <w:t xml:space="preserve"> categories</w:t>
      </w:r>
      <w:r w:rsidRPr="6F7DFCFC">
        <w:rPr>
          <w:rFonts w:ascii="Times New Roman" w:hAnsi="Times New Roman" w:cs="Times New Roman"/>
        </w:rPr>
        <w:t xml:space="preserve"> to ensure impact can be measured.</w:t>
      </w:r>
      <w:r>
        <w:rPr>
          <w:rFonts w:ascii="Times New Roman" w:hAnsi="Times New Roman" w:cs="Times New Roman"/>
        </w:rPr>
        <w:t xml:space="preserve"> The </w:t>
      </w:r>
      <w:r w:rsidRPr="6F7DFCFC">
        <w:rPr>
          <w:rFonts w:ascii="Times New Roman" w:hAnsi="Times New Roman" w:cs="Times New Roman"/>
        </w:rPr>
        <w:t xml:space="preserve">2022-2026 CPD design </w:t>
      </w:r>
      <w:r>
        <w:rPr>
          <w:rFonts w:ascii="Times New Roman" w:hAnsi="Times New Roman" w:cs="Times New Roman"/>
        </w:rPr>
        <w:t xml:space="preserve">also </w:t>
      </w:r>
      <w:r w:rsidRPr="6F7DFCFC">
        <w:rPr>
          <w:rFonts w:ascii="Times New Roman" w:hAnsi="Times New Roman" w:cs="Times New Roman"/>
        </w:rPr>
        <w:t>included the</w:t>
      </w:r>
      <w:r>
        <w:rPr>
          <w:rFonts w:ascii="Times New Roman" w:hAnsi="Times New Roman" w:cs="Times New Roman"/>
        </w:rPr>
        <w:t xml:space="preserve"> final recommendation, which was the</w:t>
      </w:r>
      <w:r w:rsidRPr="6F7DFCFC">
        <w:rPr>
          <w:rFonts w:ascii="Times New Roman" w:hAnsi="Times New Roman" w:cs="Times New Roman"/>
        </w:rPr>
        <w:t xml:space="preserve"> development of a robust Partnerships and Communications Strategy </w:t>
      </w:r>
      <w:r>
        <w:rPr>
          <w:rFonts w:ascii="Times New Roman" w:hAnsi="Times New Roman" w:cs="Times New Roman"/>
        </w:rPr>
        <w:t xml:space="preserve">that will strengthen the UNDP position as a system leader focused on </w:t>
      </w:r>
      <w:r w:rsidRPr="5CCBBB34">
        <w:rPr>
          <w:rFonts w:ascii="Times New Roman" w:hAnsi="Times New Roman" w:cs="Times New Roman"/>
        </w:rPr>
        <w:t>catalyzing</w:t>
      </w:r>
      <w:r>
        <w:rPr>
          <w:rFonts w:ascii="Times New Roman" w:hAnsi="Times New Roman" w:cs="Times New Roman"/>
        </w:rPr>
        <w:t xml:space="preserve"> collective transformation, </w:t>
      </w:r>
      <w:r w:rsidRPr="6F7DFCFC">
        <w:rPr>
          <w:rFonts w:ascii="Times New Roman" w:hAnsi="Times New Roman" w:cs="Times New Roman"/>
        </w:rPr>
        <w:t>includes a tailored value proposition</w:t>
      </w:r>
      <w:r>
        <w:rPr>
          <w:rFonts w:ascii="Times New Roman" w:hAnsi="Times New Roman" w:cs="Times New Roman"/>
        </w:rPr>
        <w:t xml:space="preserve"> and</w:t>
      </w:r>
      <w:r w:rsidRPr="6F7DFCFC">
        <w:rPr>
          <w:rFonts w:ascii="Times New Roman" w:hAnsi="Times New Roman" w:cs="Times New Roman"/>
        </w:rPr>
        <w:t xml:space="preserve"> emphasiz</w:t>
      </w:r>
      <w:r>
        <w:rPr>
          <w:rFonts w:ascii="Times New Roman" w:hAnsi="Times New Roman" w:cs="Times New Roman"/>
        </w:rPr>
        <w:t>es multiple</w:t>
      </w:r>
      <w:r w:rsidRPr="6F7DFCFC">
        <w:rPr>
          <w:rFonts w:ascii="Times New Roman" w:hAnsi="Times New Roman" w:cs="Times New Roman"/>
        </w:rPr>
        <w:t xml:space="preserve"> dimensions of UNDP added value </w:t>
      </w:r>
      <w:r>
        <w:rPr>
          <w:rFonts w:ascii="Times New Roman" w:hAnsi="Times New Roman" w:cs="Times New Roman"/>
        </w:rPr>
        <w:t>versus</w:t>
      </w:r>
      <w:r w:rsidRPr="6F7DFCFC">
        <w:rPr>
          <w:rFonts w:ascii="Times New Roman" w:hAnsi="Times New Roman" w:cs="Times New Roman"/>
        </w:rPr>
        <w:t xml:space="preserve"> </w:t>
      </w:r>
      <w:r>
        <w:rPr>
          <w:rFonts w:ascii="Times New Roman" w:hAnsi="Times New Roman" w:cs="Times New Roman"/>
        </w:rPr>
        <w:t>other</w:t>
      </w:r>
      <w:r w:rsidRPr="6F7DFCFC">
        <w:rPr>
          <w:rFonts w:ascii="Times New Roman" w:hAnsi="Times New Roman" w:cs="Times New Roman"/>
        </w:rPr>
        <w:t xml:space="preserve"> organizations. </w:t>
      </w:r>
      <w:r w:rsidRPr="002E47FA">
        <w:rPr>
          <w:rFonts w:ascii="Times New Roman" w:eastAsia="Times New Roman,Batang" w:hAnsi="Times New Roman" w:cs="Times New Roman"/>
          <w:b/>
          <w:lang w:eastAsia="ko-KR"/>
        </w:rPr>
        <w:br w:type="page"/>
      </w:r>
    </w:p>
    <w:p w14:paraId="22C97242" w14:textId="77777777" w:rsidR="008D3F1E" w:rsidRPr="006352E9" w:rsidRDefault="008D3F1E" w:rsidP="008D3F1E">
      <w:pPr>
        <w:spacing w:before="120" w:after="120"/>
        <w:jc w:val="center"/>
        <w:rPr>
          <w:rFonts w:ascii="Times New Roman" w:eastAsia="Times New Roman,Batang" w:hAnsi="Times New Roman" w:cs="Times New Roman"/>
          <w:b/>
          <w:lang w:eastAsia="ko-KR"/>
        </w:rPr>
      </w:pPr>
      <w:r w:rsidRPr="006352E9">
        <w:rPr>
          <w:rFonts w:ascii="Times New Roman" w:eastAsia="Times New Roman,Batang" w:hAnsi="Times New Roman" w:cs="Times New Roman"/>
          <w:b/>
          <w:lang w:eastAsia="ko-KR"/>
        </w:rPr>
        <w:lastRenderedPageBreak/>
        <w:t>ADDENDUM – III</w:t>
      </w:r>
    </w:p>
    <w:p w14:paraId="2531141D" w14:textId="77777777" w:rsidR="008D3F1E" w:rsidRPr="006352E9" w:rsidRDefault="008D3F1E" w:rsidP="008D3F1E">
      <w:pPr>
        <w:spacing w:before="120" w:after="120"/>
        <w:jc w:val="center"/>
        <w:rPr>
          <w:rFonts w:ascii="Times New Roman" w:eastAsia="Times New Roman,Batang" w:hAnsi="Times New Roman" w:cs="Times New Roman"/>
          <w:b/>
          <w:lang w:eastAsia="ko-KR"/>
        </w:rPr>
      </w:pPr>
      <w:r w:rsidRPr="006352E9">
        <w:rPr>
          <w:rFonts w:ascii="Times New Roman" w:eastAsia="Times New Roman,Batang" w:hAnsi="Times New Roman" w:cs="Times New Roman"/>
          <w:b/>
          <w:lang w:eastAsia="ko-KR"/>
        </w:rPr>
        <w:t xml:space="preserve">DECENTRALIZED EVALUATIONS </w:t>
      </w:r>
    </w:p>
    <w:p w14:paraId="66DD509C" w14:textId="77777777" w:rsidR="008D3F1E" w:rsidRPr="00086FBB" w:rsidRDefault="008D3F1E" w:rsidP="008D3F1E">
      <w:pPr>
        <w:spacing w:before="120" w:after="120"/>
        <w:jc w:val="center"/>
        <w:rPr>
          <w:rFonts w:ascii="Times New Roman" w:eastAsia="Times New Roman,Batang" w:hAnsi="Times New Roman" w:cs="Times New Roman"/>
          <w:b/>
          <w:sz w:val="20"/>
          <w:szCs w:val="20"/>
          <w:lang w:eastAsia="ko-KR"/>
        </w:rPr>
      </w:pPr>
      <w:r w:rsidRPr="00086FBB">
        <w:rPr>
          <w:rFonts w:ascii="Times New Roman" w:eastAsia="Times New Roman,Batang" w:hAnsi="Times New Roman" w:cs="Times New Roman"/>
          <w:b/>
          <w:sz w:val="20"/>
          <w:szCs w:val="20"/>
          <w:lang w:eastAsia="ko-KR"/>
        </w:rPr>
        <w:t>EXCERPTS FROM REPORT</w:t>
      </w:r>
      <w:r>
        <w:rPr>
          <w:rFonts w:ascii="Times New Roman" w:eastAsia="Times New Roman,Batang" w:hAnsi="Times New Roman" w:cs="Times New Roman"/>
          <w:b/>
          <w:sz w:val="20"/>
          <w:szCs w:val="20"/>
          <w:lang w:eastAsia="ko-KR"/>
        </w:rPr>
        <w:t xml:space="preserve">: </w:t>
      </w:r>
      <w:r w:rsidRPr="00086FBB">
        <w:rPr>
          <w:rFonts w:ascii="Times New Roman" w:eastAsia="Times New Roman,Batang" w:hAnsi="Times New Roman" w:cs="Times New Roman"/>
          <w:b/>
          <w:sz w:val="20"/>
          <w:szCs w:val="20"/>
          <w:lang w:eastAsia="ko-KR"/>
        </w:rPr>
        <w:t xml:space="preserve">ROADMAP FOR STRENGTHENING DECENTRALIZED EVALUATION </w:t>
      </w:r>
    </w:p>
    <w:p w14:paraId="536A53BA" w14:textId="77777777" w:rsidR="008D3F1E" w:rsidRPr="00086FBB" w:rsidRDefault="008D3F1E" w:rsidP="008D3F1E">
      <w:pPr>
        <w:spacing w:before="120" w:after="120"/>
        <w:jc w:val="center"/>
        <w:rPr>
          <w:rFonts w:ascii="Times New Roman" w:eastAsia="Times New Roman,Batang" w:hAnsi="Times New Roman" w:cs="Times New Roman"/>
          <w:b/>
          <w:sz w:val="20"/>
          <w:szCs w:val="20"/>
          <w:lang w:eastAsia="ko-KR"/>
        </w:rPr>
      </w:pPr>
    </w:p>
    <w:p w14:paraId="311AE55B" w14:textId="77777777" w:rsidR="008D3F1E" w:rsidRPr="00CB3794" w:rsidRDefault="008D3F1E" w:rsidP="008D3F1E">
      <w:pPr>
        <w:keepNext/>
        <w:keepLines/>
        <w:spacing w:after="0" w:line="240" w:lineRule="auto"/>
        <w:ind w:left="360" w:hanging="360"/>
        <w:outlineLvl w:val="0"/>
        <w:rPr>
          <w:rFonts w:ascii="Times New Roman" w:eastAsia="Times New Roman" w:hAnsi="Times New Roman" w:cs="Times New Roman"/>
          <w:b/>
          <w:bCs/>
          <w:sz w:val="20"/>
          <w:szCs w:val="20"/>
          <w:lang w:val="en-GB" w:eastAsia="en-US" w:bidi="en-US"/>
        </w:rPr>
      </w:pPr>
      <w:r w:rsidRPr="00CB3794">
        <w:rPr>
          <w:rFonts w:ascii="Times New Roman" w:eastAsia="Times New Roman" w:hAnsi="Times New Roman" w:cs="Times New Roman"/>
          <w:b/>
          <w:bCs/>
          <w:sz w:val="20"/>
          <w:szCs w:val="20"/>
          <w:lang w:val="en-GB" w:eastAsia="en-US" w:bidi="en-US"/>
        </w:rPr>
        <w:t>Strengthening Decentralised Evaluations, 2022 to 2025</w:t>
      </w:r>
    </w:p>
    <w:p w14:paraId="6FDDA547" w14:textId="77777777" w:rsidR="008D3F1E" w:rsidRPr="00CB3794" w:rsidRDefault="008D3F1E" w:rsidP="008D3F1E">
      <w:p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sz w:val="20"/>
          <w:szCs w:val="20"/>
          <w:lang w:val="en-GB" w:eastAsia="en-US" w:bidi="en-US"/>
        </w:rPr>
        <w:t xml:space="preserve">To further strengthen and improve the quality of the </w:t>
      </w:r>
      <w:r w:rsidRPr="00086FBB">
        <w:rPr>
          <w:rFonts w:ascii="Times New Roman" w:eastAsia="Times New Roman" w:hAnsi="Times New Roman" w:cs="Times New Roman"/>
          <w:sz w:val="20"/>
          <w:szCs w:val="20"/>
          <w:lang w:val="en-GB" w:eastAsia="en-US" w:bidi="en-US"/>
        </w:rPr>
        <w:t>decentralized</w:t>
      </w:r>
      <w:r w:rsidRPr="00CB3794">
        <w:rPr>
          <w:rFonts w:ascii="Times New Roman" w:eastAsia="Times New Roman" w:hAnsi="Times New Roman" w:cs="Times New Roman"/>
          <w:sz w:val="20"/>
          <w:szCs w:val="20"/>
          <w:lang w:val="en-GB" w:eastAsia="en-US" w:bidi="en-US"/>
        </w:rPr>
        <w:t xml:space="preserve"> evaluations and improve the management and oversight as well as the culture of evaluation across the organisation, the UNDP Executive Office, BPPS, Regional Bureaus and IEO collaborated in 2021 to develop a roadmap. Approved in November 2021, the roadmap </w:t>
      </w:r>
      <w:r w:rsidRPr="00086FBB">
        <w:rPr>
          <w:rFonts w:ascii="Times New Roman" w:eastAsia="Times New Roman" w:hAnsi="Times New Roman" w:cs="Times New Roman"/>
          <w:sz w:val="20"/>
          <w:szCs w:val="20"/>
          <w:lang w:val="en-GB" w:eastAsia="en-US" w:bidi="en-US"/>
        </w:rPr>
        <w:t xml:space="preserve">(2022-2025) </w:t>
      </w:r>
      <w:r w:rsidRPr="00CB3794">
        <w:rPr>
          <w:rFonts w:ascii="Times New Roman" w:eastAsia="Times New Roman" w:hAnsi="Times New Roman" w:cs="Times New Roman"/>
          <w:sz w:val="20"/>
          <w:szCs w:val="20"/>
          <w:lang w:val="en-GB" w:eastAsia="en-US" w:bidi="en-US"/>
        </w:rPr>
        <w:t xml:space="preserve">includes implementation and oversight enhancement for </w:t>
      </w:r>
      <w:r w:rsidRPr="00086FBB">
        <w:rPr>
          <w:rFonts w:ascii="Times New Roman" w:eastAsia="Times New Roman" w:hAnsi="Times New Roman" w:cs="Times New Roman"/>
          <w:sz w:val="20"/>
          <w:szCs w:val="20"/>
          <w:lang w:val="en-GB" w:eastAsia="en-US" w:bidi="en-US"/>
        </w:rPr>
        <w:t>decentralized</w:t>
      </w:r>
      <w:r w:rsidRPr="00CB3794">
        <w:rPr>
          <w:rFonts w:ascii="Times New Roman" w:eastAsia="Times New Roman" w:hAnsi="Times New Roman" w:cs="Times New Roman"/>
          <w:sz w:val="20"/>
          <w:szCs w:val="20"/>
          <w:lang w:val="en-GB" w:eastAsia="en-US" w:bidi="en-US"/>
        </w:rPr>
        <w:t xml:space="preserve"> evaluations to improve their independence, quality and use for management decision making.  </w:t>
      </w:r>
    </w:p>
    <w:p w14:paraId="251A911A" w14:textId="77777777" w:rsidR="008D3F1E" w:rsidRPr="00CB3794" w:rsidRDefault="008D3F1E" w:rsidP="008D3F1E">
      <w:pPr>
        <w:spacing w:after="0" w:line="240" w:lineRule="auto"/>
        <w:ind w:left="450"/>
        <w:jc w:val="both"/>
        <w:rPr>
          <w:rFonts w:ascii="Times New Roman" w:eastAsia="Times New Roman" w:hAnsi="Times New Roman" w:cs="Times New Roman"/>
          <w:sz w:val="20"/>
          <w:szCs w:val="20"/>
          <w:lang w:val="en-GB" w:eastAsia="en-US" w:bidi="en-US"/>
        </w:rPr>
      </w:pPr>
    </w:p>
    <w:p w14:paraId="073D531D" w14:textId="77777777" w:rsidR="008D3F1E" w:rsidRPr="00086FBB" w:rsidRDefault="008D3F1E" w:rsidP="008D3F1E">
      <w:pPr>
        <w:keepNext/>
        <w:keepLines/>
        <w:spacing w:after="0" w:line="240" w:lineRule="auto"/>
        <w:ind w:left="360" w:hanging="360"/>
        <w:outlineLvl w:val="0"/>
        <w:rPr>
          <w:rFonts w:ascii="Times New Roman" w:eastAsia="Times New Roman" w:hAnsi="Times New Roman" w:cs="Times New Roman"/>
          <w:b/>
          <w:bCs/>
          <w:color w:val="000000"/>
          <w:sz w:val="20"/>
          <w:szCs w:val="20"/>
          <w:lang w:val="en-GB" w:eastAsia="en-US" w:bidi="en-US"/>
        </w:rPr>
      </w:pPr>
      <w:r w:rsidRPr="00CB3794">
        <w:rPr>
          <w:rFonts w:ascii="Times New Roman" w:eastAsia="Times New Roman" w:hAnsi="Times New Roman" w:cs="Times New Roman"/>
          <w:b/>
          <w:bCs/>
          <w:color w:val="000000"/>
          <w:sz w:val="20"/>
          <w:szCs w:val="20"/>
          <w:lang w:val="en-GB" w:eastAsia="en-US" w:bidi="en-US"/>
        </w:rPr>
        <w:t xml:space="preserve">Pillar 1: Implementation, Independence and Quality </w:t>
      </w:r>
    </w:p>
    <w:p w14:paraId="56AA29A5" w14:textId="77777777" w:rsidR="008D3F1E" w:rsidRPr="00CB3794" w:rsidRDefault="008D3F1E" w:rsidP="008D3F1E">
      <w:pPr>
        <w:keepNext/>
        <w:keepLines/>
        <w:spacing w:after="0" w:line="240" w:lineRule="auto"/>
        <w:ind w:left="360" w:hanging="360"/>
        <w:outlineLvl w:val="0"/>
        <w:rPr>
          <w:rFonts w:ascii="Times New Roman" w:eastAsia="Times New Roman" w:hAnsi="Times New Roman" w:cs="Times New Roman"/>
          <w:b/>
          <w:bCs/>
          <w:color w:val="000000"/>
          <w:sz w:val="20"/>
          <w:szCs w:val="20"/>
          <w:lang w:val="en-GB" w:eastAsia="en-US" w:bidi="en-US"/>
        </w:rPr>
      </w:pPr>
    </w:p>
    <w:p w14:paraId="590C7BED"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Bureau-level Decentralized Evaluation Strengthening Strategy (Regional Bureaux and BPPS/Crisis Bureau) 2022-2025:</w:t>
      </w:r>
      <w:r w:rsidRPr="00CB3794">
        <w:rPr>
          <w:rFonts w:ascii="Times New Roman" w:eastAsia="Times New Roman" w:hAnsi="Times New Roman" w:cs="Times New Roman"/>
          <w:sz w:val="20"/>
          <w:szCs w:val="20"/>
          <w:lang w:val="en-GB" w:eastAsia="en-US" w:bidi="en-US"/>
        </w:rPr>
        <w:t xml:space="preserve"> In support of UNDP's commitment to strengthening decentralized evaluations, all programme and policy bureaus (Regional Bureaux and BPPS/Crisis Bureau) have developed bureau-specific strategies </w:t>
      </w:r>
      <w:r w:rsidRPr="00CB3794">
        <w:rPr>
          <w:rFonts w:ascii="Times New Roman" w:eastAsia="Times New Roman,Batang" w:hAnsi="Times New Roman" w:cs="Times New Roman"/>
          <w:bCs/>
          <w:sz w:val="20"/>
          <w:szCs w:val="20"/>
          <w:lang w:val="en-GB" w:eastAsia="ko-KR" w:bidi="en-US"/>
        </w:rPr>
        <w:t>for implementation starting</w:t>
      </w:r>
      <w:r w:rsidRPr="00CB3794">
        <w:rPr>
          <w:rFonts w:ascii="Times New Roman" w:eastAsia="Times New Roman,Batang" w:hAnsi="Times New Roman" w:cs="Times New Roman"/>
          <w:b/>
          <w:sz w:val="20"/>
          <w:szCs w:val="20"/>
          <w:lang w:val="en-GB" w:eastAsia="ko-KR" w:bidi="en-US"/>
        </w:rPr>
        <w:t xml:space="preserve"> </w:t>
      </w:r>
      <w:r w:rsidRPr="00CB3794">
        <w:rPr>
          <w:rFonts w:ascii="Times New Roman" w:eastAsia="Times New Roman,Batang" w:hAnsi="Times New Roman" w:cs="Times New Roman"/>
          <w:bCs/>
          <w:sz w:val="20"/>
          <w:szCs w:val="20"/>
          <w:lang w:val="en-GB" w:eastAsia="ko-KR" w:bidi="en-US"/>
        </w:rPr>
        <w:t>in January 2022</w:t>
      </w:r>
      <w:r w:rsidRPr="00CB3794">
        <w:rPr>
          <w:rFonts w:ascii="Times New Roman" w:eastAsia="Times New Roman" w:hAnsi="Times New Roman" w:cs="Times New Roman"/>
          <w:sz w:val="20"/>
          <w:szCs w:val="20"/>
          <w:lang w:val="en-GB" w:eastAsia="en-US" w:bidi="en-US"/>
        </w:rPr>
        <w:t>. The strategies contain commitments from the bureaus to strengthen management accountability and strategic actions to improve the coverage, quality, and use of decentralized evaluations in decision making. The strategies are being operationalized through the annual work plans of each bureau and tracked on a quarterly basis by senior management</w:t>
      </w:r>
      <w:r w:rsidRPr="00086FBB">
        <w:rPr>
          <w:rFonts w:ascii="Times New Roman" w:eastAsia="Times New Roman" w:hAnsi="Times New Roman" w:cs="Times New Roman"/>
          <w:sz w:val="20"/>
          <w:szCs w:val="20"/>
          <w:lang w:val="en-GB" w:eastAsia="en-US" w:bidi="en-US"/>
        </w:rPr>
        <w:t>.</w:t>
      </w:r>
    </w:p>
    <w:p w14:paraId="4EFB1CE5" w14:textId="77777777" w:rsidR="008D3F1E" w:rsidRPr="00CB3794" w:rsidRDefault="008D3F1E" w:rsidP="008D3F1E">
      <w:pPr>
        <w:spacing w:after="0" w:line="240" w:lineRule="auto"/>
        <w:ind w:left="360"/>
        <w:jc w:val="both"/>
        <w:rPr>
          <w:rFonts w:ascii="Times New Roman" w:eastAsia="Times New Roman" w:hAnsi="Times New Roman" w:cs="Times New Roman"/>
          <w:sz w:val="20"/>
          <w:szCs w:val="20"/>
          <w:lang w:val="en-GB" w:eastAsia="en-US" w:bidi="en-US"/>
        </w:rPr>
      </w:pPr>
    </w:p>
    <w:p w14:paraId="12906951"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Strengthening UNDP programming tools related to evaluation (BPPS) 2021-2025:</w:t>
      </w:r>
      <w:r w:rsidRPr="00CB3794">
        <w:rPr>
          <w:rFonts w:ascii="Times New Roman" w:eastAsia="Times New Roman" w:hAnsi="Times New Roman" w:cs="Times New Roman"/>
          <w:sz w:val="20"/>
          <w:szCs w:val="20"/>
          <w:lang w:val="en-GB" w:eastAsia="en-US" w:bidi="en-US"/>
        </w:rPr>
        <w:t xml:space="preserve"> In 2022-2025, UNDP will enhance the use of programming tools to ensure that lessons from past evaluations are used for programme and project design, and programmes and projects produce evaluable evidence.  </w:t>
      </w:r>
    </w:p>
    <w:p w14:paraId="49250006" w14:textId="77777777" w:rsidR="008D3F1E" w:rsidRPr="00CB3794" w:rsidRDefault="008D3F1E" w:rsidP="008D3F1E">
      <w:pPr>
        <w:spacing w:after="0" w:line="240" w:lineRule="auto"/>
        <w:jc w:val="both"/>
        <w:rPr>
          <w:rFonts w:ascii="Times New Roman" w:eastAsia="Times New Roman" w:hAnsi="Times New Roman" w:cs="Times New Roman"/>
          <w:sz w:val="20"/>
          <w:szCs w:val="20"/>
          <w:lang w:val="en-GB" w:eastAsia="en-US" w:bidi="en-US"/>
        </w:rPr>
      </w:pPr>
    </w:p>
    <w:p w14:paraId="2B7EB77A"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Batang" w:hAnsi="Times New Roman" w:cs="Times New Roman"/>
          <w:b/>
          <w:bCs/>
          <w:sz w:val="20"/>
          <w:szCs w:val="20"/>
          <w:lang w:val="en-GB" w:eastAsia="ko-KR" w:bidi="en-US"/>
        </w:rPr>
        <w:t>Enhanced quality assurance and completion of evaluation plans (BPPS</w:t>
      </w:r>
      <w:r w:rsidRPr="00CB3794">
        <w:rPr>
          <w:rFonts w:ascii="Times New Roman" w:eastAsia="Times New Roman,Batang" w:hAnsi="Times New Roman" w:cs="Times New Roman"/>
          <w:sz w:val="20"/>
          <w:szCs w:val="20"/>
          <w:lang w:val="en-GB" w:eastAsia="ko-KR" w:bidi="en-US"/>
        </w:rPr>
        <w:t xml:space="preserve">) </w:t>
      </w:r>
      <w:r w:rsidRPr="00CB3794">
        <w:rPr>
          <w:rFonts w:ascii="Times New Roman" w:eastAsia="Times New Roman,Batang" w:hAnsi="Times New Roman" w:cs="Times New Roman"/>
          <w:b/>
          <w:bCs/>
          <w:sz w:val="20"/>
          <w:szCs w:val="20"/>
          <w:lang w:val="en-GB" w:eastAsia="ko-KR" w:bidi="en-US"/>
        </w:rPr>
        <w:t>2021-2025</w:t>
      </w:r>
      <w:r w:rsidRPr="00CB3794">
        <w:rPr>
          <w:rFonts w:ascii="Times New Roman" w:eastAsia="Times New Roman,Batang" w:hAnsi="Times New Roman" w:cs="Times New Roman"/>
          <w:sz w:val="20"/>
          <w:szCs w:val="20"/>
          <w:lang w:val="en-GB" w:eastAsia="ko-KR" w:bidi="en-US"/>
        </w:rPr>
        <w:t>:</w:t>
      </w:r>
      <w:r w:rsidRPr="00CB3794">
        <w:rPr>
          <w:rFonts w:ascii="Times New Roman" w:eastAsia="Times New Roman,Batang" w:hAnsi="Times New Roman" w:cs="Times New Roman"/>
          <w:i/>
          <w:iCs/>
          <w:sz w:val="20"/>
          <w:szCs w:val="20"/>
          <w:lang w:val="en-GB" w:eastAsia="ko-KR" w:bidi="en-US"/>
        </w:rPr>
        <w:t xml:space="preserve"> </w:t>
      </w:r>
      <w:r w:rsidRPr="00CB3794">
        <w:rPr>
          <w:rFonts w:ascii="Times New Roman" w:eastAsia="Times New Roman,Batang" w:hAnsi="Times New Roman" w:cs="Times New Roman"/>
          <w:sz w:val="20"/>
          <w:szCs w:val="20"/>
          <w:lang w:val="en-GB" w:eastAsia="ko-KR" w:bidi="en-US"/>
        </w:rPr>
        <w:t xml:space="preserve">UNDP has strengthened the mechanisms to review the quality, robustness, and coverage of evaluation plans as part of the quality assurance (QA) process for new country programme documents (CPDs) through the programme appraisal committee (PAC) reviews. The quality of evaluation plans is included as part of the Programme Quality Index in the Integrated Results and Resources Framework (IRRF) for 2022-2025 and will be closely monitored in the next four years. </w:t>
      </w:r>
    </w:p>
    <w:p w14:paraId="3751A03B" w14:textId="77777777" w:rsidR="008D3F1E" w:rsidRPr="00CB3794" w:rsidRDefault="008D3F1E" w:rsidP="008D3F1E">
      <w:pPr>
        <w:spacing w:after="0" w:line="240" w:lineRule="auto"/>
        <w:jc w:val="both"/>
        <w:rPr>
          <w:rFonts w:ascii="Times New Roman" w:eastAsia="Times New Roman" w:hAnsi="Times New Roman" w:cs="Times New Roman"/>
          <w:sz w:val="20"/>
          <w:szCs w:val="20"/>
          <w:lang w:val="en-GB" w:eastAsia="en-US" w:bidi="en-US"/>
        </w:rPr>
      </w:pPr>
    </w:p>
    <w:p w14:paraId="517CDA43"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Evaluation Express Roster (BPPS) 2021- 2023:</w:t>
      </w:r>
      <w:r w:rsidRPr="00CB3794">
        <w:rPr>
          <w:rFonts w:ascii="Times New Roman" w:eastAsia="Times New Roman" w:hAnsi="Times New Roman" w:cs="Times New Roman"/>
          <w:i/>
          <w:iCs/>
          <w:sz w:val="20"/>
          <w:szCs w:val="20"/>
          <w:lang w:val="en-GB" w:eastAsia="en-US" w:bidi="en-US"/>
        </w:rPr>
        <w:t xml:space="preserve"> </w:t>
      </w:r>
      <w:r w:rsidRPr="00CB3794">
        <w:rPr>
          <w:rFonts w:ascii="Times New Roman" w:eastAsia="Times New Roman" w:hAnsi="Times New Roman" w:cs="Times New Roman"/>
          <w:sz w:val="20"/>
          <w:szCs w:val="20"/>
          <w:lang w:val="en-GB" w:eastAsia="en-US" w:bidi="en-US"/>
        </w:rPr>
        <w:t xml:space="preserve">In 2022, </w:t>
      </w:r>
      <w:r w:rsidRPr="00CB3794">
        <w:rPr>
          <w:rFonts w:ascii="Times New Roman" w:eastAsia="Times New Roman" w:hAnsi="Times New Roman" w:cs="Times New Roman"/>
          <w:sz w:val="20"/>
          <w:szCs w:val="20"/>
          <w:lang w:val="en-AU" w:eastAsia="en-US" w:bidi="en-US"/>
        </w:rPr>
        <w:t>a new call for applicants</w:t>
      </w:r>
      <w:r w:rsidRPr="00CB3794">
        <w:rPr>
          <w:rFonts w:ascii="Times New Roman" w:eastAsia="Times New Roman" w:hAnsi="Times New Roman" w:cs="Times New Roman"/>
          <w:sz w:val="20"/>
          <w:szCs w:val="20"/>
          <w:lang w:val="en-GB" w:eastAsia="en-US" w:bidi="en-US"/>
        </w:rPr>
        <w:t xml:space="preserve"> to the roster will be carried out. The aim is to strengthen the evaluator pool for coverage across the </w:t>
      </w:r>
      <w:r w:rsidRPr="00CB3794">
        <w:rPr>
          <w:rFonts w:ascii="Times New Roman" w:eastAsia="Times New Roman" w:hAnsi="Times New Roman" w:cs="Times New Roman"/>
          <w:sz w:val="20"/>
          <w:szCs w:val="20"/>
          <w:lang w:val="en-AU" w:eastAsia="en-US" w:bidi="en-US"/>
        </w:rPr>
        <w:t>six signature solutions and three enablers; improve geographic and language coverage, including French, Portuguese and Arabic; improve the on-boarding of consultants once they are recruited; and better track good quality evaluators.</w:t>
      </w:r>
    </w:p>
    <w:p w14:paraId="3DCE2C95" w14:textId="77777777" w:rsidR="008D3F1E" w:rsidRPr="00CB3794" w:rsidRDefault="008D3F1E" w:rsidP="008D3F1E">
      <w:pPr>
        <w:spacing w:after="0" w:line="240" w:lineRule="auto"/>
        <w:jc w:val="both"/>
        <w:rPr>
          <w:rFonts w:ascii="Times New Roman" w:eastAsia="Times New Roman" w:hAnsi="Times New Roman" w:cs="Times New Roman"/>
          <w:sz w:val="20"/>
          <w:szCs w:val="20"/>
          <w:lang w:val="en-GB" w:eastAsia="en-US" w:bidi="en-US"/>
        </w:rPr>
      </w:pPr>
    </w:p>
    <w:p w14:paraId="29912DB7" w14:textId="77777777" w:rsidR="008D3F1E"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Evaluation Training (RBx and IEO) 2022-2025:</w:t>
      </w:r>
      <w:r w:rsidRPr="00CB3794">
        <w:rPr>
          <w:rFonts w:ascii="Times New Roman" w:eastAsia="Times New Roman" w:hAnsi="Times New Roman" w:cs="Times New Roman"/>
          <w:sz w:val="20"/>
          <w:szCs w:val="20"/>
          <w:lang w:val="en-GB" w:eastAsia="en-US" w:bidi="en-US"/>
        </w:rPr>
        <w:t xml:space="preserve"> A needs assessment survey of monitoring and evaluation (M&amp;E) focal points by IEO and Regional Bureaus will be conducted in 2022 to identify areas for targeted training and support. The </w:t>
      </w:r>
      <w:r>
        <w:rPr>
          <w:rFonts w:ascii="Times New Roman" w:eastAsia="Times New Roman" w:hAnsi="Times New Roman" w:cs="Times New Roman"/>
          <w:sz w:val="20"/>
          <w:szCs w:val="20"/>
          <w:lang w:val="en-GB" w:eastAsia="en-US" w:bidi="en-US"/>
        </w:rPr>
        <w:t>training</w:t>
      </w:r>
      <w:r w:rsidRPr="00CB3794">
        <w:rPr>
          <w:rFonts w:ascii="Times New Roman" w:eastAsia="Times New Roman" w:hAnsi="Times New Roman" w:cs="Times New Roman"/>
          <w:sz w:val="20"/>
          <w:szCs w:val="20"/>
          <w:lang w:val="en-GB" w:eastAsia="en-US" w:bidi="en-US"/>
        </w:rPr>
        <w:t xml:space="preserve"> listed below are currently ongoing and </w:t>
      </w:r>
      <w:r w:rsidRPr="00086FBB">
        <w:rPr>
          <w:rFonts w:ascii="Times New Roman" w:eastAsia="Times New Roman" w:hAnsi="Times New Roman" w:cs="Times New Roman"/>
          <w:sz w:val="20"/>
          <w:szCs w:val="20"/>
          <w:lang w:val="en-GB" w:eastAsia="en-US" w:bidi="en-US"/>
        </w:rPr>
        <w:t xml:space="preserve">are </w:t>
      </w:r>
      <w:r w:rsidRPr="00CB3794">
        <w:rPr>
          <w:rFonts w:ascii="Times New Roman" w:eastAsia="Times New Roman" w:hAnsi="Times New Roman" w:cs="Times New Roman"/>
          <w:sz w:val="20"/>
          <w:szCs w:val="20"/>
          <w:lang w:val="en-GB" w:eastAsia="en-US" w:bidi="en-US"/>
        </w:rPr>
        <w:t>to be conducted in 2022-2025</w:t>
      </w:r>
      <w:r>
        <w:rPr>
          <w:rFonts w:ascii="Times New Roman" w:eastAsia="Times New Roman" w:hAnsi="Times New Roman" w:cs="Times New Roman"/>
          <w:sz w:val="20"/>
          <w:szCs w:val="20"/>
          <w:lang w:val="en-GB" w:eastAsia="en-US" w:bidi="en-US"/>
        </w:rPr>
        <w:t>.</w:t>
      </w:r>
    </w:p>
    <w:p w14:paraId="41939A4D" w14:textId="77777777" w:rsidR="008D3F1E" w:rsidRDefault="008D3F1E" w:rsidP="008D3F1E">
      <w:pPr>
        <w:spacing w:after="0" w:line="240" w:lineRule="auto"/>
        <w:jc w:val="both"/>
        <w:rPr>
          <w:rFonts w:ascii="Times New Roman" w:eastAsia="Times New Roman" w:hAnsi="Times New Roman" w:cs="Times New Roman"/>
          <w:sz w:val="20"/>
          <w:szCs w:val="20"/>
          <w:lang w:val="en-GB" w:eastAsia="en-US" w:bidi="en-US"/>
        </w:rPr>
      </w:pPr>
    </w:p>
    <w:p w14:paraId="56934720" w14:textId="77777777" w:rsidR="008D3F1E" w:rsidRDefault="008D3F1E" w:rsidP="008D3F1E">
      <w:pPr>
        <w:pStyle w:val="ListParagraph"/>
        <w:numPr>
          <w:ilvl w:val="0"/>
          <w:numId w:val="36"/>
        </w:numPr>
        <w:spacing w:after="0" w:line="240" w:lineRule="auto"/>
        <w:jc w:val="both"/>
        <w:rPr>
          <w:rFonts w:ascii="Times New Roman" w:eastAsia="Times New Roman" w:hAnsi="Times New Roman" w:cs="Times New Roman"/>
          <w:sz w:val="20"/>
          <w:szCs w:val="20"/>
          <w:lang w:val="en-GB" w:eastAsia="en-US" w:bidi="en-US"/>
        </w:rPr>
      </w:pPr>
      <w:r w:rsidRPr="00A901FE">
        <w:rPr>
          <w:rFonts w:ascii="Times New Roman" w:eastAsia="Times New Roman" w:hAnsi="Times New Roman" w:cs="Times New Roman"/>
          <w:sz w:val="20"/>
          <w:szCs w:val="20"/>
          <w:lang w:val="en-GB" w:eastAsia="en-US" w:bidi="en-US"/>
        </w:rPr>
        <w:t>Evaluation Certified M&amp;E focal points</w:t>
      </w:r>
    </w:p>
    <w:p w14:paraId="6B1C7794" w14:textId="77777777" w:rsidR="008D3F1E" w:rsidRDefault="008D3F1E" w:rsidP="008D3F1E">
      <w:pPr>
        <w:pStyle w:val="ListParagraph"/>
        <w:numPr>
          <w:ilvl w:val="0"/>
          <w:numId w:val="36"/>
        </w:numPr>
        <w:spacing w:after="0" w:line="240" w:lineRule="auto"/>
        <w:jc w:val="both"/>
        <w:rPr>
          <w:rFonts w:ascii="Times New Roman" w:eastAsia="Times New Roman" w:hAnsi="Times New Roman" w:cs="Times New Roman"/>
          <w:sz w:val="20"/>
          <w:szCs w:val="20"/>
          <w:lang w:val="en-GB" w:eastAsia="en-US" w:bidi="en-US"/>
        </w:rPr>
      </w:pPr>
      <w:r w:rsidRPr="00A901FE">
        <w:rPr>
          <w:rFonts w:ascii="Times New Roman" w:eastAsia="Times New Roman" w:hAnsi="Times New Roman" w:cs="Times New Roman"/>
          <w:sz w:val="20"/>
          <w:szCs w:val="20"/>
          <w:lang w:val="en-GB" w:eastAsia="en-US" w:bidi="en-US"/>
        </w:rPr>
        <w:t>Regional Bureau training</w:t>
      </w:r>
    </w:p>
    <w:p w14:paraId="3E246A9E" w14:textId="77777777" w:rsidR="008D3F1E" w:rsidRDefault="008D3F1E" w:rsidP="008D3F1E">
      <w:pPr>
        <w:pStyle w:val="ListParagraph"/>
        <w:numPr>
          <w:ilvl w:val="0"/>
          <w:numId w:val="36"/>
        </w:numPr>
        <w:spacing w:after="0" w:line="240" w:lineRule="auto"/>
        <w:jc w:val="both"/>
        <w:rPr>
          <w:rFonts w:ascii="Times New Roman" w:eastAsia="Times New Roman" w:hAnsi="Times New Roman" w:cs="Times New Roman"/>
          <w:sz w:val="20"/>
          <w:szCs w:val="20"/>
          <w:lang w:val="en-GB" w:eastAsia="en-US" w:bidi="en-US"/>
        </w:rPr>
      </w:pPr>
      <w:r w:rsidRPr="00A901FE">
        <w:rPr>
          <w:rFonts w:ascii="Times New Roman" w:eastAsia="Times New Roman" w:hAnsi="Times New Roman" w:cs="Times New Roman"/>
          <w:sz w:val="20"/>
          <w:szCs w:val="20"/>
          <w:lang w:val="en-GB" w:eastAsia="en-US" w:bidi="en-US"/>
        </w:rPr>
        <w:t>Short, targeted training</w:t>
      </w:r>
    </w:p>
    <w:p w14:paraId="161B0100" w14:textId="77777777" w:rsidR="008D3F1E" w:rsidRDefault="008D3F1E" w:rsidP="008D3F1E">
      <w:pPr>
        <w:pStyle w:val="ListParagraph"/>
        <w:numPr>
          <w:ilvl w:val="0"/>
          <w:numId w:val="36"/>
        </w:numPr>
        <w:spacing w:after="0" w:line="240" w:lineRule="auto"/>
        <w:jc w:val="both"/>
        <w:rPr>
          <w:rFonts w:ascii="Times New Roman" w:eastAsia="Times New Roman" w:hAnsi="Times New Roman" w:cs="Times New Roman"/>
          <w:sz w:val="20"/>
          <w:szCs w:val="20"/>
          <w:lang w:val="en-GB" w:eastAsia="en-US" w:bidi="en-US"/>
        </w:rPr>
      </w:pPr>
      <w:r w:rsidRPr="00A901FE">
        <w:rPr>
          <w:rFonts w:ascii="Times New Roman" w:eastAsia="Times New Roman" w:hAnsi="Times New Roman" w:cs="Times New Roman"/>
          <w:sz w:val="20"/>
          <w:szCs w:val="20"/>
          <w:lang w:val="en-GB" w:eastAsia="en-US" w:bidi="en-US"/>
        </w:rPr>
        <w:t xml:space="preserve">IPDET </w:t>
      </w:r>
    </w:p>
    <w:p w14:paraId="2502090F" w14:textId="77777777" w:rsidR="008D3F1E" w:rsidRPr="00A901FE" w:rsidRDefault="008D3F1E" w:rsidP="008D3F1E">
      <w:pPr>
        <w:pStyle w:val="ListParagraph"/>
        <w:numPr>
          <w:ilvl w:val="0"/>
          <w:numId w:val="36"/>
        </w:numPr>
        <w:spacing w:after="0" w:line="240" w:lineRule="auto"/>
        <w:jc w:val="both"/>
        <w:rPr>
          <w:rFonts w:ascii="Times New Roman" w:eastAsia="Times New Roman" w:hAnsi="Times New Roman" w:cs="Times New Roman"/>
          <w:sz w:val="20"/>
          <w:szCs w:val="20"/>
          <w:lang w:val="en-GB" w:eastAsia="en-US" w:bidi="en-US"/>
        </w:rPr>
      </w:pPr>
      <w:r>
        <w:rPr>
          <w:rFonts w:ascii="Times New Roman" w:eastAsia="Times New Roman" w:hAnsi="Times New Roman" w:cs="Times New Roman"/>
          <w:sz w:val="20"/>
          <w:szCs w:val="20"/>
          <w:lang w:val="en-GB" w:eastAsia="en-US" w:bidi="en-US"/>
        </w:rPr>
        <w:t>Other trainings</w:t>
      </w:r>
    </w:p>
    <w:p w14:paraId="5A2256CB" w14:textId="77777777" w:rsidR="008D3F1E" w:rsidRPr="00CB3794" w:rsidRDefault="008D3F1E" w:rsidP="008D3F1E">
      <w:pPr>
        <w:spacing w:after="0" w:line="240" w:lineRule="auto"/>
        <w:jc w:val="both"/>
        <w:rPr>
          <w:rFonts w:ascii="Times New Roman" w:eastAsia="Times New Roman" w:hAnsi="Times New Roman" w:cs="Times New Roman"/>
          <w:b/>
          <w:bCs/>
          <w:i/>
          <w:iCs/>
          <w:sz w:val="20"/>
          <w:szCs w:val="20"/>
          <w:lang w:val="en-GB" w:eastAsia="en-US" w:bidi="en-US"/>
        </w:rPr>
      </w:pPr>
    </w:p>
    <w:p w14:paraId="72689B7C"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Quarterly Quality Assessment process (IEO</w:t>
      </w:r>
      <w:r w:rsidRPr="00CB3794">
        <w:rPr>
          <w:rFonts w:ascii="Times New Roman" w:eastAsia="Times New Roman" w:hAnsi="Times New Roman" w:cs="Times New Roman"/>
          <w:sz w:val="20"/>
          <w:szCs w:val="20"/>
          <w:lang w:val="en-GB" w:eastAsia="en-US" w:bidi="en-US"/>
        </w:rPr>
        <w:t xml:space="preserve">) </w:t>
      </w:r>
      <w:r w:rsidRPr="00CB3794">
        <w:rPr>
          <w:rFonts w:ascii="Times New Roman" w:eastAsia="Times New Roman" w:hAnsi="Times New Roman" w:cs="Times New Roman"/>
          <w:b/>
          <w:bCs/>
          <w:sz w:val="20"/>
          <w:szCs w:val="20"/>
          <w:lang w:val="en-GB" w:eastAsia="en-US" w:bidi="en-US"/>
        </w:rPr>
        <w:t>2022-2025:</w:t>
      </w:r>
      <w:r w:rsidRPr="00CB3794">
        <w:rPr>
          <w:rFonts w:ascii="Times New Roman" w:eastAsia="Times New Roman" w:hAnsi="Times New Roman" w:cs="Times New Roman"/>
          <w:sz w:val="20"/>
          <w:szCs w:val="20"/>
          <w:lang w:val="en-GB" w:eastAsia="en-US" w:bidi="en-US"/>
        </w:rPr>
        <w:t xml:space="preserve"> Starting from 2022, the IEO will undertake quality assessments of decentralized evaluations on a quarterly basis to ensure timely input to country offices.</w:t>
      </w:r>
    </w:p>
    <w:p w14:paraId="3221D9E9" w14:textId="77777777" w:rsidR="008D3F1E" w:rsidRPr="00CB3794" w:rsidRDefault="008D3F1E" w:rsidP="008D3F1E">
      <w:pPr>
        <w:spacing w:after="0" w:line="240" w:lineRule="auto"/>
        <w:ind w:left="360"/>
        <w:jc w:val="both"/>
        <w:rPr>
          <w:rFonts w:ascii="Times New Roman" w:eastAsia="Times New Roman" w:hAnsi="Times New Roman" w:cs="Times New Roman"/>
          <w:sz w:val="20"/>
          <w:szCs w:val="20"/>
          <w:lang w:val="en-GB" w:eastAsia="en-US" w:bidi="en-US"/>
        </w:rPr>
      </w:pPr>
    </w:p>
    <w:p w14:paraId="57B18ED8"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Evaluator and Commissioner Dispute resolution process (IEO and Programme units) 2022:</w:t>
      </w:r>
      <w:r w:rsidRPr="00CB3794">
        <w:rPr>
          <w:rFonts w:ascii="Times New Roman" w:eastAsia="Times New Roman" w:hAnsi="Times New Roman" w:cs="Times New Roman"/>
          <w:sz w:val="20"/>
          <w:szCs w:val="20"/>
          <w:lang w:val="en-GB" w:eastAsia="en-US" w:bidi="en-US"/>
        </w:rPr>
        <w:t xml:space="preserve"> Rolled out as part of the evaluation guidelines, the evaluator and commissioner dispute resolution process </w:t>
      </w:r>
      <w:r w:rsidRPr="00086FBB">
        <w:rPr>
          <w:rFonts w:ascii="Times New Roman" w:eastAsia="Times New Roman" w:hAnsi="Times New Roman" w:cs="Times New Roman"/>
          <w:sz w:val="20"/>
          <w:szCs w:val="20"/>
          <w:lang w:val="en-GB" w:eastAsia="en-US" w:bidi="en-US"/>
        </w:rPr>
        <w:t>provide</w:t>
      </w:r>
      <w:r w:rsidRPr="00CB3794">
        <w:rPr>
          <w:rFonts w:ascii="Times New Roman" w:eastAsia="Times New Roman" w:hAnsi="Times New Roman" w:cs="Times New Roman"/>
          <w:sz w:val="20"/>
          <w:szCs w:val="20"/>
          <w:lang w:val="en-GB" w:eastAsia="en-US" w:bidi="en-US"/>
        </w:rPr>
        <w:t xml:space="preserve"> clear channels for evaluators to both report wrongdoing in programmes and projects.</w:t>
      </w:r>
    </w:p>
    <w:p w14:paraId="51C1CE15" w14:textId="77777777" w:rsidR="008D3F1E" w:rsidRPr="00CB3794" w:rsidRDefault="008D3F1E" w:rsidP="008D3F1E">
      <w:pPr>
        <w:spacing w:after="0" w:line="240" w:lineRule="auto"/>
        <w:jc w:val="both"/>
        <w:rPr>
          <w:rFonts w:ascii="Times New Roman" w:eastAsia="Times New Roman" w:hAnsi="Times New Roman" w:cs="Times New Roman"/>
          <w:sz w:val="20"/>
          <w:szCs w:val="20"/>
          <w:lang w:val="en-GB" w:eastAsia="en-US" w:bidi="en-US"/>
        </w:rPr>
      </w:pPr>
    </w:p>
    <w:p w14:paraId="130BDEC3" w14:textId="77777777" w:rsidR="008D3F1E" w:rsidRPr="00086FBB"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Batang" w:hAnsi="Times New Roman" w:cs="Times New Roman"/>
          <w:b/>
          <w:bCs/>
          <w:sz w:val="20"/>
          <w:szCs w:val="20"/>
          <w:lang w:val="en-GB" w:eastAsia="ko-KR" w:bidi="en-US"/>
        </w:rPr>
        <w:lastRenderedPageBreak/>
        <w:t>IEO Regional Focal Points (IEO and Regional Bureaus) 2021-2025:</w:t>
      </w:r>
      <w:r w:rsidRPr="00CB3794">
        <w:rPr>
          <w:rFonts w:ascii="Times New Roman" w:eastAsia="Times New Roman,Batang" w:hAnsi="Times New Roman" w:cs="Times New Roman"/>
          <w:sz w:val="20"/>
          <w:szCs w:val="20"/>
          <w:lang w:val="en-GB" w:eastAsia="ko-KR" w:bidi="en-US"/>
        </w:rPr>
        <w:t xml:space="preserve"> </w:t>
      </w:r>
      <w:r w:rsidRPr="00CB3794">
        <w:rPr>
          <w:rFonts w:ascii="Times New Roman" w:eastAsia="Times New Roman" w:hAnsi="Times New Roman" w:cs="Times New Roman"/>
          <w:sz w:val="20"/>
          <w:szCs w:val="20"/>
          <w:lang w:val="en-GB" w:eastAsia="en-US" w:bidi="en-US"/>
        </w:rPr>
        <w:t>IEO regional focal points will continue to work with Regional Bureaus to provide technical support to decentralized evaluations including support in training of M&amp;E focal points, clarification of guidance and evaluation approaches and planning for evaluation.</w:t>
      </w:r>
    </w:p>
    <w:p w14:paraId="496D9E3B" w14:textId="77777777" w:rsidR="008D3F1E" w:rsidRPr="00086FBB" w:rsidRDefault="008D3F1E" w:rsidP="008D3F1E">
      <w:pPr>
        <w:pStyle w:val="ListParagraph"/>
        <w:spacing w:after="0" w:line="240" w:lineRule="auto"/>
        <w:contextualSpacing w:val="0"/>
        <w:rPr>
          <w:rFonts w:ascii="Times New Roman" w:eastAsia="Times New Roman" w:hAnsi="Times New Roman" w:cs="Times New Roman"/>
          <w:b/>
          <w:bCs/>
          <w:sz w:val="20"/>
          <w:szCs w:val="20"/>
          <w:lang w:val="en-GB" w:eastAsia="en-US" w:bidi="en-US"/>
        </w:rPr>
      </w:pPr>
    </w:p>
    <w:p w14:paraId="0D5C0A8A"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 xml:space="preserve">Additional Evaluation Guidance (IEO) 2022-2023: </w:t>
      </w:r>
      <w:r w:rsidRPr="00086FBB">
        <w:rPr>
          <w:rFonts w:ascii="Times New Roman" w:eastAsia="Times New Roman" w:hAnsi="Times New Roman" w:cs="Times New Roman"/>
          <w:sz w:val="20"/>
          <w:szCs w:val="20"/>
          <w:lang w:val="en-GB" w:eastAsia="en-US" w:bidi="en-US"/>
        </w:rPr>
        <w:t>N</w:t>
      </w:r>
      <w:r w:rsidRPr="00CB3794">
        <w:rPr>
          <w:rFonts w:ascii="Times New Roman" w:eastAsia="Times New Roman" w:hAnsi="Times New Roman" w:cs="Times New Roman"/>
          <w:sz w:val="20"/>
          <w:szCs w:val="20"/>
          <w:lang w:val="en-GB" w:eastAsia="en-US" w:bidi="en-US"/>
        </w:rPr>
        <w:t>umber of areas where additional evaluation guidance may be needed have been identified:</w:t>
      </w:r>
      <w:r w:rsidRPr="00086FBB">
        <w:rPr>
          <w:rFonts w:ascii="Times New Roman" w:eastAsia="Times New Roman" w:hAnsi="Times New Roman" w:cs="Times New Roman"/>
          <w:sz w:val="20"/>
          <w:szCs w:val="20"/>
          <w:lang w:val="en-GB" w:eastAsia="en-US" w:bidi="en-US"/>
        </w:rPr>
        <w:t xml:space="preserve"> </w:t>
      </w:r>
      <w:r w:rsidRPr="00CB3794">
        <w:rPr>
          <w:rFonts w:ascii="Times New Roman" w:eastAsia="Times New Roman" w:hAnsi="Times New Roman" w:cs="Times New Roman"/>
          <w:sz w:val="20"/>
          <w:szCs w:val="20"/>
          <w:lang w:val="en-AU" w:eastAsia="en-US" w:bidi="en-US"/>
        </w:rPr>
        <w:t>Portfolio approach and complex evaluation guidance</w:t>
      </w:r>
      <w:r w:rsidRPr="00086FBB">
        <w:rPr>
          <w:rFonts w:ascii="Times New Roman" w:eastAsia="Times New Roman" w:hAnsi="Times New Roman" w:cs="Times New Roman"/>
          <w:sz w:val="20"/>
          <w:szCs w:val="20"/>
          <w:lang w:val="en-AU" w:eastAsia="en-US" w:bidi="en-US"/>
        </w:rPr>
        <w:t>; Inclusion</w:t>
      </w:r>
      <w:r w:rsidRPr="00CB3794">
        <w:rPr>
          <w:rFonts w:ascii="Times New Roman" w:eastAsia="Times New Roman" w:hAnsi="Times New Roman" w:cs="Times New Roman"/>
          <w:sz w:val="20"/>
          <w:szCs w:val="20"/>
          <w:lang w:val="en-GB" w:eastAsia="en-US" w:bidi="en-US"/>
        </w:rPr>
        <w:t xml:space="preserve"> of the Social and Environmental standards in evaluations</w:t>
      </w:r>
      <w:r w:rsidRPr="00086FBB">
        <w:rPr>
          <w:rFonts w:ascii="Times New Roman" w:eastAsia="Times New Roman" w:hAnsi="Times New Roman" w:cs="Times New Roman"/>
          <w:sz w:val="20"/>
          <w:szCs w:val="20"/>
          <w:lang w:val="en-GB" w:eastAsia="en-US" w:bidi="en-US"/>
        </w:rPr>
        <w:t xml:space="preserve">; </w:t>
      </w:r>
      <w:r w:rsidRPr="00CB3794">
        <w:rPr>
          <w:rFonts w:ascii="Times New Roman" w:eastAsia="Times New Roman" w:hAnsi="Times New Roman" w:cs="Times New Roman"/>
          <w:sz w:val="20"/>
          <w:szCs w:val="20"/>
          <w:lang w:val="en-GB" w:eastAsia="en-US" w:bidi="en-US"/>
        </w:rPr>
        <w:t>Evaluating Innovation</w:t>
      </w:r>
      <w:r w:rsidRPr="00086FBB">
        <w:rPr>
          <w:rFonts w:ascii="Times New Roman" w:eastAsia="Times New Roman" w:hAnsi="Times New Roman" w:cs="Times New Roman"/>
          <w:sz w:val="20"/>
          <w:szCs w:val="20"/>
          <w:lang w:val="en-GB" w:eastAsia="en-US" w:bidi="en-US"/>
        </w:rPr>
        <w:t xml:space="preserve">; </w:t>
      </w:r>
      <w:r w:rsidRPr="00CB3794">
        <w:rPr>
          <w:rFonts w:ascii="Times New Roman" w:eastAsia="Times New Roman" w:hAnsi="Times New Roman" w:cs="Times New Roman"/>
          <w:sz w:val="20"/>
          <w:szCs w:val="20"/>
          <w:lang w:val="en-GB" w:eastAsia="en-US" w:bidi="en-US"/>
        </w:rPr>
        <w:t xml:space="preserve">Impact Evaluations </w:t>
      </w:r>
    </w:p>
    <w:p w14:paraId="1F0D0017" w14:textId="77777777" w:rsidR="008D3F1E" w:rsidRPr="00CB3794" w:rsidRDefault="008D3F1E" w:rsidP="008D3F1E">
      <w:pPr>
        <w:spacing w:after="0" w:line="240" w:lineRule="auto"/>
        <w:ind w:left="1080"/>
        <w:jc w:val="both"/>
        <w:rPr>
          <w:rFonts w:ascii="Times New Roman" w:eastAsia="Times New Roman" w:hAnsi="Times New Roman" w:cs="Times New Roman"/>
          <w:sz w:val="20"/>
          <w:szCs w:val="20"/>
          <w:lang w:val="en-GB" w:eastAsia="en-US" w:bidi="en-US"/>
        </w:rPr>
      </w:pPr>
    </w:p>
    <w:p w14:paraId="50C92F6C"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Key programme/project evaluations implementation (IEO) 2022:</w:t>
      </w:r>
      <w:r w:rsidRPr="00CB3794">
        <w:rPr>
          <w:rFonts w:ascii="Times New Roman" w:eastAsia="Times New Roman" w:hAnsi="Times New Roman" w:cs="Times New Roman"/>
          <w:sz w:val="20"/>
          <w:szCs w:val="20"/>
          <w:lang w:val="en-GB" w:eastAsia="en-US" w:bidi="en-US"/>
        </w:rPr>
        <w:t xml:space="preserve"> The IEO will review the portfolio to ensure that mandatory benchmarks for evaluations are being met and will recommend additional mandatory benchmarks as needed. </w:t>
      </w:r>
    </w:p>
    <w:p w14:paraId="512D1D7F" w14:textId="77777777" w:rsidR="008D3F1E" w:rsidRPr="00CB3794" w:rsidRDefault="008D3F1E" w:rsidP="008D3F1E">
      <w:pPr>
        <w:spacing w:after="0" w:line="240" w:lineRule="auto"/>
        <w:ind w:left="360"/>
        <w:jc w:val="both"/>
        <w:rPr>
          <w:rFonts w:ascii="Times New Roman" w:eastAsia="Times New Roman" w:hAnsi="Times New Roman" w:cs="Times New Roman"/>
          <w:sz w:val="20"/>
          <w:szCs w:val="20"/>
          <w:lang w:val="en-GB" w:eastAsia="en-US" w:bidi="en-US"/>
        </w:rPr>
      </w:pPr>
    </w:p>
    <w:p w14:paraId="4AD1741E" w14:textId="77777777" w:rsidR="008D3F1E" w:rsidRPr="00CB3794" w:rsidRDefault="008D3F1E" w:rsidP="008D3F1E">
      <w:pPr>
        <w:keepNext/>
        <w:keepLines/>
        <w:spacing w:after="0" w:line="240" w:lineRule="auto"/>
        <w:ind w:left="360" w:hanging="360"/>
        <w:outlineLvl w:val="0"/>
        <w:rPr>
          <w:rFonts w:ascii="Times New Roman" w:eastAsia="Times New Roman" w:hAnsi="Times New Roman" w:cs="Times New Roman"/>
          <w:b/>
          <w:bCs/>
          <w:color w:val="000000"/>
          <w:sz w:val="20"/>
          <w:szCs w:val="20"/>
          <w:u w:val="single"/>
          <w:lang w:val="en-GB" w:eastAsia="en-US" w:bidi="en-US"/>
        </w:rPr>
      </w:pPr>
      <w:r w:rsidRPr="00CB3794">
        <w:rPr>
          <w:rFonts w:ascii="Times New Roman" w:eastAsia="Times New Roman" w:hAnsi="Times New Roman" w:cs="Times New Roman"/>
          <w:b/>
          <w:bCs/>
          <w:color w:val="000000"/>
          <w:sz w:val="20"/>
          <w:szCs w:val="20"/>
          <w:u w:val="single"/>
          <w:lang w:val="en-GB" w:eastAsia="en-US" w:bidi="en-US"/>
        </w:rPr>
        <w:t>Pillar 2: Accountability and Use</w:t>
      </w:r>
    </w:p>
    <w:p w14:paraId="60607AB6" w14:textId="77777777" w:rsidR="008D3F1E" w:rsidRPr="00CB3794" w:rsidRDefault="008D3F1E" w:rsidP="008D3F1E">
      <w:pPr>
        <w:spacing w:after="0" w:line="240" w:lineRule="auto"/>
        <w:jc w:val="both"/>
        <w:rPr>
          <w:rFonts w:ascii="Times New Roman" w:eastAsia="Times New Roman" w:hAnsi="Times New Roman" w:cs="Times New Roman"/>
          <w:b/>
          <w:bCs/>
          <w:i/>
          <w:iCs/>
          <w:sz w:val="20"/>
          <w:szCs w:val="20"/>
          <w:lang w:val="en-GB" w:eastAsia="en-US" w:bidi="en-US"/>
        </w:rPr>
      </w:pPr>
    </w:p>
    <w:p w14:paraId="705093D2" w14:textId="77777777" w:rsidR="008D3F1E" w:rsidRPr="00CB3794" w:rsidRDefault="008D3F1E" w:rsidP="008D3F1E">
      <w:pPr>
        <w:numPr>
          <w:ilvl w:val="0"/>
          <w:numId w:val="14"/>
        </w:numPr>
        <w:spacing w:after="0" w:line="240" w:lineRule="auto"/>
        <w:jc w:val="both"/>
        <w:rPr>
          <w:rFonts w:ascii="Times New Roman" w:eastAsia="Times New Roman,Batang" w:hAnsi="Times New Roman" w:cs="Times New Roman"/>
          <w:sz w:val="20"/>
          <w:szCs w:val="20"/>
          <w:lang w:val="en-GB" w:eastAsia="ko-KR" w:bidi="en-US"/>
        </w:rPr>
      </w:pPr>
      <w:r w:rsidRPr="00CB3794">
        <w:rPr>
          <w:rFonts w:ascii="Times New Roman" w:eastAsia="Times New Roman" w:hAnsi="Times New Roman" w:cs="Times New Roman"/>
          <w:b/>
          <w:bCs/>
          <w:sz w:val="20"/>
          <w:szCs w:val="20"/>
          <w:lang w:val="en-GB" w:eastAsia="en-US" w:bidi="en-US"/>
        </w:rPr>
        <w:t xml:space="preserve">Evaluation Scorecard and Key Performance Indicators (BPPS) 2021 - 2025: </w:t>
      </w:r>
      <w:r w:rsidRPr="00557A3C">
        <w:rPr>
          <w:rFonts w:ascii="Times New Roman" w:eastAsia="Times New Roman" w:hAnsi="Times New Roman" w:cs="Times New Roman"/>
          <w:b/>
          <w:bCs/>
          <w:sz w:val="20"/>
          <w:szCs w:val="20"/>
          <w:lang w:val="en-GB" w:eastAsia="en-US" w:bidi="en-US"/>
        </w:rPr>
        <w:t xml:space="preserve"> </w:t>
      </w:r>
      <w:r w:rsidRPr="00CB3794">
        <w:rPr>
          <w:rFonts w:ascii="Times New Roman" w:eastAsia="Times New Roman" w:hAnsi="Times New Roman" w:cs="Times New Roman"/>
          <w:b/>
          <w:bCs/>
          <w:sz w:val="20"/>
          <w:szCs w:val="20"/>
          <w:lang w:val="en-GB" w:eastAsia="en-US" w:bidi="en-US"/>
        </w:rPr>
        <w:t xml:space="preserve"> </w:t>
      </w:r>
      <w:r w:rsidRPr="00CB3794">
        <w:rPr>
          <w:rFonts w:ascii="Times New Roman" w:eastAsia="Times New Roman" w:hAnsi="Times New Roman" w:cs="Times New Roman"/>
          <w:sz w:val="20"/>
          <w:szCs w:val="20"/>
          <w:lang w:val="en-GB" w:eastAsia="en-US" w:bidi="en-US"/>
        </w:rPr>
        <w:t>Evaluation Scorecard provides UNDP managers and staff with real-time data of critical evaluation performance to enable on-time tracking and oversight with Key Performance Indicators (KPIs). These KPIs are related to decentralized evaluation coverage, quality, accountability, use</w:t>
      </w:r>
      <w:r w:rsidRPr="00086FBB">
        <w:rPr>
          <w:rFonts w:ascii="Times New Roman" w:eastAsia="Times New Roman" w:hAnsi="Times New Roman" w:cs="Times New Roman"/>
          <w:sz w:val="20"/>
          <w:szCs w:val="20"/>
          <w:lang w:val="en-GB" w:eastAsia="en-US" w:bidi="en-US"/>
        </w:rPr>
        <w:t>,</w:t>
      </w:r>
      <w:r w:rsidRPr="00CB3794">
        <w:rPr>
          <w:rFonts w:ascii="Times New Roman" w:eastAsia="Times New Roman" w:hAnsi="Times New Roman" w:cs="Times New Roman"/>
          <w:sz w:val="20"/>
          <w:szCs w:val="20"/>
          <w:lang w:val="en-GB" w:eastAsia="en-US" w:bidi="en-US"/>
        </w:rPr>
        <w:t xml:space="preserve"> and evaluation capacity</w:t>
      </w:r>
      <w:r w:rsidRPr="00086FBB">
        <w:rPr>
          <w:rFonts w:ascii="Times New Roman" w:eastAsia="Times New Roman" w:hAnsi="Times New Roman" w:cs="Times New Roman"/>
          <w:sz w:val="20"/>
          <w:szCs w:val="20"/>
          <w:lang w:val="en-GB" w:eastAsia="en-US" w:bidi="en-US"/>
        </w:rPr>
        <w:t>.</w:t>
      </w:r>
    </w:p>
    <w:p w14:paraId="5E43DB38" w14:textId="77777777" w:rsidR="008D3F1E" w:rsidRPr="00CB3794" w:rsidRDefault="008D3F1E" w:rsidP="008D3F1E">
      <w:pPr>
        <w:spacing w:after="0" w:line="240" w:lineRule="auto"/>
        <w:ind w:left="360"/>
        <w:jc w:val="both"/>
        <w:rPr>
          <w:rFonts w:ascii="Times New Roman" w:eastAsia="Times New Roman,Batang" w:hAnsi="Times New Roman" w:cs="Times New Roman"/>
          <w:sz w:val="20"/>
          <w:szCs w:val="20"/>
          <w:lang w:val="en-GB" w:eastAsia="ko-KR" w:bidi="en-US"/>
        </w:rPr>
      </w:pPr>
    </w:p>
    <w:p w14:paraId="6C3DDDF7"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Quarterly monitoring and senior management review of decentralized evaluation performance (UNDP, 2022-2025):</w:t>
      </w:r>
      <w:r w:rsidRPr="00CB3794">
        <w:rPr>
          <w:rFonts w:ascii="Times New Roman" w:eastAsia="Times New Roman" w:hAnsi="Times New Roman" w:cs="Times New Roman"/>
          <w:sz w:val="20"/>
          <w:szCs w:val="20"/>
          <w:lang w:val="en-GB" w:eastAsia="en-US" w:bidi="en-US"/>
        </w:rPr>
        <w:t xml:space="preserve"> Leveraging the Evaluation Scorecard, performance is being closely monitored, analysed, and disseminated quarterly to support the identification of critical areas that allow regional bureaux to take timely management actions. In November 2021, the OPG decided that senior management will </w:t>
      </w:r>
      <w:r w:rsidRPr="00086FBB">
        <w:rPr>
          <w:rFonts w:ascii="Times New Roman" w:eastAsia="Times New Roman" w:hAnsi="Times New Roman" w:cs="Times New Roman"/>
          <w:sz w:val="20"/>
          <w:szCs w:val="20"/>
          <w:lang w:val="en-GB" w:eastAsia="en-US" w:bidi="en-US"/>
        </w:rPr>
        <w:t xml:space="preserve">quarterly </w:t>
      </w:r>
      <w:r w:rsidRPr="00CB3794">
        <w:rPr>
          <w:rFonts w:ascii="Times New Roman" w:eastAsia="Times New Roman" w:hAnsi="Times New Roman" w:cs="Times New Roman"/>
          <w:sz w:val="20"/>
          <w:szCs w:val="20"/>
          <w:lang w:val="en-GB" w:eastAsia="en-US" w:bidi="en-US"/>
        </w:rPr>
        <w:t xml:space="preserve">review </w:t>
      </w:r>
      <w:r w:rsidRPr="00086FBB">
        <w:rPr>
          <w:rFonts w:ascii="Times New Roman" w:eastAsia="Times New Roman" w:hAnsi="Times New Roman" w:cs="Times New Roman"/>
          <w:sz w:val="20"/>
          <w:szCs w:val="20"/>
          <w:lang w:val="en-GB" w:eastAsia="en-US" w:bidi="en-US"/>
        </w:rPr>
        <w:t>the KPIs</w:t>
      </w:r>
      <w:r w:rsidRPr="00CB3794">
        <w:rPr>
          <w:rFonts w:ascii="Times New Roman" w:eastAsia="Times New Roman" w:hAnsi="Times New Roman" w:cs="Times New Roman"/>
          <w:sz w:val="20"/>
          <w:szCs w:val="20"/>
          <w:lang w:val="en-GB" w:eastAsia="en-US" w:bidi="en-US"/>
        </w:rPr>
        <w:t xml:space="preserve"> on decentralized evaluation and the status of implementation of bureau-specific decentralized evaluation plans.  </w:t>
      </w:r>
    </w:p>
    <w:p w14:paraId="1C7938C8" w14:textId="77777777" w:rsidR="008D3F1E" w:rsidRPr="00CB3794" w:rsidRDefault="008D3F1E" w:rsidP="008D3F1E">
      <w:pPr>
        <w:spacing w:after="0" w:line="240" w:lineRule="auto"/>
        <w:ind w:left="720"/>
        <w:rPr>
          <w:rFonts w:ascii="Times New Roman" w:eastAsia="Times New Roman" w:hAnsi="Times New Roman" w:cs="Times New Roman"/>
          <w:sz w:val="20"/>
          <w:szCs w:val="20"/>
          <w:lang w:val="en-GB" w:eastAsia="en-US" w:bidi="en-US"/>
        </w:rPr>
      </w:pPr>
    </w:p>
    <w:p w14:paraId="7184016F"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New IRRF Tier 3 indicators on evaluation performance for the strategic plan (BPPS) 2022-2025:</w:t>
      </w:r>
      <w:r w:rsidRPr="00CB3794">
        <w:rPr>
          <w:rFonts w:ascii="Times New Roman" w:eastAsia="Times New Roman" w:hAnsi="Times New Roman" w:cs="Times New Roman"/>
          <w:sz w:val="20"/>
          <w:szCs w:val="20"/>
          <w:lang w:val="en-GB" w:eastAsia="en-US" w:bidi="en-US"/>
        </w:rPr>
        <w:t xml:space="preserve"> Building on the lessons UNDP learned from the 2018-2021 Strategic Plan period, stronger indicators to monitor UNDP’s evaluation performance were introduced in the IRRF for 2022-2025.  These indicators will provide evidence-based performance information covering</w:t>
      </w:r>
      <w:r w:rsidRPr="00086FBB">
        <w:rPr>
          <w:rFonts w:ascii="Times New Roman" w:eastAsia="Times New Roman" w:hAnsi="Times New Roman" w:cs="Times New Roman"/>
          <w:sz w:val="20"/>
          <w:szCs w:val="20"/>
          <w:lang w:val="en-GB" w:eastAsia="en-US" w:bidi="en-US"/>
        </w:rPr>
        <w:t xml:space="preserve">: (1) </w:t>
      </w:r>
      <w:r w:rsidRPr="00CB3794">
        <w:rPr>
          <w:rFonts w:ascii="Times New Roman" w:eastAsia="Times New Roman" w:hAnsi="Times New Roman" w:cs="Times New Roman"/>
          <w:sz w:val="20"/>
          <w:szCs w:val="20"/>
          <w:lang w:val="en-GB" w:eastAsia="en-US" w:bidi="en-US"/>
        </w:rPr>
        <w:t>Quality of evaluation plan</w:t>
      </w:r>
      <w:r w:rsidRPr="00086FBB">
        <w:rPr>
          <w:rFonts w:ascii="Times New Roman" w:eastAsia="Times New Roman" w:hAnsi="Times New Roman" w:cs="Times New Roman"/>
          <w:sz w:val="20"/>
          <w:szCs w:val="20"/>
          <w:lang w:val="en-GB" w:eastAsia="en-US" w:bidi="en-US"/>
        </w:rPr>
        <w:t xml:space="preserve"> (2) </w:t>
      </w:r>
      <w:r w:rsidRPr="00CB3794">
        <w:rPr>
          <w:rFonts w:ascii="Times New Roman" w:eastAsia="Times New Roman" w:hAnsi="Times New Roman" w:cs="Times New Roman"/>
          <w:sz w:val="20"/>
          <w:szCs w:val="20"/>
          <w:lang w:val="en-GB" w:eastAsia="en-US" w:bidi="en-US"/>
        </w:rPr>
        <w:t>Percentage of highly satisfactory or satisfactory</w:t>
      </w:r>
      <w:r w:rsidRPr="00086FBB">
        <w:rPr>
          <w:rFonts w:ascii="Times New Roman" w:eastAsia="Times New Roman" w:hAnsi="Times New Roman" w:cs="Times New Roman"/>
          <w:sz w:val="20"/>
          <w:szCs w:val="20"/>
          <w:lang w:val="en-GB" w:eastAsia="en-US" w:bidi="en-US"/>
        </w:rPr>
        <w:t xml:space="preserve"> </w:t>
      </w:r>
      <w:r w:rsidRPr="00CB3794">
        <w:rPr>
          <w:rFonts w:ascii="Times New Roman" w:eastAsia="Times New Roman" w:hAnsi="Times New Roman" w:cs="Times New Roman"/>
          <w:sz w:val="20"/>
          <w:szCs w:val="20"/>
          <w:lang w:val="en-GB" w:eastAsia="en-US" w:bidi="en-US"/>
        </w:rPr>
        <w:t xml:space="preserve">decentralized evaluations </w:t>
      </w:r>
      <w:r w:rsidRPr="00086FBB">
        <w:rPr>
          <w:rFonts w:ascii="Times New Roman" w:eastAsia="Times New Roman" w:hAnsi="Times New Roman" w:cs="Times New Roman"/>
          <w:sz w:val="20"/>
          <w:szCs w:val="20"/>
          <w:lang w:val="en-GB" w:eastAsia="en-US" w:bidi="en-US"/>
        </w:rPr>
        <w:t xml:space="preserve">(3) </w:t>
      </w:r>
      <w:r w:rsidRPr="00CB3794">
        <w:rPr>
          <w:rFonts w:ascii="Times New Roman" w:eastAsia="Times New Roman" w:hAnsi="Times New Roman" w:cs="Times New Roman"/>
          <w:sz w:val="20"/>
          <w:szCs w:val="20"/>
          <w:lang w:val="en-GB" w:eastAsia="en-US" w:bidi="en-US"/>
        </w:rPr>
        <w:t xml:space="preserve">Implementation rate of actions </w:t>
      </w:r>
      <w:r w:rsidRPr="00086FBB">
        <w:rPr>
          <w:rFonts w:ascii="Times New Roman" w:eastAsia="Times New Roman" w:hAnsi="Times New Roman" w:cs="Times New Roman"/>
          <w:sz w:val="20"/>
          <w:szCs w:val="20"/>
          <w:lang w:val="en-GB" w:eastAsia="en-US" w:bidi="en-US"/>
        </w:rPr>
        <w:t xml:space="preserve">(4) </w:t>
      </w:r>
      <w:r w:rsidRPr="00CB3794">
        <w:rPr>
          <w:rFonts w:ascii="Times New Roman" w:eastAsia="Times New Roman" w:hAnsi="Times New Roman" w:cs="Times New Roman"/>
          <w:sz w:val="20"/>
          <w:szCs w:val="20"/>
          <w:lang w:val="en-GB" w:eastAsia="en-US" w:bidi="en-US"/>
        </w:rPr>
        <w:t xml:space="preserve">Percentage of </w:t>
      </w:r>
      <w:r w:rsidRPr="00086FBB">
        <w:rPr>
          <w:rFonts w:ascii="Times New Roman" w:eastAsia="Times New Roman" w:hAnsi="Times New Roman" w:cs="Times New Roman"/>
          <w:sz w:val="20"/>
          <w:szCs w:val="20"/>
          <w:lang w:val="en-GB" w:eastAsia="en-US" w:bidi="en-US"/>
        </w:rPr>
        <w:t>strategic</w:t>
      </w:r>
      <w:r w:rsidRPr="00CB3794">
        <w:rPr>
          <w:rFonts w:ascii="Times New Roman" w:eastAsia="Times New Roman" w:hAnsi="Times New Roman" w:cs="Times New Roman"/>
          <w:sz w:val="20"/>
          <w:szCs w:val="20"/>
          <w:lang w:val="en-GB" w:eastAsia="en-US" w:bidi="en-US"/>
        </w:rPr>
        <w:t xml:space="preserve"> evaluations.</w:t>
      </w:r>
    </w:p>
    <w:p w14:paraId="7037E2AD" w14:textId="77777777" w:rsidR="008D3F1E" w:rsidRPr="00CB3794" w:rsidRDefault="008D3F1E" w:rsidP="008D3F1E">
      <w:pPr>
        <w:spacing w:after="0" w:line="240" w:lineRule="auto"/>
        <w:rPr>
          <w:rFonts w:ascii="Times New Roman" w:eastAsia="Times New Roman" w:hAnsi="Times New Roman" w:cs="Times New Roman"/>
          <w:sz w:val="20"/>
          <w:szCs w:val="20"/>
          <w:lang w:val="en-GB" w:eastAsia="en-US" w:bidi="en-US"/>
        </w:rPr>
      </w:pPr>
    </w:p>
    <w:p w14:paraId="2B0001A8"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Bureau Director and Country Office Resident Representative Compact/Annual Performance and inclusion of evaluation KPIs (ExO, RBx, BPPS, Crisis Bureau) 2022-2025:</w:t>
      </w:r>
      <w:r w:rsidRPr="00CB3794">
        <w:rPr>
          <w:rFonts w:ascii="Times New Roman" w:eastAsia="Times New Roman" w:hAnsi="Times New Roman" w:cs="Times New Roman"/>
          <w:sz w:val="20"/>
          <w:szCs w:val="20"/>
          <w:lang w:val="en-GB" w:eastAsia="en-US" w:bidi="en-US"/>
        </w:rPr>
        <w:t xml:space="preserve"> Each Regional Strategy for Strengthening Decentralization Evaluation will be incorporated into the 2022 Integrated Work Plans</w:t>
      </w:r>
      <w:r w:rsidRPr="00CB3794">
        <w:rPr>
          <w:rFonts w:ascii="Times New Roman" w:eastAsia="Times New Roman,Batang" w:hAnsi="Times New Roman" w:cs="Times New Roman"/>
          <w:bCs/>
          <w:sz w:val="20"/>
          <w:szCs w:val="20"/>
          <w:lang w:val="en-GB" w:eastAsia="ko-KR" w:bidi="en-US"/>
        </w:rPr>
        <w:t xml:space="preserve">.  In addition, </w:t>
      </w:r>
      <w:r w:rsidRPr="00CB3794">
        <w:rPr>
          <w:rFonts w:ascii="Times New Roman" w:eastAsia="Times New Roman" w:hAnsi="Times New Roman" w:cs="Times New Roman"/>
          <w:sz w:val="20"/>
          <w:szCs w:val="20"/>
          <w:lang w:val="en-GB" w:eastAsia="en-US" w:bidi="en-US"/>
        </w:rPr>
        <w:t>KPIs will be included in the 2022 performance compact of bureau directors and country office senior management.</w:t>
      </w:r>
    </w:p>
    <w:p w14:paraId="3A4C58C8" w14:textId="77777777" w:rsidR="008D3F1E" w:rsidRPr="00CB3794" w:rsidRDefault="008D3F1E" w:rsidP="008D3F1E">
      <w:pPr>
        <w:spacing w:after="0" w:line="240" w:lineRule="auto"/>
        <w:ind w:left="360"/>
        <w:jc w:val="both"/>
        <w:rPr>
          <w:rFonts w:ascii="Times New Roman" w:eastAsia="Times New Roman" w:hAnsi="Times New Roman" w:cs="Times New Roman"/>
          <w:sz w:val="20"/>
          <w:szCs w:val="20"/>
          <w:lang w:val="en-GB" w:eastAsia="en-US" w:bidi="en-US"/>
        </w:rPr>
      </w:pPr>
    </w:p>
    <w:p w14:paraId="1DF6C6D4" w14:textId="77777777" w:rsidR="008D3F1E" w:rsidRPr="00086FBB" w:rsidRDefault="008D3F1E" w:rsidP="008D3F1E">
      <w:pPr>
        <w:numPr>
          <w:ilvl w:val="0"/>
          <w:numId w:val="14"/>
        </w:numPr>
        <w:spacing w:after="0" w:line="240" w:lineRule="auto"/>
        <w:jc w:val="both"/>
        <w:rPr>
          <w:rFonts w:ascii="Times New Roman" w:eastAsia="Times New Roman" w:hAnsi="Times New Roman" w:cs="Times New Roman"/>
          <w:sz w:val="20"/>
          <w:szCs w:val="20"/>
          <w:lang w:val="en-GB" w:eastAsia="en-US" w:bidi="en-US"/>
        </w:rPr>
      </w:pPr>
      <w:r w:rsidRPr="00CB3794">
        <w:rPr>
          <w:rFonts w:ascii="Times New Roman" w:eastAsia="Times New Roman" w:hAnsi="Times New Roman" w:cs="Times New Roman"/>
          <w:b/>
          <w:bCs/>
          <w:sz w:val="20"/>
          <w:szCs w:val="20"/>
          <w:lang w:val="en-GB" w:eastAsia="en-US" w:bidi="en-US"/>
        </w:rPr>
        <w:t>Further enhancement to the Evaluation Resource Centre (IEO) 2022-2023</w:t>
      </w:r>
      <w:r w:rsidRPr="00CB3794">
        <w:rPr>
          <w:rFonts w:ascii="Times New Roman" w:eastAsia="Times New Roman" w:hAnsi="Times New Roman" w:cs="Times New Roman"/>
          <w:sz w:val="20"/>
          <w:szCs w:val="20"/>
          <w:lang w:val="en-GB" w:eastAsia="en-US" w:bidi="en-US"/>
        </w:rPr>
        <w:t xml:space="preserve">: The process of distilling important lessons from UNDP evaluations in the ERC has been enhanced using artificial intelligence tools, through the AIDA (Artificial Intelligence for Development Analytics) platform which enables users to scan across all 5,000 evaluations and extract lessons for use in programme and project design and implementation. </w:t>
      </w:r>
    </w:p>
    <w:p w14:paraId="1F366226" w14:textId="77777777" w:rsidR="008D3F1E" w:rsidRPr="00086FBB" w:rsidRDefault="008D3F1E" w:rsidP="008D3F1E">
      <w:pPr>
        <w:pStyle w:val="ListParagraph"/>
        <w:spacing w:after="0" w:line="240" w:lineRule="auto"/>
        <w:contextualSpacing w:val="0"/>
        <w:rPr>
          <w:rFonts w:ascii="Times New Roman" w:eastAsia="Times New Roman" w:hAnsi="Times New Roman" w:cs="Times New Roman"/>
          <w:sz w:val="20"/>
          <w:szCs w:val="20"/>
          <w:lang w:val="en-GB" w:eastAsia="en-US" w:bidi="en-US"/>
        </w:rPr>
      </w:pPr>
    </w:p>
    <w:p w14:paraId="046008F3"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AU" w:eastAsia="en-US" w:bidi="en-US"/>
        </w:rPr>
      </w:pPr>
      <w:r w:rsidRPr="00CB3794">
        <w:rPr>
          <w:rFonts w:ascii="Times New Roman" w:eastAsia="Times New Roman" w:hAnsi="Times New Roman" w:cs="Times New Roman"/>
          <w:b/>
          <w:bCs/>
          <w:sz w:val="20"/>
          <w:szCs w:val="20"/>
          <w:lang w:val="en-GB" w:eastAsia="en-US" w:bidi="en-US"/>
        </w:rPr>
        <w:t xml:space="preserve">Evaluation Use (IEO and BPPS) 2022-2025: </w:t>
      </w:r>
      <w:r w:rsidRPr="00CB3794">
        <w:rPr>
          <w:rFonts w:ascii="Times New Roman" w:eastAsia="Times New Roman" w:hAnsi="Times New Roman" w:cs="Times New Roman"/>
          <w:sz w:val="20"/>
          <w:szCs w:val="20"/>
          <w:lang w:val="en-GB" w:eastAsia="en-US" w:bidi="en-US"/>
        </w:rPr>
        <w:t xml:space="preserve">IEO will conduct periodic examinations on the impact and use of evaluations and in the extent to which they are informing management decision making as well as new programme and project design. Further guidance and required actions will be developed as needed based on the outcome of these examinations. </w:t>
      </w:r>
    </w:p>
    <w:p w14:paraId="73440E24" w14:textId="77777777" w:rsidR="008D3F1E" w:rsidRPr="00CB3794" w:rsidRDefault="008D3F1E" w:rsidP="008D3F1E">
      <w:pPr>
        <w:spacing w:after="0" w:line="240" w:lineRule="auto"/>
        <w:jc w:val="both"/>
        <w:rPr>
          <w:rFonts w:ascii="Times New Roman" w:eastAsia="Times New Roman" w:hAnsi="Times New Roman" w:cs="Times New Roman"/>
          <w:sz w:val="20"/>
          <w:szCs w:val="20"/>
          <w:lang w:val="en-AU" w:eastAsia="en-US" w:bidi="en-US"/>
        </w:rPr>
      </w:pPr>
    </w:p>
    <w:p w14:paraId="14DF804E" w14:textId="77777777" w:rsidR="008D3F1E" w:rsidRPr="00CB3794" w:rsidRDefault="008D3F1E" w:rsidP="008D3F1E">
      <w:pPr>
        <w:numPr>
          <w:ilvl w:val="0"/>
          <w:numId w:val="14"/>
        </w:numPr>
        <w:spacing w:after="0" w:line="240" w:lineRule="auto"/>
        <w:jc w:val="both"/>
        <w:rPr>
          <w:rFonts w:ascii="Times New Roman" w:eastAsia="Times New Roman" w:hAnsi="Times New Roman" w:cs="Times New Roman"/>
          <w:sz w:val="20"/>
          <w:szCs w:val="20"/>
          <w:lang w:val="en-AU" w:eastAsia="en-US" w:bidi="en-US"/>
        </w:rPr>
      </w:pPr>
      <w:r w:rsidRPr="00CB3794">
        <w:rPr>
          <w:rFonts w:ascii="Times New Roman" w:eastAsia="Times New Roman" w:hAnsi="Times New Roman" w:cs="Times New Roman"/>
          <w:b/>
          <w:bCs/>
          <w:sz w:val="20"/>
          <w:szCs w:val="20"/>
          <w:lang w:val="en-GB" w:eastAsia="en-US" w:bidi="en-US"/>
        </w:rPr>
        <w:t xml:space="preserve">Evaluation Awards (IEO, ongoing since 2021): </w:t>
      </w:r>
      <w:r w:rsidRPr="00CB3794">
        <w:rPr>
          <w:rFonts w:ascii="Times New Roman" w:eastAsia="Times New Roman,Batang" w:hAnsi="Times New Roman" w:cs="Times New Roman"/>
          <w:sz w:val="20"/>
          <w:szCs w:val="20"/>
          <w:lang w:val="en-GB" w:eastAsia="ko-KR" w:bidi="en-US"/>
        </w:rPr>
        <w:t>To promote the recognition and the use of high-quality decentralized evaluations, IEO launched the Evaluation Excellence Awards in 2021, which grant recognition to decentralized evaluations in three categories: outstanding evaluation; innovative evaluation; and gender-responsive evaluation.</w:t>
      </w:r>
    </w:p>
    <w:p w14:paraId="5D49E250" w14:textId="77777777" w:rsidR="008D3F1E" w:rsidRPr="00086FBB" w:rsidRDefault="008D3F1E" w:rsidP="008D3F1E">
      <w:pPr>
        <w:spacing w:after="0" w:line="240" w:lineRule="auto"/>
        <w:jc w:val="both"/>
        <w:rPr>
          <w:rFonts w:ascii="Times New Roman" w:eastAsia="Times New Roman,Batang" w:hAnsi="Times New Roman" w:cs="Times New Roman"/>
          <w:b/>
          <w:sz w:val="20"/>
          <w:szCs w:val="20"/>
          <w:lang w:eastAsia="ko-KR"/>
        </w:rPr>
      </w:pPr>
    </w:p>
    <w:p w14:paraId="767BF6D1" w14:textId="77777777" w:rsidR="008D3F1E" w:rsidRDefault="008D3F1E" w:rsidP="008D3F1E">
      <w:pPr>
        <w:rPr>
          <w:rFonts w:ascii="Times New Roman" w:eastAsia="Times New Roman,Batang" w:hAnsi="Times New Roman" w:cs="Times New Roman"/>
          <w:b/>
          <w:sz w:val="20"/>
          <w:szCs w:val="20"/>
          <w:lang w:eastAsia="ko-KR"/>
        </w:rPr>
      </w:pPr>
      <w:r>
        <w:rPr>
          <w:rFonts w:ascii="Times New Roman" w:eastAsia="Times New Roman,Batang" w:hAnsi="Times New Roman" w:cs="Times New Roman"/>
          <w:b/>
          <w:sz w:val="20"/>
          <w:szCs w:val="20"/>
          <w:lang w:eastAsia="ko-KR"/>
        </w:rPr>
        <w:br w:type="page"/>
      </w:r>
    </w:p>
    <w:p w14:paraId="0CB8B560" w14:textId="77777777" w:rsidR="008D3F1E" w:rsidRPr="006352E9" w:rsidRDefault="008D3F1E" w:rsidP="008D3F1E">
      <w:pPr>
        <w:spacing w:before="120" w:after="120"/>
        <w:jc w:val="center"/>
        <w:rPr>
          <w:rFonts w:ascii="Times New Roman" w:eastAsia="Times New Roman,Batang" w:hAnsi="Times New Roman" w:cs="Times New Roman"/>
          <w:b/>
          <w:lang w:eastAsia="ko-KR"/>
        </w:rPr>
      </w:pPr>
      <w:r w:rsidRPr="006352E9">
        <w:rPr>
          <w:rFonts w:ascii="Times New Roman" w:eastAsia="Times New Roman,Batang" w:hAnsi="Times New Roman" w:cs="Times New Roman"/>
          <w:b/>
          <w:lang w:eastAsia="ko-KR"/>
        </w:rPr>
        <w:lastRenderedPageBreak/>
        <w:t>ADDENDUM – I</w:t>
      </w:r>
      <w:r>
        <w:rPr>
          <w:rFonts w:ascii="Times New Roman" w:eastAsia="Times New Roman,Batang" w:hAnsi="Times New Roman" w:cs="Times New Roman"/>
          <w:b/>
          <w:lang w:eastAsia="ko-KR"/>
        </w:rPr>
        <w:t>V</w:t>
      </w:r>
    </w:p>
    <w:p w14:paraId="2512EAAF" w14:textId="77777777" w:rsidR="008D3F1E" w:rsidRPr="006352E9" w:rsidRDefault="008D3F1E" w:rsidP="008D3F1E">
      <w:pPr>
        <w:spacing w:before="120" w:after="120"/>
        <w:jc w:val="center"/>
        <w:rPr>
          <w:rFonts w:ascii="Times New Roman" w:eastAsia="Times New Roman,Batang" w:hAnsi="Times New Roman" w:cs="Times New Roman"/>
          <w:b/>
          <w:lang w:eastAsia="ko-KR"/>
        </w:rPr>
      </w:pPr>
      <w:r w:rsidRPr="006352E9">
        <w:rPr>
          <w:rFonts w:ascii="Times New Roman" w:eastAsia="Times New Roman,Batang" w:hAnsi="Times New Roman" w:cs="Times New Roman"/>
          <w:b/>
          <w:lang w:eastAsia="ko-KR"/>
        </w:rPr>
        <w:t xml:space="preserve">EVALUATIONS </w:t>
      </w:r>
      <w:r>
        <w:rPr>
          <w:rFonts w:ascii="Times New Roman" w:eastAsia="Times New Roman,Batang" w:hAnsi="Times New Roman" w:cs="Times New Roman"/>
          <w:b/>
          <w:lang w:eastAsia="ko-KR"/>
        </w:rPr>
        <w:t>FACTS AND FIGURES</w:t>
      </w:r>
    </w:p>
    <w:p w14:paraId="61C20800" w14:textId="77777777" w:rsidR="008D3F1E" w:rsidRPr="009F58AC" w:rsidRDefault="008D3F1E" w:rsidP="008D3F1E">
      <w:pPr>
        <w:spacing w:after="0" w:line="240" w:lineRule="auto"/>
        <w:jc w:val="center"/>
        <w:rPr>
          <w:rFonts w:ascii="Times New Roman" w:eastAsia="Times New Roman,Batang" w:hAnsi="Times New Roman" w:cs="Times New Roman"/>
          <w:b/>
          <w:sz w:val="14"/>
          <w:szCs w:val="14"/>
          <w:lang w:eastAsia="ko-KR"/>
        </w:rPr>
      </w:pPr>
    </w:p>
    <w:p w14:paraId="6BB9CC54" w14:textId="77777777" w:rsidR="008D3F1E" w:rsidRPr="009476D3" w:rsidRDefault="008D3F1E" w:rsidP="008D3F1E">
      <w:pPr>
        <w:spacing w:before="120" w:after="0" w:line="240" w:lineRule="auto"/>
        <w:jc w:val="center"/>
        <w:rPr>
          <w:rFonts w:ascii="Times New Roman" w:hAnsi="Times New Roman" w:cs="Times New Roman"/>
          <w:b/>
          <w:bCs/>
          <w:u w:val="single"/>
        </w:rPr>
      </w:pPr>
      <w:r>
        <w:rPr>
          <w:rFonts w:ascii="Times New Roman" w:hAnsi="Times New Roman" w:cs="Times New Roman"/>
          <w:b/>
          <w:bCs/>
        </w:rPr>
        <w:t xml:space="preserve">Table 1: </w:t>
      </w:r>
      <w:r w:rsidRPr="009476D3">
        <w:rPr>
          <w:rFonts w:ascii="Times New Roman" w:hAnsi="Times New Roman" w:cs="Times New Roman"/>
          <w:b/>
          <w:bCs/>
        </w:rPr>
        <w:t>Availability</w:t>
      </w:r>
      <w:r>
        <w:rPr>
          <w:rFonts w:ascii="Times New Roman" w:hAnsi="Times New Roman" w:cs="Times New Roman"/>
          <w:b/>
          <w:bCs/>
        </w:rPr>
        <w:t xml:space="preserve"> </w:t>
      </w:r>
      <w:r w:rsidRPr="009476D3">
        <w:rPr>
          <w:rFonts w:ascii="Times New Roman" w:hAnsi="Times New Roman" w:cs="Times New Roman"/>
          <w:b/>
          <w:bCs/>
        </w:rPr>
        <w:t>of 2021 ICPEs for CPDs to be approved in 2022</w:t>
      </w:r>
    </w:p>
    <w:p w14:paraId="51E094AC" w14:textId="77777777" w:rsidR="008D3F1E" w:rsidRDefault="008D3F1E" w:rsidP="008D3F1E">
      <w:pPr>
        <w:spacing w:after="0" w:line="240" w:lineRule="auto"/>
        <w:jc w:val="center"/>
        <w:rPr>
          <w:rFonts w:ascii="Times New Roman" w:eastAsia="Times New Roman,Batang" w:hAnsi="Times New Roman" w:cs="Times New Roman"/>
          <w:b/>
          <w:sz w:val="20"/>
          <w:szCs w:val="20"/>
          <w:lang w:eastAsia="ko-KR"/>
        </w:rPr>
      </w:pPr>
    </w:p>
    <w:tbl>
      <w:tblPr>
        <w:tblStyle w:val="TableGrid"/>
        <w:tblW w:w="9535" w:type="dxa"/>
        <w:tblLook w:val="04A0" w:firstRow="1" w:lastRow="0" w:firstColumn="1" w:lastColumn="0" w:noHBand="0" w:noVBand="1"/>
      </w:tblPr>
      <w:tblGrid>
        <w:gridCol w:w="1167"/>
        <w:gridCol w:w="3058"/>
        <w:gridCol w:w="3240"/>
        <w:gridCol w:w="2070"/>
      </w:tblGrid>
      <w:tr w:rsidR="008D3F1E" w:rsidRPr="00130822" w14:paraId="03C36A9C" w14:textId="77777777" w:rsidTr="00BC14F5">
        <w:trPr>
          <w:trHeight w:val="430"/>
        </w:trPr>
        <w:tc>
          <w:tcPr>
            <w:tcW w:w="1167" w:type="dxa"/>
            <w:shd w:val="clear" w:color="auto" w:fill="A3CEED" w:themeFill="accent6" w:themeFillTint="66"/>
          </w:tcPr>
          <w:p w14:paraId="2FB46287" w14:textId="77777777" w:rsidR="008D3F1E" w:rsidRPr="00294D0F" w:rsidRDefault="008D3F1E" w:rsidP="00A901FE">
            <w:pPr>
              <w:rPr>
                <w:rFonts w:ascii="Times New Roman" w:eastAsia="Times New Roman,Batang" w:hAnsi="Times New Roman" w:cs="Times New Roman"/>
                <w:b/>
                <w:lang w:eastAsia="ko-KR"/>
              </w:rPr>
            </w:pPr>
            <w:r w:rsidRPr="00294D0F">
              <w:rPr>
                <w:rFonts w:ascii="Times New Roman" w:eastAsia="Times New Roman,Batang" w:hAnsi="Times New Roman" w:cs="Times New Roman"/>
                <w:b/>
                <w:lang w:eastAsia="ko-KR"/>
              </w:rPr>
              <w:t>Region</w:t>
            </w:r>
          </w:p>
        </w:tc>
        <w:tc>
          <w:tcPr>
            <w:tcW w:w="3058" w:type="dxa"/>
            <w:shd w:val="clear" w:color="auto" w:fill="A3CEED" w:themeFill="accent6" w:themeFillTint="66"/>
          </w:tcPr>
          <w:p w14:paraId="363498EE" w14:textId="77777777" w:rsidR="008D3F1E" w:rsidRPr="00294D0F" w:rsidRDefault="008D3F1E" w:rsidP="00A901FE">
            <w:pPr>
              <w:rPr>
                <w:rFonts w:ascii="Times New Roman" w:eastAsia="Times New Roman,Batang" w:hAnsi="Times New Roman" w:cs="Times New Roman"/>
                <w:b/>
                <w:lang w:eastAsia="ko-KR"/>
              </w:rPr>
            </w:pPr>
            <w:r w:rsidRPr="00294D0F">
              <w:rPr>
                <w:rFonts w:ascii="Times New Roman" w:eastAsia="Times New Roman,Batang" w:hAnsi="Times New Roman" w:cs="Times New Roman"/>
                <w:b/>
                <w:lang w:eastAsia="ko-KR"/>
              </w:rPr>
              <w:t>Countr</w:t>
            </w:r>
            <w:r>
              <w:rPr>
                <w:rFonts w:ascii="Times New Roman" w:eastAsia="Times New Roman,Batang" w:hAnsi="Times New Roman" w:cs="Times New Roman"/>
                <w:b/>
                <w:lang w:eastAsia="ko-KR"/>
              </w:rPr>
              <w:t>ies</w:t>
            </w:r>
            <w:r w:rsidRPr="00294D0F">
              <w:rPr>
                <w:rFonts w:ascii="Times New Roman" w:eastAsia="Times New Roman,Batang" w:hAnsi="Times New Roman" w:cs="Times New Roman"/>
                <w:b/>
                <w:lang w:eastAsia="ko-KR"/>
              </w:rPr>
              <w:t xml:space="preserve"> with ICPEs completed in 2021</w:t>
            </w:r>
          </w:p>
        </w:tc>
        <w:tc>
          <w:tcPr>
            <w:tcW w:w="3240" w:type="dxa"/>
            <w:shd w:val="clear" w:color="auto" w:fill="A3CEED" w:themeFill="accent6" w:themeFillTint="66"/>
          </w:tcPr>
          <w:p w14:paraId="1ADBABAB" w14:textId="77777777" w:rsidR="008D3F1E" w:rsidRPr="00294D0F" w:rsidRDefault="008D3F1E" w:rsidP="00A901FE">
            <w:pPr>
              <w:rPr>
                <w:rFonts w:ascii="Times New Roman" w:eastAsia="Times New Roman,Batang" w:hAnsi="Times New Roman" w:cs="Times New Roman"/>
                <w:b/>
                <w:lang w:eastAsia="ko-KR"/>
              </w:rPr>
            </w:pPr>
            <w:r w:rsidRPr="00294D0F">
              <w:rPr>
                <w:rFonts w:ascii="Times New Roman" w:eastAsia="Times New Roman,Batang" w:hAnsi="Times New Roman" w:cs="Times New Roman"/>
                <w:b/>
                <w:lang w:eastAsia="ko-KR"/>
              </w:rPr>
              <w:t>Executive Board Session 2022 for approval of new CPDs</w:t>
            </w:r>
          </w:p>
        </w:tc>
        <w:tc>
          <w:tcPr>
            <w:tcW w:w="2070" w:type="dxa"/>
            <w:shd w:val="clear" w:color="auto" w:fill="A3CEED" w:themeFill="accent6" w:themeFillTint="66"/>
          </w:tcPr>
          <w:p w14:paraId="7855845A" w14:textId="77777777" w:rsidR="008D3F1E" w:rsidRPr="00294D0F" w:rsidRDefault="008D3F1E" w:rsidP="00A901FE">
            <w:pPr>
              <w:rPr>
                <w:rFonts w:ascii="Times New Roman" w:eastAsia="Times New Roman,Batang" w:hAnsi="Times New Roman" w:cs="Times New Roman"/>
                <w:b/>
                <w:lang w:eastAsia="ko-KR"/>
              </w:rPr>
            </w:pPr>
            <w:r w:rsidRPr="00294D0F">
              <w:rPr>
                <w:rFonts w:ascii="Times New Roman" w:eastAsia="Times New Roman,Batang" w:hAnsi="Times New Roman" w:cs="Times New Roman"/>
                <w:b/>
                <w:lang w:eastAsia="ko-KR"/>
              </w:rPr>
              <w:t>ICPE final report posted in ERC</w:t>
            </w:r>
            <w:r>
              <w:rPr>
                <w:rFonts w:ascii="Times New Roman" w:eastAsia="Times New Roman,Batang" w:hAnsi="Times New Roman" w:cs="Times New Roman"/>
                <w:b/>
                <w:lang w:eastAsia="ko-KR"/>
              </w:rPr>
              <w:t xml:space="preserve"> </w:t>
            </w:r>
          </w:p>
        </w:tc>
      </w:tr>
      <w:tr w:rsidR="008D3F1E" w:rsidRPr="00130822" w14:paraId="242818F2" w14:textId="77777777" w:rsidTr="00BC14F5">
        <w:trPr>
          <w:trHeight w:val="215"/>
        </w:trPr>
        <w:tc>
          <w:tcPr>
            <w:tcW w:w="1167" w:type="dxa"/>
            <w:vMerge w:val="restart"/>
          </w:tcPr>
          <w:p w14:paraId="7ADD8429" w14:textId="77777777" w:rsidR="008D3F1E" w:rsidRPr="001678BB" w:rsidRDefault="008D3F1E" w:rsidP="00A901FE">
            <w:pPr>
              <w:rPr>
                <w:rFonts w:ascii="Times New Roman" w:eastAsia="Times New Roman" w:hAnsi="Times New Roman" w:cs="Times New Roman"/>
                <w:color w:val="000000"/>
                <w:lang w:eastAsia="en-US"/>
              </w:rPr>
            </w:pPr>
            <w:r w:rsidRPr="001678BB">
              <w:rPr>
                <w:rFonts w:ascii="Times New Roman" w:eastAsia="Times New Roman" w:hAnsi="Times New Roman" w:cs="Times New Roman"/>
                <w:color w:val="000000"/>
                <w:lang w:eastAsia="en-US"/>
              </w:rPr>
              <w:t>RBA</w:t>
            </w:r>
          </w:p>
        </w:tc>
        <w:tc>
          <w:tcPr>
            <w:tcW w:w="3058" w:type="dxa"/>
          </w:tcPr>
          <w:p w14:paraId="1F242084"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Cape Verde</w:t>
            </w:r>
          </w:p>
        </w:tc>
        <w:tc>
          <w:tcPr>
            <w:tcW w:w="3240" w:type="dxa"/>
          </w:tcPr>
          <w:p w14:paraId="4800391A" w14:textId="77777777" w:rsidR="008D3F1E" w:rsidRPr="008C29B8" w:rsidRDefault="008D3F1E" w:rsidP="00A901FE">
            <w:pPr>
              <w:rPr>
                <w:rFonts w:ascii="Times New Roman" w:eastAsia="Times New Roman,Batang" w:hAnsi="Times New Roman" w:cs="Times New Roman"/>
                <w:sz w:val="20"/>
                <w:szCs w:val="20"/>
                <w:lang w:eastAsia="ko-KR"/>
              </w:rPr>
            </w:pPr>
          </w:p>
        </w:tc>
        <w:tc>
          <w:tcPr>
            <w:tcW w:w="2070" w:type="dxa"/>
          </w:tcPr>
          <w:p w14:paraId="4B9B696B" w14:textId="77777777" w:rsidR="008D3F1E" w:rsidRPr="008C29B8" w:rsidRDefault="008D3F1E" w:rsidP="00A901FE">
            <w:pPr>
              <w:rPr>
                <w:rFonts w:ascii="Times New Roman" w:eastAsia="Times New Roman" w:hAnsi="Times New Roman" w:cs="Times New Roman"/>
                <w:color w:val="000000"/>
                <w:lang w:eastAsia="en-US"/>
              </w:rPr>
            </w:pPr>
            <w:r w:rsidRPr="004360B9">
              <w:rPr>
                <w:rFonts w:ascii="Times New Roman" w:eastAsia="Times New Roman" w:hAnsi="Times New Roman" w:cs="Times New Roman"/>
                <w:color w:val="000000"/>
                <w:lang w:eastAsia="en-US"/>
              </w:rPr>
              <w:t>Not posted</w:t>
            </w:r>
          </w:p>
        </w:tc>
      </w:tr>
      <w:tr w:rsidR="008D3F1E" w:rsidRPr="00130822" w14:paraId="3BA8DCFB" w14:textId="77777777" w:rsidTr="00BC14F5">
        <w:trPr>
          <w:trHeight w:val="258"/>
        </w:trPr>
        <w:tc>
          <w:tcPr>
            <w:tcW w:w="1167" w:type="dxa"/>
            <w:vMerge/>
          </w:tcPr>
          <w:p w14:paraId="3151C50C" w14:textId="77777777" w:rsidR="008D3F1E" w:rsidRPr="001678BB" w:rsidRDefault="008D3F1E" w:rsidP="00A901FE">
            <w:pPr>
              <w:rPr>
                <w:rFonts w:ascii="Times New Roman" w:eastAsia="Times New Roman" w:hAnsi="Times New Roman" w:cs="Times New Roman"/>
                <w:color w:val="000000"/>
                <w:lang w:eastAsia="en-US"/>
              </w:rPr>
            </w:pPr>
          </w:p>
        </w:tc>
        <w:tc>
          <w:tcPr>
            <w:tcW w:w="3058" w:type="dxa"/>
            <w:shd w:val="clear" w:color="auto" w:fill="D0E6F6" w:themeFill="accent6" w:themeFillTint="33"/>
          </w:tcPr>
          <w:p w14:paraId="29011BA0"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Central African Republic</w:t>
            </w:r>
          </w:p>
        </w:tc>
        <w:tc>
          <w:tcPr>
            <w:tcW w:w="3240" w:type="dxa"/>
            <w:shd w:val="clear" w:color="auto" w:fill="D0E6F6" w:themeFill="accent6" w:themeFillTint="33"/>
          </w:tcPr>
          <w:p w14:paraId="2A8DA0CB" w14:textId="77777777" w:rsidR="008D3F1E" w:rsidRPr="008C29B8" w:rsidRDefault="008D3F1E" w:rsidP="00A901FE">
            <w:pPr>
              <w:rPr>
                <w:rFonts w:ascii="Times New Roman" w:eastAsia="Times New Roman" w:hAnsi="Times New Roman" w:cs="Times New Roman"/>
                <w:color w:val="000000"/>
                <w:lang w:eastAsia="en-US"/>
              </w:rPr>
            </w:pPr>
            <w:r w:rsidRPr="001678BB">
              <w:rPr>
                <w:rFonts w:ascii="Times New Roman" w:eastAsia="Times New Roman" w:hAnsi="Times New Roman" w:cs="Times New Roman"/>
                <w:color w:val="000000"/>
                <w:lang w:eastAsia="en-US"/>
              </w:rPr>
              <w:t>2nd Regular Session</w:t>
            </w:r>
            <w:r w:rsidRPr="008C29B8">
              <w:rPr>
                <w:rFonts w:ascii="Times New Roman" w:eastAsia="Times New Roman" w:hAnsi="Times New Roman" w:cs="Times New Roman"/>
                <w:color w:val="000000"/>
                <w:lang w:eastAsia="en-US"/>
              </w:rPr>
              <w:t xml:space="preserve"> 2022</w:t>
            </w:r>
          </w:p>
        </w:tc>
        <w:tc>
          <w:tcPr>
            <w:tcW w:w="2070" w:type="dxa"/>
            <w:shd w:val="clear" w:color="auto" w:fill="D0E6F6" w:themeFill="accent6" w:themeFillTint="33"/>
          </w:tcPr>
          <w:p w14:paraId="165E5328" w14:textId="77777777" w:rsidR="008D3F1E" w:rsidRPr="00294D0F" w:rsidRDefault="008D3F1E" w:rsidP="00A901FE">
            <w:pPr>
              <w:rPr>
                <w:rFonts w:ascii="Times New Roman" w:eastAsia="Times New Roman" w:hAnsi="Times New Roman" w:cs="Times New Roman"/>
                <w:b/>
                <w:bCs/>
                <w:color w:val="000000"/>
                <w:lang w:eastAsia="en-US"/>
              </w:rPr>
            </w:pPr>
            <w:r w:rsidRPr="00294D0F">
              <w:rPr>
                <w:rFonts w:ascii="Times New Roman" w:eastAsia="Times New Roman" w:hAnsi="Times New Roman" w:cs="Times New Roman"/>
                <w:b/>
                <w:bCs/>
                <w:color w:val="000000"/>
                <w:lang w:eastAsia="en-US"/>
              </w:rPr>
              <w:t xml:space="preserve">Not posted </w:t>
            </w:r>
            <w:r>
              <w:rPr>
                <w:rFonts w:ascii="Times New Roman" w:eastAsia="Times New Roman" w:hAnsi="Times New Roman" w:cs="Times New Roman"/>
                <w:b/>
                <w:bCs/>
                <w:color w:val="000000"/>
                <w:lang w:eastAsia="en-US"/>
              </w:rPr>
              <w:t>*</w:t>
            </w:r>
          </w:p>
        </w:tc>
      </w:tr>
      <w:tr w:rsidR="008D3F1E" w:rsidRPr="00130822" w14:paraId="16922DE7" w14:textId="77777777" w:rsidTr="00BC14F5">
        <w:trPr>
          <w:trHeight w:val="258"/>
        </w:trPr>
        <w:tc>
          <w:tcPr>
            <w:tcW w:w="1167" w:type="dxa"/>
            <w:vMerge/>
          </w:tcPr>
          <w:p w14:paraId="58324C8B" w14:textId="77777777" w:rsidR="008D3F1E" w:rsidRPr="001678BB" w:rsidRDefault="008D3F1E" w:rsidP="00A901FE">
            <w:pPr>
              <w:rPr>
                <w:rFonts w:ascii="Times New Roman" w:eastAsia="Times New Roman" w:hAnsi="Times New Roman" w:cs="Times New Roman"/>
                <w:color w:val="000000"/>
                <w:lang w:eastAsia="en-US"/>
              </w:rPr>
            </w:pPr>
          </w:p>
        </w:tc>
        <w:tc>
          <w:tcPr>
            <w:tcW w:w="3058" w:type="dxa"/>
          </w:tcPr>
          <w:p w14:paraId="1CAF55A7"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Chad</w:t>
            </w:r>
          </w:p>
        </w:tc>
        <w:tc>
          <w:tcPr>
            <w:tcW w:w="3240" w:type="dxa"/>
          </w:tcPr>
          <w:p w14:paraId="0D75A364" w14:textId="77777777" w:rsidR="008D3F1E" w:rsidRPr="008C29B8" w:rsidRDefault="008D3F1E" w:rsidP="00A901FE">
            <w:pPr>
              <w:rPr>
                <w:rFonts w:ascii="Times New Roman" w:eastAsia="Times New Roman" w:hAnsi="Times New Roman" w:cs="Times New Roman"/>
                <w:color w:val="000000"/>
                <w:lang w:eastAsia="en-US"/>
              </w:rPr>
            </w:pPr>
          </w:p>
        </w:tc>
        <w:tc>
          <w:tcPr>
            <w:tcW w:w="2070" w:type="dxa"/>
          </w:tcPr>
          <w:p w14:paraId="7509DDE2" w14:textId="77777777" w:rsidR="008D3F1E" w:rsidRPr="00294D0F" w:rsidRDefault="008D3F1E" w:rsidP="00A901FE">
            <w:pPr>
              <w:rPr>
                <w:rFonts w:ascii="Times New Roman" w:eastAsia="Times New Roman" w:hAnsi="Times New Roman" w:cs="Times New Roman"/>
                <w:color w:val="000000"/>
                <w:lang w:eastAsia="en-US"/>
              </w:rPr>
            </w:pPr>
            <w:r w:rsidRPr="00294D0F">
              <w:rPr>
                <w:rFonts w:ascii="Times New Roman" w:eastAsia="Times New Roman" w:hAnsi="Times New Roman" w:cs="Times New Roman"/>
                <w:color w:val="000000"/>
                <w:lang w:eastAsia="en-US"/>
              </w:rPr>
              <w:t>Posted</w:t>
            </w:r>
          </w:p>
        </w:tc>
      </w:tr>
      <w:tr w:rsidR="008D3F1E" w:rsidRPr="00130822" w14:paraId="080B4391" w14:textId="77777777" w:rsidTr="00BC14F5">
        <w:trPr>
          <w:trHeight w:val="244"/>
        </w:trPr>
        <w:tc>
          <w:tcPr>
            <w:tcW w:w="1167" w:type="dxa"/>
            <w:vMerge/>
          </w:tcPr>
          <w:p w14:paraId="00F7A1B5" w14:textId="77777777" w:rsidR="008D3F1E" w:rsidRPr="001678BB" w:rsidRDefault="008D3F1E" w:rsidP="00A901FE">
            <w:pPr>
              <w:rPr>
                <w:rFonts w:ascii="Times New Roman" w:eastAsia="Times New Roman" w:hAnsi="Times New Roman" w:cs="Times New Roman"/>
                <w:color w:val="000000"/>
                <w:lang w:eastAsia="en-US"/>
              </w:rPr>
            </w:pPr>
          </w:p>
        </w:tc>
        <w:tc>
          <w:tcPr>
            <w:tcW w:w="3058" w:type="dxa"/>
            <w:shd w:val="clear" w:color="auto" w:fill="D0E6F6" w:themeFill="accent6" w:themeFillTint="33"/>
          </w:tcPr>
          <w:p w14:paraId="3703455E"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Ghana</w:t>
            </w:r>
          </w:p>
        </w:tc>
        <w:tc>
          <w:tcPr>
            <w:tcW w:w="3240" w:type="dxa"/>
            <w:shd w:val="clear" w:color="auto" w:fill="D0E6F6" w:themeFill="accent6" w:themeFillTint="33"/>
          </w:tcPr>
          <w:p w14:paraId="1388EBDD" w14:textId="77777777" w:rsidR="008D3F1E" w:rsidRPr="008C29B8" w:rsidRDefault="008D3F1E" w:rsidP="00A901FE">
            <w:pPr>
              <w:rPr>
                <w:rFonts w:ascii="Times New Roman" w:eastAsia="Times New Roman,Batang" w:hAnsi="Times New Roman" w:cs="Times New Roman"/>
                <w:sz w:val="20"/>
                <w:szCs w:val="20"/>
                <w:lang w:eastAsia="ko-KR"/>
              </w:rPr>
            </w:pPr>
            <w:r w:rsidRPr="001678BB">
              <w:rPr>
                <w:rFonts w:ascii="Times New Roman" w:eastAsia="Times New Roman" w:hAnsi="Times New Roman" w:cs="Times New Roman"/>
                <w:color w:val="000000"/>
                <w:lang w:eastAsia="en-US"/>
              </w:rPr>
              <w:t>2nd Regular Session</w:t>
            </w:r>
            <w:r w:rsidRPr="008C29B8">
              <w:rPr>
                <w:rFonts w:ascii="Times New Roman" w:eastAsia="Times New Roman" w:hAnsi="Times New Roman" w:cs="Times New Roman"/>
                <w:color w:val="000000"/>
                <w:lang w:eastAsia="en-US"/>
              </w:rPr>
              <w:t xml:space="preserve"> 2022</w:t>
            </w:r>
          </w:p>
        </w:tc>
        <w:tc>
          <w:tcPr>
            <w:tcW w:w="2070" w:type="dxa"/>
            <w:shd w:val="clear" w:color="auto" w:fill="D0E6F6" w:themeFill="accent6" w:themeFillTint="33"/>
          </w:tcPr>
          <w:p w14:paraId="06CD2B85" w14:textId="77777777" w:rsidR="008D3F1E" w:rsidRPr="00294D0F" w:rsidRDefault="008D3F1E" w:rsidP="00A901FE">
            <w:pPr>
              <w:rPr>
                <w:rFonts w:ascii="Times New Roman" w:eastAsia="Times New Roman" w:hAnsi="Times New Roman" w:cs="Times New Roman"/>
                <w:color w:val="000000"/>
                <w:lang w:eastAsia="en-US"/>
              </w:rPr>
            </w:pPr>
            <w:r w:rsidRPr="00294D0F">
              <w:rPr>
                <w:rFonts w:ascii="Times New Roman" w:eastAsia="Times New Roman" w:hAnsi="Times New Roman" w:cs="Times New Roman"/>
                <w:color w:val="000000"/>
                <w:lang w:eastAsia="en-US"/>
              </w:rPr>
              <w:t>Posted</w:t>
            </w:r>
          </w:p>
        </w:tc>
      </w:tr>
      <w:tr w:rsidR="008D3F1E" w:rsidRPr="00130822" w14:paraId="1F1DB07B" w14:textId="77777777" w:rsidTr="00BC14F5">
        <w:trPr>
          <w:trHeight w:val="244"/>
        </w:trPr>
        <w:tc>
          <w:tcPr>
            <w:tcW w:w="1167" w:type="dxa"/>
            <w:vMerge/>
          </w:tcPr>
          <w:p w14:paraId="332BD8A2" w14:textId="77777777" w:rsidR="008D3F1E" w:rsidRPr="001678BB" w:rsidRDefault="008D3F1E" w:rsidP="00A901FE">
            <w:pPr>
              <w:rPr>
                <w:rFonts w:ascii="Times New Roman" w:eastAsia="Times New Roman" w:hAnsi="Times New Roman" w:cs="Times New Roman"/>
                <w:color w:val="000000"/>
                <w:lang w:eastAsia="en-US"/>
              </w:rPr>
            </w:pPr>
          </w:p>
        </w:tc>
        <w:tc>
          <w:tcPr>
            <w:tcW w:w="3058" w:type="dxa"/>
          </w:tcPr>
          <w:p w14:paraId="34229937"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Guinea</w:t>
            </w:r>
          </w:p>
        </w:tc>
        <w:tc>
          <w:tcPr>
            <w:tcW w:w="3240" w:type="dxa"/>
          </w:tcPr>
          <w:p w14:paraId="2E5CAF12" w14:textId="77777777" w:rsidR="008D3F1E" w:rsidRPr="008C29B8" w:rsidRDefault="008D3F1E" w:rsidP="00A901FE">
            <w:pPr>
              <w:rPr>
                <w:rFonts w:ascii="Times New Roman" w:eastAsia="Times New Roman" w:hAnsi="Times New Roman" w:cs="Times New Roman"/>
                <w:color w:val="000000"/>
                <w:lang w:eastAsia="en-US"/>
              </w:rPr>
            </w:pPr>
          </w:p>
        </w:tc>
        <w:tc>
          <w:tcPr>
            <w:tcW w:w="2070" w:type="dxa"/>
          </w:tcPr>
          <w:p w14:paraId="34B50215" w14:textId="77777777" w:rsidR="008D3F1E" w:rsidRPr="00294D0F" w:rsidRDefault="008D3F1E" w:rsidP="00A901FE">
            <w:pPr>
              <w:rPr>
                <w:rFonts w:ascii="Times New Roman" w:eastAsia="Times New Roman" w:hAnsi="Times New Roman" w:cs="Times New Roman"/>
                <w:color w:val="000000"/>
                <w:lang w:eastAsia="en-US"/>
              </w:rPr>
            </w:pPr>
            <w:r w:rsidRPr="004360B9">
              <w:rPr>
                <w:rFonts w:ascii="Times New Roman" w:eastAsia="Times New Roman" w:hAnsi="Times New Roman" w:cs="Times New Roman"/>
                <w:color w:val="000000"/>
                <w:lang w:eastAsia="en-US"/>
              </w:rPr>
              <w:t>Not posted</w:t>
            </w:r>
          </w:p>
        </w:tc>
      </w:tr>
      <w:tr w:rsidR="008D3F1E" w:rsidRPr="00130822" w14:paraId="17B56C54" w14:textId="77777777" w:rsidTr="00BC14F5">
        <w:trPr>
          <w:trHeight w:val="258"/>
        </w:trPr>
        <w:tc>
          <w:tcPr>
            <w:tcW w:w="1167" w:type="dxa"/>
            <w:vMerge/>
          </w:tcPr>
          <w:p w14:paraId="510811C9" w14:textId="77777777" w:rsidR="008D3F1E" w:rsidRPr="001678BB" w:rsidRDefault="008D3F1E" w:rsidP="00A901FE">
            <w:pPr>
              <w:rPr>
                <w:rFonts w:ascii="Times New Roman" w:eastAsia="Times New Roman" w:hAnsi="Times New Roman" w:cs="Times New Roman"/>
                <w:color w:val="000000"/>
                <w:lang w:eastAsia="en-US"/>
              </w:rPr>
            </w:pPr>
          </w:p>
        </w:tc>
        <w:tc>
          <w:tcPr>
            <w:tcW w:w="3058" w:type="dxa"/>
            <w:shd w:val="clear" w:color="auto" w:fill="D0E6F6" w:themeFill="accent6" w:themeFillTint="33"/>
          </w:tcPr>
          <w:p w14:paraId="3D9F2137"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Kenya</w:t>
            </w:r>
          </w:p>
        </w:tc>
        <w:tc>
          <w:tcPr>
            <w:tcW w:w="3240" w:type="dxa"/>
            <w:shd w:val="clear" w:color="auto" w:fill="D0E6F6" w:themeFill="accent6" w:themeFillTint="33"/>
          </w:tcPr>
          <w:p w14:paraId="1CCA029D" w14:textId="77777777" w:rsidR="008D3F1E" w:rsidRPr="008C29B8" w:rsidRDefault="008D3F1E" w:rsidP="00A901FE">
            <w:pPr>
              <w:rPr>
                <w:rFonts w:ascii="Times New Roman" w:eastAsia="Times New Roman,Batang" w:hAnsi="Times New Roman" w:cs="Times New Roman"/>
                <w:sz w:val="20"/>
                <w:szCs w:val="20"/>
                <w:lang w:eastAsia="ko-KR"/>
              </w:rPr>
            </w:pPr>
            <w:r w:rsidRPr="001678BB">
              <w:rPr>
                <w:rFonts w:ascii="Times New Roman" w:eastAsia="Times New Roman" w:hAnsi="Times New Roman" w:cs="Times New Roman"/>
                <w:color w:val="000000"/>
                <w:lang w:eastAsia="en-US"/>
              </w:rPr>
              <w:t>Annual</w:t>
            </w:r>
            <w:r w:rsidRPr="008C29B8">
              <w:rPr>
                <w:rFonts w:ascii="Times New Roman" w:eastAsia="Times New Roman" w:hAnsi="Times New Roman" w:cs="Times New Roman"/>
                <w:color w:val="000000"/>
                <w:lang w:eastAsia="en-US"/>
              </w:rPr>
              <w:t xml:space="preserve"> session 2022</w:t>
            </w:r>
          </w:p>
        </w:tc>
        <w:tc>
          <w:tcPr>
            <w:tcW w:w="2070" w:type="dxa"/>
            <w:shd w:val="clear" w:color="auto" w:fill="D0E6F6" w:themeFill="accent6" w:themeFillTint="33"/>
          </w:tcPr>
          <w:p w14:paraId="0CD30D64" w14:textId="77777777" w:rsidR="008D3F1E" w:rsidRPr="00294D0F" w:rsidRDefault="008D3F1E" w:rsidP="00A901FE">
            <w:pPr>
              <w:rPr>
                <w:rFonts w:ascii="Times New Roman" w:eastAsia="Times New Roman" w:hAnsi="Times New Roman" w:cs="Times New Roman"/>
                <w:b/>
                <w:bCs/>
                <w:color w:val="000000"/>
                <w:lang w:eastAsia="en-US"/>
              </w:rPr>
            </w:pPr>
            <w:r w:rsidRPr="00294D0F">
              <w:rPr>
                <w:rFonts w:ascii="Times New Roman" w:eastAsia="Times New Roman" w:hAnsi="Times New Roman" w:cs="Times New Roman"/>
                <w:b/>
                <w:bCs/>
                <w:color w:val="000000"/>
                <w:lang w:eastAsia="en-US"/>
              </w:rPr>
              <w:t xml:space="preserve">Not posted </w:t>
            </w:r>
            <w:r>
              <w:rPr>
                <w:rFonts w:ascii="Times New Roman" w:eastAsia="Times New Roman" w:hAnsi="Times New Roman" w:cs="Times New Roman"/>
                <w:b/>
                <w:bCs/>
                <w:color w:val="000000"/>
                <w:lang w:eastAsia="en-US"/>
              </w:rPr>
              <w:t>*</w:t>
            </w:r>
          </w:p>
        </w:tc>
      </w:tr>
      <w:tr w:rsidR="008D3F1E" w:rsidRPr="00130822" w14:paraId="5E0F8C51" w14:textId="77777777" w:rsidTr="00BC14F5">
        <w:trPr>
          <w:trHeight w:val="258"/>
        </w:trPr>
        <w:tc>
          <w:tcPr>
            <w:tcW w:w="1167" w:type="dxa"/>
            <w:vMerge/>
          </w:tcPr>
          <w:p w14:paraId="2609926E" w14:textId="77777777" w:rsidR="008D3F1E" w:rsidRPr="001678BB" w:rsidRDefault="008D3F1E" w:rsidP="00A901FE">
            <w:pPr>
              <w:rPr>
                <w:rFonts w:ascii="Times New Roman" w:eastAsia="Times New Roman" w:hAnsi="Times New Roman" w:cs="Times New Roman"/>
                <w:color w:val="000000"/>
                <w:lang w:eastAsia="en-US"/>
              </w:rPr>
            </w:pPr>
          </w:p>
        </w:tc>
        <w:tc>
          <w:tcPr>
            <w:tcW w:w="3058" w:type="dxa"/>
            <w:shd w:val="clear" w:color="auto" w:fill="D0E6F6" w:themeFill="accent6" w:themeFillTint="33"/>
          </w:tcPr>
          <w:p w14:paraId="58435D7A"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Nigeria</w:t>
            </w:r>
          </w:p>
        </w:tc>
        <w:tc>
          <w:tcPr>
            <w:tcW w:w="3240" w:type="dxa"/>
            <w:shd w:val="clear" w:color="auto" w:fill="D0E6F6" w:themeFill="accent6" w:themeFillTint="33"/>
          </w:tcPr>
          <w:p w14:paraId="2B65F128" w14:textId="77777777" w:rsidR="008D3F1E" w:rsidRPr="008C29B8" w:rsidRDefault="008D3F1E" w:rsidP="00A901FE">
            <w:pPr>
              <w:rPr>
                <w:rFonts w:ascii="Times New Roman" w:eastAsia="Times New Roman,Batang" w:hAnsi="Times New Roman" w:cs="Times New Roman"/>
                <w:sz w:val="20"/>
                <w:szCs w:val="20"/>
                <w:lang w:eastAsia="ko-KR"/>
              </w:rPr>
            </w:pPr>
            <w:r w:rsidRPr="001678BB">
              <w:rPr>
                <w:rFonts w:ascii="Times New Roman" w:eastAsia="Times New Roman" w:hAnsi="Times New Roman" w:cs="Times New Roman"/>
                <w:color w:val="000000"/>
                <w:lang w:eastAsia="en-US"/>
              </w:rPr>
              <w:t>2nd Regular Session</w:t>
            </w:r>
            <w:r w:rsidRPr="008C29B8">
              <w:rPr>
                <w:rFonts w:ascii="Times New Roman" w:eastAsia="Times New Roman" w:hAnsi="Times New Roman" w:cs="Times New Roman"/>
                <w:color w:val="000000"/>
                <w:lang w:eastAsia="en-US"/>
              </w:rPr>
              <w:t xml:space="preserve"> 2022</w:t>
            </w:r>
          </w:p>
        </w:tc>
        <w:tc>
          <w:tcPr>
            <w:tcW w:w="2070" w:type="dxa"/>
            <w:shd w:val="clear" w:color="auto" w:fill="D0E6F6" w:themeFill="accent6" w:themeFillTint="33"/>
          </w:tcPr>
          <w:p w14:paraId="00E14B39" w14:textId="77777777" w:rsidR="008D3F1E" w:rsidRPr="00294D0F" w:rsidRDefault="008D3F1E" w:rsidP="00A901FE">
            <w:pPr>
              <w:rPr>
                <w:rFonts w:ascii="Times New Roman" w:eastAsia="Times New Roman" w:hAnsi="Times New Roman" w:cs="Times New Roman"/>
                <w:color w:val="000000"/>
                <w:lang w:eastAsia="en-US"/>
              </w:rPr>
            </w:pPr>
            <w:r w:rsidRPr="00294D0F">
              <w:rPr>
                <w:rFonts w:ascii="Times New Roman" w:eastAsia="Times New Roman" w:hAnsi="Times New Roman" w:cs="Times New Roman"/>
                <w:color w:val="000000"/>
                <w:lang w:eastAsia="en-US"/>
              </w:rPr>
              <w:t>Posted</w:t>
            </w:r>
          </w:p>
        </w:tc>
      </w:tr>
      <w:tr w:rsidR="008D3F1E" w:rsidRPr="00130822" w14:paraId="6FE2F782" w14:textId="77777777" w:rsidTr="00BC14F5">
        <w:trPr>
          <w:trHeight w:val="258"/>
        </w:trPr>
        <w:tc>
          <w:tcPr>
            <w:tcW w:w="1167" w:type="dxa"/>
            <w:vMerge/>
          </w:tcPr>
          <w:p w14:paraId="1586EBA0" w14:textId="77777777" w:rsidR="008D3F1E" w:rsidRPr="001678BB" w:rsidRDefault="008D3F1E" w:rsidP="00A901FE">
            <w:pPr>
              <w:rPr>
                <w:rFonts w:ascii="Times New Roman" w:eastAsia="Times New Roman" w:hAnsi="Times New Roman" w:cs="Times New Roman"/>
                <w:color w:val="000000"/>
                <w:lang w:eastAsia="en-US"/>
              </w:rPr>
            </w:pPr>
          </w:p>
        </w:tc>
        <w:tc>
          <w:tcPr>
            <w:tcW w:w="3058" w:type="dxa"/>
            <w:shd w:val="clear" w:color="auto" w:fill="D0E6F6" w:themeFill="accent6" w:themeFillTint="33"/>
          </w:tcPr>
          <w:p w14:paraId="740A2327"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South Sudan</w:t>
            </w:r>
          </w:p>
        </w:tc>
        <w:tc>
          <w:tcPr>
            <w:tcW w:w="3240" w:type="dxa"/>
            <w:shd w:val="clear" w:color="auto" w:fill="D0E6F6" w:themeFill="accent6" w:themeFillTint="33"/>
          </w:tcPr>
          <w:p w14:paraId="43F37AB1" w14:textId="77777777" w:rsidR="008D3F1E" w:rsidRPr="008C29B8" w:rsidRDefault="008D3F1E" w:rsidP="00A901FE">
            <w:pPr>
              <w:rPr>
                <w:rFonts w:ascii="Times New Roman" w:eastAsia="Times New Roman,Batang" w:hAnsi="Times New Roman" w:cs="Times New Roman"/>
                <w:sz w:val="20"/>
                <w:szCs w:val="20"/>
                <w:lang w:eastAsia="ko-KR"/>
              </w:rPr>
            </w:pPr>
            <w:r w:rsidRPr="001678BB">
              <w:rPr>
                <w:rFonts w:ascii="Times New Roman" w:eastAsia="Times New Roman" w:hAnsi="Times New Roman" w:cs="Times New Roman"/>
                <w:color w:val="000000"/>
                <w:lang w:eastAsia="en-US"/>
              </w:rPr>
              <w:t>2nd Regular Session</w:t>
            </w:r>
            <w:r w:rsidRPr="008C29B8">
              <w:rPr>
                <w:rFonts w:ascii="Times New Roman" w:eastAsia="Times New Roman" w:hAnsi="Times New Roman" w:cs="Times New Roman"/>
                <w:color w:val="000000"/>
                <w:lang w:eastAsia="en-US"/>
              </w:rPr>
              <w:t xml:space="preserve"> 2022</w:t>
            </w:r>
          </w:p>
        </w:tc>
        <w:tc>
          <w:tcPr>
            <w:tcW w:w="2070" w:type="dxa"/>
            <w:shd w:val="clear" w:color="auto" w:fill="D0E6F6" w:themeFill="accent6" w:themeFillTint="33"/>
          </w:tcPr>
          <w:p w14:paraId="6EB6A4F3" w14:textId="77777777" w:rsidR="008D3F1E" w:rsidRPr="00294D0F" w:rsidRDefault="008D3F1E" w:rsidP="00A901FE">
            <w:pPr>
              <w:rPr>
                <w:rFonts w:ascii="Times New Roman" w:eastAsia="Times New Roman" w:hAnsi="Times New Roman" w:cs="Times New Roman"/>
                <w:b/>
                <w:bCs/>
                <w:color w:val="000000"/>
                <w:lang w:eastAsia="en-US"/>
              </w:rPr>
            </w:pPr>
            <w:r w:rsidRPr="00294D0F">
              <w:rPr>
                <w:rFonts w:ascii="Times New Roman" w:eastAsia="Times New Roman" w:hAnsi="Times New Roman" w:cs="Times New Roman"/>
                <w:b/>
                <w:bCs/>
                <w:color w:val="000000"/>
                <w:lang w:eastAsia="en-US"/>
              </w:rPr>
              <w:t xml:space="preserve">Not posted </w:t>
            </w:r>
            <w:r>
              <w:rPr>
                <w:rFonts w:ascii="Times New Roman" w:eastAsia="Times New Roman" w:hAnsi="Times New Roman" w:cs="Times New Roman"/>
                <w:b/>
                <w:bCs/>
                <w:color w:val="000000"/>
                <w:lang w:eastAsia="en-US"/>
              </w:rPr>
              <w:t>*</w:t>
            </w:r>
          </w:p>
        </w:tc>
      </w:tr>
      <w:tr w:rsidR="008D3F1E" w:rsidRPr="00130822" w14:paraId="09AEDB48" w14:textId="77777777" w:rsidTr="00BC14F5">
        <w:trPr>
          <w:trHeight w:val="258"/>
        </w:trPr>
        <w:tc>
          <w:tcPr>
            <w:tcW w:w="1167" w:type="dxa"/>
          </w:tcPr>
          <w:p w14:paraId="713E3288" w14:textId="77777777" w:rsidR="008D3F1E" w:rsidRPr="001678BB" w:rsidRDefault="008D3F1E" w:rsidP="00A901FE">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RBAS</w:t>
            </w:r>
          </w:p>
        </w:tc>
        <w:tc>
          <w:tcPr>
            <w:tcW w:w="3058" w:type="dxa"/>
          </w:tcPr>
          <w:p w14:paraId="7A25726E"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Egypt</w:t>
            </w:r>
          </w:p>
        </w:tc>
        <w:tc>
          <w:tcPr>
            <w:tcW w:w="3240" w:type="dxa"/>
          </w:tcPr>
          <w:p w14:paraId="09A3DCE0" w14:textId="77777777" w:rsidR="008D3F1E" w:rsidRPr="008C29B8" w:rsidRDefault="008D3F1E" w:rsidP="00A901FE">
            <w:pPr>
              <w:rPr>
                <w:rFonts w:ascii="Times New Roman" w:eastAsia="Times New Roman" w:hAnsi="Times New Roman" w:cs="Times New Roman"/>
                <w:color w:val="000000"/>
                <w:lang w:eastAsia="en-US"/>
              </w:rPr>
            </w:pPr>
          </w:p>
        </w:tc>
        <w:tc>
          <w:tcPr>
            <w:tcW w:w="2070" w:type="dxa"/>
          </w:tcPr>
          <w:p w14:paraId="6E5D3B0A" w14:textId="77777777" w:rsidR="008D3F1E" w:rsidRPr="00294D0F" w:rsidRDefault="008D3F1E" w:rsidP="00A901FE">
            <w:pPr>
              <w:rPr>
                <w:rFonts w:ascii="Times New Roman" w:eastAsia="Times New Roman" w:hAnsi="Times New Roman" w:cs="Times New Roman"/>
                <w:color w:val="000000"/>
                <w:lang w:eastAsia="en-US"/>
              </w:rPr>
            </w:pPr>
            <w:r w:rsidRPr="004360B9">
              <w:rPr>
                <w:rFonts w:ascii="Times New Roman" w:eastAsia="Times New Roman" w:hAnsi="Times New Roman" w:cs="Times New Roman"/>
                <w:color w:val="000000"/>
                <w:lang w:eastAsia="en-US"/>
              </w:rPr>
              <w:t>Not posted</w:t>
            </w:r>
          </w:p>
        </w:tc>
      </w:tr>
      <w:tr w:rsidR="008D3F1E" w:rsidRPr="00130822" w14:paraId="3427B148" w14:textId="77777777" w:rsidTr="00BC14F5">
        <w:trPr>
          <w:trHeight w:val="229"/>
        </w:trPr>
        <w:tc>
          <w:tcPr>
            <w:tcW w:w="1167" w:type="dxa"/>
            <w:vMerge w:val="restart"/>
          </w:tcPr>
          <w:p w14:paraId="141F1B52" w14:textId="77777777" w:rsidR="008D3F1E" w:rsidRPr="001678BB" w:rsidRDefault="008D3F1E" w:rsidP="00A901FE">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RBAP</w:t>
            </w:r>
          </w:p>
        </w:tc>
        <w:tc>
          <w:tcPr>
            <w:tcW w:w="3058" w:type="dxa"/>
            <w:shd w:val="clear" w:color="auto" w:fill="D0E6F6" w:themeFill="accent6" w:themeFillTint="33"/>
          </w:tcPr>
          <w:p w14:paraId="0867DB2E"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India</w:t>
            </w:r>
          </w:p>
        </w:tc>
        <w:tc>
          <w:tcPr>
            <w:tcW w:w="3240" w:type="dxa"/>
            <w:shd w:val="clear" w:color="auto" w:fill="D0E6F6" w:themeFill="accent6" w:themeFillTint="33"/>
          </w:tcPr>
          <w:p w14:paraId="135024A4" w14:textId="77777777" w:rsidR="008D3F1E" w:rsidRPr="008C29B8" w:rsidRDefault="008D3F1E" w:rsidP="00A901FE">
            <w:pPr>
              <w:rPr>
                <w:rFonts w:ascii="Times New Roman" w:eastAsia="Times New Roman,Batang" w:hAnsi="Times New Roman" w:cs="Times New Roman"/>
                <w:sz w:val="20"/>
                <w:szCs w:val="20"/>
                <w:lang w:eastAsia="ko-KR"/>
              </w:rPr>
            </w:pPr>
            <w:r w:rsidRPr="001678BB">
              <w:rPr>
                <w:rFonts w:ascii="Times New Roman" w:eastAsia="Times New Roman" w:hAnsi="Times New Roman" w:cs="Times New Roman"/>
                <w:color w:val="000000"/>
                <w:lang w:eastAsia="en-US"/>
              </w:rPr>
              <w:t>2nd Regular Session</w:t>
            </w:r>
            <w:r w:rsidRPr="008C29B8">
              <w:rPr>
                <w:rFonts w:ascii="Times New Roman" w:eastAsia="Times New Roman" w:hAnsi="Times New Roman" w:cs="Times New Roman"/>
                <w:color w:val="000000"/>
                <w:lang w:eastAsia="en-US"/>
              </w:rPr>
              <w:t xml:space="preserve"> 2022</w:t>
            </w:r>
          </w:p>
        </w:tc>
        <w:tc>
          <w:tcPr>
            <w:tcW w:w="2070" w:type="dxa"/>
            <w:shd w:val="clear" w:color="auto" w:fill="D0E6F6" w:themeFill="accent6" w:themeFillTint="33"/>
          </w:tcPr>
          <w:p w14:paraId="049A7283" w14:textId="77777777" w:rsidR="008D3F1E" w:rsidRPr="00294D0F" w:rsidRDefault="008D3F1E" w:rsidP="00A901FE">
            <w:pPr>
              <w:rPr>
                <w:rFonts w:ascii="Times New Roman" w:eastAsia="Times New Roman" w:hAnsi="Times New Roman" w:cs="Times New Roman"/>
                <w:b/>
                <w:bCs/>
                <w:color w:val="000000"/>
                <w:lang w:eastAsia="en-US"/>
              </w:rPr>
            </w:pPr>
            <w:r w:rsidRPr="00294D0F">
              <w:rPr>
                <w:rFonts w:ascii="Times New Roman" w:eastAsia="Times New Roman" w:hAnsi="Times New Roman" w:cs="Times New Roman"/>
                <w:b/>
                <w:bCs/>
                <w:color w:val="000000"/>
                <w:lang w:eastAsia="en-US"/>
              </w:rPr>
              <w:t xml:space="preserve">Not posted </w:t>
            </w:r>
            <w:r>
              <w:rPr>
                <w:rFonts w:ascii="Times New Roman" w:eastAsia="Times New Roman" w:hAnsi="Times New Roman" w:cs="Times New Roman"/>
                <w:b/>
                <w:bCs/>
                <w:color w:val="000000"/>
                <w:lang w:eastAsia="en-US"/>
              </w:rPr>
              <w:t>*</w:t>
            </w:r>
          </w:p>
        </w:tc>
      </w:tr>
      <w:tr w:rsidR="008D3F1E" w:rsidRPr="00130822" w14:paraId="69CCA6D9" w14:textId="77777777" w:rsidTr="00BC14F5">
        <w:trPr>
          <w:trHeight w:val="244"/>
        </w:trPr>
        <w:tc>
          <w:tcPr>
            <w:tcW w:w="1167" w:type="dxa"/>
            <w:vMerge/>
          </w:tcPr>
          <w:p w14:paraId="71C8D8A4" w14:textId="77777777" w:rsidR="008D3F1E" w:rsidRDefault="008D3F1E" w:rsidP="00A901FE">
            <w:pPr>
              <w:rPr>
                <w:rFonts w:ascii="Times New Roman" w:eastAsia="Times New Roman" w:hAnsi="Times New Roman" w:cs="Times New Roman"/>
                <w:color w:val="000000"/>
                <w:lang w:eastAsia="en-US"/>
              </w:rPr>
            </w:pPr>
          </w:p>
        </w:tc>
        <w:tc>
          <w:tcPr>
            <w:tcW w:w="3058" w:type="dxa"/>
          </w:tcPr>
          <w:p w14:paraId="412C0257"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Nepal</w:t>
            </w:r>
          </w:p>
        </w:tc>
        <w:tc>
          <w:tcPr>
            <w:tcW w:w="3240" w:type="dxa"/>
          </w:tcPr>
          <w:p w14:paraId="506299B3" w14:textId="77777777" w:rsidR="008D3F1E" w:rsidRPr="008C29B8" w:rsidRDefault="008D3F1E" w:rsidP="00A901FE">
            <w:pPr>
              <w:rPr>
                <w:rFonts w:ascii="Times New Roman" w:eastAsia="Times New Roman" w:hAnsi="Times New Roman" w:cs="Times New Roman"/>
                <w:color w:val="000000"/>
                <w:lang w:eastAsia="en-US"/>
              </w:rPr>
            </w:pPr>
          </w:p>
        </w:tc>
        <w:tc>
          <w:tcPr>
            <w:tcW w:w="2070" w:type="dxa"/>
          </w:tcPr>
          <w:p w14:paraId="71AF368D" w14:textId="77777777" w:rsidR="008D3F1E" w:rsidRPr="00294D0F" w:rsidRDefault="008D3F1E" w:rsidP="00A901FE">
            <w:pPr>
              <w:rPr>
                <w:rFonts w:ascii="Times New Roman" w:eastAsia="Times New Roman" w:hAnsi="Times New Roman" w:cs="Times New Roman"/>
                <w:color w:val="000000"/>
                <w:lang w:eastAsia="en-US"/>
              </w:rPr>
            </w:pPr>
            <w:r w:rsidRPr="004360B9">
              <w:rPr>
                <w:rFonts w:ascii="Times New Roman" w:eastAsia="Times New Roman" w:hAnsi="Times New Roman" w:cs="Times New Roman"/>
                <w:color w:val="000000"/>
                <w:lang w:eastAsia="en-US"/>
              </w:rPr>
              <w:t xml:space="preserve">Not posted </w:t>
            </w:r>
          </w:p>
        </w:tc>
      </w:tr>
      <w:tr w:rsidR="008D3F1E" w:rsidRPr="00130822" w14:paraId="15BB2AE8" w14:textId="77777777" w:rsidTr="00BC14F5">
        <w:trPr>
          <w:trHeight w:val="152"/>
        </w:trPr>
        <w:tc>
          <w:tcPr>
            <w:tcW w:w="1167" w:type="dxa"/>
            <w:vMerge/>
          </w:tcPr>
          <w:p w14:paraId="6B29B4C3" w14:textId="77777777" w:rsidR="008D3F1E" w:rsidRDefault="008D3F1E" w:rsidP="00A901FE">
            <w:pPr>
              <w:rPr>
                <w:rFonts w:ascii="Times New Roman" w:eastAsia="Times New Roman" w:hAnsi="Times New Roman" w:cs="Times New Roman"/>
                <w:color w:val="000000"/>
                <w:lang w:eastAsia="en-US"/>
              </w:rPr>
            </w:pPr>
          </w:p>
        </w:tc>
        <w:tc>
          <w:tcPr>
            <w:tcW w:w="3058" w:type="dxa"/>
          </w:tcPr>
          <w:p w14:paraId="3A088631"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 xml:space="preserve">Pacific </w:t>
            </w:r>
            <w:r>
              <w:rPr>
                <w:rFonts w:ascii="Times New Roman" w:eastAsia="Times New Roman" w:hAnsi="Times New Roman" w:cs="Times New Roman"/>
                <w:color w:val="000000"/>
                <w:lang w:eastAsia="en-US"/>
              </w:rPr>
              <w:t>MCO</w:t>
            </w:r>
          </w:p>
        </w:tc>
        <w:tc>
          <w:tcPr>
            <w:tcW w:w="3240" w:type="dxa"/>
          </w:tcPr>
          <w:p w14:paraId="7410C842" w14:textId="77777777" w:rsidR="008D3F1E" w:rsidRPr="008C29B8" w:rsidRDefault="008D3F1E" w:rsidP="00A901FE">
            <w:pPr>
              <w:rPr>
                <w:rFonts w:ascii="Times New Roman" w:eastAsia="Times New Roman" w:hAnsi="Times New Roman" w:cs="Times New Roman"/>
                <w:color w:val="000000"/>
                <w:lang w:eastAsia="en-US"/>
              </w:rPr>
            </w:pPr>
          </w:p>
        </w:tc>
        <w:tc>
          <w:tcPr>
            <w:tcW w:w="2070" w:type="dxa"/>
          </w:tcPr>
          <w:p w14:paraId="42DF909A" w14:textId="77777777" w:rsidR="008D3F1E" w:rsidRPr="00294D0F" w:rsidRDefault="008D3F1E" w:rsidP="00A901FE">
            <w:pPr>
              <w:rPr>
                <w:rFonts w:ascii="Times New Roman" w:eastAsia="Times New Roman" w:hAnsi="Times New Roman" w:cs="Times New Roman"/>
                <w:color w:val="000000"/>
                <w:lang w:eastAsia="en-US"/>
              </w:rPr>
            </w:pPr>
            <w:r w:rsidRPr="004360B9">
              <w:rPr>
                <w:rFonts w:ascii="Times New Roman" w:eastAsia="Times New Roman" w:hAnsi="Times New Roman" w:cs="Times New Roman"/>
                <w:color w:val="000000"/>
                <w:lang w:eastAsia="en-US"/>
              </w:rPr>
              <w:t xml:space="preserve">Not posted </w:t>
            </w:r>
          </w:p>
        </w:tc>
      </w:tr>
      <w:tr w:rsidR="008D3F1E" w:rsidRPr="00130822" w14:paraId="4007E7AA" w14:textId="77777777" w:rsidTr="00BC14F5">
        <w:trPr>
          <w:trHeight w:val="244"/>
        </w:trPr>
        <w:tc>
          <w:tcPr>
            <w:tcW w:w="1167" w:type="dxa"/>
            <w:vMerge w:val="restart"/>
          </w:tcPr>
          <w:p w14:paraId="4869BA48" w14:textId="77777777" w:rsidR="008D3F1E" w:rsidRPr="001678BB" w:rsidRDefault="008D3F1E" w:rsidP="00A901FE">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RBEC</w:t>
            </w:r>
          </w:p>
        </w:tc>
        <w:tc>
          <w:tcPr>
            <w:tcW w:w="3058" w:type="dxa"/>
            <w:shd w:val="clear" w:color="auto" w:fill="D0E6F6" w:themeFill="accent6" w:themeFillTint="33"/>
          </w:tcPr>
          <w:p w14:paraId="1B1C383F"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Moldova</w:t>
            </w:r>
          </w:p>
        </w:tc>
        <w:tc>
          <w:tcPr>
            <w:tcW w:w="3240" w:type="dxa"/>
            <w:shd w:val="clear" w:color="auto" w:fill="D0E6F6" w:themeFill="accent6" w:themeFillTint="33"/>
          </w:tcPr>
          <w:p w14:paraId="24A6856E" w14:textId="77777777" w:rsidR="008D3F1E" w:rsidRPr="008C29B8" w:rsidRDefault="008D3F1E" w:rsidP="00A901FE">
            <w:pPr>
              <w:rPr>
                <w:rFonts w:ascii="Times New Roman" w:eastAsia="Times New Roman" w:hAnsi="Times New Roman" w:cs="Times New Roman"/>
                <w:color w:val="000000"/>
                <w:lang w:eastAsia="en-US"/>
              </w:rPr>
            </w:pPr>
            <w:r w:rsidRPr="001678BB">
              <w:rPr>
                <w:rFonts w:ascii="Times New Roman" w:eastAsia="Times New Roman" w:hAnsi="Times New Roman" w:cs="Times New Roman"/>
                <w:color w:val="000000"/>
                <w:lang w:eastAsia="en-US"/>
              </w:rPr>
              <w:t>2nd Regular Session</w:t>
            </w:r>
            <w:r w:rsidRPr="008C29B8">
              <w:rPr>
                <w:rFonts w:ascii="Times New Roman" w:eastAsia="Times New Roman" w:hAnsi="Times New Roman" w:cs="Times New Roman"/>
                <w:color w:val="000000"/>
                <w:lang w:eastAsia="en-US"/>
              </w:rPr>
              <w:t xml:space="preserve"> 2022</w:t>
            </w:r>
          </w:p>
        </w:tc>
        <w:tc>
          <w:tcPr>
            <w:tcW w:w="2070" w:type="dxa"/>
            <w:shd w:val="clear" w:color="auto" w:fill="D0E6F6" w:themeFill="accent6" w:themeFillTint="33"/>
          </w:tcPr>
          <w:p w14:paraId="23599DD0" w14:textId="77777777" w:rsidR="008D3F1E" w:rsidRPr="00294D0F" w:rsidRDefault="008D3F1E" w:rsidP="00A901FE">
            <w:pPr>
              <w:rPr>
                <w:rFonts w:ascii="Times New Roman" w:eastAsia="Times New Roman" w:hAnsi="Times New Roman" w:cs="Times New Roman"/>
                <w:color w:val="000000"/>
                <w:lang w:eastAsia="en-US"/>
              </w:rPr>
            </w:pPr>
            <w:r w:rsidRPr="00294D0F">
              <w:rPr>
                <w:rFonts w:ascii="Times New Roman" w:eastAsia="Times New Roman" w:hAnsi="Times New Roman" w:cs="Times New Roman"/>
                <w:color w:val="000000"/>
                <w:lang w:eastAsia="en-US"/>
              </w:rPr>
              <w:t>Posted</w:t>
            </w:r>
          </w:p>
        </w:tc>
      </w:tr>
      <w:tr w:rsidR="008D3F1E" w:rsidRPr="00130822" w14:paraId="49E1CFE1" w14:textId="77777777" w:rsidTr="00BC14F5">
        <w:trPr>
          <w:trHeight w:val="258"/>
        </w:trPr>
        <w:tc>
          <w:tcPr>
            <w:tcW w:w="1167" w:type="dxa"/>
            <w:vMerge/>
          </w:tcPr>
          <w:p w14:paraId="0A4F39F4" w14:textId="77777777" w:rsidR="008D3F1E" w:rsidRPr="001678BB" w:rsidRDefault="008D3F1E" w:rsidP="00A901FE">
            <w:pPr>
              <w:rPr>
                <w:rFonts w:ascii="Times New Roman" w:eastAsia="Times New Roman" w:hAnsi="Times New Roman" w:cs="Times New Roman"/>
                <w:color w:val="000000"/>
                <w:lang w:eastAsia="en-US"/>
              </w:rPr>
            </w:pPr>
          </w:p>
        </w:tc>
        <w:tc>
          <w:tcPr>
            <w:tcW w:w="3058" w:type="dxa"/>
            <w:shd w:val="clear" w:color="auto" w:fill="D0E6F6" w:themeFill="accent6" w:themeFillTint="33"/>
          </w:tcPr>
          <w:p w14:paraId="1C6F0D46"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Ukraine</w:t>
            </w:r>
          </w:p>
        </w:tc>
        <w:tc>
          <w:tcPr>
            <w:tcW w:w="3240" w:type="dxa"/>
            <w:shd w:val="clear" w:color="auto" w:fill="D0E6F6" w:themeFill="accent6" w:themeFillTint="33"/>
          </w:tcPr>
          <w:p w14:paraId="6B5D02C8" w14:textId="77777777" w:rsidR="008D3F1E" w:rsidRPr="008C29B8" w:rsidRDefault="008D3F1E" w:rsidP="00A901FE">
            <w:pPr>
              <w:rPr>
                <w:rFonts w:ascii="Times New Roman" w:hAnsi="Times New Roman" w:cs="Times New Roman"/>
              </w:rPr>
            </w:pPr>
            <w:r w:rsidRPr="001678BB">
              <w:rPr>
                <w:rFonts w:ascii="Times New Roman" w:eastAsia="Times New Roman" w:hAnsi="Times New Roman" w:cs="Times New Roman"/>
                <w:color w:val="000000"/>
                <w:lang w:eastAsia="en-US"/>
              </w:rPr>
              <w:t>2nd Regular Session</w:t>
            </w:r>
            <w:r w:rsidRPr="008C29B8">
              <w:rPr>
                <w:rFonts w:ascii="Times New Roman" w:eastAsia="Times New Roman" w:hAnsi="Times New Roman" w:cs="Times New Roman"/>
                <w:color w:val="000000"/>
                <w:lang w:eastAsia="en-US"/>
              </w:rPr>
              <w:t xml:space="preserve"> 2022</w:t>
            </w:r>
          </w:p>
        </w:tc>
        <w:tc>
          <w:tcPr>
            <w:tcW w:w="2070" w:type="dxa"/>
            <w:shd w:val="clear" w:color="auto" w:fill="D0E6F6" w:themeFill="accent6" w:themeFillTint="33"/>
          </w:tcPr>
          <w:p w14:paraId="6A409004" w14:textId="77777777" w:rsidR="008D3F1E" w:rsidRPr="00294D0F" w:rsidRDefault="008D3F1E" w:rsidP="00A901FE">
            <w:pPr>
              <w:rPr>
                <w:rFonts w:ascii="Times New Roman" w:eastAsia="Times New Roman" w:hAnsi="Times New Roman" w:cs="Times New Roman"/>
                <w:b/>
                <w:bCs/>
                <w:color w:val="000000"/>
                <w:lang w:eastAsia="en-US"/>
              </w:rPr>
            </w:pPr>
            <w:r w:rsidRPr="00294D0F">
              <w:rPr>
                <w:rFonts w:ascii="Times New Roman" w:eastAsia="Times New Roman" w:hAnsi="Times New Roman" w:cs="Times New Roman"/>
                <w:b/>
                <w:bCs/>
                <w:color w:val="000000"/>
                <w:lang w:eastAsia="en-US"/>
              </w:rPr>
              <w:t xml:space="preserve">Not posted </w:t>
            </w:r>
            <w:r>
              <w:rPr>
                <w:rFonts w:ascii="Times New Roman" w:eastAsia="Times New Roman" w:hAnsi="Times New Roman" w:cs="Times New Roman"/>
                <w:b/>
                <w:bCs/>
                <w:color w:val="000000"/>
                <w:lang w:eastAsia="en-US"/>
              </w:rPr>
              <w:t>*</w:t>
            </w:r>
          </w:p>
        </w:tc>
      </w:tr>
      <w:tr w:rsidR="008D3F1E" w:rsidRPr="00130822" w14:paraId="4825279C" w14:textId="77777777" w:rsidTr="00BC14F5">
        <w:trPr>
          <w:trHeight w:val="229"/>
        </w:trPr>
        <w:tc>
          <w:tcPr>
            <w:tcW w:w="1167" w:type="dxa"/>
            <w:vMerge w:val="restart"/>
          </w:tcPr>
          <w:p w14:paraId="76F0D030" w14:textId="77777777" w:rsidR="008D3F1E" w:rsidRPr="001678BB" w:rsidRDefault="008D3F1E" w:rsidP="00A901FE">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RBLAC</w:t>
            </w:r>
          </w:p>
        </w:tc>
        <w:tc>
          <w:tcPr>
            <w:tcW w:w="3058" w:type="dxa"/>
          </w:tcPr>
          <w:p w14:paraId="0F6FBF65"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Bolivia</w:t>
            </w:r>
          </w:p>
        </w:tc>
        <w:tc>
          <w:tcPr>
            <w:tcW w:w="3240" w:type="dxa"/>
          </w:tcPr>
          <w:p w14:paraId="4D0E4634" w14:textId="77777777" w:rsidR="008D3F1E" w:rsidRPr="008C29B8" w:rsidRDefault="008D3F1E" w:rsidP="00A901FE">
            <w:pPr>
              <w:rPr>
                <w:rFonts w:ascii="Times New Roman" w:eastAsia="Times New Roman" w:hAnsi="Times New Roman" w:cs="Times New Roman"/>
                <w:color w:val="000000"/>
                <w:lang w:eastAsia="en-US"/>
              </w:rPr>
            </w:pPr>
          </w:p>
        </w:tc>
        <w:tc>
          <w:tcPr>
            <w:tcW w:w="2070" w:type="dxa"/>
          </w:tcPr>
          <w:p w14:paraId="37A821CB" w14:textId="77777777" w:rsidR="008D3F1E" w:rsidRPr="00294D0F" w:rsidRDefault="008D3F1E" w:rsidP="00A901FE">
            <w:pPr>
              <w:rPr>
                <w:rFonts w:ascii="Times New Roman" w:eastAsia="Times New Roman" w:hAnsi="Times New Roman" w:cs="Times New Roman"/>
                <w:color w:val="000000"/>
                <w:lang w:eastAsia="en-US"/>
              </w:rPr>
            </w:pPr>
            <w:r w:rsidRPr="004360B9">
              <w:rPr>
                <w:rFonts w:ascii="Times New Roman" w:eastAsia="Times New Roman" w:hAnsi="Times New Roman" w:cs="Times New Roman"/>
                <w:color w:val="000000"/>
                <w:lang w:eastAsia="en-US"/>
              </w:rPr>
              <w:t>Not posted</w:t>
            </w:r>
          </w:p>
        </w:tc>
      </w:tr>
      <w:tr w:rsidR="008D3F1E" w:rsidRPr="00130822" w14:paraId="0CE6AB8E" w14:textId="77777777" w:rsidTr="00BC14F5">
        <w:trPr>
          <w:trHeight w:val="258"/>
        </w:trPr>
        <w:tc>
          <w:tcPr>
            <w:tcW w:w="1167" w:type="dxa"/>
            <w:vMerge/>
          </w:tcPr>
          <w:p w14:paraId="546D74B8" w14:textId="77777777" w:rsidR="008D3F1E" w:rsidRDefault="008D3F1E" w:rsidP="00A901FE">
            <w:pPr>
              <w:rPr>
                <w:rFonts w:ascii="Times New Roman" w:eastAsia="Times New Roman" w:hAnsi="Times New Roman" w:cs="Times New Roman"/>
                <w:color w:val="000000"/>
                <w:lang w:eastAsia="en-US"/>
              </w:rPr>
            </w:pPr>
          </w:p>
        </w:tc>
        <w:tc>
          <w:tcPr>
            <w:tcW w:w="3058" w:type="dxa"/>
          </w:tcPr>
          <w:p w14:paraId="0623AA03"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Brazil</w:t>
            </w:r>
          </w:p>
        </w:tc>
        <w:tc>
          <w:tcPr>
            <w:tcW w:w="3240" w:type="dxa"/>
          </w:tcPr>
          <w:p w14:paraId="213DEF89" w14:textId="77777777" w:rsidR="008D3F1E" w:rsidRPr="008C29B8" w:rsidRDefault="008D3F1E" w:rsidP="00A901FE">
            <w:pPr>
              <w:rPr>
                <w:rFonts w:ascii="Times New Roman" w:eastAsia="Times New Roman" w:hAnsi="Times New Roman" w:cs="Times New Roman"/>
                <w:color w:val="000000"/>
                <w:lang w:eastAsia="en-US"/>
              </w:rPr>
            </w:pPr>
          </w:p>
        </w:tc>
        <w:tc>
          <w:tcPr>
            <w:tcW w:w="2070" w:type="dxa"/>
          </w:tcPr>
          <w:p w14:paraId="601B2852" w14:textId="77777777" w:rsidR="008D3F1E" w:rsidRPr="00294D0F" w:rsidRDefault="008D3F1E" w:rsidP="00A901FE">
            <w:pPr>
              <w:rPr>
                <w:rFonts w:ascii="Times New Roman" w:eastAsia="Times New Roman" w:hAnsi="Times New Roman" w:cs="Times New Roman"/>
                <w:color w:val="000000"/>
                <w:lang w:eastAsia="en-US"/>
              </w:rPr>
            </w:pPr>
            <w:r w:rsidRPr="00294D0F">
              <w:rPr>
                <w:rFonts w:ascii="Times New Roman" w:eastAsia="Times New Roman" w:hAnsi="Times New Roman" w:cs="Times New Roman"/>
                <w:color w:val="000000"/>
                <w:lang w:eastAsia="en-US"/>
              </w:rPr>
              <w:t>Posted</w:t>
            </w:r>
          </w:p>
        </w:tc>
      </w:tr>
      <w:tr w:rsidR="008D3F1E" w:rsidRPr="00130822" w14:paraId="74FAD225" w14:textId="77777777" w:rsidTr="00BC14F5">
        <w:trPr>
          <w:trHeight w:val="244"/>
        </w:trPr>
        <w:tc>
          <w:tcPr>
            <w:tcW w:w="1167" w:type="dxa"/>
            <w:vMerge/>
          </w:tcPr>
          <w:p w14:paraId="0850314B" w14:textId="77777777" w:rsidR="008D3F1E" w:rsidRDefault="008D3F1E" w:rsidP="00A901FE">
            <w:pPr>
              <w:rPr>
                <w:rFonts w:ascii="Times New Roman" w:eastAsia="Times New Roman" w:hAnsi="Times New Roman" w:cs="Times New Roman"/>
                <w:color w:val="000000"/>
                <w:lang w:eastAsia="en-US"/>
              </w:rPr>
            </w:pPr>
          </w:p>
        </w:tc>
        <w:tc>
          <w:tcPr>
            <w:tcW w:w="3058" w:type="dxa"/>
          </w:tcPr>
          <w:p w14:paraId="077FC166"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Ecuador</w:t>
            </w:r>
          </w:p>
        </w:tc>
        <w:tc>
          <w:tcPr>
            <w:tcW w:w="3240" w:type="dxa"/>
          </w:tcPr>
          <w:p w14:paraId="4B2B0D8B" w14:textId="77777777" w:rsidR="008D3F1E" w:rsidRPr="008C29B8" w:rsidRDefault="008D3F1E" w:rsidP="00A901FE">
            <w:pPr>
              <w:rPr>
                <w:rFonts w:ascii="Times New Roman" w:eastAsia="Times New Roman" w:hAnsi="Times New Roman" w:cs="Times New Roman"/>
                <w:color w:val="000000"/>
                <w:lang w:eastAsia="en-US"/>
              </w:rPr>
            </w:pPr>
          </w:p>
        </w:tc>
        <w:tc>
          <w:tcPr>
            <w:tcW w:w="2070" w:type="dxa"/>
          </w:tcPr>
          <w:p w14:paraId="4DB35CC5" w14:textId="77777777" w:rsidR="008D3F1E" w:rsidRPr="00294D0F" w:rsidRDefault="008D3F1E" w:rsidP="00A901FE">
            <w:pPr>
              <w:rPr>
                <w:rFonts w:ascii="Times New Roman" w:eastAsia="Times New Roman" w:hAnsi="Times New Roman" w:cs="Times New Roman"/>
                <w:color w:val="000000"/>
                <w:lang w:eastAsia="en-US"/>
              </w:rPr>
            </w:pPr>
            <w:r w:rsidRPr="00294D0F">
              <w:rPr>
                <w:rFonts w:ascii="Times New Roman" w:eastAsia="Times New Roman" w:hAnsi="Times New Roman" w:cs="Times New Roman"/>
                <w:color w:val="000000"/>
                <w:lang w:eastAsia="en-US"/>
              </w:rPr>
              <w:t>Posted</w:t>
            </w:r>
          </w:p>
        </w:tc>
      </w:tr>
      <w:tr w:rsidR="008D3F1E" w:rsidRPr="00130822" w14:paraId="738E29DD" w14:textId="77777777" w:rsidTr="00BC14F5">
        <w:trPr>
          <w:trHeight w:val="258"/>
        </w:trPr>
        <w:tc>
          <w:tcPr>
            <w:tcW w:w="1167" w:type="dxa"/>
            <w:vMerge/>
          </w:tcPr>
          <w:p w14:paraId="555CDAD0" w14:textId="77777777" w:rsidR="008D3F1E" w:rsidRDefault="008D3F1E" w:rsidP="00A901FE">
            <w:pPr>
              <w:rPr>
                <w:rFonts w:ascii="Times New Roman" w:eastAsia="Times New Roman" w:hAnsi="Times New Roman" w:cs="Times New Roman"/>
                <w:color w:val="000000"/>
                <w:lang w:eastAsia="en-US"/>
              </w:rPr>
            </w:pPr>
          </w:p>
        </w:tc>
        <w:tc>
          <w:tcPr>
            <w:tcW w:w="3058" w:type="dxa"/>
            <w:shd w:val="clear" w:color="auto" w:fill="D0E6F6" w:themeFill="accent6" w:themeFillTint="33"/>
          </w:tcPr>
          <w:p w14:paraId="664343B0"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Honduras</w:t>
            </w:r>
          </w:p>
        </w:tc>
        <w:tc>
          <w:tcPr>
            <w:tcW w:w="3240" w:type="dxa"/>
            <w:shd w:val="clear" w:color="auto" w:fill="D0E6F6" w:themeFill="accent6" w:themeFillTint="33"/>
          </w:tcPr>
          <w:p w14:paraId="3D88A6E1" w14:textId="77777777" w:rsidR="008D3F1E" w:rsidRPr="008C29B8" w:rsidRDefault="008D3F1E" w:rsidP="00A901FE">
            <w:pPr>
              <w:rPr>
                <w:rFonts w:ascii="Times New Roman" w:eastAsia="Times New Roman" w:hAnsi="Times New Roman" w:cs="Times New Roman"/>
                <w:color w:val="000000"/>
                <w:lang w:eastAsia="en-US"/>
              </w:rPr>
            </w:pPr>
            <w:r w:rsidRPr="001678BB">
              <w:rPr>
                <w:rFonts w:ascii="Times New Roman" w:eastAsia="Times New Roman" w:hAnsi="Times New Roman" w:cs="Times New Roman"/>
                <w:color w:val="000000"/>
                <w:lang w:eastAsia="en-US"/>
              </w:rPr>
              <w:t>1st Regular Session</w:t>
            </w:r>
            <w:r w:rsidRPr="008C29B8">
              <w:rPr>
                <w:rFonts w:ascii="Times New Roman" w:eastAsia="Times New Roman" w:hAnsi="Times New Roman" w:cs="Times New Roman"/>
                <w:color w:val="000000"/>
                <w:lang w:eastAsia="en-US"/>
              </w:rPr>
              <w:t xml:space="preserve"> 2022</w:t>
            </w:r>
            <w:r>
              <w:rPr>
                <w:rFonts w:ascii="Times New Roman" w:eastAsia="Times New Roman" w:hAnsi="Times New Roman" w:cs="Times New Roman"/>
                <w:color w:val="000000"/>
                <w:lang w:eastAsia="en-US"/>
              </w:rPr>
              <w:t xml:space="preserve"> (Approved)</w:t>
            </w:r>
          </w:p>
        </w:tc>
        <w:tc>
          <w:tcPr>
            <w:tcW w:w="2070" w:type="dxa"/>
            <w:shd w:val="clear" w:color="auto" w:fill="D0E6F6" w:themeFill="accent6" w:themeFillTint="33"/>
          </w:tcPr>
          <w:p w14:paraId="3E76EDD0" w14:textId="77777777" w:rsidR="008D3F1E" w:rsidRPr="00294D0F" w:rsidRDefault="008D3F1E" w:rsidP="00A901FE">
            <w:pPr>
              <w:rPr>
                <w:rFonts w:ascii="Times New Roman" w:eastAsia="Times New Roman" w:hAnsi="Times New Roman" w:cs="Times New Roman"/>
                <w:color w:val="000000"/>
                <w:lang w:eastAsia="en-US"/>
              </w:rPr>
            </w:pPr>
            <w:r w:rsidRPr="00294D0F">
              <w:rPr>
                <w:rFonts w:ascii="Times New Roman" w:eastAsia="Times New Roman" w:hAnsi="Times New Roman" w:cs="Times New Roman"/>
                <w:color w:val="000000"/>
                <w:lang w:eastAsia="en-US"/>
              </w:rPr>
              <w:t>Posted</w:t>
            </w:r>
          </w:p>
        </w:tc>
      </w:tr>
      <w:tr w:rsidR="008D3F1E" w:rsidRPr="00130822" w14:paraId="4FAE0B53" w14:textId="77777777" w:rsidTr="00BC14F5">
        <w:trPr>
          <w:trHeight w:val="244"/>
        </w:trPr>
        <w:tc>
          <w:tcPr>
            <w:tcW w:w="1167" w:type="dxa"/>
            <w:vMerge/>
          </w:tcPr>
          <w:p w14:paraId="2FE8F34E" w14:textId="77777777" w:rsidR="008D3F1E" w:rsidRPr="001678BB" w:rsidRDefault="008D3F1E" w:rsidP="00A901FE">
            <w:pPr>
              <w:rPr>
                <w:rFonts w:ascii="Times New Roman" w:eastAsia="Times New Roman" w:hAnsi="Times New Roman" w:cs="Times New Roman"/>
                <w:color w:val="000000"/>
                <w:lang w:eastAsia="en-US"/>
              </w:rPr>
            </w:pPr>
          </w:p>
        </w:tc>
        <w:tc>
          <w:tcPr>
            <w:tcW w:w="3058" w:type="dxa"/>
            <w:shd w:val="clear" w:color="auto" w:fill="D0E6F6" w:themeFill="accent6" w:themeFillTint="33"/>
          </w:tcPr>
          <w:p w14:paraId="16CAC018" w14:textId="77777777" w:rsidR="008D3F1E" w:rsidRPr="008C29B8" w:rsidRDefault="008D3F1E" w:rsidP="008D3F1E">
            <w:pPr>
              <w:pStyle w:val="ListParagraph"/>
              <w:numPr>
                <w:ilvl w:val="0"/>
                <w:numId w:val="24"/>
              </w:numPr>
              <w:ind w:left="436" w:hanging="436"/>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Peru</w:t>
            </w:r>
          </w:p>
        </w:tc>
        <w:tc>
          <w:tcPr>
            <w:tcW w:w="3240" w:type="dxa"/>
            <w:shd w:val="clear" w:color="auto" w:fill="D0E6F6" w:themeFill="accent6" w:themeFillTint="33"/>
          </w:tcPr>
          <w:p w14:paraId="7B381A81" w14:textId="77777777" w:rsidR="008D3F1E" w:rsidRPr="008C29B8" w:rsidRDefault="008D3F1E" w:rsidP="00A901FE">
            <w:pPr>
              <w:rPr>
                <w:rFonts w:ascii="Times New Roman" w:hAnsi="Times New Roman" w:cs="Times New Roman"/>
              </w:rPr>
            </w:pPr>
            <w:r w:rsidRPr="001678BB">
              <w:rPr>
                <w:rFonts w:ascii="Times New Roman" w:eastAsia="Times New Roman" w:hAnsi="Times New Roman" w:cs="Times New Roman"/>
                <w:color w:val="000000"/>
                <w:lang w:eastAsia="en-US"/>
              </w:rPr>
              <w:t>1st Regular Session</w:t>
            </w:r>
            <w:r w:rsidRPr="008C29B8">
              <w:rPr>
                <w:rFonts w:ascii="Times New Roman" w:eastAsia="Times New Roman" w:hAnsi="Times New Roman" w:cs="Times New Roman"/>
                <w:color w:val="000000"/>
                <w:lang w:eastAsia="en-US"/>
              </w:rPr>
              <w:t xml:space="preserve"> 2022</w:t>
            </w:r>
            <w:r>
              <w:rPr>
                <w:rFonts w:ascii="Times New Roman" w:eastAsia="Times New Roman" w:hAnsi="Times New Roman" w:cs="Times New Roman"/>
                <w:color w:val="000000"/>
                <w:lang w:eastAsia="en-US"/>
              </w:rPr>
              <w:t xml:space="preserve"> (Approved)</w:t>
            </w:r>
          </w:p>
        </w:tc>
        <w:tc>
          <w:tcPr>
            <w:tcW w:w="2070" w:type="dxa"/>
            <w:shd w:val="clear" w:color="auto" w:fill="D0E6F6" w:themeFill="accent6" w:themeFillTint="33"/>
          </w:tcPr>
          <w:p w14:paraId="325DB323" w14:textId="77777777" w:rsidR="008D3F1E" w:rsidRPr="008C29B8" w:rsidRDefault="008D3F1E" w:rsidP="00A901FE">
            <w:pPr>
              <w:rPr>
                <w:rFonts w:ascii="Times New Roman" w:eastAsia="Times New Roman" w:hAnsi="Times New Roman" w:cs="Times New Roman"/>
                <w:color w:val="000000"/>
                <w:lang w:eastAsia="en-US"/>
              </w:rPr>
            </w:pPr>
            <w:r w:rsidRPr="008C29B8">
              <w:rPr>
                <w:rFonts w:ascii="Times New Roman" w:eastAsia="Times New Roman" w:hAnsi="Times New Roman" w:cs="Times New Roman"/>
                <w:color w:val="000000"/>
                <w:lang w:eastAsia="en-US"/>
              </w:rPr>
              <w:t>Posted</w:t>
            </w:r>
          </w:p>
        </w:tc>
      </w:tr>
      <w:tr w:rsidR="008D3F1E" w:rsidRPr="00130822" w14:paraId="474B0E26" w14:textId="77777777" w:rsidTr="00BC14F5">
        <w:trPr>
          <w:trHeight w:val="244"/>
        </w:trPr>
        <w:tc>
          <w:tcPr>
            <w:tcW w:w="4225" w:type="dxa"/>
            <w:gridSpan w:val="2"/>
            <w:shd w:val="clear" w:color="auto" w:fill="A3CEED" w:themeFill="accent6" w:themeFillTint="66"/>
          </w:tcPr>
          <w:p w14:paraId="62F53F2D" w14:textId="77777777" w:rsidR="008D3F1E" w:rsidRPr="005401A8" w:rsidRDefault="008D3F1E" w:rsidP="00A901FE">
            <w:pPr>
              <w:pStyle w:val="ListParagraph"/>
              <w:ind w:left="436"/>
              <w:jc w:val="center"/>
              <w:rPr>
                <w:rFonts w:ascii="Times New Roman" w:eastAsia="Times New Roman" w:hAnsi="Times New Roman" w:cs="Times New Roman"/>
                <w:b/>
                <w:bCs/>
                <w:color w:val="000000"/>
                <w:lang w:eastAsia="en-US"/>
              </w:rPr>
            </w:pPr>
            <w:r w:rsidRPr="005401A8">
              <w:rPr>
                <w:rFonts w:ascii="Times New Roman" w:eastAsia="Times New Roman" w:hAnsi="Times New Roman" w:cs="Times New Roman"/>
                <w:b/>
                <w:bCs/>
                <w:color w:val="000000"/>
                <w:lang w:eastAsia="en-US"/>
              </w:rPr>
              <w:t>Total</w:t>
            </w:r>
          </w:p>
        </w:tc>
        <w:tc>
          <w:tcPr>
            <w:tcW w:w="3240" w:type="dxa"/>
            <w:shd w:val="clear" w:color="auto" w:fill="A3CEED" w:themeFill="accent6" w:themeFillTint="66"/>
          </w:tcPr>
          <w:p w14:paraId="75857AE2" w14:textId="77777777" w:rsidR="008D3F1E" w:rsidRPr="005401A8" w:rsidRDefault="008D3F1E" w:rsidP="00A901FE">
            <w:pP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10 new CPDs (with 2021 ICPEs) for approval in 2022</w:t>
            </w:r>
          </w:p>
        </w:tc>
        <w:tc>
          <w:tcPr>
            <w:tcW w:w="2070" w:type="dxa"/>
            <w:shd w:val="clear" w:color="auto" w:fill="A3CEED" w:themeFill="accent6" w:themeFillTint="66"/>
          </w:tcPr>
          <w:p w14:paraId="1CC832A1" w14:textId="77777777" w:rsidR="008D3F1E" w:rsidRPr="005401A8" w:rsidRDefault="008D3F1E" w:rsidP="00A901FE">
            <w:pP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Only 8 out of 19 ICPEs are posted by March 2022</w:t>
            </w:r>
          </w:p>
        </w:tc>
      </w:tr>
      <w:tr w:rsidR="008D3F1E" w:rsidRPr="00130822" w14:paraId="06E7A732" w14:textId="77777777" w:rsidTr="00A901FE">
        <w:trPr>
          <w:trHeight w:val="244"/>
        </w:trPr>
        <w:tc>
          <w:tcPr>
            <w:tcW w:w="9535" w:type="dxa"/>
            <w:gridSpan w:val="4"/>
            <w:shd w:val="clear" w:color="auto" w:fill="FFFFFF" w:themeFill="background1"/>
          </w:tcPr>
          <w:p w14:paraId="256AA278" w14:textId="77777777" w:rsidR="008D3F1E" w:rsidRPr="005D3C2F" w:rsidRDefault="008D3F1E" w:rsidP="00A901FE">
            <w:pPr>
              <w:spacing w:before="120" w:after="120"/>
              <w:rPr>
                <w:rFonts w:ascii="Times New Roman" w:eastAsia="Times New Roman" w:hAnsi="Times New Roman" w:cs="Times New Roman"/>
                <w:color w:val="000000"/>
                <w:sz w:val="20"/>
                <w:szCs w:val="20"/>
                <w:lang w:eastAsia="en-US"/>
              </w:rPr>
            </w:pPr>
            <w:r w:rsidRPr="00F41C1B">
              <w:rPr>
                <w:rFonts w:ascii="Times New Roman" w:eastAsia="Times New Roman" w:hAnsi="Times New Roman" w:cs="Times New Roman"/>
                <w:b/>
                <w:bCs/>
                <w:color w:val="000000"/>
                <w:sz w:val="20"/>
                <w:szCs w:val="20"/>
                <w:lang w:eastAsia="en-US"/>
              </w:rPr>
              <w:t>Note</w:t>
            </w:r>
            <w:r w:rsidRPr="005D3C2F">
              <w:rPr>
                <w:rFonts w:ascii="Times New Roman" w:eastAsia="Times New Roman" w:hAnsi="Times New Roman" w:cs="Times New Roman"/>
                <w:color w:val="000000"/>
                <w:sz w:val="20"/>
                <w:szCs w:val="20"/>
                <w:lang w:eastAsia="en-US"/>
              </w:rPr>
              <w:t>:</w:t>
            </w:r>
            <w:r>
              <w:rPr>
                <w:rFonts w:ascii="Times New Roman" w:eastAsia="Times New Roman" w:hAnsi="Times New Roman" w:cs="Times New Roman"/>
                <w:color w:val="000000"/>
                <w:sz w:val="20"/>
                <w:szCs w:val="20"/>
                <w:lang w:eastAsia="en-US"/>
              </w:rPr>
              <w:t xml:space="preserve"> *</w:t>
            </w:r>
            <w:r w:rsidRPr="005D3C2F">
              <w:rPr>
                <w:rFonts w:ascii="Times New Roman" w:eastAsia="Times New Roman" w:hAnsi="Times New Roman" w:cs="Times New Roman"/>
                <w:color w:val="000000"/>
                <w:sz w:val="20"/>
                <w:szCs w:val="20"/>
                <w:lang w:eastAsia="en-US"/>
              </w:rPr>
              <w:t xml:space="preserve"> 10 </w:t>
            </w:r>
            <w:r>
              <w:rPr>
                <w:rFonts w:ascii="Times New Roman" w:eastAsia="Times New Roman" w:hAnsi="Times New Roman" w:cs="Times New Roman"/>
                <w:color w:val="000000"/>
                <w:sz w:val="20"/>
                <w:szCs w:val="20"/>
                <w:lang w:eastAsia="en-US"/>
              </w:rPr>
              <w:t xml:space="preserve">out of 19 ICPE countries are submitting new CPDs for approval in 2022. Out of those ICPE countries, 5 countries ICPEs aren’t posted in ERC. </w:t>
            </w:r>
          </w:p>
        </w:tc>
      </w:tr>
    </w:tbl>
    <w:p w14:paraId="0005D53A" w14:textId="77777777" w:rsidR="008D3F1E" w:rsidRDefault="008D3F1E" w:rsidP="008D3F1E">
      <w:pPr>
        <w:spacing w:after="0" w:line="240" w:lineRule="auto"/>
        <w:jc w:val="center"/>
        <w:rPr>
          <w:rFonts w:ascii="Times New Roman" w:eastAsia="Times New Roman,Batang" w:hAnsi="Times New Roman" w:cs="Times New Roman"/>
          <w:b/>
          <w:sz w:val="20"/>
          <w:szCs w:val="20"/>
          <w:lang w:eastAsia="ko-KR"/>
        </w:rPr>
      </w:pPr>
    </w:p>
    <w:p w14:paraId="7AD1BE0D" w14:textId="77777777" w:rsidR="008D3F1E" w:rsidRDefault="008D3F1E" w:rsidP="008D3F1E">
      <w:pPr>
        <w:rPr>
          <w:rFonts w:ascii="Calibri" w:eastAsia="Yu Mincho" w:hAnsi="Calibri"/>
          <w:b/>
          <w:bCs/>
          <w:color w:val="000000" w:themeColor="text1"/>
          <w:lang w:eastAsia="en-US"/>
        </w:rPr>
      </w:pPr>
    </w:p>
    <w:p w14:paraId="5B74EA77" w14:textId="77777777" w:rsidR="008D3F1E" w:rsidRPr="00547444" w:rsidRDefault="008D3F1E" w:rsidP="008D3F1E">
      <w:pPr>
        <w:spacing w:after="0" w:line="240" w:lineRule="auto"/>
        <w:jc w:val="center"/>
        <w:rPr>
          <w:rFonts w:ascii="Times New Roman" w:eastAsia="Times New Roman" w:hAnsi="Times New Roman" w:cs="Times New Roman"/>
          <w:lang w:eastAsia="en-US"/>
        </w:rPr>
      </w:pPr>
      <w:r w:rsidRPr="00294D0F">
        <w:rPr>
          <w:rFonts w:ascii="Times New Roman" w:eastAsia="Times New Roman" w:hAnsi="Times New Roman" w:cs="Times New Roman"/>
          <w:b/>
          <w:bCs/>
          <w:color w:val="000000"/>
          <w:lang w:eastAsia="en-US"/>
        </w:rPr>
        <w:t>Table 2: Coverage of ICPEs/ICPRs to new CPDs submitted to the Board 2017-2022</w:t>
      </w:r>
    </w:p>
    <w:tbl>
      <w:tblPr>
        <w:tblpPr w:leftFromText="180" w:rightFromText="180" w:bottomFromText="160" w:vertAnchor="text" w:horzAnchor="margin" w:tblpXSpec="center" w:tblpY="219"/>
        <w:tblW w:w="9715" w:type="dxa"/>
        <w:tblLook w:val="04A0" w:firstRow="1" w:lastRow="0" w:firstColumn="1" w:lastColumn="0" w:noHBand="0" w:noVBand="1"/>
      </w:tblPr>
      <w:tblGrid>
        <w:gridCol w:w="1102"/>
        <w:gridCol w:w="1863"/>
        <w:gridCol w:w="1440"/>
        <w:gridCol w:w="1417"/>
        <w:gridCol w:w="3893"/>
      </w:tblGrid>
      <w:tr w:rsidR="008D3F1E" w:rsidRPr="00547444" w14:paraId="2348A62E" w14:textId="77777777" w:rsidTr="00A901FE">
        <w:trPr>
          <w:trHeight w:val="255"/>
        </w:trPr>
        <w:tc>
          <w:tcPr>
            <w:tcW w:w="1102" w:type="dxa"/>
            <w:tcBorders>
              <w:top w:val="single" w:sz="4" w:space="0" w:color="auto"/>
              <w:left w:val="single" w:sz="4" w:space="0" w:color="auto"/>
              <w:bottom w:val="single" w:sz="4" w:space="0" w:color="auto"/>
              <w:right w:val="single" w:sz="4" w:space="0" w:color="auto"/>
            </w:tcBorders>
            <w:shd w:val="clear" w:color="auto" w:fill="A3CEED" w:themeFill="accent6" w:themeFillTint="66"/>
            <w:noWrap/>
            <w:hideMark/>
          </w:tcPr>
          <w:p w14:paraId="2F53B4AB"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lang w:eastAsia="en-US"/>
              </w:rPr>
            </w:pPr>
            <w:r w:rsidRPr="00547444">
              <w:rPr>
                <w:rFonts w:ascii="Times New Roman" w:eastAsia="Times New Roman" w:hAnsi="Times New Roman" w:cs="Times New Roman"/>
                <w:b/>
                <w:bCs/>
                <w:color w:val="000000"/>
                <w:sz w:val="20"/>
                <w:szCs w:val="20"/>
              </w:rPr>
              <w:t xml:space="preserve">Year </w:t>
            </w:r>
          </w:p>
        </w:tc>
        <w:tc>
          <w:tcPr>
            <w:tcW w:w="1863"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3946CB01"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CPDs submitted to the Executive board</w:t>
            </w:r>
          </w:p>
        </w:tc>
        <w:tc>
          <w:tcPr>
            <w:tcW w:w="1440"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6BE6B8C2"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CPDs covered by ICPE/ICPRs</w:t>
            </w:r>
          </w:p>
        </w:tc>
        <w:tc>
          <w:tcPr>
            <w:tcW w:w="1417"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0D4ACAB0"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Coverage (%)</w:t>
            </w:r>
          </w:p>
        </w:tc>
        <w:tc>
          <w:tcPr>
            <w:tcW w:w="3893" w:type="dxa"/>
            <w:tcBorders>
              <w:top w:val="single" w:sz="4" w:space="0" w:color="auto"/>
              <w:left w:val="nil"/>
              <w:bottom w:val="single" w:sz="4" w:space="0" w:color="auto"/>
              <w:right w:val="single" w:sz="4" w:space="0" w:color="auto"/>
            </w:tcBorders>
            <w:shd w:val="clear" w:color="auto" w:fill="A3CEED" w:themeFill="accent6" w:themeFillTint="66"/>
            <w:hideMark/>
          </w:tcPr>
          <w:p w14:paraId="094E7E1C"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New CPD Countries without ICPEs</w:t>
            </w:r>
            <w:r>
              <w:rPr>
                <w:rFonts w:ascii="Times New Roman" w:eastAsia="Times New Roman" w:hAnsi="Times New Roman" w:cs="Times New Roman"/>
                <w:b/>
                <w:bCs/>
                <w:color w:val="000000"/>
                <w:sz w:val="20"/>
                <w:szCs w:val="20"/>
              </w:rPr>
              <w:t>/ICPRs</w:t>
            </w:r>
          </w:p>
        </w:tc>
      </w:tr>
      <w:tr w:rsidR="008D3F1E" w:rsidRPr="00547444" w14:paraId="05B5E02F" w14:textId="77777777" w:rsidTr="00A901FE">
        <w:trPr>
          <w:trHeight w:val="255"/>
        </w:trPr>
        <w:tc>
          <w:tcPr>
            <w:tcW w:w="1102" w:type="dxa"/>
            <w:tcBorders>
              <w:top w:val="nil"/>
              <w:left w:val="single" w:sz="4" w:space="0" w:color="auto"/>
              <w:bottom w:val="single" w:sz="4" w:space="0" w:color="auto"/>
              <w:right w:val="single" w:sz="4" w:space="0" w:color="auto"/>
            </w:tcBorders>
            <w:noWrap/>
            <w:hideMark/>
          </w:tcPr>
          <w:p w14:paraId="351BFA6B" w14:textId="77777777" w:rsidR="008D3F1E" w:rsidRPr="00547444" w:rsidRDefault="008D3F1E" w:rsidP="00A901FE">
            <w:pPr>
              <w:spacing w:after="0" w:line="240" w:lineRule="auto"/>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2017</w:t>
            </w:r>
          </w:p>
        </w:tc>
        <w:tc>
          <w:tcPr>
            <w:tcW w:w="1863" w:type="dxa"/>
            <w:tcBorders>
              <w:top w:val="nil"/>
              <w:left w:val="nil"/>
              <w:bottom w:val="single" w:sz="4" w:space="0" w:color="auto"/>
              <w:right w:val="single" w:sz="4" w:space="0" w:color="auto"/>
            </w:tcBorders>
            <w:noWrap/>
            <w:hideMark/>
          </w:tcPr>
          <w:p w14:paraId="0D62AE32"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19</w:t>
            </w:r>
          </w:p>
        </w:tc>
        <w:tc>
          <w:tcPr>
            <w:tcW w:w="1440" w:type="dxa"/>
            <w:tcBorders>
              <w:top w:val="nil"/>
              <w:left w:val="nil"/>
              <w:bottom w:val="single" w:sz="4" w:space="0" w:color="auto"/>
              <w:right w:val="single" w:sz="4" w:space="0" w:color="auto"/>
            </w:tcBorders>
            <w:noWrap/>
            <w:hideMark/>
          </w:tcPr>
          <w:p w14:paraId="1DC1670B"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1F9AD149"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16%</w:t>
            </w:r>
          </w:p>
        </w:tc>
        <w:tc>
          <w:tcPr>
            <w:tcW w:w="3893" w:type="dxa"/>
            <w:tcBorders>
              <w:top w:val="single" w:sz="4" w:space="0" w:color="auto"/>
              <w:left w:val="nil"/>
              <w:bottom w:val="single" w:sz="4" w:space="0" w:color="auto"/>
              <w:right w:val="single" w:sz="4" w:space="0" w:color="auto"/>
            </w:tcBorders>
            <w:shd w:val="clear" w:color="auto" w:fill="FFFFFF" w:themeFill="background1"/>
          </w:tcPr>
          <w:p w14:paraId="115BB184"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p>
        </w:tc>
      </w:tr>
      <w:tr w:rsidR="008D3F1E" w:rsidRPr="00547444" w14:paraId="1F44EBF4" w14:textId="77777777" w:rsidTr="00A901FE">
        <w:trPr>
          <w:trHeight w:val="255"/>
        </w:trPr>
        <w:tc>
          <w:tcPr>
            <w:tcW w:w="1102" w:type="dxa"/>
            <w:tcBorders>
              <w:top w:val="nil"/>
              <w:left w:val="single" w:sz="4" w:space="0" w:color="auto"/>
              <w:bottom w:val="single" w:sz="4" w:space="0" w:color="auto"/>
              <w:right w:val="single" w:sz="4" w:space="0" w:color="auto"/>
            </w:tcBorders>
            <w:noWrap/>
            <w:hideMark/>
          </w:tcPr>
          <w:p w14:paraId="2D662CA3" w14:textId="77777777" w:rsidR="008D3F1E" w:rsidRPr="00547444" w:rsidRDefault="008D3F1E" w:rsidP="00A901FE">
            <w:pPr>
              <w:spacing w:after="0" w:line="240" w:lineRule="auto"/>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2018</w:t>
            </w:r>
          </w:p>
        </w:tc>
        <w:tc>
          <w:tcPr>
            <w:tcW w:w="1863" w:type="dxa"/>
            <w:tcBorders>
              <w:top w:val="nil"/>
              <w:left w:val="nil"/>
              <w:bottom w:val="single" w:sz="4" w:space="0" w:color="auto"/>
              <w:right w:val="single" w:sz="4" w:space="0" w:color="auto"/>
            </w:tcBorders>
            <w:noWrap/>
            <w:hideMark/>
          </w:tcPr>
          <w:p w14:paraId="43CB4095"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35</w:t>
            </w:r>
          </w:p>
        </w:tc>
        <w:tc>
          <w:tcPr>
            <w:tcW w:w="1440" w:type="dxa"/>
            <w:tcBorders>
              <w:top w:val="nil"/>
              <w:left w:val="nil"/>
              <w:bottom w:val="single" w:sz="4" w:space="0" w:color="auto"/>
              <w:right w:val="single" w:sz="4" w:space="0" w:color="auto"/>
            </w:tcBorders>
            <w:noWrap/>
            <w:hideMark/>
          </w:tcPr>
          <w:p w14:paraId="67796606"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13</w:t>
            </w:r>
          </w:p>
        </w:tc>
        <w:tc>
          <w:tcPr>
            <w:tcW w:w="1417"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374BE27A"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37%</w:t>
            </w:r>
          </w:p>
        </w:tc>
        <w:tc>
          <w:tcPr>
            <w:tcW w:w="3893" w:type="dxa"/>
            <w:tcBorders>
              <w:top w:val="single" w:sz="4" w:space="0" w:color="auto"/>
              <w:left w:val="nil"/>
              <w:bottom w:val="single" w:sz="4" w:space="0" w:color="auto"/>
              <w:right w:val="single" w:sz="4" w:space="0" w:color="auto"/>
            </w:tcBorders>
            <w:shd w:val="clear" w:color="auto" w:fill="FFFFFF" w:themeFill="background1"/>
          </w:tcPr>
          <w:p w14:paraId="753C242E"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p>
        </w:tc>
      </w:tr>
      <w:tr w:rsidR="008D3F1E" w:rsidRPr="00547444" w14:paraId="71262243" w14:textId="77777777" w:rsidTr="00A901FE">
        <w:trPr>
          <w:trHeight w:val="255"/>
        </w:trPr>
        <w:tc>
          <w:tcPr>
            <w:tcW w:w="1102" w:type="dxa"/>
            <w:tcBorders>
              <w:top w:val="nil"/>
              <w:left w:val="single" w:sz="4" w:space="0" w:color="auto"/>
              <w:bottom w:val="single" w:sz="4" w:space="0" w:color="auto"/>
              <w:right w:val="single" w:sz="4" w:space="0" w:color="auto"/>
            </w:tcBorders>
            <w:noWrap/>
            <w:hideMark/>
          </w:tcPr>
          <w:p w14:paraId="321CB134" w14:textId="77777777" w:rsidR="008D3F1E" w:rsidRPr="00547444" w:rsidRDefault="008D3F1E" w:rsidP="00A901FE">
            <w:pPr>
              <w:spacing w:after="0" w:line="240" w:lineRule="auto"/>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2019</w:t>
            </w:r>
          </w:p>
        </w:tc>
        <w:tc>
          <w:tcPr>
            <w:tcW w:w="1863" w:type="dxa"/>
            <w:tcBorders>
              <w:top w:val="nil"/>
              <w:left w:val="nil"/>
              <w:bottom w:val="single" w:sz="4" w:space="0" w:color="auto"/>
              <w:right w:val="single" w:sz="4" w:space="0" w:color="auto"/>
            </w:tcBorders>
            <w:noWrap/>
            <w:hideMark/>
          </w:tcPr>
          <w:p w14:paraId="11C6EF43"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17</w:t>
            </w:r>
          </w:p>
        </w:tc>
        <w:tc>
          <w:tcPr>
            <w:tcW w:w="1440" w:type="dxa"/>
            <w:tcBorders>
              <w:top w:val="nil"/>
              <w:left w:val="nil"/>
              <w:bottom w:val="single" w:sz="4" w:space="0" w:color="auto"/>
              <w:right w:val="single" w:sz="4" w:space="0" w:color="auto"/>
            </w:tcBorders>
            <w:noWrap/>
            <w:hideMark/>
          </w:tcPr>
          <w:p w14:paraId="17D588E0"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17</w:t>
            </w:r>
          </w:p>
        </w:tc>
        <w:tc>
          <w:tcPr>
            <w:tcW w:w="1417"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75F0C14E"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100%</w:t>
            </w:r>
          </w:p>
        </w:tc>
        <w:tc>
          <w:tcPr>
            <w:tcW w:w="3893" w:type="dxa"/>
            <w:tcBorders>
              <w:top w:val="single" w:sz="4" w:space="0" w:color="auto"/>
              <w:left w:val="nil"/>
              <w:bottom w:val="single" w:sz="4" w:space="0" w:color="auto"/>
              <w:right w:val="single" w:sz="4" w:space="0" w:color="auto"/>
            </w:tcBorders>
            <w:shd w:val="clear" w:color="auto" w:fill="FFFFFF" w:themeFill="background1"/>
          </w:tcPr>
          <w:p w14:paraId="3034B590"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p>
        </w:tc>
      </w:tr>
      <w:tr w:rsidR="008D3F1E" w:rsidRPr="00547444" w14:paraId="2D70E73A" w14:textId="77777777" w:rsidTr="00A901FE">
        <w:trPr>
          <w:trHeight w:val="255"/>
        </w:trPr>
        <w:tc>
          <w:tcPr>
            <w:tcW w:w="1102" w:type="dxa"/>
            <w:tcBorders>
              <w:top w:val="nil"/>
              <w:left w:val="single" w:sz="4" w:space="0" w:color="auto"/>
              <w:bottom w:val="single" w:sz="4" w:space="0" w:color="auto"/>
              <w:right w:val="single" w:sz="4" w:space="0" w:color="auto"/>
            </w:tcBorders>
            <w:noWrap/>
            <w:hideMark/>
          </w:tcPr>
          <w:p w14:paraId="5EFD5315" w14:textId="77777777" w:rsidR="008D3F1E" w:rsidRPr="00547444" w:rsidRDefault="008D3F1E" w:rsidP="00A901FE">
            <w:pPr>
              <w:spacing w:after="0" w:line="240" w:lineRule="auto"/>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2020</w:t>
            </w:r>
          </w:p>
        </w:tc>
        <w:tc>
          <w:tcPr>
            <w:tcW w:w="1863" w:type="dxa"/>
            <w:tcBorders>
              <w:top w:val="nil"/>
              <w:left w:val="nil"/>
              <w:bottom w:val="single" w:sz="4" w:space="0" w:color="auto"/>
              <w:right w:val="single" w:sz="4" w:space="0" w:color="auto"/>
            </w:tcBorders>
            <w:noWrap/>
            <w:hideMark/>
          </w:tcPr>
          <w:p w14:paraId="37693874"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20</w:t>
            </w:r>
          </w:p>
        </w:tc>
        <w:tc>
          <w:tcPr>
            <w:tcW w:w="1440" w:type="dxa"/>
            <w:tcBorders>
              <w:top w:val="nil"/>
              <w:left w:val="nil"/>
              <w:bottom w:val="single" w:sz="4" w:space="0" w:color="auto"/>
              <w:right w:val="single" w:sz="4" w:space="0" w:color="auto"/>
            </w:tcBorders>
            <w:noWrap/>
            <w:hideMark/>
          </w:tcPr>
          <w:p w14:paraId="5AA77C3A"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18</w:t>
            </w:r>
          </w:p>
        </w:tc>
        <w:tc>
          <w:tcPr>
            <w:tcW w:w="1417"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66559EDA"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90%</w:t>
            </w:r>
          </w:p>
        </w:tc>
        <w:tc>
          <w:tcPr>
            <w:tcW w:w="3893" w:type="dxa"/>
            <w:tcBorders>
              <w:top w:val="single" w:sz="4" w:space="0" w:color="auto"/>
              <w:left w:val="nil"/>
              <w:bottom w:val="single" w:sz="4" w:space="0" w:color="auto"/>
              <w:right w:val="single" w:sz="4" w:space="0" w:color="auto"/>
            </w:tcBorders>
            <w:shd w:val="clear" w:color="auto" w:fill="FFFFFF" w:themeFill="background1"/>
            <w:hideMark/>
          </w:tcPr>
          <w:p w14:paraId="7DBBEC9B" w14:textId="77777777" w:rsidR="008D3F1E" w:rsidRPr="00547444" w:rsidRDefault="008D3F1E" w:rsidP="00A901FE">
            <w:pPr>
              <w:spacing w:after="0" w:line="240" w:lineRule="auto"/>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 xml:space="preserve">South Africa, Congo (DRC) </w:t>
            </w:r>
          </w:p>
        </w:tc>
      </w:tr>
      <w:tr w:rsidR="008D3F1E" w:rsidRPr="00547444" w14:paraId="0E11AE70" w14:textId="77777777" w:rsidTr="00A901FE">
        <w:trPr>
          <w:trHeight w:val="255"/>
        </w:trPr>
        <w:tc>
          <w:tcPr>
            <w:tcW w:w="1102" w:type="dxa"/>
            <w:tcBorders>
              <w:top w:val="nil"/>
              <w:left w:val="single" w:sz="4" w:space="0" w:color="auto"/>
              <w:bottom w:val="single" w:sz="4" w:space="0" w:color="auto"/>
              <w:right w:val="single" w:sz="4" w:space="0" w:color="auto"/>
            </w:tcBorders>
            <w:noWrap/>
            <w:hideMark/>
          </w:tcPr>
          <w:p w14:paraId="5F636BB8" w14:textId="77777777" w:rsidR="008D3F1E" w:rsidRPr="00547444" w:rsidRDefault="008D3F1E" w:rsidP="00A901FE">
            <w:pPr>
              <w:spacing w:after="0" w:line="240" w:lineRule="auto"/>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2021</w:t>
            </w:r>
          </w:p>
        </w:tc>
        <w:tc>
          <w:tcPr>
            <w:tcW w:w="1863" w:type="dxa"/>
            <w:tcBorders>
              <w:top w:val="nil"/>
              <w:left w:val="nil"/>
              <w:bottom w:val="single" w:sz="4" w:space="0" w:color="auto"/>
              <w:right w:val="single" w:sz="4" w:space="0" w:color="auto"/>
            </w:tcBorders>
            <w:noWrap/>
            <w:hideMark/>
          </w:tcPr>
          <w:p w14:paraId="04284EE9"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23</w:t>
            </w:r>
          </w:p>
        </w:tc>
        <w:tc>
          <w:tcPr>
            <w:tcW w:w="1440" w:type="dxa"/>
            <w:tcBorders>
              <w:top w:val="nil"/>
              <w:left w:val="nil"/>
              <w:bottom w:val="single" w:sz="4" w:space="0" w:color="auto"/>
              <w:right w:val="single" w:sz="4" w:space="0" w:color="auto"/>
            </w:tcBorders>
            <w:noWrap/>
            <w:hideMark/>
          </w:tcPr>
          <w:p w14:paraId="1967E4B0"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20</w:t>
            </w:r>
          </w:p>
        </w:tc>
        <w:tc>
          <w:tcPr>
            <w:tcW w:w="1417"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41BCF593" w14:textId="77777777" w:rsidR="008D3F1E" w:rsidRPr="00547444" w:rsidRDefault="008D3F1E" w:rsidP="00A901FE">
            <w:pPr>
              <w:spacing w:after="0" w:line="240" w:lineRule="auto"/>
              <w:jc w:val="center"/>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87%</w:t>
            </w:r>
          </w:p>
        </w:tc>
        <w:tc>
          <w:tcPr>
            <w:tcW w:w="3893" w:type="dxa"/>
            <w:tcBorders>
              <w:top w:val="single" w:sz="4" w:space="0" w:color="auto"/>
              <w:left w:val="nil"/>
              <w:bottom w:val="single" w:sz="4" w:space="0" w:color="auto"/>
              <w:right w:val="single" w:sz="4" w:space="0" w:color="auto"/>
            </w:tcBorders>
            <w:shd w:val="clear" w:color="auto" w:fill="FFFFFF" w:themeFill="background1"/>
            <w:hideMark/>
          </w:tcPr>
          <w:p w14:paraId="0925E6BE" w14:textId="77777777" w:rsidR="008D3F1E" w:rsidRPr="00547444" w:rsidRDefault="008D3F1E" w:rsidP="00A901FE">
            <w:pPr>
              <w:spacing w:after="0" w:line="240" w:lineRule="auto"/>
              <w:rPr>
                <w:rFonts w:ascii="Times New Roman" w:eastAsia="Times New Roman" w:hAnsi="Times New Roman" w:cs="Times New Roman"/>
                <w:color w:val="000000"/>
                <w:sz w:val="20"/>
                <w:szCs w:val="20"/>
              </w:rPr>
            </w:pPr>
            <w:r w:rsidRPr="00547444">
              <w:rPr>
                <w:rFonts w:ascii="Times New Roman" w:eastAsia="Times New Roman" w:hAnsi="Times New Roman" w:cs="Times New Roman"/>
                <w:color w:val="000000"/>
                <w:sz w:val="20"/>
                <w:szCs w:val="20"/>
              </w:rPr>
              <w:t>Albania, Laos*, Eritrea*</w:t>
            </w:r>
          </w:p>
        </w:tc>
      </w:tr>
      <w:tr w:rsidR="008D3F1E" w:rsidRPr="00547444" w14:paraId="6F8965E0" w14:textId="77777777" w:rsidTr="00A901FE">
        <w:trPr>
          <w:trHeight w:val="255"/>
        </w:trPr>
        <w:tc>
          <w:tcPr>
            <w:tcW w:w="1102" w:type="dxa"/>
            <w:tcBorders>
              <w:top w:val="nil"/>
              <w:left w:val="single" w:sz="4" w:space="0" w:color="auto"/>
              <w:bottom w:val="single" w:sz="4" w:space="0" w:color="auto"/>
              <w:right w:val="single" w:sz="4" w:space="0" w:color="auto"/>
            </w:tcBorders>
            <w:noWrap/>
            <w:hideMark/>
          </w:tcPr>
          <w:p w14:paraId="575DC6FE" w14:textId="77777777" w:rsidR="008D3F1E" w:rsidRPr="00547444" w:rsidRDefault="008D3F1E" w:rsidP="00A901FE">
            <w:pPr>
              <w:spacing w:after="0" w:line="240" w:lineRule="auto"/>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2022</w:t>
            </w:r>
          </w:p>
        </w:tc>
        <w:tc>
          <w:tcPr>
            <w:tcW w:w="1863" w:type="dxa"/>
            <w:tcBorders>
              <w:top w:val="nil"/>
              <w:left w:val="nil"/>
              <w:bottom w:val="single" w:sz="4" w:space="0" w:color="auto"/>
              <w:right w:val="single" w:sz="4" w:space="0" w:color="auto"/>
            </w:tcBorders>
            <w:noWrap/>
            <w:hideMark/>
          </w:tcPr>
          <w:p w14:paraId="43A7E2FA"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44</w:t>
            </w:r>
          </w:p>
        </w:tc>
        <w:tc>
          <w:tcPr>
            <w:tcW w:w="1440" w:type="dxa"/>
            <w:tcBorders>
              <w:top w:val="nil"/>
              <w:left w:val="nil"/>
              <w:bottom w:val="single" w:sz="4" w:space="0" w:color="auto"/>
              <w:right w:val="single" w:sz="4" w:space="0" w:color="auto"/>
            </w:tcBorders>
            <w:noWrap/>
            <w:hideMark/>
          </w:tcPr>
          <w:p w14:paraId="1ABB6F75"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29</w:t>
            </w:r>
          </w:p>
        </w:tc>
        <w:tc>
          <w:tcPr>
            <w:tcW w:w="1417"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23AF9ECB"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66%</w:t>
            </w:r>
          </w:p>
        </w:tc>
        <w:tc>
          <w:tcPr>
            <w:tcW w:w="3893" w:type="dxa"/>
            <w:tcBorders>
              <w:top w:val="single" w:sz="4" w:space="0" w:color="auto"/>
              <w:left w:val="nil"/>
              <w:bottom w:val="single" w:sz="4" w:space="0" w:color="auto"/>
              <w:right w:val="single" w:sz="4" w:space="0" w:color="auto"/>
            </w:tcBorders>
            <w:shd w:val="clear" w:color="auto" w:fill="FFFFFF" w:themeFill="background1"/>
            <w:hideMark/>
          </w:tcPr>
          <w:p w14:paraId="236B8992" w14:textId="77777777" w:rsidR="008D3F1E" w:rsidRPr="00547444" w:rsidRDefault="008D3F1E" w:rsidP="00A901FE">
            <w:pPr>
              <w:spacing w:after="0" w:line="240" w:lineRule="auto"/>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color w:val="000000"/>
                <w:sz w:val="20"/>
                <w:szCs w:val="20"/>
              </w:rPr>
              <w:t xml:space="preserve">Gambia, Guyana, Iran, Jordan, Kyrgyzstan, Libya, Mauritania, Morocco*, Niger, </w:t>
            </w:r>
            <w:r w:rsidRPr="00547444">
              <w:rPr>
                <w:rFonts w:ascii="Times New Roman" w:eastAsia="Times New Roman" w:hAnsi="Times New Roman" w:cs="Times New Roman"/>
                <w:color w:val="000000"/>
                <w:sz w:val="20"/>
                <w:szCs w:val="20"/>
              </w:rPr>
              <w:lastRenderedPageBreak/>
              <w:t>Pakistan, Sao Tome and Principe, Sudan, Suriname*, Thailand, Trinidad and Tobago</w:t>
            </w:r>
          </w:p>
        </w:tc>
      </w:tr>
      <w:tr w:rsidR="008D3F1E" w:rsidRPr="00547444" w14:paraId="358CB6FE" w14:textId="77777777" w:rsidTr="00A901FE">
        <w:trPr>
          <w:trHeight w:val="255"/>
        </w:trPr>
        <w:tc>
          <w:tcPr>
            <w:tcW w:w="1102" w:type="dxa"/>
            <w:tcBorders>
              <w:top w:val="single" w:sz="4" w:space="0" w:color="auto"/>
              <w:left w:val="single" w:sz="4" w:space="0" w:color="auto"/>
              <w:bottom w:val="single" w:sz="4" w:space="0" w:color="auto"/>
              <w:right w:val="single" w:sz="4" w:space="0" w:color="auto"/>
            </w:tcBorders>
            <w:shd w:val="clear" w:color="auto" w:fill="A3CEED" w:themeFill="accent6" w:themeFillTint="66"/>
            <w:noWrap/>
            <w:hideMark/>
          </w:tcPr>
          <w:p w14:paraId="0516394A" w14:textId="77777777" w:rsidR="008D3F1E" w:rsidRPr="00547444" w:rsidRDefault="008D3F1E" w:rsidP="00A901FE">
            <w:pPr>
              <w:spacing w:after="0" w:line="240" w:lineRule="auto"/>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lastRenderedPageBreak/>
              <w:t>Total</w:t>
            </w:r>
          </w:p>
        </w:tc>
        <w:tc>
          <w:tcPr>
            <w:tcW w:w="1863"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40A0898D"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158</w:t>
            </w:r>
          </w:p>
        </w:tc>
        <w:tc>
          <w:tcPr>
            <w:tcW w:w="1440"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69C9AC81"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3CEED" w:themeFill="accent6" w:themeFillTint="66"/>
            <w:noWrap/>
            <w:hideMark/>
          </w:tcPr>
          <w:p w14:paraId="78EBB93C"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r w:rsidRPr="00547444">
              <w:rPr>
                <w:rFonts w:ascii="Times New Roman" w:eastAsia="Times New Roman" w:hAnsi="Times New Roman" w:cs="Times New Roman"/>
                <w:b/>
                <w:bCs/>
                <w:color w:val="000000"/>
                <w:sz w:val="20"/>
                <w:szCs w:val="20"/>
              </w:rPr>
              <w:t>63%</w:t>
            </w:r>
          </w:p>
        </w:tc>
        <w:tc>
          <w:tcPr>
            <w:tcW w:w="3893" w:type="dxa"/>
            <w:tcBorders>
              <w:top w:val="single" w:sz="4" w:space="0" w:color="auto"/>
              <w:left w:val="nil"/>
              <w:bottom w:val="single" w:sz="4" w:space="0" w:color="auto"/>
              <w:right w:val="single" w:sz="4" w:space="0" w:color="auto"/>
            </w:tcBorders>
            <w:shd w:val="clear" w:color="auto" w:fill="FFFFFF" w:themeFill="background1"/>
          </w:tcPr>
          <w:p w14:paraId="062E33FA" w14:textId="77777777" w:rsidR="008D3F1E" w:rsidRPr="00547444" w:rsidRDefault="008D3F1E" w:rsidP="00A901FE">
            <w:pPr>
              <w:spacing w:after="0" w:line="240" w:lineRule="auto"/>
              <w:jc w:val="center"/>
              <w:rPr>
                <w:rFonts w:ascii="Times New Roman" w:eastAsia="Times New Roman" w:hAnsi="Times New Roman" w:cs="Times New Roman"/>
                <w:b/>
                <w:bCs/>
                <w:color w:val="000000"/>
                <w:sz w:val="20"/>
                <w:szCs w:val="20"/>
              </w:rPr>
            </w:pPr>
          </w:p>
        </w:tc>
      </w:tr>
      <w:tr w:rsidR="008D3F1E" w:rsidRPr="00547444" w14:paraId="78BBE191" w14:textId="77777777" w:rsidTr="00A901FE">
        <w:trPr>
          <w:trHeight w:val="255"/>
        </w:trPr>
        <w:tc>
          <w:tcPr>
            <w:tcW w:w="971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7254F873" w14:textId="77777777" w:rsidR="008D3F1E" w:rsidRPr="00547444" w:rsidRDefault="008D3F1E" w:rsidP="00A901FE">
            <w:pPr>
              <w:spacing w:after="0" w:line="240" w:lineRule="auto"/>
              <w:rPr>
                <w:rFonts w:ascii="Times New Roman" w:eastAsia="Times New Roman" w:hAnsi="Times New Roman" w:cs="Times New Roman"/>
                <w:color w:val="000000"/>
                <w:sz w:val="20"/>
                <w:szCs w:val="20"/>
              </w:rPr>
            </w:pPr>
            <w:r w:rsidRPr="00547444">
              <w:rPr>
                <w:rFonts w:ascii="Times New Roman" w:eastAsia="Times New Roman" w:hAnsi="Times New Roman" w:cs="Times New Roman"/>
                <w:b/>
                <w:bCs/>
                <w:color w:val="000000"/>
                <w:sz w:val="20"/>
                <w:szCs w:val="20"/>
              </w:rPr>
              <w:t>Note:</w:t>
            </w:r>
            <w:r w:rsidRPr="00547444">
              <w:rPr>
                <w:rFonts w:ascii="Times New Roman" w:eastAsia="Times New Roman" w:hAnsi="Times New Roman" w:cs="Times New Roman"/>
                <w:color w:val="000000"/>
                <w:sz w:val="20"/>
                <w:szCs w:val="20"/>
              </w:rPr>
              <w:t xml:space="preserve"> (1) In 2020, IEO conducted 5 Independent Country programme reviews (ICPRs). (2) * = In 2021 &amp; 2022, IEO provided technical/ financial support for country programme evaluations led by country offices. </w:t>
            </w:r>
          </w:p>
          <w:p w14:paraId="40CC4D3D" w14:textId="77777777" w:rsidR="008D3F1E" w:rsidRPr="00547444" w:rsidRDefault="008D3F1E" w:rsidP="00A901FE">
            <w:pPr>
              <w:spacing w:after="0" w:line="240" w:lineRule="auto"/>
              <w:rPr>
                <w:rFonts w:ascii="Times New Roman" w:eastAsia="Times New Roman" w:hAnsi="Times New Roman" w:cs="Times New Roman"/>
                <w:b/>
                <w:bCs/>
                <w:color w:val="000000"/>
                <w:sz w:val="20"/>
                <w:szCs w:val="20"/>
              </w:rPr>
            </w:pPr>
          </w:p>
        </w:tc>
      </w:tr>
    </w:tbl>
    <w:p w14:paraId="5AC971A8" w14:textId="77777777" w:rsidR="008D3F1E" w:rsidRDefault="008D3F1E" w:rsidP="008D3F1E">
      <w:pPr>
        <w:spacing w:after="0" w:line="240" w:lineRule="auto"/>
        <w:jc w:val="center"/>
        <w:rPr>
          <w:rFonts w:ascii="Calibri" w:eastAsia="Yu Mincho" w:hAnsi="Calibri"/>
          <w:b/>
          <w:bCs/>
          <w:color w:val="000000" w:themeColor="text1"/>
          <w:lang w:eastAsia="en-US"/>
        </w:rPr>
      </w:pPr>
    </w:p>
    <w:p w14:paraId="7D1A2F24" w14:textId="77777777" w:rsidR="008D3F1E" w:rsidRDefault="008D3F1E" w:rsidP="008D3F1E">
      <w:pPr>
        <w:rPr>
          <w:rFonts w:ascii="Times New Roman" w:hAnsi="Times New Roman" w:cs="Times New Roman"/>
          <w:b/>
          <w:bCs/>
        </w:rPr>
      </w:pPr>
    </w:p>
    <w:tbl>
      <w:tblPr>
        <w:tblpPr w:leftFromText="180" w:rightFromText="180" w:vertAnchor="text" w:horzAnchor="margin"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76"/>
        <w:gridCol w:w="3820"/>
        <w:gridCol w:w="1964"/>
        <w:gridCol w:w="2414"/>
      </w:tblGrid>
      <w:tr w:rsidR="008D3F1E" w:rsidRPr="003313B9" w14:paraId="5D3F2EB9" w14:textId="77777777" w:rsidTr="00A901FE">
        <w:trPr>
          <w:trHeight w:val="224"/>
        </w:trPr>
        <w:tc>
          <w:tcPr>
            <w:tcW w:w="9274" w:type="dxa"/>
            <w:gridSpan w:val="4"/>
            <w:tcBorders>
              <w:top w:val="nil"/>
              <w:left w:val="nil"/>
              <w:bottom w:val="single" w:sz="12" w:space="0" w:color="auto"/>
              <w:right w:val="nil"/>
            </w:tcBorders>
            <w:shd w:val="clear" w:color="auto" w:fill="FFFFFF" w:themeFill="background1"/>
            <w:tcMar>
              <w:top w:w="0" w:type="dxa"/>
              <w:left w:w="108" w:type="dxa"/>
              <w:bottom w:w="0" w:type="dxa"/>
              <w:right w:w="108" w:type="dxa"/>
            </w:tcMar>
          </w:tcPr>
          <w:p w14:paraId="708F749B" w14:textId="77777777" w:rsidR="008D3F1E" w:rsidRDefault="008D3F1E" w:rsidP="00A901FE">
            <w:pPr>
              <w:spacing w:before="120" w:after="0" w:line="240" w:lineRule="auto"/>
              <w:jc w:val="center"/>
              <w:rPr>
                <w:rFonts w:ascii="Times New Roman" w:hAnsi="Times New Roman" w:cs="Times New Roman"/>
                <w:b/>
                <w:bCs/>
              </w:rPr>
            </w:pPr>
            <w:r>
              <w:rPr>
                <w:rFonts w:ascii="Times New Roman" w:hAnsi="Times New Roman" w:cs="Times New Roman"/>
                <w:b/>
                <w:bCs/>
              </w:rPr>
              <w:t xml:space="preserve">Table 3a: </w:t>
            </w:r>
            <w:r w:rsidRPr="009476D3">
              <w:rPr>
                <w:rFonts w:ascii="Times New Roman" w:hAnsi="Times New Roman" w:cs="Times New Roman"/>
                <w:b/>
                <w:bCs/>
              </w:rPr>
              <w:t>Use of different cut-off dates</w:t>
            </w:r>
            <w:r>
              <w:rPr>
                <w:rFonts w:ascii="Times New Roman" w:hAnsi="Times New Roman" w:cs="Times New Roman"/>
                <w:b/>
                <w:bCs/>
              </w:rPr>
              <w:t xml:space="preserve"> for calculating </w:t>
            </w:r>
          </w:p>
          <w:p w14:paraId="4A795A51" w14:textId="77777777" w:rsidR="008D3F1E" w:rsidRDefault="008D3F1E" w:rsidP="00A901FE">
            <w:pPr>
              <w:spacing w:before="120" w:after="0" w:line="240" w:lineRule="auto"/>
              <w:jc w:val="center"/>
              <w:rPr>
                <w:rFonts w:ascii="Times New Roman" w:hAnsi="Times New Roman" w:cs="Times New Roman"/>
                <w:b/>
                <w:bCs/>
              </w:rPr>
            </w:pPr>
            <w:r w:rsidRPr="00B10AC9">
              <w:rPr>
                <w:rFonts w:ascii="Times New Roman" w:hAnsi="Times New Roman" w:cs="Times New Roman"/>
                <w:b/>
                <w:bCs/>
              </w:rPr>
              <w:t>Decentralized Evaluations Completion rate, 2017 to 2021</w:t>
            </w:r>
          </w:p>
          <w:p w14:paraId="2C8AA095" w14:textId="77777777" w:rsidR="008D3F1E" w:rsidRPr="003313B9" w:rsidRDefault="008D3F1E" w:rsidP="00A901FE">
            <w:pPr>
              <w:spacing w:before="120" w:after="0" w:line="240" w:lineRule="auto"/>
              <w:jc w:val="right"/>
              <w:rPr>
                <w:rFonts w:ascii="Times New Roman" w:hAnsi="Times New Roman" w:cs="Times New Roman"/>
                <w:b/>
                <w:bCs/>
                <w:sz w:val="18"/>
                <w:szCs w:val="18"/>
              </w:rPr>
            </w:pPr>
            <w:r w:rsidRPr="003313B9">
              <w:rPr>
                <w:rFonts w:ascii="Times New Roman" w:hAnsi="Times New Roman" w:cs="Times New Roman"/>
                <w:sz w:val="12"/>
                <w:szCs w:val="12"/>
              </w:rPr>
              <w:t>(Source: ARE report)</w:t>
            </w:r>
          </w:p>
        </w:tc>
      </w:tr>
      <w:tr w:rsidR="008D3F1E" w:rsidRPr="003313B9" w14:paraId="5B66250E" w14:textId="77777777" w:rsidTr="00A901FE">
        <w:trPr>
          <w:trHeight w:val="224"/>
        </w:trPr>
        <w:tc>
          <w:tcPr>
            <w:tcW w:w="1076" w:type="dxa"/>
            <w:tcBorders>
              <w:top w:val="single" w:sz="12" w:space="0" w:color="auto"/>
              <w:bottom w:val="single" w:sz="6" w:space="0" w:color="auto"/>
            </w:tcBorders>
            <w:shd w:val="clear" w:color="auto" w:fill="A3CEED" w:themeFill="accent6" w:themeFillTint="66"/>
            <w:tcMar>
              <w:top w:w="0" w:type="dxa"/>
              <w:left w:w="108" w:type="dxa"/>
              <w:bottom w:w="0" w:type="dxa"/>
              <w:right w:w="108" w:type="dxa"/>
            </w:tcMar>
          </w:tcPr>
          <w:p w14:paraId="5BF04AB1" w14:textId="77777777" w:rsidR="008D3F1E" w:rsidRPr="00B10AC9" w:rsidRDefault="008D3F1E" w:rsidP="00A901FE">
            <w:pPr>
              <w:spacing w:before="120" w:after="120" w:line="240" w:lineRule="auto"/>
              <w:rPr>
                <w:rFonts w:ascii="Times New Roman" w:hAnsi="Times New Roman" w:cs="Times New Roman"/>
                <w:b/>
                <w:bCs/>
              </w:rPr>
            </w:pPr>
            <w:r w:rsidRPr="00B10AC9">
              <w:rPr>
                <w:rFonts w:ascii="Times New Roman" w:hAnsi="Times New Roman" w:cs="Times New Roman"/>
                <w:b/>
                <w:bCs/>
              </w:rPr>
              <w:t>Year</w:t>
            </w:r>
          </w:p>
        </w:tc>
        <w:tc>
          <w:tcPr>
            <w:tcW w:w="3820" w:type="dxa"/>
            <w:tcBorders>
              <w:top w:val="single" w:sz="12" w:space="0" w:color="auto"/>
              <w:bottom w:val="single" w:sz="6" w:space="0" w:color="auto"/>
            </w:tcBorders>
            <w:shd w:val="clear" w:color="auto" w:fill="A3CEED" w:themeFill="accent6" w:themeFillTint="66"/>
            <w:tcMar>
              <w:top w:w="0" w:type="dxa"/>
              <w:left w:w="108" w:type="dxa"/>
              <w:bottom w:w="0" w:type="dxa"/>
              <w:right w:w="108" w:type="dxa"/>
            </w:tcMar>
          </w:tcPr>
          <w:p w14:paraId="2C6E6030" w14:textId="77777777" w:rsidR="008D3F1E" w:rsidRPr="00B10AC9" w:rsidRDefault="008D3F1E" w:rsidP="00A901FE">
            <w:pPr>
              <w:spacing w:before="120" w:after="120" w:line="240" w:lineRule="auto"/>
              <w:jc w:val="center"/>
              <w:rPr>
                <w:rFonts w:ascii="Times New Roman" w:hAnsi="Times New Roman" w:cs="Times New Roman"/>
                <w:b/>
                <w:bCs/>
              </w:rPr>
            </w:pPr>
            <w:r w:rsidRPr="00B10AC9">
              <w:rPr>
                <w:rFonts w:ascii="Times New Roman" w:hAnsi="Times New Roman" w:cs="Times New Roman"/>
                <w:b/>
                <w:bCs/>
              </w:rPr>
              <w:t xml:space="preserve">Planned evaluations </w:t>
            </w:r>
          </w:p>
          <w:p w14:paraId="216CDCE4" w14:textId="77777777" w:rsidR="008D3F1E" w:rsidRPr="00B10AC9" w:rsidRDefault="008D3F1E" w:rsidP="00A901FE">
            <w:pPr>
              <w:spacing w:before="120" w:after="120" w:line="240" w:lineRule="auto"/>
              <w:jc w:val="center"/>
              <w:rPr>
                <w:rFonts w:ascii="Times New Roman" w:hAnsi="Times New Roman" w:cs="Times New Roman"/>
                <w:b/>
                <w:bCs/>
              </w:rPr>
            </w:pPr>
            <w:r w:rsidRPr="00B10AC9">
              <w:rPr>
                <w:rFonts w:ascii="Times New Roman" w:hAnsi="Times New Roman" w:cs="Times New Roman"/>
              </w:rPr>
              <w:t>(Cut off dates used by IEO for ARE)</w:t>
            </w:r>
          </w:p>
        </w:tc>
        <w:tc>
          <w:tcPr>
            <w:tcW w:w="1964" w:type="dxa"/>
            <w:tcBorders>
              <w:top w:val="single" w:sz="12" w:space="0" w:color="auto"/>
              <w:bottom w:val="single" w:sz="6" w:space="0" w:color="auto"/>
            </w:tcBorders>
            <w:shd w:val="clear" w:color="auto" w:fill="A3CEED" w:themeFill="accent6" w:themeFillTint="66"/>
            <w:tcMar>
              <w:top w:w="0" w:type="dxa"/>
              <w:left w:w="108" w:type="dxa"/>
              <w:bottom w:w="0" w:type="dxa"/>
              <w:right w:w="108" w:type="dxa"/>
            </w:tcMar>
          </w:tcPr>
          <w:p w14:paraId="6862ED4B" w14:textId="77777777" w:rsidR="008D3F1E" w:rsidRPr="00B10AC9" w:rsidRDefault="008D3F1E" w:rsidP="00A901FE">
            <w:pPr>
              <w:spacing w:before="120" w:after="120" w:line="240" w:lineRule="auto"/>
              <w:rPr>
                <w:rFonts w:ascii="Times New Roman" w:hAnsi="Times New Roman" w:cs="Times New Roman"/>
                <w:b/>
                <w:bCs/>
              </w:rPr>
            </w:pPr>
            <w:r w:rsidRPr="00B10AC9">
              <w:rPr>
                <w:rFonts w:ascii="Times New Roman" w:hAnsi="Times New Roman" w:cs="Times New Roman"/>
                <w:b/>
                <w:bCs/>
              </w:rPr>
              <w:t xml:space="preserve">Completed evaluations </w:t>
            </w:r>
          </w:p>
        </w:tc>
        <w:tc>
          <w:tcPr>
            <w:tcW w:w="2414" w:type="dxa"/>
            <w:tcBorders>
              <w:top w:val="single" w:sz="12" w:space="0" w:color="auto"/>
              <w:bottom w:val="single" w:sz="6" w:space="0" w:color="auto"/>
            </w:tcBorders>
            <w:shd w:val="clear" w:color="auto" w:fill="A3CEED" w:themeFill="accent6" w:themeFillTint="66"/>
            <w:tcMar>
              <w:top w:w="0" w:type="dxa"/>
              <w:left w:w="108" w:type="dxa"/>
              <w:bottom w:w="0" w:type="dxa"/>
              <w:right w:w="108" w:type="dxa"/>
            </w:tcMar>
          </w:tcPr>
          <w:p w14:paraId="3636479D" w14:textId="77777777" w:rsidR="008D3F1E" w:rsidRPr="00B10AC9" w:rsidRDefault="008D3F1E" w:rsidP="00A901FE">
            <w:pPr>
              <w:spacing w:before="120" w:after="120" w:line="240" w:lineRule="auto"/>
              <w:rPr>
                <w:rFonts w:ascii="Times New Roman" w:hAnsi="Times New Roman" w:cs="Times New Roman"/>
                <w:b/>
                <w:bCs/>
              </w:rPr>
            </w:pPr>
            <w:r w:rsidRPr="00B10AC9">
              <w:rPr>
                <w:rFonts w:ascii="Times New Roman" w:hAnsi="Times New Roman" w:cs="Times New Roman"/>
                <w:b/>
                <w:bCs/>
              </w:rPr>
              <w:t>Completion rate</w:t>
            </w:r>
          </w:p>
        </w:tc>
      </w:tr>
      <w:tr w:rsidR="008D3F1E" w:rsidRPr="003313B9" w14:paraId="55A0FE9F" w14:textId="77777777" w:rsidTr="00A901FE">
        <w:trPr>
          <w:trHeight w:val="104"/>
        </w:trPr>
        <w:tc>
          <w:tcPr>
            <w:tcW w:w="1076" w:type="dxa"/>
            <w:tcBorders>
              <w:top w:val="single" w:sz="6" w:space="0" w:color="auto"/>
            </w:tcBorders>
            <w:tcMar>
              <w:top w:w="0" w:type="dxa"/>
              <w:left w:w="108" w:type="dxa"/>
              <w:bottom w:w="0" w:type="dxa"/>
              <w:right w:w="108" w:type="dxa"/>
            </w:tcMar>
            <w:hideMark/>
          </w:tcPr>
          <w:p w14:paraId="78A86DD0" w14:textId="77777777" w:rsidR="008D3F1E" w:rsidRPr="00B10AC9" w:rsidRDefault="008D3F1E" w:rsidP="00A901FE">
            <w:pPr>
              <w:spacing w:before="120" w:after="120" w:line="240" w:lineRule="auto"/>
              <w:rPr>
                <w:rFonts w:ascii="Times New Roman" w:hAnsi="Times New Roman" w:cs="Times New Roman"/>
              </w:rPr>
            </w:pPr>
            <w:r w:rsidRPr="00B10AC9">
              <w:rPr>
                <w:rFonts w:ascii="Times New Roman" w:hAnsi="Times New Roman" w:cs="Times New Roman"/>
                <w:b/>
                <w:bCs/>
              </w:rPr>
              <w:t>2017</w:t>
            </w:r>
          </w:p>
        </w:tc>
        <w:tc>
          <w:tcPr>
            <w:tcW w:w="3820" w:type="dxa"/>
            <w:tcBorders>
              <w:top w:val="single" w:sz="6" w:space="0" w:color="auto"/>
            </w:tcBorders>
            <w:tcMar>
              <w:top w:w="0" w:type="dxa"/>
              <w:left w:w="108" w:type="dxa"/>
              <w:bottom w:w="0" w:type="dxa"/>
              <w:right w:w="108" w:type="dxa"/>
            </w:tcMar>
            <w:hideMark/>
          </w:tcPr>
          <w:p w14:paraId="7089BBB2" w14:textId="77777777" w:rsidR="008D3F1E" w:rsidRPr="00B10AC9" w:rsidRDefault="008D3F1E" w:rsidP="00A901FE">
            <w:pPr>
              <w:spacing w:before="120" w:after="120" w:line="240" w:lineRule="auto"/>
              <w:rPr>
                <w:rFonts w:ascii="Times New Roman" w:hAnsi="Times New Roman" w:cs="Times New Roman"/>
              </w:rPr>
            </w:pPr>
            <w:r w:rsidRPr="00B10AC9">
              <w:rPr>
                <w:rFonts w:ascii="Times New Roman" w:hAnsi="Times New Roman" w:cs="Times New Roman"/>
              </w:rPr>
              <w:t xml:space="preserve">562 </w:t>
            </w:r>
            <w:r w:rsidRPr="00B10AC9">
              <w:rPr>
                <w:rFonts w:ascii="Times New Roman" w:hAnsi="Times New Roman" w:cs="Times New Roman"/>
                <w:color w:val="0070C0"/>
              </w:rPr>
              <w:t>(October 1, 2017)</w:t>
            </w:r>
          </w:p>
        </w:tc>
        <w:tc>
          <w:tcPr>
            <w:tcW w:w="1964" w:type="dxa"/>
            <w:tcBorders>
              <w:top w:val="single" w:sz="6" w:space="0" w:color="auto"/>
            </w:tcBorders>
            <w:tcMar>
              <w:top w:w="0" w:type="dxa"/>
              <w:left w:w="108" w:type="dxa"/>
              <w:bottom w:w="0" w:type="dxa"/>
              <w:right w:w="108" w:type="dxa"/>
            </w:tcMar>
            <w:hideMark/>
          </w:tcPr>
          <w:p w14:paraId="6EF294AC" w14:textId="77777777" w:rsidR="008D3F1E" w:rsidRPr="00B10AC9" w:rsidRDefault="008D3F1E" w:rsidP="00A901FE">
            <w:pPr>
              <w:spacing w:before="120" w:after="120" w:line="240" w:lineRule="auto"/>
              <w:jc w:val="center"/>
              <w:rPr>
                <w:rFonts w:ascii="Times New Roman" w:hAnsi="Times New Roman" w:cs="Times New Roman"/>
              </w:rPr>
            </w:pPr>
            <w:r w:rsidRPr="00B10AC9">
              <w:rPr>
                <w:rFonts w:ascii="Times New Roman" w:hAnsi="Times New Roman" w:cs="Times New Roman"/>
              </w:rPr>
              <w:t>315</w:t>
            </w:r>
          </w:p>
        </w:tc>
        <w:tc>
          <w:tcPr>
            <w:tcW w:w="2414" w:type="dxa"/>
            <w:tcBorders>
              <w:top w:val="single" w:sz="6" w:space="0" w:color="auto"/>
            </w:tcBorders>
            <w:tcMar>
              <w:top w:w="0" w:type="dxa"/>
              <w:left w:w="108" w:type="dxa"/>
              <w:bottom w:w="0" w:type="dxa"/>
              <w:right w:w="108" w:type="dxa"/>
            </w:tcMar>
            <w:hideMark/>
          </w:tcPr>
          <w:p w14:paraId="6B3E71CF" w14:textId="77777777" w:rsidR="008D3F1E" w:rsidRPr="00B10AC9" w:rsidRDefault="008D3F1E" w:rsidP="00A901FE">
            <w:pPr>
              <w:spacing w:before="120" w:after="120" w:line="240" w:lineRule="auto"/>
              <w:jc w:val="center"/>
              <w:rPr>
                <w:rFonts w:ascii="Times New Roman" w:hAnsi="Times New Roman" w:cs="Times New Roman"/>
              </w:rPr>
            </w:pPr>
            <w:r w:rsidRPr="00B10AC9">
              <w:rPr>
                <w:rFonts w:ascii="Times New Roman" w:hAnsi="Times New Roman" w:cs="Times New Roman"/>
                <w:b/>
                <w:bCs/>
              </w:rPr>
              <w:t>56%</w:t>
            </w:r>
          </w:p>
        </w:tc>
      </w:tr>
      <w:tr w:rsidR="008D3F1E" w:rsidRPr="003313B9" w14:paraId="732B85E4" w14:textId="77777777" w:rsidTr="00A901FE">
        <w:trPr>
          <w:trHeight w:val="110"/>
        </w:trPr>
        <w:tc>
          <w:tcPr>
            <w:tcW w:w="1076" w:type="dxa"/>
            <w:tcMar>
              <w:top w:w="0" w:type="dxa"/>
              <w:left w:w="108" w:type="dxa"/>
              <w:bottom w:w="0" w:type="dxa"/>
              <w:right w:w="108" w:type="dxa"/>
            </w:tcMar>
            <w:hideMark/>
          </w:tcPr>
          <w:p w14:paraId="1C54ED4F" w14:textId="77777777" w:rsidR="008D3F1E" w:rsidRPr="00B10AC9" w:rsidRDefault="008D3F1E" w:rsidP="00A901FE">
            <w:pPr>
              <w:spacing w:before="120" w:after="120" w:line="240" w:lineRule="auto"/>
              <w:rPr>
                <w:rFonts w:ascii="Times New Roman" w:hAnsi="Times New Roman" w:cs="Times New Roman"/>
              </w:rPr>
            </w:pPr>
            <w:r w:rsidRPr="00B10AC9">
              <w:rPr>
                <w:rFonts w:ascii="Times New Roman" w:hAnsi="Times New Roman" w:cs="Times New Roman"/>
                <w:b/>
                <w:bCs/>
              </w:rPr>
              <w:t>2018</w:t>
            </w:r>
          </w:p>
        </w:tc>
        <w:tc>
          <w:tcPr>
            <w:tcW w:w="3820" w:type="dxa"/>
            <w:tcMar>
              <w:top w:w="0" w:type="dxa"/>
              <w:left w:w="108" w:type="dxa"/>
              <w:bottom w:w="0" w:type="dxa"/>
              <w:right w:w="108" w:type="dxa"/>
            </w:tcMar>
            <w:hideMark/>
          </w:tcPr>
          <w:p w14:paraId="0120B77C" w14:textId="77777777" w:rsidR="008D3F1E" w:rsidRPr="00B10AC9" w:rsidRDefault="008D3F1E" w:rsidP="00A901FE">
            <w:pPr>
              <w:spacing w:before="120" w:after="120" w:line="240" w:lineRule="auto"/>
              <w:rPr>
                <w:rFonts w:ascii="Times New Roman" w:hAnsi="Times New Roman" w:cs="Times New Roman"/>
              </w:rPr>
            </w:pPr>
            <w:r w:rsidRPr="00B10AC9">
              <w:rPr>
                <w:rFonts w:ascii="Times New Roman" w:hAnsi="Times New Roman" w:cs="Times New Roman"/>
              </w:rPr>
              <w:t xml:space="preserve">504 </w:t>
            </w:r>
            <w:r w:rsidRPr="00B10AC9">
              <w:rPr>
                <w:rFonts w:ascii="Times New Roman" w:hAnsi="Times New Roman" w:cs="Times New Roman"/>
                <w:color w:val="0070C0"/>
              </w:rPr>
              <w:t>(July 16, 2018)</w:t>
            </w:r>
          </w:p>
        </w:tc>
        <w:tc>
          <w:tcPr>
            <w:tcW w:w="1964" w:type="dxa"/>
            <w:tcMar>
              <w:top w:w="0" w:type="dxa"/>
              <w:left w:w="108" w:type="dxa"/>
              <w:bottom w:w="0" w:type="dxa"/>
              <w:right w:w="108" w:type="dxa"/>
            </w:tcMar>
            <w:hideMark/>
          </w:tcPr>
          <w:p w14:paraId="5F2BC3F8" w14:textId="77777777" w:rsidR="008D3F1E" w:rsidRPr="00B10AC9" w:rsidRDefault="008D3F1E" w:rsidP="00A901FE">
            <w:pPr>
              <w:spacing w:before="120" w:after="120" w:line="240" w:lineRule="auto"/>
              <w:jc w:val="center"/>
              <w:rPr>
                <w:rFonts w:ascii="Times New Roman" w:hAnsi="Times New Roman" w:cs="Times New Roman"/>
              </w:rPr>
            </w:pPr>
            <w:r w:rsidRPr="00B10AC9">
              <w:rPr>
                <w:rFonts w:ascii="Times New Roman" w:hAnsi="Times New Roman" w:cs="Times New Roman"/>
              </w:rPr>
              <w:t>283</w:t>
            </w:r>
          </w:p>
        </w:tc>
        <w:tc>
          <w:tcPr>
            <w:tcW w:w="2414" w:type="dxa"/>
            <w:tcMar>
              <w:top w:w="0" w:type="dxa"/>
              <w:left w:w="108" w:type="dxa"/>
              <w:bottom w:w="0" w:type="dxa"/>
              <w:right w:w="108" w:type="dxa"/>
            </w:tcMar>
            <w:hideMark/>
          </w:tcPr>
          <w:p w14:paraId="2D09FC94" w14:textId="77777777" w:rsidR="008D3F1E" w:rsidRPr="00B10AC9" w:rsidRDefault="008D3F1E" w:rsidP="00A901FE">
            <w:pPr>
              <w:spacing w:before="120" w:after="120" w:line="240" w:lineRule="auto"/>
              <w:jc w:val="center"/>
              <w:rPr>
                <w:rFonts w:ascii="Times New Roman" w:hAnsi="Times New Roman" w:cs="Times New Roman"/>
              </w:rPr>
            </w:pPr>
            <w:r w:rsidRPr="00B10AC9">
              <w:rPr>
                <w:rFonts w:ascii="Times New Roman" w:hAnsi="Times New Roman" w:cs="Times New Roman"/>
                <w:b/>
                <w:bCs/>
              </w:rPr>
              <w:t>56%</w:t>
            </w:r>
          </w:p>
        </w:tc>
      </w:tr>
      <w:tr w:rsidR="008D3F1E" w:rsidRPr="003313B9" w14:paraId="6DA5EBD3" w14:textId="77777777" w:rsidTr="00A901FE">
        <w:trPr>
          <w:trHeight w:val="104"/>
        </w:trPr>
        <w:tc>
          <w:tcPr>
            <w:tcW w:w="1076" w:type="dxa"/>
            <w:tcMar>
              <w:top w:w="0" w:type="dxa"/>
              <w:left w:w="108" w:type="dxa"/>
              <w:bottom w:w="0" w:type="dxa"/>
              <w:right w:w="108" w:type="dxa"/>
            </w:tcMar>
            <w:hideMark/>
          </w:tcPr>
          <w:p w14:paraId="67BC6AA5" w14:textId="77777777" w:rsidR="008D3F1E" w:rsidRPr="00B10AC9" w:rsidRDefault="008D3F1E" w:rsidP="00A901FE">
            <w:pPr>
              <w:spacing w:before="120" w:after="120" w:line="240" w:lineRule="auto"/>
              <w:rPr>
                <w:rFonts w:ascii="Times New Roman" w:hAnsi="Times New Roman" w:cs="Times New Roman"/>
              </w:rPr>
            </w:pPr>
            <w:r w:rsidRPr="00B10AC9">
              <w:rPr>
                <w:rFonts w:ascii="Times New Roman" w:hAnsi="Times New Roman" w:cs="Times New Roman"/>
                <w:b/>
                <w:bCs/>
              </w:rPr>
              <w:t>2019</w:t>
            </w:r>
          </w:p>
        </w:tc>
        <w:tc>
          <w:tcPr>
            <w:tcW w:w="3820" w:type="dxa"/>
            <w:tcMar>
              <w:top w:w="0" w:type="dxa"/>
              <w:left w:w="108" w:type="dxa"/>
              <w:bottom w:w="0" w:type="dxa"/>
              <w:right w:w="108" w:type="dxa"/>
            </w:tcMar>
            <w:hideMark/>
          </w:tcPr>
          <w:p w14:paraId="42542EA8" w14:textId="77777777" w:rsidR="008D3F1E" w:rsidRPr="00B10AC9" w:rsidRDefault="008D3F1E" w:rsidP="00A901FE">
            <w:pPr>
              <w:spacing w:before="120" w:after="120" w:line="240" w:lineRule="auto"/>
              <w:rPr>
                <w:rFonts w:ascii="Times New Roman" w:hAnsi="Times New Roman" w:cs="Times New Roman"/>
              </w:rPr>
            </w:pPr>
            <w:r w:rsidRPr="00B10AC9">
              <w:rPr>
                <w:rFonts w:ascii="Times New Roman" w:hAnsi="Times New Roman" w:cs="Times New Roman"/>
              </w:rPr>
              <w:t xml:space="preserve">531 </w:t>
            </w:r>
            <w:r w:rsidRPr="00B10AC9">
              <w:rPr>
                <w:rFonts w:ascii="Times New Roman" w:hAnsi="Times New Roman" w:cs="Times New Roman"/>
                <w:color w:val="0070C0"/>
              </w:rPr>
              <w:t>(February 1, 2019)</w:t>
            </w:r>
          </w:p>
        </w:tc>
        <w:tc>
          <w:tcPr>
            <w:tcW w:w="1964" w:type="dxa"/>
            <w:tcMar>
              <w:top w:w="0" w:type="dxa"/>
              <w:left w:w="108" w:type="dxa"/>
              <w:bottom w:w="0" w:type="dxa"/>
              <w:right w:w="108" w:type="dxa"/>
            </w:tcMar>
            <w:hideMark/>
          </w:tcPr>
          <w:p w14:paraId="328EC065" w14:textId="77777777" w:rsidR="008D3F1E" w:rsidRPr="00B10AC9" w:rsidRDefault="008D3F1E" w:rsidP="00A901FE">
            <w:pPr>
              <w:spacing w:before="120" w:after="120" w:line="240" w:lineRule="auto"/>
              <w:jc w:val="center"/>
              <w:rPr>
                <w:rFonts w:ascii="Times New Roman" w:hAnsi="Times New Roman" w:cs="Times New Roman"/>
              </w:rPr>
            </w:pPr>
            <w:r w:rsidRPr="00B10AC9">
              <w:rPr>
                <w:rFonts w:ascii="Times New Roman" w:hAnsi="Times New Roman" w:cs="Times New Roman"/>
              </w:rPr>
              <w:t>290</w:t>
            </w:r>
          </w:p>
        </w:tc>
        <w:tc>
          <w:tcPr>
            <w:tcW w:w="2414" w:type="dxa"/>
            <w:tcMar>
              <w:top w:w="0" w:type="dxa"/>
              <w:left w:w="108" w:type="dxa"/>
              <w:bottom w:w="0" w:type="dxa"/>
              <w:right w:w="108" w:type="dxa"/>
            </w:tcMar>
            <w:hideMark/>
          </w:tcPr>
          <w:p w14:paraId="2977A29B" w14:textId="77777777" w:rsidR="008D3F1E" w:rsidRPr="00B10AC9" w:rsidRDefault="008D3F1E" w:rsidP="00A901FE">
            <w:pPr>
              <w:spacing w:before="120" w:after="120" w:line="240" w:lineRule="auto"/>
              <w:jc w:val="center"/>
              <w:rPr>
                <w:rFonts w:ascii="Times New Roman" w:hAnsi="Times New Roman" w:cs="Times New Roman"/>
              </w:rPr>
            </w:pPr>
            <w:r w:rsidRPr="00B10AC9">
              <w:rPr>
                <w:rFonts w:ascii="Times New Roman" w:hAnsi="Times New Roman" w:cs="Times New Roman"/>
                <w:b/>
                <w:bCs/>
              </w:rPr>
              <w:t>55%</w:t>
            </w:r>
          </w:p>
        </w:tc>
      </w:tr>
      <w:tr w:rsidR="008D3F1E" w:rsidRPr="003313B9" w14:paraId="7DA14C06" w14:textId="77777777" w:rsidTr="00A901FE">
        <w:trPr>
          <w:trHeight w:val="110"/>
        </w:trPr>
        <w:tc>
          <w:tcPr>
            <w:tcW w:w="1076" w:type="dxa"/>
            <w:tcMar>
              <w:top w:w="0" w:type="dxa"/>
              <w:left w:w="108" w:type="dxa"/>
              <w:bottom w:w="0" w:type="dxa"/>
              <w:right w:w="108" w:type="dxa"/>
            </w:tcMar>
            <w:hideMark/>
          </w:tcPr>
          <w:p w14:paraId="1154DD7D" w14:textId="77777777" w:rsidR="008D3F1E" w:rsidRPr="00B10AC9" w:rsidRDefault="008D3F1E" w:rsidP="00A901FE">
            <w:pPr>
              <w:spacing w:before="120" w:after="120" w:line="240" w:lineRule="auto"/>
              <w:rPr>
                <w:rFonts w:ascii="Times New Roman" w:hAnsi="Times New Roman" w:cs="Times New Roman"/>
              </w:rPr>
            </w:pPr>
            <w:r w:rsidRPr="00B10AC9">
              <w:rPr>
                <w:rFonts w:ascii="Times New Roman" w:hAnsi="Times New Roman" w:cs="Times New Roman"/>
                <w:b/>
                <w:bCs/>
              </w:rPr>
              <w:t>2020</w:t>
            </w:r>
          </w:p>
        </w:tc>
        <w:tc>
          <w:tcPr>
            <w:tcW w:w="3820" w:type="dxa"/>
            <w:tcMar>
              <w:top w:w="0" w:type="dxa"/>
              <w:left w:w="108" w:type="dxa"/>
              <w:bottom w:w="0" w:type="dxa"/>
              <w:right w:w="108" w:type="dxa"/>
            </w:tcMar>
            <w:hideMark/>
          </w:tcPr>
          <w:p w14:paraId="7FC1C42C" w14:textId="77777777" w:rsidR="008D3F1E" w:rsidRPr="00B10AC9" w:rsidRDefault="008D3F1E" w:rsidP="00A901FE">
            <w:pPr>
              <w:spacing w:before="120" w:after="120" w:line="240" w:lineRule="auto"/>
              <w:rPr>
                <w:rFonts w:ascii="Times New Roman" w:hAnsi="Times New Roman" w:cs="Times New Roman"/>
              </w:rPr>
            </w:pPr>
            <w:r w:rsidRPr="00B10AC9">
              <w:rPr>
                <w:rFonts w:ascii="Times New Roman" w:hAnsi="Times New Roman" w:cs="Times New Roman"/>
              </w:rPr>
              <w:t xml:space="preserve">504 </w:t>
            </w:r>
            <w:r w:rsidRPr="00B10AC9">
              <w:rPr>
                <w:rFonts w:ascii="Times New Roman" w:hAnsi="Times New Roman" w:cs="Times New Roman"/>
                <w:color w:val="0070C0"/>
              </w:rPr>
              <w:t>(February 1, 2020)</w:t>
            </w:r>
          </w:p>
        </w:tc>
        <w:tc>
          <w:tcPr>
            <w:tcW w:w="1964" w:type="dxa"/>
            <w:tcMar>
              <w:top w:w="0" w:type="dxa"/>
              <w:left w:w="108" w:type="dxa"/>
              <w:bottom w:w="0" w:type="dxa"/>
              <w:right w:w="108" w:type="dxa"/>
            </w:tcMar>
            <w:hideMark/>
          </w:tcPr>
          <w:p w14:paraId="478FBBED" w14:textId="77777777" w:rsidR="008D3F1E" w:rsidRPr="00B10AC9" w:rsidRDefault="008D3F1E" w:rsidP="00A901FE">
            <w:pPr>
              <w:spacing w:before="120" w:after="120" w:line="240" w:lineRule="auto"/>
              <w:jc w:val="center"/>
              <w:rPr>
                <w:rFonts w:ascii="Times New Roman" w:hAnsi="Times New Roman" w:cs="Times New Roman"/>
              </w:rPr>
            </w:pPr>
            <w:r w:rsidRPr="00B10AC9">
              <w:rPr>
                <w:rFonts w:ascii="Times New Roman" w:hAnsi="Times New Roman" w:cs="Times New Roman"/>
              </w:rPr>
              <w:t>249</w:t>
            </w:r>
          </w:p>
        </w:tc>
        <w:tc>
          <w:tcPr>
            <w:tcW w:w="2414" w:type="dxa"/>
            <w:tcMar>
              <w:top w:w="0" w:type="dxa"/>
              <w:left w:w="108" w:type="dxa"/>
              <w:bottom w:w="0" w:type="dxa"/>
              <w:right w:w="108" w:type="dxa"/>
            </w:tcMar>
            <w:hideMark/>
          </w:tcPr>
          <w:p w14:paraId="70295B52" w14:textId="77777777" w:rsidR="008D3F1E" w:rsidRPr="00B10AC9" w:rsidRDefault="008D3F1E" w:rsidP="00A901FE">
            <w:pPr>
              <w:spacing w:before="120" w:after="120" w:line="240" w:lineRule="auto"/>
              <w:jc w:val="center"/>
              <w:rPr>
                <w:rFonts w:ascii="Times New Roman" w:hAnsi="Times New Roman" w:cs="Times New Roman"/>
              </w:rPr>
            </w:pPr>
            <w:r w:rsidRPr="00B10AC9">
              <w:rPr>
                <w:rFonts w:ascii="Times New Roman" w:hAnsi="Times New Roman" w:cs="Times New Roman"/>
                <w:b/>
                <w:bCs/>
              </w:rPr>
              <w:t>49%</w:t>
            </w:r>
          </w:p>
        </w:tc>
      </w:tr>
      <w:tr w:rsidR="008D3F1E" w:rsidRPr="003313B9" w14:paraId="47326805" w14:textId="77777777" w:rsidTr="00A901FE">
        <w:trPr>
          <w:trHeight w:val="110"/>
        </w:trPr>
        <w:tc>
          <w:tcPr>
            <w:tcW w:w="1076" w:type="dxa"/>
            <w:tcMar>
              <w:top w:w="0" w:type="dxa"/>
              <w:left w:w="108" w:type="dxa"/>
              <w:bottom w:w="0" w:type="dxa"/>
              <w:right w:w="108" w:type="dxa"/>
            </w:tcMar>
          </w:tcPr>
          <w:p w14:paraId="2FEE9078" w14:textId="77777777" w:rsidR="008D3F1E" w:rsidRPr="00B10AC9" w:rsidRDefault="008D3F1E" w:rsidP="00A901FE">
            <w:pPr>
              <w:spacing w:before="120" w:after="120" w:line="240" w:lineRule="auto"/>
              <w:rPr>
                <w:rFonts w:ascii="Times New Roman" w:hAnsi="Times New Roman" w:cs="Times New Roman"/>
                <w:b/>
                <w:bCs/>
              </w:rPr>
            </w:pPr>
            <w:r w:rsidRPr="00B10AC9">
              <w:rPr>
                <w:rFonts w:ascii="Times New Roman" w:hAnsi="Times New Roman" w:cs="Times New Roman"/>
                <w:b/>
                <w:bCs/>
              </w:rPr>
              <w:t>2021</w:t>
            </w:r>
          </w:p>
        </w:tc>
        <w:tc>
          <w:tcPr>
            <w:tcW w:w="3820" w:type="dxa"/>
            <w:tcMar>
              <w:top w:w="0" w:type="dxa"/>
              <w:left w:w="108" w:type="dxa"/>
              <w:bottom w:w="0" w:type="dxa"/>
              <w:right w:w="108" w:type="dxa"/>
            </w:tcMar>
          </w:tcPr>
          <w:p w14:paraId="6E292308" w14:textId="77777777" w:rsidR="008D3F1E" w:rsidRPr="00B10AC9" w:rsidRDefault="008D3F1E" w:rsidP="00A901FE">
            <w:pPr>
              <w:spacing w:before="120" w:after="120" w:line="240" w:lineRule="auto"/>
              <w:rPr>
                <w:rFonts w:ascii="Times New Roman" w:hAnsi="Times New Roman" w:cs="Times New Roman"/>
              </w:rPr>
            </w:pPr>
            <w:r w:rsidRPr="00B10AC9">
              <w:rPr>
                <w:rFonts w:ascii="Times New Roman" w:hAnsi="Times New Roman" w:cs="Times New Roman"/>
              </w:rPr>
              <w:t xml:space="preserve">559 </w:t>
            </w:r>
            <w:r w:rsidRPr="00B10AC9">
              <w:rPr>
                <w:rFonts w:ascii="Times New Roman" w:hAnsi="Times New Roman" w:cs="Times New Roman"/>
                <w:color w:val="0070C0"/>
              </w:rPr>
              <w:t xml:space="preserve">(August 1, 2021) </w:t>
            </w:r>
          </w:p>
        </w:tc>
        <w:tc>
          <w:tcPr>
            <w:tcW w:w="1964" w:type="dxa"/>
            <w:tcMar>
              <w:top w:w="0" w:type="dxa"/>
              <w:left w:w="108" w:type="dxa"/>
              <w:bottom w:w="0" w:type="dxa"/>
              <w:right w:w="108" w:type="dxa"/>
            </w:tcMar>
          </w:tcPr>
          <w:p w14:paraId="3B31E923" w14:textId="77777777" w:rsidR="008D3F1E" w:rsidRPr="00B10AC9" w:rsidRDefault="008D3F1E" w:rsidP="00A901FE">
            <w:pPr>
              <w:spacing w:before="120" w:after="120" w:line="240" w:lineRule="auto"/>
              <w:jc w:val="center"/>
              <w:rPr>
                <w:rFonts w:ascii="Times New Roman" w:hAnsi="Times New Roman" w:cs="Times New Roman"/>
              </w:rPr>
            </w:pPr>
            <w:r w:rsidRPr="00B10AC9">
              <w:rPr>
                <w:rFonts w:ascii="Times New Roman" w:hAnsi="Times New Roman" w:cs="Times New Roman"/>
              </w:rPr>
              <w:t xml:space="preserve">352 </w:t>
            </w:r>
          </w:p>
        </w:tc>
        <w:tc>
          <w:tcPr>
            <w:tcW w:w="2414" w:type="dxa"/>
            <w:tcMar>
              <w:top w:w="0" w:type="dxa"/>
              <w:left w:w="108" w:type="dxa"/>
              <w:bottom w:w="0" w:type="dxa"/>
              <w:right w:w="108" w:type="dxa"/>
            </w:tcMar>
          </w:tcPr>
          <w:p w14:paraId="04C9A7AE" w14:textId="77777777" w:rsidR="008D3F1E" w:rsidRPr="00B10AC9" w:rsidRDefault="008D3F1E" w:rsidP="00A901FE">
            <w:pPr>
              <w:spacing w:before="120" w:after="120" w:line="240" w:lineRule="auto"/>
              <w:jc w:val="center"/>
              <w:rPr>
                <w:rFonts w:ascii="Times New Roman" w:hAnsi="Times New Roman" w:cs="Times New Roman"/>
                <w:b/>
                <w:bCs/>
              </w:rPr>
            </w:pPr>
            <w:r w:rsidRPr="00B10AC9">
              <w:rPr>
                <w:rFonts w:ascii="Times New Roman" w:hAnsi="Times New Roman" w:cs="Times New Roman"/>
                <w:b/>
                <w:bCs/>
              </w:rPr>
              <w:t xml:space="preserve">63% </w:t>
            </w:r>
          </w:p>
        </w:tc>
      </w:tr>
      <w:tr w:rsidR="008D3F1E" w:rsidRPr="003313B9" w14:paraId="67200E3F" w14:textId="77777777" w:rsidTr="00A901FE">
        <w:trPr>
          <w:trHeight w:val="110"/>
        </w:trPr>
        <w:tc>
          <w:tcPr>
            <w:tcW w:w="9274" w:type="dxa"/>
            <w:gridSpan w:val="4"/>
            <w:tcMar>
              <w:top w:w="0" w:type="dxa"/>
              <w:left w:w="108" w:type="dxa"/>
              <w:bottom w:w="0" w:type="dxa"/>
              <w:right w:w="108" w:type="dxa"/>
            </w:tcMar>
          </w:tcPr>
          <w:p w14:paraId="73CD6F4A" w14:textId="77777777" w:rsidR="008D3F1E" w:rsidRPr="00562337" w:rsidRDefault="008D3F1E" w:rsidP="00A901FE">
            <w:pPr>
              <w:spacing w:before="120" w:after="120" w:line="240" w:lineRule="auto"/>
              <w:rPr>
                <w:rFonts w:ascii="Times New Roman" w:hAnsi="Times New Roman" w:cs="Times New Roman"/>
                <w:sz w:val="20"/>
                <w:szCs w:val="20"/>
              </w:rPr>
            </w:pPr>
            <w:r w:rsidRPr="00562337">
              <w:rPr>
                <w:rFonts w:ascii="Times New Roman" w:hAnsi="Times New Roman" w:cs="Times New Roman"/>
                <w:sz w:val="20"/>
                <w:szCs w:val="20"/>
              </w:rPr>
              <w:t xml:space="preserve">Note: Cutoff dates for calculating </w:t>
            </w:r>
            <w:r>
              <w:rPr>
                <w:rFonts w:ascii="Times New Roman" w:hAnsi="Times New Roman" w:cs="Times New Roman"/>
                <w:sz w:val="20"/>
                <w:szCs w:val="20"/>
              </w:rPr>
              <w:t xml:space="preserve">the </w:t>
            </w:r>
            <w:r w:rsidRPr="00562337">
              <w:rPr>
                <w:rFonts w:ascii="Times New Roman" w:hAnsi="Times New Roman" w:cs="Times New Roman"/>
                <w:sz w:val="20"/>
                <w:szCs w:val="20"/>
              </w:rPr>
              <w:t>number of planned evaluations in a year</w:t>
            </w:r>
          </w:p>
          <w:p w14:paraId="2B33642B" w14:textId="77777777" w:rsidR="008D3F1E" w:rsidRPr="00562337" w:rsidRDefault="008D3F1E" w:rsidP="008D3F1E">
            <w:pPr>
              <w:pStyle w:val="ListParagraph"/>
              <w:numPr>
                <w:ilvl w:val="0"/>
                <w:numId w:val="23"/>
              </w:numPr>
              <w:spacing w:before="120" w:after="120" w:line="240" w:lineRule="auto"/>
              <w:contextualSpacing w:val="0"/>
              <w:rPr>
                <w:rFonts w:ascii="Times New Roman" w:hAnsi="Times New Roman" w:cs="Times New Roman"/>
                <w:sz w:val="20"/>
                <w:szCs w:val="20"/>
              </w:rPr>
            </w:pPr>
            <w:r w:rsidRPr="00562337">
              <w:rPr>
                <w:rFonts w:ascii="Times New Roman" w:hAnsi="Times New Roman" w:cs="Times New Roman"/>
                <w:sz w:val="20"/>
                <w:szCs w:val="20"/>
              </w:rPr>
              <w:t>2017</w:t>
            </w:r>
            <w:r>
              <w:rPr>
                <w:rFonts w:ascii="Times New Roman" w:hAnsi="Times New Roman" w:cs="Times New Roman"/>
                <w:sz w:val="20"/>
                <w:szCs w:val="20"/>
              </w:rPr>
              <w:t xml:space="preserve"> -</w:t>
            </w:r>
            <w:r w:rsidRPr="00562337">
              <w:rPr>
                <w:rFonts w:ascii="Times New Roman" w:hAnsi="Times New Roman" w:cs="Times New Roman"/>
                <w:sz w:val="20"/>
                <w:szCs w:val="20"/>
              </w:rPr>
              <w:t xml:space="preserve"> </w:t>
            </w:r>
            <w:r w:rsidRPr="00562337">
              <w:rPr>
                <w:rFonts w:ascii="Times New Roman" w:hAnsi="Times New Roman" w:cs="Times New Roman"/>
                <w:b/>
                <w:bCs/>
                <w:sz w:val="20"/>
                <w:szCs w:val="20"/>
              </w:rPr>
              <w:t>End</w:t>
            </w:r>
            <w:r w:rsidRPr="00562337">
              <w:rPr>
                <w:rFonts w:ascii="Times New Roman" w:hAnsi="Times New Roman" w:cs="Times New Roman"/>
                <w:sz w:val="20"/>
                <w:szCs w:val="20"/>
              </w:rPr>
              <w:t xml:space="preserve"> of the year (October)</w:t>
            </w:r>
          </w:p>
          <w:p w14:paraId="6D9689E1" w14:textId="77777777" w:rsidR="008D3F1E" w:rsidRPr="00562337" w:rsidRDefault="008D3F1E" w:rsidP="008D3F1E">
            <w:pPr>
              <w:pStyle w:val="ListParagraph"/>
              <w:numPr>
                <w:ilvl w:val="0"/>
                <w:numId w:val="23"/>
              </w:numPr>
              <w:spacing w:before="120" w:after="120" w:line="240" w:lineRule="auto"/>
              <w:contextualSpacing w:val="0"/>
              <w:rPr>
                <w:rFonts w:ascii="Times New Roman" w:hAnsi="Times New Roman" w:cs="Times New Roman"/>
                <w:sz w:val="20"/>
                <w:szCs w:val="20"/>
              </w:rPr>
            </w:pPr>
            <w:r w:rsidRPr="00562337">
              <w:rPr>
                <w:rFonts w:ascii="Times New Roman" w:hAnsi="Times New Roman" w:cs="Times New Roman"/>
                <w:sz w:val="20"/>
                <w:szCs w:val="20"/>
              </w:rPr>
              <w:t xml:space="preserve">2018 – </w:t>
            </w:r>
            <w:r w:rsidRPr="00562337">
              <w:rPr>
                <w:rFonts w:ascii="Times New Roman" w:hAnsi="Times New Roman" w:cs="Times New Roman"/>
                <w:b/>
                <w:bCs/>
                <w:sz w:val="20"/>
                <w:szCs w:val="20"/>
              </w:rPr>
              <w:t>Middle</w:t>
            </w:r>
            <w:r w:rsidRPr="00562337">
              <w:rPr>
                <w:rFonts w:ascii="Times New Roman" w:hAnsi="Times New Roman" w:cs="Times New Roman"/>
                <w:sz w:val="20"/>
                <w:szCs w:val="20"/>
              </w:rPr>
              <w:t xml:space="preserve"> of the year (July)</w:t>
            </w:r>
          </w:p>
          <w:p w14:paraId="433468C9" w14:textId="77777777" w:rsidR="008D3F1E" w:rsidRPr="00562337" w:rsidRDefault="008D3F1E" w:rsidP="008D3F1E">
            <w:pPr>
              <w:pStyle w:val="ListParagraph"/>
              <w:numPr>
                <w:ilvl w:val="0"/>
                <w:numId w:val="23"/>
              </w:numPr>
              <w:spacing w:before="120" w:after="120" w:line="240" w:lineRule="auto"/>
              <w:contextualSpacing w:val="0"/>
              <w:rPr>
                <w:rFonts w:ascii="Times New Roman" w:hAnsi="Times New Roman" w:cs="Times New Roman"/>
                <w:sz w:val="20"/>
                <w:szCs w:val="20"/>
              </w:rPr>
            </w:pPr>
            <w:r w:rsidRPr="00562337">
              <w:rPr>
                <w:rFonts w:ascii="Times New Roman" w:hAnsi="Times New Roman" w:cs="Times New Roman"/>
                <w:sz w:val="20"/>
                <w:szCs w:val="20"/>
              </w:rPr>
              <w:t xml:space="preserve">2019 and 2020 – </w:t>
            </w:r>
            <w:r w:rsidRPr="00562337">
              <w:rPr>
                <w:rFonts w:ascii="Times New Roman" w:hAnsi="Times New Roman" w:cs="Times New Roman"/>
                <w:b/>
                <w:bCs/>
                <w:sz w:val="20"/>
                <w:szCs w:val="20"/>
              </w:rPr>
              <w:t>Beginning</w:t>
            </w:r>
            <w:r w:rsidRPr="00562337">
              <w:rPr>
                <w:rFonts w:ascii="Times New Roman" w:hAnsi="Times New Roman" w:cs="Times New Roman"/>
                <w:sz w:val="20"/>
                <w:szCs w:val="20"/>
              </w:rPr>
              <w:t xml:space="preserve"> of the year (February)</w:t>
            </w:r>
          </w:p>
          <w:p w14:paraId="4CA4BE29" w14:textId="77777777" w:rsidR="008D3F1E" w:rsidRPr="00562337" w:rsidRDefault="008D3F1E" w:rsidP="008D3F1E">
            <w:pPr>
              <w:pStyle w:val="ListParagraph"/>
              <w:numPr>
                <w:ilvl w:val="0"/>
                <w:numId w:val="23"/>
              </w:numPr>
              <w:spacing w:before="120" w:after="120" w:line="240" w:lineRule="auto"/>
              <w:contextualSpacing w:val="0"/>
              <w:rPr>
                <w:rFonts w:ascii="Times New Roman" w:hAnsi="Times New Roman" w:cs="Times New Roman"/>
                <w:sz w:val="18"/>
                <w:szCs w:val="18"/>
              </w:rPr>
            </w:pPr>
            <w:r w:rsidRPr="00562337">
              <w:rPr>
                <w:rFonts w:ascii="Times New Roman" w:hAnsi="Times New Roman" w:cs="Times New Roman"/>
                <w:sz w:val="20"/>
                <w:szCs w:val="20"/>
              </w:rPr>
              <w:t xml:space="preserve">2021 – </w:t>
            </w:r>
            <w:r w:rsidRPr="00562337">
              <w:rPr>
                <w:rFonts w:ascii="Times New Roman" w:hAnsi="Times New Roman" w:cs="Times New Roman"/>
                <w:b/>
                <w:bCs/>
                <w:sz w:val="20"/>
                <w:szCs w:val="20"/>
              </w:rPr>
              <w:t>Middle</w:t>
            </w:r>
            <w:r w:rsidRPr="00562337">
              <w:rPr>
                <w:rFonts w:ascii="Times New Roman" w:hAnsi="Times New Roman" w:cs="Times New Roman"/>
                <w:sz w:val="20"/>
                <w:szCs w:val="20"/>
              </w:rPr>
              <w:t xml:space="preserve"> of the year (August) A total of 559 is the highest recorded planned evaluation for 2021 </w:t>
            </w:r>
          </w:p>
        </w:tc>
      </w:tr>
    </w:tbl>
    <w:p w14:paraId="53CF818B" w14:textId="77777777" w:rsidR="008D3F1E" w:rsidRDefault="008D3F1E" w:rsidP="008D3F1E">
      <w:pPr>
        <w:jc w:val="center"/>
        <w:rPr>
          <w:rFonts w:ascii="Times New Roman" w:hAnsi="Times New Roman" w:cs="Times New Roman"/>
          <w:b/>
          <w:bCs/>
        </w:rPr>
      </w:pPr>
    </w:p>
    <w:p w14:paraId="5AA99899" w14:textId="77777777" w:rsidR="008D3F1E" w:rsidRPr="00FB6F90" w:rsidRDefault="008D3F1E" w:rsidP="008D3F1E">
      <w:pPr>
        <w:jc w:val="center"/>
        <w:rPr>
          <w:rFonts w:ascii="Times New Roman" w:eastAsia="Times New Roman,Batang" w:hAnsi="Times New Roman" w:cs="Times New Roman"/>
          <w:sz w:val="24"/>
          <w:szCs w:val="24"/>
          <w:lang w:eastAsia="ko-KR"/>
        </w:rPr>
      </w:pPr>
      <w:r>
        <w:rPr>
          <w:rFonts w:ascii="Times New Roman" w:hAnsi="Times New Roman" w:cs="Times New Roman"/>
          <w:b/>
          <w:bCs/>
        </w:rPr>
        <w:t>Table 3b: 2021 Evaluation completion rates using different cutoff dates</w:t>
      </w:r>
    </w:p>
    <w:tbl>
      <w:tblPr>
        <w:tblW w:w="93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0"/>
        <w:gridCol w:w="1243"/>
        <w:gridCol w:w="1004"/>
        <w:gridCol w:w="1371"/>
        <w:gridCol w:w="987"/>
        <w:gridCol w:w="1370"/>
        <w:gridCol w:w="1004"/>
        <w:gridCol w:w="1388"/>
      </w:tblGrid>
      <w:tr w:rsidR="008D3F1E" w:rsidRPr="00283999" w14:paraId="67CD5E0F" w14:textId="77777777" w:rsidTr="00A901FE">
        <w:trPr>
          <w:trHeight w:val="187"/>
          <w:jc w:val="center"/>
        </w:trPr>
        <w:tc>
          <w:tcPr>
            <w:tcW w:w="950" w:type="dxa"/>
            <w:vMerge w:val="restart"/>
            <w:tcBorders>
              <w:top w:val="single" w:sz="12" w:space="0" w:color="auto"/>
              <w:left w:val="single" w:sz="12" w:space="0" w:color="auto"/>
              <w:bottom w:val="single" w:sz="6" w:space="0" w:color="auto"/>
            </w:tcBorders>
            <w:shd w:val="clear" w:color="auto" w:fill="A3CEED" w:themeFill="accent6" w:themeFillTint="66"/>
            <w:noWrap/>
            <w:vAlign w:val="center"/>
          </w:tcPr>
          <w:p w14:paraId="374FFD06" w14:textId="77777777" w:rsidR="008D3F1E" w:rsidRPr="00374C25" w:rsidRDefault="008D3F1E" w:rsidP="00A901FE">
            <w:pPr>
              <w:spacing w:after="0" w:line="240" w:lineRule="auto"/>
              <w:rPr>
                <w:rFonts w:ascii="Times New Roman" w:eastAsia="Times New Roman" w:hAnsi="Times New Roman" w:cs="Times New Roman"/>
                <w:b/>
                <w:bCs/>
              </w:rPr>
            </w:pPr>
            <w:r w:rsidRPr="00374C25">
              <w:rPr>
                <w:rFonts w:ascii="Times New Roman" w:hAnsi="Times New Roman" w:cs="Times New Roman"/>
                <w:sz w:val="16"/>
                <w:szCs w:val="16"/>
              </w:rPr>
              <w:t xml:space="preserve"> </w:t>
            </w:r>
            <w:r w:rsidRPr="00374C25">
              <w:rPr>
                <w:rFonts w:ascii="Times New Roman" w:eastAsia="Times New Roman" w:hAnsi="Times New Roman" w:cs="Times New Roman"/>
                <w:b/>
                <w:bCs/>
              </w:rPr>
              <w:t>Region</w:t>
            </w:r>
          </w:p>
        </w:tc>
        <w:tc>
          <w:tcPr>
            <w:tcW w:w="1243" w:type="dxa"/>
            <w:vMerge w:val="restart"/>
            <w:tcBorders>
              <w:top w:val="single" w:sz="12" w:space="0" w:color="auto"/>
              <w:bottom w:val="single" w:sz="6" w:space="0" w:color="auto"/>
            </w:tcBorders>
            <w:shd w:val="clear" w:color="auto" w:fill="A3CEED" w:themeFill="accent6" w:themeFillTint="66"/>
          </w:tcPr>
          <w:p w14:paraId="12AAA80C"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Completed evaluation in 2021</w:t>
            </w:r>
          </w:p>
          <w:p w14:paraId="37FD982C" w14:textId="77777777" w:rsidR="008D3F1E" w:rsidRPr="00374C25" w:rsidRDefault="008D3F1E" w:rsidP="00A901FE">
            <w:pPr>
              <w:spacing w:after="0" w:line="240" w:lineRule="auto"/>
              <w:jc w:val="center"/>
              <w:rPr>
                <w:rFonts w:ascii="Times New Roman" w:eastAsia="Times New Roman" w:hAnsi="Times New Roman" w:cs="Times New Roman"/>
              </w:rPr>
            </w:pPr>
            <w:r w:rsidRPr="00374C25">
              <w:rPr>
                <w:rFonts w:ascii="Times New Roman" w:eastAsia="Times New Roman" w:hAnsi="Times New Roman" w:cs="Times New Roman"/>
              </w:rPr>
              <w:t>(31 Jan 2022)</w:t>
            </w:r>
          </w:p>
        </w:tc>
        <w:tc>
          <w:tcPr>
            <w:tcW w:w="7124" w:type="dxa"/>
            <w:gridSpan w:val="6"/>
            <w:tcBorders>
              <w:top w:val="single" w:sz="12" w:space="0" w:color="auto"/>
              <w:bottom w:val="single" w:sz="6" w:space="0" w:color="auto"/>
              <w:right w:val="single" w:sz="12" w:space="0" w:color="auto"/>
            </w:tcBorders>
            <w:shd w:val="clear" w:color="auto" w:fill="A3CEED" w:themeFill="accent6" w:themeFillTint="66"/>
            <w:noWrap/>
            <w:vAlign w:val="center"/>
          </w:tcPr>
          <w:p w14:paraId="16C39239"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Cutoff dates for planned evaluations in 2021</w:t>
            </w:r>
          </w:p>
        </w:tc>
      </w:tr>
      <w:tr w:rsidR="008D3F1E" w:rsidRPr="00283999" w14:paraId="5B30B685" w14:textId="77777777" w:rsidTr="00A901FE">
        <w:trPr>
          <w:trHeight w:val="357"/>
          <w:jc w:val="center"/>
        </w:trPr>
        <w:tc>
          <w:tcPr>
            <w:tcW w:w="950" w:type="dxa"/>
            <w:vMerge/>
            <w:noWrap/>
            <w:vAlign w:val="center"/>
          </w:tcPr>
          <w:p w14:paraId="4C9E5EFC" w14:textId="77777777" w:rsidR="008D3F1E" w:rsidRPr="00374C25" w:rsidRDefault="008D3F1E" w:rsidP="00A901FE">
            <w:pPr>
              <w:spacing w:after="0" w:line="240" w:lineRule="auto"/>
              <w:rPr>
                <w:rFonts w:ascii="Times New Roman" w:eastAsia="Times New Roman" w:hAnsi="Times New Roman" w:cs="Times New Roman"/>
                <w:b/>
                <w:bCs/>
              </w:rPr>
            </w:pPr>
          </w:p>
        </w:tc>
        <w:tc>
          <w:tcPr>
            <w:tcW w:w="1243" w:type="dxa"/>
            <w:vMerge/>
          </w:tcPr>
          <w:p w14:paraId="72AEB4D9" w14:textId="77777777" w:rsidR="008D3F1E" w:rsidRPr="00374C25" w:rsidRDefault="008D3F1E" w:rsidP="00A901FE">
            <w:pPr>
              <w:spacing w:after="0" w:line="240" w:lineRule="auto"/>
              <w:jc w:val="center"/>
              <w:rPr>
                <w:rFonts w:ascii="Times New Roman" w:eastAsia="Times New Roman" w:hAnsi="Times New Roman" w:cs="Times New Roman"/>
                <w:b/>
                <w:bCs/>
              </w:rPr>
            </w:pPr>
          </w:p>
        </w:tc>
        <w:tc>
          <w:tcPr>
            <w:tcW w:w="2375" w:type="dxa"/>
            <w:gridSpan w:val="2"/>
            <w:tcBorders>
              <w:top w:val="single" w:sz="6" w:space="0" w:color="auto"/>
              <w:bottom w:val="single" w:sz="6" w:space="0" w:color="auto"/>
            </w:tcBorders>
            <w:shd w:val="clear" w:color="auto" w:fill="A3CEED" w:themeFill="accent6" w:themeFillTint="66"/>
            <w:noWrap/>
          </w:tcPr>
          <w:p w14:paraId="335CD7BA"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Beginning of the year</w:t>
            </w:r>
          </w:p>
          <w:p w14:paraId="0BCCCDD2" w14:textId="77777777" w:rsidR="008D3F1E" w:rsidRPr="00374C25" w:rsidRDefault="008D3F1E" w:rsidP="00A901FE">
            <w:pPr>
              <w:spacing w:after="0" w:line="240" w:lineRule="auto"/>
              <w:jc w:val="center"/>
              <w:rPr>
                <w:rFonts w:ascii="Times New Roman" w:eastAsia="Times New Roman" w:hAnsi="Times New Roman" w:cs="Times New Roman"/>
              </w:rPr>
            </w:pPr>
            <w:r w:rsidRPr="00374C25">
              <w:rPr>
                <w:rFonts w:ascii="Times New Roman" w:eastAsia="Times New Roman" w:hAnsi="Times New Roman" w:cs="Times New Roman"/>
                <w:b/>
                <w:bCs/>
                <w:color w:val="0070C0"/>
              </w:rPr>
              <w:t xml:space="preserve"> </w:t>
            </w:r>
            <w:r w:rsidRPr="00374C25">
              <w:rPr>
                <w:rFonts w:ascii="Times New Roman" w:eastAsia="Times New Roman" w:hAnsi="Times New Roman" w:cs="Times New Roman"/>
                <w:color w:val="0070C0"/>
              </w:rPr>
              <w:t>(March 1, 2021)</w:t>
            </w:r>
          </w:p>
        </w:tc>
        <w:tc>
          <w:tcPr>
            <w:tcW w:w="2357" w:type="dxa"/>
            <w:gridSpan w:val="2"/>
            <w:tcBorders>
              <w:top w:val="single" w:sz="6" w:space="0" w:color="auto"/>
              <w:bottom w:val="single" w:sz="6" w:space="0" w:color="auto"/>
            </w:tcBorders>
            <w:shd w:val="clear" w:color="auto" w:fill="A3CEED" w:themeFill="accent6" w:themeFillTint="66"/>
            <w:noWrap/>
          </w:tcPr>
          <w:p w14:paraId="4B009D32"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Mid-year</w:t>
            </w:r>
          </w:p>
          <w:p w14:paraId="719B71EF" w14:textId="77777777" w:rsidR="008D3F1E" w:rsidRPr="00374C25" w:rsidRDefault="008D3F1E" w:rsidP="00A901FE">
            <w:pPr>
              <w:spacing w:after="0" w:line="240" w:lineRule="auto"/>
              <w:jc w:val="center"/>
              <w:rPr>
                <w:rFonts w:ascii="Times New Roman" w:eastAsia="Times New Roman" w:hAnsi="Times New Roman" w:cs="Times New Roman"/>
              </w:rPr>
            </w:pPr>
            <w:r w:rsidRPr="00374C25">
              <w:rPr>
                <w:rFonts w:ascii="Times New Roman" w:eastAsia="Times New Roman" w:hAnsi="Times New Roman" w:cs="Times New Roman"/>
                <w:color w:val="0070C0"/>
              </w:rPr>
              <w:t>(1 August 2021)</w:t>
            </w:r>
          </w:p>
        </w:tc>
        <w:tc>
          <w:tcPr>
            <w:tcW w:w="2392" w:type="dxa"/>
            <w:gridSpan w:val="2"/>
            <w:tcBorders>
              <w:top w:val="single" w:sz="6" w:space="0" w:color="auto"/>
              <w:bottom w:val="single" w:sz="6" w:space="0" w:color="auto"/>
              <w:right w:val="single" w:sz="12" w:space="0" w:color="auto"/>
            </w:tcBorders>
            <w:shd w:val="clear" w:color="auto" w:fill="A3CEED" w:themeFill="accent6" w:themeFillTint="66"/>
          </w:tcPr>
          <w:p w14:paraId="736ED7CE"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End of the year</w:t>
            </w:r>
          </w:p>
          <w:p w14:paraId="7E59EEF2" w14:textId="77777777" w:rsidR="008D3F1E" w:rsidRPr="00374C25" w:rsidRDefault="008D3F1E" w:rsidP="00A901FE">
            <w:pPr>
              <w:spacing w:after="0" w:line="240" w:lineRule="auto"/>
              <w:jc w:val="center"/>
              <w:rPr>
                <w:rFonts w:ascii="Times New Roman" w:eastAsia="Times New Roman" w:hAnsi="Times New Roman" w:cs="Times New Roman"/>
              </w:rPr>
            </w:pPr>
            <w:r w:rsidRPr="00374C25">
              <w:rPr>
                <w:rFonts w:ascii="Times New Roman" w:eastAsia="Times New Roman" w:hAnsi="Times New Roman" w:cs="Times New Roman"/>
                <w:color w:val="0070C0"/>
              </w:rPr>
              <w:t>(November 18, 2021)</w:t>
            </w:r>
          </w:p>
        </w:tc>
      </w:tr>
      <w:tr w:rsidR="008D3F1E" w:rsidRPr="00283999" w14:paraId="3E42A091" w14:textId="77777777" w:rsidTr="00A901FE">
        <w:trPr>
          <w:trHeight w:val="132"/>
          <w:jc w:val="center"/>
        </w:trPr>
        <w:tc>
          <w:tcPr>
            <w:tcW w:w="950" w:type="dxa"/>
            <w:vMerge/>
            <w:noWrap/>
            <w:vAlign w:val="center"/>
          </w:tcPr>
          <w:p w14:paraId="76D6E8DA" w14:textId="77777777" w:rsidR="008D3F1E" w:rsidRPr="00374C25" w:rsidRDefault="008D3F1E" w:rsidP="00A901FE">
            <w:pPr>
              <w:spacing w:after="0" w:line="240" w:lineRule="auto"/>
              <w:rPr>
                <w:rFonts w:ascii="Times New Roman" w:eastAsia="Times New Roman" w:hAnsi="Times New Roman" w:cs="Times New Roman"/>
                <w:b/>
                <w:bCs/>
              </w:rPr>
            </w:pPr>
          </w:p>
        </w:tc>
        <w:tc>
          <w:tcPr>
            <w:tcW w:w="1243" w:type="dxa"/>
            <w:vMerge/>
          </w:tcPr>
          <w:p w14:paraId="2DAFD98C" w14:textId="77777777" w:rsidR="008D3F1E" w:rsidRPr="00374C25" w:rsidRDefault="008D3F1E" w:rsidP="00A901FE">
            <w:pPr>
              <w:spacing w:after="0" w:line="240" w:lineRule="auto"/>
              <w:jc w:val="center"/>
              <w:rPr>
                <w:rFonts w:ascii="Times New Roman" w:eastAsia="Times New Roman" w:hAnsi="Times New Roman" w:cs="Times New Roman"/>
                <w:b/>
                <w:bCs/>
              </w:rPr>
            </w:pPr>
          </w:p>
        </w:tc>
        <w:tc>
          <w:tcPr>
            <w:tcW w:w="1004" w:type="dxa"/>
            <w:tcBorders>
              <w:top w:val="single" w:sz="6" w:space="0" w:color="auto"/>
              <w:bottom w:val="single" w:sz="6" w:space="0" w:color="auto"/>
            </w:tcBorders>
            <w:shd w:val="clear" w:color="auto" w:fill="A3CEED" w:themeFill="accent6" w:themeFillTint="66"/>
            <w:noWrap/>
          </w:tcPr>
          <w:p w14:paraId="4E39AE7E" w14:textId="77777777" w:rsidR="008D3F1E" w:rsidRPr="00374C25" w:rsidRDefault="008D3F1E" w:rsidP="00A901FE">
            <w:pPr>
              <w:spacing w:after="0" w:line="240" w:lineRule="auto"/>
              <w:jc w:val="center"/>
              <w:rPr>
                <w:rFonts w:ascii="Times New Roman" w:eastAsia="Times New Roman" w:hAnsi="Times New Roman" w:cs="Times New Roman"/>
                <w:b/>
                <w:sz w:val="20"/>
                <w:szCs w:val="20"/>
              </w:rPr>
            </w:pPr>
            <w:r w:rsidRPr="33DB6AAC">
              <w:rPr>
                <w:rFonts w:ascii="Times New Roman" w:eastAsia="Times New Roman" w:hAnsi="Times New Roman" w:cs="Times New Roman"/>
                <w:b/>
                <w:sz w:val="20"/>
                <w:szCs w:val="20"/>
              </w:rPr>
              <w:t xml:space="preserve">Planned </w:t>
            </w:r>
          </w:p>
        </w:tc>
        <w:tc>
          <w:tcPr>
            <w:tcW w:w="1371" w:type="dxa"/>
            <w:tcBorders>
              <w:top w:val="single" w:sz="6" w:space="0" w:color="auto"/>
              <w:bottom w:val="single" w:sz="6" w:space="0" w:color="auto"/>
            </w:tcBorders>
            <w:shd w:val="clear" w:color="auto" w:fill="A3CEED" w:themeFill="accent6" w:themeFillTint="66"/>
            <w:noWrap/>
          </w:tcPr>
          <w:p w14:paraId="15E8016D" w14:textId="77777777" w:rsidR="008D3F1E" w:rsidRPr="00374C25" w:rsidRDefault="008D3F1E" w:rsidP="00A901FE">
            <w:pPr>
              <w:spacing w:after="0" w:line="240" w:lineRule="auto"/>
              <w:jc w:val="center"/>
              <w:rPr>
                <w:rFonts w:ascii="Times New Roman" w:eastAsia="Times New Roman" w:hAnsi="Times New Roman" w:cs="Times New Roman"/>
                <w:b/>
                <w:sz w:val="20"/>
                <w:szCs w:val="20"/>
              </w:rPr>
            </w:pPr>
            <w:r w:rsidRPr="33DB6AAC">
              <w:rPr>
                <w:rFonts w:ascii="Times New Roman" w:eastAsia="Times New Roman" w:hAnsi="Times New Roman" w:cs="Times New Roman"/>
                <w:b/>
                <w:sz w:val="20"/>
                <w:szCs w:val="20"/>
              </w:rPr>
              <w:t>% Completed</w:t>
            </w:r>
          </w:p>
        </w:tc>
        <w:tc>
          <w:tcPr>
            <w:tcW w:w="987" w:type="dxa"/>
            <w:tcBorders>
              <w:top w:val="single" w:sz="6" w:space="0" w:color="auto"/>
              <w:bottom w:val="single" w:sz="6" w:space="0" w:color="auto"/>
            </w:tcBorders>
            <w:shd w:val="clear" w:color="auto" w:fill="A3CEED" w:themeFill="accent6" w:themeFillTint="66"/>
            <w:noWrap/>
          </w:tcPr>
          <w:p w14:paraId="008B6A6C" w14:textId="77777777" w:rsidR="008D3F1E" w:rsidRPr="00374C25" w:rsidRDefault="008D3F1E" w:rsidP="00A901FE">
            <w:pPr>
              <w:spacing w:after="0" w:line="240" w:lineRule="auto"/>
              <w:jc w:val="center"/>
              <w:rPr>
                <w:rFonts w:ascii="Times New Roman" w:eastAsia="Times New Roman" w:hAnsi="Times New Roman" w:cs="Times New Roman"/>
                <w:b/>
                <w:sz w:val="20"/>
                <w:szCs w:val="20"/>
              </w:rPr>
            </w:pPr>
            <w:r w:rsidRPr="33DB6AAC">
              <w:rPr>
                <w:rFonts w:ascii="Times New Roman" w:eastAsia="Times New Roman" w:hAnsi="Times New Roman" w:cs="Times New Roman"/>
                <w:b/>
                <w:sz w:val="20"/>
                <w:szCs w:val="20"/>
              </w:rPr>
              <w:t xml:space="preserve">Planned </w:t>
            </w:r>
          </w:p>
        </w:tc>
        <w:tc>
          <w:tcPr>
            <w:tcW w:w="1370" w:type="dxa"/>
            <w:tcBorders>
              <w:top w:val="single" w:sz="6" w:space="0" w:color="auto"/>
              <w:bottom w:val="single" w:sz="6" w:space="0" w:color="auto"/>
            </w:tcBorders>
            <w:shd w:val="clear" w:color="auto" w:fill="A3CEED" w:themeFill="accent6" w:themeFillTint="66"/>
            <w:noWrap/>
          </w:tcPr>
          <w:p w14:paraId="7F7E7112" w14:textId="77777777" w:rsidR="008D3F1E" w:rsidRPr="00374C25" w:rsidRDefault="008D3F1E" w:rsidP="00A901FE">
            <w:pPr>
              <w:spacing w:after="0" w:line="240" w:lineRule="auto"/>
              <w:jc w:val="center"/>
              <w:rPr>
                <w:rFonts w:ascii="Times New Roman" w:eastAsia="Times New Roman" w:hAnsi="Times New Roman" w:cs="Times New Roman"/>
                <w:b/>
                <w:sz w:val="20"/>
                <w:szCs w:val="20"/>
              </w:rPr>
            </w:pPr>
            <w:r w:rsidRPr="33DB6AAC">
              <w:rPr>
                <w:rFonts w:ascii="Times New Roman" w:eastAsia="Times New Roman" w:hAnsi="Times New Roman" w:cs="Times New Roman"/>
                <w:b/>
                <w:sz w:val="20"/>
                <w:szCs w:val="20"/>
              </w:rPr>
              <w:t>% Completed</w:t>
            </w:r>
          </w:p>
        </w:tc>
        <w:tc>
          <w:tcPr>
            <w:tcW w:w="1004" w:type="dxa"/>
            <w:tcBorders>
              <w:top w:val="single" w:sz="6" w:space="0" w:color="auto"/>
              <w:bottom w:val="single" w:sz="6" w:space="0" w:color="auto"/>
            </w:tcBorders>
            <w:shd w:val="clear" w:color="auto" w:fill="A3CEED" w:themeFill="accent6" w:themeFillTint="66"/>
          </w:tcPr>
          <w:p w14:paraId="30C4B674" w14:textId="77777777" w:rsidR="008D3F1E" w:rsidRPr="00374C25" w:rsidRDefault="008D3F1E" w:rsidP="00A901FE">
            <w:pPr>
              <w:spacing w:after="0" w:line="240" w:lineRule="auto"/>
              <w:jc w:val="center"/>
              <w:rPr>
                <w:rFonts w:ascii="Times New Roman" w:eastAsia="Times New Roman" w:hAnsi="Times New Roman" w:cs="Times New Roman"/>
                <w:b/>
                <w:sz w:val="20"/>
                <w:szCs w:val="20"/>
              </w:rPr>
            </w:pPr>
            <w:r w:rsidRPr="33DB6AAC">
              <w:rPr>
                <w:rFonts w:ascii="Times New Roman" w:eastAsia="Times New Roman" w:hAnsi="Times New Roman" w:cs="Times New Roman"/>
                <w:b/>
                <w:sz w:val="20"/>
                <w:szCs w:val="20"/>
              </w:rPr>
              <w:t xml:space="preserve">Planned </w:t>
            </w:r>
          </w:p>
        </w:tc>
        <w:tc>
          <w:tcPr>
            <w:tcW w:w="1388" w:type="dxa"/>
            <w:tcBorders>
              <w:top w:val="single" w:sz="6" w:space="0" w:color="auto"/>
              <w:bottom w:val="single" w:sz="6" w:space="0" w:color="auto"/>
              <w:right w:val="single" w:sz="12" w:space="0" w:color="auto"/>
            </w:tcBorders>
            <w:shd w:val="clear" w:color="auto" w:fill="A3CEED" w:themeFill="accent6" w:themeFillTint="66"/>
          </w:tcPr>
          <w:p w14:paraId="05984959" w14:textId="77777777" w:rsidR="008D3F1E" w:rsidRPr="00374C25" w:rsidRDefault="008D3F1E" w:rsidP="00A901FE">
            <w:pPr>
              <w:spacing w:after="0" w:line="240" w:lineRule="auto"/>
              <w:jc w:val="center"/>
              <w:rPr>
                <w:rFonts w:ascii="Times New Roman" w:eastAsia="Times New Roman" w:hAnsi="Times New Roman" w:cs="Times New Roman"/>
                <w:b/>
                <w:sz w:val="20"/>
                <w:szCs w:val="20"/>
              </w:rPr>
            </w:pPr>
            <w:r w:rsidRPr="33DB6AAC">
              <w:rPr>
                <w:rFonts w:ascii="Times New Roman" w:eastAsia="Times New Roman" w:hAnsi="Times New Roman" w:cs="Times New Roman"/>
                <w:b/>
                <w:sz w:val="20"/>
                <w:szCs w:val="20"/>
              </w:rPr>
              <w:t xml:space="preserve">% Completed </w:t>
            </w:r>
          </w:p>
        </w:tc>
      </w:tr>
      <w:tr w:rsidR="008D3F1E" w:rsidRPr="00283999" w14:paraId="45282480" w14:textId="77777777" w:rsidTr="00A901FE">
        <w:trPr>
          <w:trHeight w:val="187"/>
          <w:jc w:val="center"/>
        </w:trPr>
        <w:tc>
          <w:tcPr>
            <w:tcW w:w="950" w:type="dxa"/>
            <w:tcBorders>
              <w:top w:val="single" w:sz="6" w:space="0" w:color="auto"/>
              <w:left w:val="single" w:sz="12" w:space="0" w:color="auto"/>
              <w:bottom w:val="single" w:sz="6" w:space="0" w:color="auto"/>
              <w:right w:val="single" w:sz="6" w:space="0" w:color="auto"/>
            </w:tcBorders>
            <w:noWrap/>
            <w:vAlign w:val="center"/>
            <w:hideMark/>
          </w:tcPr>
          <w:p w14:paraId="1D16AE39" w14:textId="77777777" w:rsidR="008D3F1E" w:rsidRPr="00374C25" w:rsidRDefault="008D3F1E" w:rsidP="00A901FE">
            <w:pPr>
              <w:spacing w:after="0" w:line="240" w:lineRule="auto"/>
              <w:rPr>
                <w:rFonts w:ascii="Times New Roman" w:eastAsia="Times New Roman" w:hAnsi="Times New Roman" w:cs="Times New Roman"/>
                <w:color w:val="000000"/>
              </w:rPr>
            </w:pPr>
            <w:r w:rsidRPr="00374C25">
              <w:rPr>
                <w:rFonts w:ascii="Times New Roman" w:eastAsia="Times New Roman" w:hAnsi="Times New Roman" w:cs="Times New Roman"/>
                <w:color w:val="000000"/>
              </w:rPr>
              <w:t>RBA</w:t>
            </w:r>
          </w:p>
        </w:tc>
        <w:tc>
          <w:tcPr>
            <w:tcW w:w="1243" w:type="dxa"/>
            <w:tcBorders>
              <w:top w:val="single" w:sz="6" w:space="0" w:color="auto"/>
              <w:left w:val="single" w:sz="6" w:space="0" w:color="auto"/>
              <w:bottom w:val="single" w:sz="6" w:space="0" w:color="auto"/>
              <w:right w:val="single" w:sz="6" w:space="0" w:color="auto"/>
            </w:tcBorders>
          </w:tcPr>
          <w:p w14:paraId="0A26887E"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color w:val="000000"/>
              </w:rPr>
              <w:t>89</w:t>
            </w:r>
          </w:p>
        </w:tc>
        <w:tc>
          <w:tcPr>
            <w:tcW w:w="1004" w:type="dxa"/>
            <w:tcBorders>
              <w:top w:val="single" w:sz="6" w:space="0" w:color="auto"/>
              <w:left w:val="single" w:sz="6" w:space="0" w:color="auto"/>
              <w:bottom w:val="single" w:sz="6" w:space="0" w:color="auto"/>
              <w:right w:val="single" w:sz="6" w:space="0" w:color="auto"/>
            </w:tcBorders>
            <w:noWrap/>
          </w:tcPr>
          <w:p w14:paraId="034EFDB4"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116</w:t>
            </w:r>
          </w:p>
        </w:tc>
        <w:tc>
          <w:tcPr>
            <w:tcW w:w="1371" w:type="dxa"/>
            <w:tcBorders>
              <w:top w:val="single" w:sz="6" w:space="0" w:color="auto"/>
              <w:left w:val="single" w:sz="6" w:space="0" w:color="auto"/>
              <w:bottom w:val="single" w:sz="6" w:space="0" w:color="auto"/>
              <w:right w:val="single" w:sz="6" w:space="0" w:color="auto"/>
            </w:tcBorders>
            <w:noWrap/>
          </w:tcPr>
          <w:p w14:paraId="08679126"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77%</w:t>
            </w:r>
          </w:p>
        </w:tc>
        <w:tc>
          <w:tcPr>
            <w:tcW w:w="987"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08381F79"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150</w:t>
            </w:r>
          </w:p>
        </w:tc>
        <w:tc>
          <w:tcPr>
            <w:tcW w:w="1370"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6C1C260F"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59%</w:t>
            </w:r>
          </w:p>
        </w:tc>
        <w:tc>
          <w:tcPr>
            <w:tcW w:w="1004" w:type="dxa"/>
            <w:tcBorders>
              <w:top w:val="single" w:sz="6" w:space="0" w:color="auto"/>
              <w:left w:val="single" w:sz="6" w:space="0" w:color="auto"/>
              <w:bottom w:val="single" w:sz="6" w:space="0" w:color="auto"/>
              <w:right w:val="single" w:sz="6" w:space="0" w:color="auto"/>
            </w:tcBorders>
          </w:tcPr>
          <w:p w14:paraId="0EECF87A"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149</w:t>
            </w:r>
          </w:p>
        </w:tc>
        <w:tc>
          <w:tcPr>
            <w:tcW w:w="1388" w:type="dxa"/>
            <w:tcBorders>
              <w:top w:val="single" w:sz="6" w:space="0" w:color="auto"/>
              <w:left w:val="single" w:sz="6" w:space="0" w:color="auto"/>
              <w:bottom w:val="single" w:sz="6" w:space="0" w:color="auto"/>
              <w:right w:val="single" w:sz="12" w:space="0" w:color="auto"/>
            </w:tcBorders>
          </w:tcPr>
          <w:p w14:paraId="340529FA"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60%</w:t>
            </w:r>
          </w:p>
        </w:tc>
      </w:tr>
      <w:tr w:rsidR="008D3F1E" w:rsidRPr="00283999" w14:paraId="5FE43DAE" w14:textId="77777777" w:rsidTr="00A901FE">
        <w:trPr>
          <w:trHeight w:val="187"/>
          <w:jc w:val="center"/>
        </w:trPr>
        <w:tc>
          <w:tcPr>
            <w:tcW w:w="950" w:type="dxa"/>
            <w:tcBorders>
              <w:top w:val="single" w:sz="6" w:space="0" w:color="auto"/>
              <w:left w:val="single" w:sz="12" w:space="0" w:color="auto"/>
              <w:bottom w:val="single" w:sz="6" w:space="0" w:color="auto"/>
              <w:right w:val="single" w:sz="6" w:space="0" w:color="auto"/>
            </w:tcBorders>
            <w:noWrap/>
            <w:vAlign w:val="center"/>
          </w:tcPr>
          <w:p w14:paraId="300D23AF" w14:textId="77777777" w:rsidR="008D3F1E" w:rsidRPr="00374C25" w:rsidRDefault="008D3F1E" w:rsidP="00A901FE">
            <w:pPr>
              <w:spacing w:after="0" w:line="240" w:lineRule="auto"/>
              <w:rPr>
                <w:rFonts w:ascii="Times New Roman" w:eastAsia="Times New Roman" w:hAnsi="Times New Roman" w:cs="Times New Roman"/>
                <w:color w:val="000000"/>
              </w:rPr>
            </w:pPr>
            <w:r w:rsidRPr="00374C25">
              <w:rPr>
                <w:rFonts w:ascii="Times New Roman" w:eastAsia="Times New Roman" w:hAnsi="Times New Roman" w:cs="Times New Roman"/>
                <w:color w:val="000000"/>
              </w:rPr>
              <w:t>RBAP</w:t>
            </w:r>
          </w:p>
        </w:tc>
        <w:tc>
          <w:tcPr>
            <w:tcW w:w="1243" w:type="dxa"/>
            <w:tcBorders>
              <w:top w:val="single" w:sz="6" w:space="0" w:color="auto"/>
              <w:left w:val="single" w:sz="6" w:space="0" w:color="auto"/>
              <w:bottom w:val="single" w:sz="6" w:space="0" w:color="auto"/>
              <w:right w:val="single" w:sz="6" w:space="0" w:color="auto"/>
            </w:tcBorders>
          </w:tcPr>
          <w:p w14:paraId="031EBA9B" w14:textId="77777777" w:rsidR="008D3F1E" w:rsidRPr="00374C25" w:rsidRDefault="008D3F1E" w:rsidP="00A901FE">
            <w:pPr>
              <w:spacing w:after="0" w:line="240" w:lineRule="auto"/>
              <w:jc w:val="center"/>
              <w:rPr>
                <w:rFonts w:ascii="Times New Roman" w:hAnsi="Times New Roman" w:cs="Times New Roman"/>
                <w:color w:val="000000"/>
              </w:rPr>
            </w:pPr>
            <w:r w:rsidRPr="00374C25">
              <w:rPr>
                <w:rFonts w:ascii="Times New Roman" w:hAnsi="Times New Roman" w:cs="Times New Roman"/>
                <w:color w:val="000000"/>
              </w:rPr>
              <w:t>98</w:t>
            </w:r>
          </w:p>
        </w:tc>
        <w:tc>
          <w:tcPr>
            <w:tcW w:w="1004" w:type="dxa"/>
            <w:tcBorders>
              <w:top w:val="single" w:sz="6" w:space="0" w:color="auto"/>
              <w:left w:val="single" w:sz="6" w:space="0" w:color="auto"/>
              <w:bottom w:val="single" w:sz="6" w:space="0" w:color="auto"/>
              <w:right w:val="single" w:sz="6" w:space="0" w:color="auto"/>
            </w:tcBorders>
            <w:noWrap/>
          </w:tcPr>
          <w:p w14:paraId="4CE99178" w14:textId="77777777" w:rsidR="008D3F1E" w:rsidRPr="00374C25" w:rsidRDefault="008D3F1E" w:rsidP="00A901FE">
            <w:pPr>
              <w:spacing w:after="0" w:line="240" w:lineRule="auto"/>
              <w:jc w:val="center"/>
              <w:rPr>
                <w:rFonts w:ascii="Times New Roman" w:hAnsi="Times New Roman" w:cs="Times New Roman"/>
              </w:rPr>
            </w:pPr>
            <w:r w:rsidRPr="00374C25">
              <w:rPr>
                <w:rFonts w:ascii="Times New Roman" w:hAnsi="Times New Roman" w:cs="Times New Roman"/>
              </w:rPr>
              <w:t>125</w:t>
            </w:r>
          </w:p>
        </w:tc>
        <w:tc>
          <w:tcPr>
            <w:tcW w:w="1371" w:type="dxa"/>
            <w:tcBorders>
              <w:top w:val="single" w:sz="6" w:space="0" w:color="auto"/>
              <w:left w:val="single" w:sz="6" w:space="0" w:color="auto"/>
              <w:bottom w:val="single" w:sz="6" w:space="0" w:color="auto"/>
              <w:right w:val="single" w:sz="6" w:space="0" w:color="auto"/>
            </w:tcBorders>
            <w:noWrap/>
          </w:tcPr>
          <w:p w14:paraId="377E752C"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78%</w:t>
            </w:r>
          </w:p>
        </w:tc>
        <w:tc>
          <w:tcPr>
            <w:tcW w:w="987"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0961FBE5" w14:textId="77777777" w:rsidR="008D3F1E" w:rsidRPr="00374C25" w:rsidRDefault="008D3F1E" w:rsidP="00A901FE">
            <w:pPr>
              <w:spacing w:after="0" w:line="240" w:lineRule="auto"/>
              <w:jc w:val="center"/>
              <w:rPr>
                <w:rFonts w:ascii="Times New Roman" w:hAnsi="Times New Roman" w:cs="Times New Roman"/>
              </w:rPr>
            </w:pPr>
            <w:r w:rsidRPr="00374C25">
              <w:rPr>
                <w:rFonts w:ascii="Times New Roman" w:hAnsi="Times New Roman" w:cs="Times New Roman"/>
              </w:rPr>
              <w:t>125</w:t>
            </w:r>
          </w:p>
        </w:tc>
        <w:tc>
          <w:tcPr>
            <w:tcW w:w="1370"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0F092AAE"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78%</w:t>
            </w:r>
          </w:p>
        </w:tc>
        <w:tc>
          <w:tcPr>
            <w:tcW w:w="1004" w:type="dxa"/>
            <w:tcBorders>
              <w:top w:val="single" w:sz="6" w:space="0" w:color="auto"/>
              <w:left w:val="single" w:sz="6" w:space="0" w:color="auto"/>
              <w:bottom w:val="single" w:sz="6" w:space="0" w:color="auto"/>
              <w:right w:val="single" w:sz="6" w:space="0" w:color="auto"/>
            </w:tcBorders>
          </w:tcPr>
          <w:p w14:paraId="6DB7084F" w14:textId="77777777" w:rsidR="008D3F1E" w:rsidRPr="00374C25" w:rsidRDefault="008D3F1E" w:rsidP="00A901FE">
            <w:pPr>
              <w:spacing w:after="0" w:line="240" w:lineRule="auto"/>
              <w:jc w:val="center"/>
              <w:rPr>
                <w:rFonts w:ascii="Times New Roman" w:hAnsi="Times New Roman" w:cs="Times New Roman"/>
              </w:rPr>
            </w:pPr>
            <w:r w:rsidRPr="00374C25">
              <w:rPr>
                <w:rFonts w:ascii="Times New Roman" w:hAnsi="Times New Roman" w:cs="Times New Roman"/>
              </w:rPr>
              <w:t>120</w:t>
            </w:r>
          </w:p>
        </w:tc>
        <w:tc>
          <w:tcPr>
            <w:tcW w:w="1388" w:type="dxa"/>
            <w:tcBorders>
              <w:top w:val="single" w:sz="6" w:space="0" w:color="auto"/>
              <w:left w:val="single" w:sz="6" w:space="0" w:color="auto"/>
              <w:bottom w:val="single" w:sz="6" w:space="0" w:color="auto"/>
              <w:right w:val="single" w:sz="12" w:space="0" w:color="auto"/>
            </w:tcBorders>
          </w:tcPr>
          <w:p w14:paraId="21C6BA42"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82%</w:t>
            </w:r>
          </w:p>
        </w:tc>
      </w:tr>
      <w:tr w:rsidR="008D3F1E" w:rsidRPr="00283999" w14:paraId="7DF11AAC" w14:textId="77777777" w:rsidTr="00A901FE">
        <w:trPr>
          <w:trHeight w:val="187"/>
          <w:jc w:val="center"/>
        </w:trPr>
        <w:tc>
          <w:tcPr>
            <w:tcW w:w="950" w:type="dxa"/>
            <w:tcBorders>
              <w:top w:val="single" w:sz="6" w:space="0" w:color="auto"/>
              <w:left w:val="single" w:sz="12" w:space="0" w:color="auto"/>
              <w:bottom w:val="single" w:sz="6" w:space="0" w:color="auto"/>
              <w:right w:val="single" w:sz="6" w:space="0" w:color="auto"/>
            </w:tcBorders>
            <w:noWrap/>
            <w:vAlign w:val="center"/>
            <w:hideMark/>
          </w:tcPr>
          <w:p w14:paraId="521F35E5" w14:textId="77777777" w:rsidR="008D3F1E" w:rsidRPr="00374C25" w:rsidRDefault="008D3F1E" w:rsidP="00A901FE">
            <w:pPr>
              <w:spacing w:after="0" w:line="240" w:lineRule="auto"/>
              <w:rPr>
                <w:rFonts w:ascii="Times New Roman" w:eastAsia="Times New Roman" w:hAnsi="Times New Roman" w:cs="Times New Roman"/>
                <w:color w:val="000000"/>
              </w:rPr>
            </w:pPr>
            <w:r w:rsidRPr="00374C25">
              <w:rPr>
                <w:rFonts w:ascii="Times New Roman" w:eastAsia="Times New Roman" w:hAnsi="Times New Roman" w:cs="Times New Roman"/>
                <w:color w:val="000000"/>
              </w:rPr>
              <w:t>RBAS</w:t>
            </w:r>
          </w:p>
        </w:tc>
        <w:tc>
          <w:tcPr>
            <w:tcW w:w="1243" w:type="dxa"/>
            <w:tcBorders>
              <w:top w:val="single" w:sz="6" w:space="0" w:color="auto"/>
              <w:left w:val="single" w:sz="6" w:space="0" w:color="auto"/>
              <w:bottom w:val="single" w:sz="6" w:space="0" w:color="auto"/>
              <w:right w:val="single" w:sz="6" w:space="0" w:color="auto"/>
            </w:tcBorders>
          </w:tcPr>
          <w:p w14:paraId="12636B6F"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color w:val="000000"/>
              </w:rPr>
              <w:t>31</w:t>
            </w:r>
          </w:p>
        </w:tc>
        <w:tc>
          <w:tcPr>
            <w:tcW w:w="1004" w:type="dxa"/>
            <w:tcBorders>
              <w:top w:val="single" w:sz="6" w:space="0" w:color="auto"/>
              <w:left w:val="single" w:sz="6" w:space="0" w:color="auto"/>
              <w:bottom w:val="single" w:sz="6" w:space="0" w:color="auto"/>
              <w:right w:val="single" w:sz="6" w:space="0" w:color="auto"/>
            </w:tcBorders>
            <w:noWrap/>
          </w:tcPr>
          <w:p w14:paraId="0B1D419E"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72</w:t>
            </w:r>
          </w:p>
        </w:tc>
        <w:tc>
          <w:tcPr>
            <w:tcW w:w="1371" w:type="dxa"/>
            <w:tcBorders>
              <w:top w:val="single" w:sz="6" w:space="0" w:color="auto"/>
              <w:left w:val="single" w:sz="6" w:space="0" w:color="auto"/>
              <w:bottom w:val="single" w:sz="6" w:space="0" w:color="auto"/>
              <w:right w:val="single" w:sz="6" w:space="0" w:color="auto"/>
            </w:tcBorders>
            <w:noWrap/>
          </w:tcPr>
          <w:p w14:paraId="7C6AF807"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43%</w:t>
            </w:r>
          </w:p>
        </w:tc>
        <w:tc>
          <w:tcPr>
            <w:tcW w:w="987"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2EBA1623"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67</w:t>
            </w:r>
          </w:p>
        </w:tc>
        <w:tc>
          <w:tcPr>
            <w:tcW w:w="1370"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33EFFE47"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46%</w:t>
            </w:r>
          </w:p>
        </w:tc>
        <w:tc>
          <w:tcPr>
            <w:tcW w:w="1004" w:type="dxa"/>
            <w:tcBorders>
              <w:top w:val="single" w:sz="6" w:space="0" w:color="auto"/>
              <w:left w:val="single" w:sz="6" w:space="0" w:color="auto"/>
              <w:bottom w:val="single" w:sz="6" w:space="0" w:color="auto"/>
              <w:right w:val="single" w:sz="6" w:space="0" w:color="auto"/>
            </w:tcBorders>
          </w:tcPr>
          <w:p w14:paraId="18FAC129"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57</w:t>
            </w:r>
          </w:p>
        </w:tc>
        <w:tc>
          <w:tcPr>
            <w:tcW w:w="1388" w:type="dxa"/>
            <w:tcBorders>
              <w:top w:val="single" w:sz="6" w:space="0" w:color="auto"/>
              <w:left w:val="single" w:sz="6" w:space="0" w:color="auto"/>
              <w:bottom w:val="single" w:sz="6" w:space="0" w:color="auto"/>
              <w:right w:val="single" w:sz="12" w:space="0" w:color="auto"/>
            </w:tcBorders>
          </w:tcPr>
          <w:p w14:paraId="66D113CA"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54%</w:t>
            </w:r>
          </w:p>
        </w:tc>
      </w:tr>
      <w:tr w:rsidR="008D3F1E" w:rsidRPr="00283999" w14:paraId="7127F137" w14:textId="77777777" w:rsidTr="00A901FE">
        <w:trPr>
          <w:trHeight w:val="187"/>
          <w:jc w:val="center"/>
        </w:trPr>
        <w:tc>
          <w:tcPr>
            <w:tcW w:w="950" w:type="dxa"/>
            <w:tcBorders>
              <w:top w:val="single" w:sz="6" w:space="0" w:color="auto"/>
              <w:left w:val="single" w:sz="12" w:space="0" w:color="auto"/>
              <w:bottom w:val="single" w:sz="6" w:space="0" w:color="auto"/>
              <w:right w:val="single" w:sz="6" w:space="0" w:color="auto"/>
            </w:tcBorders>
            <w:noWrap/>
            <w:vAlign w:val="center"/>
            <w:hideMark/>
          </w:tcPr>
          <w:p w14:paraId="25994713" w14:textId="77777777" w:rsidR="008D3F1E" w:rsidRPr="00374C25" w:rsidRDefault="008D3F1E" w:rsidP="00A901FE">
            <w:pPr>
              <w:spacing w:after="0" w:line="240" w:lineRule="auto"/>
              <w:rPr>
                <w:rFonts w:ascii="Times New Roman" w:eastAsia="Times New Roman" w:hAnsi="Times New Roman" w:cs="Times New Roman"/>
                <w:color w:val="000000"/>
              </w:rPr>
            </w:pPr>
            <w:r w:rsidRPr="00374C25">
              <w:rPr>
                <w:rFonts w:ascii="Times New Roman" w:eastAsia="Times New Roman" w:hAnsi="Times New Roman" w:cs="Times New Roman"/>
                <w:color w:val="000000"/>
              </w:rPr>
              <w:t>RBEC</w:t>
            </w:r>
          </w:p>
        </w:tc>
        <w:tc>
          <w:tcPr>
            <w:tcW w:w="1243" w:type="dxa"/>
            <w:tcBorders>
              <w:top w:val="single" w:sz="6" w:space="0" w:color="auto"/>
              <w:left w:val="single" w:sz="6" w:space="0" w:color="auto"/>
              <w:bottom w:val="single" w:sz="6" w:space="0" w:color="auto"/>
              <w:right w:val="single" w:sz="6" w:space="0" w:color="auto"/>
            </w:tcBorders>
          </w:tcPr>
          <w:p w14:paraId="044870DC"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color w:val="000000"/>
              </w:rPr>
              <w:t>64</w:t>
            </w:r>
          </w:p>
        </w:tc>
        <w:tc>
          <w:tcPr>
            <w:tcW w:w="1004" w:type="dxa"/>
            <w:tcBorders>
              <w:top w:val="single" w:sz="6" w:space="0" w:color="auto"/>
              <w:left w:val="single" w:sz="6" w:space="0" w:color="auto"/>
              <w:bottom w:val="single" w:sz="6" w:space="0" w:color="auto"/>
              <w:right w:val="single" w:sz="6" w:space="0" w:color="auto"/>
            </w:tcBorders>
            <w:noWrap/>
          </w:tcPr>
          <w:p w14:paraId="6A1E49F0"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58</w:t>
            </w:r>
          </w:p>
        </w:tc>
        <w:tc>
          <w:tcPr>
            <w:tcW w:w="1371" w:type="dxa"/>
            <w:tcBorders>
              <w:top w:val="single" w:sz="6" w:space="0" w:color="auto"/>
              <w:left w:val="single" w:sz="6" w:space="0" w:color="auto"/>
              <w:bottom w:val="single" w:sz="6" w:space="0" w:color="auto"/>
              <w:right w:val="single" w:sz="6" w:space="0" w:color="auto"/>
            </w:tcBorders>
            <w:noWrap/>
          </w:tcPr>
          <w:p w14:paraId="270767DC"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110%</w:t>
            </w:r>
          </w:p>
        </w:tc>
        <w:tc>
          <w:tcPr>
            <w:tcW w:w="987"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62283D6F"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100</w:t>
            </w:r>
          </w:p>
        </w:tc>
        <w:tc>
          <w:tcPr>
            <w:tcW w:w="1370"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3CC9B559"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64%</w:t>
            </w:r>
          </w:p>
        </w:tc>
        <w:tc>
          <w:tcPr>
            <w:tcW w:w="1004" w:type="dxa"/>
            <w:tcBorders>
              <w:top w:val="single" w:sz="6" w:space="0" w:color="auto"/>
              <w:left w:val="single" w:sz="6" w:space="0" w:color="auto"/>
              <w:bottom w:val="single" w:sz="6" w:space="0" w:color="auto"/>
              <w:right w:val="single" w:sz="6" w:space="0" w:color="auto"/>
            </w:tcBorders>
          </w:tcPr>
          <w:p w14:paraId="213EF1FF"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86</w:t>
            </w:r>
          </w:p>
        </w:tc>
        <w:tc>
          <w:tcPr>
            <w:tcW w:w="1388" w:type="dxa"/>
            <w:tcBorders>
              <w:top w:val="single" w:sz="6" w:space="0" w:color="auto"/>
              <w:left w:val="single" w:sz="6" w:space="0" w:color="auto"/>
              <w:bottom w:val="single" w:sz="6" w:space="0" w:color="auto"/>
              <w:right w:val="single" w:sz="12" w:space="0" w:color="auto"/>
            </w:tcBorders>
          </w:tcPr>
          <w:p w14:paraId="06D6953D"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74%</w:t>
            </w:r>
          </w:p>
        </w:tc>
      </w:tr>
      <w:tr w:rsidR="008D3F1E" w:rsidRPr="00283999" w14:paraId="0B941E20" w14:textId="77777777" w:rsidTr="00A901FE">
        <w:trPr>
          <w:trHeight w:val="187"/>
          <w:jc w:val="center"/>
        </w:trPr>
        <w:tc>
          <w:tcPr>
            <w:tcW w:w="950" w:type="dxa"/>
            <w:tcBorders>
              <w:top w:val="single" w:sz="6" w:space="0" w:color="auto"/>
              <w:left w:val="single" w:sz="12" w:space="0" w:color="auto"/>
              <w:bottom w:val="single" w:sz="6" w:space="0" w:color="auto"/>
              <w:right w:val="single" w:sz="6" w:space="0" w:color="auto"/>
            </w:tcBorders>
            <w:noWrap/>
            <w:vAlign w:val="center"/>
            <w:hideMark/>
          </w:tcPr>
          <w:p w14:paraId="245DC3B1" w14:textId="77777777" w:rsidR="008D3F1E" w:rsidRPr="00374C25" w:rsidRDefault="008D3F1E" w:rsidP="00A901FE">
            <w:pPr>
              <w:spacing w:after="0" w:line="240" w:lineRule="auto"/>
              <w:rPr>
                <w:rFonts w:ascii="Times New Roman" w:eastAsia="Times New Roman" w:hAnsi="Times New Roman" w:cs="Times New Roman"/>
                <w:color w:val="000000"/>
              </w:rPr>
            </w:pPr>
            <w:r w:rsidRPr="00374C25">
              <w:rPr>
                <w:rFonts w:ascii="Times New Roman" w:eastAsia="Times New Roman" w:hAnsi="Times New Roman" w:cs="Times New Roman"/>
                <w:color w:val="000000"/>
              </w:rPr>
              <w:t>RBLAC</w:t>
            </w:r>
          </w:p>
        </w:tc>
        <w:tc>
          <w:tcPr>
            <w:tcW w:w="1243" w:type="dxa"/>
            <w:tcBorders>
              <w:top w:val="single" w:sz="6" w:space="0" w:color="auto"/>
              <w:left w:val="single" w:sz="6" w:space="0" w:color="auto"/>
              <w:bottom w:val="single" w:sz="6" w:space="0" w:color="auto"/>
              <w:right w:val="single" w:sz="6" w:space="0" w:color="auto"/>
            </w:tcBorders>
          </w:tcPr>
          <w:p w14:paraId="3C2928C1"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color w:val="000000"/>
              </w:rPr>
              <w:t>57</w:t>
            </w:r>
          </w:p>
        </w:tc>
        <w:tc>
          <w:tcPr>
            <w:tcW w:w="1004" w:type="dxa"/>
            <w:tcBorders>
              <w:top w:val="single" w:sz="6" w:space="0" w:color="auto"/>
              <w:left w:val="single" w:sz="6" w:space="0" w:color="auto"/>
              <w:bottom w:val="single" w:sz="6" w:space="0" w:color="auto"/>
              <w:right w:val="single" w:sz="6" w:space="0" w:color="auto"/>
            </w:tcBorders>
            <w:noWrap/>
          </w:tcPr>
          <w:p w14:paraId="120D4A95"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92</w:t>
            </w:r>
          </w:p>
        </w:tc>
        <w:tc>
          <w:tcPr>
            <w:tcW w:w="1371" w:type="dxa"/>
            <w:tcBorders>
              <w:top w:val="single" w:sz="6" w:space="0" w:color="auto"/>
              <w:left w:val="single" w:sz="6" w:space="0" w:color="auto"/>
              <w:bottom w:val="single" w:sz="6" w:space="0" w:color="auto"/>
              <w:right w:val="single" w:sz="6" w:space="0" w:color="auto"/>
            </w:tcBorders>
            <w:noWrap/>
          </w:tcPr>
          <w:p w14:paraId="22F30122"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62%</w:t>
            </w:r>
          </w:p>
        </w:tc>
        <w:tc>
          <w:tcPr>
            <w:tcW w:w="987"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5F7F485F"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92</w:t>
            </w:r>
          </w:p>
        </w:tc>
        <w:tc>
          <w:tcPr>
            <w:tcW w:w="1370"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3108483E"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62%</w:t>
            </w:r>
          </w:p>
        </w:tc>
        <w:tc>
          <w:tcPr>
            <w:tcW w:w="1004" w:type="dxa"/>
            <w:tcBorders>
              <w:top w:val="single" w:sz="6" w:space="0" w:color="auto"/>
              <w:left w:val="single" w:sz="6" w:space="0" w:color="auto"/>
              <w:bottom w:val="single" w:sz="6" w:space="0" w:color="auto"/>
              <w:right w:val="single" w:sz="6" w:space="0" w:color="auto"/>
            </w:tcBorders>
          </w:tcPr>
          <w:p w14:paraId="25C8434C"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88</w:t>
            </w:r>
          </w:p>
        </w:tc>
        <w:tc>
          <w:tcPr>
            <w:tcW w:w="1388" w:type="dxa"/>
            <w:tcBorders>
              <w:top w:val="single" w:sz="6" w:space="0" w:color="auto"/>
              <w:left w:val="single" w:sz="6" w:space="0" w:color="auto"/>
              <w:bottom w:val="single" w:sz="6" w:space="0" w:color="auto"/>
              <w:right w:val="single" w:sz="12" w:space="0" w:color="auto"/>
            </w:tcBorders>
          </w:tcPr>
          <w:p w14:paraId="0ECA8D1C"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65%</w:t>
            </w:r>
          </w:p>
        </w:tc>
      </w:tr>
      <w:tr w:rsidR="008D3F1E" w:rsidRPr="00283999" w14:paraId="10462447" w14:textId="77777777" w:rsidTr="00A901FE">
        <w:trPr>
          <w:trHeight w:val="187"/>
          <w:jc w:val="center"/>
        </w:trPr>
        <w:tc>
          <w:tcPr>
            <w:tcW w:w="95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C5478E2" w14:textId="77777777" w:rsidR="008D3F1E" w:rsidRPr="00374C25" w:rsidRDefault="008D3F1E" w:rsidP="00A901FE">
            <w:pPr>
              <w:spacing w:after="0" w:line="240" w:lineRule="auto"/>
              <w:rPr>
                <w:rFonts w:ascii="Times New Roman" w:eastAsia="Times New Roman" w:hAnsi="Times New Roman" w:cs="Times New Roman"/>
                <w:color w:val="000000"/>
              </w:rPr>
            </w:pPr>
            <w:r w:rsidRPr="00374C25">
              <w:rPr>
                <w:rFonts w:ascii="Times New Roman" w:eastAsia="Times New Roman" w:hAnsi="Times New Roman" w:cs="Times New Roman"/>
                <w:color w:val="000000"/>
              </w:rPr>
              <w:t>Global</w:t>
            </w:r>
          </w:p>
        </w:tc>
        <w:tc>
          <w:tcPr>
            <w:tcW w:w="1243" w:type="dxa"/>
            <w:tcBorders>
              <w:top w:val="single" w:sz="6" w:space="0" w:color="auto"/>
              <w:left w:val="single" w:sz="6" w:space="0" w:color="auto"/>
              <w:bottom w:val="single" w:sz="6" w:space="0" w:color="auto"/>
              <w:right w:val="single" w:sz="6" w:space="0" w:color="auto"/>
            </w:tcBorders>
          </w:tcPr>
          <w:p w14:paraId="5FAE45F9"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color w:val="000000"/>
              </w:rPr>
              <w:t>13</w:t>
            </w:r>
          </w:p>
        </w:tc>
        <w:tc>
          <w:tcPr>
            <w:tcW w:w="1004" w:type="dxa"/>
            <w:tcBorders>
              <w:top w:val="single" w:sz="6" w:space="0" w:color="auto"/>
              <w:left w:val="single" w:sz="6" w:space="0" w:color="auto"/>
              <w:bottom w:val="single" w:sz="6" w:space="0" w:color="auto"/>
              <w:right w:val="single" w:sz="6" w:space="0" w:color="auto"/>
            </w:tcBorders>
            <w:noWrap/>
          </w:tcPr>
          <w:p w14:paraId="3BBF536C"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26</w:t>
            </w:r>
          </w:p>
        </w:tc>
        <w:tc>
          <w:tcPr>
            <w:tcW w:w="1371" w:type="dxa"/>
            <w:tcBorders>
              <w:top w:val="single" w:sz="6" w:space="0" w:color="auto"/>
              <w:left w:val="single" w:sz="6" w:space="0" w:color="auto"/>
              <w:bottom w:val="single" w:sz="6" w:space="0" w:color="auto"/>
              <w:right w:val="single" w:sz="6" w:space="0" w:color="auto"/>
            </w:tcBorders>
            <w:noWrap/>
          </w:tcPr>
          <w:p w14:paraId="35F03AA4"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50%</w:t>
            </w:r>
          </w:p>
        </w:tc>
        <w:tc>
          <w:tcPr>
            <w:tcW w:w="987"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5C066856"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25</w:t>
            </w:r>
          </w:p>
        </w:tc>
        <w:tc>
          <w:tcPr>
            <w:tcW w:w="1370" w:type="dxa"/>
            <w:tcBorders>
              <w:top w:val="single" w:sz="6" w:space="0" w:color="auto"/>
              <w:left w:val="single" w:sz="6" w:space="0" w:color="auto"/>
              <w:bottom w:val="single" w:sz="6" w:space="0" w:color="auto"/>
              <w:right w:val="single" w:sz="6" w:space="0" w:color="auto"/>
            </w:tcBorders>
            <w:shd w:val="clear" w:color="auto" w:fill="A3CEED" w:themeFill="accent6" w:themeFillTint="66"/>
            <w:noWrap/>
          </w:tcPr>
          <w:p w14:paraId="7CDDA55F"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52%</w:t>
            </w:r>
          </w:p>
        </w:tc>
        <w:tc>
          <w:tcPr>
            <w:tcW w:w="1004" w:type="dxa"/>
            <w:tcBorders>
              <w:top w:val="single" w:sz="6" w:space="0" w:color="auto"/>
              <w:left w:val="single" w:sz="6" w:space="0" w:color="auto"/>
              <w:bottom w:val="single" w:sz="6" w:space="0" w:color="auto"/>
              <w:right w:val="single" w:sz="6" w:space="0" w:color="auto"/>
            </w:tcBorders>
          </w:tcPr>
          <w:p w14:paraId="5E1E308F"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hAnsi="Times New Roman" w:cs="Times New Roman"/>
              </w:rPr>
              <w:t>22</w:t>
            </w:r>
          </w:p>
        </w:tc>
        <w:tc>
          <w:tcPr>
            <w:tcW w:w="1388" w:type="dxa"/>
            <w:tcBorders>
              <w:top w:val="single" w:sz="6" w:space="0" w:color="auto"/>
              <w:left w:val="single" w:sz="6" w:space="0" w:color="auto"/>
              <w:bottom w:val="single" w:sz="6" w:space="0" w:color="auto"/>
              <w:right w:val="single" w:sz="12" w:space="0" w:color="auto"/>
            </w:tcBorders>
          </w:tcPr>
          <w:p w14:paraId="4739D250" w14:textId="77777777" w:rsidR="008D3F1E" w:rsidRPr="00374C25" w:rsidRDefault="008D3F1E" w:rsidP="00A901FE">
            <w:pPr>
              <w:spacing w:after="0" w:line="240" w:lineRule="auto"/>
              <w:jc w:val="center"/>
              <w:rPr>
                <w:rFonts w:ascii="Times New Roman" w:eastAsia="Times New Roman" w:hAnsi="Times New Roman" w:cs="Times New Roman"/>
                <w:color w:val="000000"/>
              </w:rPr>
            </w:pPr>
            <w:r w:rsidRPr="00374C25">
              <w:rPr>
                <w:rFonts w:ascii="Times New Roman" w:eastAsia="Times New Roman" w:hAnsi="Times New Roman" w:cs="Times New Roman"/>
                <w:color w:val="000000"/>
              </w:rPr>
              <w:t>59%</w:t>
            </w:r>
          </w:p>
        </w:tc>
      </w:tr>
      <w:tr w:rsidR="008D3F1E" w:rsidRPr="00374C25" w14:paraId="1B20ADE9" w14:textId="77777777" w:rsidTr="00A901FE">
        <w:trPr>
          <w:trHeight w:val="187"/>
          <w:jc w:val="center"/>
        </w:trPr>
        <w:tc>
          <w:tcPr>
            <w:tcW w:w="950" w:type="dxa"/>
            <w:tcBorders>
              <w:top w:val="single" w:sz="6" w:space="0" w:color="auto"/>
              <w:left w:val="single" w:sz="12" w:space="0" w:color="auto"/>
              <w:bottom w:val="single" w:sz="12" w:space="0" w:color="auto"/>
              <w:right w:val="single" w:sz="6" w:space="0" w:color="auto"/>
            </w:tcBorders>
            <w:shd w:val="clear" w:color="auto" w:fill="A3CEED" w:themeFill="accent6" w:themeFillTint="66"/>
            <w:noWrap/>
            <w:vAlign w:val="center"/>
            <w:hideMark/>
          </w:tcPr>
          <w:p w14:paraId="6DEA69C5"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Total</w:t>
            </w:r>
          </w:p>
        </w:tc>
        <w:tc>
          <w:tcPr>
            <w:tcW w:w="1243" w:type="dxa"/>
            <w:tcBorders>
              <w:top w:val="single" w:sz="6" w:space="0" w:color="auto"/>
              <w:left w:val="single" w:sz="6" w:space="0" w:color="auto"/>
              <w:bottom w:val="single" w:sz="12" w:space="0" w:color="auto"/>
              <w:right w:val="single" w:sz="6" w:space="0" w:color="auto"/>
            </w:tcBorders>
            <w:shd w:val="clear" w:color="auto" w:fill="A3CEED" w:themeFill="accent6" w:themeFillTint="66"/>
          </w:tcPr>
          <w:p w14:paraId="54E88A53"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352</w:t>
            </w:r>
          </w:p>
        </w:tc>
        <w:tc>
          <w:tcPr>
            <w:tcW w:w="1004" w:type="dxa"/>
            <w:tcBorders>
              <w:top w:val="single" w:sz="6" w:space="0" w:color="auto"/>
              <w:left w:val="single" w:sz="6" w:space="0" w:color="auto"/>
              <w:bottom w:val="single" w:sz="12" w:space="0" w:color="auto"/>
              <w:right w:val="single" w:sz="6" w:space="0" w:color="auto"/>
            </w:tcBorders>
            <w:shd w:val="clear" w:color="auto" w:fill="A3CEED" w:themeFill="accent6" w:themeFillTint="66"/>
            <w:noWrap/>
          </w:tcPr>
          <w:p w14:paraId="780F7162"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hAnsi="Times New Roman" w:cs="Times New Roman"/>
                <w:b/>
                <w:bCs/>
              </w:rPr>
              <w:t>489</w:t>
            </w:r>
          </w:p>
        </w:tc>
        <w:tc>
          <w:tcPr>
            <w:tcW w:w="1371" w:type="dxa"/>
            <w:tcBorders>
              <w:top w:val="single" w:sz="6" w:space="0" w:color="auto"/>
              <w:left w:val="single" w:sz="6" w:space="0" w:color="auto"/>
              <w:bottom w:val="single" w:sz="12" w:space="0" w:color="auto"/>
              <w:right w:val="single" w:sz="6" w:space="0" w:color="auto"/>
            </w:tcBorders>
            <w:shd w:val="clear" w:color="auto" w:fill="A3CEED" w:themeFill="accent6" w:themeFillTint="66"/>
            <w:noWrap/>
          </w:tcPr>
          <w:p w14:paraId="037DB7A3"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72%</w:t>
            </w:r>
          </w:p>
        </w:tc>
        <w:tc>
          <w:tcPr>
            <w:tcW w:w="987" w:type="dxa"/>
            <w:tcBorders>
              <w:top w:val="single" w:sz="6" w:space="0" w:color="auto"/>
              <w:left w:val="single" w:sz="6" w:space="0" w:color="auto"/>
              <w:bottom w:val="single" w:sz="12" w:space="0" w:color="auto"/>
              <w:right w:val="single" w:sz="6" w:space="0" w:color="auto"/>
            </w:tcBorders>
            <w:shd w:val="clear" w:color="auto" w:fill="A3CEED" w:themeFill="accent6" w:themeFillTint="66"/>
            <w:noWrap/>
          </w:tcPr>
          <w:p w14:paraId="08FAA596"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hAnsi="Times New Roman" w:cs="Times New Roman"/>
                <w:b/>
                <w:bCs/>
              </w:rPr>
              <w:t>559</w:t>
            </w:r>
          </w:p>
        </w:tc>
        <w:tc>
          <w:tcPr>
            <w:tcW w:w="1370" w:type="dxa"/>
            <w:tcBorders>
              <w:top w:val="single" w:sz="6" w:space="0" w:color="auto"/>
              <w:left w:val="single" w:sz="6" w:space="0" w:color="auto"/>
              <w:bottom w:val="single" w:sz="12" w:space="0" w:color="auto"/>
              <w:right w:val="single" w:sz="6" w:space="0" w:color="auto"/>
            </w:tcBorders>
            <w:shd w:val="clear" w:color="auto" w:fill="A3CEED" w:themeFill="accent6" w:themeFillTint="66"/>
            <w:noWrap/>
            <w:vAlign w:val="center"/>
          </w:tcPr>
          <w:p w14:paraId="12AF15E8"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6</w:t>
            </w:r>
            <w:r w:rsidRPr="33DB6AAC">
              <w:rPr>
                <w:rFonts w:ascii="Times New Roman" w:eastAsia="Times New Roman" w:hAnsi="Times New Roman" w:cs="Times New Roman"/>
                <w:b/>
                <w:bCs/>
              </w:rPr>
              <w:t>3</w:t>
            </w:r>
            <w:r w:rsidRPr="00374C25">
              <w:rPr>
                <w:rFonts w:ascii="Times New Roman" w:eastAsia="Times New Roman" w:hAnsi="Times New Roman" w:cs="Times New Roman"/>
                <w:b/>
                <w:bCs/>
              </w:rPr>
              <w:t>%</w:t>
            </w:r>
          </w:p>
        </w:tc>
        <w:tc>
          <w:tcPr>
            <w:tcW w:w="1004" w:type="dxa"/>
            <w:tcBorders>
              <w:top w:val="single" w:sz="6" w:space="0" w:color="auto"/>
              <w:left w:val="single" w:sz="6" w:space="0" w:color="auto"/>
              <w:bottom w:val="single" w:sz="12" w:space="0" w:color="auto"/>
              <w:right w:val="single" w:sz="6" w:space="0" w:color="auto"/>
            </w:tcBorders>
            <w:shd w:val="clear" w:color="auto" w:fill="A3CEED" w:themeFill="accent6" w:themeFillTint="66"/>
          </w:tcPr>
          <w:p w14:paraId="61E8116A"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hAnsi="Times New Roman" w:cs="Times New Roman"/>
                <w:b/>
                <w:bCs/>
              </w:rPr>
              <w:t>522</w:t>
            </w:r>
          </w:p>
        </w:tc>
        <w:tc>
          <w:tcPr>
            <w:tcW w:w="1388" w:type="dxa"/>
            <w:tcBorders>
              <w:top w:val="single" w:sz="6" w:space="0" w:color="auto"/>
              <w:left w:val="single" w:sz="6" w:space="0" w:color="auto"/>
              <w:bottom w:val="single" w:sz="12" w:space="0" w:color="auto"/>
              <w:right w:val="single" w:sz="12" w:space="0" w:color="auto"/>
            </w:tcBorders>
            <w:shd w:val="clear" w:color="auto" w:fill="A3CEED" w:themeFill="accent6" w:themeFillTint="66"/>
          </w:tcPr>
          <w:p w14:paraId="1EF0E8D3" w14:textId="77777777" w:rsidR="008D3F1E" w:rsidRPr="00374C25" w:rsidRDefault="008D3F1E" w:rsidP="00A901FE">
            <w:pPr>
              <w:spacing w:after="0" w:line="240" w:lineRule="auto"/>
              <w:jc w:val="center"/>
              <w:rPr>
                <w:rFonts w:ascii="Times New Roman" w:eastAsia="Times New Roman" w:hAnsi="Times New Roman" w:cs="Times New Roman"/>
                <w:b/>
                <w:bCs/>
              </w:rPr>
            </w:pPr>
            <w:r w:rsidRPr="00374C25">
              <w:rPr>
                <w:rFonts w:ascii="Times New Roman" w:eastAsia="Times New Roman" w:hAnsi="Times New Roman" w:cs="Times New Roman"/>
                <w:b/>
                <w:bCs/>
              </w:rPr>
              <w:t>67%</w:t>
            </w:r>
          </w:p>
        </w:tc>
      </w:tr>
      <w:tr w:rsidR="008D3F1E" w:rsidRPr="00283999" w14:paraId="1BC80E3F" w14:textId="77777777" w:rsidTr="00A901FE">
        <w:trPr>
          <w:trHeight w:val="187"/>
          <w:jc w:val="center"/>
        </w:trPr>
        <w:tc>
          <w:tcPr>
            <w:tcW w:w="9317" w:type="dxa"/>
            <w:gridSpan w:val="8"/>
            <w:tcBorders>
              <w:top w:val="single" w:sz="12" w:space="0" w:color="auto"/>
              <w:left w:val="single" w:sz="6" w:space="0" w:color="auto"/>
              <w:bottom w:val="single" w:sz="6" w:space="0" w:color="auto"/>
              <w:right w:val="single" w:sz="6" w:space="0" w:color="auto"/>
            </w:tcBorders>
            <w:shd w:val="clear" w:color="auto" w:fill="FFFFFF" w:themeFill="background1"/>
            <w:noWrap/>
            <w:vAlign w:val="center"/>
          </w:tcPr>
          <w:p w14:paraId="4FBC9384" w14:textId="77777777" w:rsidR="008D3F1E" w:rsidRPr="00283999" w:rsidRDefault="008D3F1E" w:rsidP="00A901FE">
            <w:pPr>
              <w:spacing w:after="0" w:line="240" w:lineRule="auto"/>
              <w:rPr>
                <w:rFonts w:ascii="Times New Roman" w:eastAsia="Times New Roman" w:hAnsi="Times New Roman" w:cs="Times New Roman"/>
                <w:sz w:val="18"/>
                <w:szCs w:val="18"/>
              </w:rPr>
            </w:pPr>
            <w:r w:rsidRPr="00283999">
              <w:rPr>
                <w:rFonts w:ascii="Times New Roman" w:eastAsia="Times New Roman" w:hAnsi="Times New Roman" w:cs="Times New Roman"/>
                <w:sz w:val="18"/>
                <w:szCs w:val="18"/>
              </w:rPr>
              <w:lastRenderedPageBreak/>
              <w:t xml:space="preserve">Note: </w:t>
            </w:r>
          </w:p>
          <w:p w14:paraId="107420EC" w14:textId="77777777" w:rsidR="008D3F1E" w:rsidRPr="00374C25" w:rsidRDefault="008D3F1E" w:rsidP="008D3F1E">
            <w:pPr>
              <w:pStyle w:val="ListParagraph"/>
              <w:numPr>
                <w:ilvl w:val="0"/>
                <w:numId w:val="33"/>
              </w:numPr>
              <w:spacing w:after="0" w:line="240" w:lineRule="auto"/>
              <w:ind w:left="319" w:hanging="333"/>
              <w:contextualSpacing w:val="0"/>
              <w:rPr>
                <w:rFonts w:ascii="Times New Roman" w:eastAsia="Times New Roman" w:hAnsi="Times New Roman" w:cs="Times New Roman"/>
                <w:sz w:val="20"/>
                <w:szCs w:val="20"/>
              </w:rPr>
            </w:pPr>
            <w:r w:rsidRPr="00374C25">
              <w:rPr>
                <w:rFonts w:ascii="Times New Roman" w:eastAsia="Times New Roman" w:hAnsi="Times New Roman" w:cs="Times New Roman"/>
                <w:sz w:val="20"/>
                <w:szCs w:val="20"/>
              </w:rPr>
              <w:t>January 31, 2022: This is the cutoff date for accounting total number of completed evaluations in 2021</w:t>
            </w:r>
          </w:p>
          <w:p w14:paraId="521FBBC6" w14:textId="77777777" w:rsidR="008D3F1E" w:rsidRPr="00374C25" w:rsidRDefault="008D3F1E" w:rsidP="008D3F1E">
            <w:pPr>
              <w:pStyle w:val="ListParagraph"/>
              <w:numPr>
                <w:ilvl w:val="0"/>
                <w:numId w:val="33"/>
              </w:numPr>
              <w:spacing w:after="0" w:line="240" w:lineRule="auto"/>
              <w:ind w:left="319" w:hanging="333"/>
              <w:contextualSpacing w:val="0"/>
              <w:rPr>
                <w:rFonts w:ascii="Times New Roman" w:eastAsia="Times New Roman" w:hAnsi="Times New Roman" w:cs="Times New Roman"/>
                <w:sz w:val="20"/>
                <w:szCs w:val="20"/>
              </w:rPr>
            </w:pPr>
            <w:r w:rsidRPr="00374C25">
              <w:rPr>
                <w:rFonts w:ascii="Times New Roman" w:eastAsia="Times New Roman" w:hAnsi="Times New Roman" w:cs="Times New Roman"/>
                <w:sz w:val="20"/>
                <w:szCs w:val="20"/>
              </w:rPr>
              <w:t>March 1, 2021: Beginning of year when COs completed IWP/Annual evaluation plan for 2021</w:t>
            </w:r>
          </w:p>
          <w:p w14:paraId="2673840E" w14:textId="77777777" w:rsidR="008D3F1E" w:rsidRPr="00374C25" w:rsidRDefault="008D3F1E" w:rsidP="008D3F1E">
            <w:pPr>
              <w:pStyle w:val="ListParagraph"/>
              <w:numPr>
                <w:ilvl w:val="0"/>
                <w:numId w:val="33"/>
              </w:numPr>
              <w:spacing w:after="0" w:line="240" w:lineRule="auto"/>
              <w:ind w:left="319" w:hanging="333"/>
              <w:contextualSpacing w:val="0"/>
              <w:rPr>
                <w:rFonts w:ascii="Times New Roman" w:eastAsia="Times New Roman" w:hAnsi="Times New Roman" w:cs="Times New Roman"/>
                <w:b/>
                <w:bCs/>
                <w:sz w:val="20"/>
                <w:szCs w:val="20"/>
              </w:rPr>
            </w:pPr>
            <w:r w:rsidRPr="00374C25">
              <w:rPr>
                <w:rFonts w:ascii="Times New Roman" w:eastAsia="Times New Roman" w:hAnsi="Times New Roman" w:cs="Times New Roman"/>
                <w:b/>
                <w:bCs/>
                <w:sz w:val="20"/>
                <w:szCs w:val="20"/>
              </w:rPr>
              <w:t>August 1, 2021: The cutoff date used by IEO with the highest number of evaluations recorded in ERC</w:t>
            </w:r>
          </w:p>
          <w:p w14:paraId="389DE0DB" w14:textId="77777777" w:rsidR="008D3F1E" w:rsidRPr="00283999" w:rsidRDefault="008D3F1E" w:rsidP="008D3F1E">
            <w:pPr>
              <w:pStyle w:val="ListParagraph"/>
              <w:numPr>
                <w:ilvl w:val="0"/>
                <w:numId w:val="33"/>
              </w:numPr>
              <w:spacing w:after="0" w:line="240" w:lineRule="auto"/>
              <w:ind w:left="319" w:hanging="333"/>
              <w:contextualSpacing w:val="0"/>
              <w:rPr>
                <w:rFonts w:ascii="Times New Roman" w:eastAsia="Times New Roman" w:hAnsi="Times New Roman" w:cs="Times New Roman"/>
                <w:b/>
                <w:bCs/>
                <w:sz w:val="18"/>
                <w:szCs w:val="18"/>
              </w:rPr>
            </w:pPr>
            <w:r w:rsidRPr="00374C25">
              <w:rPr>
                <w:rFonts w:ascii="Times New Roman" w:eastAsia="Times New Roman" w:hAnsi="Times New Roman" w:cs="Times New Roman"/>
                <w:sz w:val="20"/>
                <w:szCs w:val="20"/>
              </w:rPr>
              <w:t>November 18, 2021: OPG meeting – senior management review</w:t>
            </w:r>
          </w:p>
        </w:tc>
      </w:tr>
    </w:tbl>
    <w:p w14:paraId="64D754CF" w14:textId="77777777" w:rsidR="008D3F1E" w:rsidRPr="00562337" w:rsidRDefault="008D3F1E" w:rsidP="008D3F1E">
      <w:pPr>
        <w:tabs>
          <w:tab w:val="left" w:pos="1892"/>
        </w:tabs>
        <w:rPr>
          <w:rFonts w:ascii="Times New Roman" w:hAnsi="Times New Roman" w:cs="Times New Roman"/>
          <w:sz w:val="12"/>
          <w:szCs w:val="12"/>
        </w:rPr>
      </w:pPr>
    </w:p>
    <w:p w14:paraId="33DD85CE" w14:textId="77777777" w:rsidR="008D3F1E" w:rsidRPr="00A901FE" w:rsidRDefault="008D3F1E" w:rsidP="008D3F1E">
      <w:pPr>
        <w:tabs>
          <w:tab w:val="left" w:pos="1892"/>
        </w:tabs>
        <w:rPr>
          <w:rFonts w:ascii="Times New Roman" w:eastAsia="Times New Roman,Batang" w:hAnsi="Times New Roman" w:cs="Times New Roman"/>
          <w:sz w:val="15"/>
          <w:szCs w:val="15"/>
          <w:lang w:eastAsia="ko-KR"/>
        </w:rPr>
      </w:pPr>
      <w:r w:rsidRPr="00A901FE">
        <w:rPr>
          <w:rFonts w:ascii="Times New Roman" w:eastAsia="Times New Roman" w:hAnsi="Times New Roman" w:cs="Times New Roman"/>
          <w:sz w:val="18"/>
          <w:szCs w:val="18"/>
        </w:rPr>
        <w:t xml:space="preserve">Note: If 2019 and 2020 been used as cutoff dates for calculating completed evaluations, overall performance on this indicator would have been 72 per cent instead of 62 per cent in 2021. </w:t>
      </w:r>
      <w:r w:rsidRPr="00A901FE">
        <w:rPr>
          <w:rFonts w:ascii="Times New Roman" w:eastAsia="Times New Roman,Batang" w:hAnsi="Times New Roman" w:cs="Times New Roman"/>
          <w:sz w:val="15"/>
          <w:szCs w:val="15"/>
          <w:lang w:eastAsia="ko-KR"/>
        </w:rPr>
        <w:tab/>
      </w:r>
    </w:p>
    <w:p w14:paraId="49ABEB3D" w14:textId="77777777" w:rsidR="0050259B" w:rsidRDefault="0050259B" w:rsidP="00B55186">
      <w:pPr>
        <w:spacing w:after="0" w:line="240" w:lineRule="auto"/>
        <w:jc w:val="center"/>
        <w:rPr>
          <w:rFonts w:ascii="Times New Roman" w:eastAsia="Times New Roman,Batang" w:hAnsi="Times New Roman" w:cs="Times New Roman"/>
          <w:b/>
          <w:bCs/>
          <w:color w:val="000000" w:themeColor="text1"/>
          <w:sz w:val="40"/>
          <w:szCs w:val="40"/>
          <w:lang w:eastAsia="ko-KR"/>
        </w:rPr>
      </w:pPr>
    </w:p>
    <w:bookmarkEnd w:id="0"/>
    <w:p w14:paraId="11C01D4C" w14:textId="6C327FBA" w:rsidR="006352E9" w:rsidRPr="006352E9" w:rsidRDefault="006352E9" w:rsidP="00374C25">
      <w:pPr>
        <w:tabs>
          <w:tab w:val="left" w:pos="1892"/>
        </w:tabs>
        <w:rPr>
          <w:rFonts w:ascii="Times New Roman" w:eastAsia="Times New Roman,Batang" w:hAnsi="Times New Roman" w:cs="Times New Roman"/>
          <w:sz w:val="20"/>
          <w:szCs w:val="20"/>
          <w:lang w:eastAsia="ko-KR"/>
        </w:rPr>
      </w:pPr>
      <w:r>
        <w:rPr>
          <w:rFonts w:ascii="Times New Roman" w:eastAsia="Times New Roman,Batang" w:hAnsi="Times New Roman" w:cs="Times New Roman"/>
          <w:sz w:val="20"/>
          <w:szCs w:val="20"/>
          <w:lang w:eastAsia="ko-KR"/>
        </w:rPr>
        <w:tab/>
      </w:r>
    </w:p>
    <w:sectPr w:rsidR="006352E9" w:rsidRPr="006352E9" w:rsidSect="00D56B5F">
      <w:footerReference w:type="default" r:id="rId1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68E0" w14:textId="77777777" w:rsidR="002618D0" w:rsidRDefault="002618D0" w:rsidP="00E56A57">
      <w:pPr>
        <w:spacing w:after="0" w:line="240" w:lineRule="auto"/>
      </w:pPr>
      <w:r>
        <w:separator/>
      </w:r>
    </w:p>
  </w:endnote>
  <w:endnote w:type="continuationSeparator" w:id="0">
    <w:p w14:paraId="186D78DC" w14:textId="77777777" w:rsidR="002618D0" w:rsidRDefault="002618D0" w:rsidP="00E56A57">
      <w:pPr>
        <w:spacing w:after="0" w:line="240" w:lineRule="auto"/>
      </w:pPr>
      <w:r>
        <w:continuationSeparator/>
      </w:r>
    </w:p>
  </w:endnote>
  <w:endnote w:type="continuationNotice" w:id="1">
    <w:p w14:paraId="49081895" w14:textId="77777777" w:rsidR="002618D0" w:rsidRDefault="00261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Batang">
    <w:altName w:val="Times New Roman"/>
    <w:panose1 w:val="00000000000000000000"/>
    <w:charset w:val="00"/>
    <w:family w:val="auto"/>
    <w:notTrueType/>
    <w:pitch w:val="variable"/>
    <w:sig w:usb0="E00002FF" w:usb1="5000205A"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34616"/>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6F6603FA" w14:textId="77777777" w:rsidR="00D56B5F" w:rsidRPr="00DF2366" w:rsidRDefault="00BE3585">
        <w:pPr>
          <w:pStyle w:val="Footer"/>
          <w:pBdr>
            <w:top w:val="single" w:sz="4" w:space="1" w:color="D9D9D9" w:themeColor="background1" w:themeShade="D9"/>
          </w:pBdr>
          <w:jc w:val="right"/>
          <w:rPr>
            <w:rFonts w:ascii="Times New Roman" w:hAnsi="Times New Roman" w:cs="Times New Roman"/>
          </w:rPr>
        </w:pPr>
        <w:r w:rsidRPr="00DF2366">
          <w:rPr>
            <w:rFonts w:ascii="Times New Roman" w:hAnsi="Times New Roman" w:cs="Times New Roman"/>
          </w:rPr>
          <w:fldChar w:fldCharType="begin"/>
        </w:r>
        <w:r w:rsidRPr="00DF2366">
          <w:rPr>
            <w:rFonts w:ascii="Times New Roman" w:hAnsi="Times New Roman" w:cs="Times New Roman"/>
          </w:rPr>
          <w:instrText xml:space="preserve"> PAGE   \* MERGEFORMAT </w:instrText>
        </w:r>
        <w:r w:rsidRPr="00DF2366">
          <w:rPr>
            <w:rFonts w:ascii="Times New Roman" w:hAnsi="Times New Roman" w:cs="Times New Roman"/>
          </w:rPr>
          <w:fldChar w:fldCharType="separate"/>
        </w:r>
        <w:r w:rsidRPr="00DF2366">
          <w:rPr>
            <w:rFonts w:ascii="Times New Roman" w:hAnsi="Times New Roman" w:cs="Times New Roman"/>
            <w:noProof/>
          </w:rPr>
          <w:t>2</w:t>
        </w:r>
        <w:r w:rsidRPr="00DF2366">
          <w:rPr>
            <w:rFonts w:ascii="Times New Roman" w:hAnsi="Times New Roman" w:cs="Times New Roman"/>
            <w:noProof/>
          </w:rPr>
          <w:fldChar w:fldCharType="end"/>
        </w:r>
        <w:r w:rsidRPr="00DF2366">
          <w:rPr>
            <w:rFonts w:ascii="Times New Roman" w:hAnsi="Times New Roman" w:cs="Times New Roman"/>
          </w:rPr>
          <w:t xml:space="preserve"> | </w:t>
        </w:r>
        <w:r w:rsidRPr="00DF2366">
          <w:rPr>
            <w:rFonts w:ascii="Times New Roman" w:hAnsi="Times New Roman" w:cs="Times New Roman"/>
            <w:color w:val="7F7F7F" w:themeColor="background1" w:themeShade="7F"/>
            <w:spacing w:val="60"/>
          </w:rPr>
          <w:t>Page</w:t>
        </w:r>
      </w:p>
    </w:sdtContent>
  </w:sdt>
  <w:p w14:paraId="37B3755F" w14:textId="77777777" w:rsidR="00D56B5F" w:rsidRDefault="00D5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8859" w14:textId="77777777" w:rsidR="002618D0" w:rsidRDefault="002618D0" w:rsidP="00E56A57">
      <w:pPr>
        <w:spacing w:after="0" w:line="240" w:lineRule="auto"/>
      </w:pPr>
      <w:r>
        <w:separator/>
      </w:r>
    </w:p>
  </w:footnote>
  <w:footnote w:type="continuationSeparator" w:id="0">
    <w:p w14:paraId="4D078CE8" w14:textId="77777777" w:rsidR="002618D0" w:rsidRDefault="002618D0" w:rsidP="00E56A57">
      <w:pPr>
        <w:spacing w:after="0" w:line="240" w:lineRule="auto"/>
      </w:pPr>
      <w:r>
        <w:continuationSeparator/>
      </w:r>
    </w:p>
  </w:footnote>
  <w:footnote w:type="continuationNotice" w:id="1">
    <w:p w14:paraId="100652D2" w14:textId="77777777" w:rsidR="002618D0" w:rsidRDefault="002618D0">
      <w:pPr>
        <w:spacing w:after="0" w:line="240" w:lineRule="auto"/>
      </w:pPr>
    </w:p>
  </w:footnote>
  <w:footnote w:id="2">
    <w:p w14:paraId="4041F042" w14:textId="685B04DE" w:rsidR="0050259B" w:rsidRPr="003D0AD6" w:rsidRDefault="0050259B" w:rsidP="0050259B">
      <w:pPr>
        <w:pStyle w:val="FootnoteText"/>
        <w:rPr>
          <w:sz w:val="16"/>
          <w:szCs w:val="16"/>
          <w:lang w:val="en-US"/>
        </w:rPr>
      </w:pPr>
      <w:r>
        <w:rPr>
          <w:rStyle w:val="FootnoteReference"/>
        </w:rPr>
        <w:footnoteRef/>
      </w:r>
      <w:r>
        <w:t xml:space="preserve"> </w:t>
      </w:r>
      <w:r w:rsidRPr="003D0AD6">
        <w:rPr>
          <w:rFonts w:ascii="Times New Roman" w:eastAsiaTheme="minorEastAsia" w:hAnsi="Times New Roman"/>
          <w:sz w:val="16"/>
          <w:szCs w:val="16"/>
          <w:lang w:val="en-US" w:eastAsia="ja-JP"/>
        </w:rPr>
        <w:t xml:space="preserve">Text in </w:t>
      </w:r>
      <w:r w:rsidRPr="004D5E53">
        <w:rPr>
          <w:rFonts w:ascii="Times New Roman" w:eastAsiaTheme="minorEastAsia" w:hAnsi="Times New Roman"/>
          <w:i/>
          <w:iCs/>
          <w:sz w:val="16"/>
          <w:szCs w:val="16"/>
          <w:lang w:val="en-US" w:eastAsia="ja-JP"/>
        </w:rPr>
        <w:t>italics</w:t>
      </w:r>
      <w:r w:rsidRPr="003D0AD6">
        <w:rPr>
          <w:rFonts w:ascii="Times New Roman" w:eastAsiaTheme="minorEastAsia" w:hAnsi="Times New Roman"/>
          <w:sz w:val="16"/>
          <w:szCs w:val="16"/>
          <w:lang w:val="en-US" w:eastAsia="ja-JP"/>
        </w:rPr>
        <w:t xml:space="preserve"> </w:t>
      </w:r>
      <w:r>
        <w:rPr>
          <w:rFonts w:ascii="Times New Roman" w:eastAsiaTheme="minorEastAsia" w:hAnsi="Times New Roman"/>
          <w:sz w:val="16"/>
          <w:szCs w:val="16"/>
          <w:lang w:val="en-US" w:eastAsia="ja-JP"/>
        </w:rPr>
        <w:t>have been</w:t>
      </w:r>
      <w:r w:rsidRPr="003D0AD6">
        <w:rPr>
          <w:rFonts w:ascii="Times New Roman" w:eastAsiaTheme="minorEastAsia" w:hAnsi="Times New Roman"/>
          <w:sz w:val="16"/>
          <w:szCs w:val="16"/>
          <w:lang w:val="en-US" w:eastAsia="ja-JP"/>
        </w:rPr>
        <w:t xml:space="preserve"> extracted from </w:t>
      </w:r>
      <w:r w:rsidR="003D4FEC">
        <w:rPr>
          <w:rFonts w:ascii="Times New Roman" w:eastAsiaTheme="minorEastAsia" w:hAnsi="Times New Roman"/>
          <w:sz w:val="16"/>
          <w:szCs w:val="16"/>
          <w:lang w:val="en-US" w:eastAsia="ja-JP"/>
        </w:rPr>
        <w:t xml:space="preserve">the </w:t>
      </w:r>
      <w:r w:rsidRPr="003D0AD6">
        <w:rPr>
          <w:rFonts w:ascii="Times New Roman" w:eastAsiaTheme="minorEastAsia" w:hAnsi="Times New Roman"/>
          <w:sz w:val="16"/>
          <w:szCs w:val="16"/>
          <w:lang w:val="en-US" w:eastAsia="ja-JP"/>
        </w:rPr>
        <w:t>2021</w:t>
      </w:r>
      <w:r w:rsidR="003D4FEC">
        <w:rPr>
          <w:rFonts w:ascii="Times New Roman" w:eastAsiaTheme="minorEastAsia" w:hAnsi="Times New Roman"/>
          <w:sz w:val="16"/>
          <w:szCs w:val="16"/>
          <w:lang w:val="en-US" w:eastAsia="ja-JP"/>
        </w:rPr>
        <w:t xml:space="preserve"> Annual Report on Evaluation</w:t>
      </w:r>
      <w:r>
        <w:rPr>
          <w:rFonts w:ascii="Times New Roman" w:eastAsiaTheme="minorEastAsia" w:hAnsi="Times New Roman"/>
          <w:sz w:val="16"/>
          <w:szCs w:val="16"/>
          <w:lang w:val="en-US" w:eastAsia="ja-JP"/>
        </w:rPr>
        <w:t>.</w:t>
      </w:r>
    </w:p>
  </w:footnote>
  <w:footnote w:id="3">
    <w:p w14:paraId="3CAAF708" w14:textId="77777777" w:rsidR="0050259B" w:rsidRPr="003313B9" w:rsidRDefault="0050259B" w:rsidP="0050259B">
      <w:pPr>
        <w:pStyle w:val="FootnoteText"/>
        <w:rPr>
          <w:rFonts w:ascii="Times New Roman" w:eastAsia="Calibri" w:hAnsi="Times New Roman"/>
          <w:sz w:val="16"/>
          <w:szCs w:val="16"/>
        </w:rPr>
      </w:pPr>
      <w:r w:rsidRPr="003313B9">
        <w:rPr>
          <w:rFonts w:ascii="Times New Roman" w:eastAsia="Calibri" w:hAnsi="Times New Roman"/>
          <w:sz w:val="16"/>
          <w:szCs w:val="16"/>
        </w:rPr>
        <w:footnoteRef/>
      </w:r>
      <w:r w:rsidRPr="003313B9">
        <w:rPr>
          <w:rFonts w:ascii="Times New Roman" w:eastAsia="Calibri" w:hAnsi="Times New Roman"/>
          <w:sz w:val="16"/>
          <w:szCs w:val="16"/>
        </w:rPr>
        <w:t xml:space="preserve"> RBA (Cape Verde, Central African Republic, Ghana, Guinea, Kenya, Nigeria, and South Sudan); RBAS (Egypt); RBAP (India, Nepal, Pacific Multi-Country Office); RBEC (Moldova, Ukraine); RBLAC (Bolivia, Ecuador, Peru)</w:t>
      </w:r>
      <w:r>
        <w:rPr>
          <w:rFonts w:ascii="Times New Roman" w:eastAsia="Calibri" w:hAnsi="Times New Roman"/>
          <w:sz w:val="16"/>
          <w:szCs w:val="16"/>
        </w:rPr>
        <w:t>.</w:t>
      </w:r>
    </w:p>
  </w:footnote>
  <w:footnote w:id="4">
    <w:p w14:paraId="05D3CCB2" w14:textId="77777777" w:rsidR="0050259B" w:rsidRPr="003313B9" w:rsidRDefault="0050259B" w:rsidP="0050259B">
      <w:pPr>
        <w:pStyle w:val="FootnoteText"/>
        <w:rPr>
          <w:rFonts w:ascii="Times New Roman" w:eastAsia="Calibri" w:hAnsi="Times New Roman"/>
          <w:sz w:val="16"/>
          <w:szCs w:val="16"/>
        </w:rPr>
      </w:pPr>
      <w:r w:rsidRPr="003313B9">
        <w:rPr>
          <w:rFonts w:ascii="Times New Roman" w:eastAsia="Calibri" w:hAnsi="Times New Roman"/>
          <w:sz w:val="16"/>
          <w:szCs w:val="16"/>
        </w:rPr>
        <w:footnoteRef/>
      </w:r>
      <w:r w:rsidRPr="003313B9">
        <w:rPr>
          <w:rFonts w:ascii="Times New Roman" w:eastAsia="Calibri" w:hAnsi="Times New Roman"/>
          <w:sz w:val="16"/>
          <w:szCs w:val="16"/>
        </w:rPr>
        <w:t xml:space="preserve"> RBA(Chad); RBLAC (Brazil, Honduras)</w:t>
      </w:r>
      <w:r>
        <w:rPr>
          <w:rFonts w:ascii="Times New Roman" w:eastAsia="Calibri" w:hAnsi="Times New Roman"/>
          <w:sz w:val="16"/>
          <w:szCs w:val="16"/>
        </w:rPr>
        <w:t>.</w:t>
      </w:r>
    </w:p>
  </w:footnote>
  <w:footnote w:id="5">
    <w:p w14:paraId="29607386" w14:textId="77777777" w:rsidR="0050259B" w:rsidRPr="000634E7" w:rsidRDefault="0050259B" w:rsidP="0050259B">
      <w:pPr>
        <w:pStyle w:val="FootnoteText"/>
        <w:rPr>
          <w:rFonts w:ascii="Times New Roman" w:hAnsi="Times New Roman"/>
          <w:sz w:val="16"/>
          <w:szCs w:val="16"/>
          <w:lang w:val="en-US"/>
        </w:rPr>
      </w:pPr>
      <w:r w:rsidRPr="000634E7">
        <w:rPr>
          <w:rStyle w:val="FootnoteReference"/>
          <w:rFonts w:ascii="Times New Roman" w:hAnsi="Times New Roman"/>
          <w:sz w:val="16"/>
          <w:szCs w:val="16"/>
        </w:rPr>
        <w:footnoteRef/>
      </w:r>
      <w:r w:rsidRPr="000634E7">
        <w:rPr>
          <w:rFonts w:ascii="Times New Roman" w:hAnsi="Times New Roman"/>
          <w:sz w:val="16"/>
          <w:szCs w:val="16"/>
        </w:rPr>
        <w:t xml:space="preserve"> New CPDs (1</w:t>
      </w:r>
      <w:r>
        <w:rPr>
          <w:rFonts w:ascii="Times New Roman" w:hAnsi="Times New Roman"/>
          <w:sz w:val="16"/>
          <w:szCs w:val="16"/>
        </w:rPr>
        <w:t>5</w:t>
      </w:r>
      <w:r w:rsidRPr="000634E7">
        <w:rPr>
          <w:rFonts w:ascii="Times New Roman" w:hAnsi="Times New Roman"/>
          <w:sz w:val="16"/>
          <w:szCs w:val="16"/>
        </w:rPr>
        <w:t xml:space="preserve"> out of 45) submitted or going to be submitted to the Executive Board 2022 without ICPE/ICPRs are Gambia, Guyana, Iran, Jordan, </w:t>
      </w:r>
      <w:r w:rsidRPr="00C136B4">
        <w:rPr>
          <w:rFonts w:ascii="Times New Roman" w:hAnsi="Times New Roman"/>
          <w:sz w:val="16"/>
          <w:szCs w:val="16"/>
        </w:rPr>
        <w:t>Kyrgyzstan</w:t>
      </w:r>
      <w:r>
        <w:rPr>
          <w:rFonts w:ascii="Times New Roman" w:hAnsi="Times New Roman"/>
          <w:sz w:val="16"/>
          <w:szCs w:val="16"/>
        </w:rPr>
        <w:t xml:space="preserve">, </w:t>
      </w:r>
      <w:r w:rsidRPr="000634E7">
        <w:rPr>
          <w:rFonts w:ascii="Times New Roman" w:hAnsi="Times New Roman"/>
          <w:sz w:val="16"/>
          <w:szCs w:val="16"/>
        </w:rPr>
        <w:t xml:space="preserve">Libya, </w:t>
      </w:r>
      <w:r w:rsidRPr="00C136B4">
        <w:rPr>
          <w:rFonts w:ascii="Times New Roman" w:hAnsi="Times New Roman"/>
          <w:sz w:val="16"/>
          <w:szCs w:val="16"/>
        </w:rPr>
        <w:t>Mauritania</w:t>
      </w:r>
      <w:r>
        <w:rPr>
          <w:rFonts w:ascii="Times New Roman" w:hAnsi="Times New Roman"/>
          <w:sz w:val="16"/>
          <w:szCs w:val="16"/>
        </w:rPr>
        <w:t xml:space="preserve">, </w:t>
      </w:r>
      <w:r w:rsidRPr="000634E7">
        <w:rPr>
          <w:rFonts w:ascii="Times New Roman" w:hAnsi="Times New Roman"/>
          <w:sz w:val="16"/>
          <w:szCs w:val="16"/>
        </w:rPr>
        <w:t xml:space="preserve">Morocco, Niger, </w:t>
      </w:r>
      <w:r w:rsidRPr="00C136B4">
        <w:rPr>
          <w:rFonts w:ascii="Times New Roman" w:hAnsi="Times New Roman"/>
          <w:sz w:val="16"/>
          <w:szCs w:val="16"/>
        </w:rPr>
        <w:t>Pakistan</w:t>
      </w:r>
      <w:r>
        <w:rPr>
          <w:rFonts w:ascii="Times New Roman" w:hAnsi="Times New Roman"/>
          <w:sz w:val="16"/>
          <w:szCs w:val="16"/>
        </w:rPr>
        <w:t xml:space="preserve">, </w:t>
      </w:r>
      <w:r w:rsidRPr="000634E7">
        <w:rPr>
          <w:rFonts w:ascii="Times New Roman" w:hAnsi="Times New Roman"/>
          <w:sz w:val="16"/>
          <w:szCs w:val="16"/>
        </w:rPr>
        <w:t>Sao Tome and Principe, Sudan, Suriname, Thailand, Trinidad and Tobago</w:t>
      </w:r>
    </w:p>
  </w:footnote>
  <w:footnote w:id="6">
    <w:p w14:paraId="743CB19F" w14:textId="76CC29FB" w:rsidR="0050259B" w:rsidRPr="0035085E" w:rsidRDefault="0050259B" w:rsidP="0050259B">
      <w:pPr>
        <w:pStyle w:val="FootnoteText"/>
        <w:rPr>
          <w:rFonts w:ascii="Times New Roman" w:eastAsiaTheme="minorEastAsia" w:hAnsi="Times New Roman"/>
          <w:sz w:val="16"/>
          <w:szCs w:val="16"/>
          <w:lang w:eastAsia="ja-JP"/>
        </w:rPr>
      </w:pPr>
      <w:r w:rsidRPr="0035085E">
        <w:rPr>
          <w:rStyle w:val="FootnoteReference"/>
          <w:rFonts w:ascii="Times New Roman" w:hAnsi="Times New Roman"/>
          <w:sz w:val="16"/>
          <w:szCs w:val="16"/>
        </w:rPr>
        <w:footnoteRef/>
      </w:r>
      <w:r w:rsidR="00763FB6" w:rsidRPr="0035085E">
        <w:rPr>
          <w:rFonts w:ascii="Times New Roman" w:hAnsi="Times New Roman"/>
          <w:sz w:val="16"/>
          <w:szCs w:val="16"/>
        </w:rPr>
        <w:t xml:space="preserve"> </w:t>
      </w:r>
      <w:hyperlink r:id="rId1" w:history="1">
        <w:r w:rsidR="00AC2078" w:rsidRPr="0035085E">
          <w:rPr>
            <w:rStyle w:val="Hyperlink"/>
            <w:rFonts w:ascii="Times New Roman" w:hAnsi="Times New Roman"/>
            <w:sz w:val="16"/>
            <w:szCs w:val="16"/>
          </w:rPr>
          <w:t>Information note</w:t>
        </w:r>
      </w:hyperlink>
      <w:r w:rsidR="00032220" w:rsidRPr="0035085E">
        <w:rPr>
          <w:rFonts w:ascii="Times New Roman" w:hAnsi="Times New Roman"/>
          <w:sz w:val="16"/>
          <w:szCs w:val="16"/>
        </w:rPr>
        <w:t xml:space="preserve"> dated 22 April 2022.</w:t>
      </w:r>
      <w:r w:rsidR="00AC2078" w:rsidRPr="0035085E">
        <w:rPr>
          <w:rFonts w:ascii="Times New Roman" w:hAnsi="Times New Roman"/>
          <w:sz w:val="16"/>
          <w:szCs w:val="16"/>
        </w:rPr>
        <w:t xml:space="preserve"> </w:t>
      </w:r>
    </w:p>
  </w:footnote>
  <w:footnote w:id="7">
    <w:p w14:paraId="577707B6" w14:textId="77777777" w:rsidR="0050259B" w:rsidRPr="00D95432" w:rsidRDefault="0050259B" w:rsidP="0050259B">
      <w:pPr>
        <w:pStyle w:val="FootnoteText"/>
        <w:rPr>
          <w:lang w:val="en-US"/>
        </w:rPr>
      </w:pPr>
      <w:r w:rsidRPr="00D256C1">
        <w:rPr>
          <w:rStyle w:val="FootnoteReference"/>
          <w:sz w:val="21"/>
          <w:szCs w:val="18"/>
        </w:rPr>
        <w:footnoteRef/>
      </w:r>
      <w:r w:rsidRPr="00D256C1">
        <w:rPr>
          <w:sz w:val="21"/>
          <w:szCs w:val="18"/>
        </w:rPr>
        <w:t xml:space="preserve"> </w:t>
      </w:r>
      <w:r w:rsidRPr="00D256C1">
        <w:rPr>
          <w:rFonts w:ascii="Times New Roman" w:hAnsi="Times New Roman"/>
          <w:sz w:val="16"/>
          <w:szCs w:val="16"/>
        </w:rPr>
        <w:t>DP/2021/19</w:t>
      </w:r>
    </w:p>
  </w:footnote>
  <w:footnote w:id="8">
    <w:p w14:paraId="0C6FC123" w14:textId="77777777" w:rsidR="0050259B" w:rsidRPr="00D95432" w:rsidRDefault="0050259B" w:rsidP="0050259B">
      <w:pPr>
        <w:pStyle w:val="FootnoteText"/>
        <w:rPr>
          <w:rFonts w:ascii="Times New Roman" w:hAnsi="Times New Roman"/>
          <w:lang w:val="en-US"/>
        </w:rPr>
      </w:pPr>
      <w:r w:rsidRPr="00D95432">
        <w:rPr>
          <w:rStyle w:val="FootnoteReference"/>
          <w:rFonts w:ascii="Times New Roman" w:hAnsi="Times New Roman"/>
        </w:rPr>
        <w:footnoteRef/>
      </w:r>
      <w:r w:rsidRPr="00D95432">
        <w:rPr>
          <w:rFonts w:ascii="Times New Roman" w:hAnsi="Times New Roman"/>
        </w:rPr>
        <w:t xml:space="preserve"> </w:t>
      </w:r>
      <w:r w:rsidRPr="00D95432">
        <w:rPr>
          <w:rFonts w:ascii="Times New Roman" w:hAnsi="Times New Roman"/>
          <w:sz w:val="18"/>
          <w:szCs w:val="18"/>
        </w:rPr>
        <w:t>2022/3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30C"/>
    <w:multiLevelType w:val="hybridMultilevel"/>
    <w:tmpl w:val="EC5C3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36A18"/>
    <w:multiLevelType w:val="hybridMultilevel"/>
    <w:tmpl w:val="F54C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6A55"/>
    <w:multiLevelType w:val="hybridMultilevel"/>
    <w:tmpl w:val="2636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A74D4"/>
    <w:multiLevelType w:val="hybridMultilevel"/>
    <w:tmpl w:val="58FC1B0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812928"/>
    <w:multiLevelType w:val="hybridMultilevel"/>
    <w:tmpl w:val="AF4C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A0D84"/>
    <w:multiLevelType w:val="hybridMultilevel"/>
    <w:tmpl w:val="50FC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83AFD"/>
    <w:multiLevelType w:val="hybridMultilevel"/>
    <w:tmpl w:val="F5E4B2B2"/>
    <w:lvl w:ilvl="0" w:tplc="0A5A8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82FC2"/>
    <w:multiLevelType w:val="hybridMultilevel"/>
    <w:tmpl w:val="BFA0E69C"/>
    <w:lvl w:ilvl="0" w:tplc="75469C0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6A1D"/>
    <w:multiLevelType w:val="hybridMultilevel"/>
    <w:tmpl w:val="3E36269E"/>
    <w:lvl w:ilvl="0" w:tplc="75469C0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4358C"/>
    <w:multiLevelType w:val="hybridMultilevel"/>
    <w:tmpl w:val="E55209D6"/>
    <w:lvl w:ilvl="0" w:tplc="A1442C74">
      <w:start w:val="1"/>
      <w:numFmt w:val="bullet"/>
      <w:lvlText w:val="•"/>
      <w:lvlJc w:val="left"/>
      <w:pPr>
        <w:tabs>
          <w:tab w:val="num" w:pos="720"/>
        </w:tabs>
        <w:ind w:left="720" w:hanging="360"/>
      </w:pPr>
      <w:rPr>
        <w:rFonts w:ascii="Arial" w:hAnsi="Arial" w:hint="default"/>
      </w:rPr>
    </w:lvl>
    <w:lvl w:ilvl="1" w:tplc="DF2C32A6" w:tentative="1">
      <w:start w:val="1"/>
      <w:numFmt w:val="bullet"/>
      <w:lvlText w:val="•"/>
      <w:lvlJc w:val="left"/>
      <w:pPr>
        <w:tabs>
          <w:tab w:val="num" w:pos="1440"/>
        </w:tabs>
        <w:ind w:left="1440" w:hanging="360"/>
      </w:pPr>
      <w:rPr>
        <w:rFonts w:ascii="Arial" w:hAnsi="Arial" w:hint="default"/>
      </w:rPr>
    </w:lvl>
    <w:lvl w:ilvl="2" w:tplc="8538352A" w:tentative="1">
      <w:start w:val="1"/>
      <w:numFmt w:val="bullet"/>
      <w:lvlText w:val="•"/>
      <w:lvlJc w:val="left"/>
      <w:pPr>
        <w:tabs>
          <w:tab w:val="num" w:pos="2160"/>
        </w:tabs>
        <w:ind w:left="2160" w:hanging="360"/>
      </w:pPr>
      <w:rPr>
        <w:rFonts w:ascii="Arial" w:hAnsi="Arial" w:hint="default"/>
      </w:rPr>
    </w:lvl>
    <w:lvl w:ilvl="3" w:tplc="E01ACE28" w:tentative="1">
      <w:start w:val="1"/>
      <w:numFmt w:val="bullet"/>
      <w:lvlText w:val="•"/>
      <w:lvlJc w:val="left"/>
      <w:pPr>
        <w:tabs>
          <w:tab w:val="num" w:pos="2880"/>
        </w:tabs>
        <w:ind w:left="2880" w:hanging="360"/>
      </w:pPr>
      <w:rPr>
        <w:rFonts w:ascii="Arial" w:hAnsi="Arial" w:hint="default"/>
      </w:rPr>
    </w:lvl>
    <w:lvl w:ilvl="4" w:tplc="8876BEB6" w:tentative="1">
      <w:start w:val="1"/>
      <w:numFmt w:val="bullet"/>
      <w:lvlText w:val="•"/>
      <w:lvlJc w:val="left"/>
      <w:pPr>
        <w:tabs>
          <w:tab w:val="num" w:pos="3600"/>
        </w:tabs>
        <w:ind w:left="3600" w:hanging="360"/>
      </w:pPr>
      <w:rPr>
        <w:rFonts w:ascii="Arial" w:hAnsi="Arial" w:hint="default"/>
      </w:rPr>
    </w:lvl>
    <w:lvl w:ilvl="5" w:tplc="029C5734" w:tentative="1">
      <w:start w:val="1"/>
      <w:numFmt w:val="bullet"/>
      <w:lvlText w:val="•"/>
      <w:lvlJc w:val="left"/>
      <w:pPr>
        <w:tabs>
          <w:tab w:val="num" w:pos="4320"/>
        </w:tabs>
        <w:ind w:left="4320" w:hanging="360"/>
      </w:pPr>
      <w:rPr>
        <w:rFonts w:ascii="Arial" w:hAnsi="Arial" w:hint="default"/>
      </w:rPr>
    </w:lvl>
    <w:lvl w:ilvl="6" w:tplc="D28AB5C0" w:tentative="1">
      <w:start w:val="1"/>
      <w:numFmt w:val="bullet"/>
      <w:lvlText w:val="•"/>
      <w:lvlJc w:val="left"/>
      <w:pPr>
        <w:tabs>
          <w:tab w:val="num" w:pos="5040"/>
        </w:tabs>
        <w:ind w:left="5040" w:hanging="360"/>
      </w:pPr>
      <w:rPr>
        <w:rFonts w:ascii="Arial" w:hAnsi="Arial" w:hint="default"/>
      </w:rPr>
    </w:lvl>
    <w:lvl w:ilvl="7" w:tplc="4008CE2C" w:tentative="1">
      <w:start w:val="1"/>
      <w:numFmt w:val="bullet"/>
      <w:lvlText w:val="•"/>
      <w:lvlJc w:val="left"/>
      <w:pPr>
        <w:tabs>
          <w:tab w:val="num" w:pos="5760"/>
        </w:tabs>
        <w:ind w:left="5760" w:hanging="360"/>
      </w:pPr>
      <w:rPr>
        <w:rFonts w:ascii="Arial" w:hAnsi="Arial" w:hint="default"/>
      </w:rPr>
    </w:lvl>
    <w:lvl w:ilvl="8" w:tplc="EE10A2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041A93"/>
    <w:multiLevelType w:val="hybridMultilevel"/>
    <w:tmpl w:val="66FE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34B26"/>
    <w:multiLevelType w:val="hybridMultilevel"/>
    <w:tmpl w:val="4A2E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15F30"/>
    <w:multiLevelType w:val="hybridMultilevel"/>
    <w:tmpl w:val="27EE573C"/>
    <w:lvl w:ilvl="0" w:tplc="1ACA152A">
      <w:start w:val="1"/>
      <w:numFmt w:val="decimal"/>
      <w:lvlText w:val="%1."/>
      <w:lvlJc w:val="left"/>
      <w:pPr>
        <w:ind w:left="360" w:hanging="360"/>
      </w:pPr>
      <w:rPr>
        <w:rFonts w:hint="default"/>
        <w:i w:val="0"/>
        <w:iCs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8922B2"/>
    <w:multiLevelType w:val="hybridMultilevel"/>
    <w:tmpl w:val="81AC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E520C"/>
    <w:multiLevelType w:val="hybridMultilevel"/>
    <w:tmpl w:val="BEEC0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FF34C4"/>
    <w:multiLevelType w:val="hybridMultilevel"/>
    <w:tmpl w:val="EF66C3D8"/>
    <w:lvl w:ilvl="0" w:tplc="75469C0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F52E9"/>
    <w:multiLevelType w:val="multilevel"/>
    <w:tmpl w:val="4224D744"/>
    <w:lvl w:ilvl="0">
      <w:start w:val="1"/>
      <w:numFmt w:val="decimal"/>
      <w:lvlText w:val="%1."/>
      <w:lvlJc w:val="left"/>
      <w:pPr>
        <w:ind w:left="360" w:hanging="360"/>
      </w:pPr>
      <w:rPr>
        <w:color w:val="auto"/>
      </w:rPr>
    </w:lvl>
    <w:lvl w:ilvl="1">
      <w:start w:val="1"/>
      <w:numFmt w:val="decimal"/>
      <w:lvlText w:val="%1.%2."/>
      <w:lvlJc w:val="left"/>
      <w:pPr>
        <w:ind w:left="360" w:hanging="360"/>
      </w:pPr>
      <w:rPr>
        <w:b/>
        <w:i/>
        <w:color w:val="auto"/>
      </w:rPr>
    </w:lvl>
    <w:lvl w:ilvl="2">
      <w:start w:val="1"/>
      <w:numFmt w:val="decimal"/>
      <w:lvlText w:val="%1.%2.%3."/>
      <w:lvlJc w:val="left"/>
      <w:pPr>
        <w:ind w:left="720" w:hanging="720"/>
      </w:pPr>
      <w:rPr>
        <w:color w:val="C00000"/>
      </w:rPr>
    </w:lvl>
    <w:lvl w:ilvl="3">
      <w:start w:val="1"/>
      <w:numFmt w:val="decimal"/>
      <w:lvlText w:val="%1.%2.%3.%4."/>
      <w:lvlJc w:val="left"/>
      <w:pPr>
        <w:ind w:left="720" w:hanging="720"/>
      </w:pPr>
      <w:rPr>
        <w:color w:val="C00000"/>
      </w:rPr>
    </w:lvl>
    <w:lvl w:ilvl="4">
      <w:start w:val="1"/>
      <w:numFmt w:val="decimal"/>
      <w:lvlText w:val="%1.%2.%3.%4.%5."/>
      <w:lvlJc w:val="left"/>
      <w:pPr>
        <w:ind w:left="1080" w:hanging="1080"/>
      </w:pPr>
      <w:rPr>
        <w:color w:val="C00000"/>
      </w:rPr>
    </w:lvl>
    <w:lvl w:ilvl="5">
      <w:start w:val="1"/>
      <w:numFmt w:val="decimal"/>
      <w:lvlText w:val="%1.%2.%3.%4.%5.%6."/>
      <w:lvlJc w:val="left"/>
      <w:pPr>
        <w:ind w:left="1080" w:hanging="1080"/>
      </w:pPr>
      <w:rPr>
        <w:color w:val="C00000"/>
      </w:rPr>
    </w:lvl>
    <w:lvl w:ilvl="6">
      <w:start w:val="1"/>
      <w:numFmt w:val="decimal"/>
      <w:lvlText w:val="%1.%2.%3.%4.%5.%6.%7."/>
      <w:lvlJc w:val="left"/>
      <w:pPr>
        <w:ind w:left="1440" w:hanging="1440"/>
      </w:pPr>
      <w:rPr>
        <w:color w:val="C00000"/>
      </w:rPr>
    </w:lvl>
    <w:lvl w:ilvl="7">
      <w:start w:val="1"/>
      <w:numFmt w:val="decimal"/>
      <w:lvlText w:val="%1.%2.%3.%4.%5.%6.%7.%8."/>
      <w:lvlJc w:val="left"/>
      <w:pPr>
        <w:ind w:left="1440" w:hanging="1440"/>
      </w:pPr>
      <w:rPr>
        <w:color w:val="C00000"/>
      </w:rPr>
    </w:lvl>
    <w:lvl w:ilvl="8">
      <w:start w:val="1"/>
      <w:numFmt w:val="decimal"/>
      <w:lvlText w:val="%1.%2.%3.%4.%5.%6.%7.%8.%9."/>
      <w:lvlJc w:val="left"/>
      <w:pPr>
        <w:ind w:left="1800" w:hanging="1800"/>
      </w:pPr>
      <w:rPr>
        <w:color w:val="C00000"/>
      </w:rPr>
    </w:lvl>
  </w:abstractNum>
  <w:abstractNum w:abstractNumId="17" w15:restartNumberingAfterBreak="0">
    <w:nsid w:val="38531449"/>
    <w:multiLevelType w:val="hybridMultilevel"/>
    <w:tmpl w:val="EFE2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A18D1"/>
    <w:multiLevelType w:val="hybridMultilevel"/>
    <w:tmpl w:val="6832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C044F"/>
    <w:multiLevelType w:val="hybridMultilevel"/>
    <w:tmpl w:val="5860E9F8"/>
    <w:lvl w:ilvl="0" w:tplc="EB52711A">
      <w:start w:val="29"/>
      <w:numFmt w:val="bullet"/>
      <w:lvlText w:val="-"/>
      <w:lvlJc w:val="left"/>
      <w:pPr>
        <w:ind w:left="765"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EF452A7"/>
    <w:multiLevelType w:val="hybridMultilevel"/>
    <w:tmpl w:val="9C84E7F6"/>
    <w:lvl w:ilvl="0" w:tplc="04D8395C">
      <w:start w:val="2021"/>
      <w:numFmt w:val="bullet"/>
      <w:lvlText w:val="-"/>
      <w:lvlJc w:val="left"/>
      <w:pPr>
        <w:ind w:left="1080" w:hanging="360"/>
      </w:pPr>
      <w:rPr>
        <w:rFonts w:ascii="Times New Roman" w:eastAsia="Times New Roman,Batang"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2B46A3"/>
    <w:multiLevelType w:val="hybridMultilevel"/>
    <w:tmpl w:val="23665D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D84918"/>
    <w:multiLevelType w:val="hybridMultilevel"/>
    <w:tmpl w:val="AABC7B78"/>
    <w:lvl w:ilvl="0" w:tplc="3DE6063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B710C"/>
    <w:multiLevelType w:val="hybridMultilevel"/>
    <w:tmpl w:val="2E5013CC"/>
    <w:lvl w:ilvl="0" w:tplc="75469C0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273C2"/>
    <w:multiLevelType w:val="hybridMultilevel"/>
    <w:tmpl w:val="4E28ABE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4BB5077"/>
    <w:multiLevelType w:val="multilevel"/>
    <w:tmpl w:val="0456C8E6"/>
    <w:lvl w:ilvl="0">
      <w:start w:val="1"/>
      <w:numFmt w:val="decimal"/>
      <w:isLgl/>
      <w:lvlText w:val="%1"/>
      <w:lvlJc w:val="left"/>
      <w:pPr>
        <w:tabs>
          <w:tab w:val="num" w:pos="720"/>
        </w:tabs>
        <w:ind w:left="720" w:firstLine="0"/>
      </w:pPr>
      <w:rPr>
        <w:rFonts w:hint="default"/>
        <w:color w:val="000000"/>
        <w:position w:val="0"/>
        <w:sz w:val="22"/>
      </w:rPr>
    </w:lvl>
    <w:lvl w:ilvl="1">
      <w:start w:val="1"/>
      <w:numFmt w:val="decimal"/>
      <w:lvlText w:val="%2."/>
      <w:lvlJc w:val="left"/>
      <w:pPr>
        <w:tabs>
          <w:tab w:val="num" w:pos="0"/>
        </w:tabs>
        <w:ind w:left="0" w:firstLine="0"/>
      </w:pPr>
      <w:rPr>
        <w:rFonts w:hint="default"/>
        <w:color w:val="000000"/>
        <w:position w:val="0"/>
        <w:sz w:val="22"/>
      </w:rPr>
    </w:lvl>
    <w:lvl w:ilvl="2">
      <w:start w:val="1"/>
      <w:numFmt w:val="decimal"/>
      <w:isLgl/>
      <w:lvlText w:val="%1.%2.%3"/>
      <w:lvlJc w:val="left"/>
      <w:pPr>
        <w:tabs>
          <w:tab w:val="num" w:pos="720"/>
        </w:tabs>
        <w:ind w:left="720" w:firstLine="0"/>
      </w:pPr>
      <w:rPr>
        <w:rFonts w:hint="default"/>
        <w:color w:val="000000"/>
        <w:position w:val="0"/>
        <w:sz w:val="22"/>
      </w:rPr>
    </w:lvl>
    <w:lvl w:ilvl="3">
      <w:start w:val="1"/>
      <w:numFmt w:val="decimal"/>
      <w:isLgl/>
      <w:lvlText w:val="%1.%2.%3.%4"/>
      <w:lvlJc w:val="left"/>
      <w:pPr>
        <w:tabs>
          <w:tab w:val="num" w:pos="720"/>
        </w:tabs>
        <w:ind w:left="720" w:firstLine="0"/>
      </w:pPr>
      <w:rPr>
        <w:rFonts w:hint="default"/>
        <w:color w:val="000000"/>
        <w:position w:val="0"/>
        <w:sz w:val="22"/>
      </w:rPr>
    </w:lvl>
    <w:lvl w:ilvl="4">
      <w:start w:val="1"/>
      <w:numFmt w:val="decimal"/>
      <w:isLgl/>
      <w:lvlText w:val="%1.%2.%3.%4.%5"/>
      <w:lvlJc w:val="left"/>
      <w:pPr>
        <w:tabs>
          <w:tab w:val="num" w:pos="1080"/>
        </w:tabs>
        <w:ind w:left="1080" w:firstLine="0"/>
      </w:pPr>
      <w:rPr>
        <w:rFonts w:hint="default"/>
        <w:color w:val="000000"/>
        <w:position w:val="0"/>
        <w:sz w:val="22"/>
      </w:rPr>
    </w:lvl>
    <w:lvl w:ilvl="5">
      <w:start w:val="1"/>
      <w:numFmt w:val="decimal"/>
      <w:isLgl/>
      <w:lvlText w:val="%1.%2.%3.%4.%5.%6"/>
      <w:lvlJc w:val="left"/>
      <w:pPr>
        <w:tabs>
          <w:tab w:val="num" w:pos="1080"/>
        </w:tabs>
        <w:ind w:left="1080" w:firstLine="0"/>
      </w:pPr>
      <w:rPr>
        <w:rFonts w:hint="default"/>
        <w:color w:val="000000"/>
        <w:position w:val="0"/>
        <w:sz w:val="22"/>
      </w:rPr>
    </w:lvl>
    <w:lvl w:ilvl="6">
      <w:start w:val="1"/>
      <w:numFmt w:val="decimal"/>
      <w:isLgl/>
      <w:lvlText w:val="%1.%2.%3.%4.%5.%6.%7"/>
      <w:lvlJc w:val="left"/>
      <w:pPr>
        <w:tabs>
          <w:tab w:val="num" w:pos="1440"/>
        </w:tabs>
        <w:ind w:left="1440"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080"/>
        </w:tabs>
        <w:ind w:left="1080" w:firstLine="0"/>
      </w:pPr>
      <w:rPr>
        <w:rFonts w:hint="default"/>
        <w:color w:val="000000"/>
        <w:position w:val="0"/>
        <w:sz w:val="22"/>
      </w:rPr>
    </w:lvl>
  </w:abstractNum>
  <w:abstractNum w:abstractNumId="26" w15:restartNumberingAfterBreak="0">
    <w:nsid w:val="59A66E9B"/>
    <w:multiLevelType w:val="hybridMultilevel"/>
    <w:tmpl w:val="0008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15C5A"/>
    <w:multiLevelType w:val="multilevel"/>
    <w:tmpl w:val="C84A7194"/>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15:restartNumberingAfterBreak="0">
    <w:nsid w:val="5E145F29"/>
    <w:multiLevelType w:val="hybridMultilevel"/>
    <w:tmpl w:val="0BFC0058"/>
    <w:lvl w:ilvl="0" w:tplc="75469C0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D7129E"/>
    <w:multiLevelType w:val="hybridMultilevel"/>
    <w:tmpl w:val="F15C1AFA"/>
    <w:lvl w:ilvl="0" w:tplc="3FCAAC64">
      <w:start w:val="1"/>
      <w:numFmt w:val="upperRoman"/>
      <w:lvlText w:val="%1."/>
      <w:lvlJc w:val="left"/>
      <w:pPr>
        <w:ind w:left="1080" w:hanging="72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47E69"/>
    <w:multiLevelType w:val="hybridMultilevel"/>
    <w:tmpl w:val="B4D8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D5B76"/>
    <w:multiLevelType w:val="hybridMultilevel"/>
    <w:tmpl w:val="EAF2F438"/>
    <w:lvl w:ilvl="0" w:tplc="EBC0EC10">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23A70"/>
    <w:multiLevelType w:val="hybridMultilevel"/>
    <w:tmpl w:val="0F28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86649"/>
    <w:multiLevelType w:val="hybridMultilevel"/>
    <w:tmpl w:val="B19C4600"/>
    <w:lvl w:ilvl="0" w:tplc="75469C0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B52BA"/>
    <w:multiLevelType w:val="hybridMultilevel"/>
    <w:tmpl w:val="C89453FC"/>
    <w:lvl w:ilvl="0" w:tplc="EBC0EC10">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C636E"/>
    <w:multiLevelType w:val="hybridMultilevel"/>
    <w:tmpl w:val="60B0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24"/>
  </w:num>
  <w:num w:numId="5">
    <w:abstractNumId w:val="5"/>
  </w:num>
  <w:num w:numId="6">
    <w:abstractNumId w:val="35"/>
  </w:num>
  <w:num w:numId="7">
    <w:abstractNumId w:val="11"/>
  </w:num>
  <w:num w:numId="8">
    <w:abstractNumId w:val="13"/>
  </w:num>
  <w:num w:numId="9">
    <w:abstractNumId w:val="30"/>
  </w:num>
  <w:num w:numId="10">
    <w:abstractNumId w:val="32"/>
  </w:num>
  <w:num w:numId="11">
    <w:abstractNumId w:val="20"/>
  </w:num>
  <w:num w:numId="12">
    <w:abstractNumId w:val="1"/>
  </w:num>
  <w:num w:numId="13">
    <w:abstractNumId w:val="26"/>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1"/>
  </w:num>
  <w:num w:numId="19">
    <w:abstractNumId w:val="0"/>
  </w:num>
  <w:num w:numId="20">
    <w:abstractNumId w:val="3"/>
  </w:num>
  <w:num w:numId="21">
    <w:abstractNumId w:val="6"/>
  </w:num>
  <w:num w:numId="22">
    <w:abstractNumId w:val="25"/>
  </w:num>
  <w:num w:numId="23">
    <w:abstractNumId w:val="2"/>
  </w:num>
  <w:num w:numId="24">
    <w:abstractNumId w:val="18"/>
  </w:num>
  <w:num w:numId="25">
    <w:abstractNumId w:val="28"/>
  </w:num>
  <w:num w:numId="26">
    <w:abstractNumId w:val="8"/>
  </w:num>
  <w:num w:numId="27">
    <w:abstractNumId w:val="34"/>
  </w:num>
  <w:num w:numId="28">
    <w:abstractNumId w:val="31"/>
  </w:num>
  <w:num w:numId="29">
    <w:abstractNumId w:val="7"/>
  </w:num>
  <w:num w:numId="30">
    <w:abstractNumId w:val="23"/>
  </w:num>
  <w:num w:numId="31">
    <w:abstractNumId w:val="33"/>
  </w:num>
  <w:num w:numId="32">
    <w:abstractNumId w:val="15"/>
  </w:num>
  <w:num w:numId="33">
    <w:abstractNumId w:val="22"/>
  </w:num>
  <w:num w:numId="34">
    <w:abstractNumId w:val="14"/>
  </w:num>
  <w:num w:numId="35">
    <w:abstractNumId w:val="9"/>
  </w:num>
  <w:num w:numId="3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7"/>
    <w:rsid w:val="000016F8"/>
    <w:rsid w:val="00004A3D"/>
    <w:rsid w:val="00005A76"/>
    <w:rsid w:val="00005F9E"/>
    <w:rsid w:val="00006B9B"/>
    <w:rsid w:val="00011A72"/>
    <w:rsid w:val="00013B9A"/>
    <w:rsid w:val="00014A57"/>
    <w:rsid w:val="00014E48"/>
    <w:rsid w:val="000153FB"/>
    <w:rsid w:val="00015F43"/>
    <w:rsid w:val="000169AD"/>
    <w:rsid w:val="00017A93"/>
    <w:rsid w:val="000207FD"/>
    <w:rsid w:val="00021C69"/>
    <w:rsid w:val="00022DD7"/>
    <w:rsid w:val="0002582A"/>
    <w:rsid w:val="00027139"/>
    <w:rsid w:val="00027523"/>
    <w:rsid w:val="00027785"/>
    <w:rsid w:val="00030130"/>
    <w:rsid w:val="00030651"/>
    <w:rsid w:val="00032075"/>
    <w:rsid w:val="00032220"/>
    <w:rsid w:val="00033B16"/>
    <w:rsid w:val="0003760B"/>
    <w:rsid w:val="00037DDD"/>
    <w:rsid w:val="000403FC"/>
    <w:rsid w:val="00040C15"/>
    <w:rsid w:val="000414AB"/>
    <w:rsid w:val="00041A8F"/>
    <w:rsid w:val="0004232A"/>
    <w:rsid w:val="00042AEB"/>
    <w:rsid w:val="00042B92"/>
    <w:rsid w:val="00046692"/>
    <w:rsid w:val="0004703C"/>
    <w:rsid w:val="00047EBE"/>
    <w:rsid w:val="000500F4"/>
    <w:rsid w:val="0005032B"/>
    <w:rsid w:val="00051015"/>
    <w:rsid w:val="00051D30"/>
    <w:rsid w:val="0005492A"/>
    <w:rsid w:val="00055AB5"/>
    <w:rsid w:val="000565A1"/>
    <w:rsid w:val="00062039"/>
    <w:rsid w:val="00062AED"/>
    <w:rsid w:val="00064046"/>
    <w:rsid w:val="00064078"/>
    <w:rsid w:val="00066BF7"/>
    <w:rsid w:val="00066D21"/>
    <w:rsid w:val="000708D7"/>
    <w:rsid w:val="00073FD9"/>
    <w:rsid w:val="0008053E"/>
    <w:rsid w:val="000816A0"/>
    <w:rsid w:val="00082D80"/>
    <w:rsid w:val="00082FB5"/>
    <w:rsid w:val="00083CAC"/>
    <w:rsid w:val="00086FBB"/>
    <w:rsid w:val="000872B3"/>
    <w:rsid w:val="000874B5"/>
    <w:rsid w:val="00089C99"/>
    <w:rsid w:val="00090208"/>
    <w:rsid w:val="000924DB"/>
    <w:rsid w:val="00093004"/>
    <w:rsid w:val="00093E22"/>
    <w:rsid w:val="00095734"/>
    <w:rsid w:val="000957DD"/>
    <w:rsid w:val="0009581E"/>
    <w:rsid w:val="00095B18"/>
    <w:rsid w:val="000A0CD5"/>
    <w:rsid w:val="000A219E"/>
    <w:rsid w:val="000A21F5"/>
    <w:rsid w:val="000A402E"/>
    <w:rsid w:val="000A456F"/>
    <w:rsid w:val="000A6530"/>
    <w:rsid w:val="000B1BB7"/>
    <w:rsid w:val="000B3160"/>
    <w:rsid w:val="000B381D"/>
    <w:rsid w:val="000B4126"/>
    <w:rsid w:val="000B5824"/>
    <w:rsid w:val="000B6D80"/>
    <w:rsid w:val="000B7FD2"/>
    <w:rsid w:val="000C0750"/>
    <w:rsid w:val="000C075C"/>
    <w:rsid w:val="000C1C44"/>
    <w:rsid w:val="000C6298"/>
    <w:rsid w:val="000D046F"/>
    <w:rsid w:val="000D1104"/>
    <w:rsid w:val="000D1119"/>
    <w:rsid w:val="000D15E4"/>
    <w:rsid w:val="000D5312"/>
    <w:rsid w:val="000E2A47"/>
    <w:rsid w:val="000E3ADE"/>
    <w:rsid w:val="000E5574"/>
    <w:rsid w:val="000E68A9"/>
    <w:rsid w:val="000E6D53"/>
    <w:rsid w:val="000E7075"/>
    <w:rsid w:val="000E7BCA"/>
    <w:rsid w:val="000F0687"/>
    <w:rsid w:val="000F09C0"/>
    <w:rsid w:val="000F0FBA"/>
    <w:rsid w:val="000F2161"/>
    <w:rsid w:val="000F27F2"/>
    <w:rsid w:val="000F3A82"/>
    <w:rsid w:val="000F3AC2"/>
    <w:rsid w:val="000F6A69"/>
    <w:rsid w:val="000F7372"/>
    <w:rsid w:val="000F7AA8"/>
    <w:rsid w:val="00101694"/>
    <w:rsid w:val="00103923"/>
    <w:rsid w:val="00103BDB"/>
    <w:rsid w:val="001040DA"/>
    <w:rsid w:val="00104628"/>
    <w:rsid w:val="00104B32"/>
    <w:rsid w:val="001066BE"/>
    <w:rsid w:val="00106D07"/>
    <w:rsid w:val="0011126C"/>
    <w:rsid w:val="00111720"/>
    <w:rsid w:val="001131F5"/>
    <w:rsid w:val="00114EAF"/>
    <w:rsid w:val="00116324"/>
    <w:rsid w:val="0011697D"/>
    <w:rsid w:val="00120509"/>
    <w:rsid w:val="00120BC6"/>
    <w:rsid w:val="00121702"/>
    <w:rsid w:val="0012234E"/>
    <w:rsid w:val="00123467"/>
    <w:rsid w:val="00123A23"/>
    <w:rsid w:val="00123FA3"/>
    <w:rsid w:val="001269B8"/>
    <w:rsid w:val="00127C81"/>
    <w:rsid w:val="00130822"/>
    <w:rsid w:val="00131994"/>
    <w:rsid w:val="00131C46"/>
    <w:rsid w:val="001328CD"/>
    <w:rsid w:val="00133043"/>
    <w:rsid w:val="0013316D"/>
    <w:rsid w:val="00134A93"/>
    <w:rsid w:val="00134C89"/>
    <w:rsid w:val="00136FCC"/>
    <w:rsid w:val="001374FE"/>
    <w:rsid w:val="00141D5A"/>
    <w:rsid w:val="00141DF9"/>
    <w:rsid w:val="00142106"/>
    <w:rsid w:val="001421A9"/>
    <w:rsid w:val="0014275B"/>
    <w:rsid w:val="001434A3"/>
    <w:rsid w:val="00144EDB"/>
    <w:rsid w:val="001477F7"/>
    <w:rsid w:val="00152462"/>
    <w:rsid w:val="0015248C"/>
    <w:rsid w:val="0015300D"/>
    <w:rsid w:val="00161E57"/>
    <w:rsid w:val="00163BF5"/>
    <w:rsid w:val="00165021"/>
    <w:rsid w:val="00165EDB"/>
    <w:rsid w:val="0016609A"/>
    <w:rsid w:val="001664FD"/>
    <w:rsid w:val="001665A1"/>
    <w:rsid w:val="00166864"/>
    <w:rsid w:val="001678BB"/>
    <w:rsid w:val="00167C23"/>
    <w:rsid w:val="00167D96"/>
    <w:rsid w:val="00170F8A"/>
    <w:rsid w:val="00171142"/>
    <w:rsid w:val="00175B86"/>
    <w:rsid w:val="00177FC8"/>
    <w:rsid w:val="00181110"/>
    <w:rsid w:val="001837D6"/>
    <w:rsid w:val="00183AC5"/>
    <w:rsid w:val="0018593E"/>
    <w:rsid w:val="00186A3A"/>
    <w:rsid w:val="0019209C"/>
    <w:rsid w:val="0019485A"/>
    <w:rsid w:val="001953F6"/>
    <w:rsid w:val="001A103D"/>
    <w:rsid w:val="001A382F"/>
    <w:rsid w:val="001A59C7"/>
    <w:rsid w:val="001A6C2D"/>
    <w:rsid w:val="001B17FD"/>
    <w:rsid w:val="001B2BEF"/>
    <w:rsid w:val="001B2CF8"/>
    <w:rsid w:val="001B2F22"/>
    <w:rsid w:val="001B42B8"/>
    <w:rsid w:val="001B6A53"/>
    <w:rsid w:val="001B76FE"/>
    <w:rsid w:val="001B7ECE"/>
    <w:rsid w:val="001C0487"/>
    <w:rsid w:val="001C2C35"/>
    <w:rsid w:val="001C3D94"/>
    <w:rsid w:val="001C3EEF"/>
    <w:rsid w:val="001C43C0"/>
    <w:rsid w:val="001C5602"/>
    <w:rsid w:val="001D2226"/>
    <w:rsid w:val="001D4D17"/>
    <w:rsid w:val="001D6A67"/>
    <w:rsid w:val="001D6EA0"/>
    <w:rsid w:val="001E0802"/>
    <w:rsid w:val="001E1C60"/>
    <w:rsid w:val="001E2218"/>
    <w:rsid w:val="001E2EA4"/>
    <w:rsid w:val="001E3373"/>
    <w:rsid w:val="001E4449"/>
    <w:rsid w:val="001E4C21"/>
    <w:rsid w:val="001E57E1"/>
    <w:rsid w:val="001F0176"/>
    <w:rsid w:val="001F0651"/>
    <w:rsid w:val="001F093F"/>
    <w:rsid w:val="001F125E"/>
    <w:rsid w:val="001F1971"/>
    <w:rsid w:val="001F2928"/>
    <w:rsid w:val="001F4F2F"/>
    <w:rsid w:val="001F5317"/>
    <w:rsid w:val="001F5A0F"/>
    <w:rsid w:val="001F7A4F"/>
    <w:rsid w:val="002017BC"/>
    <w:rsid w:val="002020AE"/>
    <w:rsid w:val="002037E8"/>
    <w:rsid w:val="0020558B"/>
    <w:rsid w:val="00205948"/>
    <w:rsid w:val="00206C5B"/>
    <w:rsid w:val="00207546"/>
    <w:rsid w:val="002079C6"/>
    <w:rsid w:val="002109DF"/>
    <w:rsid w:val="002118C5"/>
    <w:rsid w:val="002127EE"/>
    <w:rsid w:val="0021299A"/>
    <w:rsid w:val="00213846"/>
    <w:rsid w:val="00214521"/>
    <w:rsid w:val="00214CA8"/>
    <w:rsid w:val="00214DE9"/>
    <w:rsid w:val="002152C1"/>
    <w:rsid w:val="002156D3"/>
    <w:rsid w:val="00216213"/>
    <w:rsid w:val="002167CA"/>
    <w:rsid w:val="00222F46"/>
    <w:rsid w:val="00223732"/>
    <w:rsid w:val="00224655"/>
    <w:rsid w:val="002269BA"/>
    <w:rsid w:val="00227C71"/>
    <w:rsid w:val="002302EE"/>
    <w:rsid w:val="00231620"/>
    <w:rsid w:val="00233098"/>
    <w:rsid w:val="00234004"/>
    <w:rsid w:val="00234326"/>
    <w:rsid w:val="00234B55"/>
    <w:rsid w:val="002368CC"/>
    <w:rsid w:val="00240ACA"/>
    <w:rsid w:val="0024210D"/>
    <w:rsid w:val="0024282F"/>
    <w:rsid w:val="00244071"/>
    <w:rsid w:val="002473F5"/>
    <w:rsid w:val="002507B4"/>
    <w:rsid w:val="00251992"/>
    <w:rsid w:val="00252C82"/>
    <w:rsid w:val="00252E7C"/>
    <w:rsid w:val="00253AD0"/>
    <w:rsid w:val="002541B8"/>
    <w:rsid w:val="00254277"/>
    <w:rsid w:val="00255376"/>
    <w:rsid w:val="00255481"/>
    <w:rsid w:val="00256479"/>
    <w:rsid w:val="002618D0"/>
    <w:rsid w:val="00263097"/>
    <w:rsid w:val="002641B4"/>
    <w:rsid w:val="0026573A"/>
    <w:rsid w:val="00266B43"/>
    <w:rsid w:val="00266C7A"/>
    <w:rsid w:val="00270082"/>
    <w:rsid w:val="00270894"/>
    <w:rsid w:val="00272E96"/>
    <w:rsid w:val="00272FF0"/>
    <w:rsid w:val="00277E4D"/>
    <w:rsid w:val="002805E8"/>
    <w:rsid w:val="00281987"/>
    <w:rsid w:val="00284465"/>
    <w:rsid w:val="00285C0F"/>
    <w:rsid w:val="00287234"/>
    <w:rsid w:val="00290B0F"/>
    <w:rsid w:val="0029125A"/>
    <w:rsid w:val="00291A4B"/>
    <w:rsid w:val="00292729"/>
    <w:rsid w:val="00294D0F"/>
    <w:rsid w:val="00295007"/>
    <w:rsid w:val="00295850"/>
    <w:rsid w:val="00295B36"/>
    <w:rsid w:val="00297E07"/>
    <w:rsid w:val="00297FEA"/>
    <w:rsid w:val="002A1D54"/>
    <w:rsid w:val="002A2F39"/>
    <w:rsid w:val="002A37E6"/>
    <w:rsid w:val="002A490D"/>
    <w:rsid w:val="002A55F9"/>
    <w:rsid w:val="002A6365"/>
    <w:rsid w:val="002B13CF"/>
    <w:rsid w:val="002B287F"/>
    <w:rsid w:val="002B3678"/>
    <w:rsid w:val="002B52FF"/>
    <w:rsid w:val="002B6418"/>
    <w:rsid w:val="002B6C08"/>
    <w:rsid w:val="002B748F"/>
    <w:rsid w:val="002C3669"/>
    <w:rsid w:val="002C6EBA"/>
    <w:rsid w:val="002D0E3D"/>
    <w:rsid w:val="002E085F"/>
    <w:rsid w:val="002E1DCD"/>
    <w:rsid w:val="002E31C4"/>
    <w:rsid w:val="002E39EC"/>
    <w:rsid w:val="002E3A81"/>
    <w:rsid w:val="002E3B8E"/>
    <w:rsid w:val="002E3DEF"/>
    <w:rsid w:val="002E45AF"/>
    <w:rsid w:val="002E47FA"/>
    <w:rsid w:val="002E55DB"/>
    <w:rsid w:val="002E5A97"/>
    <w:rsid w:val="002E6B4E"/>
    <w:rsid w:val="002E76B8"/>
    <w:rsid w:val="002E7BAB"/>
    <w:rsid w:val="002F0A37"/>
    <w:rsid w:val="002F1077"/>
    <w:rsid w:val="002F18B6"/>
    <w:rsid w:val="002F2588"/>
    <w:rsid w:val="002F2B60"/>
    <w:rsid w:val="002F325C"/>
    <w:rsid w:val="002F3730"/>
    <w:rsid w:val="002F3E12"/>
    <w:rsid w:val="002F4748"/>
    <w:rsid w:val="002F505F"/>
    <w:rsid w:val="002F6509"/>
    <w:rsid w:val="002F720E"/>
    <w:rsid w:val="002F796A"/>
    <w:rsid w:val="003000C4"/>
    <w:rsid w:val="0030182A"/>
    <w:rsid w:val="00301DE8"/>
    <w:rsid w:val="003059AF"/>
    <w:rsid w:val="0030671B"/>
    <w:rsid w:val="00307FD5"/>
    <w:rsid w:val="00311D12"/>
    <w:rsid w:val="00313C60"/>
    <w:rsid w:val="00314C5A"/>
    <w:rsid w:val="00315714"/>
    <w:rsid w:val="00315BB1"/>
    <w:rsid w:val="0032122E"/>
    <w:rsid w:val="00321A75"/>
    <w:rsid w:val="003231E2"/>
    <w:rsid w:val="00323561"/>
    <w:rsid w:val="00324353"/>
    <w:rsid w:val="003243D7"/>
    <w:rsid w:val="00326713"/>
    <w:rsid w:val="00330152"/>
    <w:rsid w:val="003313B9"/>
    <w:rsid w:val="003329B2"/>
    <w:rsid w:val="0033339B"/>
    <w:rsid w:val="00335C8C"/>
    <w:rsid w:val="00336963"/>
    <w:rsid w:val="0033728C"/>
    <w:rsid w:val="00340740"/>
    <w:rsid w:val="00341018"/>
    <w:rsid w:val="003413CC"/>
    <w:rsid w:val="00344536"/>
    <w:rsid w:val="00345B39"/>
    <w:rsid w:val="003463FA"/>
    <w:rsid w:val="0035085E"/>
    <w:rsid w:val="00351896"/>
    <w:rsid w:val="00352095"/>
    <w:rsid w:val="00353483"/>
    <w:rsid w:val="003547B7"/>
    <w:rsid w:val="00354BC3"/>
    <w:rsid w:val="00355749"/>
    <w:rsid w:val="00360583"/>
    <w:rsid w:val="00360E54"/>
    <w:rsid w:val="00361300"/>
    <w:rsid w:val="00361A61"/>
    <w:rsid w:val="00361BA0"/>
    <w:rsid w:val="00367199"/>
    <w:rsid w:val="003672B4"/>
    <w:rsid w:val="00370A66"/>
    <w:rsid w:val="0037104F"/>
    <w:rsid w:val="00371DF5"/>
    <w:rsid w:val="00372155"/>
    <w:rsid w:val="00372AC9"/>
    <w:rsid w:val="003748C2"/>
    <w:rsid w:val="00374C25"/>
    <w:rsid w:val="003754C6"/>
    <w:rsid w:val="00376F31"/>
    <w:rsid w:val="00382CE8"/>
    <w:rsid w:val="00384B13"/>
    <w:rsid w:val="00385F7F"/>
    <w:rsid w:val="003863A2"/>
    <w:rsid w:val="003930EC"/>
    <w:rsid w:val="003933AA"/>
    <w:rsid w:val="00393B70"/>
    <w:rsid w:val="00394971"/>
    <w:rsid w:val="00394C1B"/>
    <w:rsid w:val="003953C7"/>
    <w:rsid w:val="003976CC"/>
    <w:rsid w:val="0039777B"/>
    <w:rsid w:val="00397880"/>
    <w:rsid w:val="003A1219"/>
    <w:rsid w:val="003A32E5"/>
    <w:rsid w:val="003A4D9B"/>
    <w:rsid w:val="003A559D"/>
    <w:rsid w:val="003A5784"/>
    <w:rsid w:val="003A5D2E"/>
    <w:rsid w:val="003A74F6"/>
    <w:rsid w:val="003A77B1"/>
    <w:rsid w:val="003B0C29"/>
    <w:rsid w:val="003B0D7F"/>
    <w:rsid w:val="003B12F0"/>
    <w:rsid w:val="003B3F76"/>
    <w:rsid w:val="003B6841"/>
    <w:rsid w:val="003C05C2"/>
    <w:rsid w:val="003C3258"/>
    <w:rsid w:val="003C3A63"/>
    <w:rsid w:val="003C3A65"/>
    <w:rsid w:val="003C72FB"/>
    <w:rsid w:val="003D0AD6"/>
    <w:rsid w:val="003D3C04"/>
    <w:rsid w:val="003D4FEC"/>
    <w:rsid w:val="003D53A7"/>
    <w:rsid w:val="003D5E2C"/>
    <w:rsid w:val="003D6705"/>
    <w:rsid w:val="003D777A"/>
    <w:rsid w:val="003E0C0E"/>
    <w:rsid w:val="003E0D74"/>
    <w:rsid w:val="003E32A3"/>
    <w:rsid w:val="003E505A"/>
    <w:rsid w:val="003E6C78"/>
    <w:rsid w:val="003F0068"/>
    <w:rsid w:val="003F06A2"/>
    <w:rsid w:val="003F0706"/>
    <w:rsid w:val="003F1729"/>
    <w:rsid w:val="003F349C"/>
    <w:rsid w:val="003F54E4"/>
    <w:rsid w:val="003F6737"/>
    <w:rsid w:val="003F6AD7"/>
    <w:rsid w:val="00400F53"/>
    <w:rsid w:val="00401FD0"/>
    <w:rsid w:val="004127E5"/>
    <w:rsid w:val="00412969"/>
    <w:rsid w:val="00412CAC"/>
    <w:rsid w:val="00413691"/>
    <w:rsid w:val="004138F3"/>
    <w:rsid w:val="00413B1E"/>
    <w:rsid w:val="00414D62"/>
    <w:rsid w:val="00415A50"/>
    <w:rsid w:val="00416767"/>
    <w:rsid w:val="00421536"/>
    <w:rsid w:val="0042210E"/>
    <w:rsid w:val="00422F96"/>
    <w:rsid w:val="00424667"/>
    <w:rsid w:val="004262F5"/>
    <w:rsid w:val="0042723D"/>
    <w:rsid w:val="004273D0"/>
    <w:rsid w:val="00427F24"/>
    <w:rsid w:val="00430463"/>
    <w:rsid w:val="00431A83"/>
    <w:rsid w:val="00431CC7"/>
    <w:rsid w:val="004333E7"/>
    <w:rsid w:val="00433B1D"/>
    <w:rsid w:val="004340E2"/>
    <w:rsid w:val="00435C0F"/>
    <w:rsid w:val="00435EF6"/>
    <w:rsid w:val="00435F0F"/>
    <w:rsid w:val="004360B9"/>
    <w:rsid w:val="00436D28"/>
    <w:rsid w:val="00437869"/>
    <w:rsid w:val="00437EFE"/>
    <w:rsid w:val="004406A9"/>
    <w:rsid w:val="00443703"/>
    <w:rsid w:val="0045031F"/>
    <w:rsid w:val="00451C20"/>
    <w:rsid w:val="0045223B"/>
    <w:rsid w:val="00452A4D"/>
    <w:rsid w:val="00452A5B"/>
    <w:rsid w:val="004541BB"/>
    <w:rsid w:val="00456CD5"/>
    <w:rsid w:val="00456DA5"/>
    <w:rsid w:val="00463B07"/>
    <w:rsid w:val="00464CBD"/>
    <w:rsid w:val="00465DE9"/>
    <w:rsid w:val="00470899"/>
    <w:rsid w:val="00470D75"/>
    <w:rsid w:val="00472BB7"/>
    <w:rsid w:val="00476775"/>
    <w:rsid w:val="00481A3D"/>
    <w:rsid w:val="00482B1B"/>
    <w:rsid w:val="0048561F"/>
    <w:rsid w:val="00485B94"/>
    <w:rsid w:val="00492DE9"/>
    <w:rsid w:val="00494286"/>
    <w:rsid w:val="004972C1"/>
    <w:rsid w:val="0049755D"/>
    <w:rsid w:val="004A00A6"/>
    <w:rsid w:val="004A0372"/>
    <w:rsid w:val="004A0420"/>
    <w:rsid w:val="004A15C0"/>
    <w:rsid w:val="004A1CEF"/>
    <w:rsid w:val="004A1F62"/>
    <w:rsid w:val="004A21D3"/>
    <w:rsid w:val="004A3777"/>
    <w:rsid w:val="004A489A"/>
    <w:rsid w:val="004A4A39"/>
    <w:rsid w:val="004A7A4A"/>
    <w:rsid w:val="004A7F27"/>
    <w:rsid w:val="004B00DE"/>
    <w:rsid w:val="004B117E"/>
    <w:rsid w:val="004B1556"/>
    <w:rsid w:val="004B2194"/>
    <w:rsid w:val="004B229C"/>
    <w:rsid w:val="004B7D82"/>
    <w:rsid w:val="004C0196"/>
    <w:rsid w:val="004C1395"/>
    <w:rsid w:val="004C1F0B"/>
    <w:rsid w:val="004C263E"/>
    <w:rsid w:val="004C318C"/>
    <w:rsid w:val="004C52F0"/>
    <w:rsid w:val="004C536B"/>
    <w:rsid w:val="004D13B0"/>
    <w:rsid w:val="004D15B1"/>
    <w:rsid w:val="004D2394"/>
    <w:rsid w:val="004D4B38"/>
    <w:rsid w:val="004D5E53"/>
    <w:rsid w:val="004D65C7"/>
    <w:rsid w:val="004E0305"/>
    <w:rsid w:val="004E0ED7"/>
    <w:rsid w:val="004E1932"/>
    <w:rsid w:val="004E266B"/>
    <w:rsid w:val="004E3A14"/>
    <w:rsid w:val="004E3E18"/>
    <w:rsid w:val="004F0060"/>
    <w:rsid w:val="004F07C6"/>
    <w:rsid w:val="004F2359"/>
    <w:rsid w:val="004F36CB"/>
    <w:rsid w:val="004F3BA8"/>
    <w:rsid w:val="004F47F8"/>
    <w:rsid w:val="004F4E64"/>
    <w:rsid w:val="004F637E"/>
    <w:rsid w:val="00500907"/>
    <w:rsid w:val="00500F76"/>
    <w:rsid w:val="00501037"/>
    <w:rsid w:val="0050259B"/>
    <w:rsid w:val="00502802"/>
    <w:rsid w:val="00504AA6"/>
    <w:rsid w:val="00504BD8"/>
    <w:rsid w:val="00505B83"/>
    <w:rsid w:val="00507A1E"/>
    <w:rsid w:val="005107E6"/>
    <w:rsid w:val="00511CAC"/>
    <w:rsid w:val="00512C93"/>
    <w:rsid w:val="00513039"/>
    <w:rsid w:val="00513735"/>
    <w:rsid w:val="0051502E"/>
    <w:rsid w:val="00515A28"/>
    <w:rsid w:val="005164B7"/>
    <w:rsid w:val="00517E18"/>
    <w:rsid w:val="00520294"/>
    <w:rsid w:val="005277D5"/>
    <w:rsid w:val="00527AA2"/>
    <w:rsid w:val="00530740"/>
    <w:rsid w:val="005316BE"/>
    <w:rsid w:val="00531956"/>
    <w:rsid w:val="0053363E"/>
    <w:rsid w:val="00535242"/>
    <w:rsid w:val="005352C9"/>
    <w:rsid w:val="00535FAD"/>
    <w:rsid w:val="00537021"/>
    <w:rsid w:val="005401A8"/>
    <w:rsid w:val="00542E92"/>
    <w:rsid w:val="00543E41"/>
    <w:rsid w:val="005452A5"/>
    <w:rsid w:val="0054548A"/>
    <w:rsid w:val="005469C6"/>
    <w:rsid w:val="00546E66"/>
    <w:rsid w:val="00550A32"/>
    <w:rsid w:val="00550A75"/>
    <w:rsid w:val="00551827"/>
    <w:rsid w:val="005524EF"/>
    <w:rsid w:val="00554EBA"/>
    <w:rsid w:val="00555A68"/>
    <w:rsid w:val="00562337"/>
    <w:rsid w:val="00563E0F"/>
    <w:rsid w:val="005646A0"/>
    <w:rsid w:val="00570777"/>
    <w:rsid w:val="00570CFE"/>
    <w:rsid w:val="0057131E"/>
    <w:rsid w:val="00572590"/>
    <w:rsid w:val="00572CAE"/>
    <w:rsid w:val="00572F1D"/>
    <w:rsid w:val="00573964"/>
    <w:rsid w:val="00573F76"/>
    <w:rsid w:val="005749FA"/>
    <w:rsid w:val="005756BB"/>
    <w:rsid w:val="00575BE9"/>
    <w:rsid w:val="00580962"/>
    <w:rsid w:val="0058452E"/>
    <w:rsid w:val="00584A5C"/>
    <w:rsid w:val="005854AD"/>
    <w:rsid w:val="00585EC8"/>
    <w:rsid w:val="005860F7"/>
    <w:rsid w:val="0058648A"/>
    <w:rsid w:val="0059239A"/>
    <w:rsid w:val="005935E9"/>
    <w:rsid w:val="0059401B"/>
    <w:rsid w:val="0059438C"/>
    <w:rsid w:val="00595549"/>
    <w:rsid w:val="0059658B"/>
    <w:rsid w:val="00597A4D"/>
    <w:rsid w:val="005A2536"/>
    <w:rsid w:val="005A2F31"/>
    <w:rsid w:val="005A4AA0"/>
    <w:rsid w:val="005A4EBF"/>
    <w:rsid w:val="005A55A7"/>
    <w:rsid w:val="005A6D56"/>
    <w:rsid w:val="005A7B02"/>
    <w:rsid w:val="005B3950"/>
    <w:rsid w:val="005B439E"/>
    <w:rsid w:val="005B4C07"/>
    <w:rsid w:val="005B6E4E"/>
    <w:rsid w:val="005B7083"/>
    <w:rsid w:val="005C019C"/>
    <w:rsid w:val="005C1354"/>
    <w:rsid w:val="005C1647"/>
    <w:rsid w:val="005C3064"/>
    <w:rsid w:val="005C55F7"/>
    <w:rsid w:val="005C5969"/>
    <w:rsid w:val="005C652E"/>
    <w:rsid w:val="005C7F7E"/>
    <w:rsid w:val="005D0E36"/>
    <w:rsid w:val="005D150A"/>
    <w:rsid w:val="005D2435"/>
    <w:rsid w:val="005D3C2F"/>
    <w:rsid w:val="005D7522"/>
    <w:rsid w:val="005E09B8"/>
    <w:rsid w:val="005E2585"/>
    <w:rsid w:val="005E2A8F"/>
    <w:rsid w:val="005E38DF"/>
    <w:rsid w:val="005E4203"/>
    <w:rsid w:val="005E4E0F"/>
    <w:rsid w:val="005E5738"/>
    <w:rsid w:val="005E7349"/>
    <w:rsid w:val="005E73E7"/>
    <w:rsid w:val="005F0B52"/>
    <w:rsid w:val="005F14D7"/>
    <w:rsid w:val="005F186B"/>
    <w:rsid w:val="005F2397"/>
    <w:rsid w:val="005F3953"/>
    <w:rsid w:val="005F6D29"/>
    <w:rsid w:val="005F74AD"/>
    <w:rsid w:val="005F7AC7"/>
    <w:rsid w:val="00600AE2"/>
    <w:rsid w:val="006018F1"/>
    <w:rsid w:val="0060283E"/>
    <w:rsid w:val="0060676A"/>
    <w:rsid w:val="0061449A"/>
    <w:rsid w:val="00614992"/>
    <w:rsid w:val="00614B48"/>
    <w:rsid w:val="00615E55"/>
    <w:rsid w:val="00615F41"/>
    <w:rsid w:val="00616F91"/>
    <w:rsid w:val="0061783B"/>
    <w:rsid w:val="006208C7"/>
    <w:rsid w:val="00622423"/>
    <w:rsid w:val="0062390C"/>
    <w:rsid w:val="00623C71"/>
    <w:rsid w:val="0062577D"/>
    <w:rsid w:val="00626D09"/>
    <w:rsid w:val="00630334"/>
    <w:rsid w:val="00630387"/>
    <w:rsid w:val="00630848"/>
    <w:rsid w:val="00630DC3"/>
    <w:rsid w:val="00632DA0"/>
    <w:rsid w:val="006343D4"/>
    <w:rsid w:val="00634BEB"/>
    <w:rsid w:val="00634E2C"/>
    <w:rsid w:val="006352E9"/>
    <w:rsid w:val="006358FD"/>
    <w:rsid w:val="0063662E"/>
    <w:rsid w:val="006370FF"/>
    <w:rsid w:val="006410E9"/>
    <w:rsid w:val="0064142A"/>
    <w:rsid w:val="006425D4"/>
    <w:rsid w:val="00645ECD"/>
    <w:rsid w:val="00645FFD"/>
    <w:rsid w:val="00647636"/>
    <w:rsid w:val="00651370"/>
    <w:rsid w:val="00652F31"/>
    <w:rsid w:val="006542F4"/>
    <w:rsid w:val="00654FB7"/>
    <w:rsid w:val="006611A6"/>
    <w:rsid w:val="00662BA7"/>
    <w:rsid w:val="00663630"/>
    <w:rsid w:val="0066651C"/>
    <w:rsid w:val="00666EE7"/>
    <w:rsid w:val="0066720C"/>
    <w:rsid w:val="00667CCC"/>
    <w:rsid w:val="00671D30"/>
    <w:rsid w:val="00672740"/>
    <w:rsid w:val="00675049"/>
    <w:rsid w:val="006758EF"/>
    <w:rsid w:val="00675DCF"/>
    <w:rsid w:val="00676A1A"/>
    <w:rsid w:val="00676EE1"/>
    <w:rsid w:val="00677FA2"/>
    <w:rsid w:val="00680447"/>
    <w:rsid w:val="006804F7"/>
    <w:rsid w:val="00681FC1"/>
    <w:rsid w:val="00681FD7"/>
    <w:rsid w:val="006830C1"/>
    <w:rsid w:val="006834B0"/>
    <w:rsid w:val="006836AD"/>
    <w:rsid w:val="006873F2"/>
    <w:rsid w:val="00687961"/>
    <w:rsid w:val="00690058"/>
    <w:rsid w:val="0069080A"/>
    <w:rsid w:val="00692CE6"/>
    <w:rsid w:val="00694EFD"/>
    <w:rsid w:val="006979AE"/>
    <w:rsid w:val="00697EFC"/>
    <w:rsid w:val="00697F33"/>
    <w:rsid w:val="006A13FD"/>
    <w:rsid w:val="006A2191"/>
    <w:rsid w:val="006A3C66"/>
    <w:rsid w:val="006A6B12"/>
    <w:rsid w:val="006A74D3"/>
    <w:rsid w:val="006B30AD"/>
    <w:rsid w:val="006B3BCF"/>
    <w:rsid w:val="006B44E6"/>
    <w:rsid w:val="006B461B"/>
    <w:rsid w:val="006B4E12"/>
    <w:rsid w:val="006B5C2F"/>
    <w:rsid w:val="006B6674"/>
    <w:rsid w:val="006B69DF"/>
    <w:rsid w:val="006B6DFE"/>
    <w:rsid w:val="006C117A"/>
    <w:rsid w:val="006C2110"/>
    <w:rsid w:val="006C2177"/>
    <w:rsid w:val="006C2590"/>
    <w:rsid w:val="006C38A7"/>
    <w:rsid w:val="006C420A"/>
    <w:rsid w:val="006C4D57"/>
    <w:rsid w:val="006C5C07"/>
    <w:rsid w:val="006D0168"/>
    <w:rsid w:val="006D03ED"/>
    <w:rsid w:val="006D2FB6"/>
    <w:rsid w:val="006D677C"/>
    <w:rsid w:val="006D6C84"/>
    <w:rsid w:val="006D6D7A"/>
    <w:rsid w:val="006E0B34"/>
    <w:rsid w:val="006E10C1"/>
    <w:rsid w:val="006E110D"/>
    <w:rsid w:val="006E1CC1"/>
    <w:rsid w:val="006E3413"/>
    <w:rsid w:val="006E3904"/>
    <w:rsid w:val="006E3B0B"/>
    <w:rsid w:val="006E4AC1"/>
    <w:rsid w:val="006E4D4C"/>
    <w:rsid w:val="006E4F8A"/>
    <w:rsid w:val="006F2A00"/>
    <w:rsid w:val="006F31A5"/>
    <w:rsid w:val="006F3B56"/>
    <w:rsid w:val="006F4435"/>
    <w:rsid w:val="006F5664"/>
    <w:rsid w:val="006F642E"/>
    <w:rsid w:val="006F77A6"/>
    <w:rsid w:val="007008BC"/>
    <w:rsid w:val="00704E0B"/>
    <w:rsid w:val="00704FF9"/>
    <w:rsid w:val="00705F9C"/>
    <w:rsid w:val="0070744D"/>
    <w:rsid w:val="00717487"/>
    <w:rsid w:val="00717632"/>
    <w:rsid w:val="007202A2"/>
    <w:rsid w:val="007229A2"/>
    <w:rsid w:val="00722D38"/>
    <w:rsid w:val="00723B55"/>
    <w:rsid w:val="00725E05"/>
    <w:rsid w:val="00727519"/>
    <w:rsid w:val="00727A8C"/>
    <w:rsid w:val="00727CDE"/>
    <w:rsid w:val="007313DF"/>
    <w:rsid w:val="00731775"/>
    <w:rsid w:val="00731943"/>
    <w:rsid w:val="00732C07"/>
    <w:rsid w:val="00734037"/>
    <w:rsid w:val="007342E8"/>
    <w:rsid w:val="00734911"/>
    <w:rsid w:val="00735519"/>
    <w:rsid w:val="00735FB8"/>
    <w:rsid w:val="00736047"/>
    <w:rsid w:val="007361DF"/>
    <w:rsid w:val="00741D35"/>
    <w:rsid w:val="0074201D"/>
    <w:rsid w:val="007444F7"/>
    <w:rsid w:val="0074546F"/>
    <w:rsid w:val="00747E23"/>
    <w:rsid w:val="007518A9"/>
    <w:rsid w:val="0075389F"/>
    <w:rsid w:val="00753A58"/>
    <w:rsid w:val="00753EE7"/>
    <w:rsid w:val="00755BC1"/>
    <w:rsid w:val="00756069"/>
    <w:rsid w:val="007568D9"/>
    <w:rsid w:val="00756AED"/>
    <w:rsid w:val="0075714C"/>
    <w:rsid w:val="00757CE7"/>
    <w:rsid w:val="00760EE2"/>
    <w:rsid w:val="00763FB6"/>
    <w:rsid w:val="0076487E"/>
    <w:rsid w:val="00764CF9"/>
    <w:rsid w:val="00770411"/>
    <w:rsid w:val="00770D8F"/>
    <w:rsid w:val="00771682"/>
    <w:rsid w:val="00772E2A"/>
    <w:rsid w:val="00773164"/>
    <w:rsid w:val="00774C7B"/>
    <w:rsid w:val="00776649"/>
    <w:rsid w:val="00777562"/>
    <w:rsid w:val="007839A8"/>
    <w:rsid w:val="00784D01"/>
    <w:rsid w:val="00784E32"/>
    <w:rsid w:val="00785E68"/>
    <w:rsid w:val="0078625B"/>
    <w:rsid w:val="00786E94"/>
    <w:rsid w:val="007876F7"/>
    <w:rsid w:val="0079055E"/>
    <w:rsid w:val="00791237"/>
    <w:rsid w:val="00791787"/>
    <w:rsid w:val="00792B55"/>
    <w:rsid w:val="00792B96"/>
    <w:rsid w:val="0079368B"/>
    <w:rsid w:val="00795F81"/>
    <w:rsid w:val="007977F3"/>
    <w:rsid w:val="00797BC4"/>
    <w:rsid w:val="00797F11"/>
    <w:rsid w:val="007A0915"/>
    <w:rsid w:val="007B0854"/>
    <w:rsid w:val="007B40DE"/>
    <w:rsid w:val="007B5F2E"/>
    <w:rsid w:val="007B6208"/>
    <w:rsid w:val="007C12FA"/>
    <w:rsid w:val="007C24C5"/>
    <w:rsid w:val="007C4008"/>
    <w:rsid w:val="007C6870"/>
    <w:rsid w:val="007C7971"/>
    <w:rsid w:val="007D1798"/>
    <w:rsid w:val="007D23AB"/>
    <w:rsid w:val="007D3F1B"/>
    <w:rsid w:val="007D56D6"/>
    <w:rsid w:val="007D74BA"/>
    <w:rsid w:val="007E0B5E"/>
    <w:rsid w:val="007E16A8"/>
    <w:rsid w:val="007E1B70"/>
    <w:rsid w:val="007E2311"/>
    <w:rsid w:val="007E3551"/>
    <w:rsid w:val="007E7069"/>
    <w:rsid w:val="007E7A1C"/>
    <w:rsid w:val="007F0692"/>
    <w:rsid w:val="007F2C02"/>
    <w:rsid w:val="007F360F"/>
    <w:rsid w:val="007F3F6C"/>
    <w:rsid w:val="007F6DDA"/>
    <w:rsid w:val="00802CC9"/>
    <w:rsid w:val="00804246"/>
    <w:rsid w:val="00805566"/>
    <w:rsid w:val="00805A2D"/>
    <w:rsid w:val="00805A3B"/>
    <w:rsid w:val="00806913"/>
    <w:rsid w:val="0080A933"/>
    <w:rsid w:val="00810858"/>
    <w:rsid w:val="008109AA"/>
    <w:rsid w:val="00812450"/>
    <w:rsid w:val="00813BAD"/>
    <w:rsid w:val="008169A1"/>
    <w:rsid w:val="00816AAF"/>
    <w:rsid w:val="00816C03"/>
    <w:rsid w:val="008171D9"/>
    <w:rsid w:val="00817611"/>
    <w:rsid w:val="00820CA3"/>
    <w:rsid w:val="0082126E"/>
    <w:rsid w:val="00821FD2"/>
    <w:rsid w:val="0082343A"/>
    <w:rsid w:val="008234A1"/>
    <w:rsid w:val="00824B94"/>
    <w:rsid w:val="00825765"/>
    <w:rsid w:val="0082690A"/>
    <w:rsid w:val="00833195"/>
    <w:rsid w:val="008331E0"/>
    <w:rsid w:val="00833632"/>
    <w:rsid w:val="0084509D"/>
    <w:rsid w:val="0084557F"/>
    <w:rsid w:val="008455CE"/>
    <w:rsid w:val="00846A90"/>
    <w:rsid w:val="00846ABB"/>
    <w:rsid w:val="00850D81"/>
    <w:rsid w:val="0085103B"/>
    <w:rsid w:val="00851431"/>
    <w:rsid w:val="00852477"/>
    <w:rsid w:val="008530FF"/>
    <w:rsid w:val="00853545"/>
    <w:rsid w:val="00853CC8"/>
    <w:rsid w:val="008564E3"/>
    <w:rsid w:val="0085787C"/>
    <w:rsid w:val="008606C9"/>
    <w:rsid w:val="008620AF"/>
    <w:rsid w:val="00862845"/>
    <w:rsid w:val="00862D25"/>
    <w:rsid w:val="0086331A"/>
    <w:rsid w:val="0086618D"/>
    <w:rsid w:val="00866573"/>
    <w:rsid w:val="00870E71"/>
    <w:rsid w:val="00872E73"/>
    <w:rsid w:val="00875C21"/>
    <w:rsid w:val="008823BC"/>
    <w:rsid w:val="008878B9"/>
    <w:rsid w:val="008908DD"/>
    <w:rsid w:val="008947FA"/>
    <w:rsid w:val="0089517C"/>
    <w:rsid w:val="00896E8E"/>
    <w:rsid w:val="008A12B8"/>
    <w:rsid w:val="008A149D"/>
    <w:rsid w:val="008A14ED"/>
    <w:rsid w:val="008A254E"/>
    <w:rsid w:val="008A374D"/>
    <w:rsid w:val="008A5AEC"/>
    <w:rsid w:val="008A6168"/>
    <w:rsid w:val="008A691D"/>
    <w:rsid w:val="008A7583"/>
    <w:rsid w:val="008B09E6"/>
    <w:rsid w:val="008B1F20"/>
    <w:rsid w:val="008B2500"/>
    <w:rsid w:val="008B3BEA"/>
    <w:rsid w:val="008B432C"/>
    <w:rsid w:val="008B57BF"/>
    <w:rsid w:val="008B6E22"/>
    <w:rsid w:val="008C163B"/>
    <w:rsid w:val="008C29B8"/>
    <w:rsid w:val="008C2B0B"/>
    <w:rsid w:val="008C5430"/>
    <w:rsid w:val="008C560B"/>
    <w:rsid w:val="008C66FB"/>
    <w:rsid w:val="008D142A"/>
    <w:rsid w:val="008D3474"/>
    <w:rsid w:val="008D3F1E"/>
    <w:rsid w:val="008D4681"/>
    <w:rsid w:val="008D51D7"/>
    <w:rsid w:val="008D53FC"/>
    <w:rsid w:val="008D6791"/>
    <w:rsid w:val="008D7B02"/>
    <w:rsid w:val="008E02ED"/>
    <w:rsid w:val="008E0B01"/>
    <w:rsid w:val="008E11B0"/>
    <w:rsid w:val="008E18D0"/>
    <w:rsid w:val="008E426C"/>
    <w:rsid w:val="008E5A80"/>
    <w:rsid w:val="008E5ABC"/>
    <w:rsid w:val="008E6404"/>
    <w:rsid w:val="008E7319"/>
    <w:rsid w:val="008E7BA7"/>
    <w:rsid w:val="008E7EF2"/>
    <w:rsid w:val="008F0418"/>
    <w:rsid w:val="008F0788"/>
    <w:rsid w:val="008F0DCC"/>
    <w:rsid w:val="008F14E0"/>
    <w:rsid w:val="008F3A77"/>
    <w:rsid w:val="008F4000"/>
    <w:rsid w:val="008F45E8"/>
    <w:rsid w:val="008F5130"/>
    <w:rsid w:val="008F7074"/>
    <w:rsid w:val="008F7A02"/>
    <w:rsid w:val="00901B51"/>
    <w:rsid w:val="00901E94"/>
    <w:rsid w:val="00902A1A"/>
    <w:rsid w:val="00903CD2"/>
    <w:rsid w:val="009040AF"/>
    <w:rsid w:val="00904A7B"/>
    <w:rsid w:val="0090563E"/>
    <w:rsid w:val="0090643D"/>
    <w:rsid w:val="0091005E"/>
    <w:rsid w:val="0091737E"/>
    <w:rsid w:val="00920314"/>
    <w:rsid w:val="009214AD"/>
    <w:rsid w:val="00921FF9"/>
    <w:rsid w:val="0092305C"/>
    <w:rsid w:val="00924C16"/>
    <w:rsid w:val="00927967"/>
    <w:rsid w:val="0093233E"/>
    <w:rsid w:val="00934231"/>
    <w:rsid w:val="009351FC"/>
    <w:rsid w:val="009354C2"/>
    <w:rsid w:val="00936922"/>
    <w:rsid w:val="00936DE5"/>
    <w:rsid w:val="009371D9"/>
    <w:rsid w:val="00940C75"/>
    <w:rsid w:val="00941F08"/>
    <w:rsid w:val="00942086"/>
    <w:rsid w:val="00942333"/>
    <w:rsid w:val="00942851"/>
    <w:rsid w:val="00942ED9"/>
    <w:rsid w:val="00944E1D"/>
    <w:rsid w:val="009470C6"/>
    <w:rsid w:val="00947442"/>
    <w:rsid w:val="009476D3"/>
    <w:rsid w:val="0095006C"/>
    <w:rsid w:val="009541A0"/>
    <w:rsid w:val="00954A8C"/>
    <w:rsid w:val="00954FC9"/>
    <w:rsid w:val="00957050"/>
    <w:rsid w:val="009575B1"/>
    <w:rsid w:val="00957C4B"/>
    <w:rsid w:val="009602BB"/>
    <w:rsid w:val="0096240D"/>
    <w:rsid w:val="00962BFB"/>
    <w:rsid w:val="0096309D"/>
    <w:rsid w:val="009641AE"/>
    <w:rsid w:val="009643F3"/>
    <w:rsid w:val="00964C4B"/>
    <w:rsid w:val="00964F9D"/>
    <w:rsid w:val="0096630F"/>
    <w:rsid w:val="00966DB7"/>
    <w:rsid w:val="009675FD"/>
    <w:rsid w:val="00967863"/>
    <w:rsid w:val="00970009"/>
    <w:rsid w:val="00971999"/>
    <w:rsid w:val="0097653C"/>
    <w:rsid w:val="00976565"/>
    <w:rsid w:val="00976A72"/>
    <w:rsid w:val="00976C0A"/>
    <w:rsid w:val="00979C01"/>
    <w:rsid w:val="00980032"/>
    <w:rsid w:val="0098131F"/>
    <w:rsid w:val="00981F29"/>
    <w:rsid w:val="00983AFF"/>
    <w:rsid w:val="0098500A"/>
    <w:rsid w:val="00992458"/>
    <w:rsid w:val="00995496"/>
    <w:rsid w:val="00995F95"/>
    <w:rsid w:val="00995FB8"/>
    <w:rsid w:val="0099738A"/>
    <w:rsid w:val="00997D53"/>
    <w:rsid w:val="009A0294"/>
    <w:rsid w:val="009A03AD"/>
    <w:rsid w:val="009A0FD3"/>
    <w:rsid w:val="009A1A7B"/>
    <w:rsid w:val="009A2756"/>
    <w:rsid w:val="009A5A63"/>
    <w:rsid w:val="009A6230"/>
    <w:rsid w:val="009A66FB"/>
    <w:rsid w:val="009A6BCB"/>
    <w:rsid w:val="009B07E6"/>
    <w:rsid w:val="009B118B"/>
    <w:rsid w:val="009B12D3"/>
    <w:rsid w:val="009B2B37"/>
    <w:rsid w:val="009B38BD"/>
    <w:rsid w:val="009B3A6B"/>
    <w:rsid w:val="009B3B57"/>
    <w:rsid w:val="009B405F"/>
    <w:rsid w:val="009B42F6"/>
    <w:rsid w:val="009B53CD"/>
    <w:rsid w:val="009B576C"/>
    <w:rsid w:val="009B57D1"/>
    <w:rsid w:val="009B7055"/>
    <w:rsid w:val="009C2D23"/>
    <w:rsid w:val="009C3867"/>
    <w:rsid w:val="009C7458"/>
    <w:rsid w:val="009D0BA3"/>
    <w:rsid w:val="009D12B6"/>
    <w:rsid w:val="009D1965"/>
    <w:rsid w:val="009D4545"/>
    <w:rsid w:val="009D5D68"/>
    <w:rsid w:val="009D6431"/>
    <w:rsid w:val="009D702F"/>
    <w:rsid w:val="009D7E6A"/>
    <w:rsid w:val="009E0097"/>
    <w:rsid w:val="009E22AD"/>
    <w:rsid w:val="009E276D"/>
    <w:rsid w:val="009E511C"/>
    <w:rsid w:val="009E5230"/>
    <w:rsid w:val="009F0322"/>
    <w:rsid w:val="009F0ADC"/>
    <w:rsid w:val="009F0C1F"/>
    <w:rsid w:val="009F1046"/>
    <w:rsid w:val="009F2002"/>
    <w:rsid w:val="009F2276"/>
    <w:rsid w:val="009F3EB0"/>
    <w:rsid w:val="009F5871"/>
    <w:rsid w:val="009F58AC"/>
    <w:rsid w:val="009F58C4"/>
    <w:rsid w:val="009F62BE"/>
    <w:rsid w:val="009F6C83"/>
    <w:rsid w:val="00A0314F"/>
    <w:rsid w:val="00A033FC"/>
    <w:rsid w:val="00A061A8"/>
    <w:rsid w:val="00A07BB5"/>
    <w:rsid w:val="00A11528"/>
    <w:rsid w:val="00A11A65"/>
    <w:rsid w:val="00A121CB"/>
    <w:rsid w:val="00A137CA"/>
    <w:rsid w:val="00A13ADB"/>
    <w:rsid w:val="00A14A76"/>
    <w:rsid w:val="00A16A36"/>
    <w:rsid w:val="00A21456"/>
    <w:rsid w:val="00A21BA3"/>
    <w:rsid w:val="00A21D3C"/>
    <w:rsid w:val="00A2244C"/>
    <w:rsid w:val="00A228F7"/>
    <w:rsid w:val="00A24BF7"/>
    <w:rsid w:val="00A24D3B"/>
    <w:rsid w:val="00A25215"/>
    <w:rsid w:val="00A25650"/>
    <w:rsid w:val="00A2609D"/>
    <w:rsid w:val="00A261C0"/>
    <w:rsid w:val="00A2684F"/>
    <w:rsid w:val="00A2751F"/>
    <w:rsid w:val="00A30CFA"/>
    <w:rsid w:val="00A3102A"/>
    <w:rsid w:val="00A33E72"/>
    <w:rsid w:val="00A36EBF"/>
    <w:rsid w:val="00A3710B"/>
    <w:rsid w:val="00A41213"/>
    <w:rsid w:val="00A42A6A"/>
    <w:rsid w:val="00A42E7D"/>
    <w:rsid w:val="00A455FD"/>
    <w:rsid w:val="00A4625E"/>
    <w:rsid w:val="00A46C22"/>
    <w:rsid w:val="00A46C9B"/>
    <w:rsid w:val="00A5074A"/>
    <w:rsid w:val="00A54A3A"/>
    <w:rsid w:val="00A553AD"/>
    <w:rsid w:val="00A620B3"/>
    <w:rsid w:val="00A66AC6"/>
    <w:rsid w:val="00A67147"/>
    <w:rsid w:val="00A72C2F"/>
    <w:rsid w:val="00A731F9"/>
    <w:rsid w:val="00A7327B"/>
    <w:rsid w:val="00A743E2"/>
    <w:rsid w:val="00A74A82"/>
    <w:rsid w:val="00A75CC1"/>
    <w:rsid w:val="00A763F6"/>
    <w:rsid w:val="00A76DA2"/>
    <w:rsid w:val="00A81FDA"/>
    <w:rsid w:val="00A8356A"/>
    <w:rsid w:val="00A83AD2"/>
    <w:rsid w:val="00A85CFA"/>
    <w:rsid w:val="00A8610A"/>
    <w:rsid w:val="00A8749F"/>
    <w:rsid w:val="00A87DF5"/>
    <w:rsid w:val="00A900DA"/>
    <w:rsid w:val="00A90148"/>
    <w:rsid w:val="00A91735"/>
    <w:rsid w:val="00A93324"/>
    <w:rsid w:val="00A94AA6"/>
    <w:rsid w:val="00A9561B"/>
    <w:rsid w:val="00A97443"/>
    <w:rsid w:val="00AA3BB9"/>
    <w:rsid w:val="00AA4158"/>
    <w:rsid w:val="00AA4891"/>
    <w:rsid w:val="00AA53F0"/>
    <w:rsid w:val="00AA59E0"/>
    <w:rsid w:val="00AB0651"/>
    <w:rsid w:val="00AB1E78"/>
    <w:rsid w:val="00AB2AD0"/>
    <w:rsid w:val="00AB4E88"/>
    <w:rsid w:val="00AB6408"/>
    <w:rsid w:val="00AB7595"/>
    <w:rsid w:val="00AB79A1"/>
    <w:rsid w:val="00AB7D5C"/>
    <w:rsid w:val="00AC2078"/>
    <w:rsid w:val="00AC4228"/>
    <w:rsid w:val="00AC4E54"/>
    <w:rsid w:val="00AD029E"/>
    <w:rsid w:val="00AD06D8"/>
    <w:rsid w:val="00AD2776"/>
    <w:rsid w:val="00AD2904"/>
    <w:rsid w:val="00AD3F7E"/>
    <w:rsid w:val="00AD5C0E"/>
    <w:rsid w:val="00AD5ED2"/>
    <w:rsid w:val="00AD6128"/>
    <w:rsid w:val="00AD736E"/>
    <w:rsid w:val="00AD7D36"/>
    <w:rsid w:val="00AE1329"/>
    <w:rsid w:val="00AE383F"/>
    <w:rsid w:val="00AE5181"/>
    <w:rsid w:val="00AE6287"/>
    <w:rsid w:val="00AE6C32"/>
    <w:rsid w:val="00AF79E2"/>
    <w:rsid w:val="00B00F0C"/>
    <w:rsid w:val="00B01247"/>
    <w:rsid w:val="00B012CB"/>
    <w:rsid w:val="00B0231A"/>
    <w:rsid w:val="00B05327"/>
    <w:rsid w:val="00B062D5"/>
    <w:rsid w:val="00B06EC4"/>
    <w:rsid w:val="00B073EE"/>
    <w:rsid w:val="00B07B50"/>
    <w:rsid w:val="00B10AC9"/>
    <w:rsid w:val="00B113E2"/>
    <w:rsid w:val="00B113F2"/>
    <w:rsid w:val="00B11985"/>
    <w:rsid w:val="00B12980"/>
    <w:rsid w:val="00B1324E"/>
    <w:rsid w:val="00B13D29"/>
    <w:rsid w:val="00B201BC"/>
    <w:rsid w:val="00B239BE"/>
    <w:rsid w:val="00B24A4F"/>
    <w:rsid w:val="00B24BD0"/>
    <w:rsid w:val="00B2640D"/>
    <w:rsid w:val="00B26C03"/>
    <w:rsid w:val="00B272C4"/>
    <w:rsid w:val="00B301F4"/>
    <w:rsid w:val="00B31410"/>
    <w:rsid w:val="00B31B1E"/>
    <w:rsid w:val="00B329B6"/>
    <w:rsid w:val="00B34387"/>
    <w:rsid w:val="00B344DA"/>
    <w:rsid w:val="00B345C1"/>
    <w:rsid w:val="00B35372"/>
    <w:rsid w:val="00B35A5E"/>
    <w:rsid w:val="00B36818"/>
    <w:rsid w:val="00B37305"/>
    <w:rsid w:val="00B44D02"/>
    <w:rsid w:val="00B452A2"/>
    <w:rsid w:val="00B45B41"/>
    <w:rsid w:val="00B45FD7"/>
    <w:rsid w:val="00B46973"/>
    <w:rsid w:val="00B46DF8"/>
    <w:rsid w:val="00B50290"/>
    <w:rsid w:val="00B5040F"/>
    <w:rsid w:val="00B50A34"/>
    <w:rsid w:val="00B52185"/>
    <w:rsid w:val="00B52897"/>
    <w:rsid w:val="00B52BAD"/>
    <w:rsid w:val="00B5325D"/>
    <w:rsid w:val="00B532E8"/>
    <w:rsid w:val="00B53FF6"/>
    <w:rsid w:val="00B543EB"/>
    <w:rsid w:val="00B54EA1"/>
    <w:rsid w:val="00B55186"/>
    <w:rsid w:val="00B5601A"/>
    <w:rsid w:val="00B57024"/>
    <w:rsid w:val="00B602E4"/>
    <w:rsid w:val="00B61D09"/>
    <w:rsid w:val="00B653CE"/>
    <w:rsid w:val="00B65EC3"/>
    <w:rsid w:val="00B71239"/>
    <w:rsid w:val="00B7220B"/>
    <w:rsid w:val="00B7407D"/>
    <w:rsid w:val="00B77318"/>
    <w:rsid w:val="00B7798D"/>
    <w:rsid w:val="00B82312"/>
    <w:rsid w:val="00B82D38"/>
    <w:rsid w:val="00B877BA"/>
    <w:rsid w:val="00B908D8"/>
    <w:rsid w:val="00B91AA2"/>
    <w:rsid w:val="00B938F4"/>
    <w:rsid w:val="00B94AA8"/>
    <w:rsid w:val="00B95414"/>
    <w:rsid w:val="00B96098"/>
    <w:rsid w:val="00B961B2"/>
    <w:rsid w:val="00B96340"/>
    <w:rsid w:val="00BA0EA6"/>
    <w:rsid w:val="00BA1744"/>
    <w:rsid w:val="00BA2DC7"/>
    <w:rsid w:val="00BA3237"/>
    <w:rsid w:val="00BA4B3E"/>
    <w:rsid w:val="00BA5011"/>
    <w:rsid w:val="00BB6526"/>
    <w:rsid w:val="00BC14F5"/>
    <w:rsid w:val="00BC16E9"/>
    <w:rsid w:val="00BC2FF5"/>
    <w:rsid w:val="00BC4049"/>
    <w:rsid w:val="00BC44BA"/>
    <w:rsid w:val="00BC493A"/>
    <w:rsid w:val="00BC56D7"/>
    <w:rsid w:val="00BC5B04"/>
    <w:rsid w:val="00BC7105"/>
    <w:rsid w:val="00BC78DA"/>
    <w:rsid w:val="00BD199F"/>
    <w:rsid w:val="00BD226D"/>
    <w:rsid w:val="00BD2D05"/>
    <w:rsid w:val="00BD5776"/>
    <w:rsid w:val="00BD68EC"/>
    <w:rsid w:val="00BD6A90"/>
    <w:rsid w:val="00BE011E"/>
    <w:rsid w:val="00BE1C1B"/>
    <w:rsid w:val="00BE2A03"/>
    <w:rsid w:val="00BE3585"/>
    <w:rsid w:val="00BE6122"/>
    <w:rsid w:val="00BE7BA3"/>
    <w:rsid w:val="00BE7D00"/>
    <w:rsid w:val="00BF0C45"/>
    <w:rsid w:val="00BF17FE"/>
    <w:rsid w:val="00BF1FFF"/>
    <w:rsid w:val="00BF3C46"/>
    <w:rsid w:val="00BF3EF4"/>
    <w:rsid w:val="00BF7774"/>
    <w:rsid w:val="00C00C27"/>
    <w:rsid w:val="00C014A2"/>
    <w:rsid w:val="00C014AE"/>
    <w:rsid w:val="00C025C9"/>
    <w:rsid w:val="00C03E45"/>
    <w:rsid w:val="00C04AE7"/>
    <w:rsid w:val="00C06641"/>
    <w:rsid w:val="00C06DB2"/>
    <w:rsid w:val="00C123FC"/>
    <w:rsid w:val="00C125C7"/>
    <w:rsid w:val="00C20AE3"/>
    <w:rsid w:val="00C20BA2"/>
    <w:rsid w:val="00C21219"/>
    <w:rsid w:val="00C21A8D"/>
    <w:rsid w:val="00C2226A"/>
    <w:rsid w:val="00C30EF6"/>
    <w:rsid w:val="00C3432C"/>
    <w:rsid w:val="00C343F5"/>
    <w:rsid w:val="00C34CF0"/>
    <w:rsid w:val="00C35F31"/>
    <w:rsid w:val="00C3676A"/>
    <w:rsid w:val="00C410B9"/>
    <w:rsid w:val="00C43286"/>
    <w:rsid w:val="00C43379"/>
    <w:rsid w:val="00C449B1"/>
    <w:rsid w:val="00C479BA"/>
    <w:rsid w:val="00C57713"/>
    <w:rsid w:val="00C60C3C"/>
    <w:rsid w:val="00C613D1"/>
    <w:rsid w:val="00C6188F"/>
    <w:rsid w:val="00C62EBF"/>
    <w:rsid w:val="00C65F40"/>
    <w:rsid w:val="00C67BA2"/>
    <w:rsid w:val="00C70469"/>
    <w:rsid w:val="00C70AA7"/>
    <w:rsid w:val="00C717DC"/>
    <w:rsid w:val="00C7198E"/>
    <w:rsid w:val="00C729A9"/>
    <w:rsid w:val="00C72DB7"/>
    <w:rsid w:val="00C75BA3"/>
    <w:rsid w:val="00C766C0"/>
    <w:rsid w:val="00C82756"/>
    <w:rsid w:val="00C82B28"/>
    <w:rsid w:val="00C834F5"/>
    <w:rsid w:val="00C83DC8"/>
    <w:rsid w:val="00C84E03"/>
    <w:rsid w:val="00C851B4"/>
    <w:rsid w:val="00C85B58"/>
    <w:rsid w:val="00C85BA0"/>
    <w:rsid w:val="00C85E58"/>
    <w:rsid w:val="00C85F0E"/>
    <w:rsid w:val="00C86B8B"/>
    <w:rsid w:val="00C87404"/>
    <w:rsid w:val="00C87D2A"/>
    <w:rsid w:val="00C93EC5"/>
    <w:rsid w:val="00C9591D"/>
    <w:rsid w:val="00C97415"/>
    <w:rsid w:val="00C976F1"/>
    <w:rsid w:val="00C97A04"/>
    <w:rsid w:val="00CA0942"/>
    <w:rsid w:val="00CA1BA3"/>
    <w:rsid w:val="00CA1E30"/>
    <w:rsid w:val="00CA3F67"/>
    <w:rsid w:val="00CA420C"/>
    <w:rsid w:val="00CA4CED"/>
    <w:rsid w:val="00CA5EBD"/>
    <w:rsid w:val="00CA7EF0"/>
    <w:rsid w:val="00CB0F29"/>
    <w:rsid w:val="00CB25B2"/>
    <w:rsid w:val="00CB3794"/>
    <w:rsid w:val="00CC1150"/>
    <w:rsid w:val="00CC18D1"/>
    <w:rsid w:val="00CC4307"/>
    <w:rsid w:val="00CC7FA3"/>
    <w:rsid w:val="00CD0BFF"/>
    <w:rsid w:val="00CD37B1"/>
    <w:rsid w:val="00CD4803"/>
    <w:rsid w:val="00CD4E45"/>
    <w:rsid w:val="00CD56DF"/>
    <w:rsid w:val="00CD615E"/>
    <w:rsid w:val="00CD7457"/>
    <w:rsid w:val="00CE02C0"/>
    <w:rsid w:val="00CE126A"/>
    <w:rsid w:val="00CE16B1"/>
    <w:rsid w:val="00CE1AA7"/>
    <w:rsid w:val="00CE5D92"/>
    <w:rsid w:val="00CE6FE0"/>
    <w:rsid w:val="00CE78CD"/>
    <w:rsid w:val="00CF07A6"/>
    <w:rsid w:val="00CF10BA"/>
    <w:rsid w:val="00CF128F"/>
    <w:rsid w:val="00CF2252"/>
    <w:rsid w:val="00CF254B"/>
    <w:rsid w:val="00CF3B0F"/>
    <w:rsid w:val="00CF3C23"/>
    <w:rsid w:val="00CF4F5D"/>
    <w:rsid w:val="00CF55C4"/>
    <w:rsid w:val="00CF66C1"/>
    <w:rsid w:val="00CF7307"/>
    <w:rsid w:val="00CF7E9A"/>
    <w:rsid w:val="00D037B5"/>
    <w:rsid w:val="00D05771"/>
    <w:rsid w:val="00D07E80"/>
    <w:rsid w:val="00D12FA2"/>
    <w:rsid w:val="00D1463C"/>
    <w:rsid w:val="00D14B02"/>
    <w:rsid w:val="00D15139"/>
    <w:rsid w:val="00D15A02"/>
    <w:rsid w:val="00D16487"/>
    <w:rsid w:val="00D17904"/>
    <w:rsid w:val="00D202E6"/>
    <w:rsid w:val="00D206CB"/>
    <w:rsid w:val="00D22746"/>
    <w:rsid w:val="00D23769"/>
    <w:rsid w:val="00D251E5"/>
    <w:rsid w:val="00D26AB4"/>
    <w:rsid w:val="00D27C3F"/>
    <w:rsid w:val="00D303F9"/>
    <w:rsid w:val="00D30CCE"/>
    <w:rsid w:val="00D34980"/>
    <w:rsid w:val="00D34F33"/>
    <w:rsid w:val="00D36954"/>
    <w:rsid w:val="00D378ED"/>
    <w:rsid w:val="00D403B7"/>
    <w:rsid w:val="00D4060E"/>
    <w:rsid w:val="00D40B97"/>
    <w:rsid w:val="00D4151A"/>
    <w:rsid w:val="00D41D5D"/>
    <w:rsid w:val="00D4731E"/>
    <w:rsid w:val="00D4762E"/>
    <w:rsid w:val="00D50D28"/>
    <w:rsid w:val="00D52228"/>
    <w:rsid w:val="00D524EB"/>
    <w:rsid w:val="00D53719"/>
    <w:rsid w:val="00D54497"/>
    <w:rsid w:val="00D54D72"/>
    <w:rsid w:val="00D5658A"/>
    <w:rsid w:val="00D56B5F"/>
    <w:rsid w:val="00D57826"/>
    <w:rsid w:val="00D6115C"/>
    <w:rsid w:val="00D6150C"/>
    <w:rsid w:val="00D62579"/>
    <w:rsid w:val="00D62597"/>
    <w:rsid w:val="00D63F14"/>
    <w:rsid w:val="00D70A02"/>
    <w:rsid w:val="00D70D3D"/>
    <w:rsid w:val="00D712B3"/>
    <w:rsid w:val="00D712CC"/>
    <w:rsid w:val="00D71A14"/>
    <w:rsid w:val="00D7519D"/>
    <w:rsid w:val="00D75655"/>
    <w:rsid w:val="00D767D8"/>
    <w:rsid w:val="00D77A9A"/>
    <w:rsid w:val="00D805B9"/>
    <w:rsid w:val="00D8241B"/>
    <w:rsid w:val="00D82E24"/>
    <w:rsid w:val="00D83F6C"/>
    <w:rsid w:val="00D84B2A"/>
    <w:rsid w:val="00D84D7E"/>
    <w:rsid w:val="00D852D1"/>
    <w:rsid w:val="00D85501"/>
    <w:rsid w:val="00D85B58"/>
    <w:rsid w:val="00D866EF"/>
    <w:rsid w:val="00D907BF"/>
    <w:rsid w:val="00D90C87"/>
    <w:rsid w:val="00D92539"/>
    <w:rsid w:val="00D92677"/>
    <w:rsid w:val="00D93890"/>
    <w:rsid w:val="00D93A91"/>
    <w:rsid w:val="00D94E66"/>
    <w:rsid w:val="00D95AD3"/>
    <w:rsid w:val="00D95D84"/>
    <w:rsid w:val="00D96273"/>
    <w:rsid w:val="00DA255F"/>
    <w:rsid w:val="00DA268F"/>
    <w:rsid w:val="00DA33C5"/>
    <w:rsid w:val="00DA3BBD"/>
    <w:rsid w:val="00DA54EF"/>
    <w:rsid w:val="00DA5830"/>
    <w:rsid w:val="00DA5A9C"/>
    <w:rsid w:val="00DA77D6"/>
    <w:rsid w:val="00DA7C27"/>
    <w:rsid w:val="00DB12D6"/>
    <w:rsid w:val="00DB139B"/>
    <w:rsid w:val="00DB48B5"/>
    <w:rsid w:val="00DB4DB3"/>
    <w:rsid w:val="00DB5099"/>
    <w:rsid w:val="00DC0608"/>
    <w:rsid w:val="00DC12F6"/>
    <w:rsid w:val="00DC2656"/>
    <w:rsid w:val="00DC3945"/>
    <w:rsid w:val="00DC4E48"/>
    <w:rsid w:val="00DD0AB3"/>
    <w:rsid w:val="00DD3B68"/>
    <w:rsid w:val="00DD63FC"/>
    <w:rsid w:val="00DE08E7"/>
    <w:rsid w:val="00DE3EC9"/>
    <w:rsid w:val="00DE473B"/>
    <w:rsid w:val="00DE47D2"/>
    <w:rsid w:val="00DE4EF6"/>
    <w:rsid w:val="00DE5F49"/>
    <w:rsid w:val="00DE7353"/>
    <w:rsid w:val="00DF1905"/>
    <w:rsid w:val="00DF1B53"/>
    <w:rsid w:val="00DF329A"/>
    <w:rsid w:val="00DF377D"/>
    <w:rsid w:val="00DF3C43"/>
    <w:rsid w:val="00DF3E11"/>
    <w:rsid w:val="00DF4EE4"/>
    <w:rsid w:val="00DF598E"/>
    <w:rsid w:val="00DF6DDF"/>
    <w:rsid w:val="00DF734D"/>
    <w:rsid w:val="00DF7905"/>
    <w:rsid w:val="00DF7B28"/>
    <w:rsid w:val="00DF7D44"/>
    <w:rsid w:val="00E00419"/>
    <w:rsid w:val="00E00C0E"/>
    <w:rsid w:val="00E02C6E"/>
    <w:rsid w:val="00E05896"/>
    <w:rsid w:val="00E06639"/>
    <w:rsid w:val="00E06A89"/>
    <w:rsid w:val="00E06DF7"/>
    <w:rsid w:val="00E079F0"/>
    <w:rsid w:val="00E07A6B"/>
    <w:rsid w:val="00E12FCD"/>
    <w:rsid w:val="00E13990"/>
    <w:rsid w:val="00E1401E"/>
    <w:rsid w:val="00E147C2"/>
    <w:rsid w:val="00E166B7"/>
    <w:rsid w:val="00E20016"/>
    <w:rsid w:val="00E2070C"/>
    <w:rsid w:val="00E233D6"/>
    <w:rsid w:val="00E23B77"/>
    <w:rsid w:val="00E2634D"/>
    <w:rsid w:val="00E27A98"/>
    <w:rsid w:val="00E303AC"/>
    <w:rsid w:val="00E35360"/>
    <w:rsid w:val="00E35D88"/>
    <w:rsid w:val="00E371BD"/>
    <w:rsid w:val="00E371EE"/>
    <w:rsid w:val="00E3766B"/>
    <w:rsid w:val="00E37969"/>
    <w:rsid w:val="00E40B1B"/>
    <w:rsid w:val="00E40ED2"/>
    <w:rsid w:val="00E425AD"/>
    <w:rsid w:val="00E42BA4"/>
    <w:rsid w:val="00E4693C"/>
    <w:rsid w:val="00E4739C"/>
    <w:rsid w:val="00E50E29"/>
    <w:rsid w:val="00E519EF"/>
    <w:rsid w:val="00E51BB1"/>
    <w:rsid w:val="00E526F9"/>
    <w:rsid w:val="00E534A1"/>
    <w:rsid w:val="00E5485D"/>
    <w:rsid w:val="00E54995"/>
    <w:rsid w:val="00E55027"/>
    <w:rsid w:val="00E56526"/>
    <w:rsid w:val="00E56A57"/>
    <w:rsid w:val="00E632B5"/>
    <w:rsid w:val="00E63D48"/>
    <w:rsid w:val="00E63F53"/>
    <w:rsid w:val="00E65457"/>
    <w:rsid w:val="00E70A9E"/>
    <w:rsid w:val="00E75382"/>
    <w:rsid w:val="00E76296"/>
    <w:rsid w:val="00E7656C"/>
    <w:rsid w:val="00E77313"/>
    <w:rsid w:val="00E8190E"/>
    <w:rsid w:val="00E81A16"/>
    <w:rsid w:val="00E829E4"/>
    <w:rsid w:val="00E84D12"/>
    <w:rsid w:val="00E858C5"/>
    <w:rsid w:val="00E867CC"/>
    <w:rsid w:val="00E95CAF"/>
    <w:rsid w:val="00E9629E"/>
    <w:rsid w:val="00E96865"/>
    <w:rsid w:val="00E97108"/>
    <w:rsid w:val="00EA09CE"/>
    <w:rsid w:val="00EA6339"/>
    <w:rsid w:val="00EA656A"/>
    <w:rsid w:val="00EA6A38"/>
    <w:rsid w:val="00EA73F1"/>
    <w:rsid w:val="00EA7B91"/>
    <w:rsid w:val="00EB122C"/>
    <w:rsid w:val="00EB21C7"/>
    <w:rsid w:val="00EB40C6"/>
    <w:rsid w:val="00EB72E7"/>
    <w:rsid w:val="00EC156C"/>
    <w:rsid w:val="00EC2380"/>
    <w:rsid w:val="00EC2CB4"/>
    <w:rsid w:val="00EC48A0"/>
    <w:rsid w:val="00EC6BCD"/>
    <w:rsid w:val="00EC6D77"/>
    <w:rsid w:val="00EC7655"/>
    <w:rsid w:val="00EC7DF6"/>
    <w:rsid w:val="00ED2EB8"/>
    <w:rsid w:val="00ED3FAB"/>
    <w:rsid w:val="00ED4CA6"/>
    <w:rsid w:val="00ED622B"/>
    <w:rsid w:val="00ED6495"/>
    <w:rsid w:val="00ED67BE"/>
    <w:rsid w:val="00ED79DF"/>
    <w:rsid w:val="00EE08BC"/>
    <w:rsid w:val="00EE0D76"/>
    <w:rsid w:val="00EE2113"/>
    <w:rsid w:val="00EE3904"/>
    <w:rsid w:val="00EE3AC4"/>
    <w:rsid w:val="00EE5F41"/>
    <w:rsid w:val="00EE7C69"/>
    <w:rsid w:val="00EF18B3"/>
    <w:rsid w:val="00EF1B11"/>
    <w:rsid w:val="00EF3628"/>
    <w:rsid w:val="00EF431B"/>
    <w:rsid w:val="00EF6B1D"/>
    <w:rsid w:val="00EF7779"/>
    <w:rsid w:val="00EF7AD5"/>
    <w:rsid w:val="00F002B3"/>
    <w:rsid w:val="00F00601"/>
    <w:rsid w:val="00F00F7D"/>
    <w:rsid w:val="00F01FCA"/>
    <w:rsid w:val="00F037E7"/>
    <w:rsid w:val="00F039BC"/>
    <w:rsid w:val="00F04EEA"/>
    <w:rsid w:val="00F07DB4"/>
    <w:rsid w:val="00F100FE"/>
    <w:rsid w:val="00F10D8D"/>
    <w:rsid w:val="00F129C6"/>
    <w:rsid w:val="00F12C65"/>
    <w:rsid w:val="00F155D7"/>
    <w:rsid w:val="00F173B3"/>
    <w:rsid w:val="00F20563"/>
    <w:rsid w:val="00F20836"/>
    <w:rsid w:val="00F208B4"/>
    <w:rsid w:val="00F22124"/>
    <w:rsid w:val="00F222BB"/>
    <w:rsid w:val="00F240AA"/>
    <w:rsid w:val="00F24897"/>
    <w:rsid w:val="00F24C92"/>
    <w:rsid w:val="00F24D4E"/>
    <w:rsid w:val="00F263A9"/>
    <w:rsid w:val="00F27A44"/>
    <w:rsid w:val="00F27F37"/>
    <w:rsid w:val="00F30DA5"/>
    <w:rsid w:val="00F32F3A"/>
    <w:rsid w:val="00F3300F"/>
    <w:rsid w:val="00F33F84"/>
    <w:rsid w:val="00F3533C"/>
    <w:rsid w:val="00F35F0D"/>
    <w:rsid w:val="00F40898"/>
    <w:rsid w:val="00F40E7D"/>
    <w:rsid w:val="00F41C1B"/>
    <w:rsid w:val="00F44143"/>
    <w:rsid w:val="00F45C13"/>
    <w:rsid w:val="00F477B6"/>
    <w:rsid w:val="00F50651"/>
    <w:rsid w:val="00F50F56"/>
    <w:rsid w:val="00F51572"/>
    <w:rsid w:val="00F54B6E"/>
    <w:rsid w:val="00F574AD"/>
    <w:rsid w:val="00F600EB"/>
    <w:rsid w:val="00F607E2"/>
    <w:rsid w:val="00F62573"/>
    <w:rsid w:val="00F63682"/>
    <w:rsid w:val="00F64309"/>
    <w:rsid w:val="00F6573E"/>
    <w:rsid w:val="00F659F1"/>
    <w:rsid w:val="00F6731A"/>
    <w:rsid w:val="00F70613"/>
    <w:rsid w:val="00F71D4E"/>
    <w:rsid w:val="00F72631"/>
    <w:rsid w:val="00F737C8"/>
    <w:rsid w:val="00F7429A"/>
    <w:rsid w:val="00F74936"/>
    <w:rsid w:val="00F75F3E"/>
    <w:rsid w:val="00F7636B"/>
    <w:rsid w:val="00F769F3"/>
    <w:rsid w:val="00F77CD0"/>
    <w:rsid w:val="00F80F72"/>
    <w:rsid w:val="00F817EB"/>
    <w:rsid w:val="00F823E4"/>
    <w:rsid w:val="00F863E5"/>
    <w:rsid w:val="00F8673A"/>
    <w:rsid w:val="00F867B1"/>
    <w:rsid w:val="00F87E0D"/>
    <w:rsid w:val="00F91495"/>
    <w:rsid w:val="00F9460D"/>
    <w:rsid w:val="00F958B2"/>
    <w:rsid w:val="00FA01B0"/>
    <w:rsid w:val="00FA18AD"/>
    <w:rsid w:val="00FA1914"/>
    <w:rsid w:val="00FA2ABC"/>
    <w:rsid w:val="00FA36F7"/>
    <w:rsid w:val="00FA4D3B"/>
    <w:rsid w:val="00FA5000"/>
    <w:rsid w:val="00FA53D8"/>
    <w:rsid w:val="00FA6475"/>
    <w:rsid w:val="00FA7E01"/>
    <w:rsid w:val="00FB1E94"/>
    <w:rsid w:val="00FB3514"/>
    <w:rsid w:val="00FB41A8"/>
    <w:rsid w:val="00FB5FDA"/>
    <w:rsid w:val="00FB64CC"/>
    <w:rsid w:val="00FB6F90"/>
    <w:rsid w:val="00FB7239"/>
    <w:rsid w:val="00FB7E3C"/>
    <w:rsid w:val="00FC2F51"/>
    <w:rsid w:val="00FC37C9"/>
    <w:rsid w:val="00FD05F0"/>
    <w:rsid w:val="00FD2355"/>
    <w:rsid w:val="00FD29C0"/>
    <w:rsid w:val="00FD4B72"/>
    <w:rsid w:val="00FD4BD2"/>
    <w:rsid w:val="00FD66A6"/>
    <w:rsid w:val="00FD7468"/>
    <w:rsid w:val="00FE1691"/>
    <w:rsid w:val="00FE2282"/>
    <w:rsid w:val="00FE69EE"/>
    <w:rsid w:val="00FE7F6E"/>
    <w:rsid w:val="00FF0808"/>
    <w:rsid w:val="00FF094B"/>
    <w:rsid w:val="00FF31AC"/>
    <w:rsid w:val="00FF45F7"/>
    <w:rsid w:val="010F95B1"/>
    <w:rsid w:val="0142AF22"/>
    <w:rsid w:val="016ED064"/>
    <w:rsid w:val="019AC5CF"/>
    <w:rsid w:val="019DEADF"/>
    <w:rsid w:val="01A75E37"/>
    <w:rsid w:val="01BF3BDB"/>
    <w:rsid w:val="01BF78F9"/>
    <w:rsid w:val="01C004CA"/>
    <w:rsid w:val="01C05585"/>
    <w:rsid w:val="01C0D807"/>
    <w:rsid w:val="01FD9266"/>
    <w:rsid w:val="022EEEE5"/>
    <w:rsid w:val="02544544"/>
    <w:rsid w:val="0268D39A"/>
    <w:rsid w:val="029CE3AB"/>
    <w:rsid w:val="02B02CE9"/>
    <w:rsid w:val="02C974D0"/>
    <w:rsid w:val="02CEA81A"/>
    <w:rsid w:val="03123F9F"/>
    <w:rsid w:val="032A3F4D"/>
    <w:rsid w:val="034C34B2"/>
    <w:rsid w:val="035746AB"/>
    <w:rsid w:val="035B0C3C"/>
    <w:rsid w:val="03622E86"/>
    <w:rsid w:val="03719E07"/>
    <w:rsid w:val="0372A4FE"/>
    <w:rsid w:val="038640A1"/>
    <w:rsid w:val="03989CA3"/>
    <w:rsid w:val="039EBE2A"/>
    <w:rsid w:val="03C1BD60"/>
    <w:rsid w:val="03D78F58"/>
    <w:rsid w:val="040EB16A"/>
    <w:rsid w:val="04245DE9"/>
    <w:rsid w:val="04342708"/>
    <w:rsid w:val="0479F703"/>
    <w:rsid w:val="04873238"/>
    <w:rsid w:val="04A47F7C"/>
    <w:rsid w:val="04EDE692"/>
    <w:rsid w:val="05011DC2"/>
    <w:rsid w:val="051750C7"/>
    <w:rsid w:val="052BD962"/>
    <w:rsid w:val="054614B1"/>
    <w:rsid w:val="055AE5F5"/>
    <w:rsid w:val="057C882A"/>
    <w:rsid w:val="057D3DB8"/>
    <w:rsid w:val="0588AC6E"/>
    <w:rsid w:val="05927A0B"/>
    <w:rsid w:val="059E2343"/>
    <w:rsid w:val="05A6348E"/>
    <w:rsid w:val="05DFD3C1"/>
    <w:rsid w:val="05FCFCE7"/>
    <w:rsid w:val="060E4E38"/>
    <w:rsid w:val="063E3F74"/>
    <w:rsid w:val="06401BA1"/>
    <w:rsid w:val="06494C13"/>
    <w:rsid w:val="065FE8B1"/>
    <w:rsid w:val="066ADBE5"/>
    <w:rsid w:val="067D4E8A"/>
    <w:rsid w:val="06871DDC"/>
    <w:rsid w:val="068F5877"/>
    <w:rsid w:val="068FA745"/>
    <w:rsid w:val="06913F36"/>
    <w:rsid w:val="0695721B"/>
    <w:rsid w:val="069FB68C"/>
    <w:rsid w:val="06A044F8"/>
    <w:rsid w:val="06CFCAF8"/>
    <w:rsid w:val="06D56CA3"/>
    <w:rsid w:val="06FF1665"/>
    <w:rsid w:val="0702D52E"/>
    <w:rsid w:val="073B9624"/>
    <w:rsid w:val="073F24CA"/>
    <w:rsid w:val="07565F0E"/>
    <w:rsid w:val="0772CEEB"/>
    <w:rsid w:val="07C3D369"/>
    <w:rsid w:val="07D73076"/>
    <w:rsid w:val="07EF0926"/>
    <w:rsid w:val="080B2660"/>
    <w:rsid w:val="080C6650"/>
    <w:rsid w:val="081F9119"/>
    <w:rsid w:val="08398D56"/>
    <w:rsid w:val="0852F074"/>
    <w:rsid w:val="086A1CC8"/>
    <w:rsid w:val="08794A92"/>
    <w:rsid w:val="087CEB2A"/>
    <w:rsid w:val="08B985C1"/>
    <w:rsid w:val="08D2B3CA"/>
    <w:rsid w:val="08F6A47C"/>
    <w:rsid w:val="08FDDD2F"/>
    <w:rsid w:val="08FEEA51"/>
    <w:rsid w:val="091ED275"/>
    <w:rsid w:val="09307E8A"/>
    <w:rsid w:val="09978481"/>
    <w:rsid w:val="09DE04DC"/>
    <w:rsid w:val="09FDAFBB"/>
    <w:rsid w:val="0A136A65"/>
    <w:rsid w:val="0A2A7E9F"/>
    <w:rsid w:val="0A37014B"/>
    <w:rsid w:val="0A3819BD"/>
    <w:rsid w:val="0A38251F"/>
    <w:rsid w:val="0A43DA39"/>
    <w:rsid w:val="0A585EF4"/>
    <w:rsid w:val="0A59CAC4"/>
    <w:rsid w:val="0A696DC8"/>
    <w:rsid w:val="0A7130C3"/>
    <w:rsid w:val="0A73E276"/>
    <w:rsid w:val="0A7D9951"/>
    <w:rsid w:val="0A9BB8FD"/>
    <w:rsid w:val="0AA06479"/>
    <w:rsid w:val="0AAA3F8D"/>
    <w:rsid w:val="0AB08A41"/>
    <w:rsid w:val="0AD9E72B"/>
    <w:rsid w:val="0AECC525"/>
    <w:rsid w:val="0AF60B0C"/>
    <w:rsid w:val="0B100E21"/>
    <w:rsid w:val="0B153552"/>
    <w:rsid w:val="0B41843B"/>
    <w:rsid w:val="0B6E2923"/>
    <w:rsid w:val="0B903D8B"/>
    <w:rsid w:val="0BA791CB"/>
    <w:rsid w:val="0BB10C45"/>
    <w:rsid w:val="0BB3FB01"/>
    <w:rsid w:val="0BC796D8"/>
    <w:rsid w:val="0BDA1883"/>
    <w:rsid w:val="0C127C7F"/>
    <w:rsid w:val="0C1F7B17"/>
    <w:rsid w:val="0C306CC1"/>
    <w:rsid w:val="0C382405"/>
    <w:rsid w:val="0C71F9AD"/>
    <w:rsid w:val="0C9BC87D"/>
    <w:rsid w:val="0CAC586C"/>
    <w:rsid w:val="0CCF87BB"/>
    <w:rsid w:val="0CE22FA7"/>
    <w:rsid w:val="0CE8D5A7"/>
    <w:rsid w:val="0CF58CD5"/>
    <w:rsid w:val="0D04104B"/>
    <w:rsid w:val="0D2C45D3"/>
    <w:rsid w:val="0D446464"/>
    <w:rsid w:val="0D5B99A9"/>
    <w:rsid w:val="0D6EBEE7"/>
    <w:rsid w:val="0D9772DE"/>
    <w:rsid w:val="0DA25E2E"/>
    <w:rsid w:val="0DC79C23"/>
    <w:rsid w:val="0DDA7DAD"/>
    <w:rsid w:val="0DFAC606"/>
    <w:rsid w:val="0E3C7904"/>
    <w:rsid w:val="0E561EEA"/>
    <w:rsid w:val="0E7639E5"/>
    <w:rsid w:val="0E95C817"/>
    <w:rsid w:val="0EA17443"/>
    <w:rsid w:val="0EAF602A"/>
    <w:rsid w:val="0EC733FA"/>
    <w:rsid w:val="0F1A4CB6"/>
    <w:rsid w:val="0F29215E"/>
    <w:rsid w:val="0F3C1A7B"/>
    <w:rsid w:val="0F595197"/>
    <w:rsid w:val="0F69EDB3"/>
    <w:rsid w:val="0F73CB25"/>
    <w:rsid w:val="0F7B03E0"/>
    <w:rsid w:val="0F8A6466"/>
    <w:rsid w:val="0F9978C5"/>
    <w:rsid w:val="0FDC1E6B"/>
    <w:rsid w:val="0FE00BCD"/>
    <w:rsid w:val="10068E21"/>
    <w:rsid w:val="1028B26E"/>
    <w:rsid w:val="10547EE4"/>
    <w:rsid w:val="106B6E98"/>
    <w:rsid w:val="10785705"/>
    <w:rsid w:val="108FC5D1"/>
    <w:rsid w:val="10BDB4F2"/>
    <w:rsid w:val="10E12737"/>
    <w:rsid w:val="10F5F505"/>
    <w:rsid w:val="110B5BFE"/>
    <w:rsid w:val="110FAD76"/>
    <w:rsid w:val="1117CCE0"/>
    <w:rsid w:val="1131EC8F"/>
    <w:rsid w:val="115347F8"/>
    <w:rsid w:val="1160E6F1"/>
    <w:rsid w:val="1193DFDF"/>
    <w:rsid w:val="11AC4123"/>
    <w:rsid w:val="11C5E6BF"/>
    <w:rsid w:val="1214F80F"/>
    <w:rsid w:val="12493FE4"/>
    <w:rsid w:val="12582FA3"/>
    <w:rsid w:val="1259A3B8"/>
    <w:rsid w:val="12684897"/>
    <w:rsid w:val="128D3F28"/>
    <w:rsid w:val="128E6CCE"/>
    <w:rsid w:val="1295A029"/>
    <w:rsid w:val="12CF3A78"/>
    <w:rsid w:val="12E0EFC2"/>
    <w:rsid w:val="12EAFEA8"/>
    <w:rsid w:val="12FAA67F"/>
    <w:rsid w:val="1317C994"/>
    <w:rsid w:val="134202FD"/>
    <w:rsid w:val="13425FDC"/>
    <w:rsid w:val="1347BFD7"/>
    <w:rsid w:val="1374DDF3"/>
    <w:rsid w:val="137617F1"/>
    <w:rsid w:val="137C30A5"/>
    <w:rsid w:val="13A76AB4"/>
    <w:rsid w:val="13D02AFC"/>
    <w:rsid w:val="13D49D77"/>
    <w:rsid w:val="1418C16E"/>
    <w:rsid w:val="142407EE"/>
    <w:rsid w:val="1427B1EA"/>
    <w:rsid w:val="1440A20A"/>
    <w:rsid w:val="14436195"/>
    <w:rsid w:val="144456E2"/>
    <w:rsid w:val="14465012"/>
    <w:rsid w:val="14523858"/>
    <w:rsid w:val="1456F0BF"/>
    <w:rsid w:val="1461612A"/>
    <w:rsid w:val="149EB72B"/>
    <w:rsid w:val="14A7747F"/>
    <w:rsid w:val="14ABD4A5"/>
    <w:rsid w:val="14C208BB"/>
    <w:rsid w:val="14DA4CEC"/>
    <w:rsid w:val="14E9BD3D"/>
    <w:rsid w:val="14FD77A1"/>
    <w:rsid w:val="1519AA4E"/>
    <w:rsid w:val="15360134"/>
    <w:rsid w:val="155881E6"/>
    <w:rsid w:val="1559CCF1"/>
    <w:rsid w:val="155A5AF2"/>
    <w:rsid w:val="1584F031"/>
    <w:rsid w:val="158A20D4"/>
    <w:rsid w:val="1597C9FD"/>
    <w:rsid w:val="15DF1649"/>
    <w:rsid w:val="15F01B3F"/>
    <w:rsid w:val="15FB9D77"/>
    <w:rsid w:val="15FBC31C"/>
    <w:rsid w:val="160B683D"/>
    <w:rsid w:val="162985DA"/>
    <w:rsid w:val="162E7438"/>
    <w:rsid w:val="164934C1"/>
    <w:rsid w:val="16643D34"/>
    <w:rsid w:val="166923AE"/>
    <w:rsid w:val="16B346B6"/>
    <w:rsid w:val="16B70971"/>
    <w:rsid w:val="16D20BE0"/>
    <w:rsid w:val="16D8EC32"/>
    <w:rsid w:val="16E55F66"/>
    <w:rsid w:val="16E61946"/>
    <w:rsid w:val="170C0AC4"/>
    <w:rsid w:val="1715C93B"/>
    <w:rsid w:val="17265CF9"/>
    <w:rsid w:val="177AC6BE"/>
    <w:rsid w:val="177F0785"/>
    <w:rsid w:val="179B4F9B"/>
    <w:rsid w:val="17A52F09"/>
    <w:rsid w:val="17A8939A"/>
    <w:rsid w:val="17B628E4"/>
    <w:rsid w:val="17C48402"/>
    <w:rsid w:val="17D377CF"/>
    <w:rsid w:val="17ED3852"/>
    <w:rsid w:val="17F99BE8"/>
    <w:rsid w:val="18070408"/>
    <w:rsid w:val="1815A128"/>
    <w:rsid w:val="182673EE"/>
    <w:rsid w:val="184270F7"/>
    <w:rsid w:val="184DE8D4"/>
    <w:rsid w:val="1872F820"/>
    <w:rsid w:val="18828CC0"/>
    <w:rsid w:val="188E4812"/>
    <w:rsid w:val="18BC14BC"/>
    <w:rsid w:val="18C4563C"/>
    <w:rsid w:val="18DFF651"/>
    <w:rsid w:val="1918C88B"/>
    <w:rsid w:val="1931CDBF"/>
    <w:rsid w:val="1943F42F"/>
    <w:rsid w:val="19486AEE"/>
    <w:rsid w:val="19690CD3"/>
    <w:rsid w:val="1969473F"/>
    <w:rsid w:val="1970EF75"/>
    <w:rsid w:val="19A77C26"/>
    <w:rsid w:val="19C2BA84"/>
    <w:rsid w:val="1A0FF57C"/>
    <w:rsid w:val="1A105080"/>
    <w:rsid w:val="1A1B8518"/>
    <w:rsid w:val="1A3DE4F2"/>
    <w:rsid w:val="1A4A0936"/>
    <w:rsid w:val="1A61FDED"/>
    <w:rsid w:val="1A8B8D5D"/>
    <w:rsid w:val="1A998DBB"/>
    <w:rsid w:val="1A9FF5F4"/>
    <w:rsid w:val="1AC3347C"/>
    <w:rsid w:val="1AF3510C"/>
    <w:rsid w:val="1AFF01CA"/>
    <w:rsid w:val="1B4798CD"/>
    <w:rsid w:val="1B864614"/>
    <w:rsid w:val="1B893044"/>
    <w:rsid w:val="1B8B1FE2"/>
    <w:rsid w:val="1BA360EB"/>
    <w:rsid w:val="1BA428ED"/>
    <w:rsid w:val="1BAC5AE7"/>
    <w:rsid w:val="1BBD1E47"/>
    <w:rsid w:val="1BC90865"/>
    <w:rsid w:val="1BCB4DEB"/>
    <w:rsid w:val="1BDE2034"/>
    <w:rsid w:val="1BE7D70B"/>
    <w:rsid w:val="1C12A7CA"/>
    <w:rsid w:val="1C2746ED"/>
    <w:rsid w:val="1C58C666"/>
    <w:rsid w:val="1C62252F"/>
    <w:rsid w:val="1C6553CA"/>
    <w:rsid w:val="1C79DD37"/>
    <w:rsid w:val="1C87FDB1"/>
    <w:rsid w:val="1CA83FA4"/>
    <w:rsid w:val="1CB80F01"/>
    <w:rsid w:val="1CC5C2C9"/>
    <w:rsid w:val="1CD83F5B"/>
    <w:rsid w:val="1D0E23F3"/>
    <w:rsid w:val="1D274A4D"/>
    <w:rsid w:val="1D3CD36C"/>
    <w:rsid w:val="1D598D0A"/>
    <w:rsid w:val="1D5A6C9F"/>
    <w:rsid w:val="1D6C87F9"/>
    <w:rsid w:val="1D7B842C"/>
    <w:rsid w:val="1D7D81F0"/>
    <w:rsid w:val="1D836E88"/>
    <w:rsid w:val="1DB172AD"/>
    <w:rsid w:val="1DCEC7DF"/>
    <w:rsid w:val="1E25DCBC"/>
    <w:rsid w:val="1E3D46C0"/>
    <w:rsid w:val="1E755AD3"/>
    <w:rsid w:val="1E7C5B12"/>
    <w:rsid w:val="1E83087C"/>
    <w:rsid w:val="1E9B17B0"/>
    <w:rsid w:val="1E9F61A4"/>
    <w:rsid w:val="1EA748BF"/>
    <w:rsid w:val="1EADD185"/>
    <w:rsid w:val="1ED0FB86"/>
    <w:rsid w:val="1F13CBF6"/>
    <w:rsid w:val="1F2BE015"/>
    <w:rsid w:val="1F692DAB"/>
    <w:rsid w:val="1F842C0F"/>
    <w:rsid w:val="1FA36275"/>
    <w:rsid w:val="1FAC4BB9"/>
    <w:rsid w:val="1FB70D9F"/>
    <w:rsid w:val="1FBAC544"/>
    <w:rsid w:val="1FC0B991"/>
    <w:rsid w:val="1FDF8CCF"/>
    <w:rsid w:val="1FF14A16"/>
    <w:rsid w:val="20069566"/>
    <w:rsid w:val="200A68E7"/>
    <w:rsid w:val="20224212"/>
    <w:rsid w:val="202B261E"/>
    <w:rsid w:val="20305B54"/>
    <w:rsid w:val="2036E8AA"/>
    <w:rsid w:val="20493FB8"/>
    <w:rsid w:val="20604DCB"/>
    <w:rsid w:val="20607FF8"/>
    <w:rsid w:val="2063B3CF"/>
    <w:rsid w:val="208BC478"/>
    <w:rsid w:val="20A1C336"/>
    <w:rsid w:val="20ACE5B1"/>
    <w:rsid w:val="20BE5848"/>
    <w:rsid w:val="20E00FD5"/>
    <w:rsid w:val="20EB1010"/>
    <w:rsid w:val="20ECB81C"/>
    <w:rsid w:val="20EF0062"/>
    <w:rsid w:val="210FD679"/>
    <w:rsid w:val="211273A9"/>
    <w:rsid w:val="213FA33C"/>
    <w:rsid w:val="2154D455"/>
    <w:rsid w:val="215E1FD0"/>
    <w:rsid w:val="2179E7DB"/>
    <w:rsid w:val="21B1C7ED"/>
    <w:rsid w:val="21BCB694"/>
    <w:rsid w:val="21D5ABCB"/>
    <w:rsid w:val="21DEDB9A"/>
    <w:rsid w:val="21F28B1E"/>
    <w:rsid w:val="21FE9C4B"/>
    <w:rsid w:val="2215B79B"/>
    <w:rsid w:val="22268A47"/>
    <w:rsid w:val="224E6EB5"/>
    <w:rsid w:val="226E9EAE"/>
    <w:rsid w:val="2272FBCC"/>
    <w:rsid w:val="2278850A"/>
    <w:rsid w:val="227AE6CE"/>
    <w:rsid w:val="228E3010"/>
    <w:rsid w:val="2294132D"/>
    <w:rsid w:val="22B0DDD9"/>
    <w:rsid w:val="22C67814"/>
    <w:rsid w:val="22C740CD"/>
    <w:rsid w:val="22C8D746"/>
    <w:rsid w:val="22F1372D"/>
    <w:rsid w:val="233E2079"/>
    <w:rsid w:val="23417FDF"/>
    <w:rsid w:val="2354E9C0"/>
    <w:rsid w:val="237A7D78"/>
    <w:rsid w:val="237FAAF8"/>
    <w:rsid w:val="2390C081"/>
    <w:rsid w:val="239FF715"/>
    <w:rsid w:val="23AF70A0"/>
    <w:rsid w:val="23AFAF72"/>
    <w:rsid w:val="23B11162"/>
    <w:rsid w:val="23BA09BB"/>
    <w:rsid w:val="23C24C36"/>
    <w:rsid w:val="23ED9D65"/>
    <w:rsid w:val="23F182E2"/>
    <w:rsid w:val="2402B4F2"/>
    <w:rsid w:val="2402E11E"/>
    <w:rsid w:val="2416AD48"/>
    <w:rsid w:val="243DFFEF"/>
    <w:rsid w:val="24663B3E"/>
    <w:rsid w:val="247EA594"/>
    <w:rsid w:val="24915B37"/>
    <w:rsid w:val="249CCC64"/>
    <w:rsid w:val="24C8209E"/>
    <w:rsid w:val="24CA927C"/>
    <w:rsid w:val="2518663A"/>
    <w:rsid w:val="251A8A43"/>
    <w:rsid w:val="25293D27"/>
    <w:rsid w:val="25637C02"/>
    <w:rsid w:val="2591904A"/>
    <w:rsid w:val="2594D19A"/>
    <w:rsid w:val="25A13366"/>
    <w:rsid w:val="25AC1934"/>
    <w:rsid w:val="25C5A23D"/>
    <w:rsid w:val="25F32C18"/>
    <w:rsid w:val="25FE0281"/>
    <w:rsid w:val="262B5532"/>
    <w:rsid w:val="26357D17"/>
    <w:rsid w:val="265FA771"/>
    <w:rsid w:val="2669569F"/>
    <w:rsid w:val="2674E7B5"/>
    <w:rsid w:val="26795CE5"/>
    <w:rsid w:val="26BF82E9"/>
    <w:rsid w:val="26CD7227"/>
    <w:rsid w:val="26F9C844"/>
    <w:rsid w:val="272BE3B7"/>
    <w:rsid w:val="273BC4D3"/>
    <w:rsid w:val="275800C4"/>
    <w:rsid w:val="275B36E9"/>
    <w:rsid w:val="276E9C4E"/>
    <w:rsid w:val="27737D42"/>
    <w:rsid w:val="2775D93D"/>
    <w:rsid w:val="278EC439"/>
    <w:rsid w:val="2794D9B8"/>
    <w:rsid w:val="279D050C"/>
    <w:rsid w:val="27A07632"/>
    <w:rsid w:val="27C3D824"/>
    <w:rsid w:val="27F3A6E2"/>
    <w:rsid w:val="27FEE3D5"/>
    <w:rsid w:val="280B91A6"/>
    <w:rsid w:val="280E06DF"/>
    <w:rsid w:val="283BEBE9"/>
    <w:rsid w:val="2847421D"/>
    <w:rsid w:val="2858515A"/>
    <w:rsid w:val="28752377"/>
    <w:rsid w:val="287F1152"/>
    <w:rsid w:val="2893FEC4"/>
    <w:rsid w:val="2894B93C"/>
    <w:rsid w:val="289D4125"/>
    <w:rsid w:val="28A00020"/>
    <w:rsid w:val="28A1161C"/>
    <w:rsid w:val="28D53421"/>
    <w:rsid w:val="28D69F10"/>
    <w:rsid w:val="28DDF1FF"/>
    <w:rsid w:val="28F54E7F"/>
    <w:rsid w:val="29027C60"/>
    <w:rsid w:val="29094505"/>
    <w:rsid w:val="29147DE8"/>
    <w:rsid w:val="291DF43A"/>
    <w:rsid w:val="2937D35B"/>
    <w:rsid w:val="2954A68C"/>
    <w:rsid w:val="296E4B09"/>
    <w:rsid w:val="29709F07"/>
    <w:rsid w:val="299975D7"/>
    <w:rsid w:val="299B621A"/>
    <w:rsid w:val="29C51463"/>
    <w:rsid w:val="29C85C72"/>
    <w:rsid w:val="29D5D4B8"/>
    <w:rsid w:val="2A54F6C3"/>
    <w:rsid w:val="2A8CF24D"/>
    <w:rsid w:val="2A8F84D3"/>
    <w:rsid w:val="2AB7E22F"/>
    <w:rsid w:val="2AB8FDC8"/>
    <w:rsid w:val="2AC73837"/>
    <w:rsid w:val="2AFEA02C"/>
    <w:rsid w:val="2B0A9676"/>
    <w:rsid w:val="2B1A4A8B"/>
    <w:rsid w:val="2B1E7AAE"/>
    <w:rsid w:val="2B6934C6"/>
    <w:rsid w:val="2B7D2468"/>
    <w:rsid w:val="2BAA6C1C"/>
    <w:rsid w:val="2BBDC214"/>
    <w:rsid w:val="2BC1981B"/>
    <w:rsid w:val="2BC99DEF"/>
    <w:rsid w:val="2BCDA71F"/>
    <w:rsid w:val="2BD84744"/>
    <w:rsid w:val="2BFD3097"/>
    <w:rsid w:val="2BFD8D5E"/>
    <w:rsid w:val="2C1C49B2"/>
    <w:rsid w:val="2C33BA18"/>
    <w:rsid w:val="2C399DFC"/>
    <w:rsid w:val="2C3CAC50"/>
    <w:rsid w:val="2C5EE35C"/>
    <w:rsid w:val="2C644DE9"/>
    <w:rsid w:val="2C70E87C"/>
    <w:rsid w:val="2C989284"/>
    <w:rsid w:val="2CA592CC"/>
    <w:rsid w:val="2CB98723"/>
    <w:rsid w:val="2CBB2E74"/>
    <w:rsid w:val="2CD0D1BF"/>
    <w:rsid w:val="2D06901F"/>
    <w:rsid w:val="2D0DCA15"/>
    <w:rsid w:val="2D0FD4A4"/>
    <w:rsid w:val="2D270593"/>
    <w:rsid w:val="2D2ED772"/>
    <w:rsid w:val="2D301AE3"/>
    <w:rsid w:val="2D37DFEC"/>
    <w:rsid w:val="2D41C0A1"/>
    <w:rsid w:val="2D6CE2DD"/>
    <w:rsid w:val="2D7810AC"/>
    <w:rsid w:val="2D9D66DE"/>
    <w:rsid w:val="2DB167D5"/>
    <w:rsid w:val="2E04FA44"/>
    <w:rsid w:val="2E113448"/>
    <w:rsid w:val="2E174BE6"/>
    <w:rsid w:val="2E310A46"/>
    <w:rsid w:val="2E37587F"/>
    <w:rsid w:val="2E3797B6"/>
    <w:rsid w:val="2E481C2B"/>
    <w:rsid w:val="2E7E76F1"/>
    <w:rsid w:val="2E9C2EF9"/>
    <w:rsid w:val="2EAFBD45"/>
    <w:rsid w:val="2EB37101"/>
    <w:rsid w:val="2EB524F2"/>
    <w:rsid w:val="2EFAC00C"/>
    <w:rsid w:val="2EFB1596"/>
    <w:rsid w:val="2EFC57DC"/>
    <w:rsid w:val="2F020FE0"/>
    <w:rsid w:val="2F062082"/>
    <w:rsid w:val="2F063D4C"/>
    <w:rsid w:val="2F18EB96"/>
    <w:rsid w:val="2F19C1B6"/>
    <w:rsid w:val="2F2BD09F"/>
    <w:rsid w:val="2F4F04B7"/>
    <w:rsid w:val="2F65932F"/>
    <w:rsid w:val="2F8CC288"/>
    <w:rsid w:val="2FA57DE3"/>
    <w:rsid w:val="2FB9F94C"/>
    <w:rsid w:val="2FD2347B"/>
    <w:rsid w:val="2FE1D2AF"/>
    <w:rsid w:val="30185518"/>
    <w:rsid w:val="302BA54C"/>
    <w:rsid w:val="30359B91"/>
    <w:rsid w:val="3062BBA6"/>
    <w:rsid w:val="3080C4A2"/>
    <w:rsid w:val="309D6F9A"/>
    <w:rsid w:val="309F3065"/>
    <w:rsid w:val="30AB88BC"/>
    <w:rsid w:val="30D78507"/>
    <w:rsid w:val="30D9189E"/>
    <w:rsid w:val="30E45B79"/>
    <w:rsid w:val="30F7D40A"/>
    <w:rsid w:val="311F4F74"/>
    <w:rsid w:val="3121B331"/>
    <w:rsid w:val="313CE567"/>
    <w:rsid w:val="3148A3A3"/>
    <w:rsid w:val="317BCF7D"/>
    <w:rsid w:val="318B1521"/>
    <w:rsid w:val="318D3915"/>
    <w:rsid w:val="31ADF1B8"/>
    <w:rsid w:val="31B0D259"/>
    <w:rsid w:val="31CD1FA0"/>
    <w:rsid w:val="31D0CE3E"/>
    <w:rsid w:val="31D3F0DB"/>
    <w:rsid w:val="31EBA528"/>
    <w:rsid w:val="31FA4970"/>
    <w:rsid w:val="3225C7FD"/>
    <w:rsid w:val="323F8986"/>
    <w:rsid w:val="324524FD"/>
    <w:rsid w:val="326EF033"/>
    <w:rsid w:val="3270D542"/>
    <w:rsid w:val="32AE6862"/>
    <w:rsid w:val="32B2EF82"/>
    <w:rsid w:val="32DE82A4"/>
    <w:rsid w:val="32EE4822"/>
    <w:rsid w:val="32F3761D"/>
    <w:rsid w:val="331ED10A"/>
    <w:rsid w:val="332B79E3"/>
    <w:rsid w:val="333FC6EC"/>
    <w:rsid w:val="3342E7CB"/>
    <w:rsid w:val="3357F07D"/>
    <w:rsid w:val="335842FF"/>
    <w:rsid w:val="33854216"/>
    <w:rsid w:val="33C8E3CB"/>
    <w:rsid w:val="33DB6AAC"/>
    <w:rsid w:val="33EFE542"/>
    <w:rsid w:val="33FB50A4"/>
    <w:rsid w:val="343A5D9B"/>
    <w:rsid w:val="343E460B"/>
    <w:rsid w:val="345207ED"/>
    <w:rsid w:val="345A28FC"/>
    <w:rsid w:val="346724B4"/>
    <w:rsid w:val="3483E557"/>
    <w:rsid w:val="348B8CFC"/>
    <w:rsid w:val="34A770F2"/>
    <w:rsid w:val="34B26B35"/>
    <w:rsid w:val="34BB4643"/>
    <w:rsid w:val="34D4DB11"/>
    <w:rsid w:val="34D59A41"/>
    <w:rsid w:val="351D1E04"/>
    <w:rsid w:val="35671142"/>
    <w:rsid w:val="356D2390"/>
    <w:rsid w:val="358A38F3"/>
    <w:rsid w:val="35A34B3E"/>
    <w:rsid w:val="35AFFCE6"/>
    <w:rsid w:val="35DCAA97"/>
    <w:rsid w:val="35DD1FC5"/>
    <w:rsid w:val="35E71E65"/>
    <w:rsid w:val="362DF71F"/>
    <w:rsid w:val="364C29BA"/>
    <w:rsid w:val="368FF049"/>
    <w:rsid w:val="36A15718"/>
    <w:rsid w:val="36D03923"/>
    <w:rsid w:val="37100920"/>
    <w:rsid w:val="371B2C54"/>
    <w:rsid w:val="37555124"/>
    <w:rsid w:val="3755AB7E"/>
    <w:rsid w:val="37640FD7"/>
    <w:rsid w:val="376884CF"/>
    <w:rsid w:val="378A1DB5"/>
    <w:rsid w:val="3792B811"/>
    <w:rsid w:val="37C0B1C6"/>
    <w:rsid w:val="37DBE57F"/>
    <w:rsid w:val="37F0CD32"/>
    <w:rsid w:val="380FFDF0"/>
    <w:rsid w:val="38154151"/>
    <w:rsid w:val="389207EA"/>
    <w:rsid w:val="38937337"/>
    <w:rsid w:val="38A597AE"/>
    <w:rsid w:val="38BA9BC3"/>
    <w:rsid w:val="38BF0BBD"/>
    <w:rsid w:val="38DB1933"/>
    <w:rsid w:val="390284E0"/>
    <w:rsid w:val="3905DC6B"/>
    <w:rsid w:val="3916A9D0"/>
    <w:rsid w:val="39585B32"/>
    <w:rsid w:val="396664E1"/>
    <w:rsid w:val="397220AA"/>
    <w:rsid w:val="3982721A"/>
    <w:rsid w:val="3990D279"/>
    <w:rsid w:val="39B6E26C"/>
    <w:rsid w:val="39BECEB8"/>
    <w:rsid w:val="39D06372"/>
    <w:rsid w:val="39D56924"/>
    <w:rsid w:val="39D87285"/>
    <w:rsid w:val="39F41A12"/>
    <w:rsid w:val="3A3AB7A3"/>
    <w:rsid w:val="3A562232"/>
    <w:rsid w:val="3A5D9D02"/>
    <w:rsid w:val="3A779F5E"/>
    <w:rsid w:val="3A77B3DD"/>
    <w:rsid w:val="3A787300"/>
    <w:rsid w:val="3A9DA543"/>
    <w:rsid w:val="3AB56CC3"/>
    <w:rsid w:val="3AC3C5B6"/>
    <w:rsid w:val="3AF93060"/>
    <w:rsid w:val="3B123D50"/>
    <w:rsid w:val="3B2C92B9"/>
    <w:rsid w:val="3B2FD5D9"/>
    <w:rsid w:val="3B3A9090"/>
    <w:rsid w:val="3B56685D"/>
    <w:rsid w:val="3B7A5511"/>
    <w:rsid w:val="3BB94BBE"/>
    <w:rsid w:val="3BF49A65"/>
    <w:rsid w:val="3C1A0CD9"/>
    <w:rsid w:val="3C451A88"/>
    <w:rsid w:val="3C52CFF2"/>
    <w:rsid w:val="3C5B9DAF"/>
    <w:rsid w:val="3C8EC7DF"/>
    <w:rsid w:val="3C9F7B87"/>
    <w:rsid w:val="3CD0F0E7"/>
    <w:rsid w:val="3CE7D6B0"/>
    <w:rsid w:val="3CEEB4D3"/>
    <w:rsid w:val="3D47D676"/>
    <w:rsid w:val="3D8FFAF9"/>
    <w:rsid w:val="3DD0B8A4"/>
    <w:rsid w:val="3DF54483"/>
    <w:rsid w:val="3E08B21D"/>
    <w:rsid w:val="3E0DB99F"/>
    <w:rsid w:val="3E1669C0"/>
    <w:rsid w:val="3E1797FA"/>
    <w:rsid w:val="3E207EC7"/>
    <w:rsid w:val="3E47EA74"/>
    <w:rsid w:val="3E4809F2"/>
    <w:rsid w:val="3E56FD63"/>
    <w:rsid w:val="3E632B91"/>
    <w:rsid w:val="3E6C65E4"/>
    <w:rsid w:val="3E76D679"/>
    <w:rsid w:val="3E7BEA38"/>
    <w:rsid w:val="3E8E200F"/>
    <w:rsid w:val="3EB08214"/>
    <w:rsid w:val="3EBFCA99"/>
    <w:rsid w:val="3EC7A348"/>
    <w:rsid w:val="3EC9E6D1"/>
    <w:rsid w:val="3EE4805F"/>
    <w:rsid w:val="3EE6ACC0"/>
    <w:rsid w:val="3EE96C80"/>
    <w:rsid w:val="3F398C6A"/>
    <w:rsid w:val="3F6262E2"/>
    <w:rsid w:val="3F68CE58"/>
    <w:rsid w:val="3F998F7D"/>
    <w:rsid w:val="3FB6B2A7"/>
    <w:rsid w:val="3FBC7BA7"/>
    <w:rsid w:val="3FDB705D"/>
    <w:rsid w:val="3FE7EA92"/>
    <w:rsid w:val="3FEAEDE0"/>
    <w:rsid w:val="3FFB479F"/>
    <w:rsid w:val="4006AB8D"/>
    <w:rsid w:val="401F6550"/>
    <w:rsid w:val="4026B35F"/>
    <w:rsid w:val="40297B76"/>
    <w:rsid w:val="4038415A"/>
    <w:rsid w:val="405FAB47"/>
    <w:rsid w:val="4063901E"/>
    <w:rsid w:val="4070D335"/>
    <w:rsid w:val="4099787A"/>
    <w:rsid w:val="409F6B3F"/>
    <w:rsid w:val="40DD9D1F"/>
    <w:rsid w:val="411A0B71"/>
    <w:rsid w:val="4134C1D5"/>
    <w:rsid w:val="414EA48A"/>
    <w:rsid w:val="4153D7AE"/>
    <w:rsid w:val="417D0D9A"/>
    <w:rsid w:val="41B2CDB5"/>
    <w:rsid w:val="41CFBE41"/>
    <w:rsid w:val="41D5528E"/>
    <w:rsid w:val="4215B186"/>
    <w:rsid w:val="42204D26"/>
    <w:rsid w:val="423585E7"/>
    <w:rsid w:val="4268DA77"/>
    <w:rsid w:val="426CDDBD"/>
    <w:rsid w:val="42810C55"/>
    <w:rsid w:val="429AA2CC"/>
    <w:rsid w:val="429C5D29"/>
    <w:rsid w:val="429FDF49"/>
    <w:rsid w:val="42AAC8F0"/>
    <w:rsid w:val="42AB69DF"/>
    <w:rsid w:val="42D40D3C"/>
    <w:rsid w:val="42D58761"/>
    <w:rsid w:val="42DAEBF5"/>
    <w:rsid w:val="42E5B52D"/>
    <w:rsid w:val="4303542D"/>
    <w:rsid w:val="43233283"/>
    <w:rsid w:val="432EAFDD"/>
    <w:rsid w:val="434BE280"/>
    <w:rsid w:val="434ECEEF"/>
    <w:rsid w:val="4353D1A0"/>
    <w:rsid w:val="4368289E"/>
    <w:rsid w:val="4375181B"/>
    <w:rsid w:val="4390CA61"/>
    <w:rsid w:val="43C6AB19"/>
    <w:rsid w:val="43F79F97"/>
    <w:rsid w:val="43FE90A4"/>
    <w:rsid w:val="440C8DD9"/>
    <w:rsid w:val="44342785"/>
    <w:rsid w:val="4437C5B8"/>
    <w:rsid w:val="44411669"/>
    <w:rsid w:val="44675D69"/>
    <w:rsid w:val="447EEF01"/>
    <w:rsid w:val="44968017"/>
    <w:rsid w:val="44980B46"/>
    <w:rsid w:val="449961BE"/>
    <w:rsid w:val="44B0B27F"/>
    <w:rsid w:val="44CAD176"/>
    <w:rsid w:val="45138D08"/>
    <w:rsid w:val="451A11A9"/>
    <w:rsid w:val="453747EC"/>
    <w:rsid w:val="4557AE77"/>
    <w:rsid w:val="455A8800"/>
    <w:rsid w:val="4563058A"/>
    <w:rsid w:val="4566328C"/>
    <w:rsid w:val="4577AE47"/>
    <w:rsid w:val="45852F76"/>
    <w:rsid w:val="45A6E485"/>
    <w:rsid w:val="45B37EC8"/>
    <w:rsid w:val="45D452CF"/>
    <w:rsid w:val="45F673CE"/>
    <w:rsid w:val="4612D08C"/>
    <w:rsid w:val="4635791A"/>
    <w:rsid w:val="4644F608"/>
    <w:rsid w:val="465C10D3"/>
    <w:rsid w:val="465FE43C"/>
    <w:rsid w:val="46B6E51D"/>
    <w:rsid w:val="46C8B63F"/>
    <w:rsid w:val="46E5E68B"/>
    <w:rsid w:val="4701C579"/>
    <w:rsid w:val="472CE2D7"/>
    <w:rsid w:val="4737A2E7"/>
    <w:rsid w:val="4759D00D"/>
    <w:rsid w:val="475BFB55"/>
    <w:rsid w:val="476F7502"/>
    <w:rsid w:val="4778C16C"/>
    <w:rsid w:val="47952947"/>
    <w:rsid w:val="47FE4389"/>
    <w:rsid w:val="480EE9A7"/>
    <w:rsid w:val="4844ED6B"/>
    <w:rsid w:val="484B8A45"/>
    <w:rsid w:val="485DA312"/>
    <w:rsid w:val="485E4878"/>
    <w:rsid w:val="48BFF20E"/>
    <w:rsid w:val="48E2E3AD"/>
    <w:rsid w:val="48E7A706"/>
    <w:rsid w:val="48FECF2F"/>
    <w:rsid w:val="49026F19"/>
    <w:rsid w:val="493E68C1"/>
    <w:rsid w:val="493FA8CF"/>
    <w:rsid w:val="494D8631"/>
    <w:rsid w:val="494E6FB0"/>
    <w:rsid w:val="49546475"/>
    <w:rsid w:val="49BC79CA"/>
    <w:rsid w:val="4A0B4A21"/>
    <w:rsid w:val="4A1069DB"/>
    <w:rsid w:val="4A7702FF"/>
    <w:rsid w:val="4A786312"/>
    <w:rsid w:val="4AD6BF7F"/>
    <w:rsid w:val="4AF93603"/>
    <w:rsid w:val="4B1DB903"/>
    <w:rsid w:val="4B594DE6"/>
    <w:rsid w:val="4B5DE0B5"/>
    <w:rsid w:val="4B72F901"/>
    <w:rsid w:val="4B837024"/>
    <w:rsid w:val="4B894A29"/>
    <w:rsid w:val="4B8D1D92"/>
    <w:rsid w:val="4B943B14"/>
    <w:rsid w:val="4B98ABB7"/>
    <w:rsid w:val="4BC01E68"/>
    <w:rsid w:val="4BC64695"/>
    <w:rsid w:val="4BCF9B46"/>
    <w:rsid w:val="4BFBD681"/>
    <w:rsid w:val="4C164DF1"/>
    <w:rsid w:val="4C32E73F"/>
    <w:rsid w:val="4C46EFC8"/>
    <w:rsid w:val="4C73FBCC"/>
    <w:rsid w:val="4C78ED01"/>
    <w:rsid w:val="4C8BB37B"/>
    <w:rsid w:val="4C966A44"/>
    <w:rsid w:val="4CA87E08"/>
    <w:rsid w:val="4CA889BA"/>
    <w:rsid w:val="4CC11483"/>
    <w:rsid w:val="4CF77B8F"/>
    <w:rsid w:val="4D19B370"/>
    <w:rsid w:val="4D2C59FF"/>
    <w:rsid w:val="4D39F3CA"/>
    <w:rsid w:val="4D3C9267"/>
    <w:rsid w:val="4D76CFBD"/>
    <w:rsid w:val="4D894EAB"/>
    <w:rsid w:val="4D90EAD8"/>
    <w:rsid w:val="4D9C75FB"/>
    <w:rsid w:val="4D9E8441"/>
    <w:rsid w:val="4DABEB65"/>
    <w:rsid w:val="4DACA869"/>
    <w:rsid w:val="4DEC8DD2"/>
    <w:rsid w:val="4DFA8B1C"/>
    <w:rsid w:val="4E0A0CD5"/>
    <w:rsid w:val="4E3CFB75"/>
    <w:rsid w:val="4E3F2A14"/>
    <w:rsid w:val="4E4022B3"/>
    <w:rsid w:val="4E50354A"/>
    <w:rsid w:val="4E94E7EC"/>
    <w:rsid w:val="4E975C2B"/>
    <w:rsid w:val="4E9BA74C"/>
    <w:rsid w:val="4EA9C95B"/>
    <w:rsid w:val="4EBAFC42"/>
    <w:rsid w:val="4EEDE759"/>
    <w:rsid w:val="4EFC60AD"/>
    <w:rsid w:val="4EFFDB34"/>
    <w:rsid w:val="4F2A2DE3"/>
    <w:rsid w:val="4F39CFC8"/>
    <w:rsid w:val="4F3B81BD"/>
    <w:rsid w:val="4F56F04B"/>
    <w:rsid w:val="4F6844F3"/>
    <w:rsid w:val="4F875D92"/>
    <w:rsid w:val="4F877A64"/>
    <w:rsid w:val="4FBB12CC"/>
    <w:rsid w:val="4FC32B46"/>
    <w:rsid w:val="4FC6E92D"/>
    <w:rsid w:val="4FF0BEC1"/>
    <w:rsid w:val="5034C023"/>
    <w:rsid w:val="5035B76F"/>
    <w:rsid w:val="503D239D"/>
    <w:rsid w:val="50617E15"/>
    <w:rsid w:val="50BD7217"/>
    <w:rsid w:val="50ED98E9"/>
    <w:rsid w:val="510B60DB"/>
    <w:rsid w:val="5113A6AC"/>
    <w:rsid w:val="511A1107"/>
    <w:rsid w:val="5144095B"/>
    <w:rsid w:val="517B2079"/>
    <w:rsid w:val="517B60FE"/>
    <w:rsid w:val="51899737"/>
    <w:rsid w:val="51CC4F6F"/>
    <w:rsid w:val="520DF564"/>
    <w:rsid w:val="520E2D7A"/>
    <w:rsid w:val="521508B8"/>
    <w:rsid w:val="52155792"/>
    <w:rsid w:val="522A1A81"/>
    <w:rsid w:val="523D6152"/>
    <w:rsid w:val="52727CEB"/>
    <w:rsid w:val="5290D734"/>
    <w:rsid w:val="529A6274"/>
    <w:rsid w:val="52EFAD45"/>
    <w:rsid w:val="52F0B974"/>
    <w:rsid w:val="52F9FB1A"/>
    <w:rsid w:val="5324FCAE"/>
    <w:rsid w:val="5331EC65"/>
    <w:rsid w:val="535A13E4"/>
    <w:rsid w:val="536506DC"/>
    <w:rsid w:val="53655BBB"/>
    <w:rsid w:val="537DA03F"/>
    <w:rsid w:val="538CDD03"/>
    <w:rsid w:val="53ACD797"/>
    <w:rsid w:val="53B25CC9"/>
    <w:rsid w:val="53BB88EF"/>
    <w:rsid w:val="53D10679"/>
    <w:rsid w:val="53D2DAA9"/>
    <w:rsid w:val="53D3BD53"/>
    <w:rsid w:val="53E545C2"/>
    <w:rsid w:val="53EFC166"/>
    <w:rsid w:val="53F7B316"/>
    <w:rsid w:val="54295A6B"/>
    <w:rsid w:val="543CAA3C"/>
    <w:rsid w:val="54946124"/>
    <w:rsid w:val="549A63EE"/>
    <w:rsid w:val="54AE7EB0"/>
    <w:rsid w:val="54B1DDC5"/>
    <w:rsid w:val="54B54940"/>
    <w:rsid w:val="54BD75B1"/>
    <w:rsid w:val="54C647F0"/>
    <w:rsid w:val="54D00FA2"/>
    <w:rsid w:val="54F4291D"/>
    <w:rsid w:val="5509233A"/>
    <w:rsid w:val="551675A9"/>
    <w:rsid w:val="5545DE23"/>
    <w:rsid w:val="554E0D5A"/>
    <w:rsid w:val="555009B4"/>
    <w:rsid w:val="557124CC"/>
    <w:rsid w:val="558F6D5D"/>
    <w:rsid w:val="5591617E"/>
    <w:rsid w:val="5596F8FE"/>
    <w:rsid w:val="55971EDC"/>
    <w:rsid w:val="559DF1E7"/>
    <w:rsid w:val="55B2232E"/>
    <w:rsid w:val="55BDAAD4"/>
    <w:rsid w:val="55C9DB02"/>
    <w:rsid w:val="55E8EE25"/>
    <w:rsid w:val="55F21789"/>
    <w:rsid w:val="55F7BD18"/>
    <w:rsid w:val="56050589"/>
    <w:rsid w:val="5618E4D9"/>
    <w:rsid w:val="562486DA"/>
    <w:rsid w:val="56285A43"/>
    <w:rsid w:val="563B673F"/>
    <w:rsid w:val="566370F3"/>
    <w:rsid w:val="566FD51E"/>
    <w:rsid w:val="567247B5"/>
    <w:rsid w:val="567FF327"/>
    <w:rsid w:val="568CCE1B"/>
    <w:rsid w:val="569FF9AE"/>
    <w:rsid w:val="56C65C01"/>
    <w:rsid w:val="56D163E0"/>
    <w:rsid w:val="56F1E608"/>
    <w:rsid w:val="574D66AB"/>
    <w:rsid w:val="577FEF86"/>
    <w:rsid w:val="57AFB594"/>
    <w:rsid w:val="57B91E9D"/>
    <w:rsid w:val="57CCC56D"/>
    <w:rsid w:val="57DD48D6"/>
    <w:rsid w:val="57DEDC6D"/>
    <w:rsid w:val="57E4E054"/>
    <w:rsid w:val="57FB3595"/>
    <w:rsid w:val="580F5CDF"/>
    <w:rsid w:val="581251BF"/>
    <w:rsid w:val="5815A779"/>
    <w:rsid w:val="581DDBB6"/>
    <w:rsid w:val="582CCF77"/>
    <w:rsid w:val="583329D2"/>
    <w:rsid w:val="58498537"/>
    <w:rsid w:val="584EC15E"/>
    <w:rsid w:val="58546B68"/>
    <w:rsid w:val="585621A7"/>
    <w:rsid w:val="585DE936"/>
    <w:rsid w:val="5881D513"/>
    <w:rsid w:val="58A07CEC"/>
    <w:rsid w:val="58C0AF38"/>
    <w:rsid w:val="58C94BD1"/>
    <w:rsid w:val="58DDF872"/>
    <w:rsid w:val="59111984"/>
    <w:rsid w:val="592FAD81"/>
    <w:rsid w:val="5972E30C"/>
    <w:rsid w:val="5974198F"/>
    <w:rsid w:val="5977C1C6"/>
    <w:rsid w:val="5993796B"/>
    <w:rsid w:val="59C85007"/>
    <w:rsid w:val="59F09A47"/>
    <w:rsid w:val="59F78E25"/>
    <w:rsid w:val="5A1141AC"/>
    <w:rsid w:val="5A11453D"/>
    <w:rsid w:val="5A35F962"/>
    <w:rsid w:val="5A5DB545"/>
    <w:rsid w:val="5A621F27"/>
    <w:rsid w:val="5A90FDB7"/>
    <w:rsid w:val="5ACF836D"/>
    <w:rsid w:val="5AD1A194"/>
    <w:rsid w:val="5AE463D7"/>
    <w:rsid w:val="5B3AA96E"/>
    <w:rsid w:val="5B42E339"/>
    <w:rsid w:val="5B69273D"/>
    <w:rsid w:val="5B6D113E"/>
    <w:rsid w:val="5B7B0586"/>
    <w:rsid w:val="5B83585B"/>
    <w:rsid w:val="5B850710"/>
    <w:rsid w:val="5BAA7A8C"/>
    <w:rsid w:val="5BBB3AC9"/>
    <w:rsid w:val="5BBB9D41"/>
    <w:rsid w:val="5BE9A8FB"/>
    <w:rsid w:val="5BEECC8A"/>
    <w:rsid w:val="5C0C7EF9"/>
    <w:rsid w:val="5C224C05"/>
    <w:rsid w:val="5C36F902"/>
    <w:rsid w:val="5C3B3CF3"/>
    <w:rsid w:val="5C4A2EF0"/>
    <w:rsid w:val="5C7A1085"/>
    <w:rsid w:val="5C7D1F70"/>
    <w:rsid w:val="5C7F49F3"/>
    <w:rsid w:val="5CC1C3BB"/>
    <w:rsid w:val="5CCB2A7B"/>
    <w:rsid w:val="5CCBBB34"/>
    <w:rsid w:val="5CD4F3B1"/>
    <w:rsid w:val="5CD67360"/>
    <w:rsid w:val="5D0FF641"/>
    <w:rsid w:val="5D3B119E"/>
    <w:rsid w:val="5D756D1D"/>
    <w:rsid w:val="5DADAC3D"/>
    <w:rsid w:val="5DCA8907"/>
    <w:rsid w:val="5E268D24"/>
    <w:rsid w:val="5E4120AF"/>
    <w:rsid w:val="5E672A68"/>
    <w:rsid w:val="5E8B16E2"/>
    <w:rsid w:val="5E98BF65"/>
    <w:rsid w:val="5EA333E1"/>
    <w:rsid w:val="5EC92EB9"/>
    <w:rsid w:val="5EF4FF7E"/>
    <w:rsid w:val="5EF9FEC8"/>
    <w:rsid w:val="5F3848DF"/>
    <w:rsid w:val="5F4F0009"/>
    <w:rsid w:val="5F55DEAB"/>
    <w:rsid w:val="5F7A8739"/>
    <w:rsid w:val="5FD530D6"/>
    <w:rsid w:val="5FF59A96"/>
    <w:rsid w:val="600B8656"/>
    <w:rsid w:val="600B8891"/>
    <w:rsid w:val="602BF6EA"/>
    <w:rsid w:val="602DB397"/>
    <w:rsid w:val="602E9E78"/>
    <w:rsid w:val="6040EDC6"/>
    <w:rsid w:val="608C190C"/>
    <w:rsid w:val="6092C2B0"/>
    <w:rsid w:val="609AD5DC"/>
    <w:rsid w:val="60A6D669"/>
    <w:rsid w:val="60B31AD7"/>
    <w:rsid w:val="60DC82D4"/>
    <w:rsid w:val="60E21100"/>
    <w:rsid w:val="6119F70A"/>
    <w:rsid w:val="612AC236"/>
    <w:rsid w:val="6149D01F"/>
    <w:rsid w:val="617386C2"/>
    <w:rsid w:val="6196069C"/>
    <w:rsid w:val="61A5D1B0"/>
    <w:rsid w:val="61A8B054"/>
    <w:rsid w:val="61A8BBE6"/>
    <w:rsid w:val="61AF07BA"/>
    <w:rsid w:val="61C5B12A"/>
    <w:rsid w:val="61CFEED3"/>
    <w:rsid w:val="61F3FEA9"/>
    <w:rsid w:val="62209CAC"/>
    <w:rsid w:val="6229BE7D"/>
    <w:rsid w:val="622A7222"/>
    <w:rsid w:val="6231D6CC"/>
    <w:rsid w:val="62485FDC"/>
    <w:rsid w:val="6252B089"/>
    <w:rsid w:val="625B98F1"/>
    <w:rsid w:val="626B32E9"/>
    <w:rsid w:val="62742178"/>
    <w:rsid w:val="6278AB2E"/>
    <w:rsid w:val="629E4CC5"/>
    <w:rsid w:val="629ED700"/>
    <w:rsid w:val="62C36173"/>
    <w:rsid w:val="62DBA314"/>
    <w:rsid w:val="63243063"/>
    <w:rsid w:val="636CDEF7"/>
    <w:rsid w:val="63B912B2"/>
    <w:rsid w:val="63BD0D10"/>
    <w:rsid w:val="63D0F05F"/>
    <w:rsid w:val="63E1C6DA"/>
    <w:rsid w:val="64106DD8"/>
    <w:rsid w:val="641B680B"/>
    <w:rsid w:val="641DA5A4"/>
    <w:rsid w:val="64299A27"/>
    <w:rsid w:val="642E770B"/>
    <w:rsid w:val="64318EE5"/>
    <w:rsid w:val="64672F55"/>
    <w:rsid w:val="6486413A"/>
    <w:rsid w:val="648EBB6B"/>
    <w:rsid w:val="649C924B"/>
    <w:rsid w:val="64B8DAA3"/>
    <w:rsid w:val="64D2A718"/>
    <w:rsid w:val="65119873"/>
    <w:rsid w:val="65128854"/>
    <w:rsid w:val="6528AF98"/>
    <w:rsid w:val="652AD522"/>
    <w:rsid w:val="6541AD55"/>
    <w:rsid w:val="65435425"/>
    <w:rsid w:val="655E2DDC"/>
    <w:rsid w:val="65633FF9"/>
    <w:rsid w:val="65AD3322"/>
    <w:rsid w:val="65ADFA3F"/>
    <w:rsid w:val="65BC02FA"/>
    <w:rsid w:val="65C67B09"/>
    <w:rsid w:val="65E55AA5"/>
    <w:rsid w:val="65E94866"/>
    <w:rsid w:val="65F28B2E"/>
    <w:rsid w:val="65FD204A"/>
    <w:rsid w:val="66084DEF"/>
    <w:rsid w:val="6651BEA4"/>
    <w:rsid w:val="665EF152"/>
    <w:rsid w:val="6694E52C"/>
    <w:rsid w:val="66AF65E9"/>
    <w:rsid w:val="66E6DBA4"/>
    <w:rsid w:val="670B1386"/>
    <w:rsid w:val="6721DBFB"/>
    <w:rsid w:val="673BC353"/>
    <w:rsid w:val="674FA776"/>
    <w:rsid w:val="675E7439"/>
    <w:rsid w:val="678C7474"/>
    <w:rsid w:val="67C89D38"/>
    <w:rsid w:val="67E52708"/>
    <w:rsid w:val="67EDD46B"/>
    <w:rsid w:val="68074C2B"/>
    <w:rsid w:val="682FECDE"/>
    <w:rsid w:val="68527715"/>
    <w:rsid w:val="689B0810"/>
    <w:rsid w:val="68B897FF"/>
    <w:rsid w:val="68E291A5"/>
    <w:rsid w:val="68E2AD67"/>
    <w:rsid w:val="68F5EE77"/>
    <w:rsid w:val="6909540B"/>
    <w:rsid w:val="694DA92A"/>
    <w:rsid w:val="6953B266"/>
    <w:rsid w:val="695D7127"/>
    <w:rsid w:val="69726A83"/>
    <w:rsid w:val="699AC9CD"/>
    <w:rsid w:val="69AC2908"/>
    <w:rsid w:val="69AFA1E8"/>
    <w:rsid w:val="69C7B1F0"/>
    <w:rsid w:val="69E03586"/>
    <w:rsid w:val="69E68A7C"/>
    <w:rsid w:val="69F6B8FB"/>
    <w:rsid w:val="6AA3856E"/>
    <w:rsid w:val="6AB531A5"/>
    <w:rsid w:val="6AE18E6E"/>
    <w:rsid w:val="6AE25ECE"/>
    <w:rsid w:val="6B272683"/>
    <w:rsid w:val="6B46A257"/>
    <w:rsid w:val="6B64DF02"/>
    <w:rsid w:val="6BA64204"/>
    <w:rsid w:val="6BBF2FDB"/>
    <w:rsid w:val="6BC5D229"/>
    <w:rsid w:val="6BC84D02"/>
    <w:rsid w:val="6BC8DA90"/>
    <w:rsid w:val="6BE340FF"/>
    <w:rsid w:val="6C11ABE1"/>
    <w:rsid w:val="6C3ACFC0"/>
    <w:rsid w:val="6C814945"/>
    <w:rsid w:val="6CA5D73F"/>
    <w:rsid w:val="6CADD35A"/>
    <w:rsid w:val="6CBD3F27"/>
    <w:rsid w:val="6CC160C7"/>
    <w:rsid w:val="6CC8EBE9"/>
    <w:rsid w:val="6CE1E186"/>
    <w:rsid w:val="6CE9ED78"/>
    <w:rsid w:val="6CEDA22B"/>
    <w:rsid w:val="6CF27090"/>
    <w:rsid w:val="6CF735F4"/>
    <w:rsid w:val="6CFFC54D"/>
    <w:rsid w:val="6D11BFBC"/>
    <w:rsid w:val="6D3F6905"/>
    <w:rsid w:val="6D43E991"/>
    <w:rsid w:val="6D90FB78"/>
    <w:rsid w:val="6D9FB970"/>
    <w:rsid w:val="6DA74400"/>
    <w:rsid w:val="6DAA9A23"/>
    <w:rsid w:val="6DB4AE89"/>
    <w:rsid w:val="6DC122AE"/>
    <w:rsid w:val="6DC498F0"/>
    <w:rsid w:val="6DCDD16D"/>
    <w:rsid w:val="6DE5989C"/>
    <w:rsid w:val="6DE706C0"/>
    <w:rsid w:val="6E162D76"/>
    <w:rsid w:val="6E224CA8"/>
    <w:rsid w:val="6E2A691D"/>
    <w:rsid w:val="6E336FFF"/>
    <w:rsid w:val="6E35499A"/>
    <w:rsid w:val="6E76EA80"/>
    <w:rsid w:val="6E78700F"/>
    <w:rsid w:val="6E84BCCD"/>
    <w:rsid w:val="6EA01F4F"/>
    <w:rsid w:val="6F138AFC"/>
    <w:rsid w:val="6F382622"/>
    <w:rsid w:val="6F47870A"/>
    <w:rsid w:val="6F4BBDAF"/>
    <w:rsid w:val="6F5D1F6D"/>
    <w:rsid w:val="6F5DA506"/>
    <w:rsid w:val="6F7B130C"/>
    <w:rsid w:val="6F7DFCFC"/>
    <w:rsid w:val="6FB81F89"/>
    <w:rsid w:val="6FC611D3"/>
    <w:rsid w:val="6FC9432B"/>
    <w:rsid w:val="6FD70100"/>
    <w:rsid w:val="6FE267C2"/>
    <w:rsid w:val="6FE5BAE4"/>
    <w:rsid w:val="6FF32B9C"/>
    <w:rsid w:val="700BEDA7"/>
    <w:rsid w:val="700D67D0"/>
    <w:rsid w:val="7031C3E6"/>
    <w:rsid w:val="703EFA18"/>
    <w:rsid w:val="7040F019"/>
    <w:rsid w:val="7044508C"/>
    <w:rsid w:val="707364F5"/>
    <w:rsid w:val="7097F58F"/>
    <w:rsid w:val="709B92BA"/>
    <w:rsid w:val="70A0E57B"/>
    <w:rsid w:val="70AFD678"/>
    <w:rsid w:val="70B18AE1"/>
    <w:rsid w:val="70BCAEE2"/>
    <w:rsid w:val="70BCD459"/>
    <w:rsid w:val="70BD9B44"/>
    <w:rsid w:val="70BFE3C8"/>
    <w:rsid w:val="70D52523"/>
    <w:rsid w:val="70E7C9E9"/>
    <w:rsid w:val="70EE8C02"/>
    <w:rsid w:val="710BD559"/>
    <w:rsid w:val="712E0034"/>
    <w:rsid w:val="713D86C2"/>
    <w:rsid w:val="714CA123"/>
    <w:rsid w:val="715C8607"/>
    <w:rsid w:val="71617509"/>
    <w:rsid w:val="717EFF84"/>
    <w:rsid w:val="71803495"/>
    <w:rsid w:val="7185A0D5"/>
    <w:rsid w:val="718F7FF1"/>
    <w:rsid w:val="71CAE425"/>
    <w:rsid w:val="71D46AF3"/>
    <w:rsid w:val="71E67452"/>
    <w:rsid w:val="720844EA"/>
    <w:rsid w:val="721E21E4"/>
    <w:rsid w:val="722B1047"/>
    <w:rsid w:val="722D0D47"/>
    <w:rsid w:val="7231EB05"/>
    <w:rsid w:val="7241AD28"/>
    <w:rsid w:val="72531BB3"/>
    <w:rsid w:val="72590E48"/>
    <w:rsid w:val="725B7DF2"/>
    <w:rsid w:val="72675D48"/>
    <w:rsid w:val="7277E5F7"/>
    <w:rsid w:val="72AAA14B"/>
    <w:rsid w:val="72AB03B2"/>
    <w:rsid w:val="72AB5024"/>
    <w:rsid w:val="72C43EA1"/>
    <w:rsid w:val="73038EB0"/>
    <w:rsid w:val="730B41E9"/>
    <w:rsid w:val="733B494B"/>
    <w:rsid w:val="737AA17B"/>
    <w:rsid w:val="737DEE66"/>
    <w:rsid w:val="7386D62A"/>
    <w:rsid w:val="739ECF97"/>
    <w:rsid w:val="73A2BF86"/>
    <w:rsid w:val="73D446F1"/>
    <w:rsid w:val="73F0109D"/>
    <w:rsid w:val="73FD0CEC"/>
    <w:rsid w:val="7405E0D3"/>
    <w:rsid w:val="7409D3D4"/>
    <w:rsid w:val="7417FCD5"/>
    <w:rsid w:val="7427D343"/>
    <w:rsid w:val="744DF462"/>
    <w:rsid w:val="744E8598"/>
    <w:rsid w:val="74701701"/>
    <w:rsid w:val="7472630D"/>
    <w:rsid w:val="748BDFFD"/>
    <w:rsid w:val="74996048"/>
    <w:rsid w:val="74C06AC9"/>
    <w:rsid w:val="74C5DBFE"/>
    <w:rsid w:val="74DC4893"/>
    <w:rsid w:val="74E2A1FF"/>
    <w:rsid w:val="74FEB56F"/>
    <w:rsid w:val="74FF75E2"/>
    <w:rsid w:val="75229A2E"/>
    <w:rsid w:val="7531D750"/>
    <w:rsid w:val="7534C822"/>
    <w:rsid w:val="753D8923"/>
    <w:rsid w:val="754933D1"/>
    <w:rsid w:val="75627533"/>
    <w:rsid w:val="75A79FFC"/>
    <w:rsid w:val="75AA15E7"/>
    <w:rsid w:val="75AE1DD5"/>
    <w:rsid w:val="75E4084E"/>
    <w:rsid w:val="75E8653D"/>
    <w:rsid w:val="75F18DE0"/>
    <w:rsid w:val="75F1DF51"/>
    <w:rsid w:val="760726E5"/>
    <w:rsid w:val="7613EBA8"/>
    <w:rsid w:val="761F2070"/>
    <w:rsid w:val="761F60EF"/>
    <w:rsid w:val="761F86F2"/>
    <w:rsid w:val="7622EF4C"/>
    <w:rsid w:val="7624AE73"/>
    <w:rsid w:val="7645C837"/>
    <w:rsid w:val="76A9EAD7"/>
    <w:rsid w:val="76AA0024"/>
    <w:rsid w:val="76EBCEEA"/>
    <w:rsid w:val="76F7F32E"/>
    <w:rsid w:val="77029422"/>
    <w:rsid w:val="77170322"/>
    <w:rsid w:val="7736EBE1"/>
    <w:rsid w:val="77424969"/>
    <w:rsid w:val="77427397"/>
    <w:rsid w:val="774BCFE2"/>
    <w:rsid w:val="7751F11B"/>
    <w:rsid w:val="7767F2F3"/>
    <w:rsid w:val="777159FE"/>
    <w:rsid w:val="777D44AC"/>
    <w:rsid w:val="77821E2E"/>
    <w:rsid w:val="77CD96E8"/>
    <w:rsid w:val="77D62DA1"/>
    <w:rsid w:val="77DD9374"/>
    <w:rsid w:val="77E7832E"/>
    <w:rsid w:val="77F72C5E"/>
    <w:rsid w:val="781A05ED"/>
    <w:rsid w:val="783E3F0D"/>
    <w:rsid w:val="785FD5A1"/>
    <w:rsid w:val="786E3940"/>
    <w:rsid w:val="789F38A7"/>
    <w:rsid w:val="78A40399"/>
    <w:rsid w:val="78B8CDBB"/>
    <w:rsid w:val="78C2D651"/>
    <w:rsid w:val="78D4F83A"/>
    <w:rsid w:val="78FEC287"/>
    <w:rsid w:val="792AA919"/>
    <w:rsid w:val="7956EB7D"/>
    <w:rsid w:val="7957ECDA"/>
    <w:rsid w:val="796AFAE0"/>
    <w:rsid w:val="79B7AC84"/>
    <w:rsid w:val="79BBBB1F"/>
    <w:rsid w:val="79DB26FA"/>
    <w:rsid w:val="79E49DB8"/>
    <w:rsid w:val="7A13EEAE"/>
    <w:rsid w:val="7A189FD6"/>
    <w:rsid w:val="7A2B2076"/>
    <w:rsid w:val="7A2D0011"/>
    <w:rsid w:val="7A3851DA"/>
    <w:rsid w:val="7A440764"/>
    <w:rsid w:val="7A543577"/>
    <w:rsid w:val="7A559C10"/>
    <w:rsid w:val="7A595D47"/>
    <w:rsid w:val="7A6C9ACB"/>
    <w:rsid w:val="7A7DDA7D"/>
    <w:rsid w:val="7A865E80"/>
    <w:rsid w:val="7A912FA6"/>
    <w:rsid w:val="7AD46F1B"/>
    <w:rsid w:val="7AED7693"/>
    <w:rsid w:val="7AF62165"/>
    <w:rsid w:val="7B0536CE"/>
    <w:rsid w:val="7B34930C"/>
    <w:rsid w:val="7B385C27"/>
    <w:rsid w:val="7B3D2F05"/>
    <w:rsid w:val="7B446AC3"/>
    <w:rsid w:val="7B4FA5FC"/>
    <w:rsid w:val="7B51DBD1"/>
    <w:rsid w:val="7B5ACDC3"/>
    <w:rsid w:val="7B801FD1"/>
    <w:rsid w:val="7B8775D5"/>
    <w:rsid w:val="7B918368"/>
    <w:rsid w:val="7BC4DF29"/>
    <w:rsid w:val="7BCD14EA"/>
    <w:rsid w:val="7BD67A57"/>
    <w:rsid w:val="7BDFA52E"/>
    <w:rsid w:val="7C1E690F"/>
    <w:rsid w:val="7C29AC9A"/>
    <w:rsid w:val="7C2AB0B5"/>
    <w:rsid w:val="7C2E6501"/>
    <w:rsid w:val="7C35D0DE"/>
    <w:rsid w:val="7C460639"/>
    <w:rsid w:val="7C48ADB8"/>
    <w:rsid w:val="7C64F797"/>
    <w:rsid w:val="7C6AF225"/>
    <w:rsid w:val="7C6C82A5"/>
    <w:rsid w:val="7C80293A"/>
    <w:rsid w:val="7CA05972"/>
    <w:rsid w:val="7CCBBF16"/>
    <w:rsid w:val="7CD5CEC3"/>
    <w:rsid w:val="7CDD2CFA"/>
    <w:rsid w:val="7CDFC33F"/>
    <w:rsid w:val="7CF12C2F"/>
    <w:rsid w:val="7D0E69F0"/>
    <w:rsid w:val="7D1E86A0"/>
    <w:rsid w:val="7D2877BB"/>
    <w:rsid w:val="7D377462"/>
    <w:rsid w:val="7D3B6B67"/>
    <w:rsid w:val="7D4196B9"/>
    <w:rsid w:val="7D4ADFF8"/>
    <w:rsid w:val="7D55433F"/>
    <w:rsid w:val="7D756FB5"/>
    <w:rsid w:val="7D8613BA"/>
    <w:rsid w:val="7D88BDBA"/>
    <w:rsid w:val="7DD998E4"/>
    <w:rsid w:val="7DE36D91"/>
    <w:rsid w:val="7DEBAE4C"/>
    <w:rsid w:val="7E0B257A"/>
    <w:rsid w:val="7E0EDBA1"/>
    <w:rsid w:val="7E241FCD"/>
    <w:rsid w:val="7E59002B"/>
    <w:rsid w:val="7E6795A2"/>
    <w:rsid w:val="7E6BF504"/>
    <w:rsid w:val="7E6F83A2"/>
    <w:rsid w:val="7E73CE3A"/>
    <w:rsid w:val="7E805936"/>
    <w:rsid w:val="7E877D0F"/>
    <w:rsid w:val="7E9AF29E"/>
    <w:rsid w:val="7EB130F9"/>
    <w:rsid w:val="7EBC5863"/>
    <w:rsid w:val="7EF88486"/>
    <w:rsid w:val="7F08D34F"/>
    <w:rsid w:val="7F11011C"/>
    <w:rsid w:val="7F24DB6B"/>
    <w:rsid w:val="7F2D35CC"/>
    <w:rsid w:val="7F3DC6BF"/>
    <w:rsid w:val="7F4673F9"/>
    <w:rsid w:val="7F4F1092"/>
    <w:rsid w:val="7F53FCC8"/>
    <w:rsid w:val="7F5EC7D1"/>
    <w:rsid w:val="7FA879D9"/>
    <w:rsid w:val="7FBBDB5A"/>
    <w:rsid w:val="7FD43DEC"/>
    <w:rsid w:val="7FE6B818"/>
    <w:rsid w:val="7FE901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3DC1"/>
  <w15:chartTrackingRefBased/>
  <w15:docId w15:val="{C2A0EF60-DBF9-498D-98AF-4DD0576D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5E"/>
    <w:rPr>
      <w:rFonts w:eastAsiaTheme="minorEastAsia"/>
      <w:lang w:eastAsia="ja-JP"/>
    </w:rPr>
  </w:style>
  <w:style w:type="paragraph" w:styleId="Heading1">
    <w:name w:val="heading 1"/>
    <w:basedOn w:val="Normal"/>
    <w:next w:val="Normal"/>
    <w:link w:val="Heading1Char"/>
    <w:uiPriority w:val="9"/>
    <w:qFormat/>
    <w:rsid w:val="00E56A57"/>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semiHidden/>
    <w:unhideWhenUsed/>
    <w:qFormat/>
    <w:rsid w:val="00E56A57"/>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semiHidden/>
    <w:unhideWhenUsed/>
    <w:qFormat/>
    <w:rsid w:val="00E56A57"/>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semiHidden/>
    <w:unhideWhenUsed/>
    <w:qFormat/>
    <w:rsid w:val="00E56A57"/>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E56A57"/>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E56A57"/>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E56A57"/>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E56A57"/>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E56A57"/>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A57"/>
    <w:rPr>
      <w:rFonts w:asciiTheme="majorHAnsi" w:eastAsiaTheme="majorEastAsia" w:hAnsiTheme="majorHAnsi" w:cstheme="majorBidi"/>
      <w:color w:val="1A495D" w:themeColor="accent1" w:themeShade="80"/>
      <w:sz w:val="36"/>
      <w:szCs w:val="36"/>
      <w:lang w:eastAsia="ja-JP"/>
    </w:rPr>
  </w:style>
  <w:style w:type="character" w:customStyle="1" w:styleId="Heading2Char">
    <w:name w:val="Heading 2 Char"/>
    <w:basedOn w:val="DefaultParagraphFont"/>
    <w:link w:val="Heading2"/>
    <w:uiPriority w:val="9"/>
    <w:semiHidden/>
    <w:rsid w:val="00E56A57"/>
    <w:rPr>
      <w:rFonts w:asciiTheme="majorHAnsi" w:eastAsiaTheme="majorEastAsia" w:hAnsiTheme="majorHAnsi" w:cstheme="majorBidi"/>
      <w:color w:val="276E8B" w:themeColor="accent1" w:themeShade="BF"/>
      <w:sz w:val="32"/>
      <w:szCs w:val="32"/>
      <w:lang w:eastAsia="ja-JP"/>
    </w:rPr>
  </w:style>
  <w:style w:type="character" w:customStyle="1" w:styleId="Heading3Char">
    <w:name w:val="Heading 3 Char"/>
    <w:basedOn w:val="DefaultParagraphFont"/>
    <w:link w:val="Heading3"/>
    <w:uiPriority w:val="9"/>
    <w:semiHidden/>
    <w:rsid w:val="00E56A57"/>
    <w:rPr>
      <w:rFonts w:asciiTheme="majorHAnsi" w:eastAsiaTheme="majorEastAsia" w:hAnsiTheme="majorHAnsi" w:cstheme="majorBidi"/>
      <w:color w:val="276E8B" w:themeColor="accent1" w:themeShade="BF"/>
      <w:sz w:val="28"/>
      <w:szCs w:val="28"/>
      <w:lang w:eastAsia="ja-JP"/>
    </w:rPr>
  </w:style>
  <w:style w:type="character" w:customStyle="1" w:styleId="Heading4Char">
    <w:name w:val="Heading 4 Char"/>
    <w:basedOn w:val="DefaultParagraphFont"/>
    <w:link w:val="Heading4"/>
    <w:uiPriority w:val="9"/>
    <w:semiHidden/>
    <w:rsid w:val="00E56A57"/>
    <w:rPr>
      <w:rFonts w:asciiTheme="majorHAnsi" w:eastAsiaTheme="majorEastAsia" w:hAnsiTheme="majorHAnsi" w:cstheme="majorBidi"/>
      <w:color w:val="276E8B" w:themeColor="accent1" w:themeShade="BF"/>
      <w:sz w:val="24"/>
      <w:szCs w:val="24"/>
      <w:lang w:eastAsia="ja-JP"/>
    </w:rPr>
  </w:style>
  <w:style w:type="character" w:customStyle="1" w:styleId="Heading5Char">
    <w:name w:val="Heading 5 Char"/>
    <w:basedOn w:val="DefaultParagraphFont"/>
    <w:link w:val="Heading5"/>
    <w:uiPriority w:val="9"/>
    <w:semiHidden/>
    <w:rsid w:val="00E56A57"/>
    <w:rPr>
      <w:rFonts w:asciiTheme="majorHAnsi" w:eastAsiaTheme="majorEastAsia" w:hAnsiTheme="majorHAnsi" w:cstheme="majorBidi"/>
      <w:caps/>
      <w:color w:val="276E8B" w:themeColor="accent1" w:themeShade="BF"/>
      <w:lang w:eastAsia="ja-JP"/>
    </w:rPr>
  </w:style>
  <w:style w:type="character" w:customStyle="1" w:styleId="Heading6Char">
    <w:name w:val="Heading 6 Char"/>
    <w:basedOn w:val="DefaultParagraphFont"/>
    <w:link w:val="Heading6"/>
    <w:uiPriority w:val="9"/>
    <w:semiHidden/>
    <w:rsid w:val="00E56A57"/>
    <w:rPr>
      <w:rFonts w:asciiTheme="majorHAnsi" w:eastAsiaTheme="majorEastAsia" w:hAnsiTheme="majorHAnsi" w:cstheme="majorBidi"/>
      <w:i/>
      <w:iCs/>
      <w:caps/>
      <w:color w:val="1A495D" w:themeColor="accent1" w:themeShade="80"/>
      <w:lang w:eastAsia="ja-JP"/>
    </w:rPr>
  </w:style>
  <w:style w:type="character" w:customStyle="1" w:styleId="Heading7Char">
    <w:name w:val="Heading 7 Char"/>
    <w:basedOn w:val="DefaultParagraphFont"/>
    <w:link w:val="Heading7"/>
    <w:uiPriority w:val="9"/>
    <w:semiHidden/>
    <w:rsid w:val="00E56A57"/>
    <w:rPr>
      <w:rFonts w:asciiTheme="majorHAnsi" w:eastAsiaTheme="majorEastAsia" w:hAnsiTheme="majorHAnsi" w:cstheme="majorBidi"/>
      <w:b/>
      <w:bCs/>
      <w:color w:val="1A495D" w:themeColor="accent1" w:themeShade="80"/>
      <w:lang w:eastAsia="ja-JP"/>
    </w:rPr>
  </w:style>
  <w:style w:type="character" w:customStyle="1" w:styleId="Heading8Char">
    <w:name w:val="Heading 8 Char"/>
    <w:basedOn w:val="DefaultParagraphFont"/>
    <w:link w:val="Heading8"/>
    <w:uiPriority w:val="9"/>
    <w:semiHidden/>
    <w:rsid w:val="00E56A57"/>
    <w:rPr>
      <w:rFonts w:asciiTheme="majorHAnsi" w:eastAsiaTheme="majorEastAsia" w:hAnsiTheme="majorHAnsi" w:cstheme="majorBidi"/>
      <w:b/>
      <w:bCs/>
      <w:i/>
      <w:iCs/>
      <w:color w:val="1A495D" w:themeColor="accent1" w:themeShade="80"/>
      <w:lang w:eastAsia="ja-JP"/>
    </w:rPr>
  </w:style>
  <w:style w:type="character" w:customStyle="1" w:styleId="Heading9Char">
    <w:name w:val="Heading 9 Char"/>
    <w:basedOn w:val="DefaultParagraphFont"/>
    <w:link w:val="Heading9"/>
    <w:uiPriority w:val="9"/>
    <w:semiHidden/>
    <w:rsid w:val="00E56A57"/>
    <w:rPr>
      <w:rFonts w:asciiTheme="majorHAnsi" w:eastAsiaTheme="majorEastAsia" w:hAnsiTheme="majorHAnsi" w:cstheme="majorBidi"/>
      <w:i/>
      <w:iCs/>
      <w:color w:val="1A495D" w:themeColor="accent1" w:themeShade="80"/>
      <w:lang w:eastAsia="ja-JP"/>
    </w:rPr>
  </w:style>
  <w:style w:type="paragraph" w:styleId="Header">
    <w:name w:val="header"/>
    <w:basedOn w:val="Normal"/>
    <w:link w:val="HeaderChar"/>
    <w:uiPriority w:val="99"/>
    <w:unhideWhenUsed/>
    <w:rsid w:val="00E56A57"/>
    <w:pPr>
      <w:tabs>
        <w:tab w:val="center" w:pos="4680"/>
        <w:tab w:val="right" w:pos="9360"/>
      </w:tabs>
    </w:pPr>
  </w:style>
  <w:style w:type="character" w:customStyle="1" w:styleId="HeaderChar">
    <w:name w:val="Header Char"/>
    <w:basedOn w:val="DefaultParagraphFont"/>
    <w:link w:val="Header"/>
    <w:uiPriority w:val="99"/>
    <w:rsid w:val="00E56A57"/>
    <w:rPr>
      <w:rFonts w:eastAsiaTheme="minorEastAsia"/>
      <w:lang w:eastAsia="ja-JP"/>
    </w:rPr>
  </w:style>
  <w:style w:type="paragraph" w:styleId="Footer">
    <w:name w:val="footer"/>
    <w:basedOn w:val="Normal"/>
    <w:link w:val="FooterChar"/>
    <w:uiPriority w:val="99"/>
    <w:unhideWhenUsed/>
    <w:rsid w:val="00E56A57"/>
    <w:pPr>
      <w:tabs>
        <w:tab w:val="center" w:pos="4680"/>
        <w:tab w:val="right" w:pos="9360"/>
      </w:tabs>
    </w:pPr>
  </w:style>
  <w:style w:type="character" w:customStyle="1" w:styleId="FooterChar">
    <w:name w:val="Footer Char"/>
    <w:basedOn w:val="DefaultParagraphFont"/>
    <w:link w:val="Footer"/>
    <w:uiPriority w:val="99"/>
    <w:rsid w:val="00E56A57"/>
    <w:rPr>
      <w:rFonts w:eastAsiaTheme="minorEastAsia"/>
      <w:lang w:eastAsia="ja-JP"/>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1,List Paragraph (numbered (a)),3,B"/>
    <w:basedOn w:val="Normal"/>
    <w:link w:val="ListParagraphChar"/>
    <w:uiPriority w:val="34"/>
    <w:qFormat/>
    <w:rsid w:val="00E56A57"/>
    <w:pPr>
      <w:ind w:left="720"/>
      <w:contextualSpacing/>
    </w:p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link w:val="ListParagraph"/>
    <w:uiPriority w:val="34"/>
    <w:qFormat/>
    <w:locked/>
    <w:rsid w:val="00E56A57"/>
    <w:rPr>
      <w:rFonts w:eastAsiaTheme="minorEastAsia"/>
      <w:lang w:eastAsia="ja-JP"/>
    </w:rPr>
  </w:style>
  <w:style w:type="paragraph" w:styleId="NormalWeb">
    <w:name w:val="Normal (Web)"/>
    <w:basedOn w:val="Normal"/>
    <w:uiPriority w:val="99"/>
    <w:unhideWhenUsed/>
    <w:rsid w:val="00E56A57"/>
    <w:pPr>
      <w:spacing w:before="100" w:beforeAutospacing="1" w:after="100" w:afterAutospacing="1"/>
    </w:pPr>
  </w:style>
  <w:style w:type="paragraph" w:styleId="BalloonText">
    <w:name w:val="Balloon Text"/>
    <w:basedOn w:val="Normal"/>
    <w:link w:val="BalloonTextChar"/>
    <w:uiPriority w:val="99"/>
    <w:semiHidden/>
    <w:unhideWhenUsed/>
    <w:rsid w:val="00E56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57"/>
    <w:rPr>
      <w:rFonts w:ascii="Segoe UI" w:eastAsiaTheme="minorEastAsia" w:hAnsi="Segoe UI" w:cs="Segoe UI"/>
      <w:sz w:val="18"/>
      <w:szCs w:val="18"/>
      <w:lang w:eastAsia="ja-JP"/>
    </w:rPr>
  </w:style>
  <w:style w:type="table" w:styleId="TableGrid">
    <w:name w:val="Table Grid"/>
    <w:basedOn w:val="TableNormal"/>
    <w:uiPriority w:val="39"/>
    <w:rsid w:val="00E56A5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56A57"/>
    <w:pPr>
      <w:spacing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E56A57"/>
    <w:pPr>
      <w:spacing w:line="240" w:lineRule="auto"/>
    </w:pPr>
    <w:rPr>
      <w:b/>
      <w:bCs/>
      <w:smallCaps/>
      <w:color w:val="373545" w:themeColor="text2"/>
    </w:rPr>
  </w:style>
  <w:style w:type="paragraph" w:styleId="Title">
    <w:name w:val="Title"/>
    <w:basedOn w:val="Normal"/>
    <w:next w:val="Normal"/>
    <w:link w:val="TitleChar"/>
    <w:uiPriority w:val="10"/>
    <w:qFormat/>
    <w:rsid w:val="00E56A57"/>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E56A57"/>
    <w:rPr>
      <w:rFonts w:asciiTheme="majorHAnsi" w:eastAsiaTheme="majorEastAsia" w:hAnsiTheme="majorHAnsi" w:cstheme="majorBidi"/>
      <w:caps/>
      <w:color w:val="373545" w:themeColor="text2"/>
      <w:spacing w:val="-15"/>
      <w:sz w:val="72"/>
      <w:szCs w:val="72"/>
      <w:lang w:eastAsia="ja-JP"/>
    </w:rPr>
  </w:style>
  <w:style w:type="paragraph" w:styleId="Subtitle">
    <w:name w:val="Subtitle"/>
    <w:basedOn w:val="Normal"/>
    <w:next w:val="Normal"/>
    <w:link w:val="SubtitleChar"/>
    <w:uiPriority w:val="11"/>
    <w:qFormat/>
    <w:rsid w:val="00E56A57"/>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E56A57"/>
    <w:rPr>
      <w:rFonts w:asciiTheme="majorHAnsi" w:eastAsiaTheme="majorEastAsia" w:hAnsiTheme="majorHAnsi" w:cstheme="majorBidi"/>
      <w:color w:val="3494BA" w:themeColor="accent1"/>
      <w:sz w:val="28"/>
      <w:szCs w:val="28"/>
      <w:lang w:eastAsia="ja-JP"/>
    </w:rPr>
  </w:style>
  <w:style w:type="character" w:styleId="Strong">
    <w:name w:val="Strong"/>
    <w:basedOn w:val="DefaultParagraphFont"/>
    <w:uiPriority w:val="22"/>
    <w:qFormat/>
    <w:rsid w:val="00E56A57"/>
    <w:rPr>
      <w:b/>
      <w:bCs/>
    </w:rPr>
  </w:style>
  <w:style w:type="character" w:styleId="Emphasis">
    <w:name w:val="Emphasis"/>
    <w:basedOn w:val="DefaultParagraphFont"/>
    <w:uiPriority w:val="20"/>
    <w:qFormat/>
    <w:rsid w:val="00E56A57"/>
    <w:rPr>
      <w:i/>
      <w:iCs/>
    </w:rPr>
  </w:style>
  <w:style w:type="paragraph" w:styleId="NoSpacing">
    <w:name w:val="No Spacing"/>
    <w:link w:val="NoSpacingChar"/>
    <w:uiPriority w:val="1"/>
    <w:qFormat/>
    <w:rsid w:val="00E56A57"/>
    <w:pPr>
      <w:spacing w:after="0" w:line="240" w:lineRule="auto"/>
    </w:pPr>
    <w:rPr>
      <w:rFonts w:eastAsiaTheme="minorEastAsia"/>
      <w:lang w:eastAsia="ja-JP"/>
    </w:rPr>
  </w:style>
  <w:style w:type="paragraph" w:styleId="Quote">
    <w:name w:val="Quote"/>
    <w:basedOn w:val="Normal"/>
    <w:next w:val="Normal"/>
    <w:link w:val="QuoteChar"/>
    <w:uiPriority w:val="29"/>
    <w:qFormat/>
    <w:rsid w:val="00E56A57"/>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E56A57"/>
    <w:rPr>
      <w:rFonts w:eastAsiaTheme="minorEastAsia"/>
      <w:color w:val="373545" w:themeColor="text2"/>
      <w:sz w:val="24"/>
      <w:szCs w:val="24"/>
      <w:lang w:eastAsia="ja-JP"/>
    </w:rPr>
  </w:style>
  <w:style w:type="paragraph" w:styleId="IntenseQuote">
    <w:name w:val="Intense Quote"/>
    <w:basedOn w:val="Normal"/>
    <w:next w:val="Normal"/>
    <w:link w:val="IntenseQuoteChar"/>
    <w:uiPriority w:val="30"/>
    <w:qFormat/>
    <w:rsid w:val="00E56A57"/>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E56A57"/>
    <w:rPr>
      <w:rFonts w:asciiTheme="majorHAnsi" w:eastAsiaTheme="majorEastAsia" w:hAnsiTheme="majorHAnsi" w:cstheme="majorBidi"/>
      <w:color w:val="373545" w:themeColor="text2"/>
      <w:spacing w:val="-6"/>
      <w:sz w:val="32"/>
      <w:szCs w:val="32"/>
      <w:lang w:eastAsia="ja-JP"/>
    </w:rPr>
  </w:style>
  <w:style w:type="character" w:styleId="SubtleEmphasis">
    <w:name w:val="Subtle Emphasis"/>
    <w:basedOn w:val="DefaultParagraphFont"/>
    <w:uiPriority w:val="19"/>
    <w:qFormat/>
    <w:rsid w:val="00E56A57"/>
    <w:rPr>
      <w:i/>
      <w:iCs/>
      <w:color w:val="595959" w:themeColor="text1" w:themeTint="A6"/>
    </w:rPr>
  </w:style>
  <w:style w:type="character" w:styleId="IntenseEmphasis">
    <w:name w:val="Intense Emphasis"/>
    <w:basedOn w:val="DefaultParagraphFont"/>
    <w:uiPriority w:val="21"/>
    <w:qFormat/>
    <w:rsid w:val="00E56A57"/>
    <w:rPr>
      <w:b/>
      <w:bCs/>
      <w:i/>
      <w:iCs/>
    </w:rPr>
  </w:style>
  <w:style w:type="character" w:styleId="SubtleReference">
    <w:name w:val="Subtle Reference"/>
    <w:basedOn w:val="DefaultParagraphFont"/>
    <w:uiPriority w:val="31"/>
    <w:qFormat/>
    <w:rsid w:val="00E56A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6A57"/>
    <w:rPr>
      <w:b/>
      <w:bCs/>
      <w:smallCaps/>
      <w:color w:val="373545" w:themeColor="text2"/>
      <w:u w:val="single"/>
    </w:rPr>
  </w:style>
  <w:style w:type="character" w:styleId="BookTitle">
    <w:name w:val="Book Title"/>
    <w:basedOn w:val="DefaultParagraphFont"/>
    <w:uiPriority w:val="33"/>
    <w:qFormat/>
    <w:rsid w:val="00E56A57"/>
    <w:rPr>
      <w:b/>
      <w:bCs/>
      <w:smallCaps/>
      <w:spacing w:val="10"/>
    </w:rPr>
  </w:style>
  <w:style w:type="paragraph" w:styleId="TOCHeading">
    <w:name w:val="TOC Heading"/>
    <w:basedOn w:val="Heading1"/>
    <w:next w:val="Normal"/>
    <w:uiPriority w:val="39"/>
    <w:semiHidden/>
    <w:unhideWhenUsed/>
    <w:qFormat/>
    <w:rsid w:val="00E56A57"/>
    <w:pPr>
      <w:outlineLvl w:val="9"/>
    </w:pPr>
  </w:style>
  <w:style w:type="character" w:styleId="Hyperlink">
    <w:name w:val="Hyperlink"/>
    <w:basedOn w:val="DefaultParagraphFont"/>
    <w:uiPriority w:val="99"/>
    <w:unhideWhenUsed/>
    <w:rsid w:val="00E56A57"/>
    <w:rPr>
      <w:color w:val="0000FF"/>
      <w:u w:val="single"/>
    </w:rPr>
  </w:style>
  <w:style w:type="character" w:styleId="UnresolvedMention">
    <w:name w:val="Unresolved Mention"/>
    <w:basedOn w:val="DefaultParagraphFont"/>
    <w:uiPriority w:val="99"/>
    <w:unhideWhenUsed/>
    <w:rsid w:val="00E56A57"/>
    <w:rPr>
      <w:color w:val="605E5C"/>
      <w:shd w:val="clear" w:color="auto" w:fill="E1DFDD"/>
    </w:rPr>
  </w:style>
  <w:style w:type="paragraph" w:styleId="CommentText">
    <w:name w:val="annotation text"/>
    <w:basedOn w:val="Normal"/>
    <w:link w:val="CommentTextChar"/>
    <w:uiPriority w:val="99"/>
    <w:unhideWhenUsed/>
    <w:rsid w:val="00E56A57"/>
    <w:pPr>
      <w:spacing w:line="240" w:lineRule="auto"/>
    </w:pPr>
    <w:rPr>
      <w:sz w:val="20"/>
      <w:szCs w:val="20"/>
    </w:rPr>
  </w:style>
  <w:style w:type="character" w:customStyle="1" w:styleId="CommentTextChar">
    <w:name w:val="Comment Text Char"/>
    <w:basedOn w:val="DefaultParagraphFont"/>
    <w:link w:val="CommentText"/>
    <w:uiPriority w:val="99"/>
    <w:rsid w:val="00E56A57"/>
    <w:rPr>
      <w:rFonts w:eastAsiaTheme="minorEastAsia"/>
      <w:sz w:val="20"/>
      <w:szCs w:val="20"/>
      <w:lang w:eastAsia="ja-JP"/>
    </w:rPr>
  </w:style>
  <w:style w:type="character" w:styleId="CommentReference">
    <w:name w:val="annotation reference"/>
    <w:basedOn w:val="DefaultParagraphFont"/>
    <w:uiPriority w:val="99"/>
    <w:unhideWhenUsed/>
    <w:rsid w:val="00E56A57"/>
    <w:rPr>
      <w:sz w:val="16"/>
      <w:szCs w:val="16"/>
    </w:rPr>
  </w:style>
  <w:style w:type="character" w:styleId="FollowedHyperlink">
    <w:name w:val="FollowedHyperlink"/>
    <w:basedOn w:val="DefaultParagraphFont"/>
    <w:uiPriority w:val="99"/>
    <w:semiHidden/>
    <w:unhideWhenUsed/>
    <w:rsid w:val="00E56A57"/>
    <w:rPr>
      <w:color w:val="9F6715" w:themeColor="followedHyperlink"/>
      <w:u w:val="single"/>
    </w:rPr>
  </w:style>
  <w:style w:type="paragraph" w:styleId="CommentSubject">
    <w:name w:val="annotation subject"/>
    <w:basedOn w:val="CommentText"/>
    <w:next w:val="CommentText"/>
    <w:link w:val="CommentSubjectChar"/>
    <w:uiPriority w:val="99"/>
    <w:semiHidden/>
    <w:unhideWhenUsed/>
    <w:rsid w:val="00E56A57"/>
    <w:rPr>
      <w:b/>
      <w:bCs/>
    </w:rPr>
  </w:style>
  <w:style w:type="character" w:customStyle="1" w:styleId="CommentSubjectChar">
    <w:name w:val="Comment Subject Char"/>
    <w:basedOn w:val="CommentTextChar"/>
    <w:link w:val="CommentSubject"/>
    <w:uiPriority w:val="99"/>
    <w:semiHidden/>
    <w:rsid w:val="00E56A57"/>
    <w:rPr>
      <w:rFonts w:eastAsiaTheme="minorEastAsia"/>
      <w:b/>
      <w:bCs/>
      <w:sz w:val="20"/>
      <w:szCs w:val="20"/>
      <w:lang w:eastAsia="ja-JP"/>
    </w:rPr>
  </w:style>
  <w:style w:type="character" w:customStyle="1" w:styleId="normaltextrun">
    <w:name w:val="normaltextrun"/>
    <w:basedOn w:val="DefaultParagraphFont"/>
    <w:rsid w:val="00E56A57"/>
  </w:style>
  <w:style w:type="paragraph" w:styleId="Revision">
    <w:name w:val="Revision"/>
    <w:hidden/>
    <w:uiPriority w:val="99"/>
    <w:semiHidden/>
    <w:rsid w:val="00E56A57"/>
    <w:pPr>
      <w:spacing w:after="0" w:line="240" w:lineRule="auto"/>
    </w:pPr>
    <w:rPr>
      <w:rFonts w:eastAsiaTheme="minorEastAsia"/>
      <w:lang w:eastAsia="ja-JP"/>
    </w:rPr>
  </w:style>
  <w:style w:type="character" w:customStyle="1" w:styleId="apple-converted-space">
    <w:name w:val="apple-converted-space"/>
    <w:basedOn w:val="DefaultParagraphFont"/>
    <w:rsid w:val="00E56A57"/>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Tegn1,12pt"/>
    <w:basedOn w:val="Normal"/>
    <w:link w:val="FootnoteTextChar"/>
    <w:uiPriority w:val="99"/>
    <w:unhideWhenUsed/>
    <w:qFormat/>
    <w:rsid w:val="00E56A57"/>
    <w:pPr>
      <w:spacing w:after="0" w:line="240" w:lineRule="auto"/>
    </w:pPr>
    <w:rPr>
      <w:rFonts w:ascii="Calibri" w:eastAsiaTheme="minorHAnsi" w:hAnsi="Calibri" w:cs="Times New Roman"/>
      <w:sz w:val="20"/>
      <w:szCs w:val="20"/>
      <w:lang w:val="en-GB"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qFormat/>
    <w:rsid w:val="00E56A57"/>
    <w:rPr>
      <w:rFonts w:ascii="Calibri" w:hAnsi="Calibri" w:cs="Times New Roman"/>
      <w:sz w:val="20"/>
      <w:szCs w:val="20"/>
      <w:lang w:val="en-GB"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FO,o"/>
    <w:basedOn w:val="DefaultParagraphFont"/>
    <w:link w:val="BVIfnrCarCar"/>
    <w:uiPriority w:val="99"/>
    <w:unhideWhenUsed/>
    <w:qFormat/>
    <w:rsid w:val="00E56A57"/>
    <w:rPr>
      <w:vertAlign w:val="superscript"/>
    </w:rPr>
  </w:style>
  <w:style w:type="paragraph" w:customStyle="1" w:styleId="BVIfnrCarCar">
    <w:name w:val="BVI fnr Car Car"/>
    <w:aliases w:val="BVI fnr Car,BVI fnr Car Car Car Car"/>
    <w:basedOn w:val="Normal"/>
    <w:link w:val="FootnoteReference"/>
    <w:uiPriority w:val="99"/>
    <w:rsid w:val="00E56A57"/>
    <w:pPr>
      <w:spacing w:line="240" w:lineRule="exact"/>
    </w:pPr>
    <w:rPr>
      <w:rFonts w:eastAsiaTheme="minorHAnsi"/>
      <w:vertAlign w:val="superscript"/>
      <w:lang w:eastAsia="en-US"/>
    </w:rPr>
  </w:style>
  <w:style w:type="character" w:customStyle="1" w:styleId="NoSpacingChar">
    <w:name w:val="No Spacing Char"/>
    <w:link w:val="NoSpacing"/>
    <w:uiPriority w:val="1"/>
    <w:rsid w:val="00E56A57"/>
    <w:rPr>
      <w:rFonts w:eastAsiaTheme="minorEastAsia"/>
      <w:lang w:eastAsia="ja-JP"/>
    </w:rPr>
  </w:style>
  <w:style w:type="paragraph" w:customStyle="1" w:styleId="ColorfulShading-Accent31">
    <w:name w:val="Colorful Shading - Accent 31"/>
    <w:basedOn w:val="Normal"/>
    <w:uiPriority w:val="34"/>
    <w:qFormat/>
    <w:rsid w:val="00E56A57"/>
    <w:pPr>
      <w:spacing w:after="200" w:line="276" w:lineRule="auto"/>
      <w:ind w:left="720"/>
      <w:contextualSpacing/>
    </w:pPr>
    <w:rPr>
      <w:rFonts w:ascii="Calibri" w:eastAsia="Calibri" w:hAnsi="Calibri" w:cs="Times New Roman"/>
      <w:lang w:val="en-GB" w:eastAsia="en-US"/>
    </w:rPr>
  </w:style>
  <w:style w:type="paragraph" w:customStyle="1" w:styleId="Char2">
    <w:name w:val="Char2"/>
    <w:basedOn w:val="Normal"/>
    <w:uiPriority w:val="99"/>
    <w:rsid w:val="00E56A57"/>
    <w:pPr>
      <w:spacing w:line="240" w:lineRule="exact"/>
    </w:pPr>
    <w:rPr>
      <w:rFonts w:ascii="Times New Roman" w:eastAsia="Times New Roman" w:hAnsi="Times New Roman" w:cs="Times New Roman"/>
      <w:sz w:val="20"/>
      <w:szCs w:val="20"/>
      <w:vertAlign w:val="superscript"/>
      <w:lang w:val="en-GB" w:eastAsia="en-GB"/>
    </w:rPr>
  </w:style>
  <w:style w:type="paragraph" w:customStyle="1" w:styleId="Default">
    <w:name w:val="Default"/>
    <w:rsid w:val="00E56A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c-toc-title">
    <w:name w:val="mc-toc-title"/>
    <w:basedOn w:val="DefaultParagraphFont"/>
    <w:rsid w:val="00E56A57"/>
  </w:style>
  <w:style w:type="paragraph" w:customStyle="1" w:styleId="ftrefChar">
    <w:name w:val="ftref Char"/>
    <w:aliases w:val="16 Point Char,Superscript 6 Point Char,Footnotes refss Char,Footnote Reference Number Char,nota pié di pagina Char,Times 10 Point Char, Exposant 3 Point Char,Footnote symbol Char,Footnote reference number Char"/>
    <w:basedOn w:val="Normal"/>
    <w:uiPriority w:val="99"/>
    <w:rsid w:val="00E56A57"/>
    <w:pPr>
      <w:spacing w:after="0" w:line="240" w:lineRule="exact"/>
    </w:pPr>
    <w:rPr>
      <w:rFonts w:eastAsiaTheme="minorHAnsi"/>
      <w:vertAlign w:val="superscript"/>
      <w:lang w:val="en-GB" w:eastAsia="en-US"/>
    </w:rPr>
  </w:style>
  <w:style w:type="paragraph" w:customStyle="1" w:styleId="Recommendationtext">
    <w:name w:val="Recommendation text"/>
    <w:basedOn w:val="BodyText"/>
    <w:rsid w:val="00E56A57"/>
    <w:pPr>
      <w:widowControl w:val="0"/>
      <w:tabs>
        <w:tab w:val="left" w:pos="540"/>
      </w:tabs>
      <w:spacing w:before="120" w:after="0" w:line="240" w:lineRule="auto"/>
      <w:jc w:val="both"/>
    </w:pPr>
    <w:rPr>
      <w:rFonts w:eastAsia="Times New Roman"/>
      <w:b/>
      <w:bCs/>
    </w:rPr>
  </w:style>
  <w:style w:type="paragraph" w:styleId="BodyText">
    <w:name w:val="Body Text"/>
    <w:basedOn w:val="Normal"/>
    <w:link w:val="BodyTextChar"/>
    <w:uiPriority w:val="99"/>
    <w:semiHidden/>
    <w:unhideWhenUsed/>
    <w:rsid w:val="00E56A57"/>
    <w:pPr>
      <w:spacing w:after="120" w:line="276" w:lineRule="auto"/>
    </w:pPr>
    <w:rPr>
      <w:rFonts w:ascii="Calibri" w:eastAsia="Calibri" w:hAnsi="Calibri" w:cs="Times New Roman"/>
      <w:lang w:val="en-GB" w:eastAsia="en-US"/>
    </w:rPr>
  </w:style>
  <w:style w:type="character" w:customStyle="1" w:styleId="BodyTextChar">
    <w:name w:val="Body Text Char"/>
    <w:basedOn w:val="DefaultParagraphFont"/>
    <w:link w:val="BodyText"/>
    <w:uiPriority w:val="99"/>
    <w:semiHidden/>
    <w:rsid w:val="00E56A57"/>
    <w:rPr>
      <w:rFonts w:ascii="Calibri" w:eastAsia="Calibri" w:hAnsi="Calibri" w:cs="Times New Roman"/>
      <w:lang w:val="en-GB"/>
    </w:rPr>
  </w:style>
  <w:style w:type="character" w:customStyle="1" w:styleId="A4">
    <w:name w:val="A4"/>
    <w:uiPriority w:val="99"/>
    <w:rsid w:val="00E56A57"/>
    <w:rPr>
      <w:rFonts w:cs="Myriad Pro"/>
      <w:color w:val="000000"/>
      <w:sz w:val="20"/>
      <w:szCs w:val="20"/>
    </w:rPr>
  </w:style>
  <w:style w:type="paragraph" w:customStyle="1" w:styleId="Pa46">
    <w:name w:val="Pa46"/>
    <w:basedOn w:val="Normal"/>
    <w:next w:val="Normal"/>
    <w:uiPriority w:val="99"/>
    <w:rsid w:val="00E56A57"/>
    <w:pPr>
      <w:autoSpaceDE w:val="0"/>
      <w:autoSpaceDN w:val="0"/>
      <w:adjustRightInd w:val="0"/>
      <w:spacing w:after="0" w:line="241" w:lineRule="atLeast"/>
    </w:pPr>
    <w:rPr>
      <w:rFonts w:ascii="Myriad Pro" w:eastAsiaTheme="minorHAnsi" w:hAnsi="Myriad Pro"/>
      <w:sz w:val="24"/>
      <w:szCs w:val="24"/>
      <w:lang w:eastAsia="en-US"/>
    </w:rPr>
  </w:style>
  <w:style w:type="paragraph" w:customStyle="1" w:styleId="paragraph">
    <w:name w:val="paragraph"/>
    <w:basedOn w:val="Normal"/>
    <w:rsid w:val="00E56A5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E56A57"/>
  </w:style>
  <w:style w:type="paragraph" w:customStyle="1" w:styleId="xmsonormal">
    <w:name w:val="x_msonormal"/>
    <w:basedOn w:val="Normal"/>
    <w:rsid w:val="00E56A57"/>
    <w:pPr>
      <w:spacing w:before="100" w:beforeAutospacing="1" w:after="100" w:afterAutospacing="1" w:line="240" w:lineRule="auto"/>
    </w:pPr>
    <w:rPr>
      <w:rFonts w:ascii="Calibri" w:eastAsiaTheme="minorHAnsi" w:hAnsi="Calibri" w:cs="Calibri"/>
      <w:lang w:eastAsia="en-US"/>
    </w:rPr>
  </w:style>
  <w:style w:type="paragraph" w:customStyle="1" w:styleId="BVIfnrCharCharChar">
    <w:name w:val="BVI fnr Char Char Char"/>
    <w:aliases w:val="ftref Char Char Char,16 Point Char Char Char,Superscript 6 Point Char Char Char,BVI fnr Car Car Char Char Char,BVI fnr Car Char Char Char,BVI fnr Car Car Car Car Char Char Char Char Char, BVI fnr"/>
    <w:basedOn w:val="Normal"/>
    <w:uiPriority w:val="99"/>
    <w:qFormat/>
    <w:rsid w:val="00E56A57"/>
    <w:pPr>
      <w:spacing w:before="120" w:after="120" w:line="240" w:lineRule="exact"/>
      <w:jc w:val="both"/>
    </w:pPr>
    <w:rPr>
      <w:vertAlign w:val="superscript"/>
    </w:rPr>
  </w:style>
  <w:style w:type="table" w:customStyle="1" w:styleId="TableGrid1">
    <w:name w:val="Table Grid1"/>
    <w:basedOn w:val="TableNormal"/>
    <w:next w:val="TableGrid"/>
    <w:uiPriority w:val="39"/>
    <w:rsid w:val="00E5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A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56A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6A57"/>
    <w:rPr>
      <w:rFonts w:eastAsiaTheme="minorEastAsia"/>
      <w:sz w:val="20"/>
      <w:szCs w:val="20"/>
      <w:lang w:eastAsia="ja-JP"/>
    </w:rPr>
  </w:style>
  <w:style w:type="character" w:styleId="EndnoteReference">
    <w:name w:val="endnote reference"/>
    <w:basedOn w:val="DefaultParagraphFont"/>
    <w:uiPriority w:val="99"/>
    <w:semiHidden/>
    <w:unhideWhenUsed/>
    <w:rsid w:val="00E56A57"/>
    <w:rPr>
      <w:vertAlign w:val="superscript"/>
    </w:rPr>
  </w:style>
  <w:style w:type="table" w:customStyle="1" w:styleId="TableGrid3">
    <w:name w:val="Table Grid3"/>
    <w:basedOn w:val="TableNormal"/>
    <w:next w:val="TableGrid"/>
    <w:uiPriority w:val="39"/>
    <w:rsid w:val="00A33E7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421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255">
      <w:bodyDiv w:val="1"/>
      <w:marLeft w:val="0"/>
      <w:marRight w:val="0"/>
      <w:marTop w:val="0"/>
      <w:marBottom w:val="0"/>
      <w:divBdr>
        <w:top w:val="none" w:sz="0" w:space="0" w:color="auto"/>
        <w:left w:val="none" w:sz="0" w:space="0" w:color="auto"/>
        <w:bottom w:val="none" w:sz="0" w:space="0" w:color="auto"/>
        <w:right w:val="none" w:sz="0" w:space="0" w:color="auto"/>
      </w:divBdr>
    </w:div>
    <w:div w:id="133835624">
      <w:bodyDiv w:val="1"/>
      <w:marLeft w:val="0"/>
      <w:marRight w:val="0"/>
      <w:marTop w:val="0"/>
      <w:marBottom w:val="0"/>
      <w:divBdr>
        <w:top w:val="none" w:sz="0" w:space="0" w:color="auto"/>
        <w:left w:val="none" w:sz="0" w:space="0" w:color="auto"/>
        <w:bottom w:val="none" w:sz="0" w:space="0" w:color="auto"/>
        <w:right w:val="none" w:sz="0" w:space="0" w:color="auto"/>
      </w:divBdr>
    </w:div>
    <w:div w:id="142745508">
      <w:bodyDiv w:val="1"/>
      <w:marLeft w:val="0"/>
      <w:marRight w:val="0"/>
      <w:marTop w:val="0"/>
      <w:marBottom w:val="0"/>
      <w:divBdr>
        <w:top w:val="none" w:sz="0" w:space="0" w:color="auto"/>
        <w:left w:val="none" w:sz="0" w:space="0" w:color="auto"/>
        <w:bottom w:val="none" w:sz="0" w:space="0" w:color="auto"/>
        <w:right w:val="none" w:sz="0" w:space="0" w:color="auto"/>
      </w:divBdr>
    </w:div>
    <w:div w:id="382559899">
      <w:bodyDiv w:val="1"/>
      <w:marLeft w:val="0"/>
      <w:marRight w:val="0"/>
      <w:marTop w:val="0"/>
      <w:marBottom w:val="0"/>
      <w:divBdr>
        <w:top w:val="none" w:sz="0" w:space="0" w:color="auto"/>
        <w:left w:val="none" w:sz="0" w:space="0" w:color="auto"/>
        <w:bottom w:val="none" w:sz="0" w:space="0" w:color="auto"/>
        <w:right w:val="none" w:sz="0" w:space="0" w:color="auto"/>
      </w:divBdr>
    </w:div>
    <w:div w:id="413166671">
      <w:bodyDiv w:val="1"/>
      <w:marLeft w:val="0"/>
      <w:marRight w:val="0"/>
      <w:marTop w:val="0"/>
      <w:marBottom w:val="0"/>
      <w:divBdr>
        <w:top w:val="none" w:sz="0" w:space="0" w:color="auto"/>
        <w:left w:val="none" w:sz="0" w:space="0" w:color="auto"/>
        <w:bottom w:val="none" w:sz="0" w:space="0" w:color="auto"/>
        <w:right w:val="none" w:sz="0" w:space="0" w:color="auto"/>
      </w:divBdr>
    </w:div>
    <w:div w:id="737290025">
      <w:bodyDiv w:val="1"/>
      <w:marLeft w:val="0"/>
      <w:marRight w:val="0"/>
      <w:marTop w:val="0"/>
      <w:marBottom w:val="0"/>
      <w:divBdr>
        <w:top w:val="none" w:sz="0" w:space="0" w:color="auto"/>
        <w:left w:val="none" w:sz="0" w:space="0" w:color="auto"/>
        <w:bottom w:val="none" w:sz="0" w:space="0" w:color="auto"/>
        <w:right w:val="none" w:sz="0" w:space="0" w:color="auto"/>
      </w:divBdr>
    </w:div>
    <w:div w:id="776340056">
      <w:bodyDiv w:val="1"/>
      <w:marLeft w:val="0"/>
      <w:marRight w:val="0"/>
      <w:marTop w:val="0"/>
      <w:marBottom w:val="0"/>
      <w:divBdr>
        <w:top w:val="none" w:sz="0" w:space="0" w:color="auto"/>
        <w:left w:val="none" w:sz="0" w:space="0" w:color="auto"/>
        <w:bottom w:val="none" w:sz="0" w:space="0" w:color="auto"/>
        <w:right w:val="none" w:sz="0" w:space="0" w:color="auto"/>
      </w:divBdr>
    </w:div>
    <w:div w:id="945428499">
      <w:bodyDiv w:val="1"/>
      <w:marLeft w:val="0"/>
      <w:marRight w:val="0"/>
      <w:marTop w:val="0"/>
      <w:marBottom w:val="0"/>
      <w:divBdr>
        <w:top w:val="none" w:sz="0" w:space="0" w:color="auto"/>
        <w:left w:val="none" w:sz="0" w:space="0" w:color="auto"/>
        <w:bottom w:val="none" w:sz="0" w:space="0" w:color="auto"/>
        <w:right w:val="none" w:sz="0" w:space="0" w:color="auto"/>
      </w:divBdr>
    </w:div>
    <w:div w:id="1019237930">
      <w:bodyDiv w:val="1"/>
      <w:marLeft w:val="0"/>
      <w:marRight w:val="0"/>
      <w:marTop w:val="0"/>
      <w:marBottom w:val="0"/>
      <w:divBdr>
        <w:top w:val="none" w:sz="0" w:space="0" w:color="auto"/>
        <w:left w:val="none" w:sz="0" w:space="0" w:color="auto"/>
        <w:bottom w:val="none" w:sz="0" w:space="0" w:color="auto"/>
        <w:right w:val="none" w:sz="0" w:space="0" w:color="auto"/>
      </w:divBdr>
    </w:div>
    <w:div w:id="1077480588">
      <w:bodyDiv w:val="1"/>
      <w:marLeft w:val="0"/>
      <w:marRight w:val="0"/>
      <w:marTop w:val="0"/>
      <w:marBottom w:val="0"/>
      <w:divBdr>
        <w:top w:val="none" w:sz="0" w:space="0" w:color="auto"/>
        <w:left w:val="none" w:sz="0" w:space="0" w:color="auto"/>
        <w:bottom w:val="none" w:sz="0" w:space="0" w:color="auto"/>
        <w:right w:val="none" w:sz="0" w:space="0" w:color="auto"/>
      </w:divBdr>
      <w:divsChild>
        <w:div w:id="1125344491">
          <w:marLeft w:val="547"/>
          <w:marRight w:val="0"/>
          <w:marTop w:val="240"/>
          <w:marBottom w:val="360"/>
          <w:divBdr>
            <w:top w:val="none" w:sz="0" w:space="0" w:color="auto"/>
            <w:left w:val="none" w:sz="0" w:space="0" w:color="auto"/>
            <w:bottom w:val="none" w:sz="0" w:space="0" w:color="auto"/>
            <w:right w:val="none" w:sz="0" w:space="0" w:color="auto"/>
          </w:divBdr>
        </w:div>
      </w:divsChild>
    </w:div>
    <w:div w:id="1137408648">
      <w:bodyDiv w:val="1"/>
      <w:marLeft w:val="0"/>
      <w:marRight w:val="0"/>
      <w:marTop w:val="0"/>
      <w:marBottom w:val="0"/>
      <w:divBdr>
        <w:top w:val="none" w:sz="0" w:space="0" w:color="auto"/>
        <w:left w:val="none" w:sz="0" w:space="0" w:color="auto"/>
        <w:bottom w:val="none" w:sz="0" w:space="0" w:color="auto"/>
        <w:right w:val="none" w:sz="0" w:space="0" w:color="auto"/>
      </w:divBdr>
    </w:div>
    <w:div w:id="1300644055">
      <w:bodyDiv w:val="1"/>
      <w:marLeft w:val="0"/>
      <w:marRight w:val="0"/>
      <w:marTop w:val="0"/>
      <w:marBottom w:val="0"/>
      <w:divBdr>
        <w:top w:val="none" w:sz="0" w:space="0" w:color="auto"/>
        <w:left w:val="none" w:sz="0" w:space="0" w:color="auto"/>
        <w:bottom w:val="none" w:sz="0" w:space="0" w:color="auto"/>
        <w:right w:val="none" w:sz="0" w:space="0" w:color="auto"/>
      </w:divBdr>
    </w:div>
    <w:div w:id="1383678996">
      <w:bodyDiv w:val="1"/>
      <w:marLeft w:val="0"/>
      <w:marRight w:val="0"/>
      <w:marTop w:val="0"/>
      <w:marBottom w:val="0"/>
      <w:divBdr>
        <w:top w:val="none" w:sz="0" w:space="0" w:color="auto"/>
        <w:left w:val="none" w:sz="0" w:space="0" w:color="auto"/>
        <w:bottom w:val="none" w:sz="0" w:space="0" w:color="auto"/>
        <w:right w:val="none" w:sz="0" w:space="0" w:color="auto"/>
      </w:divBdr>
    </w:div>
    <w:div w:id="1440679311">
      <w:bodyDiv w:val="1"/>
      <w:marLeft w:val="0"/>
      <w:marRight w:val="0"/>
      <w:marTop w:val="0"/>
      <w:marBottom w:val="0"/>
      <w:divBdr>
        <w:top w:val="none" w:sz="0" w:space="0" w:color="auto"/>
        <w:left w:val="none" w:sz="0" w:space="0" w:color="auto"/>
        <w:bottom w:val="none" w:sz="0" w:space="0" w:color="auto"/>
        <w:right w:val="none" w:sz="0" w:space="0" w:color="auto"/>
      </w:divBdr>
      <w:divsChild>
        <w:div w:id="1109471391">
          <w:marLeft w:val="547"/>
          <w:marRight w:val="0"/>
          <w:marTop w:val="240"/>
          <w:marBottom w:val="360"/>
          <w:divBdr>
            <w:top w:val="none" w:sz="0" w:space="0" w:color="auto"/>
            <w:left w:val="none" w:sz="0" w:space="0" w:color="auto"/>
            <w:bottom w:val="none" w:sz="0" w:space="0" w:color="auto"/>
            <w:right w:val="none" w:sz="0" w:space="0" w:color="auto"/>
          </w:divBdr>
        </w:div>
      </w:divsChild>
    </w:div>
    <w:div w:id="1462766033">
      <w:bodyDiv w:val="1"/>
      <w:marLeft w:val="0"/>
      <w:marRight w:val="0"/>
      <w:marTop w:val="0"/>
      <w:marBottom w:val="0"/>
      <w:divBdr>
        <w:top w:val="none" w:sz="0" w:space="0" w:color="auto"/>
        <w:left w:val="none" w:sz="0" w:space="0" w:color="auto"/>
        <w:bottom w:val="none" w:sz="0" w:space="0" w:color="auto"/>
        <w:right w:val="none" w:sz="0" w:space="0" w:color="auto"/>
      </w:divBdr>
    </w:div>
    <w:div w:id="1627395592">
      <w:bodyDiv w:val="1"/>
      <w:marLeft w:val="0"/>
      <w:marRight w:val="0"/>
      <w:marTop w:val="0"/>
      <w:marBottom w:val="0"/>
      <w:divBdr>
        <w:top w:val="none" w:sz="0" w:space="0" w:color="auto"/>
        <w:left w:val="none" w:sz="0" w:space="0" w:color="auto"/>
        <w:bottom w:val="none" w:sz="0" w:space="0" w:color="auto"/>
        <w:right w:val="none" w:sz="0" w:space="0" w:color="auto"/>
      </w:divBdr>
    </w:div>
    <w:div w:id="1973098187">
      <w:bodyDiv w:val="1"/>
      <w:marLeft w:val="0"/>
      <w:marRight w:val="0"/>
      <w:marTop w:val="0"/>
      <w:marBottom w:val="0"/>
      <w:divBdr>
        <w:top w:val="none" w:sz="0" w:space="0" w:color="auto"/>
        <w:left w:val="none" w:sz="0" w:space="0" w:color="auto"/>
        <w:bottom w:val="none" w:sz="0" w:space="0" w:color="auto"/>
        <w:right w:val="none" w:sz="0" w:space="0" w:color="auto"/>
      </w:divBdr>
    </w:div>
    <w:div w:id="1979454173">
      <w:bodyDiv w:val="1"/>
      <w:marLeft w:val="0"/>
      <w:marRight w:val="0"/>
      <w:marTop w:val="0"/>
      <w:marBottom w:val="0"/>
      <w:divBdr>
        <w:top w:val="none" w:sz="0" w:space="0" w:color="auto"/>
        <w:left w:val="none" w:sz="0" w:space="0" w:color="auto"/>
        <w:bottom w:val="none" w:sz="0" w:space="0" w:color="auto"/>
        <w:right w:val="none" w:sz="0" w:space="0" w:color="auto"/>
      </w:divBdr>
    </w:div>
    <w:div w:id="19896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undp.org/sites/g/files/zskgke326/files/Information%20note_Road%20map%20to%20strengthening%20DE.doc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751272139300108E-2"/>
          <c:y val="0.36818023570195774"/>
          <c:w val="0.89562882764654417"/>
          <c:h val="0.486815710536183"/>
        </c:manualLayout>
      </c:layout>
      <c:barChart>
        <c:barDir val="col"/>
        <c:grouping val="clustered"/>
        <c:varyColors val="0"/>
        <c:ser>
          <c:idx val="0"/>
          <c:order val="0"/>
          <c:tx>
            <c:strRef>
              <c:f>Sheet1!$B$1</c:f>
              <c:strCache>
                <c:ptCount val="1"/>
                <c:pt idx="0">
                  <c:v>Completed</c:v>
                </c:pt>
              </c:strCache>
            </c:strRef>
          </c:tx>
          <c:spPr>
            <a:solidFill>
              <a:srgbClr val="2683C6">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c:v>
                </c:pt>
                <c:pt idx="1">
                  <c:v>2018</c:v>
                </c:pt>
                <c:pt idx="2">
                  <c:v>2020</c:v>
                </c:pt>
                <c:pt idx="3">
                  <c:v>2021</c:v>
                </c:pt>
                <c:pt idx="4">
                  <c:v>2017-2021</c:v>
                </c:pt>
              </c:strCache>
            </c:strRef>
          </c:cat>
          <c:val>
            <c:numRef>
              <c:f>Sheet1!$B$2:$B$6</c:f>
              <c:numCache>
                <c:formatCode>0%</c:formatCode>
                <c:ptCount val="5"/>
                <c:pt idx="0">
                  <c:v>1</c:v>
                </c:pt>
                <c:pt idx="1">
                  <c:v>0.97</c:v>
                </c:pt>
                <c:pt idx="2">
                  <c:v>0.87</c:v>
                </c:pt>
                <c:pt idx="3">
                  <c:v>0.43</c:v>
                </c:pt>
                <c:pt idx="4">
                  <c:v>0.73</c:v>
                </c:pt>
              </c:numCache>
            </c:numRef>
          </c:val>
          <c:extLst>
            <c:ext xmlns:c16="http://schemas.microsoft.com/office/drawing/2014/chart" uri="{C3380CC4-5D6E-409C-BE32-E72D297353CC}">
              <c16:uniqueId val="{00000000-CB8A-4CE7-B2E1-D6982677E7E6}"/>
            </c:ext>
          </c:extLst>
        </c:ser>
        <c:ser>
          <c:idx val="1"/>
          <c:order val="1"/>
          <c:tx>
            <c:strRef>
              <c:f>Sheet1!$C$1</c:f>
              <c:strCache>
                <c:ptCount val="1"/>
                <c:pt idx="0">
                  <c:v>Ongoing</c:v>
                </c:pt>
              </c:strCache>
            </c:strRef>
          </c:tx>
          <c:spPr>
            <a:solidFill>
              <a:srgbClr val="2683C6">
                <a:lumMod val="60000"/>
                <a:lumOff val="40000"/>
              </a:srgbClr>
            </a:solidFill>
            <a:ln>
              <a:noFill/>
            </a:ln>
            <a:effectLst/>
          </c:spPr>
          <c:invertIfNegative val="0"/>
          <c:dLbls>
            <c:dLbl>
              <c:idx val="0"/>
              <c:layout>
                <c:manualLayout>
                  <c:x val="8.5333333333333337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8A-4CE7-B2E1-D6982677E7E6}"/>
                </c:ext>
              </c:extLst>
            </c:dLbl>
            <c:dLbl>
              <c:idx val="2"/>
              <c:layout>
                <c:manualLayout>
                  <c:x val="8.5333333333332557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8A-4CE7-B2E1-D6982677E7E6}"/>
                </c:ext>
              </c:extLst>
            </c:dLbl>
            <c:dLbl>
              <c:idx val="3"/>
              <c:layout>
                <c:manualLayout>
                  <c:x val="6.4000000000000003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8A-4CE7-B2E1-D6982677E7E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c:v>
                </c:pt>
                <c:pt idx="1">
                  <c:v>2018</c:v>
                </c:pt>
                <c:pt idx="2">
                  <c:v>2020</c:v>
                </c:pt>
                <c:pt idx="3">
                  <c:v>2021</c:v>
                </c:pt>
                <c:pt idx="4">
                  <c:v>2017-2021</c:v>
                </c:pt>
              </c:strCache>
            </c:strRef>
          </c:cat>
          <c:val>
            <c:numRef>
              <c:f>Sheet1!$C$2:$C$6</c:f>
              <c:numCache>
                <c:formatCode>0%</c:formatCode>
                <c:ptCount val="5"/>
                <c:pt idx="0">
                  <c:v>0</c:v>
                </c:pt>
                <c:pt idx="1">
                  <c:v>0.03</c:v>
                </c:pt>
                <c:pt idx="2">
                  <c:v>0.13</c:v>
                </c:pt>
                <c:pt idx="3">
                  <c:v>0.49</c:v>
                </c:pt>
                <c:pt idx="4">
                  <c:v>0.23</c:v>
                </c:pt>
              </c:numCache>
            </c:numRef>
          </c:val>
          <c:extLst>
            <c:ext xmlns:c16="http://schemas.microsoft.com/office/drawing/2014/chart" uri="{C3380CC4-5D6E-409C-BE32-E72D297353CC}">
              <c16:uniqueId val="{00000004-CB8A-4CE7-B2E1-D6982677E7E6}"/>
            </c:ext>
          </c:extLst>
        </c:ser>
        <c:ser>
          <c:idx val="2"/>
          <c:order val="2"/>
          <c:tx>
            <c:strRef>
              <c:f>Sheet1!$D$1</c:f>
              <c:strCache>
                <c:ptCount val="1"/>
                <c:pt idx="0">
                  <c:v>Not initiated</c:v>
                </c:pt>
              </c:strCache>
            </c:strRef>
          </c:tx>
          <c:spPr>
            <a:solidFill>
              <a:srgbClr val="75BDA7">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c:v>
                </c:pt>
                <c:pt idx="1">
                  <c:v>2018</c:v>
                </c:pt>
                <c:pt idx="2">
                  <c:v>2020</c:v>
                </c:pt>
                <c:pt idx="3">
                  <c:v>2021</c:v>
                </c:pt>
                <c:pt idx="4">
                  <c:v>2017-2021</c:v>
                </c:pt>
              </c:strCache>
            </c:strRef>
          </c:cat>
          <c:val>
            <c:numRef>
              <c:f>Sheet1!$D$2:$D$6</c:f>
              <c:numCache>
                <c:formatCode>0%</c:formatCode>
                <c:ptCount val="5"/>
                <c:pt idx="0">
                  <c:v>0</c:v>
                </c:pt>
                <c:pt idx="1">
                  <c:v>0</c:v>
                </c:pt>
                <c:pt idx="2">
                  <c:v>0</c:v>
                </c:pt>
                <c:pt idx="3">
                  <c:v>7.0000000000000007E-2</c:v>
                </c:pt>
                <c:pt idx="4">
                  <c:v>0.03</c:v>
                </c:pt>
              </c:numCache>
            </c:numRef>
          </c:val>
          <c:extLst>
            <c:ext xmlns:c16="http://schemas.microsoft.com/office/drawing/2014/chart" uri="{C3380CC4-5D6E-409C-BE32-E72D297353CC}">
              <c16:uniqueId val="{00000005-CB8A-4CE7-B2E1-D6982677E7E6}"/>
            </c:ext>
          </c:extLst>
        </c:ser>
        <c:ser>
          <c:idx val="3"/>
          <c:order val="3"/>
          <c:tx>
            <c:strRef>
              <c:f>Sheet1!$E$1</c:f>
              <c:strCache>
                <c:ptCount val="1"/>
                <c:pt idx="0">
                  <c:v>Overdue</c:v>
                </c:pt>
              </c:strCache>
            </c:strRef>
          </c:tx>
          <c:spPr>
            <a:solidFill>
              <a:srgbClr val="AC781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c:v>
                </c:pt>
                <c:pt idx="1">
                  <c:v>2018</c:v>
                </c:pt>
                <c:pt idx="2">
                  <c:v>2020</c:v>
                </c:pt>
                <c:pt idx="3">
                  <c:v>2021</c:v>
                </c:pt>
                <c:pt idx="4">
                  <c:v>2017-2021</c:v>
                </c:pt>
              </c:strCache>
            </c:strRef>
          </c:cat>
          <c:val>
            <c:numRef>
              <c:f>Sheet1!$E$2:$E$6</c:f>
              <c:numCache>
                <c:formatCode>0%</c:formatCode>
                <c:ptCount val="5"/>
                <c:pt idx="0">
                  <c:v>0</c:v>
                </c:pt>
                <c:pt idx="1">
                  <c:v>0</c:v>
                </c:pt>
                <c:pt idx="2">
                  <c:v>0.02</c:v>
                </c:pt>
                <c:pt idx="3">
                  <c:v>0.01</c:v>
                </c:pt>
                <c:pt idx="4">
                  <c:v>0.01</c:v>
                </c:pt>
              </c:numCache>
            </c:numRef>
          </c:val>
          <c:extLst>
            <c:ext xmlns:c16="http://schemas.microsoft.com/office/drawing/2014/chart" uri="{C3380CC4-5D6E-409C-BE32-E72D297353CC}">
              <c16:uniqueId val="{00000006-CB8A-4CE7-B2E1-D6982677E7E6}"/>
            </c:ext>
          </c:extLst>
        </c:ser>
        <c:dLbls>
          <c:showLegendKey val="0"/>
          <c:showVal val="0"/>
          <c:showCatName val="0"/>
          <c:showSerName val="0"/>
          <c:showPercent val="0"/>
          <c:showBubbleSize val="0"/>
        </c:dLbls>
        <c:gapWidth val="219"/>
        <c:overlap val="-27"/>
        <c:axId val="1347423712"/>
        <c:axId val="1347408736"/>
      </c:barChart>
      <c:catAx>
        <c:axId val="134742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08736"/>
        <c:crosses val="autoZero"/>
        <c:auto val="1"/>
        <c:lblAlgn val="ctr"/>
        <c:lblOffset val="100"/>
        <c:noMultiLvlLbl val="0"/>
      </c:catAx>
      <c:valAx>
        <c:axId val="1347408736"/>
        <c:scaling>
          <c:orientation val="minMax"/>
          <c:max val="1"/>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23712"/>
        <c:crosses val="autoZero"/>
        <c:crossBetween val="between"/>
        <c:majorUnit val="0.25"/>
      </c:valAx>
      <c:spPr>
        <a:noFill/>
        <a:ln>
          <a:noFill/>
        </a:ln>
        <a:effectLst/>
      </c:spPr>
    </c:plotArea>
    <c:legend>
      <c:legendPos val="b"/>
      <c:layout>
        <c:manualLayout>
          <c:xMode val="edge"/>
          <c:yMode val="edge"/>
          <c:x val="0.28286824101689617"/>
          <c:y val="4.4289056259271931E-2"/>
          <c:w val="0.3880512378090416"/>
          <c:h val="7.865420576421557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222367911517534E-2"/>
          <c:y val="0.21929389923820494"/>
          <c:w val="0.89562882764654417"/>
          <c:h val="0.60472940882389703"/>
        </c:manualLayout>
      </c:layout>
      <c:barChart>
        <c:barDir val="col"/>
        <c:grouping val="clustered"/>
        <c:varyColors val="0"/>
        <c:ser>
          <c:idx val="0"/>
          <c:order val="0"/>
          <c:tx>
            <c:strRef>
              <c:f>Sheet1!$B$1</c:f>
              <c:strCache>
                <c:ptCount val="1"/>
                <c:pt idx="0">
                  <c:v>Completed</c:v>
                </c:pt>
              </c:strCache>
            </c:strRef>
          </c:tx>
          <c:spPr>
            <a:solidFill>
              <a:srgbClr val="2683C6">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ICPE, 2017 (n=8)</c:v>
                </c:pt>
                <c:pt idx="1">
                  <c:v>ICPE, 2018 (n=10)</c:v>
                </c:pt>
                <c:pt idx="2">
                  <c:v>ICPE, 2019 (n= 41)</c:v>
                </c:pt>
                <c:pt idx="3">
                  <c:v>ICPE, 2020 (n=15)</c:v>
                </c:pt>
                <c:pt idx="4">
                  <c:v>2017-2020 (n=74)</c:v>
                </c:pt>
              </c:strCache>
            </c:strRef>
          </c:cat>
          <c:val>
            <c:numRef>
              <c:f>Sheet1!$B$2:$B$6</c:f>
              <c:numCache>
                <c:formatCode>0%</c:formatCode>
                <c:ptCount val="5"/>
                <c:pt idx="0">
                  <c:v>0.96</c:v>
                </c:pt>
                <c:pt idx="1">
                  <c:v>0.88</c:v>
                </c:pt>
                <c:pt idx="2">
                  <c:v>0.63</c:v>
                </c:pt>
                <c:pt idx="3">
                  <c:v>0.42</c:v>
                </c:pt>
                <c:pt idx="4">
                  <c:v>0.67</c:v>
                </c:pt>
              </c:numCache>
            </c:numRef>
          </c:val>
          <c:extLst>
            <c:ext xmlns:c16="http://schemas.microsoft.com/office/drawing/2014/chart" uri="{C3380CC4-5D6E-409C-BE32-E72D297353CC}">
              <c16:uniqueId val="{00000000-3D64-4031-878A-845A9BC988A7}"/>
            </c:ext>
          </c:extLst>
        </c:ser>
        <c:ser>
          <c:idx val="1"/>
          <c:order val="1"/>
          <c:tx>
            <c:strRef>
              <c:f>Sheet1!$C$1</c:f>
              <c:strCache>
                <c:ptCount val="1"/>
                <c:pt idx="0">
                  <c:v>Ongoing</c:v>
                </c:pt>
              </c:strCache>
            </c:strRef>
          </c:tx>
          <c:spPr>
            <a:solidFill>
              <a:srgbClr val="2683C6">
                <a:lumMod val="60000"/>
                <a:lumOff val="40000"/>
              </a:srgbClr>
            </a:solidFill>
            <a:ln>
              <a:noFill/>
            </a:ln>
            <a:effectLst/>
          </c:spPr>
          <c:invertIfNegative val="0"/>
          <c:dLbls>
            <c:dLbl>
              <c:idx val="0"/>
              <c:layout>
                <c:manualLayout>
                  <c:x val="2.0622583954400006E-3"/>
                  <c:y val="8.436779359203308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64-4031-878A-845A9BC988A7}"/>
                </c:ext>
              </c:extLst>
            </c:dLbl>
            <c:dLbl>
              <c:idx val="2"/>
              <c:layout>
                <c:manualLayout>
                  <c:x val="8.5333333333332557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64-4031-878A-845A9BC988A7}"/>
                </c:ext>
              </c:extLst>
            </c:dLbl>
            <c:dLbl>
              <c:idx val="3"/>
              <c:layout>
                <c:manualLayout>
                  <c:x val="6.4000000000000003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64-4031-878A-845A9BC988A7}"/>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ICPE, 2017 (n=8)</c:v>
                </c:pt>
                <c:pt idx="1">
                  <c:v>ICPE, 2018 (n=10)</c:v>
                </c:pt>
                <c:pt idx="2">
                  <c:v>ICPE, 2019 (n= 41)</c:v>
                </c:pt>
                <c:pt idx="3">
                  <c:v>ICPE, 2020 (n=15)</c:v>
                </c:pt>
                <c:pt idx="4">
                  <c:v>2017-2020 (n=74)</c:v>
                </c:pt>
              </c:strCache>
            </c:strRef>
          </c:cat>
          <c:val>
            <c:numRef>
              <c:f>Sheet1!$C$2:$C$6</c:f>
              <c:numCache>
                <c:formatCode>0%</c:formatCode>
                <c:ptCount val="5"/>
                <c:pt idx="0">
                  <c:v>0.04</c:v>
                </c:pt>
                <c:pt idx="1">
                  <c:v>0.04</c:v>
                </c:pt>
                <c:pt idx="2">
                  <c:v>0.3</c:v>
                </c:pt>
                <c:pt idx="3">
                  <c:v>0.38</c:v>
                </c:pt>
                <c:pt idx="4">
                  <c:v>0.25</c:v>
                </c:pt>
              </c:numCache>
            </c:numRef>
          </c:val>
          <c:extLst>
            <c:ext xmlns:c16="http://schemas.microsoft.com/office/drawing/2014/chart" uri="{C3380CC4-5D6E-409C-BE32-E72D297353CC}">
              <c16:uniqueId val="{00000004-3D64-4031-878A-845A9BC988A7}"/>
            </c:ext>
          </c:extLst>
        </c:ser>
        <c:ser>
          <c:idx val="2"/>
          <c:order val="2"/>
          <c:tx>
            <c:strRef>
              <c:f>Sheet1!$D$1</c:f>
              <c:strCache>
                <c:ptCount val="1"/>
                <c:pt idx="0">
                  <c:v>Not initiated</c:v>
                </c:pt>
              </c:strCache>
            </c:strRef>
          </c:tx>
          <c:spPr>
            <a:solidFill>
              <a:srgbClr val="75BDA7">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ICPE, 2017 (n=8)</c:v>
                </c:pt>
                <c:pt idx="1">
                  <c:v>ICPE, 2018 (n=10)</c:v>
                </c:pt>
                <c:pt idx="2">
                  <c:v>ICPE, 2019 (n= 41)</c:v>
                </c:pt>
                <c:pt idx="3">
                  <c:v>ICPE, 2020 (n=15)</c:v>
                </c:pt>
                <c:pt idx="4">
                  <c:v>2017-2020 (n=74)</c:v>
                </c:pt>
              </c:strCache>
            </c:strRef>
          </c:cat>
          <c:val>
            <c:numRef>
              <c:f>Sheet1!$D$2:$D$6</c:f>
              <c:numCache>
                <c:formatCode>0%</c:formatCode>
                <c:ptCount val="5"/>
                <c:pt idx="0">
                  <c:v>0</c:v>
                </c:pt>
                <c:pt idx="1">
                  <c:v>0</c:v>
                </c:pt>
                <c:pt idx="2">
                  <c:v>0.03</c:v>
                </c:pt>
                <c:pt idx="3">
                  <c:v>0.04</c:v>
                </c:pt>
                <c:pt idx="4">
                  <c:v>0.02</c:v>
                </c:pt>
              </c:numCache>
            </c:numRef>
          </c:val>
          <c:extLst>
            <c:ext xmlns:c16="http://schemas.microsoft.com/office/drawing/2014/chart" uri="{C3380CC4-5D6E-409C-BE32-E72D297353CC}">
              <c16:uniqueId val="{00000005-3D64-4031-878A-845A9BC988A7}"/>
            </c:ext>
          </c:extLst>
        </c:ser>
        <c:ser>
          <c:idx val="3"/>
          <c:order val="3"/>
          <c:tx>
            <c:strRef>
              <c:f>Sheet1!$E$1</c:f>
              <c:strCache>
                <c:ptCount val="1"/>
                <c:pt idx="0">
                  <c:v>Overdue</c:v>
                </c:pt>
              </c:strCache>
            </c:strRef>
          </c:tx>
          <c:spPr>
            <a:solidFill>
              <a:srgbClr val="AC781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ICPE, 2017 (n=8)</c:v>
                </c:pt>
                <c:pt idx="1">
                  <c:v>ICPE, 2018 (n=10)</c:v>
                </c:pt>
                <c:pt idx="2">
                  <c:v>ICPE, 2019 (n= 41)</c:v>
                </c:pt>
                <c:pt idx="3">
                  <c:v>ICPE, 2020 (n=15)</c:v>
                </c:pt>
                <c:pt idx="4">
                  <c:v>2017-2020 (n=74)</c:v>
                </c:pt>
              </c:strCache>
            </c:strRef>
          </c:cat>
          <c:val>
            <c:numRef>
              <c:f>Sheet1!$E$2:$E$6</c:f>
              <c:numCache>
                <c:formatCode>0%</c:formatCode>
                <c:ptCount val="5"/>
                <c:pt idx="0">
                  <c:v>0</c:v>
                </c:pt>
                <c:pt idx="1">
                  <c:v>0</c:v>
                </c:pt>
                <c:pt idx="2">
                  <c:v>0.04</c:v>
                </c:pt>
                <c:pt idx="3">
                  <c:v>0.16</c:v>
                </c:pt>
                <c:pt idx="4">
                  <c:v>0.06</c:v>
                </c:pt>
              </c:numCache>
            </c:numRef>
          </c:val>
          <c:extLst>
            <c:ext xmlns:c16="http://schemas.microsoft.com/office/drawing/2014/chart" uri="{C3380CC4-5D6E-409C-BE32-E72D297353CC}">
              <c16:uniqueId val="{00000006-3D64-4031-878A-845A9BC988A7}"/>
            </c:ext>
          </c:extLst>
        </c:ser>
        <c:dLbls>
          <c:showLegendKey val="0"/>
          <c:showVal val="0"/>
          <c:showCatName val="0"/>
          <c:showSerName val="0"/>
          <c:showPercent val="0"/>
          <c:showBubbleSize val="0"/>
        </c:dLbls>
        <c:gapWidth val="219"/>
        <c:overlap val="-27"/>
        <c:axId val="1347423712"/>
        <c:axId val="1347408736"/>
      </c:barChart>
      <c:catAx>
        <c:axId val="134742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08736"/>
        <c:crosses val="autoZero"/>
        <c:auto val="1"/>
        <c:lblAlgn val="ctr"/>
        <c:lblOffset val="100"/>
        <c:noMultiLvlLbl val="0"/>
      </c:catAx>
      <c:valAx>
        <c:axId val="1347408736"/>
        <c:scaling>
          <c:orientation val="minMax"/>
          <c:max val="1"/>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23712"/>
        <c:crosses val="autoZero"/>
        <c:crossBetween val="between"/>
        <c:majorUnit val="0.25"/>
      </c:valAx>
      <c:spPr>
        <a:noFill/>
        <a:ln>
          <a:noFill/>
        </a:ln>
        <a:effectLst/>
      </c:spPr>
    </c:plotArea>
    <c:legend>
      <c:legendPos val="b"/>
      <c:layout>
        <c:manualLayout>
          <c:xMode val="edge"/>
          <c:yMode val="edge"/>
          <c:x val="0.34757919873907045"/>
          <c:y val="6.6221752768708786E-2"/>
          <c:w val="0.3880512378090416"/>
          <c:h val="7.865420576421557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068763455448486E-2"/>
          <c:y val="0.24381070547999681"/>
          <c:w val="0.89562882764654417"/>
          <c:h val="0.56957407910218127"/>
        </c:manualLayout>
      </c:layout>
      <c:barChart>
        <c:barDir val="col"/>
        <c:grouping val="clustered"/>
        <c:varyColors val="0"/>
        <c:ser>
          <c:idx val="0"/>
          <c:order val="0"/>
          <c:tx>
            <c:strRef>
              <c:f>Sheet1!$B$1</c:f>
              <c:strCache>
                <c:ptCount val="1"/>
                <c:pt idx="0">
                  <c:v>Completed</c:v>
                </c:pt>
              </c:strCache>
            </c:strRef>
          </c:tx>
          <c:spPr>
            <a:solidFill>
              <a:srgbClr val="2683C6">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(n=24)</c:v>
                </c:pt>
                <c:pt idx="1">
                  <c:v>RBAP (n=11)</c:v>
                </c:pt>
                <c:pt idx="2">
                  <c:v>RBAS  (n=9)</c:v>
                </c:pt>
                <c:pt idx="3">
                  <c:v>RBEC (n=14)</c:v>
                </c:pt>
                <c:pt idx="4">
                  <c:v>RBLAC (n=16)</c:v>
                </c:pt>
                <c:pt idx="5">
                  <c:v>Overall (n = 74)</c:v>
                </c:pt>
              </c:strCache>
            </c:strRef>
          </c:cat>
          <c:val>
            <c:numRef>
              <c:f>Sheet1!$B$2:$B$7</c:f>
              <c:numCache>
                <c:formatCode>0%</c:formatCode>
                <c:ptCount val="6"/>
                <c:pt idx="0">
                  <c:v>0.75</c:v>
                </c:pt>
                <c:pt idx="1">
                  <c:v>0.84</c:v>
                </c:pt>
                <c:pt idx="2">
                  <c:v>0.65</c:v>
                </c:pt>
                <c:pt idx="3">
                  <c:v>0.54</c:v>
                </c:pt>
                <c:pt idx="4">
                  <c:v>0.55000000000000004</c:v>
                </c:pt>
                <c:pt idx="5">
                  <c:v>0.67</c:v>
                </c:pt>
              </c:numCache>
            </c:numRef>
          </c:val>
          <c:extLst>
            <c:ext xmlns:c16="http://schemas.microsoft.com/office/drawing/2014/chart" uri="{C3380CC4-5D6E-409C-BE32-E72D297353CC}">
              <c16:uniqueId val="{00000000-6BC9-44CF-A7A2-488CE0D5F789}"/>
            </c:ext>
          </c:extLst>
        </c:ser>
        <c:ser>
          <c:idx val="1"/>
          <c:order val="1"/>
          <c:tx>
            <c:strRef>
              <c:f>Sheet1!$C$1</c:f>
              <c:strCache>
                <c:ptCount val="1"/>
                <c:pt idx="0">
                  <c:v>Ongoing</c:v>
                </c:pt>
              </c:strCache>
            </c:strRef>
          </c:tx>
          <c:spPr>
            <a:solidFill>
              <a:srgbClr val="2683C6">
                <a:lumMod val="60000"/>
                <a:lumOff val="40000"/>
              </a:srgbClr>
            </a:solidFill>
            <a:ln>
              <a:noFill/>
            </a:ln>
            <a:effectLst/>
          </c:spPr>
          <c:invertIfNegative val="0"/>
          <c:dLbls>
            <c:dLbl>
              <c:idx val="0"/>
              <c:layout>
                <c:manualLayout>
                  <c:x val="8.5333333333333337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C9-44CF-A7A2-488CE0D5F789}"/>
                </c:ext>
              </c:extLst>
            </c:dLbl>
            <c:dLbl>
              <c:idx val="2"/>
              <c:layout>
                <c:manualLayout>
                  <c:x val="8.5333333333332557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C9-44CF-A7A2-488CE0D5F789}"/>
                </c:ext>
              </c:extLst>
            </c:dLbl>
            <c:dLbl>
              <c:idx val="3"/>
              <c:layout>
                <c:manualLayout>
                  <c:x val="6.4000000000000003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C9-44CF-A7A2-488CE0D5F789}"/>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(n=24)</c:v>
                </c:pt>
                <c:pt idx="1">
                  <c:v>RBAP (n=11)</c:v>
                </c:pt>
                <c:pt idx="2">
                  <c:v>RBAS  (n=9)</c:v>
                </c:pt>
                <c:pt idx="3">
                  <c:v>RBEC (n=14)</c:v>
                </c:pt>
                <c:pt idx="4">
                  <c:v>RBLAC (n=16)</c:v>
                </c:pt>
                <c:pt idx="5">
                  <c:v>Overall (n = 74)</c:v>
                </c:pt>
              </c:strCache>
            </c:strRef>
          </c:cat>
          <c:val>
            <c:numRef>
              <c:f>Sheet1!$C$2:$C$7</c:f>
              <c:numCache>
                <c:formatCode>0%</c:formatCode>
                <c:ptCount val="6"/>
                <c:pt idx="0">
                  <c:v>0.16</c:v>
                </c:pt>
                <c:pt idx="1">
                  <c:v>0.15</c:v>
                </c:pt>
                <c:pt idx="2">
                  <c:v>0.33</c:v>
                </c:pt>
                <c:pt idx="3">
                  <c:v>0.4</c:v>
                </c:pt>
                <c:pt idx="4">
                  <c:v>0.25</c:v>
                </c:pt>
                <c:pt idx="5">
                  <c:v>0.25</c:v>
                </c:pt>
              </c:numCache>
            </c:numRef>
          </c:val>
          <c:extLst>
            <c:ext xmlns:c16="http://schemas.microsoft.com/office/drawing/2014/chart" uri="{C3380CC4-5D6E-409C-BE32-E72D297353CC}">
              <c16:uniqueId val="{00000004-6BC9-44CF-A7A2-488CE0D5F789}"/>
            </c:ext>
          </c:extLst>
        </c:ser>
        <c:ser>
          <c:idx val="2"/>
          <c:order val="2"/>
          <c:tx>
            <c:strRef>
              <c:f>Sheet1!$D$1</c:f>
              <c:strCache>
                <c:ptCount val="1"/>
                <c:pt idx="0">
                  <c:v>Not initiated</c:v>
                </c:pt>
              </c:strCache>
            </c:strRef>
          </c:tx>
          <c:spPr>
            <a:solidFill>
              <a:srgbClr val="75BDA7">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(n=24)</c:v>
                </c:pt>
                <c:pt idx="1">
                  <c:v>RBAP (n=11)</c:v>
                </c:pt>
                <c:pt idx="2">
                  <c:v>RBAS  (n=9)</c:v>
                </c:pt>
                <c:pt idx="3">
                  <c:v>RBEC (n=14)</c:v>
                </c:pt>
                <c:pt idx="4">
                  <c:v>RBLAC (n=16)</c:v>
                </c:pt>
                <c:pt idx="5">
                  <c:v>Overall (n = 74)</c:v>
                </c:pt>
              </c:strCache>
            </c:strRef>
          </c:cat>
          <c:val>
            <c:numRef>
              <c:f>Sheet1!$D$2:$D$7</c:f>
              <c:numCache>
                <c:formatCode>0%</c:formatCode>
                <c:ptCount val="6"/>
                <c:pt idx="0">
                  <c:v>0.01</c:v>
                </c:pt>
                <c:pt idx="1">
                  <c:v>0.01</c:v>
                </c:pt>
                <c:pt idx="2">
                  <c:v>0</c:v>
                </c:pt>
                <c:pt idx="3">
                  <c:v>0.06</c:v>
                </c:pt>
                <c:pt idx="4">
                  <c:v>0.02</c:v>
                </c:pt>
                <c:pt idx="5">
                  <c:v>0.02</c:v>
                </c:pt>
              </c:numCache>
            </c:numRef>
          </c:val>
          <c:extLst>
            <c:ext xmlns:c16="http://schemas.microsoft.com/office/drawing/2014/chart" uri="{C3380CC4-5D6E-409C-BE32-E72D297353CC}">
              <c16:uniqueId val="{00000005-6BC9-44CF-A7A2-488CE0D5F789}"/>
            </c:ext>
          </c:extLst>
        </c:ser>
        <c:ser>
          <c:idx val="3"/>
          <c:order val="3"/>
          <c:tx>
            <c:strRef>
              <c:f>Sheet1!$E$1</c:f>
              <c:strCache>
                <c:ptCount val="1"/>
                <c:pt idx="0">
                  <c:v>Overdue</c:v>
                </c:pt>
              </c:strCache>
            </c:strRef>
          </c:tx>
          <c:spPr>
            <a:solidFill>
              <a:srgbClr val="AC781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(n=24)</c:v>
                </c:pt>
                <c:pt idx="1">
                  <c:v>RBAP (n=11)</c:v>
                </c:pt>
                <c:pt idx="2">
                  <c:v>RBAS  (n=9)</c:v>
                </c:pt>
                <c:pt idx="3">
                  <c:v>RBEC (n=14)</c:v>
                </c:pt>
                <c:pt idx="4">
                  <c:v>RBLAC (n=16)</c:v>
                </c:pt>
                <c:pt idx="5">
                  <c:v>Overall (n = 74)</c:v>
                </c:pt>
              </c:strCache>
            </c:strRef>
          </c:cat>
          <c:val>
            <c:numRef>
              <c:f>Sheet1!$E$2:$E$7</c:f>
              <c:numCache>
                <c:formatCode>0%</c:formatCode>
                <c:ptCount val="6"/>
                <c:pt idx="0">
                  <c:v>0.08</c:v>
                </c:pt>
                <c:pt idx="1">
                  <c:v>0</c:v>
                </c:pt>
                <c:pt idx="2">
                  <c:v>0.02</c:v>
                </c:pt>
                <c:pt idx="3">
                  <c:v>0</c:v>
                </c:pt>
                <c:pt idx="4">
                  <c:v>0.18</c:v>
                </c:pt>
                <c:pt idx="5">
                  <c:v>0.06</c:v>
                </c:pt>
              </c:numCache>
            </c:numRef>
          </c:val>
          <c:extLst>
            <c:ext xmlns:c16="http://schemas.microsoft.com/office/drawing/2014/chart" uri="{C3380CC4-5D6E-409C-BE32-E72D297353CC}">
              <c16:uniqueId val="{00000006-6BC9-44CF-A7A2-488CE0D5F789}"/>
            </c:ext>
          </c:extLst>
        </c:ser>
        <c:dLbls>
          <c:showLegendKey val="0"/>
          <c:showVal val="0"/>
          <c:showCatName val="0"/>
          <c:showSerName val="0"/>
          <c:showPercent val="0"/>
          <c:showBubbleSize val="0"/>
        </c:dLbls>
        <c:gapWidth val="219"/>
        <c:overlap val="-27"/>
        <c:axId val="1347423712"/>
        <c:axId val="1347408736"/>
      </c:barChart>
      <c:catAx>
        <c:axId val="134742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08736"/>
        <c:crosses val="autoZero"/>
        <c:auto val="1"/>
        <c:lblAlgn val="ctr"/>
        <c:lblOffset val="100"/>
        <c:noMultiLvlLbl val="0"/>
      </c:catAx>
      <c:valAx>
        <c:axId val="1347408736"/>
        <c:scaling>
          <c:orientation val="minMax"/>
          <c:max val="1"/>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23712"/>
        <c:crosses val="autoZero"/>
        <c:crossBetween val="between"/>
        <c:majorUnit val="0.25"/>
      </c:valAx>
      <c:spPr>
        <a:noFill/>
        <a:ln>
          <a:noFill/>
        </a:ln>
        <a:effectLst/>
      </c:spPr>
    </c:plotArea>
    <c:legend>
      <c:legendPos val="b"/>
      <c:layout>
        <c:manualLayout>
          <c:xMode val="edge"/>
          <c:yMode val="edge"/>
          <c:x val="0.33420003929777764"/>
          <c:y val="7.0128052175296274E-2"/>
          <c:w val="0.3880512378090416"/>
          <c:h val="7.865420576421557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17645116450887E-2"/>
          <c:y val="0.24598607782722812"/>
          <c:w val="0.91178467406177632"/>
          <c:h val="0.5706388002614915"/>
        </c:manualLayout>
      </c:layout>
      <c:barChart>
        <c:barDir val="col"/>
        <c:grouping val="clustered"/>
        <c:varyColors val="0"/>
        <c:ser>
          <c:idx val="0"/>
          <c:order val="0"/>
          <c:tx>
            <c:strRef>
              <c:f>Sheet1!$B$1</c:f>
              <c:strCache>
                <c:ptCount val="1"/>
                <c:pt idx="0">
                  <c:v>Unsatisfactory</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 (n= 287)</c:v>
                </c:pt>
                <c:pt idx="1">
                  <c:v>2018 (n= 265)</c:v>
                </c:pt>
                <c:pt idx="2">
                  <c:v>2019 (n= 241)</c:v>
                </c:pt>
                <c:pt idx="3">
                  <c:v>2020 (n= 203)</c:v>
                </c:pt>
                <c:pt idx="4">
                  <c:v>2021 (n= 272)</c:v>
                </c:pt>
              </c:strCache>
            </c:strRef>
          </c:cat>
          <c:val>
            <c:numRef>
              <c:f>Sheet1!$B$2:$B$6</c:f>
              <c:numCache>
                <c:formatCode>0%</c:formatCode>
                <c:ptCount val="5"/>
                <c:pt idx="0">
                  <c:v>7.0000000000000007E-2</c:v>
                </c:pt>
                <c:pt idx="1">
                  <c:v>0.05</c:v>
                </c:pt>
                <c:pt idx="2">
                  <c:v>0.08</c:v>
                </c:pt>
                <c:pt idx="3">
                  <c:v>0.02</c:v>
                </c:pt>
                <c:pt idx="4">
                  <c:v>0.01</c:v>
                </c:pt>
              </c:numCache>
            </c:numRef>
          </c:val>
          <c:extLst>
            <c:ext xmlns:c16="http://schemas.microsoft.com/office/drawing/2014/chart" uri="{C3380CC4-5D6E-409C-BE32-E72D297353CC}">
              <c16:uniqueId val="{00000000-236F-468F-BD95-09EF10A646D4}"/>
            </c:ext>
          </c:extLst>
        </c:ser>
        <c:ser>
          <c:idx val="1"/>
          <c:order val="1"/>
          <c:tx>
            <c:strRef>
              <c:f>Sheet1!$C$1</c:f>
              <c:strCache>
                <c:ptCount val="1"/>
                <c:pt idx="0">
                  <c:v>Moderately unsatisfactory</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 (n= 287)</c:v>
                </c:pt>
                <c:pt idx="1">
                  <c:v>2018 (n= 265)</c:v>
                </c:pt>
                <c:pt idx="2">
                  <c:v>2019 (n= 241)</c:v>
                </c:pt>
                <c:pt idx="3">
                  <c:v>2020 (n= 203)</c:v>
                </c:pt>
                <c:pt idx="4">
                  <c:v>2021 (n= 272)</c:v>
                </c:pt>
              </c:strCache>
            </c:strRef>
          </c:cat>
          <c:val>
            <c:numRef>
              <c:f>Sheet1!$C$2:$C$6</c:f>
              <c:numCache>
                <c:formatCode>0%</c:formatCode>
                <c:ptCount val="5"/>
                <c:pt idx="0">
                  <c:v>0.19</c:v>
                </c:pt>
                <c:pt idx="1">
                  <c:v>0.2</c:v>
                </c:pt>
                <c:pt idx="2">
                  <c:v>0.19</c:v>
                </c:pt>
                <c:pt idx="3">
                  <c:v>0.1</c:v>
                </c:pt>
                <c:pt idx="4">
                  <c:v>0.09</c:v>
                </c:pt>
              </c:numCache>
            </c:numRef>
          </c:val>
          <c:extLst>
            <c:ext xmlns:c16="http://schemas.microsoft.com/office/drawing/2014/chart" uri="{C3380CC4-5D6E-409C-BE32-E72D297353CC}">
              <c16:uniqueId val="{00000001-236F-468F-BD95-09EF10A646D4}"/>
            </c:ext>
          </c:extLst>
        </c:ser>
        <c:ser>
          <c:idx val="2"/>
          <c:order val="2"/>
          <c:tx>
            <c:strRef>
              <c:f>Sheet1!$D$1</c:f>
              <c:strCache>
                <c:ptCount val="1"/>
                <c:pt idx="0">
                  <c:v>Moderately satisfactory</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 (n= 287)</c:v>
                </c:pt>
                <c:pt idx="1">
                  <c:v>2018 (n= 265)</c:v>
                </c:pt>
                <c:pt idx="2">
                  <c:v>2019 (n= 241)</c:v>
                </c:pt>
                <c:pt idx="3">
                  <c:v>2020 (n= 203)</c:v>
                </c:pt>
                <c:pt idx="4">
                  <c:v>2021 (n= 272)</c:v>
                </c:pt>
              </c:strCache>
            </c:strRef>
          </c:cat>
          <c:val>
            <c:numRef>
              <c:f>Sheet1!$D$2:$D$6</c:f>
              <c:numCache>
                <c:formatCode>0%</c:formatCode>
                <c:ptCount val="5"/>
                <c:pt idx="0">
                  <c:v>0.54</c:v>
                </c:pt>
                <c:pt idx="1">
                  <c:v>0.51</c:v>
                </c:pt>
                <c:pt idx="2">
                  <c:v>0.53</c:v>
                </c:pt>
                <c:pt idx="3">
                  <c:v>0.54</c:v>
                </c:pt>
                <c:pt idx="4">
                  <c:v>0.48</c:v>
                </c:pt>
              </c:numCache>
            </c:numRef>
          </c:val>
          <c:extLst>
            <c:ext xmlns:c16="http://schemas.microsoft.com/office/drawing/2014/chart" uri="{C3380CC4-5D6E-409C-BE32-E72D297353CC}">
              <c16:uniqueId val="{00000002-236F-468F-BD95-09EF10A646D4}"/>
            </c:ext>
          </c:extLst>
        </c:ser>
        <c:ser>
          <c:idx val="3"/>
          <c:order val="3"/>
          <c:tx>
            <c:strRef>
              <c:f>Sheet1!$E$1</c:f>
              <c:strCache>
                <c:ptCount val="1"/>
                <c:pt idx="0">
                  <c:v>Satisfactory</c:v>
                </c:pt>
              </c:strCache>
            </c:strRef>
          </c:tx>
          <c:spPr>
            <a:solidFill>
              <a:srgbClr val="00B050"/>
            </a:solidFill>
            <a:ln>
              <a:noFill/>
            </a:ln>
            <a:effectLst/>
          </c:spPr>
          <c:invertIfNegative val="0"/>
          <c:dLbls>
            <c:dLbl>
              <c:idx val="0"/>
              <c:layout>
                <c:manualLayout>
                  <c:x val="4.6296296296296294E-3"/>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6F-468F-BD95-09EF10A646D4}"/>
                </c:ext>
              </c:extLst>
            </c:dLbl>
            <c:dLbl>
              <c:idx val="1"/>
              <c:layout>
                <c:manualLayout>
                  <c:x val="1.15740740740740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6F-468F-BD95-09EF10A646D4}"/>
                </c:ext>
              </c:extLst>
            </c:dLbl>
            <c:dLbl>
              <c:idx val="2"/>
              <c:layout>
                <c:manualLayout>
                  <c:x val="1.1574074074074073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6F-468F-BD95-09EF10A646D4}"/>
                </c:ext>
              </c:extLst>
            </c:dLbl>
            <c:dLbl>
              <c:idx val="3"/>
              <c:layout>
                <c:manualLayout>
                  <c:x val="1.5613115076701403E-2"/>
                  <c:y val="-3.4928396786587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6F-468F-BD95-09EF10A646D4}"/>
                </c:ext>
              </c:extLst>
            </c:dLbl>
            <c:dLbl>
              <c:idx val="4"/>
              <c:layout>
                <c:manualLayout>
                  <c:x val="1.1574074074073905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6F-468F-BD95-09EF10A646D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 (n= 287)</c:v>
                </c:pt>
                <c:pt idx="1">
                  <c:v>2018 (n= 265)</c:v>
                </c:pt>
                <c:pt idx="2">
                  <c:v>2019 (n= 241)</c:v>
                </c:pt>
                <c:pt idx="3">
                  <c:v>2020 (n= 203)</c:v>
                </c:pt>
                <c:pt idx="4">
                  <c:v>2021 (n= 272)</c:v>
                </c:pt>
              </c:strCache>
            </c:strRef>
          </c:cat>
          <c:val>
            <c:numRef>
              <c:f>Sheet1!$E$2:$E$6</c:f>
              <c:numCache>
                <c:formatCode>0%</c:formatCode>
                <c:ptCount val="5"/>
                <c:pt idx="0">
                  <c:v>0.19</c:v>
                </c:pt>
                <c:pt idx="1">
                  <c:v>0.24</c:v>
                </c:pt>
                <c:pt idx="2">
                  <c:v>0.2</c:v>
                </c:pt>
                <c:pt idx="3">
                  <c:v>0.34</c:v>
                </c:pt>
                <c:pt idx="4">
                  <c:v>0.42</c:v>
                </c:pt>
              </c:numCache>
            </c:numRef>
          </c:val>
          <c:extLst>
            <c:ext xmlns:c16="http://schemas.microsoft.com/office/drawing/2014/chart" uri="{C3380CC4-5D6E-409C-BE32-E72D297353CC}">
              <c16:uniqueId val="{00000008-236F-468F-BD95-09EF10A646D4}"/>
            </c:ext>
          </c:extLst>
        </c:ser>
        <c:dLbls>
          <c:showLegendKey val="0"/>
          <c:showVal val="0"/>
          <c:showCatName val="0"/>
          <c:showSerName val="0"/>
          <c:showPercent val="0"/>
          <c:showBubbleSize val="0"/>
        </c:dLbls>
        <c:gapWidth val="219"/>
        <c:overlap val="-27"/>
        <c:axId val="233155599"/>
        <c:axId val="233150191"/>
      </c:barChart>
      <c:catAx>
        <c:axId val="233155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3150191"/>
        <c:crosses val="autoZero"/>
        <c:auto val="1"/>
        <c:lblAlgn val="ctr"/>
        <c:lblOffset val="100"/>
        <c:noMultiLvlLbl val="0"/>
      </c:catAx>
      <c:valAx>
        <c:axId val="23315019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3155599"/>
        <c:crosses val="autoZero"/>
        <c:crossBetween val="between"/>
      </c:valAx>
      <c:spPr>
        <a:noFill/>
        <a:ln>
          <a:noFill/>
        </a:ln>
        <a:effectLst/>
      </c:spPr>
    </c:plotArea>
    <c:legend>
      <c:legendPos val="b"/>
      <c:layout>
        <c:manualLayout>
          <c:xMode val="edge"/>
          <c:yMode val="edge"/>
          <c:x val="0.15658342929520763"/>
          <c:y val="3.6209821598387155E-2"/>
          <c:w val="0.78976636445277548"/>
          <c:h val="9.42963110294719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08061492314E-2"/>
          <c:y val="0.22903975184920067"/>
          <c:w val="0.89360145086030918"/>
          <c:h val="0.47139482564679414"/>
        </c:manualLayout>
      </c:layout>
      <c:barChart>
        <c:barDir val="col"/>
        <c:grouping val="clustered"/>
        <c:varyColors val="0"/>
        <c:ser>
          <c:idx val="0"/>
          <c:order val="0"/>
          <c:tx>
            <c:strRef>
              <c:f>Sheet1!$B$1</c:f>
              <c:strCache>
                <c:ptCount val="1"/>
                <c:pt idx="0">
                  <c:v>2017</c:v>
                </c:pt>
              </c:strCache>
            </c:strRef>
          </c:tx>
          <c:spPr>
            <a:solidFill>
              <a:srgbClr val="58B6C0">
                <a:lumMod val="60000"/>
                <a:lumOff val="40000"/>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7FBA-40DF-AA39-172C19E65275}"/>
                </c:ext>
              </c:extLst>
            </c:dLbl>
            <c:dLbl>
              <c:idx val="1"/>
              <c:delete val="1"/>
              <c:extLst>
                <c:ext xmlns:c15="http://schemas.microsoft.com/office/drawing/2012/chart" uri="{CE6537A1-D6FC-4f65-9D91-7224C49458BB}"/>
                <c:ext xmlns:c16="http://schemas.microsoft.com/office/drawing/2014/chart" uri="{C3380CC4-5D6E-409C-BE32-E72D297353CC}">
                  <c16:uniqueId val="{00000001-7FBA-40DF-AA39-172C19E65275}"/>
                </c:ext>
              </c:extLst>
            </c:dLbl>
            <c:dLbl>
              <c:idx val="2"/>
              <c:delete val="1"/>
              <c:extLst>
                <c:ext xmlns:c15="http://schemas.microsoft.com/office/drawing/2012/chart" uri="{CE6537A1-D6FC-4f65-9D91-7224C49458BB}"/>
                <c:ext xmlns:c16="http://schemas.microsoft.com/office/drawing/2014/chart" uri="{C3380CC4-5D6E-409C-BE32-E72D297353CC}">
                  <c16:uniqueId val="{00000002-7FBA-40DF-AA39-172C19E65275}"/>
                </c:ext>
              </c:extLst>
            </c:dLbl>
            <c:dLbl>
              <c:idx val="3"/>
              <c:delete val="1"/>
              <c:extLst>
                <c:ext xmlns:c15="http://schemas.microsoft.com/office/drawing/2012/chart" uri="{CE6537A1-D6FC-4f65-9D91-7224C49458BB}"/>
                <c:ext xmlns:c16="http://schemas.microsoft.com/office/drawing/2014/chart" uri="{C3380CC4-5D6E-409C-BE32-E72D297353CC}">
                  <c16:uniqueId val="{00000003-7FBA-40DF-AA39-172C19E6527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KPI 1: Evaluation Completion Rate</c:v>
                </c:pt>
                <c:pt idx="1">
                  <c:v>KPI 2: Quality of Evaluation which are Satisfactory </c:v>
                </c:pt>
                <c:pt idx="2">
                  <c:v>KPI 3: Evaluation with Management Response</c:v>
                </c:pt>
                <c:pt idx="3">
                  <c:v>KPI 4: Implementation rate of management actions</c:v>
                </c:pt>
                <c:pt idx="4">
                  <c:v>KPI 5: M&amp;E focal points certified in evaluation</c:v>
                </c:pt>
              </c:strCache>
            </c:strRef>
          </c:cat>
          <c:val>
            <c:numRef>
              <c:f>Sheet1!$B$2:$B$6</c:f>
              <c:numCache>
                <c:formatCode>0%</c:formatCode>
                <c:ptCount val="5"/>
                <c:pt idx="0">
                  <c:v>0.56000000000000005</c:v>
                </c:pt>
                <c:pt idx="1">
                  <c:v>0.19</c:v>
                </c:pt>
                <c:pt idx="2">
                  <c:v>0.93</c:v>
                </c:pt>
                <c:pt idx="3">
                  <c:v>0.78</c:v>
                </c:pt>
              </c:numCache>
            </c:numRef>
          </c:val>
          <c:extLst>
            <c:ext xmlns:c16="http://schemas.microsoft.com/office/drawing/2014/chart" uri="{C3380CC4-5D6E-409C-BE32-E72D297353CC}">
              <c16:uniqueId val="{00000004-7FBA-40DF-AA39-172C19E65275}"/>
            </c:ext>
          </c:extLst>
        </c:ser>
        <c:ser>
          <c:idx val="1"/>
          <c:order val="1"/>
          <c:tx>
            <c:strRef>
              <c:f>Sheet1!$C$1</c:f>
              <c:strCache>
                <c:ptCount val="1"/>
                <c:pt idx="0">
                  <c:v>2018</c:v>
                </c:pt>
              </c:strCache>
            </c:strRef>
          </c:tx>
          <c:spPr>
            <a:solidFill>
              <a:schemeClr val="accent2"/>
            </a:solidFill>
            <a:ln>
              <a:noFill/>
            </a:ln>
            <a:effectLst/>
          </c:spPr>
          <c:invertIfNegative val="0"/>
          <c:cat>
            <c:strRef>
              <c:f>Sheet1!$A$2:$A$6</c:f>
              <c:strCache>
                <c:ptCount val="5"/>
                <c:pt idx="0">
                  <c:v>KPI 1: Evaluation Completion Rate</c:v>
                </c:pt>
                <c:pt idx="1">
                  <c:v>KPI 2: Quality of Evaluation which are Satisfactory </c:v>
                </c:pt>
                <c:pt idx="2">
                  <c:v>KPI 3: Evaluation with Management Response</c:v>
                </c:pt>
                <c:pt idx="3">
                  <c:v>KPI 4: Implementation rate of management actions</c:v>
                </c:pt>
                <c:pt idx="4">
                  <c:v>KPI 5: M&amp;E focal points certified in evaluation</c:v>
                </c:pt>
              </c:strCache>
            </c:strRef>
          </c:cat>
          <c:val>
            <c:numRef>
              <c:f>Sheet1!$C$2:$C$6</c:f>
              <c:numCache>
                <c:formatCode>0%</c:formatCode>
                <c:ptCount val="5"/>
                <c:pt idx="0">
                  <c:v>0.56000000000000005</c:v>
                </c:pt>
                <c:pt idx="1">
                  <c:v>0.24</c:v>
                </c:pt>
                <c:pt idx="2">
                  <c:v>0.97</c:v>
                </c:pt>
                <c:pt idx="3">
                  <c:v>0.86</c:v>
                </c:pt>
              </c:numCache>
            </c:numRef>
          </c:val>
          <c:extLst>
            <c:ext xmlns:c16="http://schemas.microsoft.com/office/drawing/2014/chart" uri="{C3380CC4-5D6E-409C-BE32-E72D297353CC}">
              <c16:uniqueId val="{00000005-7FBA-40DF-AA39-172C19E65275}"/>
            </c:ext>
          </c:extLst>
        </c:ser>
        <c:ser>
          <c:idx val="2"/>
          <c:order val="2"/>
          <c:tx>
            <c:strRef>
              <c:f>Sheet1!$D$1</c:f>
              <c:strCache>
                <c:ptCount val="1"/>
                <c:pt idx="0">
                  <c:v>2019</c:v>
                </c:pt>
              </c:strCache>
            </c:strRef>
          </c:tx>
          <c:spPr>
            <a:solidFill>
              <a:schemeClr val="accent3"/>
            </a:solidFill>
            <a:ln>
              <a:noFill/>
            </a:ln>
            <a:effectLst/>
          </c:spPr>
          <c:invertIfNegative val="0"/>
          <c:cat>
            <c:strRef>
              <c:f>Sheet1!$A$2:$A$6</c:f>
              <c:strCache>
                <c:ptCount val="5"/>
                <c:pt idx="0">
                  <c:v>KPI 1: Evaluation Completion Rate</c:v>
                </c:pt>
                <c:pt idx="1">
                  <c:v>KPI 2: Quality of Evaluation which are Satisfactory </c:v>
                </c:pt>
                <c:pt idx="2">
                  <c:v>KPI 3: Evaluation with Management Response</c:v>
                </c:pt>
                <c:pt idx="3">
                  <c:v>KPI 4: Implementation rate of management actions</c:v>
                </c:pt>
                <c:pt idx="4">
                  <c:v>KPI 5: M&amp;E focal points certified in evaluation</c:v>
                </c:pt>
              </c:strCache>
            </c:strRef>
          </c:cat>
          <c:val>
            <c:numRef>
              <c:f>Sheet1!$D$2:$D$6</c:f>
              <c:numCache>
                <c:formatCode>0%</c:formatCode>
                <c:ptCount val="5"/>
                <c:pt idx="0">
                  <c:v>0.55000000000000004</c:v>
                </c:pt>
                <c:pt idx="1">
                  <c:v>0.2</c:v>
                </c:pt>
                <c:pt idx="2">
                  <c:v>0.94</c:v>
                </c:pt>
                <c:pt idx="3">
                  <c:v>0.86</c:v>
                </c:pt>
              </c:numCache>
            </c:numRef>
          </c:val>
          <c:extLst>
            <c:ext xmlns:c16="http://schemas.microsoft.com/office/drawing/2014/chart" uri="{C3380CC4-5D6E-409C-BE32-E72D297353CC}">
              <c16:uniqueId val="{00000006-7FBA-40DF-AA39-172C19E65275}"/>
            </c:ext>
          </c:extLst>
        </c:ser>
        <c:ser>
          <c:idx val="3"/>
          <c:order val="3"/>
          <c:tx>
            <c:strRef>
              <c:f>Sheet1!$E$1</c:f>
              <c:strCache>
                <c:ptCount val="1"/>
                <c:pt idx="0">
                  <c:v>2020</c:v>
                </c:pt>
              </c:strCache>
            </c:strRef>
          </c:tx>
          <c:spPr>
            <a:solidFill>
              <a:srgbClr val="2683C6">
                <a:lumMod val="75000"/>
              </a:srgbClr>
            </a:solidFill>
            <a:ln>
              <a:noFill/>
            </a:ln>
            <a:effectLst/>
          </c:spPr>
          <c:invertIfNegative val="0"/>
          <c:dLbls>
            <c:dLbl>
              <c:idx val="1"/>
              <c:layout>
                <c:manualLayout>
                  <c:x val="-4.2019531394794385E-17"/>
                  <c:y val="1.6038492381716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BA-40DF-AA39-172C19E65275}"/>
                </c:ext>
              </c:extLst>
            </c:dLbl>
            <c:dLbl>
              <c:idx val="4"/>
              <c:layout>
                <c:manualLayout>
                  <c:x val="0"/>
                  <c:y val="1.0692328254477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BA-40DF-AA39-172C19E6527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KPI 1: Evaluation Completion Rate</c:v>
                </c:pt>
                <c:pt idx="1">
                  <c:v>KPI 2: Quality of Evaluation which are Satisfactory </c:v>
                </c:pt>
                <c:pt idx="2">
                  <c:v>KPI 3: Evaluation with Management Response</c:v>
                </c:pt>
                <c:pt idx="3">
                  <c:v>KPI 4: Implementation rate of management actions</c:v>
                </c:pt>
                <c:pt idx="4">
                  <c:v>KPI 5: M&amp;E focal points certified in evaluation</c:v>
                </c:pt>
              </c:strCache>
            </c:strRef>
          </c:cat>
          <c:val>
            <c:numRef>
              <c:f>Sheet1!$E$2:$E$6</c:f>
              <c:numCache>
                <c:formatCode>0%</c:formatCode>
                <c:ptCount val="5"/>
                <c:pt idx="0">
                  <c:v>0.49</c:v>
                </c:pt>
                <c:pt idx="1">
                  <c:v>0.34</c:v>
                </c:pt>
                <c:pt idx="2">
                  <c:v>0.94</c:v>
                </c:pt>
                <c:pt idx="3">
                  <c:v>0.86</c:v>
                </c:pt>
                <c:pt idx="4">
                  <c:v>0.26</c:v>
                </c:pt>
              </c:numCache>
            </c:numRef>
          </c:val>
          <c:extLst>
            <c:ext xmlns:c16="http://schemas.microsoft.com/office/drawing/2014/chart" uri="{C3380CC4-5D6E-409C-BE32-E72D297353CC}">
              <c16:uniqueId val="{00000009-7FBA-40DF-AA39-172C19E65275}"/>
            </c:ext>
          </c:extLst>
        </c:ser>
        <c:ser>
          <c:idx val="4"/>
          <c:order val="4"/>
          <c:tx>
            <c:strRef>
              <c:f>Sheet1!$F$1</c:f>
              <c:strCache>
                <c:ptCount val="1"/>
                <c:pt idx="0">
                  <c:v>2021</c:v>
                </c:pt>
              </c:strCache>
            </c:strRef>
          </c:tx>
          <c:spPr>
            <a:solidFill>
              <a:srgbClr val="00B050"/>
            </a:solidFill>
            <a:ln>
              <a:noFill/>
            </a:ln>
            <a:effectLst/>
          </c:spPr>
          <c:invertIfNegative val="0"/>
          <c:dLbls>
            <c:dLbl>
              <c:idx val="0"/>
              <c:layout>
                <c:manualLayout>
                  <c:x val="9.168003667201466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BA-40DF-AA39-172C19E65275}"/>
                </c:ext>
              </c:extLst>
            </c:dLbl>
            <c:dLbl>
              <c:idx val="1"/>
              <c:layout>
                <c:manualLayout>
                  <c:x val="4.5840018336007335E-3"/>
                  <c:y val="-5.3461641272387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BA-40DF-AA39-172C19E65275}"/>
                </c:ext>
              </c:extLst>
            </c:dLbl>
            <c:dLbl>
              <c:idx val="2"/>
              <c:layout>
                <c:manualLayout>
                  <c:x val="4.5840018336007335E-3"/>
                  <c:y val="-2.3105360443622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FBA-40DF-AA39-172C19E65275}"/>
                </c:ext>
              </c:extLst>
            </c:dLbl>
            <c:dLbl>
              <c:idx val="3"/>
              <c:layout>
                <c:manualLayout>
                  <c:x val="6.8760027504009323E-3"/>
                  <c:y val="-1.8484257230476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BA-40DF-AA39-172C19E65275}"/>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KPI 1: Evaluation Completion Rate</c:v>
                </c:pt>
                <c:pt idx="1">
                  <c:v>KPI 2: Quality of Evaluation which are Satisfactory </c:v>
                </c:pt>
                <c:pt idx="2">
                  <c:v>KPI 3: Evaluation with Management Response</c:v>
                </c:pt>
                <c:pt idx="3">
                  <c:v>KPI 4: Implementation rate of management actions</c:v>
                </c:pt>
                <c:pt idx="4">
                  <c:v>KPI 5: M&amp;E focal points certified in evaluation</c:v>
                </c:pt>
              </c:strCache>
            </c:strRef>
          </c:cat>
          <c:val>
            <c:numRef>
              <c:f>Sheet1!$F$2:$F$6</c:f>
              <c:numCache>
                <c:formatCode>0%</c:formatCode>
                <c:ptCount val="5"/>
                <c:pt idx="0">
                  <c:v>0.63</c:v>
                </c:pt>
                <c:pt idx="1">
                  <c:v>0.43</c:v>
                </c:pt>
                <c:pt idx="2">
                  <c:v>0.98</c:v>
                </c:pt>
                <c:pt idx="3">
                  <c:v>0.92</c:v>
                </c:pt>
                <c:pt idx="4">
                  <c:v>0.56999999999999995</c:v>
                </c:pt>
              </c:numCache>
            </c:numRef>
          </c:val>
          <c:extLst>
            <c:ext xmlns:c16="http://schemas.microsoft.com/office/drawing/2014/chart" uri="{C3380CC4-5D6E-409C-BE32-E72D297353CC}">
              <c16:uniqueId val="{0000000E-7FBA-40DF-AA39-172C19E65275}"/>
            </c:ext>
          </c:extLst>
        </c:ser>
        <c:dLbls>
          <c:showLegendKey val="0"/>
          <c:showVal val="0"/>
          <c:showCatName val="0"/>
          <c:showSerName val="0"/>
          <c:showPercent val="0"/>
          <c:showBubbleSize val="0"/>
        </c:dLbls>
        <c:gapWidth val="219"/>
        <c:overlap val="-27"/>
        <c:axId val="1767274624"/>
        <c:axId val="1767263808"/>
      </c:barChart>
      <c:catAx>
        <c:axId val="176727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67263808"/>
        <c:crosses val="autoZero"/>
        <c:auto val="1"/>
        <c:lblAlgn val="ctr"/>
        <c:lblOffset val="100"/>
        <c:noMultiLvlLbl val="0"/>
      </c:catAx>
      <c:valAx>
        <c:axId val="176726380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67274624"/>
        <c:crosses val="autoZero"/>
        <c:crossBetween val="between"/>
        <c:majorUnit val="0.2"/>
      </c:valAx>
      <c:spPr>
        <a:noFill/>
        <a:ln>
          <a:noFill/>
        </a:ln>
        <a:effectLst/>
      </c:spPr>
    </c:plotArea>
    <c:legend>
      <c:legendPos val="b"/>
      <c:layout>
        <c:manualLayout>
          <c:xMode val="edge"/>
          <c:yMode val="edge"/>
          <c:x val="0.28925946756655418"/>
          <c:y val="4.6103746122643757E-2"/>
          <c:w val="0.37456255468066496"/>
          <c:h val="6.2957755280589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ED6A37D4-D82F-4336-A0E8-66219F5EF043}">
    <t:Anchor>
      <t:Comment id="635213384"/>
    </t:Anchor>
    <t:History>
      <t:Event id="{723A363C-D225-4DD5-8470-B7BA01B5EDC6}" time="2022-03-17T13:42:51.657Z">
        <t:Attribution userId="S::hugo.remaury@undp.org::86fb7d77-9d41-4c67-b0c6-a42422aae903" userProvider="AD" userName="Hugo Remaury"/>
        <t:Anchor>
          <t:Comment id="1784317137"/>
        </t:Anchor>
        <t:Create/>
      </t:Event>
      <t:Event id="{CBB2FA9D-3EA2-4273-B594-1D3A4F42E845}" time="2022-03-17T13:42:51.657Z">
        <t:Attribution userId="S::hugo.remaury@undp.org::86fb7d77-9d41-4c67-b0c6-a42422aae903" userProvider="AD" userName="Hugo Remaury"/>
        <t:Anchor>
          <t:Comment id="1784317137"/>
        </t:Anchor>
        <t:Assign userId="S::hanayo.nakano@undp.org::8f624296-bbb3-4bec-9409-784443896db4" userProvider="AD" userName="Hanayo Nakano"/>
      </t:Event>
      <t:Event id="{C0083D35-6C62-4835-99E9-AB18C1B0CE9C}" time="2022-03-17T13:42:51.657Z">
        <t:Attribution userId="S::hugo.remaury@undp.org::86fb7d77-9d41-4c67-b0c6-a42422aae903" userProvider="AD" userName="Hugo Remaury"/>
        <t:Anchor>
          <t:Comment id="1784317137"/>
        </t:Anchor>
        <t:SetTitle title="@Hanayo Nakano Let us know if you have any questions on the edits made. Thanks!"/>
      </t:Event>
    </t:History>
  </t:Task>
</t:Tasks>
</file>

<file path=word/drawings/drawing1.xml><?xml version="1.0" encoding="utf-8"?>
<c:userShapes xmlns:c="http://schemas.openxmlformats.org/drawingml/2006/chart">
  <cdr:relSizeAnchor xmlns:cdr="http://schemas.openxmlformats.org/drawingml/2006/chartDrawing">
    <cdr:from>
      <cdr:x>0.21633</cdr:x>
      <cdr:y>0.3743</cdr:y>
    </cdr:from>
    <cdr:to>
      <cdr:x>0.92206</cdr:x>
      <cdr:y>0.63748</cdr:y>
    </cdr:to>
    <cdr:cxnSp macro="">
      <cdr:nvCxnSpPr>
        <cdr:cNvPr id="2" name="Straight Connector 1"/>
        <cdr:cNvCxnSpPr/>
      </cdr:nvCxnSpPr>
      <cdr:spPr>
        <a:xfrm xmlns:a="http://schemas.openxmlformats.org/drawingml/2006/main" flipV="1">
          <a:off x="1297172" y="680485"/>
          <a:ext cx="4231758" cy="478465"/>
        </a:xfrm>
        <a:prstGeom xmlns:a="http://schemas.openxmlformats.org/drawingml/2006/main" prst="line">
          <a:avLst/>
        </a:prstGeom>
        <a:ln xmlns:a="http://schemas.openxmlformats.org/drawingml/2006/main" w="22225">
          <a:solidFill>
            <a:srgbClr val="00206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6" ma:contentTypeDescription="Create a new document." ma:contentTypeScope="" ma:versionID="8c923eb14955d47d0657e84d6bde7ada">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9c6c5e18d0be71bfa383209083886f66"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D21F8-AD8A-49C7-9187-DA9F112699F9}">
  <ds:schemaRefs>
    <ds:schemaRef ds:uri="http://schemas.openxmlformats.org/officeDocument/2006/bibliography"/>
  </ds:schemaRefs>
</ds:datastoreItem>
</file>

<file path=customXml/itemProps2.xml><?xml version="1.0" encoding="utf-8"?>
<ds:datastoreItem xmlns:ds="http://schemas.openxmlformats.org/officeDocument/2006/customXml" ds:itemID="{3A2A6601-5CC6-4929-AC04-361DA918A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C7228-97E6-45F6-B7F5-FCBF00700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9B392-A5B4-4A7E-8AFF-231BF4245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10208</Words>
  <Characters>58192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68264</CharactersWithSpaces>
  <SharedDoc>false</SharedDoc>
  <HLinks>
    <vt:vector size="144" baseType="variant">
      <vt:variant>
        <vt:i4>2228301</vt:i4>
      </vt:variant>
      <vt:variant>
        <vt:i4>69</vt:i4>
      </vt:variant>
      <vt:variant>
        <vt:i4>0</vt:i4>
      </vt:variant>
      <vt:variant>
        <vt:i4>5</vt:i4>
      </vt:variant>
      <vt:variant>
        <vt:lpwstr>mailto:charlotte.smith@undp.org</vt:lpwstr>
      </vt:variant>
      <vt:variant>
        <vt:lpwstr/>
      </vt:variant>
      <vt:variant>
        <vt:i4>1114239</vt:i4>
      </vt:variant>
      <vt:variant>
        <vt:i4>66</vt:i4>
      </vt:variant>
      <vt:variant>
        <vt:i4>0</vt:i4>
      </vt:variant>
      <vt:variant>
        <vt:i4>5</vt:i4>
      </vt:variant>
      <vt:variant>
        <vt:lpwstr>mailto:hanayo.nakano@undp.org</vt:lpwstr>
      </vt:variant>
      <vt:variant>
        <vt:lpwstr/>
      </vt:variant>
      <vt:variant>
        <vt:i4>2228301</vt:i4>
      </vt:variant>
      <vt:variant>
        <vt:i4>63</vt:i4>
      </vt:variant>
      <vt:variant>
        <vt:i4>0</vt:i4>
      </vt:variant>
      <vt:variant>
        <vt:i4>5</vt:i4>
      </vt:variant>
      <vt:variant>
        <vt:lpwstr>mailto:charlotte.smith@undp.org</vt:lpwstr>
      </vt:variant>
      <vt:variant>
        <vt:lpwstr/>
      </vt:variant>
      <vt:variant>
        <vt:i4>4390966</vt:i4>
      </vt:variant>
      <vt:variant>
        <vt:i4>60</vt:i4>
      </vt:variant>
      <vt:variant>
        <vt:i4>0</vt:i4>
      </vt:variant>
      <vt:variant>
        <vt:i4>5</vt:i4>
      </vt:variant>
      <vt:variant>
        <vt:lpwstr>mailto:gonzalo.guerra@undp.org</vt:lpwstr>
      </vt:variant>
      <vt:variant>
        <vt:lpwstr/>
      </vt:variant>
      <vt:variant>
        <vt:i4>8257553</vt:i4>
      </vt:variant>
      <vt:variant>
        <vt:i4>57</vt:i4>
      </vt:variant>
      <vt:variant>
        <vt:i4>0</vt:i4>
      </vt:variant>
      <vt:variant>
        <vt:i4>5</vt:i4>
      </vt:variant>
      <vt:variant>
        <vt:lpwstr>mailto:yuliya.shcherbinina@undp.org</vt:lpwstr>
      </vt:variant>
      <vt:variant>
        <vt:lpwstr/>
      </vt:variant>
      <vt:variant>
        <vt:i4>3342410</vt:i4>
      </vt:variant>
      <vt:variant>
        <vt:i4>54</vt:i4>
      </vt:variant>
      <vt:variant>
        <vt:i4>0</vt:i4>
      </vt:variant>
      <vt:variant>
        <vt:i4>5</vt:i4>
      </vt:variant>
      <vt:variant>
        <vt:lpwstr>mailto:tahmina.anvarova@undp.org</vt:lpwstr>
      </vt:variant>
      <vt:variant>
        <vt:lpwstr/>
      </vt:variant>
      <vt:variant>
        <vt:i4>3407957</vt:i4>
      </vt:variant>
      <vt:variant>
        <vt:i4>51</vt:i4>
      </vt:variant>
      <vt:variant>
        <vt:i4>0</vt:i4>
      </vt:variant>
      <vt:variant>
        <vt:i4>5</vt:i4>
      </vt:variant>
      <vt:variant>
        <vt:lpwstr>mailto:ghada.alsous@undp.org</vt:lpwstr>
      </vt:variant>
      <vt:variant>
        <vt:lpwstr/>
      </vt:variant>
      <vt:variant>
        <vt:i4>7929884</vt:i4>
      </vt:variant>
      <vt:variant>
        <vt:i4>48</vt:i4>
      </vt:variant>
      <vt:variant>
        <vt:i4>0</vt:i4>
      </vt:variant>
      <vt:variant>
        <vt:i4>5</vt:i4>
      </vt:variant>
      <vt:variant>
        <vt:lpwstr>mailto:rima.hassani@undp.org</vt:lpwstr>
      </vt:variant>
      <vt:variant>
        <vt:lpwstr/>
      </vt:variant>
      <vt:variant>
        <vt:i4>4259879</vt:i4>
      </vt:variant>
      <vt:variant>
        <vt:i4>45</vt:i4>
      </vt:variant>
      <vt:variant>
        <vt:i4>0</vt:i4>
      </vt:variant>
      <vt:variant>
        <vt:i4>5</vt:i4>
      </vt:variant>
      <vt:variant>
        <vt:lpwstr>mailto:marta.vallejo@undp.org</vt:lpwstr>
      </vt:variant>
      <vt:variant>
        <vt:lpwstr/>
      </vt:variant>
      <vt:variant>
        <vt:i4>1572977</vt:i4>
      </vt:variant>
      <vt:variant>
        <vt:i4>42</vt:i4>
      </vt:variant>
      <vt:variant>
        <vt:i4>0</vt:i4>
      </vt:variant>
      <vt:variant>
        <vt:i4>5</vt:i4>
      </vt:variant>
      <vt:variant>
        <vt:lpwstr>mailto:sophie.conteh@undp.org</vt:lpwstr>
      </vt:variant>
      <vt:variant>
        <vt:lpwstr/>
      </vt:variant>
      <vt:variant>
        <vt:i4>6488078</vt:i4>
      </vt:variant>
      <vt:variant>
        <vt:i4>39</vt:i4>
      </vt:variant>
      <vt:variant>
        <vt:i4>0</vt:i4>
      </vt:variant>
      <vt:variant>
        <vt:i4>5</vt:i4>
      </vt:variant>
      <vt:variant>
        <vt:lpwstr>mailto:hugo.remaury@undp.org</vt:lpwstr>
      </vt:variant>
      <vt:variant>
        <vt:lpwstr/>
      </vt:variant>
      <vt:variant>
        <vt:i4>1114239</vt:i4>
      </vt:variant>
      <vt:variant>
        <vt:i4>36</vt:i4>
      </vt:variant>
      <vt:variant>
        <vt:i4>0</vt:i4>
      </vt:variant>
      <vt:variant>
        <vt:i4>5</vt:i4>
      </vt:variant>
      <vt:variant>
        <vt:lpwstr>mailto:hanayo.nakano@undp.org</vt:lpwstr>
      </vt:variant>
      <vt:variant>
        <vt:lpwstr/>
      </vt:variant>
      <vt:variant>
        <vt:i4>1114239</vt:i4>
      </vt:variant>
      <vt:variant>
        <vt:i4>33</vt:i4>
      </vt:variant>
      <vt:variant>
        <vt:i4>0</vt:i4>
      </vt:variant>
      <vt:variant>
        <vt:i4>5</vt:i4>
      </vt:variant>
      <vt:variant>
        <vt:lpwstr>mailto:hanayo.nakano@undp.org</vt:lpwstr>
      </vt:variant>
      <vt:variant>
        <vt:lpwstr/>
      </vt:variant>
      <vt:variant>
        <vt:i4>262253</vt:i4>
      </vt:variant>
      <vt:variant>
        <vt:i4>30</vt:i4>
      </vt:variant>
      <vt:variant>
        <vt:i4>0</vt:i4>
      </vt:variant>
      <vt:variant>
        <vt:i4>5</vt:i4>
      </vt:variant>
      <vt:variant>
        <vt:lpwstr>mailto:kariny.amorim@undp.org</vt:lpwstr>
      </vt:variant>
      <vt:variant>
        <vt:lpwstr/>
      </vt:variant>
      <vt:variant>
        <vt:i4>6488078</vt:i4>
      </vt:variant>
      <vt:variant>
        <vt:i4>27</vt:i4>
      </vt:variant>
      <vt:variant>
        <vt:i4>0</vt:i4>
      </vt:variant>
      <vt:variant>
        <vt:i4>5</vt:i4>
      </vt:variant>
      <vt:variant>
        <vt:lpwstr>mailto:hugo.remaury@undp.org</vt:lpwstr>
      </vt:variant>
      <vt:variant>
        <vt:lpwstr/>
      </vt:variant>
      <vt:variant>
        <vt:i4>3211334</vt:i4>
      </vt:variant>
      <vt:variant>
        <vt:i4>24</vt:i4>
      </vt:variant>
      <vt:variant>
        <vt:i4>0</vt:i4>
      </vt:variant>
      <vt:variant>
        <vt:i4>5</vt:i4>
      </vt:variant>
      <vt:variant>
        <vt:lpwstr>mailto:diana.salvemini@undp.org</vt:lpwstr>
      </vt:variant>
      <vt:variant>
        <vt:lpwstr/>
      </vt:variant>
      <vt:variant>
        <vt:i4>5111840</vt:i4>
      </vt:variant>
      <vt:variant>
        <vt:i4>21</vt:i4>
      </vt:variant>
      <vt:variant>
        <vt:i4>0</vt:i4>
      </vt:variant>
      <vt:variant>
        <vt:i4>5</vt:i4>
      </vt:variant>
      <vt:variant>
        <vt:lpwstr>mailto:clarice.wilson@undp.org</vt:lpwstr>
      </vt:variant>
      <vt:variant>
        <vt:lpwstr/>
      </vt:variant>
      <vt:variant>
        <vt:i4>3407957</vt:i4>
      </vt:variant>
      <vt:variant>
        <vt:i4>18</vt:i4>
      </vt:variant>
      <vt:variant>
        <vt:i4>0</vt:i4>
      </vt:variant>
      <vt:variant>
        <vt:i4>5</vt:i4>
      </vt:variant>
      <vt:variant>
        <vt:lpwstr>mailto:ghada.alsous@undp.org</vt:lpwstr>
      </vt:variant>
      <vt:variant>
        <vt:lpwstr/>
      </vt:variant>
      <vt:variant>
        <vt:i4>3407957</vt:i4>
      </vt:variant>
      <vt:variant>
        <vt:i4>15</vt:i4>
      </vt:variant>
      <vt:variant>
        <vt:i4>0</vt:i4>
      </vt:variant>
      <vt:variant>
        <vt:i4>5</vt:i4>
      </vt:variant>
      <vt:variant>
        <vt:lpwstr>mailto:ghada.alsous@undp.org</vt:lpwstr>
      </vt:variant>
      <vt:variant>
        <vt:lpwstr/>
      </vt:variant>
      <vt:variant>
        <vt:i4>7929884</vt:i4>
      </vt:variant>
      <vt:variant>
        <vt:i4>12</vt:i4>
      </vt:variant>
      <vt:variant>
        <vt:i4>0</vt:i4>
      </vt:variant>
      <vt:variant>
        <vt:i4>5</vt:i4>
      </vt:variant>
      <vt:variant>
        <vt:lpwstr>mailto:rima.hassani@undp.org</vt:lpwstr>
      </vt:variant>
      <vt:variant>
        <vt:lpwstr/>
      </vt:variant>
      <vt:variant>
        <vt:i4>1310830</vt:i4>
      </vt:variant>
      <vt:variant>
        <vt:i4>9</vt:i4>
      </vt:variant>
      <vt:variant>
        <vt:i4>0</vt:i4>
      </vt:variant>
      <vt:variant>
        <vt:i4>5</vt:i4>
      </vt:variant>
      <vt:variant>
        <vt:lpwstr>mailto:luca.renda@undp.org</vt:lpwstr>
      </vt:variant>
      <vt:variant>
        <vt:lpwstr/>
      </vt:variant>
      <vt:variant>
        <vt:i4>3735645</vt:i4>
      </vt:variant>
      <vt:variant>
        <vt:i4>6</vt:i4>
      </vt:variant>
      <vt:variant>
        <vt:i4>0</vt:i4>
      </vt:variant>
      <vt:variant>
        <vt:i4>5</vt:i4>
      </vt:variant>
      <vt:variant>
        <vt:lpwstr>mailto:peter.batchelor@undp.org</vt:lpwstr>
      </vt:variant>
      <vt:variant>
        <vt:lpwstr/>
      </vt:variant>
      <vt:variant>
        <vt:i4>3866719</vt:i4>
      </vt:variant>
      <vt:variant>
        <vt:i4>3</vt:i4>
      </vt:variant>
      <vt:variant>
        <vt:i4>0</vt:i4>
      </vt:variant>
      <vt:variant>
        <vt:i4>5</vt:i4>
      </vt:variant>
      <vt:variant>
        <vt:lpwstr>mailto:srilata.kammila@undp.org</vt:lpwstr>
      </vt:variant>
      <vt:variant>
        <vt:lpwstr/>
      </vt:variant>
      <vt:variant>
        <vt:i4>1114170</vt:i4>
      </vt:variant>
      <vt:variant>
        <vt:i4>0</vt:i4>
      </vt:variant>
      <vt:variant>
        <vt:i4>0</vt:i4>
      </vt:variant>
      <vt:variant>
        <vt:i4>5</vt:i4>
      </vt:variant>
      <vt:variant>
        <vt:lpwstr>mailto:george.gray.molina@undp.org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Sujeeta Bajracharya</dc:creator>
  <cp:keywords/>
  <dc:description/>
  <cp:lastModifiedBy>Svetlana Iazykova</cp:lastModifiedBy>
  <cp:revision>2</cp:revision>
  <dcterms:created xsi:type="dcterms:W3CDTF">2022-04-25T19:29:00Z</dcterms:created>
  <dcterms:modified xsi:type="dcterms:W3CDTF">2022-04-25T19:29:00Z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