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DEC6" w14:textId="776E45D3" w:rsidR="005C6168" w:rsidRPr="00D80E8E" w:rsidRDefault="005C6168" w:rsidP="00DB2F15">
      <w:pPr>
        <w:pStyle w:val="Heading3"/>
        <w:rPr>
          <w:rFonts w:ascii="Myriad Pro" w:hAnsi="Myriad Pro"/>
          <w:sz w:val="20"/>
        </w:rPr>
      </w:pPr>
      <w:r w:rsidRPr="00D80E8E">
        <w:rPr>
          <w:rFonts w:ascii="Myriad Pro" w:hAnsi="Myriad Pro"/>
          <w:sz w:val="20"/>
        </w:rPr>
        <w:t>Country:</w:t>
      </w:r>
      <w:r w:rsidRPr="00D80E8E">
        <w:rPr>
          <w:rFonts w:ascii="Myriad Pro" w:hAnsi="Myriad Pro"/>
          <w:sz w:val="20"/>
        </w:rPr>
        <w:tab/>
      </w:r>
      <w:r w:rsidRPr="00D80E8E">
        <w:rPr>
          <w:rFonts w:ascii="Myriad Pro" w:hAnsi="Myriad Pro"/>
          <w:sz w:val="20"/>
        </w:rPr>
        <w:tab/>
      </w:r>
      <w:r w:rsidR="000823EC" w:rsidRPr="00D80E8E">
        <w:rPr>
          <w:rFonts w:ascii="Myriad Pro" w:hAnsi="Myriad Pro"/>
          <w:sz w:val="20"/>
        </w:rPr>
        <w:t>Yemen</w:t>
      </w:r>
    </w:p>
    <w:p w14:paraId="0416DEC8" w14:textId="685C4A9F" w:rsidR="005C6168" w:rsidRPr="00D80E8E" w:rsidRDefault="00BC38E0" w:rsidP="00DB2F15">
      <w:pPr>
        <w:pStyle w:val="Heading3"/>
        <w:rPr>
          <w:rFonts w:ascii="Myriad Pro" w:hAnsi="Myriad Pro"/>
          <w:b/>
          <w:bCs w:val="0"/>
          <w:sz w:val="20"/>
        </w:rPr>
      </w:pPr>
      <w:r w:rsidRPr="00D80E8E">
        <w:rPr>
          <w:rFonts w:ascii="Myriad Pro" w:hAnsi="Myriad Pro"/>
          <w:b/>
          <w:bCs w:val="0"/>
          <w:sz w:val="20"/>
        </w:rPr>
        <w:t>COUNTRY PROGRAMME</w:t>
      </w:r>
      <w:r w:rsidR="00B32ADA" w:rsidRPr="00D80E8E">
        <w:rPr>
          <w:rFonts w:ascii="Myriad Pro" w:hAnsi="Myriad Pro"/>
          <w:b/>
          <w:bCs w:val="0"/>
          <w:sz w:val="20"/>
        </w:rPr>
        <w:t xml:space="preserve"> PERFORMANCE SUMMARY</w:t>
      </w:r>
    </w:p>
    <w:p w14:paraId="0416DECA" w14:textId="5ED74B2A" w:rsidR="005C6168" w:rsidRPr="00D80E8E" w:rsidRDefault="005C6168" w:rsidP="00DB2F15">
      <w:pPr>
        <w:pStyle w:val="Heading3"/>
        <w:rPr>
          <w:rFonts w:ascii="Myriad Pro" w:hAnsi="Myriad Pro"/>
          <w:sz w:val="20"/>
        </w:rPr>
      </w:pPr>
      <w:r w:rsidRPr="00D80E8E">
        <w:rPr>
          <w:rFonts w:ascii="Myriad Pro" w:hAnsi="Myriad Pro"/>
          <w:sz w:val="20"/>
        </w:rPr>
        <w:t xml:space="preserve">Reporting period: </w:t>
      </w:r>
      <w:r w:rsidRPr="00D80E8E">
        <w:rPr>
          <w:rFonts w:ascii="Myriad Pro" w:hAnsi="Myriad Pro"/>
          <w:sz w:val="20"/>
        </w:rPr>
        <w:tab/>
      </w:r>
      <w:r w:rsidR="000823EC" w:rsidRPr="00D80E8E">
        <w:rPr>
          <w:rFonts w:ascii="Myriad Pro" w:hAnsi="Myriad Pro"/>
          <w:sz w:val="20"/>
        </w:rPr>
        <w:t xml:space="preserve">2019 </w:t>
      </w:r>
      <w:r w:rsidR="00BB5367" w:rsidRPr="00D80E8E">
        <w:rPr>
          <w:rFonts w:ascii="Myriad Pro" w:hAnsi="Myriad Pro"/>
          <w:sz w:val="20"/>
        </w:rPr>
        <w:t>to 202</w:t>
      </w:r>
      <w:r w:rsidR="00B826F0" w:rsidRPr="00D80E8E">
        <w:rPr>
          <w:rFonts w:ascii="Myriad Pro" w:hAnsi="Myriad Pro"/>
          <w:sz w:val="20"/>
        </w:rPr>
        <w:t>2</w:t>
      </w:r>
    </w:p>
    <w:p w14:paraId="0416DECC" w14:textId="77777777" w:rsidR="005C6168" w:rsidRPr="00D80E8E" w:rsidRDefault="005C6168">
      <w:pPr>
        <w:rPr>
          <w:rFonts w:ascii="Myriad Pro" w:hAnsi="Myriad Pro"/>
          <w:sz w:val="20"/>
        </w:rPr>
      </w:pPr>
    </w:p>
    <w:p w14:paraId="0416DECD" w14:textId="01409FEE" w:rsidR="005C6168" w:rsidRPr="00D80E8E" w:rsidRDefault="005C6168">
      <w:pPr>
        <w:pStyle w:val="Heading3"/>
        <w:rPr>
          <w:rFonts w:ascii="Myriad Pro" w:hAnsi="Myriad Pro"/>
          <w:b/>
          <w:bCs w:val="0"/>
          <w:sz w:val="20"/>
        </w:rPr>
      </w:pPr>
      <w:r w:rsidRPr="00D80E8E">
        <w:rPr>
          <w:rFonts w:ascii="Myriad Pro" w:hAnsi="Myriad Pro"/>
          <w:b/>
          <w:bCs w:val="0"/>
          <w:sz w:val="20"/>
        </w:rPr>
        <w:t xml:space="preserve">I.  </w:t>
      </w:r>
      <w:r w:rsidR="0064746F" w:rsidRPr="00D80E8E">
        <w:rPr>
          <w:rFonts w:ascii="Myriad Pro" w:hAnsi="Myriad Pro"/>
          <w:b/>
          <w:bCs w:val="0"/>
          <w:sz w:val="20"/>
        </w:rPr>
        <w:t>EXECUTIVE SUMMARY</w:t>
      </w:r>
      <w:r w:rsidR="00760E32" w:rsidRPr="00D80E8E">
        <w:rPr>
          <w:rFonts w:ascii="Myriad Pro" w:hAnsi="Myriad Pro"/>
          <w:b/>
          <w:bCs w:val="0"/>
          <w:sz w:val="20"/>
        </w:rPr>
        <w:t xml:space="preserve"> </w:t>
      </w:r>
    </w:p>
    <w:p w14:paraId="14252075" w14:textId="77777777" w:rsidR="004123CF" w:rsidRPr="00D80E8E" w:rsidRDefault="004123CF" w:rsidP="004123CF">
      <w:pPr>
        <w:pStyle w:val="BodyText2"/>
        <w:rPr>
          <w:rFonts w:ascii="Myriad Pro" w:hAnsi="Myriad Pro"/>
        </w:rPr>
      </w:pPr>
    </w:p>
    <w:p w14:paraId="141E9BC1" w14:textId="546C9154" w:rsidR="002A6DFB" w:rsidRPr="00D80E8E" w:rsidRDefault="002A6DFB" w:rsidP="001C1500">
      <w:pPr>
        <w:pStyle w:val="BodyText2"/>
        <w:spacing w:after="120"/>
        <w:rPr>
          <w:rFonts w:ascii="Myriad Pro" w:hAnsi="Myriad Pro"/>
          <w:b/>
          <w:bCs/>
          <w:i/>
          <w:iCs/>
          <w:sz w:val="18"/>
          <w:szCs w:val="18"/>
        </w:rPr>
      </w:pPr>
      <w:r w:rsidRPr="00D80E8E">
        <w:rPr>
          <w:rFonts w:ascii="Myriad Pro" w:hAnsi="Myriad Pro"/>
          <w:b/>
          <w:bCs/>
          <w:i/>
          <w:iCs/>
          <w:sz w:val="18"/>
          <w:szCs w:val="18"/>
        </w:rPr>
        <w:t xml:space="preserve">Note: </w:t>
      </w:r>
      <w:r w:rsidR="001D5BFE" w:rsidRPr="00D80E8E">
        <w:rPr>
          <w:rFonts w:ascii="Myriad Pro" w:hAnsi="Myriad Pro"/>
          <w:i/>
          <w:iCs/>
          <w:sz w:val="18"/>
          <w:szCs w:val="18"/>
        </w:rPr>
        <w:t xml:space="preserve">The </w:t>
      </w:r>
      <w:r w:rsidR="00CD688A" w:rsidRPr="00D80E8E">
        <w:rPr>
          <w:rFonts w:ascii="Myriad Pro" w:hAnsi="Myriad Pro"/>
          <w:i/>
          <w:iCs/>
          <w:sz w:val="18"/>
          <w:szCs w:val="18"/>
        </w:rPr>
        <w:t>2012-2015</w:t>
      </w:r>
      <w:r w:rsidR="001D5BFE" w:rsidRPr="00D80E8E">
        <w:rPr>
          <w:rFonts w:ascii="Myriad Pro" w:hAnsi="Myriad Pro"/>
          <w:i/>
          <w:iCs/>
          <w:sz w:val="18"/>
          <w:szCs w:val="18"/>
        </w:rPr>
        <w:t xml:space="preserve"> Country Programme Document</w:t>
      </w:r>
      <w:r w:rsidR="001B3148" w:rsidRPr="00D80E8E">
        <w:rPr>
          <w:rFonts w:ascii="Myriad Pro" w:hAnsi="Myriad Pro"/>
          <w:i/>
          <w:iCs/>
          <w:sz w:val="18"/>
          <w:szCs w:val="18"/>
        </w:rPr>
        <w:t xml:space="preserve"> (CPD)</w:t>
      </w:r>
      <w:r w:rsidR="00D5183F" w:rsidRPr="00D80E8E">
        <w:rPr>
          <w:rFonts w:ascii="Myriad Pro" w:hAnsi="Myriad Pro"/>
          <w:i/>
          <w:iCs/>
          <w:sz w:val="18"/>
          <w:szCs w:val="18"/>
        </w:rPr>
        <w:t xml:space="preserve"> </w:t>
      </w:r>
      <w:r w:rsidR="00CD688A" w:rsidRPr="00D80E8E">
        <w:rPr>
          <w:rFonts w:ascii="Myriad Pro" w:hAnsi="Myriad Pro"/>
          <w:i/>
          <w:iCs/>
          <w:sz w:val="18"/>
          <w:szCs w:val="18"/>
        </w:rPr>
        <w:t xml:space="preserve">was </w:t>
      </w:r>
      <w:r w:rsidR="00613FB2" w:rsidRPr="00D80E8E">
        <w:rPr>
          <w:rFonts w:ascii="Myriad Pro" w:hAnsi="Myriad Pro"/>
          <w:i/>
          <w:iCs/>
          <w:sz w:val="18"/>
          <w:szCs w:val="18"/>
        </w:rPr>
        <w:t xml:space="preserve">extended </w:t>
      </w:r>
      <w:r w:rsidR="00061634" w:rsidRPr="00D80E8E">
        <w:rPr>
          <w:rFonts w:ascii="Myriad Pro" w:hAnsi="Myriad Pro"/>
          <w:i/>
          <w:iCs/>
          <w:sz w:val="18"/>
          <w:szCs w:val="18"/>
        </w:rPr>
        <w:t>to</w:t>
      </w:r>
      <w:r w:rsidR="00613FB2" w:rsidRPr="00D80E8E">
        <w:rPr>
          <w:rFonts w:ascii="Myriad Pro" w:hAnsi="Myriad Pro"/>
          <w:i/>
          <w:iCs/>
          <w:sz w:val="18"/>
          <w:szCs w:val="18"/>
        </w:rPr>
        <w:t xml:space="preserve"> December 2022. </w:t>
      </w:r>
      <w:r w:rsidR="00C76103" w:rsidRPr="00D80E8E">
        <w:rPr>
          <w:rFonts w:ascii="Myriad Pro" w:hAnsi="Myriad Pro"/>
          <w:i/>
          <w:iCs/>
          <w:sz w:val="18"/>
          <w:szCs w:val="18"/>
        </w:rPr>
        <w:t xml:space="preserve">Per the </w:t>
      </w:r>
      <w:r w:rsidR="006004BF" w:rsidRPr="00D80E8E">
        <w:rPr>
          <w:rFonts w:ascii="Myriad Pro" w:hAnsi="Myriad Pro"/>
          <w:i/>
          <w:iCs/>
          <w:sz w:val="18"/>
          <w:szCs w:val="18"/>
        </w:rPr>
        <w:t>2018 I</w:t>
      </w:r>
      <w:r w:rsidR="00512EC0" w:rsidRPr="00D80E8E">
        <w:rPr>
          <w:rFonts w:ascii="Myriad Pro" w:hAnsi="Myriad Pro"/>
          <w:i/>
          <w:iCs/>
          <w:sz w:val="18"/>
          <w:szCs w:val="18"/>
        </w:rPr>
        <w:t xml:space="preserve">ndependent </w:t>
      </w:r>
      <w:r w:rsidR="006004BF" w:rsidRPr="00D80E8E">
        <w:rPr>
          <w:rFonts w:ascii="Myriad Pro" w:hAnsi="Myriad Pro"/>
          <w:i/>
          <w:iCs/>
          <w:sz w:val="18"/>
          <w:szCs w:val="18"/>
        </w:rPr>
        <w:t>C</w:t>
      </w:r>
      <w:r w:rsidR="00512EC0" w:rsidRPr="00D80E8E">
        <w:rPr>
          <w:rFonts w:ascii="Myriad Pro" w:hAnsi="Myriad Pro"/>
          <w:i/>
          <w:iCs/>
          <w:sz w:val="18"/>
          <w:szCs w:val="18"/>
        </w:rPr>
        <w:t xml:space="preserve">ountry </w:t>
      </w:r>
      <w:r w:rsidR="006004BF" w:rsidRPr="00D80E8E">
        <w:rPr>
          <w:rFonts w:ascii="Myriad Pro" w:hAnsi="Myriad Pro"/>
          <w:i/>
          <w:iCs/>
          <w:sz w:val="18"/>
          <w:szCs w:val="18"/>
        </w:rPr>
        <w:t>P</w:t>
      </w:r>
      <w:r w:rsidR="00512EC0" w:rsidRPr="00D80E8E">
        <w:rPr>
          <w:rFonts w:ascii="Myriad Pro" w:hAnsi="Myriad Pro"/>
          <w:i/>
          <w:iCs/>
          <w:sz w:val="18"/>
          <w:szCs w:val="18"/>
        </w:rPr>
        <w:t xml:space="preserve">rogramme </w:t>
      </w:r>
      <w:r w:rsidR="006004BF" w:rsidRPr="00D80E8E">
        <w:rPr>
          <w:rFonts w:ascii="Myriad Pro" w:hAnsi="Myriad Pro"/>
          <w:i/>
          <w:iCs/>
          <w:sz w:val="18"/>
          <w:szCs w:val="18"/>
        </w:rPr>
        <w:t>E</w:t>
      </w:r>
      <w:r w:rsidR="00512EC0" w:rsidRPr="00D80E8E">
        <w:rPr>
          <w:rFonts w:ascii="Myriad Pro" w:hAnsi="Myriad Pro"/>
          <w:i/>
          <w:iCs/>
          <w:sz w:val="18"/>
          <w:szCs w:val="18"/>
        </w:rPr>
        <w:t xml:space="preserve">valuation </w:t>
      </w:r>
      <w:r w:rsidR="00A91FAB" w:rsidRPr="00D80E8E">
        <w:rPr>
          <w:rFonts w:ascii="Myriad Pro" w:hAnsi="Myriad Pro"/>
          <w:i/>
          <w:iCs/>
          <w:sz w:val="18"/>
          <w:szCs w:val="18"/>
        </w:rPr>
        <w:t>finding</w:t>
      </w:r>
      <w:r w:rsidR="00CD688A" w:rsidRPr="00D80E8E">
        <w:rPr>
          <w:rFonts w:ascii="Myriad Pro" w:hAnsi="Myriad Pro"/>
          <w:i/>
          <w:iCs/>
          <w:sz w:val="18"/>
          <w:szCs w:val="18"/>
        </w:rPr>
        <w:t xml:space="preserve"> that the CPD was no longer relevant </w:t>
      </w:r>
      <w:r w:rsidR="002A1CF5" w:rsidRPr="00D80E8E">
        <w:rPr>
          <w:rFonts w:ascii="Myriad Pro" w:hAnsi="Myriad Pro"/>
          <w:i/>
          <w:iCs/>
          <w:sz w:val="18"/>
          <w:szCs w:val="18"/>
        </w:rPr>
        <w:t xml:space="preserve">to the context, and a recommendation </w:t>
      </w:r>
      <w:r w:rsidR="00417800" w:rsidRPr="00D80E8E">
        <w:rPr>
          <w:rFonts w:ascii="Myriad Pro" w:hAnsi="Myriad Pro"/>
          <w:i/>
          <w:iCs/>
          <w:sz w:val="18"/>
          <w:szCs w:val="18"/>
        </w:rPr>
        <w:t>for</w:t>
      </w:r>
      <w:r w:rsidR="002A1CF5" w:rsidRPr="00D80E8E">
        <w:rPr>
          <w:rFonts w:ascii="Myriad Pro" w:hAnsi="Myriad Pro"/>
          <w:i/>
          <w:iCs/>
          <w:sz w:val="18"/>
          <w:szCs w:val="18"/>
        </w:rPr>
        <w:t xml:space="preserve"> </w:t>
      </w:r>
      <w:r w:rsidR="00417800" w:rsidRPr="00D80E8E">
        <w:rPr>
          <w:rFonts w:ascii="Myriad Pro" w:hAnsi="Myriad Pro"/>
          <w:i/>
          <w:iCs/>
          <w:sz w:val="18"/>
          <w:szCs w:val="18"/>
        </w:rPr>
        <w:t>developing</w:t>
      </w:r>
      <w:r w:rsidR="002A1CF5" w:rsidRPr="00D80E8E">
        <w:rPr>
          <w:rFonts w:ascii="Myriad Pro" w:hAnsi="Myriad Pro"/>
          <w:i/>
          <w:iCs/>
          <w:sz w:val="18"/>
          <w:szCs w:val="18"/>
        </w:rPr>
        <w:t xml:space="preserve"> a bridging framework, a </w:t>
      </w:r>
      <w:r w:rsidR="00DD4D25" w:rsidRPr="00D80E8E">
        <w:rPr>
          <w:rFonts w:ascii="Myriad Pro" w:hAnsi="Myriad Pro"/>
          <w:i/>
          <w:iCs/>
          <w:sz w:val="18"/>
          <w:szCs w:val="18"/>
        </w:rPr>
        <w:t xml:space="preserve">Country Programme Framework </w:t>
      </w:r>
      <w:r w:rsidR="00935416" w:rsidRPr="00D80E8E">
        <w:rPr>
          <w:rFonts w:ascii="Myriad Pro" w:hAnsi="Myriad Pro"/>
          <w:i/>
          <w:iCs/>
          <w:sz w:val="18"/>
          <w:szCs w:val="18"/>
        </w:rPr>
        <w:t xml:space="preserve">(CPF) </w:t>
      </w:r>
      <w:r w:rsidR="00DD4D25" w:rsidRPr="00D80E8E">
        <w:rPr>
          <w:rFonts w:ascii="Myriad Pro" w:hAnsi="Myriad Pro"/>
          <w:i/>
          <w:iCs/>
          <w:sz w:val="18"/>
          <w:szCs w:val="18"/>
        </w:rPr>
        <w:t>was developed in 2019</w:t>
      </w:r>
      <w:r w:rsidR="00DE1483" w:rsidRPr="00D80E8E">
        <w:rPr>
          <w:rFonts w:ascii="Myriad Pro" w:hAnsi="Myriad Pro"/>
          <w:i/>
          <w:iCs/>
          <w:sz w:val="18"/>
          <w:szCs w:val="18"/>
        </w:rPr>
        <w:t xml:space="preserve"> a</w:t>
      </w:r>
      <w:r w:rsidR="005820BF" w:rsidRPr="00D80E8E">
        <w:rPr>
          <w:rFonts w:ascii="Myriad Pro" w:hAnsi="Myriad Pro"/>
          <w:i/>
          <w:iCs/>
          <w:sz w:val="18"/>
          <w:szCs w:val="18"/>
        </w:rPr>
        <w:t xml:space="preserve">s a new guiding framework until a new CPD is </w:t>
      </w:r>
      <w:r w:rsidR="00935416" w:rsidRPr="00D80E8E">
        <w:rPr>
          <w:rFonts w:ascii="Myriad Pro" w:hAnsi="Myriad Pro"/>
          <w:i/>
          <w:iCs/>
          <w:sz w:val="18"/>
          <w:szCs w:val="18"/>
        </w:rPr>
        <w:t xml:space="preserve">approved. The analysis below is based on the CPF. </w:t>
      </w:r>
    </w:p>
    <w:p w14:paraId="0416DED0" w14:textId="678FD656" w:rsidR="00363EC5" w:rsidRPr="00D80E8E" w:rsidRDefault="00363EC5" w:rsidP="001C1500">
      <w:pPr>
        <w:pStyle w:val="BodyText2"/>
        <w:spacing w:after="120"/>
        <w:rPr>
          <w:rFonts w:ascii="Myriad Pro" w:hAnsi="Myriad Pro"/>
          <w:b/>
          <w:bCs/>
        </w:rPr>
      </w:pPr>
      <w:r w:rsidRPr="00D80E8E">
        <w:rPr>
          <w:rFonts w:ascii="Myriad Pro" w:hAnsi="Myriad Pro"/>
          <w:b/>
          <w:bCs/>
        </w:rPr>
        <w:t>A summary assessment of the progress made with regards to the outcomes</w:t>
      </w:r>
    </w:p>
    <w:p w14:paraId="469D9B3F" w14:textId="6420D831" w:rsidR="004123CF" w:rsidRPr="00D80E8E" w:rsidRDefault="00C40E18" w:rsidP="001C1500">
      <w:pPr>
        <w:spacing w:after="120"/>
        <w:jc w:val="both"/>
        <w:rPr>
          <w:rFonts w:ascii="Myriad Pro" w:hAnsi="Myriad Pro"/>
          <w:sz w:val="20"/>
        </w:rPr>
      </w:pPr>
      <w:r w:rsidRPr="00D80E8E">
        <w:rPr>
          <w:rFonts w:ascii="Myriad Pro" w:hAnsi="Myriad Pro"/>
          <w:sz w:val="20"/>
        </w:rPr>
        <w:t xml:space="preserve">UNDP </w:t>
      </w:r>
      <w:r w:rsidR="00662B93" w:rsidRPr="00D80E8E">
        <w:rPr>
          <w:rFonts w:ascii="Myriad Pro" w:hAnsi="Myriad Pro"/>
          <w:sz w:val="20"/>
        </w:rPr>
        <w:t xml:space="preserve">enhanced the capacity </w:t>
      </w:r>
      <w:r w:rsidRPr="00D80E8E">
        <w:rPr>
          <w:rFonts w:ascii="Myriad Pro" w:hAnsi="Myriad Pro"/>
          <w:sz w:val="20"/>
        </w:rPr>
        <w:t>of justice and</w:t>
      </w:r>
      <w:r w:rsidR="001958D4" w:rsidRPr="00D80E8E">
        <w:rPr>
          <w:rFonts w:ascii="Myriad Pro" w:hAnsi="Myriad Pro"/>
          <w:sz w:val="20"/>
        </w:rPr>
        <w:t xml:space="preserve"> rule of law</w:t>
      </w:r>
      <w:r w:rsidRPr="00D80E8E">
        <w:rPr>
          <w:rFonts w:ascii="Myriad Pro" w:hAnsi="Myriad Pro"/>
          <w:sz w:val="20"/>
        </w:rPr>
        <w:t xml:space="preserve"> and enabled an estimated </w:t>
      </w:r>
      <w:r w:rsidR="00662B93" w:rsidRPr="00D80E8E">
        <w:rPr>
          <w:rFonts w:ascii="Myriad Pro" w:hAnsi="Myriad Pro"/>
          <w:sz w:val="20"/>
        </w:rPr>
        <w:t>1.</w:t>
      </w:r>
      <w:r w:rsidR="00CB79C7" w:rsidRPr="00D80E8E">
        <w:rPr>
          <w:rFonts w:ascii="Myriad Pro" w:hAnsi="Myriad Pro"/>
          <w:sz w:val="20"/>
        </w:rPr>
        <w:t>35</w:t>
      </w:r>
      <w:r w:rsidR="00662B93" w:rsidRPr="00D80E8E">
        <w:rPr>
          <w:rFonts w:ascii="Myriad Pro" w:hAnsi="Myriad Pro"/>
          <w:sz w:val="20"/>
        </w:rPr>
        <w:t xml:space="preserve"> million Yemenis </w:t>
      </w:r>
      <w:r w:rsidR="009F3C5C" w:rsidRPr="00D80E8E">
        <w:rPr>
          <w:rFonts w:ascii="Myriad Pro" w:hAnsi="Myriad Pro"/>
          <w:sz w:val="20"/>
        </w:rPr>
        <w:t xml:space="preserve">to access improved justice and rule of law services. </w:t>
      </w:r>
      <w:r w:rsidR="00662B93" w:rsidRPr="00D80E8E">
        <w:rPr>
          <w:rFonts w:ascii="Myriad Pro" w:hAnsi="Myriad Pro"/>
          <w:sz w:val="20"/>
        </w:rPr>
        <w:t xml:space="preserve">The rehabilitation and maintenance of water and sanitation facilities in Aden and Mukalla cities improved water and sanitation services delivery to over </w:t>
      </w:r>
      <w:r w:rsidR="00DE49DF" w:rsidRPr="00D80E8E">
        <w:rPr>
          <w:rFonts w:ascii="Myriad Pro" w:hAnsi="Myriad Pro"/>
          <w:sz w:val="20"/>
        </w:rPr>
        <w:t>3</w:t>
      </w:r>
      <w:r w:rsidR="00662B93" w:rsidRPr="00D80E8E">
        <w:rPr>
          <w:rFonts w:ascii="Myriad Pro" w:hAnsi="Myriad Pro"/>
          <w:sz w:val="20"/>
        </w:rPr>
        <w:t>80,000 people. The programme scaled up economic recovery and resilience-building initiatives, directly and indirectly benefitting over 1</w:t>
      </w:r>
      <w:r w:rsidR="0051231A" w:rsidRPr="00D80E8E">
        <w:rPr>
          <w:rFonts w:ascii="Myriad Pro" w:hAnsi="Myriad Pro"/>
          <w:sz w:val="20"/>
        </w:rPr>
        <w:t>.5</w:t>
      </w:r>
      <w:r w:rsidR="00662B93" w:rsidRPr="00D80E8E">
        <w:rPr>
          <w:rFonts w:ascii="Myriad Pro" w:hAnsi="Myriad Pro"/>
          <w:sz w:val="20"/>
        </w:rPr>
        <w:t xml:space="preserve"> million vulnerable and conflict-affected individuals around the country. Over 730,000 people </w:t>
      </w:r>
      <w:r w:rsidR="00D848A1" w:rsidRPr="00D80E8E">
        <w:rPr>
          <w:rFonts w:ascii="Myriad Pro" w:hAnsi="Myriad Pro"/>
          <w:sz w:val="20"/>
        </w:rPr>
        <w:t xml:space="preserve">benefitted from </w:t>
      </w:r>
      <w:r w:rsidR="00662B93" w:rsidRPr="00D80E8E">
        <w:rPr>
          <w:rFonts w:ascii="Myriad Pro" w:hAnsi="Myriad Pro"/>
          <w:sz w:val="20"/>
        </w:rPr>
        <w:t xml:space="preserve">increased access to reliable and renewable energy options through the solarisation of critical facilities, the development of community-level solar microgrids connected to public facilities and the waste-to-energy initiative. More than 5 million square meters of previously mine-contaminated land were cleared, which improved the security of persons and enabled aid </w:t>
      </w:r>
      <w:r w:rsidR="00E91A31" w:rsidRPr="00D80E8E">
        <w:rPr>
          <w:rFonts w:ascii="Myriad Pro" w:hAnsi="Myriad Pro"/>
          <w:sz w:val="20"/>
        </w:rPr>
        <w:t>organisations</w:t>
      </w:r>
      <w:r w:rsidR="00662B93" w:rsidRPr="00D80E8E">
        <w:rPr>
          <w:rFonts w:ascii="Myriad Pro" w:hAnsi="Myriad Pro"/>
          <w:sz w:val="20"/>
        </w:rPr>
        <w:t xml:space="preserve"> to deliver humanitarian support.</w:t>
      </w:r>
    </w:p>
    <w:p w14:paraId="2722A5A6" w14:textId="52176864" w:rsidR="009869F5" w:rsidRPr="00D80E8E" w:rsidRDefault="00363EC5" w:rsidP="001C1500">
      <w:pPr>
        <w:pStyle w:val="BodyText2"/>
        <w:spacing w:after="120"/>
        <w:rPr>
          <w:rFonts w:ascii="Myriad Pro" w:hAnsi="Myriad Pro"/>
          <w:b/>
          <w:bCs/>
        </w:rPr>
      </w:pPr>
      <w:r w:rsidRPr="00D80E8E">
        <w:rPr>
          <w:rFonts w:ascii="Myriad Pro" w:hAnsi="Myriad Pro"/>
          <w:b/>
          <w:bCs/>
        </w:rPr>
        <w:t xml:space="preserve">Major achievements in gender equality and women’s empowerment </w:t>
      </w:r>
    </w:p>
    <w:p w14:paraId="6EB8A84D" w14:textId="6164DECF" w:rsidR="005E7A94" w:rsidRPr="00D80E8E" w:rsidRDefault="00242B38" w:rsidP="001C1500">
      <w:pPr>
        <w:pStyle w:val="BodyText2"/>
        <w:numPr>
          <w:ilvl w:val="0"/>
          <w:numId w:val="18"/>
        </w:numPr>
        <w:spacing w:after="120"/>
        <w:rPr>
          <w:rFonts w:ascii="Myriad Pro" w:hAnsi="Myriad Pro"/>
        </w:rPr>
      </w:pPr>
      <w:r w:rsidRPr="00D80E8E">
        <w:rPr>
          <w:rFonts w:ascii="Myriad Pro" w:hAnsi="Myriad Pro" w:cs="Segoe UI"/>
          <w:shd w:val="clear" w:color="auto" w:fill="FFFFFF"/>
        </w:rPr>
        <w:t>About 30% of health personnel trained in medical waste management were women</w:t>
      </w:r>
      <w:r w:rsidR="00E91A31" w:rsidRPr="00D80E8E">
        <w:rPr>
          <w:rFonts w:ascii="Myriad Pro" w:hAnsi="Myriad Pro" w:cs="Segoe UI"/>
          <w:shd w:val="clear" w:color="auto" w:fill="FFFFFF"/>
        </w:rPr>
        <w:t>,</w:t>
      </w:r>
      <w:r w:rsidRPr="00D80E8E">
        <w:rPr>
          <w:rFonts w:ascii="Myriad Pro" w:hAnsi="Myriad Pro" w:cs="Segoe UI"/>
          <w:shd w:val="clear" w:color="auto" w:fill="FFFFFF"/>
        </w:rPr>
        <w:t xml:space="preserve"> and 80% of the face mask production workers were women.</w:t>
      </w:r>
    </w:p>
    <w:p w14:paraId="316BD2B2" w14:textId="29ADED67" w:rsidR="0023233A" w:rsidRPr="00D80E8E" w:rsidRDefault="009F3FF5" w:rsidP="001C1500">
      <w:pPr>
        <w:pStyle w:val="ListParagraph"/>
        <w:numPr>
          <w:ilvl w:val="0"/>
          <w:numId w:val="18"/>
        </w:numPr>
        <w:spacing w:after="120"/>
        <w:contextualSpacing w:val="0"/>
        <w:rPr>
          <w:rFonts w:ascii="Myriad Pro" w:hAnsi="Myriad Pro" w:cs="Segoe UI"/>
          <w:sz w:val="20"/>
          <w:szCs w:val="20"/>
          <w:shd w:val="clear" w:color="auto" w:fill="FFFFFF"/>
        </w:rPr>
      </w:pPr>
      <w:r w:rsidRPr="00D80E8E">
        <w:rPr>
          <w:rFonts w:ascii="Myriad Pro" w:hAnsi="Myriad Pro" w:cs="Segoe UI"/>
          <w:sz w:val="20"/>
          <w:szCs w:val="20"/>
          <w:shd w:val="clear" w:color="auto" w:fill="FFFFFF"/>
        </w:rPr>
        <w:t>Abo</w:t>
      </w:r>
      <w:r w:rsidR="00956D65" w:rsidRPr="00D80E8E">
        <w:rPr>
          <w:rFonts w:ascii="Myriad Pro" w:hAnsi="Myriad Pro" w:cs="Segoe UI"/>
          <w:sz w:val="20"/>
          <w:szCs w:val="20"/>
          <w:shd w:val="clear" w:color="auto" w:fill="FFFFFF"/>
        </w:rPr>
        <w:t>ut</w:t>
      </w:r>
      <w:r w:rsidRPr="00D80E8E">
        <w:rPr>
          <w:rFonts w:ascii="Myriad Pro" w:hAnsi="Myriad Pro" w:cs="Segoe UI"/>
          <w:sz w:val="20"/>
          <w:szCs w:val="20"/>
          <w:shd w:val="clear" w:color="auto" w:fill="FFFFFF"/>
        </w:rPr>
        <w:t xml:space="preserve"> </w:t>
      </w:r>
      <w:r w:rsidR="00956D65" w:rsidRPr="00D80E8E">
        <w:rPr>
          <w:rFonts w:ascii="Myriad Pro" w:hAnsi="Myriad Pro" w:cs="Segoe UI"/>
          <w:sz w:val="20"/>
          <w:szCs w:val="20"/>
          <w:shd w:val="clear" w:color="auto" w:fill="FFFFFF"/>
        </w:rPr>
        <w:t>50</w:t>
      </w:r>
      <w:r w:rsidR="002B2757" w:rsidRPr="00D80E8E">
        <w:rPr>
          <w:rFonts w:ascii="Myriad Pro" w:hAnsi="Myriad Pro" w:cs="Segoe UI"/>
          <w:sz w:val="20"/>
          <w:szCs w:val="20"/>
          <w:shd w:val="clear" w:color="auto" w:fill="FFFFFF"/>
        </w:rPr>
        <w:t xml:space="preserve">% of </w:t>
      </w:r>
      <w:r w:rsidR="00E91A31" w:rsidRPr="00D80E8E">
        <w:rPr>
          <w:rFonts w:ascii="Myriad Pro" w:hAnsi="Myriad Pro" w:cs="Segoe UI"/>
          <w:sz w:val="20"/>
          <w:szCs w:val="20"/>
          <w:shd w:val="clear" w:color="auto" w:fill="FFFFFF"/>
        </w:rPr>
        <w:t>short- and medium-term livelihoods and recovery support</w:t>
      </w:r>
      <w:r w:rsidR="001B322A" w:rsidRPr="00D80E8E">
        <w:rPr>
          <w:rFonts w:ascii="Myriad Pro" w:hAnsi="Myriad Pro" w:cs="Segoe UI"/>
          <w:sz w:val="20"/>
          <w:szCs w:val="20"/>
          <w:shd w:val="clear" w:color="auto" w:fill="FFFFFF"/>
        </w:rPr>
        <w:t xml:space="preserve"> beneficiaries</w:t>
      </w:r>
      <w:r w:rsidR="00E91A31" w:rsidRPr="00D80E8E">
        <w:rPr>
          <w:rFonts w:ascii="Myriad Pro" w:hAnsi="Myriad Pro" w:cs="Segoe UI"/>
          <w:sz w:val="20"/>
          <w:szCs w:val="20"/>
          <w:shd w:val="clear" w:color="auto" w:fill="FFFFFF"/>
        </w:rPr>
        <w:t xml:space="preserve"> and 40% of psychosocial and trauma care training beneficiaries </w:t>
      </w:r>
      <w:r w:rsidR="00956D65" w:rsidRPr="00D80E8E">
        <w:rPr>
          <w:rFonts w:ascii="Myriad Pro" w:hAnsi="Myriad Pro" w:cs="Segoe UI"/>
          <w:sz w:val="20"/>
          <w:szCs w:val="20"/>
          <w:shd w:val="clear" w:color="auto" w:fill="FFFFFF"/>
        </w:rPr>
        <w:t>were women.</w:t>
      </w:r>
    </w:p>
    <w:p w14:paraId="3A4A92C7" w14:textId="0D574DE7" w:rsidR="00F739FE" w:rsidRPr="00D80E8E" w:rsidRDefault="00AE7930" w:rsidP="001C1500">
      <w:pPr>
        <w:pStyle w:val="ListParagraph"/>
        <w:numPr>
          <w:ilvl w:val="0"/>
          <w:numId w:val="18"/>
        </w:numPr>
        <w:spacing w:after="120"/>
        <w:contextualSpacing w:val="0"/>
        <w:rPr>
          <w:rFonts w:ascii="Myriad Pro" w:hAnsi="Myriad Pro" w:cs="Segoe UI"/>
          <w:sz w:val="20"/>
          <w:szCs w:val="20"/>
          <w:shd w:val="clear" w:color="auto" w:fill="FFFFFF"/>
        </w:rPr>
      </w:pPr>
      <w:r w:rsidRPr="00D80E8E">
        <w:rPr>
          <w:rFonts w:ascii="Myriad Pro" w:hAnsi="Myriad Pro" w:cs="Segoe UI"/>
          <w:sz w:val="20"/>
          <w:szCs w:val="20"/>
          <w:shd w:val="clear" w:color="auto" w:fill="FFFFFF"/>
        </w:rPr>
        <w:t xml:space="preserve">At least 28% </w:t>
      </w:r>
      <w:r w:rsidR="003C70C0" w:rsidRPr="00D80E8E">
        <w:rPr>
          <w:rFonts w:ascii="Myriad Pro" w:hAnsi="Myriad Pro" w:cs="Segoe UI"/>
          <w:sz w:val="20"/>
          <w:szCs w:val="20"/>
          <w:shd w:val="clear" w:color="auto" w:fill="FFFFFF"/>
        </w:rPr>
        <w:t xml:space="preserve">of </w:t>
      </w:r>
      <w:r w:rsidRPr="00D80E8E">
        <w:rPr>
          <w:rFonts w:ascii="Myriad Pro" w:hAnsi="Myriad Pro" w:cs="Segoe UI"/>
          <w:sz w:val="20"/>
          <w:szCs w:val="20"/>
          <w:shd w:val="clear" w:color="auto" w:fill="FFFFFF"/>
        </w:rPr>
        <w:t>women directly benefited from Cash for Work (</w:t>
      </w:r>
      <w:proofErr w:type="spellStart"/>
      <w:r w:rsidRPr="00D80E8E">
        <w:rPr>
          <w:rFonts w:ascii="Myriad Pro" w:hAnsi="Myriad Pro" w:cs="Segoe UI"/>
          <w:sz w:val="20"/>
          <w:szCs w:val="20"/>
          <w:shd w:val="clear" w:color="auto" w:fill="FFFFFF"/>
        </w:rPr>
        <w:t>CfW</w:t>
      </w:r>
      <w:proofErr w:type="spellEnd"/>
      <w:r w:rsidRPr="00D80E8E">
        <w:rPr>
          <w:rFonts w:ascii="Myriad Pro" w:hAnsi="Myriad Pro" w:cs="Segoe UI"/>
          <w:sz w:val="20"/>
          <w:szCs w:val="20"/>
          <w:shd w:val="clear" w:color="auto" w:fill="FFFFFF"/>
        </w:rPr>
        <w:t>) income opportunities</w:t>
      </w:r>
      <w:r w:rsidR="00F739FE" w:rsidRPr="00D80E8E">
        <w:rPr>
          <w:rFonts w:ascii="Myriad Pro" w:hAnsi="Myriad Pro" w:cs="Segoe UI"/>
          <w:sz w:val="20"/>
          <w:szCs w:val="20"/>
          <w:shd w:val="clear" w:color="auto" w:fill="FFFFFF"/>
        </w:rPr>
        <w:t xml:space="preserve">; 38% of MSMEs supported </w:t>
      </w:r>
      <w:r w:rsidR="00C3062B" w:rsidRPr="00D80E8E">
        <w:rPr>
          <w:rFonts w:ascii="Myriad Pro" w:hAnsi="Myriad Pro" w:cs="Segoe UI"/>
          <w:sz w:val="20"/>
          <w:szCs w:val="20"/>
          <w:shd w:val="clear" w:color="auto" w:fill="FFFFFF"/>
        </w:rPr>
        <w:t xml:space="preserve">with </w:t>
      </w:r>
      <w:r w:rsidR="00F739FE" w:rsidRPr="00D80E8E">
        <w:rPr>
          <w:rFonts w:ascii="Myriad Pro" w:hAnsi="Myriad Pro" w:cs="Segoe UI"/>
          <w:sz w:val="20"/>
          <w:szCs w:val="20"/>
          <w:shd w:val="clear" w:color="auto" w:fill="FFFFFF"/>
        </w:rPr>
        <w:t>financial assistance to bolster operations were women-led</w:t>
      </w:r>
      <w:r w:rsidR="00C3062B" w:rsidRPr="00D80E8E">
        <w:rPr>
          <w:rFonts w:ascii="Myriad Pro" w:hAnsi="Myriad Pro" w:cs="Segoe UI"/>
          <w:sz w:val="20"/>
          <w:szCs w:val="20"/>
          <w:shd w:val="clear" w:color="auto" w:fill="FFFFFF"/>
        </w:rPr>
        <w:t>, and</w:t>
      </w:r>
      <w:r w:rsidR="00F739FE" w:rsidRPr="00D80E8E">
        <w:rPr>
          <w:rFonts w:ascii="Myriad Pro" w:hAnsi="Myriad Pro" w:cs="Segoe UI"/>
          <w:sz w:val="20"/>
          <w:szCs w:val="20"/>
          <w:shd w:val="clear" w:color="auto" w:fill="FFFFFF"/>
        </w:rPr>
        <w:t xml:space="preserve"> 51% of people accessing rehabilitated social and community productive assets were women.</w:t>
      </w:r>
    </w:p>
    <w:p w14:paraId="1C0C94C9" w14:textId="77777777" w:rsidR="00856B0A" w:rsidRPr="00D80E8E" w:rsidRDefault="003C70C0" w:rsidP="00856B0A">
      <w:pPr>
        <w:pStyle w:val="ListParagraph"/>
        <w:numPr>
          <w:ilvl w:val="0"/>
          <w:numId w:val="18"/>
        </w:numPr>
        <w:spacing w:after="120"/>
        <w:contextualSpacing w:val="0"/>
        <w:rPr>
          <w:rFonts w:ascii="Myriad Pro" w:hAnsi="Myriad Pro"/>
          <w:b/>
          <w:bCs/>
        </w:rPr>
      </w:pPr>
      <w:r w:rsidRPr="00D80E8E">
        <w:rPr>
          <w:rFonts w:ascii="Myriad Pro" w:hAnsi="Myriad Pro" w:cs="Segoe UI"/>
          <w:sz w:val="20"/>
          <w:szCs w:val="20"/>
          <w:shd w:val="clear" w:color="auto" w:fill="FFFFFF"/>
        </w:rPr>
        <w:t>1</w:t>
      </w:r>
      <w:r w:rsidR="00AE7930" w:rsidRPr="00D80E8E">
        <w:rPr>
          <w:rFonts w:ascii="Myriad Pro" w:hAnsi="Myriad Pro" w:cs="Segoe UI"/>
          <w:sz w:val="20"/>
          <w:szCs w:val="20"/>
          <w:shd w:val="clear" w:color="auto" w:fill="FFFFFF"/>
        </w:rPr>
        <w:t>22,000 lactating and pregnant women</w:t>
      </w:r>
      <w:r w:rsidR="0061610A" w:rsidRPr="00D80E8E">
        <w:rPr>
          <w:rFonts w:ascii="Myriad Pro" w:hAnsi="Myriad Pro" w:cs="Segoe UI"/>
          <w:sz w:val="20"/>
          <w:szCs w:val="20"/>
          <w:shd w:val="clear" w:color="auto" w:fill="FFFFFF"/>
        </w:rPr>
        <w:t xml:space="preserve"> benefitted from</w:t>
      </w:r>
      <w:r w:rsidR="00AE7930" w:rsidRPr="00D80E8E">
        <w:rPr>
          <w:rFonts w:ascii="Myriad Pro" w:hAnsi="Myriad Pro" w:cs="Segoe UI"/>
          <w:sz w:val="20"/>
          <w:szCs w:val="20"/>
          <w:shd w:val="clear" w:color="auto" w:fill="FFFFFF"/>
        </w:rPr>
        <w:t xml:space="preserve"> </w:t>
      </w:r>
      <w:r w:rsidR="0061610A" w:rsidRPr="00D80E8E">
        <w:rPr>
          <w:rFonts w:ascii="Myriad Pro" w:hAnsi="Myriad Pro" w:cs="Segoe UI"/>
          <w:sz w:val="20"/>
          <w:szCs w:val="20"/>
          <w:shd w:val="clear" w:color="auto" w:fill="FFFFFF"/>
        </w:rPr>
        <w:t xml:space="preserve">unconditional cash transfer </w:t>
      </w:r>
      <w:r w:rsidR="00AE7930" w:rsidRPr="00D80E8E">
        <w:rPr>
          <w:rFonts w:ascii="Myriad Pro" w:hAnsi="Myriad Pro" w:cs="Segoe UI"/>
          <w:sz w:val="20"/>
          <w:szCs w:val="20"/>
          <w:shd w:val="clear" w:color="auto" w:fill="FFFFFF"/>
        </w:rPr>
        <w:t xml:space="preserve">to address nutrition needs and enhance immunity against COVID-19. </w:t>
      </w:r>
    </w:p>
    <w:p w14:paraId="1DEE29F3" w14:textId="79C1D4C5" w:rsidR="0051231A" w:rsidRPr="00D80E8E" w:rsidRDefault="00363EC5" w:rsidP="00856B0A">
      <w:pPr>
        <w:spacing w:after="120"/>
        <w:rPr>
          <w:rFonts w:ascii="Myriad Pro" w:hAnsi="Myriad Pro"/>
          <w:b/>
          <w:bCs/>
        </w:rPr>
      </w:pPr>
      <w:r w:rsidRPr="00D80E8E">
        <w:rPr>
          <w:rFonts w:ascii="Myriad Pro" w:hAnsi="Myriad Pro"/>
          <w:b/>
          <w:bCs/>
        </w:rPr>
        <w:t>Major achievements in developing capacit</w:t>
      </w:r>
      <w:r w:rsidR="0051231A" w:rsidRPr="00D80E8E">
        <w:rPr>
          <w:rFonts w:ascii="Myriad Pro" w:hAnsi="Myriad Pro"/>
          <w:b/>
          <w:bCs/>
        </w:rPr>
        <w:t>ies</w:t>
      </w:r>
    </w:p>
    <w:p w14:paraId="5DC90E9F" w14:textId="77777777" w:rsidR="008F545D" w:rsidRPr="00D80E8E" w:rsidRDefault="008F545D" w:rsidP="008F545D">
      <w:pPr>
        <w:pStyle w:val="BodyText2"/>
        <w:numPr>
          <w:ilvl w:val="0"/>
          <w:numId w:val="18"/>
        </w:numPr>
        <w:spacing w:after="120"/>
        <w:rPr>
          <w:rFonts w:ascii="Myriad Pro" w:hAnsi="Myriad Pro"/>
        </w:rPr>
      </w:pPr>
      <w:r w:rsidRPr="00D80E8E">
        <w:rPr>
          <w:rFonts w:ascii="Myriad Pro" w:hAnsi="Myriad Pro" w:cs="Segoe UI"/>
          <w:shd w:val="clear" w:color="auto" w:fill="FFFFFF"/>
        </w:rPr>
        <w:t>The programme enhanced the capacity and on-job performance of over 600 justice and the rule of law, rehabilitated vital rule of law infrastructure, improving justice service delivery to an estimated 1.35 million Yemenis</w:t>
      </w:r>
      <w:r w:rsidRPr="00D80E8E">
        <w:rPr>
          <w:rFonts w:ascii="Myriad Pro" w:hAnsi="Myriad Pro"/>
        </w:rPr>
        <w:t xml:space="preserve">. </w:t>
      </w:r>
    </w:p>
    <w:p w14:paraId="067FF8E6" w14:textId="773684D9" w:rsidR="0023233A" w:rsidRPr="00D80E8E" w:rsidRDefault="0015724C" w:rsidP="001C1500">
      <w:pPr>
        <w:pStyle w:val="BodyText2"/>
        <w:numPr>
          <w:ilvl w:val="0"/>
          <w:numId w:val="18"/>
        </w:numPr>
        <w:spacing w:after="120"/>
        <w:rPr>
          <w:rFonts w:ascii="Myriad Pro" w:hAnsi="Myriad Pro" w:cs="Segoe UI"/>
          <w:shd w:val="clear" w:color="auto" w:fill="FFFFFF"/>
        </w:rPr>
      </w:pPr>
      <w:r w:rsidRPr="00D80E8E">
        <w:rPr>
          <w:rFonts w:ascii="Myriad Pro" w:hAnsi="Myriad Pro" w:cs="Segoe UI"/>
          <w:shd w:val="clear" w:color="auto" w:fill="FFFFFF"/>
        </w:rPr>
        <w:t xml:space="preserve">Working through and building capacities of key national institutions, </w:t>
      </w:r>
      <w:r w:rsidR="00274DDF" w:rsidRPr="00D80E8E">
        <w:rPr>
          <w:rFonts w:ascii="Myriad Pro" w:hAnsi="Myriad Pro" w:cs="Segoe UI"/>
          <w:shd w:val="clear" w:color="auto" w:fill="FFFFFF"/>
        </w:rPr>
        <w:t>the programme</w:t>
      </w:r>
      <w:r w:rsidR="001C1500" w:rsidRPr="00D80E8E">
        <w:rPr>
          <w:rFonts w:ascii="Myriad Pro" w:hAnsi="Myriad Pro" w:cs="Segoe UI"/>
          <w:shd w:val="clear" w:color="auto" w:fill="FFFFFF"/>
        </w:rPr>
        <w:t>, directly and indirectly,</w:t>
      </w:r>
      <w:r w:rsidRPr="00D80E8E">
        <w:rPr>
          <w:rFonts w:ascii="Myriad Pro" w:hAnsi="Myriad Pro" w:cs="Segoe UI"/>
          <w:shd w:val="clear" w:color="auto" w:fill="FFFFFF"/>
        </w:rPr>
        <w:t xml:space="preserve"> provided over 1.5 million vulnerable conflict and COVID-19 (since 2020) affected Yemenis with emergency employment, livelihood and income-earning opportunities</w:t>
      </w:r>
      <w:r w:rsidR="00B45F70" w:rsidRPr="00D80E8E">
        <w:rPr>
          <w:rFonts w:ascii="Myriad Pro" w:hAnsi="Myriad Pro" w:cs="Segoe UI"/>
          <w:shd w:val="clear" w:color="auto" w:fill="FFFFFF"/>
        </w:rPr>
        <w:t>.</w:t>
      </w:r>
    </w:p>
    <w:p w14:paraId="0416DED3" w14:textId="37A61F10" w:rsidR="00363EC5" w:rsidRPr="00D80E8E" w:rsidRDefault="00363EC5" w:rsidP="001C1500">
      <w:pPr>
        <w:pStyle w:val="BodyText2"/>
        <w:spacing w:after="120"/>
        <w:rPr>
          <w:rFonts w:ascii="Myriad Pro" w:hAnsi="Myriad Pro"/>
          <w:b/>
          <w:bCs/>
        </w:rPr>
      </w:pPr>
      <w:r w:rsidRPr="00D80E8E">
        <w:rPr>
          <w:rFonts w:ascii="Myriad Pro" w:hAnsi="Myriad Pro"/>
          <w:b/>
          <w:bCs/>
        </w:rPr>
        <w:t xml:space="preserve">Key partnerships and inter-agency collaboration </w:t>
      </w:r>
    </w:p>
    <w:p w14:paraId="39EE2849" w14:textId="41E7E244" w:rsidR="00403B78" w:rsidRPr="00D80E8E" w:rsidRDefault="00403B78" w:rsidP="001C1500">
      <w:pPr>
        <w:spacing w:after="120"/>
        <w:jc w:val="both"/>
        <w:rPr>
          <w:rFonts w:ascii="Myriad Pro" w:hAnsi="Myriad Pro" w:cs="Arial"/>
          <w:sz w:val="20"/>
          <w:lang w:eastAsia="en-GB"/>
        </w:rPr>
      </w:pPr>
      <w:r w:rsidRPr="00D80E8E">
        <w:rPr>
          <w:rFonts w:ascii="Myriad Pro" w:hAnsi="Myriad Pro"/>
          <w:sz w:val="20"/>
        </w:rPr>
        <w:t>UNDP collaborates with a range of strategic partners in delivering programmes and projects in Yemen</w:t>
      </w:r>
      <w:r w:rsidR="00991F66">
        <w:rPr>
          <w:rFonts w:ascii="Myriad Pro" w:hAnsi="Myriad Pro"/>
          <w:sz w:val="20"/>
        </w:rPr>
        <w:t>:</w:t>
      </w:r>
      <w:r w:rsidRPr="00D80E8E">
        <w:rPr>
          <w:rFonts w:ascii="Myriad Pro" w:hAnsi="Myriad Pro"/>
          <w:sz w:val="20"/>
        </w:rPr>
        <w:t xml:space="preserve"> </w:t>
      </w:r>
      <w:r w:rsidR="00E30371" w:rsidRPr="00D80E8E">
        <w:rPr>
          <w:rFonts w:ascii="Myriad Pro" w:hAnsi="Myriad Pro"/>
          <w:sz w:val="20"/>
        </w:rPr>
        <w:t xml:space="preserve">International Financial Institutions - World Bank; </w:t>
      </w:r>
      <w:r w:rsidRPr="00D80E8E">
        <w:rPr>
          <w:rFonts w:ascii="Myriad Pro" w:hAnsi="Myriad Pro"/>
          <w:sz w:val="20"/>
        </w:rPr>
        <w:t xml:space="preserve">Bilateral </w:t>
      </w:r>
      <w:r w:rsidR="004B78F8" w:rsidRPr="00D80E8E">
        <w:rPr>
          <w:rFonts w:ascii="Myriad Pro" w:hAnsi="Myriad Pro"/>
          <w:sz w:val="20"/>
        </w:rPr>
        <w:t>donors</w:t>
      </w:r>
      <w:r w:rsidRPr="00D80E8E">
        <w:rPr>
          <w:rFonts w:ascii="Myriad Pro" w:hAnsi="Myriad Pro"/>
          <w:sz w:val="20"/>
        </w:rPr>
        <w:t xml:space="preserve"> </w:t>
      </w:r>
      <w:r w:rsidR="00E30371" w:rsidRPr="00D80E8E">
        <w:rPr>
          <w:rFonts w:ascii="Myriad Pro" w:hAnsi="Myriad Pro"/>
          <w:sz w:val="20"/>
        </w:rPr>
        <w:t xml:space="preserve"> - </w:t>
      </w:r>
      <w:r w:rsidRPr="00D80E8E">
        <w:rPr>
          <w:rFonts w:ascii="Myriad Pro" w:hAnsi="Myriad Pro"/>
          <w:sz w:val="20"/>
        </w:rPr>
        <w:t xml:space="preserve">USINL, Japan, Germany, Netherlands, United Kingdom, King Salman Humanitarian Aid Relief Centre, </w:t>
      </w:r>
      <w:proofErr w:type="spellStart"/>
      <w:r w:rsidRPr="00D80E8E">
        <w:rPr>
          <w:rFonts w:ascii="Myriad Pro" w:hAnsi="Myriad Pro"/>
          <w:sz w:val="20"/>
        </w:rPr>
        <w:t>Sida</w:t>
      </w:r>
      <w:proofErr w:type="spellEnd"/>
      <w:r w:rsidRPr="00D80E8E">
        <w:rPr>
          <w:rFonts w:ascii="Myriad Pro" w:hAnsi="Myriad Pro"/>
          <w:sz w:val="20"/>
        </w:rPr>
        <w:t xml:space="preserve">, Italy, Republic of Korea, </w:t>
      </w:r>
      <w:r w:rsidR="00E30371" w:rsidRPr="00D80E8E">
        <w:rPr>
          <w:rFonts w:ascii="Myriad Pro" w:hAnsi="Myriad Pro"/>
          <w:sz w:val="20"/>
        </w:rPr>
        <w:t xml:space="preserve">and </w:t>
      </w:r>
      <w:r w:rsidRPr="00D80E8E">
        <w:rPr>
          <w:rFonts w:ascii="Myriad Pro" w:hAnsi="Myriad Pro"/>
          <w:sz w:val="20"/>
        </w:rPr>
        <w:t>United Nations Agencies (OCHA, FAO)</w:t>
      </w:r>
      <w:r w:rsidR="00E30371" w:rsidRPr="00D80E8E">
        <w:rPr>
          <w:rFonts w:ascii="Myriad Pro" w:hAnsi="Myriad Pro"/>
          <w:sz w:val="20"/>
        </w:rPr>
        <w:t xml:space="preserve">; </w:t>
      </w:r>
      <w:r w:rsidRPr="00D80E8E">
        <w:rPr>
          <w:rFonts w:ascii="Myriad Pro" w:hAnsi="Myriad Pro"/>
          <w:sz w:val="20"/>
        </w:rPr>
        <w:t xml:space="preserve">Multilateral donors </w:t>
      </w:r>
      <w:r w:rsidR="00E30371" w:rsidRPr="00D80E8E">
        <w:rPr>
          <w:rFonts w:ascii="Myriad Pro" w:hAnsi="Myriad Pro"/>
          <w:sz w:val="20"/>
        </w:rPr>
        <w:t xml:space="preserve">- </w:t>
      </w:r>
      <w:r w:rsidRPr="00D80E8E">
        <w:rPr>
          <w:rFonts w:ascii="Myriad Pro" w:hAnsi="Myriad Pro"/>
          <w:sz w:val="20"/>
        </w:rPr>
        <w:t>European Union</w:t>
      </w:r>
      <w:r w:rsidR="004B78F8" w:rsidRPr="00D80E8E">
        <w:rPr>
          <w:rFonts w:ascii="Myriad Pro" w:hAnsi="Myriad Pro"/>
          <w:sz w:val="20"/>
        </w:rPr>
        <w:t xml:space="preserve">; </w:t>
      </w:r>
      <w:r w:rsidRPr="00D80E8E">
        <w:rPr>
          <w:rFonts w:ascii="Myriad Pro" w:hAnsi="Myriad Pro"/>
          <w:sz w:val="20"/>
        </w:rPr>
        <w:t>Trust funds</w:t>
      </w:r>
      <w:r w:rsidR="004B78F8" w:rsidRPr="00D80E8E">
        <w:rPr>
          <w:rFonts w:ascii="Myriad Pro" w:hAnsi="Myriad Pro"/>
          <w:sz w:val="20"/>
        </w:rPr>
        <w:t xml:space="preserve"> - </w:t>
      </w:r>
      <w:r w:rsidRPr="00D80E8E">
        <w:rPr>
          <w:rFonts w:ascii="Myriad Pro" w:hAnsi="Myriad Pro"/>
          <w:sz w:val="20"/>
        </w:rPr>
        <w:t>Peacebuilding Support Office, Multi Partnership Trust Fund (MPTF) on Rural Resilience, MPTF on Maritime Governance</w:t>
      </w:r>
      <w:r w:rsidR="004B78F8" w:rsidRPr="00D80E8E">
        <w:rPr>
          <w:rFonts w:ascii="Myriad Pro" w:hAnsi="Myriad Pro"/>
          <w:sz w:val="20"/>
        </w:rPr>
        <w:t xml:space="preserve">; </w:t>
      </w:r>
      <w:r w:rsidRPr="00D80E8E">
        <w:rPr>
          <w:rFonts w:ascii="Myriad Pro" w:hAnsi="Myriad Pro"/>
          <w:sz w:val="20"/>
        </w:rPr>
        <w:t>Private sector</w:t>
      </w:r>
      <w:r w:rsidR="004B78F8" w:rsidRPr="00D80E8E">
        <w:rPr>
          <w:rFonts w:ascii="Myriad Pro" w:hAnsi="Myriad Pro"/>
          <w:sz w:val="20"/>
        </w:rPr>
        <w:t>-</w:t>
      </w:r>
      <w:r w:rsidRPr="00D80E8E">
        <w:rPr>
          <w:rFonts w:ascii="Myriad Pro" w:hAnsi="Myriad Pro"/>
          <w:sz w:val="20"/>
        </w:rPr>
        <w:t xml:space="preserve"> Al </w:t>
      </w:r>
      <w:proofErr w:type="spellStart"/>
      <w:r w:rsidRPr="00D80E8E">
        <w:rPr>
          <w:rFonts w:ascii="Myriad Pro" w:hAnsi="Myriad Pro"/>
          <w:sz w:val="20"/>
        </w:rPr>
        <w:t>Kuraimi</w:t>
      </w:r>
      <w:proofErr w:type="spellEnd"/>
      <w:r w:rsidRPr="00D80E8E">
        <w:rPr>
          <w:rFonts w:ascii="Myriad Pro" w:hAnsi="Myriad Pro"/>
          <w:sz w:val="20"/>
        </w:rPr>
        <w:t xml:space="preserve"> Bank</w:t>
      </w:r>
      <w:r w:rsidR="004B78F8" w:rsidRPr="00D80E8E">
        <w:rPr>
          <w:rFonts w:ascii="Myriad Pro" w:hAnsi="Myriad Pro"/>
          <w:sz w:val="20"/>
        </w:rPr>
        <w:t>.</w:t>
      </w:r>
    </w:p>
    <w:p w14:paraId="0416DED5" w14:textId="0AA4D789" w:rsidR="00F826EC" w:rsidRPr="00D80E8E" w:rsidRDefault="00403B78" w:rsidP="006B750C">
      <w:pPr>
        <w:spacing w:after="120"/>
        <w:jc w:val="both"/>
        <w:rPr>
          <w:rFonts w:ascii="Myriad Pro" w:hAnsi="Myriad Pro"/>
        </w:rPr>
      </w:pPr>
      <w:r w:rsidRPr="00D80E8E">
        <w:rPr>
          <w:rFonts w:ascii="Myriad Pro" w:hAnsi="Myriad Pro"/>
          <w:sz w:val="20"/>
        </w:rPr>
        <w:t xml:space="preserve">UNDP partners with over 20 responsible parties - national and international non-governmental organisations (NGOs), national institutions, government departments, the private sector, and UN agencies that UNDP contracts to implement project activities. </w:t>
      </w:r>
    </w:p>
    <w:p w14:paraId="0416DEE7" w14:textId="77777777" w:rsidR="0037523B" w:rsidRPr="00D80E8E" w:rsidRDefault="0037523B" w:rsidP="00975566">
      <w:pPr>
        <w:pStyle w:val="BodyText2"/>
        <w:jc w:val="center"/>
        <w:rPr>
          <w:rFonts w:ascii="Myriad Pro" w:hAnsi="Myriad Pro"/>
          <w:b/>
        </w:rPr>
        <w:sectPr w:rsidR="0037523B" w:rsidRPr="00D80E8E" w:rsidSect="001C1500">
          <w:footerReference w:type="default" r:id="rId12"/>
          <w:endnotePr>
            <w:numFmt w:val="decimal"/>
          </w:endnotePr>
          <w:pgSz w:w="11907" w:h="16840" w:code="9"/>
          <w:pgMar w:top="1134" w:right="1440" w:bottom="1134" w:left="1440" w:header="720" w:footer="720" w:gutter="0"/>
          <w:cols w:space="720"/>
        </w:sectPr>
      </w:pPr>
    </w:p>
    <w:p w14:paraId="0416DEE8" w14:textId="77777777" w:rsidR="00975566" w:rsidRPr="00D80E8E" w:rsidRDefault="006900FE" w:rsidP="008440D9">
      <w:pPr>
        <w:pStyle w:val="Heading3"/>
        <w:jc w:val="left"/>
        <w:rPr>
          <w:rFonts w:ascii="Myriad Pro" w:hAnsi="Myriad Pro"/>
          <w:b/>
          <w:sz w:val="20"/>
        </w:rPr>
      </w:pPr>
      <w:r w:rsidRPr="00D80E8E">
        <w:rPr>
          <w:rFonts w:ascii="Myriad Pro" w:hAnsi="Myriad Pro"/>
          <w:b/>
          <w:sz w:val="20"/>
        </w:rPr>
        <w:lastRenderedPageBreak/>
        <w:t>II</w:t>
      </w:r>
      <w:r w:rsidR="0081403B" w:rsidRPr="00D80E8E">
        <w:rPr>
          <w:rFonts w:ascii="Myriad Pro" w:hAnsi="Myriad Pro"/>
          <w:b/>
          <w:sz w:val="20"/>
        </w:rPr>
        <w:t xml:space="preserve">: </w:t>
      </w:r>
      <w:r w:rsidR="000C09B4" w:rsidRPr="00D80E8E">
        <w:rPr>
          <w:rFonts w:ascii="Myriad Pro" w:hAnsi="Myriad Pro"/>
          <w:b/>
          <w:sz w:val="20"/>
        </w:rPr>
        <w:t xml:space="preserve">Country Programme Performance </w:t>
      </w:r>
      <w:r w:rsidR="00975566" w:rsidRPr="00D80E8E">
        <w:rPr>
          <w:rFonts w:ascii="Myriad Pro" w:hAnsi="Myriad Pro"/>
          <w:b/>
          <w:sz w:val="20"/>
        </w:rPr>
        <w:t>Summary</w:t>
      </w:r>
    </w:p>
    <w:tbl>
      <w:tblPr>
        <w:tblW w:w="140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90"/>
        <w:gridCol w:w="1440"/>
        <w:gridCol w:w="3960"/>
        <w:gridCol w:w="5490"/>
      </w:tblGrid>
      <w:tr w:rsidR="00BB3784" w:rsidRPr="00D80E8E" w14:paraId="0416DEEC" w14:textId="77777777" w:rsidTr="008977D9">
        <w:tc>
          <w:tcPr>
            <w:tcW w:w="3150" w:type="dxa"/>
            <w:gridSpan w:val="2"/>
            <w:tcBorders>
              <w:right w:val="nil"/>
            </w:tcBorders>
            <w:shd w:val="clear" w:color="auto" w:fill="FFC000"/>
          </w:tcPr>
          <w:p w14:paraId="0416DEEA" w14:textId="77777777" w:rsidR="00CB647D" w:rsidRPr="00D80E8E" w:rsidRDefault="00CB647D">
            <w:pPr>
              <w:pStyle w:val="BodyText2"/>
              <w:rPr>
                <w:rFonts w:ascii="Myriad Pro" w:hAnsi="Myriad Pro"/>
                <w:b/>
              </w:rPr>
            </w:pPr>
            <w:r w:rsidRPr="00D80E8E">
              <w:rPr>
                <w:rFonts w:ascii="Myriad Pro" w:hAnsi="Myriad Pro"/>
                <w:b/>
              </w:rPr>
              <w:t>Country information</w:t>
            </w:r>
          </w:p>
        </w:tc>
        <w:tc>
          <w:tcPr>
            <w:tcW w:w="10890" w:type="dxa"/>
            <w:gridSpan w:val="3"/>
            <w:tcBorders>
              <w:left w:val="nil"/>
            </w:tcBorders>
            <w:shd w:val="clear" w:color="auto" w:fill="FFC000"/>
          </w:tcPr>
          <w:p w14:paraId="0416DEEB" w14:textId="77777777" w:rsidR="00CB647D" w:rsidRPr="00D80E8E" w:rsidRDefault="00CB647D">
            <w:pPr>
              <w:pStyle w:val="BodyText2"/>
              <w:rPr>
                <w:rFonts w:ascii="Myriad Pro" w:hAnsi="Myriad Pro"/>
                <w:b/>
              </w:rPr>
            </w:pPr>
          </w:p>
        </w:tc>
      </w:tr>
      <w:tr w:rsidR="00BB3784" w:rsidRPr="00D80E8E" w14:paraId="0416DEEE" w14:textId="77777777" w:rsidTr="008977D9">
        <w:tc>
          <w:tcPr>
            <w:tcW w:w="14040" w:type="dxa"/>
            <w:gridSpan w:val="5"/>
          </w:tcPr>
          <w:p w14:paraId="0416DEED" w14:textId="477E94EE" w:rsidR="009B76A1" w:rsidRPr="00D80E8E" w:rsidRDefault="009B76A1">
            <w:pPr>
              <w:pStyle w:val="BodyText2"/>
              <w:rPr>
                <w:rFonts w:ascii="Myriad Pro" w:hAnsi="Myriad Pro"/>
                <w:b/>
              </w:rPr>
            </w:pPr>
            <w:r w:rsidRPr="00D80E8E">
              <w:rPr>
                <w:rFonts w:ascii="Myriad Pro" w:hAnsi="Myriad Pro"/>
                <w:b/>
              </w:rPr>
              <w:t>Country name:</w:t>
            </w:r>
            <w:r w:rsidR="001C1500" w:rsidRPr="00D80E8E">
              <w:rPr>
                <w:rFonts w:ascii="Myriad Pro" w:hAnsi="Myriad Pro"/>
                <w:b/>
              </w:rPr>
              <w:t xml:space="preserve"> Ye</w:t>
            </w:r>
            <w:r w:rsidR="001C43D4" w:rsidRPr="00D80E8E">
              <w:rPr>
                <w:rFonts w:ascii="Myriad Pro" w:hAnsi="Myriad Pro"/>
                <w:b/>
              </w:rPr>
              <w:t>men</w:t>
            </w:r>
          </w:p>
        </w:tc>
      </w:tr>
      <w:tr w:rsidR="00BB3784" w:rsidRPr="00D80E8E" w14:paraId="0416DEF0" w14:textId="77777777" w:rsidTr="008977D9">
        <w:tc>
          <w:tcPr>
            <w:tcW w:w="14040" w:type="dxa"/>
            <w:gridSpan w:val="5"/>
          </w:tcPr>
          <w:p w14:paraId="0416DEEF" w14:textId="0AAD2E95" w:rsidR="009B76A1" w:rsidRPr="00D80E8E" w:rsidRDefault="009B76A1">
            <w:pPr>
              <w:pStyle w:val="BodyText2"/>
              <w:rPr>
                <w:rFonts w:ascii="Myriad Pro" w:hAnsi="Myriad Pro"/>
                <w:b/>
              </w:rPr>
            </w:pPr>
            <w:r w:rsidRPr="00D80E8E">
              <w:rPr>
                <w:rFonts w:ascii="Myriad Pro" w:hAnsi="Myriad Pro"/>
                <w:b/>
              </w:rPr>
              <w:t>Current country programme period:</w:t>
            </w:r>
            <w:r w:rsidR="001C43D4" w:rsidRPr="00D80E8E">
              <w:rPr>
                <w:rFonts w:ascii="Myriad Pro" w:hAnsi="Myriad Pro"/>
                <w:b/>
              </w:rPr>
              <w:t xml:space="preserve"> 2019 to 2022</w:t>
            </w:r>
          </w:p>
        </w:tc>
      </w:tr>
      <w:tr w:rsidR="00BB3784" w:rsidRPr="00D80E8E" w14:paraId="0416DEF5" w14:textId="77777777" w:rsidTr="008977D9">
        <w:tc>
          <w:tcPr>
            <w:tcW w:w="3150" w:type="dxa"/>
            <w:gridSpan w:val="2"/>
          </w:tcPr>
          <w:p w14:paraId="0416DEF1" w14:textId="77777777" w:rsidR="003B037A" w:rsidRPr="00D80E8E" w:rsidRDefault="003B037A">
            <w:pPr>
              <w:pStyle w:val="BodyText2"/>
              <w:rPr>
                <w:rFonts w:ascii="Myriad Pro" w:hAnsi="Myriad Pro"/>
                <w:b/>
              </w:rPr>
            </w:pPr>
            <w:r w:rsidRPr="00D80E8E">
              <w:rPr>
                <w:rFonts w:ascii="Myriad Pro" w:hAnsi="Myriad Pro"/>
                <w:b/>
              </w:rPr>
              <w:t>Outcome</w:t>
            </w:r>
            <w:r w:rsidR="00700521" w:rsidRPr="00D80E8E">
              <w:rPr>
                <w:rFonts w:ascii="Myriad Pro" w:hAnsi="Myriad Pro"/>
                <w:b/>
              </w:rPr>
              <w:t>s</w:t>
            </w:r>
          </w:p>
        </w:tc>
        <w:tc>
          <w:tcPr>
            <w:tcW w:w="1440" w:type="dxa"/>
            <w:shd w:val="clear" w:color="auto" w:fill="auto"/>
          </w:tcPr>
          <w:p w14:paraId="0416DEF2" w14:textId="7777E1B2" w:rsidR="003B037A" w:rsidRPr="00D80E8E" w:rsidRDefault="003B037A">
            <w:pPr>
              <w:pStyle w:val="BodyText2"/>
              <w:rPr>
                <w:rFonts w:ascii="Myriad Pro" w:hAnsi="Myriad Pro"/>
                <w:b/>
              </w:rPr>
            </w:pPr>
            <w:r w:rsidRPr="00D80E8E">
              <w:rPr>
                <w:rFonts w:ascii="Myriad Pro" w:hAnsi="Myriad Pro"/>
                <w:b/>
              </w:rPr>
              <w:t>Expenditure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0416DEF3" w14:textId="5521C942" w:rsidR="003B037A" w:rsidRPr="00D80E8E" w:rsidRDefault="003B037A">
            <w:pPr>
              <w:pStyle w:val="BodyText2"/>
              <w:rPr>
                <w:rFonts w:ascii="Myriad Pro" w:hAnsi="Myriad Pro"/>
                <w:b/>
              </w:rPr>
            </w:pPr>
            <w:r w:rsidRPr="00D80E8E">
              <w:rPr>
                <w:rFonts w:ascii="Myriad Pro" w:hAnsi="Myriad Pro"/>
                <w:b/>
              </w:rPr>
              <w:t xml:space="preserve">Key Indicators of outcome </w:t>
            </w:r>
          </w:p>
        </w:tc>
        <w:tc>
          <w:tcPr>
            <w:tcW w:w="5490" w:type="dxa"/>
          </w:tcPr>
          <w:p w14:paraId="0416DEF4" w14:textId="5B67B638" w:rsidR="003B037A" w:rsidRPr="00D80E8E" w:rsidRDefault="003B037A">
            <w:pPr>
              <w:pStyle w:val="BodyText2"/>
              <w:rPr>
                <w:rFonts w:ascii="Myriad Pro" w:hAnsi="Myriad Pro"/>
                <w:b/>
              </w:rPr>
            </w:pPr>
            <w:r w:rsidRPr="00D80E8E">
              <w:rPr>
                <w:rFonts w:ascii="Myriad Pro" w:hAnsi="Myriad Pro"/>
                <w:b/>
              </w:rPr>
              <w:t xml:space="preserve">Progress made against </w:t>
            </w:r>
            <w:r w:rsidR="0096611E" w:rsidRPr="00D80E8E">
              <w:rPr>
                <w:rFonts w:ascii="Myriad Pro" w:hAnsi="Myriad Pro"/>
                <w:b/>
              </w:rPr>
              <w:t>critical</w:t>
            </w:r>
            <w:r w:rsidRPr="00D80E8E">
              <w:rPr>
                <w:rFonts w:ascii="Myriad Pro" w:hAnsi="Myriad Pro"/>
                <w:b/>
              </w:rPr>
              <w:t xml:space="preserve"> indicators</w:t>
            </w:r>
          </w:p>
        </w:tc>
      </w:tr>
      <w:tr w:rsidR="00BB3784" w:rsidRPr="00D80E8E" w14:paraId="0416DEFE" w14:textId="77777777" w:rsidTr="008977D9"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16DEF6" w14:textId="6A4FB03E" w:rsidR="001D2010" w:rsidRPr="00D80E8E" w:rsidRDefault="001D2010" w:rsidP="001D2010">
            <w:pPr>
              <w:pStyle w:val="BodyText2"/>
              <w:rPr>
                <w:rFonts w:ascii="Myriad Pro" w:hAnsi="Myriad Pro"/>
                <w:b/>
              </w:rPr>
            </w:pPr>
            <w:r w:rsidRPr="00D80E8E">
              <w:rPr>
                <w:rFonts w:ascii="Myriad Pro" w:hAnsi="Myriad Pro" w:cstheme="minorHAnsi"/>
                <w:b/>
              </w:rPr>
              <w:t xml:space="preserve">CPF Outcome 1: </w:t>
            </w:r>
            <w:r w:rsidRPr="00D80E8E">
              <w:rPr>
                <w:rFonts w:ascii="Myriad Pro" w:hAnsi="Myriad Pro" w:cstheme="minorHAnsi"/>
                <w:bCs/>
              </w:rPr>
              <w:t xml:space="preserve">Yemenis contribute to and benefit from inclusive, accountable and </w:t>
            </w:r>
            <w:r w:rsidR="0096611E" w:rsidRPr="00D80E8E">
              <w:rPr>
                <w:rFonts w:ascii="Myriad Pro" w:hAnsi="Myriad Pro" w:cstheme="minorHAnsi"/>
                <w:bCs/>
              </w:rPr>
              <w:t>gender-responsive</w:t>
            </w:r>
            <w:r w:rsidRPr="00D80E8E">
              <w:rPr>
                <w:rFonts w:ascii="Myriad Pro" w:hAnsi="Myriad Pro" w:cstheme="minorHAnsi"/>
                <w:bCs/>
              </w:rPr>
              <w:t xml:space="preserve"> governance, at local and central levels.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416DEF7" w14:textId="0BD645F8" w:rsidR="001D2010" w:rsidRPr="00D80E8E" w:rsidRDefault="008226A5" w:rsidP="001D2010">
            <w:pPr>
              <w:pStyle w:val="BodyText2"/>
              <w:rPr>
                <w:rFonts w:ascii="Myriad Pro" w:hAnsi="Myriad Pro"/>
              </w:rPr>
            </w:pPr>
            <w:r w:rsidRPr="00D80E8E">
              <w:rPr>
                <w:rFonts w:ascii="Myriad Pro" w:hAnsi="Myriad Pro"/>
              </w:rPr>
              <w:t>US$37M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14:paraId="49741E66" w14:textId="21C2BC8E" w:rsidR="00852476" w:rsidRPr="00D80E8E" w:rsidRDefault="00852476" w:rsidP="00852476">
            <w:pPr>
              <w:rPr>
                <w:rFonts w:ascii="Myriad Pro" w:hAnsi="Myriad Pro" w:cstheme="minorHAnsi"/>
                <w:sz w:val="20"/>
              </w:rPr>
            </w:pPr>
            <w:r w:rsidRPr="00D80E8E">
              <w:rPr>
                <w:rFonts w:ascii="Myriad Pro" w:hAnsi="Myriad Pro" w:cstheme="minorHAnsi"/>
                <w:b/>
                <w:bCs/>
                <w:i/>
                <w:sz w:val="20"/>
              </w:rPr>
              <w:t>Outcome Indicator 1.1</w:t>
            </w:r>
            <w:r w:rsidRPr="00D80E8E">
              <w:rPr>
                <w:rFonts w:ascii="Myriad Pro" w:hAnsi="Myriad Pro" w:cstheme="minorHAnsi"/>
                <w:b/>
                <w:bCs/>
                <w:sz w:val="20"/>
              </w:rPr>
              <w:t xml:space="preserve">: </w:t>
            </w:r>
            <w:r w:rsidRPr="00D80E8E">
              <w:rPr>
                <w:rFonts w:ascii="Myriad Pro" w:hAnsi="Myriad Pro" w:cstheme="minorHAnsi"/>
                <w:sz w:val="20"/>
              </w:rPr>
              <w:t xml:space="preserve"># of resourced and implemented local development plans at </w:t>
            </w:r>
            <w:r w:rsidR="0096611E" w:rsidRPr="00D80E8E">
              <w:rPr>
                <w:rFonts w:ascii="Myriad Pro" w:hAnsi="Myriad Pro" w:cstheme="minorHAnsi"/>
                <w:sz w:val="20"/>
              </w:rPr>
              <w:t xml:space="preserve">the </w:t>
            </w:r>
            <w:r w:rsidRPr="00D80E8E">
              <w:rPr>
                <w:rFonts w:ascii="Myriad Pro" w:hAnsi="Myriad Pro" w:cstheme="minorHAnsi"/>
                <w:sz w:val="20"/>
              </w:rPr>
              <w:t xml:space="preserve">districts level </w:t>
            </w:r>
          </w:p>
          <w:p w14:paraId="6AC1FF7B" w14:textId="6390A046" w:rsidR="00852476" w:rsidRPr="00D80E8E" w:rsidRDefault="00852476" w:rsidP="00852476">
            <w:pPr>
              <w:rPr>
                <w:rFonts w:ascii="Myriad Pro" w:hAnsi="Myriad Pro" w:cstheme="minorHAnsi"/>
                <w:sz w:val="20"/>
              </w:rPr>
            </w:pPr>
            <w:r w:rsidRPr="00D80E8E">
              <w:rPr>
                <w:rFonts w:ascii="Myriad Pro" w:hAnsi="Myriad Pro" w:cstheme="minorHAnsi"/>
                <w:b/>
                <w:bCs/>
                <w:i/>
                <w:sz w:val="20"/>
              </w:rPr>
              <w:t>Baseline</w:t>
            </w:r>
            <w:r w:rsidRPr="00D80E8E">
              <w:rPr>
                <w:rFonts w:ascii="Myriad Pro" w:hAnsi="Myriad Pro" w:cstheme="minorHAnsi"/>
                <w:b/>
                <w:bCs/>
                <w:sz w:val="20"/>
              </w:rPr>
              <w:t>:</w:t>
            </w:r>
            <w:r w:rsidRPr="00D80E8E">
              <w:rPr>
                <w:rFonts w:ascii="Myriad Pro" w:hAnsi="Myriad Pro" w:cstheme="minorHAnsi"/>
                <w:sz w:val="20"/>
              </w:rPr>
              <w:t xml:space="preserve"> 48 districts implement local development plans</w:t>
            </w:r>
            <w:r w:rsidR="00AF0E41" w:rsidRPr="00D80E8E">
              <w:rPr>
                <w:rFonts w:ascii="Myriad Pro" w:hAnsi="Myriad Pro" w:cstheme="minorHAnsi"/>
                <w:sz w:val="20"/>
              </w:rPr>
              <w:t xml:space="preserve">; </w:t>
            </w:r>
            <w:r w:rsidRPr="00D80E8E">
              <w:rPr>
                <w:rFonts w:ascii="Myriad Pro" w:hAnsi="Myriad Pro" w:cstheme="minorHAnsi"/>
                <w:b/>
                <w:bCs/>
                <w:i/>
                <w:sz w:val="20"/>
              </w:rPr>
              <w:t>Target</w:t>
            </w:r>
            <w:r w:rsidRPr="00D80E8E">
              <w:rPr>
                <w:rFonts w:ascii="Myriad Pro" w:hAnsi="Myriad Pro" w:cstheme="minorHAnsi"/>
                <w:b/>
                <w:bCs/>
                <w:sz w:val="20"/>
              </w:rPr>
              <w:t>:</w:t>
            </w:r>
            <w:r w:rsidRPr="00D80E8E">
              <w:rPr>
                <w:rFonts w:ascii="Myriad Pro" w:hAnsi="Myriad Pro" w:cstheme="minorHAnsi"/>
                <w:sz w:val="20"/>
              </w:rPr>
              <w:t xml:space="preserve"> 150 districts </w:t>
            </w:r>
          </w:p>
          <w:p w14:paraId="0416DEFA" w14:textId="36F0B5DC" w:rsidR="001D2010" w:rsidRPr="00D80E8E" w:rsidRDefault="00852476" w:rsidP="008A7A1B">
            <w:pPr>
              <w:rPr>
                <w:rFonts w:ascii="Myriad Pro" w:hAnsi="Myriad Pro"/>
                <w:i/>
                <w:sz w:val="20"/>
              </w:rPr>
            </w:pPr>
            <w:r w:rsidRPr="00D80E8E">
              <w:rPr>
                <w:rFonts w:ascii="Myriad Pro" w:hAnsi="Myriad Pro" w:cstheme="minorHAnsi"/>
                <w:b/>
                <w:bCs/>
                <w:i/>
                <w:iCs/>
                <w:sz w:val="20"/>
              </w:rPr>
              <w:t xml:space="preserve">Outcome Indicator 1.2: </w:t>
            </w:r>
            <w:r w:rsidRPr="00D80E8E">
              <w:rPr>
                <w:rFonts w:ascii="Myriad Pro" w:hAnsi="Myriad Pro" w:cstheme="minorHAnsi"/>
                <w:sz w:val="20"/>
              </w:rPr>
              <w:t xml:space="preserve"># of </w:t>
            </w:r>
            <w:r w:rsidR="008A40E4" w:rsidRPr="00D80E8E">
              <w:rPr>
                <w:rFonts w:ascii="Myriad Pro" w:hAnsi="Myriad Pro" w:cstheme="minorHAnsi"/>
                <w:sz w:val="20"/>
              </w:rPr>
              <w:t xml:space="preserve">the </w:t>
            </w:r>
            <w:r w:rsidR="00C41ABC" w:rsidRPr="00D80E8E">
              <w:rPr>
                <w:rFonts w:ascii="Myriad Pro" w:hAnsi="Myriad Pro" w:cstheme="minorHAnsi"/>
                <w:sz w:val="20"/>
              </w:rPr>
              <w:t>population’s</w:t>
            </w:r>
            <w:r w:rsidRPr="00D80E8E">
              <w:rPr>
                <w:rFonts w:ascii="Myriad Pro" w:hAnsi="Myriad Pro" w:cstheme="minorHAnsi"/>
                <w:sz w:val="20"/>
              </w:rPr>
              <w:t xml:space="preserve"> access </w:t>
            </w:r>
            <w:r w:rsidR="00780AE0" w:rsidRPr="00D80E8E">
              <w:rPr>
                <w:rFonts w:ascii="Myriad Pro" w:hAnsi="Myriad Pro" w:cstheme="minorHAnsi"/>
                <w:sz w:val="20"/>
              </w:rPr>
              <w:t xml:space="preserve">to </w:t>
            </w:r>
            <w:r w:rsidRPr="00D80E8E">
              <w:rPr>
                <w:rFonts w:ascii="Myriad Pro" w:hAnsi="Myriad Pro" w:cstheme="minorHAnsi"/>
                <w:sz w:val="20"/>
              </w:rPr>
              <w:t>essential public services</w:t>
            </w:r>
            <w:r w:rsidR="008A7A1B" w:rsidRPr="00D80E8E">
              <w:rPr>
                <w:rFonts w:ascii="Myriad Pro" w:hAnsi="Myriad Pro" w:cstheme="minorHAnsi"/>
                <w:sz w:val="20"/>
              </w:rPr>
              <w:t xml:space="preserve"> </w:t>
            </w:r>
            <w:r w:rsidRPr="00D80E8E">
              <w:rPr>
                <w:rFonts w:ascii="Myriad Pro" w:hAnsi="Myriad Pro" w:cstheme="minorHAnsi"/>
                <w:b/>
                <w:bCs/>
                <w:i/>
                <w:iCs/>
                <w:sz w:val="20"/>
              </w:rPr>
              <w:t xml:space="preserve">Baseline: </w:t>
            </w:r>
            <w:r w:rsidR="00FB10CF" w:rsidRPr="00D80E8E">
              <w:rPr>
                <w:rFonts w:ascii="Myriad Pro" w:hAnsi="Myriad Pro" w:cs="Segoe UI"/>
                <w:sz w:val="20"/>
                <w:shd w:val="clear" w:color="auto" w:fill="FFFFFF"/>
              </w:rPr>
              <w:t>4,320,000</w:t>
            </w:r>
            <w:r w:rsidR="008A40E4" w:rsidRPr="00D80E8E">
              <w:rPr>
                <w:rFonts w:ascii="Myriad Pro" w:hAnsi="Myriad Pro" w:cs="Segoe UI"/>
                <w:sz w:val="20"/>
                <w:shd w:val="clear" w:color="auto" w:fill="FFFFFF"/>
              </w:rPr>
              <w:t xml:space="preserve">; </w:t>
            </w:r>
            <w:r w:rsidRPr="00D80E8E">
              <w:rPr>
                <w:rFonts w:ascii="Myriad Pro" w:hAnsi="Myriad Pro" w:cstheme="minorHAnsi"/>
                <w:b/>
                <w:bCs/>
                <w:i/>
                <w:iCs/>
                <w:sz w:val="20"/>
              </w:rPr>
              <w:t xml:space="preserve">Target: </w:t>
            </w:r>
            <w:r w:rsidR="00CA7041" w:rsidRPr="00D80E8E">
              <w:rPr>
                <w:rFonts w:ascii="Myriad Pro" w:hAnsi="Myriad Pro" w:cs="Segoe UI"/>
                <w:sz w:val="20"/>
                <w:shd w:val="clear" w:color="auto" w:fill="FFFFFF"/>
              </w:rPr>
              <w:t>13,500,000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</w:tcPr>
          <w:p w14:paraId="0416DEFB" w14:textId="5DB14464" w:rsidR="001D2010" w:rsidRPr="00D80E8E" w:rsidRDefault="005A2359" w:rsidP="00983861">
            <w:pPr>
              <w:pStyle w:val="BodyText2"/>
              <w:numPr>
                <w:ilvl w:val="1"/>
                <w:numId w:val="23"/>
              </w:numPr>
              <w:rPr>
                <w:rFonts w:ascii="Myriad Pro" w:hAnsi="Myriad Pro"/>
                <w:iCs/>
              </w:rPr>
            </w:pPr>
            <w:r w:rsidRPr="00D80E8E">
              <w:rPr>
                <w:rFonts w:ascii="Myriad Pro" w:hAnsi="Myriad Pro"/>
                <w:iCs/>
              </w:rPr>
              <w:t>Over</w:t>
            </w:r>
            <w:r w:rsidR="00F55D79" w:rsidRPr="00D80E8E">
              <w:rPr>
                <w:rFonts w:ascii="Myriad Pro" w:hAnsi="Myriad Pro"/>
                <w:iCs/>
              </w:rPr>
              <w:t xml:space="preserve"> </w:t>
            </w:r>
            <w:r w:rsidR="00F55D79" w:rsidRPr="00D80E8E">
              <w:rPr>
                <w:rFonts w:ascii="Myriad Pro" w:hAnsi="Myriad Pro" w:cs="Segoe UI"/>
                <w:iCs/>
                <w:shd w:val="clear" w:color="auto" w:fill="FFFFFF"/>
              </w:rPr>
              <w:t>72 districts</w:t>
            </w:r>
            <w:r w:rsidR="0061604C" w:rsidRPr="00D80E8E">
              <w:rPr>
                <w:rFonts w:ascii="Myriad Pro" w:hAnsi="Myriad Pro" w:cs="Segoe UI"/>
                <w:iCs/>
                <w:shd w:val="clear" w:color="auto" w:fill="FFFFFF"/>
              </w:rPr>
              <w:t xml:space="preserve"> prepared and </w:t>
            </w:r>
            <w:r w:rsidR="00983861" w:rsidRPr="00D80E8E">
              <w:rPr>
                <w:rFonts w:ascii="Myriad Pro" w:hAnsi="Myriad Pro" w:cs="Segoe UI"/>
                <w:iCs/>
                <w:shd w:val="clear" w:color="auto" w:fill="FFFFFF"/>
              </w:rPr>
              <w:t>implemented</w:t>
            </w:r>
            <w:r w:rsidR="0061604C" w:rsidRPr="00D80E8E">
              <w:rPr>
                <w:rFonts w:ascii="Myriad Pro" w:hAnsi="Myriad Pro" w:cs="Segoe UI"/>
                <w:iCs/>
                <w:shd w:val="clear" w:color="auto" w:fill="FFFFFF"/>
              </w:rPr>
              <w:t xml:space="preserve"> </w:t>
            </w:r>
            <w:r w:rsidR="00983861" w:rsidRPr="00D80E8E">
              <w:rPr>
                <w:rFonts w:ascii="Myriad Pro" w:hAnsi="Myriad Pro" w:cs="Segoe UI"/>
                <w:iCs/>
                <w:shd w:val="clear" w:color="auto" w:fill="FFFFFF"/>
              </w:rPr>
              <w:t>gender-responsive</w:t>
            </w:r>
            <w:r w:rsidR="0061604C" w:rsidRPr="00D80E8E">
              <w:rPr>
                <w:rFonts w:ascii="Myriad Pro" w:hAnsi="Myriad Pro" w:cs="Segoe UI"/>
                <w:iCs/>
                <w:shd w:val="clear" w:color="auto" w:fill="FFFFFF"/>
              </w:rPr>
              <w:t xml:space="preserve"> development plans.</w:t>
            </w:r>
            <w:r w:rsidR="000D2155" w:rsidRPr="00D80E8E">
              <w:rPr>
                <w:rFonts w:ascii="Myriad Pro" w:hAnsi="Myriad Pro"/>
                <w:iCs/>
              </w:rPr>
              <w:t xml:space="preserve"> </w:t>
            </w:r>
          </w:p>
          <w:p w14:paraId="0416DEFC" w14:textId="11F3825E" w:rsidR="001D2010" w:rsidRPr="00D80E8E" w:rsidRDefault="001D2010" w:rsidP="00983861">
            <w:pPr>
              <w:pStyle w:val="BodyText2"/>
              <w:ind w:left="360"/>
              <w:rPr>
                <w:rFonts w:ascii="Myriad Pro" w:hAnsi="Myriad Pro"/>
                <w:iCs/>
              </w:rPr>
            </w:pPr>
          </w:p>
          <w:p w14:paraId="75C9EEB8" w14:textId="4811F2BB" w:rsidR="008359CB" w:rsidRPr="003C5F7A" w:rsidRDefault="00381191" w:rsidP="00983861">
            <w:pPr>
              <w:pStyle w:val="BodyText2"/>
              <w:numPr>
                <w:ilvl w:val="1"/>
                <w:numId w:val="23"/>
              </w:numPr>
              <w:rPr>
                <w:rFonts w:ascii="Myriad Pro" w:hAnsi="Myriad Pro"/>
                <w:i/>
              </w:rPr>
            </w:pPr>
            <w:r w:rsidRPr="00D80E8E">
              <w:rPr>
                <w:rFonts w:ascii="Myriad Pro" w:hAnsi="Myriad Pro"/>
                <w:iCs/>
              </w:rPr>
              <w:t xml:space="preserve">UNDP enabled </w:t>
            </w:r>
            <w:r w:rsidR="00A3747A" w:rsidRPr="00D80E8E">
              <w:rPr>
                <w:rFonts w:ascii="Myriad Pro" w:hAnsi="Myriad Pro"/>
                <w:iCs/>
              </w:rPr>
              <w:t xml:space="preserve">over </w:t>
            </w:r>
            <w:r w:rsidR="005A2359" w:rsidRPr="00D80E8E">
              <w:rPr>
                <w:rFonts w:ascii="Myriad Pro" w:hAnsi="Myriad Pro" w:cs="Segoe UI"/>
                <w:shd w:val="clear" w:color="auto" w:fill="FFFFFF"/>
              </w:rPr>
              <w:t>5 million</w:t>
            </w:r>
            <w:r w:rsidR="006523B7" w:rsidRPr="00D80E8E">
              <w:rPr>
                <w:rFonts w:ascii="Myriad Pro" w:hAnsi="Myriad Pro" w:cs="Segoe UI"/>
                <w:shd w:val="clear" w:color="auto" w:fill="FFFFFF"/>
              </w:rPr>
              <w:t xml:space="preserve"> </w:t>
            </w:r>
            <w:r w:rsidRPr="00D80E8E">
              <w:rPr>
                <w:rFonts w:ascii="Myriad Pro" w:hAnsi="Myriad Pro"/>
                <w:iCs/>
              </w:rPr>
              <w:t xml:space="preserve">people to access essential </w:t>
            </w:r>
            <w:r w:rsidR="002243CA" w:rsidRPr="00D80E8E">
              <w:rPr>
                <w:rFonts w:ascii="Myriad Pro" w:hAnsi="Myriad Pro"/>
                <w:iCs/>
              </w:rPr>
              <w:t xml:space="preserve">public </w:t>
            </w:r>
            <w:r w:rsidRPr="00D80E8E">
              <w:rPr>
                <w:rFonts w:ascii="Myriad Pro" w:hAnsi="Myriad Pro"/>
                <w:iCs/>
              </w:rPr>
              <w:t>services</w:t>
            </w:r>
            <w:r w:rsidR="003C52B7" w:rsidRPr="00D80E8E">
              <w:rPr>
                <w:rFonts w:ascii="Myriad Pro" w:hAnsi="Myriad Pro"/>
                <w:iCs/>
              </w:rPr>
              <w:t xml:space="preserve"> </w:t>
            </w:r>
          </w:p>
          <w:p w14:paraId="0416DEFD" w14:textId="68EE86BA" w:rsidR="001D2010" w:rsidRPr="00D80E8E" w:rsidRDefault="003C52B7" w:rsidP="008359CB">
            <w:pPr>
              <w:pStyle w:val="BodyText2"/>
              <w:rPr>
                <w:rFonts w:ascii="Myriad Pro" w:hAnsi="Myriad Pro"/>
                <w:i/>
              </w:rPr>
            </w:pPr>
            <w:r w:rsidRPr="00D80E8E">
              <w:rPr>
                <w:rFonts w:ascii="Myriad Pro" w:hAnsi="Myriad Pro"/>
                <w:iCs/>
              </w:rPr>
              <w:t>The</w:t>
            </w:r>
            <w:r w:rsidR="008359CB" w:rsidRPr="00D80E8E">
              <w:rPr>
                <w:rFonts w:ascii="Myriad Pro" w:hAnsi="Myriad Pro"/>
                <w:iCs/>
              </w:rPr>
              <w:t xml:space="preserve"> progress </w:t>
            </w:r>
            <w:r w:rsidRPr="00D80E8E">
              <w:rPr>
                <w:rFonts w:ascii="Myriad Pro" w:hAnsi="Myriad Pro"/>
                <w:iCs/>
              </w:rPr>
              <w:t xml:space="preserve">falls short of the target due to </w:t>
            </w:r>
            <w:r w:rsidR="00601F96" w:rsidRPr="00D80E8E">
              <w:rPr>
                <w:rFonts w:ascii="Myriad Pro" w:hAnsi="Myriad Pro"/>
                <w:iCs/>
              </w:rPr>
              <w:t xml:space="preserve">the </w:t>
            </w:r>
            <w:r w:rsidRPr="00D80E8E">
              <w:rPr>
                <w:rFonts w:ascii="Myriad Pro" w:hAnsi="Myriad Pro"/>
                <w:iCs/>
              </w:rPr>
              <w:t xml:space="preserve">delayed </w:t>
            </w:r>
            <w:proofErr w:type="spellStart"/>
            <w:r w:rsidR="00601F96" w:rsidRPr="00D80E8E">
              <w:rPr>
                <w:rFonts w:ascii="Myriad Pro" w:hAnsi="Myriad Pro"/>
                <w:iCs/>
              </w:rPr>
              <w:t>takeoff</w:t>
            </w:r>
            <w:proofErr w:type="spellEnd"/>
            <w:r w:rsidR="00601F96" w:rsidRPr="00D80E8E">
              <w:rPr>
                <w:rFonts w:ascii="Myriad Pro" w:hAnsi="Myriad Pro"/>
                <w:iCs/>
              </w:rPr>
              <w:t xml:space="preserve"> of the </w:t>
            </w:r>
            <w:r w:rsidRPr="00D80E8E">
              <w:rPr>
                <w:rFonts w:ascii="Myriad Pro" w:hAnsi="Myriad Pro"/>
                <w:iCs/>
              </w:rPr>
              <w:t xml:space="preserve">local governance </w:t>
            </w:r>
            <w:r w:rsidR="00601F96" w:rsidRPr="00D80E8E">
              <w:rPr>
                <w:rFonts w:ascii="Myriad Pro" w:hAnsi="Myriad Pro"/>
                <w:iCs/>
              </w:rPr>
              <w:t xml:space="preserve">initiative </w:t>
            </w:r>
            <w:r w:rsidR="00601F96" w:rsidRPr="00D80E8E">
              <w:rPr>
                <w:rFonts w:ascii="Myriad Pro" w:hAnsi="Myriad Pro" w:cs="Segoe UI"/>
                <w:iCs/>
                <w:shd w:val="clear" w:color="auto" w:fill="FFFFFF"/>
              </w:rPr>
              <w:t>due to protracted negotiations with authorities and access challenges</w:t>
            </w:r>
            <w:r w:rsidR="006A71B0" w:rsidRPr="00D80E8E">
              <w:rPr>
                <w:rFonts w:ascii="Myriad Pro" w:hAnsi="Myriad Pro" w:cs="Segoe UI"/>
                <w:iCs/>
                <w:shd w:val="clear" w:color="auto" w:fill="FFFFFF"/>
              </w:rPr>
              <w:t>.</w:t>
            </w:r>
          </w:p>
        </w:tc>
      </w:tr>
      <w:tr w:rsidR="00BB3784" w:rsidRPr="00D80E8E" w14:paraId="0416DF08" w14:textId="77777777" w:rsidTr="008977D9">
        <w:tc>
          <w:tcPr>
            <w:tcW w:w="14040" w:type="dxa"/>
            <w:gridSpan w:val="5"/>
          </w:tcPr>
          <w:p w14:paraId="0416DEFF" w14:textId="7EB7C8F4" w:rsidR="001D2010" w:rsidRPr="00D80E8E" w:rsidRDefault="008A7A1B" w:rsidP="001D2010">
            <w:pPr>
              <w:pStyle w:val="BodyText2"/>
              <w:rPr>
                <w:rFonts w:ascii="Myriad Pro" w:hAnsi="Myriad Pro"/>
                <w:b/>
              </w:rPr>
            </w:pPr>
            <w:r w:rsidRPr="00D80E8E">
              <w:rPr>
                <w:rFonts w:ascii="Myriad Pro" w:hAnsi="Myriad Pro"/>
                <w:b/>
              </w:rPr>
              <w:t>Progress and achievements</w:t>
            </w:r>
          </w:p>
          <w:p w14:paraId="3686DC37" w14:textId="38947499" w:rsidR="00CD0810" w:rsidRPr="00D80E8E" w:rsidRDefault="0092646A" w:rsidP="00CD0810">
            <w:pPr>
              <w:rPr>
                <w:rFonts w:ascii="Myriad Pro" w:hAnsi="Myriad Pro" w:cstheme="minorHAnsi"/>
                <w:sz w:val="20"/>
              </w:rPr>
            </w:pPr>
            <w:r w:rsidRPr="00D80E8E">
              <w:rPr>
                <w:rFonts w:ascii="Myriad Pro" w:hAnsi="Myriad Pro"/>
                <w:b/>
                <w:sz w:val="20"/>
              </w:rPr>
              <w:t xml:space="preserve">Output </w:t>
            </w:r>
            <w:r w:rsidR="00FB1B4B" w:rsidRPr="00D80E8E">
              <w:rPr>
                <w:rFonts w:ascii="Myriad Pro" w:hAnsi="Myriad Pro"/>
                <w:b/>
                <w:sz w:val="20"/>
              </w:rPr>
              <w:t>1.1:</w:t>
            </w:r>
            <w:r w:rsidR="00FB1B4B" w:rsidRPr="00D80E8E">
              <w:rPr>
                <w:rFonts w:ascii="Myriad Pro" w:hAnsi="Myriad Pro" w:cstheme="minorHAnsi"/>
                <w:b/>
                <w:bCs/>
                <w:sz w:val="20"/>
              </w:rPr>
              <w:t xml:space="preserve"> Capacities</w:t>
            </w:r>
            <w:r w:rsidR="00CD0810" w:rsidRPr="00D80E8E">
              <w:rPr>
                <w:rFonts w:ascii="Myriad Pro" w:hAnsi="Myriad Pro" w:cstheme="minorHAnsi"/>
                <w:b/>
                <w:bCs/>
                <w:sz w:val="20"/>
              </w:rPr>
              <w:t xml:space="preserve"> developed for inclusive, formal and informal local governance systems</w:t>
            </w:r>
          </w:p>
          <w:p w14:paraId="3058D766" w14:textId="7D9A7583" w:rsidR="00E210F0" w:rsidRPr="00D80E8E" w:rsidRDefault="00257273" w:rsidP="00C60F4E">
            <w:pPr>
              <w:rPr>
                <w:rFonts w:ascii="Myriad Pro" w:hAnsi="Myriad Pro" w:cs="Segoe UI"/>
                <w:sz w:val="20"/>
                <w:shd w:val="clear" w:color="auto" w:fill="FFFFFF"/>
              </w:rPr>
            </w:pPr>
            <w:r w:rsidRPr="00D80E8E">
              <w:rPr>
                <w:rFonts w:ascii="Myriad Pro" w:hAnsi="Myriad Pro" w:cs="Segoe UI"/>
                <w:sz w:val="20"/>
                <w:shd w:val="clear" w:color="auto" w:fill="FFFFFF"/>
              </w:rPr>
              <w:t>The programme supported 24 districts to prioritise gender and women's empowerment in their district development plans and implement the same</w:t>
            </w:r>
            <w:r w:rsidR="00E25DB5" w:rsidRPr="00D80E8E">
              <w:rPr>
                <w:rFonts w:ascii="Myriad Pro" w:hAnsi="Myriad Pro" w:cs="Segoe UI"/>
                <w:sz w:val="20"/>
                <w:shd w:val="clear" w:color="auto" w:fill="FFFFFF"/>
              </w:rPr>
              <w:t xml:space="preserve">, enabling </w:t>
            </w:r>
            <w:r w:rsidR="008C47B6" w:rsidRPr="00D80E8E">
              <w:rPr>
                <w:rFonts w:ascii="Myriad Pro" w:hAnsi="Myriad Pro" w:cs="Segoe UI"/>
                <w:sz w:val="20"/>
                <w:shd w:val="clear" w:color="auto" w:fill="FFFFFF"/>
              </w:rPr>
              <w:t xml:space="preserve">over 22,600 people to access health and education services. </w:t>
            </w:r>
            <w:r w:rsidRPr="00D80E8E">
              <w:rPr>
                <w:rFonts w:ascii="Myriad Pro" w:hAnsi="Myriad Pro" w:cs="Segoe UI"/>
                <w:sz w:val="20"/>
                <w:shd w:val="clear" w:color="auto" w:fill="FFFFFF"/>
              </w:rPr>
              <w:t xml:space="preserve">UNDP's support </w:t>
            </w:r>
            <w:r w:rsidR="00C60F4E" w:rsidRPr="00D80E8E">
              <w:rPr>
                <w:rFonts w:ascii="Myriad Pro" w:hAnsi="Myriad Pro" w:cs="Segoe UI"/>
                <w:sz w:val="20"/>
                <w:shd w:val="clear" w:color="auto" w:fill="FFFFFF"/>
              </w:rPr>
              <w:t>for</w:t>
            </w:r>
            <w:r w:rsidRPr="00D80E8E">
              <w:rPr>
                <w:rFonts w:ascii="Myriad Pro" w:hAnsi="Myriad Pro" w:cs="Segoe UI"/>
                <w:sz w:val="20"/>
                <w:shd w:val="clear" w:color="auto" w:fill="FFFFFF"/>
              </w:rPr>
              <w:t xml:space="preserve"> the rehabilitation and maintenance of water and sanitation facilities in Aden and Mukalla cities improved water and sanitation services delivery to over </w:t>
            </w:r>
            <w:r w:rsidR="0065673A" w:rsidRPr="00D80E8E">
              <w:rPr>
                <w:rFonts w:ascii="Myriad Pro" w:hAnsi="Myriad Pro" w:cs="Segoe UI"/>
                <w:sz w:val="20"/>
                <w:shd w:val="clear" w:color="auto" w:fill="FFFFFF"/>
              </w:rPr>
              <w:t>38</w:t>
            </w:r>
            <w:r w:rsidRPr="00D80E8E">
              <w:rPr>
                <w:rFonts w:ascii="Myriad Pro" w:hAnsi="Myriad Pro" w:cs="Segoe UI"/>
                <w:sz w:val="20"/>
                <w:shd w:val="clear" w:color="auto" w:fill="FFFFFF"/>
              </w:rPr>
              <w:t>0,000 people</w:t>
            </w:r>
            <w:r w:rsidR="00C60F4E" w:rsidRPr="00D80E8E">
              <w:rPr>
                <w:rFonts w:ascii="Myriad Pro" w:hAnsi="Myriad Pro" w:cs="Segoe UI"/>
                <w:sz w:val="20"/>
                <w:shd w:val="clear" w:color="auto" w:fill="FFFFFF"/>
              </w:rPr>
              <w:t xml:space="preserve">. </w:t>
            </w:r>
          </w:p>
          <w:p w14:paraId="77E370D8" w14:textId="44691C97" w:rsidR="00C60F4E" w:rsidRPr="00D80E8E" w:rsidRDefault="00C60F4E" w:rsidP="00C60F4E">
            <w:pPr>
              <w:rPr>
                <w:rFonts w:ascii="Myriad Pro" w:hAnsi="Myriad Pro"/>
                <w:b/>
                <w:sz w:val="20"/>
              </w:rPr>
            </w:pPr>
          </w:p>
          <w:p w14:paraId="0F7AB6CF" w14:textId="673C07D4" w:rsidR="002C26C0" w:rsidRPr="00D80E8E" w:rsidRDefault="003B0D44" w:rsidP="00C60F4E">
            <w:pPr>
              <w:rPr>
                <w:rFonts w:ascii="Myriad Pro" w:hAnsi="Myriad Pro" w:cs="Segoe UI"/>
                <w:b/>
                <w:bCs/>
                <w:sz w:val="20"/>
                <w:shd w:val="clear" w:color="auto" w:fill="FFFFFF"/>
              </w:rPr>
            </w:pPr>
            <w:r w:rsidRPr="00D80E8E">
              <w:rPr>
                <w:rFonts w:ascii="Myriad Pro" w:hAnsi="Myriad Pro" w:cs="Segoe UI"/>
                <w:b/>
                <w:bCs/>
                <w:sz w:val="20"/>
                <w:shd w:val="clear" w:color="auto" w:fill="FFFFFF"/>
              </w:rPr>
              <w:t xml:space="preserve">Output 1.2: </w:t>
            </w:r>
            <w:r w:rsidR="002C26C0" w:rsidRPr="00D80E8E">
              <w:rPr>
                <w:rFonts w:ascii="Myriad Pro" w:hAnsi="Myriad Pro" w:cs="Segoe UI"/>
                <w:b/>
                <w:bCs/>
                <w:sz w:val="20"/>
                <w:shd w:val="clear" w:color="auto" w:fill="FFFFFF"/>
              </w:rPr>
              <w:t xml:space="preserve">Public security and access to justice improved, with a focus on women and </w:t>
            </w:r>
            <w:r w:rsidR="00094C21" w:rsidRPr="00D80E8E">
              <w:rPr>
                <w:rFonts w:ascii="Myriad Pro" w:hAnsi="Myriad Pro" w:cs="Segoe UI"/>
                <w:b/>
                <w:bCs/>
                <w:sz w:val="20"/>
                <w:shd w:val="clear" w:color="auto" w:fill="FFFFFF"/>
              </w:rPr>
              <w:t>marginalised</w:t>
            </w:r>
            <w:r w:rsidR="002C26C0" w:rsidRPr="00D80E8E">
              <w:rPr>
                <w:rFonts w:ascii="Myriad Pro" w:hAnsi="Myriad Pro" w:cs="Segoe UI"/>
                <w:b/>
                <w:bCs/>
                <w:sz w:val="20"/>
                <w:shd w:val="clear" w:color="auto" w:fill="FFFFFF"/>
              </w:rPr>
              <w:t xml:space="preserve"> groups</w:t>
            </w:r>
          </w:p>
          <w:p w14:paraId="4A775998" w14:textId="37A60A3E" w:rsidR="001D2010" w:rsidRPr="00D80E8E" w:rsidRDefault="00D769DE" w:rsidP="00CD17BE">
            <w:pPr>
              <w:jc w:val="both"/>
              <w:rPr>
                <w:rFonts w:ascii="Myriad Pro" w:hAnsi="Myriad Pro" w:cs="Arial"/>
                <w:spacing w:val="4"/>
                <w:sz w:val="20"/>
              </w:rPr>
            </w:pPr>
            <w:r w:rsidRPr="00D80E8E">
              <w:rPr>
                <w:rFonts w:ascii="Myriad Pro" w:hAnsi="Myriad Pro" w:cs="Arial"/>
                <w:sz w:val="20"/>
                <w:shd w:val="clear" w:color="auto" w:fill="FFFFFF"/>
              </w:rPr>
              <w:t>UNDP improved access to justice services for an estimated 1.</w:t>
            </w:r>
            <w:r w:rsidR="001E4911" w:rsidRPr="00D80E8E">
              <w:rPr>
                <w:rFonts w:ascii="Myriad Pro" w:hAnsi="Myriad Pro" w:cs="Arial"/>
                <w:sz w:val="20"/>
                <w:shd w:val="clear" w:color="auto" w:fill="FFFFFF"/>
              </w:rPr>
              <w:t>35</w:t>
            </w:r>
            <w:r w:rsidRPr="00D80E8E">
              <w:rPr>
                <w:rFonts w:ascii="Myriad Pro" w:hAnsi="Myriad Pro" w:cs="Arial"/>
                <w:sz w:val="20"/>
                <w:shd w:val="clear" w:color="auto" w:fill="FFFFFF"/>
              </w:rPr>
              <w:t xml:space="preserve"> million Yemenis across seven governorates </w:t>
            </w:r>
            <w:r w:rsidR="00E74F2E" w:rsidRPr="00D80E8E">
              <w:rPr>
                <w:rFonts w:ascii="Myriad Pro" w:hAnsi="Myriad Pro" w:cs="Arial"/>
                <w:sz w:val="20"/>
                <w:shd w:val="clear" w:color="auto" w:fill="FFFFFF"/>
              </w:rPr>
              <w:t>following the rehabilitation of key justice and rule of law infrastructure,</w:t>
            </w:r>
            <w:r w:rsidR="00FC7E95" w:rsidRPr="00D80E8E">
              <w:rPr>
                <w:rFonts w:ascii="Myriad Pro" w:hAnsi="Myriad Pro" w:cs="Arial"/>
                <w:sz w:val="20"/>
                <w:shd w:val="clear" w:color="auto" w:fill="FFFFFF"/>
              </w:rPr>
              <w:t xml:space="preserve"> training of justice and rule of law actors</w:t>
            </w:r>
            <w:r w:rsidR="00CD17BE" w:rsidRPr="00D80E8E">
              <w:rPr>
                <w:rFonts w:ascii="Myriad Pro" w:hAnsi="Myriad Pro" w:cs="Arial"/>
                <w:sz w:val="20"/>
                <w:shd w:val="clear" w:color="auto" w:fill="FFFFFF"/>
              </w:rPr>
              <w:t xml:space="preserve">; </w:t>
            </w:r>
            <w:r w:rsidR="009F2EE2" w:rsidRPr="00D80E8E">
              <w:rPr>
                <w:rFonts w:ascii="Myriad Pro" w:hAnsi="Myriad Pro" w:cs="Arial"/>
                <w:sz w:val="20"/>
                <w:shd w:val="clear" w:color="auto" w:fill="FFFFFF"/>
              </w:rPr>
              <w:t xml:space="preserve">and </w:t>
            </w:r>
            <w:r w:rsidR="00CD17BE" w:rsidRPr="00D80E8E">
              <w:rPr>
                <w:rFonts w:ascii="Myriad Pro" w:hAnsi="Myriad Pro" w:cs="Arial"/>
                <w:sz w:val="20"/>
                <w:shd w:val="clear" w:color="auto" w:fill="FFFFFF"/>
              </w:rPr>
              <w:t xml:space="preserve">supporting community policing activities. </w:t>
            </w:r>
            <w:r w:rsidR="00E74F2E" w:rsidRPr="00D80E8E">
              <w:rPr>
                <w:rFonts w:ascii="Myriad Pro" w:hAnsi="Myriad Pro" w:cs="Arial"/>
                <w:sz w:val="20"/>
                <w:shd w:val="clear" w:color="auto" w:fill="FFFFFF"/>
              </w:rPr>
              <w:t xml:space="preserve"> </w:t>
            </w:r>
            <w:r w:rsidR="001E4911" w:rsidRPr="00D80E8E">
              <w:rPr>
                <w:rFonts w:ascii="Myriad Pro" w:hAnsi="Myriad Pro" w:cs="Arial"/>
                <w:spacing w:val="4"/>
                <w:sz w:val="20"/>
              </w:rPr>
              <w:t xml:space="preserve">In addition, </w:t>
            </w:r>
            <w:r w:rsidRPr="00D80E8E">
              <w:rPr>
                <w:rFonts w:ascii="Myriad Pro" w:hAnsi="Myriad Pro" w:cs="Arial"/>
                <w:spacing w:val="4"/>
                <w:sz w:val="20"/>
              </w:rPr>
              <w:t xml:space="preserve">UNDP contributed to curbing the spread of COVID-19 in </w:t>
            </w:r>
            <w:r w:rsidR="00094C21" w:rsidRPr="00D80E8E">
              <w:rPr>
                <w:rFonts w:ascii="Myriad Pro" w:hAnsi="Myriad Pro" w:cs="Arial"/>
                <w:spacing w:val="4"/>
                <w:sz w:val="20"/>
              </w:rPr>
              <w:t>the rule of law</w:t>
            </w:r>
            <w:r w:rsidRPr="00D80E8E">
              <w:rPr>
                <w:rFonts w:ascii="Myriad Pro" w:hAnsi="Myriad Pro" w:cs="Arial"/>
                <w:spacing w:val="4"/>
                <w:sz w:val="20"/>
              </w:rPr>
              <w:t xml:space="preserve"> institutions through </w:t>
            </w:r>
            <w:r w:rsidR="000A5872" w:rsidRPr="00D80E8E">
              <w:rPr>
                <w:rFonts w:ascii="Myriad Pro" w:hAnsi="Myriad Pro" w:cs="Arial"/>
                <w:spacing w:val="4"/>
                <w:sz w:val="20"/>
              </w:rPr>
              <w:t xml:space="preserve">the </w:t>
            </w:r>
            <w:r w:rsidRPr="00D80E8E">
              <w:rPr>
                <w:rFonts w:ascii="Myriad Pro" w:hAnsi="Myriad Pro" w:cs="Arial"/>
                <w:spacing w:val="4"/>
                <w:sz w:val="20"/>
              </w:rPr>
              <w:t>distribution of</w:t>
            </w:r>
            <w:r w:rsidR="009F2EE2" w:rsidRPr="00D80E8E">
              <w:rPr>
                <w:rFonts w:ascii="Myriad Pro" w:hAnsi="Myriad Pro" w:cs="Arial"/>
                <w:spacing w:val="4"/>
                <w:sz w:val="20"/>
              </w:rPr>
              <w:t xml:space="preserve"> </w:t>
            </w:r>
            <w:r w:rsidR="006D0776" w:rsidRPr="00D80E8E">
              <w:rPr>
                <w:rFonts w:ascii="Myriad Pro" w:hAnsi="Myriad Pro" w:cs="Arial"/>
                <w:spacing w:val="4"/>
                <w:sz w:val="20"/>
              </w:rPr>
              <w:t xml:space="preserve">prevention and protection equipment </w:t>
            </w:r>
            <w:r w:rsidR="006421FE" w:rsidRPr="00D80E8E">
              <w:rPr>
                <w:rFonts w:ascii="Myriad Pro" w:hAnsi="Myriad Pro" w:cs="Arial"/>
                <w:spacing w:val="4"/>
                <w:sz w:val="20"/>
              </w:rPr>
              <w:t>to</w:t>
            </w:r>
            <w:r w:rsidRPr="00D80E8E">
              <w:rPr>
                <w:rFonts w:ascii="Myriad Pro" w:hAnsi="Myriad Pro" w:cs="Arial"/>
                <w:spacing w:val="4"/>
                <w:sz w:val="20"/>
              </w:rPr>
              <w:t xml:space="preserve"> prisons, police stations, security districts</w:t>
            </w:r>
            <w:r w:rsidR="008826A8" w:rsidRPr="00D80E8E">
              <w:rPr>
                <w:rFonts w:ascii="Myriad Pro" w:hAnsi="Myriad Pro" w:cs="Arial"/>
                <w:spacing w:val="4"/>
                <w:sz w:val="20"/>
              </w:rPr>
              <w:t xml:space="preserve">, </w:t>
            </w:r>
            <w:r w:rsidRPr="00D80E8E">
              <w:rPr>
                <w:rFonts w:ascii="Myriad Pro" w:hAnsi="Myriad Pro" w:cs="Arial"/>
                <w:spacing w:val="4"/>
                <w:sz w:val="20"/>
              </w:rPr>
              <w:t xml:space="preserve">traffic police, and detention centres in Sana'a, </w:t>
            </w:r>
            <w:proofErr w:type="spellStart"/>
            <w:r w:rsidRPr="00D80E8E">
              <w:rPr>
                <w:rFonts w:ascii="Myriad Pro" w:hAnsi="Myriad Pro" w:cs="Arial"/>
                <w:spacing w:val="4"/>
                <w:sz w:val="20"/>
              </w:rPr>
              <w:t>Amanat</w:t>
            </w:r>
            <w:proofErr w:type="spellEnd"/>
            <w:r w:rsidRPr="00D80E8E">
              <w:rPr>
                <w:rFonts w:ascii="Myriad Pro" w:hAnsi="Myriad Pro" w:cs="Arial"/>
                <w:spacing w:val="4"/>
                <w:sz w:val="20"/>
              </w:rPr>
              <w:t xml:space="preserve"> Al-Asimah, Aden, and Mukalla.</w:t>
            </w:r>
          </w:p>
          <w:p w14:paraId="77E3B666" w14:textId="77777777" w:rsidR="00D817B2" w:rsidRPr="00D80E8E" w:rsidRDefault="00D817B2" w:rsidP="00CD17BE">
            <w:pPr>
              <w:jc w:val="both"/>
              <w:rPr>
                <w:rFonts w:ascii="Myriad Pro" w:hAnsi="Myriad Pro" w:cs="Arial"/>
                <w:spacing w:val="4"/>
                <w:sz w:val="20"/>
              </w:rPr>
            </w:pPr>
          </w:p>
          <w:p w14:paraId="6E400D24" w14:textId="6C3B8691" w:rsidR="001E4911" w:rsidRPr="00D80E8E" w:rsidRDefault="003B0D44" w:rsidP="00D817B2">
            <w:pPr>
              <w:pStyle w:val="NormalWeb"/>
              <w:spacing w:before="0" w:beforeAutospacing="0" w:after="0" w:afterAutospacing="0"/>
              <w:rPr>
                <w:rFonts w:ascii="Myriad Pro" w:hAnsi="Myriad Pro" w:cs="Arial"/>
                <w:b/>
                <w:bCs/>
                <w:spacing w:val="4"/>
                <w:sz w:val="20"/>
                <w:szCs w:val="20"/>
              </w:rPr>
            </w:pPr>
            <w:r w:rsidRPr="00D80E8E">
              <w:rPr>
                <w:rFonts w:ascii="Myriad Pro" w:hAnsi="Myriad Pro" w:cs="Arial"/>
                <w:b/>
                <w:bCs/>
                <w:spacing w:val="4"/>
                <w:sz w:val="20"/>
                <w:szCs w:val="20"/>
              </w:rPr>
              <w:t>Output 1.3: Local authorities’ capacity for economic recovery and development planning capacity improved</w:t>
            </w:r>
            <w:r w:rsidR="00884A36" w:rsidRPr="00D80E8E">
              <w:rPr>
                <w:rFonts w:ascii="Myriad Pro" w:hAnsi="Myriad Pro" w:cs="Arial"/>
                <w:b/>
                <w:bCs/>
                <w:spacing w:val="4"/>
                <w:sz w:val="20"/>
                <w:szCs w:val="20"/>
              </w:rPr>
              <w:t>.</w:t>
            </w:r>
          </w:p>
          <w:p w14:paraId="42A654A6" w14:textId="279AFBBA" w:rsidR="00884A36" w:rsidRDefault="00CD1EBE" w:rsidP="00D817B2">
            <w:pPr>
              <w:pStyle w:val="NormalWeb"/>
              <w:spacing w:before="0" w:beforeAutospacing="0" w:after="0" w:afterAutospacing="0"/>
              <w:rPr>
                <w:rFonts w:ascii="Myriad Pro" w:hAnsi="Myriad Pro" w:cs="Segoe UI"/>
                <w:sz w:val="20"/>
                <w:szCs w:val="20"/>
                <w:shd w:val="clear" w:color="auto" w:fill="FFFFFF"/>
              </w:rPr>
            </w:pPr>
            <w:r w:rsidRPr="00D80E8E">
              <w:rPr>
                <w:rFonts w:ascii="Myriad Pro" w:hAnsi="Myriad Pro" w:cs="Segoe UI"/>
                <w:sz w:val="20"/>
                <w:szCs w:val="20"/>
                <w:shd w:val="clear" w:color="auto" w:fill="FFFFFF"/>
              </w:rPr>
              <w:t xml:space="preserve">Over </w:t>
            </w:r>
            <w:r w:rsidR="00F315D4" w:rsidRPr="00D80E8E">
              <w:rPr>
                <w:rFonts w:ascii="Myriad Pro" w:hAnsi="Myriad Pro" w:cs="Segoe UI"/>
                <w:sz w:val="20"/>
                <w:szCs w:val="20"/>
                <w:shd w:val="clear" w:color="auto" w:fill="FFFFFF"/>
              </w:rPr>
              <w:t>11,</w:t>
            </w:r>
            <w:r w:rsidR="00E71694" w:rsidRPr="00D80E8E">
              <w:rPr>
                <w:rFonts w:ascii="Myriad Pro" w:hAnsi="Myriad Pro" w:cs="Segoe UI"/>
                <w:sz w:val="20"/>
                <w:szCs w:val="20"/>
                <w:shd w:val="clear" w:color="auto" w:fill="FFFFFF"/>
              </w:rPr>
              <w:t>5</w:t>
            </w:r>
            <w:r w:rsidRPr="00D80E8E">
              <w:rPr>
                <w:rFonts w:ascii="Myriad Pro" w:hAnsi="Myriad Pro" w:cs="Segoe UI"/>
                <w:sz w:val="20"/>
                <w:szCs w:val="20"/>
                <w:shd w:val="clear" w:color="auto" w:fill="FFFFFF"/>
              </w:rPr>
              <w:t xml:space="preserve">00 vulnerable and at-risk Yemenis </w:t>
            </w:r>
            <w:r w:rsidR="002941AF" w:rsidRPr="00D80E8E">
              <w:rPr>
                <w:rFonts w:ascii="Myriad Pro" w:hAnsi="Myriad Pro" w:cs="Segoe UI"/>
                <w:sz w:val="20"/>
                <w:szCs w:val="20"/>
                <w:shd w:val="clear" w:color="auto" w:fill="FFFFFF"/>
              </w:rPr>
              <w:t>(50</w:t>
            </w:r>
            <w:r w:rsidR="006421FE" w:rsidRPr="00D80E8E">
              <w:rPr>
                <w:rFonts w:ascii="Myriad Pro" w:hAnsi="Myriad Pro" w:cs="Segoe UI"/>
                <w:sz w:val="20"/>
                <w:szCs w:val="20"/>
                <w:shd w:val="clear" w:color="auto" w:fill="FFFFFF"/>
              </w:rPr>
              <w:t>%</w:t>
            </w:r>
            <w:r w:rsidR="002941AF" w:rsidRPr="00D80E8E">
              <w:rPr>
                <w:rFonts w:ascii="Myriad Pro" w:hAnsi="Myriad Pro" w:cs="Segoe UI"/>
                <w:sz w:val="20"/>
                <w:szCs w:val="20"/>
                <w:shd w:val="clear" w:color="auto" w:fill="FFFFFF"/>
              </w:rPr>
              <w:t xml:space="preserve"> female) </w:t>
            </w:r>
            <w:r w:rsidRPr="00D80E8E">
              <w:rPr>
                <w:rFonts w:ascii="Myriad Pro" w:hAnsi="Myriad Pro" w:cs="Segoe UI"/>
                <w:sz w:val="20"/>
                <w:szCs w:val="20"/>
                <w:shd w:val="clear" w:color="auto" w:fill="FFFFFF"/>
              </w:rPr>
              <w:t>received short and medium-term livelihoods and recovery support.</w:t>
            </w:r>
            <w:r w:rsidR="00E0564E" w:rsidRPr="00D80E8E">
              <w:rPr>
                <w:rFonts w:ascii="Myriad Pro" w:hAnsi="Myriad Pro" w:cs="Segoe UI"/>
                <w:sz w:val="20"/>
                <w:szCs w:val="20"/>
                <w:shd w:val="clear" w:color="auto" w:fill="FFFFFF"/>
              </w:rPr>
              <w:t xml:space="preserve"> The individuals</w:t>
            </w:r>
            <w:r w:rsidR="00F315D4" w:rsidRPr="00D80E8E">
              <w:rPr>
                <w:rFonts w:ascii="Myriad Pro" w:hAnsi="Myriad Pro" w:cs="Segoe UI"/>
                <w:sz w:val="20"/>
                <w:szCs w:val="20"/>
                <w:shd w:val="clear" w:color="auto" w:fill="FFFFFF"/>
              </w:rPr>
              <w:t>,</w:t>
            </w:r>
            <w:r w:rsidR="00E0564E" w:rsidRPr="00D80E8E">
              <w:rPr>
                <w:rFonts w:ascii="Myriad Pro" w:hAnsi="Myriad Pro" w:cs="Segoe UI"/>
                <w:sz w:val="20"/>
                <w:szCs w:val="20"/>
                <w:shd w:val="clear" w:color="auto" w:fill="FFFFFF"/>
              </w:rPr>
              <w:t xml:space="preserve"> employed through the cash for work modality </w:t>
            </w:r>
            <w:r w:rsidR="00230BEA" w:rsidRPr="00D80E8E">
              <w:rPr>
                <w:rFonts w:ascii="Myriad Pro" w:hAnsi="Myriad Pro" w:cs="Segoe UI"/>
                <w:sz w:val="20"/>
                <w:szCs w:val="20"/>
                <w:shd w:val="clear" w:color="auto" w:fill="FFFFFF"/>
              </w:rPr>
              <w:t>rehabilitated</w:t>
            </w:r>
            <w:r w:rsidR="00E0564E" w:rsidRPr="00D80E8E">
              <w:rPr>
                <w:rFonts w:ascii="Myriad Pro" w:hAnsi="Myriad Pro" w:cs="Segoe UI"/>
                <w:sz w:val="20"/>
                <w:szCs w:val="20"/>
                <w:shd w:val="clear" w:color="auto" w:fill="FFFFFF"/>
              </w:rPr>
              <w:t xml:space="preserve"> community-prioritised infrastructure meant to improve access to </w:t>
            </w:r>
            <w:r w:rsidR="005E2F8D" w:rsidRPr="00D80E8E">
              <w:rPr>
                <w:rFonts w:ascii="Myriad Pro" w:hAnsi="Myriad Pro" w:cs="Segoe UI"/>
                <w:sz w:val="20"/>
                <w:szCs w:val="20"/>
                <w:shd w:val="clear" w:color="auto" w:fill="FFFFFF"/>
              </w:rPr>
              <w:t>essential</w:t>
            </w:r>
            <w:r w:rsidR="00E0564E" w:rsidRPr="00D80E8E">
              <w:rPr>
                <w:rFonts w:ascii="Myriad Pro" w:hAnsi="Myriad Pro" w:cs="Segoe UI"/>
                <w:sz w:val="20"/>
                <w:szCs w:val="20"/>
                <w:shd w:val="clear" w:color="auto" w:fill="FFFFFF"/>
              </w:rPr>
              <w:t xml:space="preserve"> services such as health, education, and water</w:t>
            </w:r>
            <w:r w:rsidR="00230BEA" w:rsidRPr="00D80E8E">
              <w:rPr>
                <w:rFonts w:ascii="Myriad Pro" w:hAnsi="Myriad Pro" w:cs="Segoe UI"/>
                <w:sz w:val="20"/>
                <w:szCs w:val="20"/>
                <w:shd w:val="clear" w:color="auto" w:fill="FFFFFF"/>
              </w:rPr>
              <w:t xml:space="preserve">, benefiting </w:t>
            </w:r>
            <w:r w:rsidR="00BF08BF" w:rsidRPr="00D80E8E">
              <w:rPr>
                <w:rFonts w:ascii="Myriad Pro" w:hAnsi="Myriad Pro" w:cs="Segoe UI"/>
                <w:sz w:val="20"/>
                <w:szCs w:val="20"/>
                <w:shd w:val="clear" w:color="auto" w:fill="FFFFFF"/>
              </w:rPr>
              <w:t xml:space="preserve">millions (as reported above). </w:t>
            </w:r>
            <w:r w:rsidR="00E0564E" w:rsidRPr="00D80E8E">
              <w:rPr>
                <w:rFonts w:ascii="Myriad Pro" w:hAnsi="Myriad Pro" w:cs="Segoe UI"/>
                <w:sz w:val="20"/>
                <w:szCs w:val="20"/>
                <w:shd w:val="clear" w:color="auto" w:fill="FFFFFF"/>
              </w:rPr>
              <w:t xml:space="preserve">The </w:t>
            </w:r>
            <w:r w:rsidR="007F6231" w:rsidRPr="00D80E8E">
              <w:rPr>
                <w:rFonts w:ascii="Myriad Pro" w:hAnsi="Myriad Pro" w:cs="Segoe UI"/>
                <w:sz w:val="20"/>
                <w:szCs w:val="20"/>
                <w:shd w:val="clear" w:color="auto" w:fill="FFFFFF"/>
              </w:rPr>
              <w:t xml:space="preserve">programme enabled the </w:t>
            </w:r>
            <w:r w:rsidR="00775A32" w:rsidRPr="00D80E8E">
              <w:rPr>
                <w:rFonts w:ascii="Myriad Pro" w:hAnsi="Myriad Pro" w:cs="Segoe UI"/>
                <w:sz w:val="20"/>
                <w:szCs w:val="20"/>
                <w:shd w:val="clear" w:color="auto" w:fill="FFFFFF"/>
              </w:rPr>
              <w:t>development of the first-</w:t>
            </w:r>
            <w:r w:rsidR="0058733E" w:rsidRPr="00D80E8E">
              <w:rPr>
                <w:rFonts w:ascii="Myriad Pro" w:hAnsi="Myriad Pro" w:cs="Segoe UI"/>
                <w:sz w:val="20"/>
                <w:szCs w:val="20"/>
                <w:shd w:val="clear" w:color="auto" w:fill="FFFFFF"/>
              </w:rPr>
              <w:t>ever B2B e-commerce platform</w:t>
            </w:r>
            <w:r w:rsidR="004930F1" w:rsidRPr="00D80E8E">
              <w:rPr>
                <w:rFonts w:ascii="Myriad Pro" w:hAnsi="Myriad Pro" w:cs="Segoe UI"/>
                <w:sz w:val="20"/>
                <w:szCs w:val="20"/>
                <w:shd w:val="clear" w:color="auto" w:fill="FFFFFF"/>
              </w:rPr>
              <w:t xml:space="preserve"> which enabled </w:t>
            </w:r>
            <w:r w:rsidR="0058733E" w:rsidRPr="00D80E8E">
              <w:rPr>
                <w:rFonts w:ascii="Myriad Pro" w:hAnsi="Myriad Pro" w:cs="Segoe UI"/>
                <w:sz w:val="20"/>
                <w:szCs w:val="20"/>
                <w:shd w:val="clear" w:color="auto" w:fill="FFFFFF"/>
              </w:rPr>
              <w:t>rural and urban businesses to connect digitally and with buye</w:t>
            </w:r>
            <w:r w:rsidR="005B06B9" w:rsidRPr="00D80E8E">
              <w:rPr>
                <w:rFonts w:ascii="Myriad Pro" w:hAnsi="Myriad Pro" w:cs="Segoe UI"/>
                <w:sz w:val="20"/>
                <w:szCs w:val="20"/>
                <w:shd w:val="clear" w:color="auto" w:fill="FFFFFF"/>
              </w:rPr>
              <w:t xml:space="preserve">rs. </w:t>
            </w:r>
          </w:p>
          <w:p w14:paraId="7FB7C51D" w14:textId="77777777" w:rsidR="003C5F7A" w:rsidRPr="00D80E8E" w:rsidRDefault="003C5F7A" w:rsidP="00D817B2">
            <w:pPr>
              <w:pStyle w:val="NormalWeb"/>
              <w:spacing w:before="0" w:beforeAutospacing="0" w:after="0" w:afterAutospacing="0"/>
              <w:rPr>
                <w:rFonts w:ascii="Myriad Pro" w:hAnsi="Myriad Pro" w:cs="Arial"/>
                <w:spacing w:val="4"/>
                <w:sz w:val="20"/>
                <w:szCs w:val="20"/>
              </w:rPr>
            </w:pPr>
          </w:p>
          <w:p w14:paraId="0EC1CD5A" w14:textId="77777777" w:rsidR="003B0D44" w:rsidRPr="00D80E8E" w:rsidRDefault="000D0460" w:rsidP="000D0460">
            <w:pPr>
              <w:pStyle w:val="Default"/>
              <w:rPr>
                <w:rFonts w:ascii="Myriad Pro" w:hAnsi="Myriad Pro"/>
                <w:b/>
                <w:bCs/>
                <w:color w:val="auto"/>
                <w:sz w:val="20"/>
                <w:szCs w:val="20"/>
              </w:rPr>
            </w:pPr>
            <w:r w:rsidRPr="00D80E8E">
              <w:rPr>
                <w:rFonts w:ascii="Myriad Pro" w:hAnsi="Myriad Pro"/>
                <w:b/>
                <w:bCs/>
                <w:color w:val="auto"/>
                <w:sz w:val="20"/>
                <w:szCs w:val="20"/>
              </w:rPr>
              <w:t xml:space="preserve">Output 1.4: Yemeni Women empowered to participate in local and national level decision-making fora </w:t>
            </w:r>
          </w:p>
          <w:p w14:paraId="12D119C9" w14:textId="77777777" w:rsidR="00A76E78" w:rsidRDefault="00B97D51" w:rsidP="000D0460">
            <w:pPr>
              <w:pStyle w:val="Default"/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</w:pPr>
            <w:r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 xml:space="preserve">Due to </w:t>
            </w:r>
            <w:r w:rsidR="005E2F8D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 xml:space="preserve">the </w:t>
            </w:r>
            <w:r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 xml:space="preserve">deterioration of </w:t>
            </w:r>
            <w:r w:rsidR="005E2F8D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>politics</w:t>
            </w:r>
            <w:r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 xml:space="preserve"> and security across Yemen</w:t>
            </w:r>
            <w:r w:rsidR="005E2F8D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>,</w:t>
            </w:r>
            <w:r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5E2F8D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>a programme under this output hasn't been initiated, given the ongoing war</w:t>
            </w:r>
            <w:r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>.</w:t>
            </w:r>
          </w:p>
          <w:p w14:paraId="0416DF07" w14:textId="10A486B9" w:rsidR="00E61115" w:rsidRPr="00D80E8E" w:rsidRDefault="00E61115" w:rsidP="000D0460">
            <w:pPr>
              <w:pStyle w:val="Default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</w:tr>
      <w:tr w:rsidR="00BB3784" w:rsidRPr="00D80E8E" w14:paraId="0416DF0F" w14:textId="77777777" w:rsidTr="008977D9">
        <w:tc>
          <w:tcPr>
            <w:tcW w:w="3060" w:type="dxa"/>
            <w:shd w:val="clear" w:color="auto" w:fill="95B3D7" w:themeFill="accent1" w:themeFillTint="99"/>
            <w:vAlign w:val="center"/>
          </w:tcPr>
          <w:p w14:paraId="0416DF09" w14:textId="7F9DDDB4" w:rsidR="005E7CBE" w:rsidRPr="00D80E8E" w:rsidRDefault="005E7CBE" w:rsidP="005E7CBE">
            <w:pPr>
              <w:pStyle w:val="BodyText2"/>
              <w:rPr>
                <w:rFonts w:ascii="Myriad Pro" w:hAnsi="Myriad Pro"/>
                <w:b/>
              </w:rPr>
            </w:pPr>
            <w:r w:rsidRPr="00D80E8E">
              <w:rPr>
                <w:rFonts w:ascii="Myriad Pro" w:hAnsi="Myriad Pro" w:cstheme="minorHAnsi"/>
                <w:b/>
              </w:rPr>
              <w:t xml:space="preserve">CPF Outcome 2: </w:t>
            </w:r>
            <w:r w:rsidRPr="00D80E8E">
              <w:rPr>
                <w:rFonts w:ascii="Myriad Pro" w:hAnsi="Myriad Pro" w:cstheme="minorHAnsi"/>
                <w:bCs/>
              </w:rPr>
              <w:t>Yemenis improve their livelihoods and access inclusive productive services</w:t>
            </w:r>
            <w:r w:rsidRPr="00D80E8E">
              <w:rPr>
                <w:rFonts w:ascii="Myriad Pro" w:hAnsi="Myriad Pro" w:cstheme="minorHAnsi"/>
                <w:b/>
              </w:rPr>
              <w:t>.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0416DF0A" w14:textId="3646E847" w:rsidR="005E7CBE" w:rsidRPr="00D80E8E" w:rsidRDefault="008226A5" w:rsidP="005E7CBE">
            <w:pPr>
              <w:pStyle w:val="BodyText2"/>
              <w:rPr>
                <w:rFonts w:ascii="Myriad Pro" w:hAnsi="Myriad Pro"/>
              </w:rPr>
            </w:pPr>
            <w:r w:rsidRPr="00D80E8E">
              <w:rPr>
                <w:rFonts w:ascii="Myriad Pro" w:hAnsi="Myriad Pro"/>
              </w:rPr>
              <w:t>US$258M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4BFF7F93" w14:textId="77777777" w:rsidR="00ED6B5B" w:rsidRPr="00D80E8E" w:rsidRDefault="00ED6B5B" w:rsidP="00ED6B5B">
            <w:pPr>
              <w:rPr>
                <w:rFonts w:ascii="Myriad Pro" w:hAnsi="Myriad Pro" w:cstheme="minorHAnsi"/>
                <w:sz w:val="20"/>
              </w:rPr>
            </w:pPr>
            <w:r w:rsidRPr="00D80E8E">
              <w:rPr>
                <w:rFonts w:ascii="Myriad Pro" w:hAnsi="Myriad Pro" w:cstheme="minorHAnsi"/>
                <w:b/>
                <w:bCs/>
                <w:i/>
                <w:sz w:val="20"/>
              </w:rPr>
              <w:t>Outcome Indicator 2.1</w:t>
            </w:r>
            <w:r w:rsidRPr="00D80E8E">
              <w:rPr>
                <w:rFonts w:ascii="Myriad Pro" w:hAnsi="Myriad Pro" w:cstheme="minorHAnsi"/>
                <w:b/>
                <w:bCs/>
                <w:sz w:val="20"/>
              </w:rPr>
              <w:t>:</w:t>
            </w:r>
            <w:r w:rsidRPr="00D80E8E">
              <w:rPr>
                <w:rFonts w:ascii="Myriad Pro" w:hAnsi="Myriad Pro" w:cstheme="minorHAnsi"/>
                <w:sz w:val="20"/>
              </w:rPr>
              <w:t xml:space="preserve"> Proportion of population by age group and sex benefited from increased household incomes</w:t>
            </w:r>
          </w:p>
          <w:p w14:paraId="0416DF0C" w14:textId="5D4A5EB6" w:rsidR="005E7CBE" w:rsidRPr="00D80E8E" w:rsidRDefault="00ED6B5B" w:rsidP="00A23A8B">
            <w:pPr>
              <w:rPr>
                <w:rFonts w:ascii="Myriad Pro" w:hAnsi="Myriad Pro" w:cstheme="minorHAnsi"/>
                <w:sz w:val="20"/>
              </w:rPr>
            </w:pPr>
            <w:r w:rsidRPr="00D80E8E">
              <w:rPr>
                <w:rFonts w:ascii="Myriad Pro" w:hAnsi="Myriad Pro" w:cstheme="minorHAnsi"/>
                <w:i/>
                <w:sz w:val="20"/>
              </w:rPr>
              <w:t>Baseline</w:t>
            </w:r>
            <w:r w:rsidRPr="00D80E8E">
              <w:rPr>
                <w:rFonts w:ascii="Myriad Pro" w:hAnsi="Myriad Pro" w:cstheme="minorHAnsi"/>
                <w:sz w:val="20"/>
              </w:rPr>
              <w:t>: 20%</w:t>
            </w:r>
            <w:r w:rsidR="00A23A8B" w:rsidRPr="00D80E8E">
              <w:rPr>
                <w:rFonts w:ascii="Myriad Pro" w:hAnsi="Myriad Pro" w:cstheme="minorHAnsi"/>
                <w:sz w:val="20"/>
              </w:rPr>
              <w:t xml:space="preserve">; </w:t>
            </w:r>
            <w:r w:rsidRPr="00D80E8E">
              <w:rPr>
                <w:rFonts w:ascii="Myriad Pro" w:hAnsi="Myriad Pro" w:cstheme="minorHAnsi"/>
                <w:i/>
                <w:sz w:val="20"/>
              </w:rPr>
              <w:t>Target</w:t>
            </w:r>
            <w:r w:rsidRPr="00D80E8E">
              <w:rPr>
                <w:rFonts w:ascii="Myriad Pro" w:hAnsi="Myriad Pro" w:cstheme="minorHAnsi"/>
                <w:sz w:val="20"/>
              </w:rPr>
              <w:t>: 40%</w:t>
            </w:r>
          </w:p>
        </w:tc>
        <w:tc>
          <w:tcPr>
            <w:tcW w:w="5490" w:type="dxa"/>
            <w:shd w:val="clear" w:color="auto" w:fill="auto"/>
          </w:tcPr>
          <w:p w14:paraId="0416DF0E" w14:textId="6BB81903" w:rsidR="005E7CBE" w:rsidRPr="00D80E8E" w:rsidRDefault="00A23A8B" w:rsidP="00A23A8B">
            <w:pPr>
              <w:pStyle w:val="BodyText2"/>
              <w:rPr>
                <w:rFonts w:ascii="Myriad Pro" w:hAnsi="Myriad Pro"/>
                <w:i/>
              </w:rPr>
            </w:pPr>
            <w:r w:rsidRPr="00D80E8E">
              <w:rPr>
                <w:rFonts w:ascii="Myriad Pro" w:hAnsi="Myriad Pro" w:cs="Segoe UI"/>
                <w:shd w:val="clear" w:color="auto" w:fill="FFFFFF"/>
              </w:rPr>
              <w:t>Per the 18</w:t>
            </w:r>
            <w:r w:rsidR="00E61115" w:rsidRPr="00E61115">
              <w:rPr>
                <w:rFonts w:ascii="Myriad Pro" w:hAnsi="Myriad Pro" w:cs="Segoe UI"/>
                <w:shd w:val="clear" w:color="auto" w:fill="FFFFFF"/>
                <w:vertAlign w:val="superscript"/>
              </w:rPr>
              <w:t>th</w:t>
            </w:r>
            <w:r w:rsidR="00E61115">
              <w:rPr>
                <w:rFonts w:ascii="Myriad Pro" w:hAnsi="Myriad Pro" w:cs="Segoe UI"/>
                <w:shd w:val="clear" w:color="auto" w:fill="FFFFFF"/>
              </w:rPr>
              <w:t xml:space="preserve"> </w:t>
            </w:r>
            <w:r w:rsidRPr="00D80E8E">
              <w:rPr>
                <w:rFonts w:ascii="Myriad Pro" w:hAnsi="Myriad Pro" w:cs="Segoe UI"/>
                <w:shd w:val="clear" w:color="auto" w:fill="FFFFFF"/>
              </w:rPr>
              <w:t xml:space="preserve">third party monitoring report of the UNDP Emergency Crisis Response Programme, page 78. "Out of the 100 </w:t>
            </w:r>
            <w:r w:rsidR="007570AC" w:rsidRPr="00D80E8E">
              <w:rPr>
                <w:rFonts w:ascii="Myriad Pro" w:hAnsi="Myriad Pro" w:cs="Segoe UI"/>
                <w:shd w:val="clear" w:color="auto" w:fill="FFFFFF"/>
              </w:rPr>
              <w:t>per cent</w:t>
            </w:r>
            <w:r w:rsidRPr="00D80E8E">
              <w:rPr>
                <w:rFonts w:ascii="Myriad Pro" w:hAnsi="Myriad Pro" w:cs="Segoe UI"/>
                <w:shd w:val="clear" w:color="auto" w:fill="FFFFFF"/>
              </w:rPr>
              <w:t xml:space="preserve"> interviewed beneficiaries, 48 </w:t>
            </w:r>
            <w:r w:rsidR="007570AC" w:rsidRPr="00D80E8E">
              <w:rPr>
                <w:rFonts w:ascii="Myriad Pro" w:hAnsi="Myriad Pro" w:cs="Segoe UI"/>
                <w:shd w:val="clear" w:color="auto" w:fill="FFFFFF"/>
              </w:rPr>
              <w:t>per cent</w:t>
            </w:r>
            <w:r w:rsidRPr="00D80E8E">
              <w:rPr>
                <w:rFonts w:ascii="Myriad Pro" w:hAnsi="Myriad Pro" w:cs="Segoe UI"/>
                <w:shd w:val="clear" w:color="auto" w:fill="FFFFFF"/>
              </w:rPr>
              <w:t xml:space="preserve"> indicated that there was an improvement in their income</w:t>
            </w:r>
            <w:r w:rsidR="007570AC" w:rsidRPr="00D80E8E">
              <w:rPr>
                <w:rFonts w:ascii="Myriad Pro" w:hAnsi="Myriad Pro" w:cs="Segoe UI"/>
                <w:shd w:val="clear" w:color="auto" w:fill="FFFFFF"/>
              </w:rPr>
              <w:t>.</w:t>
            </w:r>
            <w:r w:rsidRPr="00D80E8E">
              <w:rPr>
                <w:rFonts w:ascii="Myriad Pro" w:hAnsi="Myriad Pro" w:cs="Segoe UI"/>
                <w:shd w:val="clear" w:color="auto" w:fill="FFFFFF"/>
              </w:rPr>
              <w:t>"</w:t>
            </w:r>
          </w:p>
        </w:tc>
      </w:tr>
      <w:tr w:rsidR="00BB3784" w:rsidRPr="00D80E8E" w14:paraId="0416DF14" w14:textId="77777777" w:rsidTr="008977D9">
        <w:tc>
          <w:tcPr>
            <w:tcW w:w="14040" w:type="dxa"/>
            <w:gridSpan w:val="5"/>
          </w:tcPr>
          <w:p w14:paraId="1328EE33" w14:textId="77777777" w:rsidR="00367ED5" w:rsidRPr="00D80E8E" w:rsidRDefault="00367ED5" w:rsidP="009260C8">
            <w:pPr>
              <w:pStyle w:val="Default"/>
              <w:rPr>
                <w:rFonts w:ascii="Myriad Pro" w:hAnsi="Myriad Pro"/>
                <w:color w:val="auto"/>
                <w:sz w:val="20"/>
                <w:szCs w:val="20"/>
              </w:rPr>
            </w:pPr>
            <w:r w:rsidRPr="00D80E8E">
              <w:rPr>
                <w:rFonts w:ascii="Myriad Pro" w:hAnsi="Myriad Pro"/>
                <w:color w:val="auto"/>
                <w:sz w:val="20"/>
                <w:szCs w:val="20"/>
                <w:u w:val="single"/>
              </w:rPr>
              <w:t>Progress and Achievements</w:t>
            </w:r>
            <w:r w:rsidRPr="00D80E8E">
              <w:rPr>
                <w:rFonts w:ascii="Myriad Pro" w:hAnsi="Myriad Pro"/>
                <w:color w:val="auto"/>
                <w:sz w:val="20"/>
                <w:szCs w:val="20"/>
              </w:rPr>
              <w:t>:</w:t>
            </w:r>
          </w:p>
          <w:p w14:paraId="033FFB4A" w14:textId="78DB6119" w:rsidR="009260C8" w:rsidRPr="00D80E8E" w:rsidRDefault="009260C8" w:rsidP="009260C8">
            <w:pPr>
              <w:pStyle w:val="Default"/>
              <w:rPr>
                <w:rFonts w:ascii="Myriad Pro" w:hAnsi="Myriad Pro"/>
                <w:b/>
                <w:bCs/>
                <w:color w:val="auto"/>
                <w:sz w:val="20"/>
                <w:szCs w:val="20"/>
              </w:rPr>
            </w:pPr>
            <w:r w:rsidRPr="00D80E8E">
              <w:rPr>
                <w:rFonts w:ascii="Myriad Pro" w:hAnsi="Myriad Pro"/>
                <w:b/>
                <w:bCs/>
                <w:color w:val="auto"/>
                <w:sz w:val="20"/>
                <w:szCs w:val="20"/>
              </w:rPr>
              <w:lastRenderedPageBreak/>
              <w:t xml:space="preserve">Output 2.1: Vulnerable and at-risk Yemenis have received short and medium-term livelihoods and recovery support. </w:t>
            </w:r>
          </w:p>
          <w:p w14:paraId="7FA07DFA" w14:textId="23CEA9E3" w:rsidR="003D11E1" w:rsidRPr="00D80E8E" w:rsidRDefault="00B35AE4" w:rsidP="009260C8">
            <w:pPr>
              <w:pStyle w:val="Default"/>
              <w:rPr>
                <w:rFonts w:ascii="Myriad Pro" w:hAnsi="Myriad Pro"/>
                <w:b/>
                <w:bCs/>
                <w:color w:val="auto"/>
                <w:sz w:val="20"/>
                <w:szCs w:val="20"/>
              </w:rPr>
            </w:pPr>
            <w:r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 xml:space="preserve">UNDP created income and livelihood opportunities </w:t>
            </w:r>
            <w:r w:rsidR="007570AC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>that benefited millions of vulnerable Yemenis directly and indirectly</w:t>
            </w:r>
            <w:r w:rsidR="00D61B1D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 xml:space="preserve">. About 48 </w:t>
            </w:r>
            <w:r w:rsidR="007570AC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>per cent</w:t>
            </w:r>
            <w:r w:rsidR="00D61B1D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 xml:space="preserve"> of respondents from an ECRP third-party monitoring exercise reported an improvement in their incomes which has enabled them to meet their household need</w:t>
            </w:r>
            <w:r w:rsidR="00487E01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>s</w:t>
            </w:r>
            <w:r w:rsidR="005D2E8B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 xml:space="preserve">. </w:t>
            </w:r>
            <w:r w:rsidR="00487E01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 xml:space="preserve">UNDP contributed </w:t>
            </w:r>
            <w:r w:rsidR="007570AC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>to reducing nutrition deficiencies among vulnerable groups by providing</w:t>
            </w:r>
            <w:r w:rsidR="00487E01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 xml:space="preserve"> cash for nutrition assistance to over </w:t>
            </w:r>
            <w:r w:rsidR="00AC6893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>1</w:t>
            </w:r>
            <w:r w:rsidR="00645B6B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>22</w:t>
            </w:r>
            <w:r w:rsidR="00487E01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 xml:space="preserve">,000 households with lactating and pregnant women and children under </w:t>
            </w:r>
            <w:r w:rsidR="007570AC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>five</w:t>
            </w:r>
            <w:r w:rsidR="00487E01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 xml:space="preserve"> year</w:t>
            </w:r>
            <w:r w:rsidR="00AC6893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>s.</w:t>
            </w:r>
            <w:r w:rsidR="00367ED5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 xml:space="preserve"> Financial and non-financial assistance support to over 8,800 Micro, Small and Medium Enterprises (MSMEs) (38% women-led) increased business viability</w:t>
            </w:r>
            <w:r w:rsidR="00B12384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>. It enabled</w:t>
            </w:r>
            <w:r w:rsidR="00367ED5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 xml:space="preserve"> the supported businesses to recover </w:t>
            </w:r>
            <w:r w:rsidR="00B12384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 xml:space="preserve">from </w:t>
            </w:r>
            <w:r w:rsidR="00367ED5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>COVID-19 and crisis-related losses and create employment opportunities.</w:t>
            </w:r>
          </w:p>
          <w:p w14:paraId="68231193" w14:textId="6D841988" w:rsidR="005C2D92" w:rsidRPr="00D80E8E" w:rsidRDefault="005C2D92" w:rsidP="005C2D92">
            <w:pPr>
              <w:pStyle w:val="Default"/>
              <w:rPr>
                <w:rFonts w:ascii="Myriad Pro" w:hAnsi="Myriad Pro"/>
                <w:color w:val="auto"/>
                <w:sz w:val="20"/>
                <w:szCs w:val="20"/>
              </w:rPr>
            </w:pPr>
            <w:r w:rsidRPr="00D80E8E">
              <w:rPr>
                <w:rFonts w:ascii="Myriad Pro" w:hAnsi="Myriad Pro"/>
                <w:b/>
                <w:bCs/>
                <w:color w:val="auto"/>
                <w:sz w:val="20"/>
                <w:szCs w:val="20"/>
              </w:rPr>
              <w:t>Output 2.2: Social and productive community assets rehabilitated</w:t>
            </w:r>
            <w:r w:rsidR="00B12384" w:rsidRPr="00D80E8E">
              <w:rPr>
                <w:rFonts w:ascii="Myriad Pro" w:hAnsi="Myriad Pro"/>
                <w:b/>
                <w:bCs/>
                <w:color w:val="auto"/>
                <w:sz w:val="20"/>
                <w:szCs w:val="20"/>
              </w:rPr>
              <w:t>.</w:t>
            </w:r>
            <w:r w:rsidRPr="00D80E8E">
              <w:rPr>
                <w:rFonts w:ascii="Myriad Pro" w:hAnsi="Myriad Pro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6F9729A5" w14:textId="575F0082" w:rsidR="003D11E1" w:rsidRPr="00D80E8E" w:rsidRDefault="009A4221" w:rsidP="009260C8">
            <w:pPr>
              <w:pStyle w:val="Default"/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</w:pPr>
            <w:r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 xml:space="preserve">In collaboration with national institutions and CSOs, UNDP supported the rehabilitation and construction of </w:t>
            </w:r>
            <w:r w:rsidR="00B12384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>critical</w:t>
            </w:r>
            <w:r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 xml:space="preserve"> community infrastructure that expanded the provision of improved social services to millions of Yemenis across the country</w:t>
            </w:r>
            <w:r w:rsidR="00EF6DE4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 xml:space="preserve"> (as reported </w:t>
            </w:r>
            <w:r w:rsidR="005F2E44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>in 2.1 above)</w:t>
            </w:r>
            <w:r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>.</w:t>
            </w:r>
            <w:r w:rsidR="00EA3926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B12384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>Significant</w:t>
            </w:r>
            <w:r w:rsidR="00EA3926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 xml:space="preserve"> infrastructural developments completed during the reporting period are the construction of water reservoirs to hold over </w:t>
            </w:r>
            <w:r w:rsidR="0038343F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>1</w:t>
            </w:r>
            <w:r w:rsidR="005A1748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>20</w:t>
            </w:r>
            <w:r w:rsidR="00EA3926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 xml:space="preserve">,000 cubic meters of water, rehabilitation of over </w:t>
            </w:r>
            <w:r w:rsidR="005A1748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>1,600</w:t>
            </w:r>
            <w:r w:rsidR="00EA3926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 xml:space="preserve"> hectares of agricultural lands, </w:t>
            </w:r>
            <w:r w:rsidR="00B12384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>around</w:t>
            </w:r>
            <w:r w:rsidR="003C2BB3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 xml:space="preserve"> 150</w:t>
            </w:r>
            <w:r w:rsidR="00EA3926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BB3784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>kilometres</w:t>
            </w:r>
            <w:r w:rsidR="00EA3926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 xml:space="preserve"> of rural roads and </w:t>
            </w:r>
            <w:r w:rsidR="003C2BB3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>over 155</w:t>
            </w:r>
            <w:r w:rsidR="00EA3926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 xml:space="preserve"> school classrooms</w:t>
            </w:r>
            <w:r w:rsidR="003C2BB3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7D8EFA85" w14:textId="634E45C6" w:rsidR="006E5EB2" w:rsidRPr="00D80E8E" w:rsidRDefault="006E5EB2" w:rsidP="006E5EB2">
            <w:pPr>
              <w:pStyle w:val="Default"/>
              <w:rPr>
                <w:rFonts w:ascii="Myriad Pro" w:hAnsi="Myriad Pro"/>
                <w:color w:val="auto"/>
                <w:sz w:val="20"/>
                <w:szCs w:val="20"/>
              </w:rPr>
            </w:pPr>
            <w:r w:rsidRPr="00D80E8E">
              <w:rPr>
                <w:rFonts w:ascii="Myriad Pro" w:hAnsi="Myriad Pro"/>
                <w:b/>
                <w:bCs/>
                <w:color w:val="auto"/>
                <w:sz w:val="20"/>
                <w:szCs w:val="20"/>
              </w:rPr>
              <w:t xml:space="preserve">Output 2.3: Yemeni citizens and businesses </w:t>
            </w:r>
            <w:r w:rsidR="00BB3784" w:rsidRPr="00D80E8E">
              <w:rPr>
                <w:rFonts w:ascii="Myriad Pro" w:hAnsi="Myriad Pro"/>
                <w:b/>
                <w:bCs/>
                <w:color w:val="auto"/>
                <w:sz w:val="20"/>
                <w:szCs w:val="20"/>
              </w:rPr>
              <w:t xml:space="preserve">are </w:t>
            </w:r>
            <w:r w:rsidRPr="00D80E8E">
              <w:rPr>
                <w:rFonts w:ascii="Myriad Pro" w:hAnsi="Myriad Pro"/>
                <w:b/>
                <w:bCs/>
                <w:color w:val="auto"/>
                <w:sz w:val="20"/>
                <w:szCs w:val="20"/>
              </w:rPr>
              <w:t xml:space="preserve">provided with affordable and renewable energy </w:t>
            </w:r>
          </w:p>
          <w:p w14:paraId="5AC5D7B2" w14:textId="49229BB0" w:rsidR="003C2BB3" w:rsidRPr="00D80E8E" w:rsidRDefault="00396421" w:rsidP="009260C8">
            <w:pPr>
              <w:pStyle w:val="Default"/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</w:pPr>
            <w:r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 xml:space="preserve">In partnership with local district authorities, </w:t>
            </w:r>
            <w:r w:rsidR="003A4407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 xml:space="preserve">national institutions, </w:t>
            </w:r>
            <w:r w:rsidR="00BB3784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 xml:space="preserve">and </w:t>
            </w:r>
            <w:r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>CSOs</w:t>
            </w:r>
            <w:r w:rsidR="00B12384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>,</w:t>
            </w:r>
            <w:r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 xml:space="preserve"> UNDP provided over 1 million people with access to reliable and renewable energy options through the solarisation of </w:t>
            </w:r>
            <w:r w:rsidR="00B12384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>critical</w:t>
            </w:r>
            <w:r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 xml:space="preserve"> public facilities like schools and health centres, development of </w:t>
            </w:r>
            <w:r w:rsidR="003A4407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>community-level</w:t>
            </w:r>
            <w:r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 xml:space="preserve"> solar microgrids which are connected to public facilities and households and piloting the waste-to-energy initiative for sound management of domestic waste while at the same time generating energy for electrification</w:t>
            </w:r>
            <w:r w:rsidR="00A7155D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>.</w:t>
            </w:r>
          </w:p>
          <w:p w14:paraId="27F9844E" w14:textId="77777777" w:rsidR="00A7155D" w:rsidRPr="00D80E8E" w:rsidRDefault="00A7155D" w:rsidP="00A7155D">
            <w:pPr>
              <w:pStyle w:val="Default"/>
              <w:rPr>
                <w:rFonts w:ascii="Myriad Pro" w:hAnsi="Myriad Pro"/>
                <w:color w:val="auto"/>
                <w:sz w:val="20"/>
                <w:szCs w:val="20"/>
              </w:rPr>
            </w:pPr>
            <w:r w:rsidRPr="00D80E8E">
              <w:rPr>
                <w:rFonts w:ascii="Myriad Pro" w:hAnsi="Myriad Pro"/>
                <w:b/>
                <w:bCs/>
                <w:color w:val="auto"/>
                <w:sz w:val="20"/>
                <w:szCs w:val="20"/>
              </w:rPr>
              <w:t xml:space="preserve">Output 2.4: Yemeni women have the capacity, training and access to financial services to sustain their livelihood through micro and small businesses </w:t>
            </w:r>
          </w:p>
          <w:p w14:paraId="24F9BC97" w14:textId="77777777" w:rsidR="005E7CBE" w:rsidRDefault="00B12384" w:rsidP="00297ADF">
            <w:pPr>
              <w:pStyle w:val="Default"/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</w:pPr>
            <w:r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>Many</w:t>
            </w:r>
            <w:r w:rsidR="00A0461F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 xml:space="preserve"> women benefitted from recovery programmes through cash for work, emergency employment</w:t>
            </w:r>
            <w:r w:rsidR="00297ADF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 xml:space="preserve"> and renewable</w:t>
            </w:r>
            <w:r w:rsidR="00A0461F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 xml:space="preserve"> energy</w:t>
            </w:r>
            <w:r w:rsidR="00297ADF" w:rsidRPr="00D80E8E">
              <w:rPr>
                <w:rFonts w:ascii="Myriad Pro" w:hAnsi="Myriad Pro" w:cs="Segoe UI"/>
                <w:color w:val="auto"/>
                <w:sz w:val="20"/>
                <w:szCs w:val="20"/>
                <w:shd w:val="clear" w:color="auto" w:fill="FFFFFF"/>
              </w:rPr>
              <w:t xml:space="preserve"> initiatives. </w:t>
            </w:r>
          </w:p>
          <w:p w14:paraId="0416DF13" w14:textId="7AD6FECB" w:rsidR="00E61115" w:rsidRPr="00D80E8E" w:rsidRDefault="00E61115" w:rsidP="00297ADF">
            <w:pPr>
              <w:pStyle w:val="Default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</w:tr>
      <w:tr w:rsidR="00BB3784" w:rsidRPr="00D80E8E" w14:paraId="0416DF21" w14:textId="77777777" w:rsidTr="008977D9">
        <w:tc>
          <w:tcPr>
            <w:tcW w:w="14040" w:type="dxa"/>
            <w:gridSpan w:val="5"/>
          </w:tcPr>
          <w:tbl>
            <w:tblPr>
              <w:tblW w:w="14040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0"/>
              <w:gridCol w:w="1530"/>
              <w:gridCol w:w="3960"/>
              <w:gridCol w:w="5490"/>
            </w:tblGrid>
            <w:tr w:rsidR="00BB3784" w:rsidRPr="00D80E8E" w14:paraId="031E220D" w14:textId="77777777" w:rsidTr="00B67E4A">
              <w:tc>
                <w:tcPr>
                  <w:tcW w:w="3060" w:type="dxa"/>
                  <w:shd w:val="clear" w:color="auto" w:fill="95B3D7" w:themeFill="accent1" w:themeFillTint="99"/>
                  <w:vAlign w:val="center"/>
                </w:tcPr>
                <w:p w14:paraId="2529E762" w14:textId="69CB150A" w:rsidR="00F902BE" w:rsidRPr="00D80E8E" w:rsidRDefault="00DF05B9" w:rsidP="00DF05B9">
                  <w:pPr>
                    <w:pStyle w:val="BodyText2"/>
                    <w:rPr>
                      <w:rFonts w:ascii="Myriad Pro" w:hAnsi="Myriad Pro" w:cstheme="minorHAnsi"/>
                      <w:b/>
                    </w:rPr>
                  </w:pPr>
                  <w:r w:rsidRPr="00D80E8E">
                    <w:rPr>
                      <w:rFonts w:ascii="Myriad Pro" w:hAnsi="Myriad Pro" w:cstheme="minorHAnsi"/>
                      <w:b/>
                    </w:rPr>
                    <w:lastRenderedPageBreak/>
                    <w:t xml:space="preserve">CPF Outcome 3: </w:t>
                  </w:r>
                  <w:r w:rsidR="005D698F" w:rsidRPr="00D80E8E">
                    <w:rPr>
                      <w:rFonts w:ascii="Myriad Pro" w:hAnsi="Myriad Pro" w:cstheme="minorHAnsi"/>
                      <w:b/>
                    </w:rPr>
                    <w:t>Yemenis contribute to and benefit from peacebuilding processes.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539E6A66" w14:textId="30264E6E" w:rsidR="00DF05B9" w:rsidRPr="00D80E8E" w:rsidRDefault="00C4744B" w:rsidP="00DF05B9">
                  <w:pPr>
                    <w:pStyle w:val="BodyText2"/>
                    <w:rPr>
                      <w:rFonts w:ascii="Myriad Pro" w:hAnsi="Myriad Pro"/>
                    </w:rPr>
                  </w:pPr>
                  <w:r w:rsidRPr="00D80E8E">
                    <w:rPr>
                      <w:rFonts w:ascii="Myriad Pro" w:hAnsi="Myriad Pro"/>
                    </w:rPr>
                    <w:t>US$65M</w:t>
                  </w:r>
                </w:p>
              </w:tc>
              <w:tc>
                <w:tcPr>
                  <w:tcW w:w="3960" w:type="dxa"/>
                  <w:tcBorders>
                    <w:left w:val="single" w:sz="4" w:space="0" w:color="auto"/>
                  </w:tcBorders>
                </w:tcPr>
                <w:p w14:paraId="6997617E" w14:textId="77777777" w:rsidR="00152969" w:rsidRPr="00D80E8E" w:rsidRDefault="00152969" w:rsidP="00152969">
                  <w:pPr>
                    <w:rPr>
                      <w:rFonts w:ascii="Myriad Pro" w:hAnsi="Myriad Pro" w:cstheme="minorHAnsi"/>
                      <w:sz w:val="20"/>
                    </w:rPr>
                  </w:pPr>
                  <w:r w:rsidRPr="00D80E8E">
                    <w:rPr>
                      <w:rFonts w:ascii="Myriad Pro" w:hAnsi="Myriad Pro" w:cstheme="minorHAnsi"/>
                      <w:b/>
                      <w:bCs/>
                      <w:i/>
                      <w:sz w:val="20"/>
                    </w:rPr>
                    <w:t>Outcome Indicator 3.1</w:t>
                  </w:r>
                  <w:r w:rsidRPr="00D80E8E">
                    <w:rPr>
                      <w:rFonts w:ascii="Myriad Pro" w:hAnsi="Myriad Pro" w:cstheme="minorHAnsi"/>
                      <w:b/>
                      <w:bCs/>
                      <w:sz w:val="20"/>
                    </w:rPr>
                    <w:t>:</w:t>
                  </w:r>
                  <w:r w:rsidRPr="00D80E8E">
                    <w:rPr>
                      <w:rFonts w:ascii="Myriad Pro" w:hAnsi="Myriad Pro" w:cstheme="minorHAnsi"/>
                      <w:sz w:val="20"/>
                    </w:rPr>
                    <w:t xml:space="preserve"> Number of operationalised local peace agreements</w:t>
                  </w:r>
                </w:p>
                <w:p w14:paraId="55A8F93F" w14:textId="0E5A1598" w:rsidR="00DF05B9" w:rsidRPr="00D80E8E" w:rsidRDefault="00152969" w:rsidP="00F902BE">
                  <w:pPr>
                    <w:rPr>
                      <w:rFonts w:ascii="Myriad Pro" w:hAnsi="Myriad Pro" w:cstheme="minorHAnsi"/>
                      <w:sz w:val="20"/>
                    </w:rPr>
                  </w:pPr>
                  <w:r w:rsidRPr="00D80E8E">
                    <w:rPr>
                      <w:rFonts w:ascii="Myriad Pro" w:hAnsi="Myriad Pro" w:cstheme="minorHAnsi"/>
                      <w:b/>
                      <w:bCs/>
                      <w:i/>
                      <w:sz w:val="20"/>
                    </w:rPr>
                    <w:t>Baseline</w:t>
                  </w:r>
                  <w:r w:rsidRPr="00D80E8E">
                    <w:rPr>
                      <w:rFonts w:ascii="Myriad Pro" w:hAnsi="Myriad Pro" w:cstheme="minorHAnsi"/>
                      <w:b/>
                      <w:bCs/>
                      <w:sz w:val="20"/>
                    </w:rPr>
                    <w:t>:</w:t>
                  </w:r>
                  <w:r w:rsidRPr="00D80E8E">
                    <w:rPr>
                      <w:rFonts w:ascii="Myriad Pro" w:hAnsi="Myriad Pro" w:cstheme="minorHAnsi"/>
                      <w:sz w:val="20"/>
                    </w:rPr>
                    <w:t xml:space="preserve"> 0</w:t>
                  </w:r>
                  <w:r w:rsidR="00F902BE" w:rsidRPr="00D80E8E">
                    <w:rPr>
                      <w:rFonts w:ascii="Myriad Pro" w:hAnsi="Myriad Pro" w:cstheme="minorHAnsi"/>
                      <w:sz w:val="20"/>
                    </w:rPr>
                    <w:t xml:space="preserve">, </w:t>
                  </w:r>
                  <w:r w:rsidRPr="00D80E8E">
                    <w:rPr>
                      <w:rFonts w:ascii="Myriad Pro" w:hAnsi="Myriad Pro" w:cstheme="minorHAnsi"/>
                      <w:b/>
                      <w:bCs/>
                      <w:i/>
                      <w:sz w:val="20"/>
                    </w:rPr>
                    <w:t>Target</w:t>
                  </w:r>
                  <w:r w:rsidRPr="00D80E8E">
                    <w:rPr>
                      <w:rFonts w:ascii="Myriad Pro" w:hAnsi="Myriad Pro" w:cstheme="minorHAnsi"/>
                      <w:b/>
                      <w:bCs/>
                      <w:sz w:val="20"/>
                    </w:rPr>
                    <w:t>:</w:t>
                  </w:r>
                  <w:r w:rsidRPr="00D80E8E">
                    <w:rPr>
                      <w:rFonts w:ascii="Myriad Pro" w:hAnsi="Myriad Pro" w:cstheme="minorHAnsi"/>
                      <w:sz w:val="20"/>
                    </w:rPr>
                    <w:t xml:space="preserve"> 2 (Hodeidah and Taiz)</w:t>
                  </w:r>
                </w:p>
              </w:tc>
              <w:tc>
                <w:tcPr>
                  <w:tcW w:w="5490" w:type="dxa"/>
                  <w:shd w:val="clear" w:color="auto" w:fill="auto"/>
                </w:tcPr>
                <w:p w14:paraId="0BFCFA61" w14:textId="32C4C569" w:rsidR="00DF05B9" w:rsidRPr="00D80E8E" w:rsidRDefault="00B315C4" w:rsidP="00B315C4">
                  <w:pPr>
                    <w:pStyle w:val="BodyText2"/>
                    <w:rPr>
                      <w:rFonts w:ascii="Myriad Pro" w:hAnsi="Myriad Pro"/>
                      <w:iCs/>
                    </w:rPr>
                  </w:pPr>
                  <w:r w:rsidRPr="00D80E8E">
                    <w:rPr>
                      <w:rFonts w:ascii="Myriad Pro" w:hAnsi="Myriad Pro" w:cs="Segoe UI"/>
                      <w:shd w:val="clear" w:color="auto" w:fill="FFFFFF"/>
                    </w:rPr>
                    <w:t>There has been continued violation of peace agreements by the conflicting parties in Yemen</w:t>
                  </w:r>
                  <w:r w:rsidR="00B12384" w:rsidRPr="00D80E8E">
                    <w:rPr>
                      <w:rFonts w:ascii="Myriad Pro" w:hAnsi="Myriad Pro" w:cs="Segoe UI"/>
                      <w:shd w:val="clear" w:color="auto" w:fill="FFFFFF"/>
                    </w:rPr>
                    <w:t>,</w:t>
                  </w:r>
                  <w:r w:rsidRPr="00D80E8E">
                    <w:rPr>
                      <w:rFonts w:ascii="Myriad Pro" w:hAnsi="Myriad Pro" w:cs="Segoe UI"/>
                      <w:shd w:val="clear" w:color="auto" w:fill="FFFFFF"/>
                    </w:rPr>
                    <w:t xml:space="preserve"> and no peace agreements could be reached. </w:t>
                  </w:r>
                </w:p>
              </w:tc>
            </w:tr>
            <w:tr w:rsidR="00BB3784" w:rsidRPr="00D80E8E" w14:paraId="7FE062B7" w14:textId="77777777" w:rsidTr="00B67E4A">
              <w:tc>
                <w:tcPr>
                  <w:tcW w:w="14040" w:type="dxa"/>
                  <w:gridSpan w:val="4"/>
                </w:tcPr>
                <w:p w14:paraId="6900687D" w14:textId="0220567B" w:rsidR="00DF05B9" w:rsidRPr="00D80E8E" w:rsidRDefault="00CA1F1E" w:rsidP="00DF05B9">
                  <w:pPr>
                    <w:pStyle w:val="BodyText2"/>
                    <w:rPr>
                      <w:rFonts w:ascii="Myriad Pro" w:hAnsi="Myriad Pro"/>
                    </w:rPr>
                  </w:pPr>
                  <w:r w:rsidRPr="00D80E8E">
                    <w:rPr>
                      <w:rFonts w:ascii="Myriad Pro" w:hAnsi="Myriad Pro"/>
                      <w:u w:val="single"/>
                    </w:rPr>
                    <w:t>Progress and achievements</w:t>
                  </w:r>
                </w:p>
                <w:p w14:paraId="790A9CD8" w14:textId="77777777" w:rsidR="00A75892" w:rsidRPr="00D80E8E" w:rsidRDefault="00A75892" w:rsidP="00A75892">
                  <w:pPr>
                    <w:pStyle w:val="Default"/>
                    <w:rPr>
                      <w:rFonts w:ascii="Myriad Pro" w:hAnsi="Myriad Pro"/>
                      <w:color w:val="auto"/>
                      <w:sz w:val="20"/>
                      <w:szCs w:val="20"/>
                    </w:rPr>
                  </w:pPr>
                  <w:r w:rsidRPr="00D80E8E">
                    <w:rPr>
                      <w:rFonts w:ascii="Myriad Pro" w:hAnsi="Myriad Pro"/>
                      <w:b/>
                      <w:bCs/>
                      <w:color w:val="auto"/>
                      <w:sz w:val="20"/>
                      <w:szCs w:val="20"/>
                    </w:rPr>
                    <w:t xml:space="preserve">Output 3.1: Relevant mine action organisations capacitated to provide Yemen with a safe environment </w:t>
                  </w:r>
                </w:p>
                <w:p w14:paraId="1EC042B3" w14:textId="5D755335" w:rsidR="00797184" w:rsidRPr="00D80E8E" w:rsidRDefault="00834997" w:rsidP="00DF05B9">
                  <w:pPr>
                    <w:pStyle w:val="BodyText2"/>
                    <w:rPr>
                      <w:rFonts w:ascii="Myriad Pro" w:hAnsi="Myriad Pro"/>
                    </w:rPr>
                  </w:pPr>
                  <w:r w:rsidRPr="00D80E8E">
                    <w:rPr>
                      <w:rFonts w:ascii="Myriad Pro" w:hAnsi="Myriad Pro" w:cs="Segoe UI"/>
                      <w:shd w:val="clear" w:color="auto" w:fill="FFFFFF"/>
                    </w:rPr>
                    <w:t>UNDP support</w:t>
                  </w:r>
                  <w:r w:rsidR="005F7506" w:rsidRPr="00D80E8E">
                    <w:rPr>
                      <w:rFonts w:ascii="Myriad Pro" w:hAnsi="Myriad Pro" w:cs="Segoe UI"/>
                      <w:shd w:val="clear" w:color="auto" w:fill="FFFFFF"/>
                    </w:rPr>
                    <w:t>ed</w:t>
                  </w:r>
                  <w:r w:rsidRPr="00D80E8E">
                    <w:rPr>
                      <w:rFonts w:ascii="Myriad Pro" w:hAnsi="Myriad Pro" w:cs="Segoe UI"/>
                      <w:shd w:val="clear" w:color="auto" w:fill="FFFFFF"/>
                    </w:rPr>
                    <w:t xml:space="preserve"> survey and mine clearance operations in the northern and southern governorates and</w:t>
                  </w:r>
                  <w:r w:rsidR="0041777B" w:rsidRPr="00D80E8E">
                    <w:rPr>
                      <w:rFonts w:ascii="Myriad Pro" w:hAnsi="Myriad Pro" w:cs="Segoe UI"/>
                      <w:shd w:val="clear" w:color="auto" w:fill="FFFFFF"/>
                    </w:rPr>
                    <w:t>,</w:t>
                  </w:r>
                  <w:r w:rsidRPr="00D80E8E">
                    <w:rPr>
                      <w:rFonts w:ascii="Myriad Pro" w:hAnsi="Myriad Pro" w:cs="Segoe UI"/>
                      <w:shd w:val="clear" w:color="auto" w:fill="FFFFFF"/>
                    </w:rPr>
                    <w:t xml:space="preserve"> at the same time</w:t>
                  </w:r>
                  <w:r w:rsidR="0041777B" w:rsidRPr="00D80E8E">
                    <w:rPr>
                      <w:rFonts w:ascii="Myriad Pro" w:hAnsi="Myriad Pro" w:cs="Segoe UI"/>
                      <w:shd w:val="clear" w:color="auto" w:fill="FFFFFF"/>
                    </w:rPr>
                    <w:t>,</w:t>
                  </w:r>
                  <w:r w:rsidRPr="00D80E8E">
                    <w:rPr>
                      <w:rFonts w:ascii="Myriad Pro" w:hAnsi="Myriad Pro" w:cs="Segoe UI"/>
                      <w:shd w:val="clear" w:color="auto" w:fill="FFFFFF"/>
                    </w:rPr>
                    <w:t xml:space="preserve"> </w:t>
                  </w:r>
                  <w:r w:rsidR="005F7506" w:rsidRPr="00D80E8E">
                    <w:rPr>
                      <w:rFonts w:ascii="Myriad Pro" w:hAnsi="Myriad Pro" w:cs="Segoe UI"/>
                      <w:shd w:val="clear" w:color="auto" w:fill="FFFFFF"/>
                    </w:rPr>
                    <w:t>built</w:t>
                  </w:r>
                  <w:r w:rsidRPr="00D80E8E">
                    <w:rPr>
                      <w:rFonts w:ascii="Myriad Pro" w:hAnsi="Myriad Pro" w:cs="Segoe UI"/>
                      <w:shd w:val="clear" w:color="auto" w:fill="FFFFFF"/>
                    </w:rPr>
                    <w:t xml:space="preserve"> the capacities of two national institutions to manage mine-clearance operations - Yemen Executive Mine Action Center (YEMAC) and Yemen Mine Action Co-ordination Centre (YMACC).</w:t>
                  </w:r>
                  <w:r w:rsidR="006A0AB0" w:rsidRPr="00D80E8E">
                    <w:rPr>
                      <w:rFonts w:ascii="Myriad Pro" w:hAnsi="Myriad Pro" w:cs="Segoe UI"/>
                      <w:shd w:val="clear" w:color="auto" w:fill="FFFFFF"/>
                    </w:rPr>
                    <w:t xml:space="preserve"> </w:t>
                  </w:r>
                  <w:r w:rsidR="007B79AE" w:rsidRPr="00D80E8E">
                    <w:rPr>
                      <w:rFonts w:ascii="Myriad Pro" w:hAnsi="Myriad Pro" w:cs="Segoe UI"/>
                      <w:shd w:val="clear" w:color="auto" w:fill="FFFFFF"/>
                    </w:rPr>
                    <w:t>With UNDP's support, over 100,000 different Unexploded Ordnance (UXO) were cleared from more than 5 million square meters of previously contaminated land</w:t>
                  </w:r>
                  <w:r w:rsidR="004B1BFD" w:rsidRPr="00D80E8E">
                    <w:rPr>
                      <w:rFonts w:ascii="Myriad Pro" w:hAnsi="Myriad Pro" w:cs="Segoe UI"/>
                      <w:shd w:val="clear" w:color="auto" w:fill="FFFFFF"/>
                    </w:rPr>
                    <w:t xml:space="preserve">. </w:t>
                  </w:r>
                </w:p>
                <w:p w14:paraId="05739C0E" w14:textId="5D52AA3C" w:rsidR="00A75892" w:rsidRPr="00D80E8E" w:rsidRDefault="00A75892" w:rsidP="00A75892">
                  <w:pPr>
                    <w:pStyle w:val="Default"/>
                    <w:rPr>
                      <w:rFonts w:ascii="Myriad Pro" w:hAnsi="Myriad Pro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80E8E">
                    <w:rPr>
                      <w:rFonts w:ascii="Myriad Pro" w:hAnsi="Myriad Pro"/>
                      <w:b/>
                      <w:bCs/>
                      <w:color w:val="auto"/>
                      <w:sz w:val="20"/>
                      <w:szCs w:val="20"/>
                    </w:rPr>
                    <w:t xml:space="preserve">Output 3.2: Support provided to the implementation of local peace agreements </w:t>
                  </w:r>
                </w:p>
                <w:p w14:paraId="47599A16" w14:textId="2DA24EA1" w:rsidR="00A06553" w:rsidRPr="00D80E8E" w:rsidRDefault="00685DE1" w:rsidP="00A75892">
                  <w:pPr>
                    <w:pStyle w:val="Default"/>
                    <w:rPr>
                      <w:rFonts w:ascii="Myriad Pro" w:hAnsi="Myriad Pro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80E8E">
                    <w:rPr>
                      <w:rFonts w:ascii="Myriad Pro" w:hAnsi="Myriad Pro" w:cs="Segoe UI"/>
                      <w:color w:val="auto"/>
                      <w:sz w:val="20"/>
                      <w:szCs w:val="20"/>
                      <w:shd w:val="clear" w:color="auto" w:fill="FFFFFF"/>
                    </w:rPr>
                    <w:t>UNDP supported the efforts to ensure the functionality of the Red Sea Ports to enable the flow of commercial and humanitarian commodities, including food</w:t>
                  </w:r>
                  <w:r w:rsidR="0041777B" w:rsidRPr="00D80E8E">
                    <w:rPr>
                      <w:rFonts w:ascii="Myriad Pro" w:hAnsi="Myriad Pro" w:cs="Segoe UI"/>
                      <w:color w:val="auto"/>
                      <w:sz w:val="20"/>
                      <w:szCs w:val="20"/>
                      <w:shd w:val="clear" w:color="auto" w:fill="FFFFFF"/>
                    </w:rPr>
                    <w:t>,</w:t>
                  </w:r>
                  <w:r w:rsidRPr="00D80E8E">
                    <w:rPr>
                      <w:rFonts w:ascii="Myriad Pro" w:hAnsi="Myriad Pro" w:cs="Segoe UI"/>
                      <w:color w:val="auto"/>
                      <w:sz w:val="20"/>
                      <w:szCs w:val="20"/>
                      <w:shd w:val="clear" w:color="auto" w:fill="FFFFFF"/>
                    </w:rPr>
                    <w:t xml:space="preserve"> to avert the ever-looming famine. While the rehabilitation of the port of Hodeidah is not completed yet, two infrastructures - the generator shelter and Workshop of Hodeida Port were rehabilitated</w:t>
                  </w:r>
                  <w:r w:rsidR="0041777B" w:rsidRPr="00D80E8E">
                    <w:rPr>
                      <w:rFonts w:ascii="Myriad Pro" w:hAnsi="Myriad Pro" w:cs="Segoe UI"/>
                      <w:color w:val="auto"/>
                      <w:sz w:val="20"/>
                      <w:szCs w:val="20"/>
                      <w:shd w:val="clear" w:color="auto" w:fill="FFFFFF"/>
                    </w:rPr>
                    <w:t>,</w:t>
                  </w:r>
                  <w:r w:rsidRPr="00D80E8E">
                    <w:rPr>
                      <w:rFonts w:ascii="Myriad Pro" w:hAnsi="Myriad Pro" w:cs="Segoe UI"/>
                      <w:color w:val="auto"/>
                      <w:sz w:val="20"/>
                      <w:szCs w:val="20"/>
                      <w:shd w:val="clear" w:color="auto" w:fill="FFFFFF"/>
                    </w:rPr>
                    <w:t xml:space="preserve"> which improved the functionality of the port.</w:t>
                  </w:r>
                  <w:r w:rsidR="003149C0" w:rsidRPr="00D80E8E">
                    <w:rPr>
                      <w:rFonts w:ascii="Myriad Pro" w:hAnsi="Myriad Pro" w:cs="Segoe UI"/>
                      <w:color w:val="auto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 w14:paraId="0CF145BC" w14:textId="77777777" w:rsidR="00A06553" w:rsidRPr="00D80E8E" w:rsidRDefault="00A06553" w:rsidP="00A06553">
                  <w:pPr>
                    <w:pStyle w:val="Default"/>
                    <w:rPr>
                      <w:rFonts w:ascii="Myriad Pro" w:hAnsi="Myriad Pro"/>
                      <w:color w:val="auto"/>
                      <w:sz w:val="20"/>
                      <w:szCs w:val="20"/>
                    </w:rPr>
                  </w:pPr>
                  <w:r w:rsidRPr="00D80E8E">
                    <w:rPr>
                      <w:rFonts w:ascii="Myriad Pro" w:hAnsi="Myriad Pro"/>
                      <w:b/>
                      <w:bCs/>
                      <w:color w:val="auto"/>
                      <w:sz w:val="20"/>
                      <w:szCs w:val="20"/>
                    </w:rPr>
                    <w:t xml:space="preserve">Output 3.3: Support provided to tackle root causes of conflict at the local level with a focus on women’s empowerment </w:t>
                  </w:r>
                </w:p>
                <w:p w14:paraId="64A04802" w14:textId="77777777" w:rsidR="00DF05B9" w:rsidRDefault="00060083" w:rsidP="00816A29">
                  <w:pPr>
                    <w:pStyle w:val="Default"/>
                    <w:rPr>
                      <w:rFonts w:ascii="Myriad Pro" w:hAnsi="Myriad Pro" w:cs="Segoe UI"/>
                      <w:color w:val="auto"/>
                      <w:sz w:val="20"/>
                      <w:szCs w:val="20"/>
                      <w:shd w:val="clear" w:color="auto" w:fill="FFFFFF"/>
                    </w:rPr>
                  </w:pPr>
                  <w:r w:rsidRPr="00D80E8E">
                    <w:rPr>
                      <w:rFonts w:ascii="Myriad Pro" w:hAnsi="Myriad Pro" w:cs="Segoe UI"/>
                      <w:color w:val="auto"/>
                      <w:sz w:val="20"/>
                      <w:szCs w:val="20"/>
                      <w:shd w:val="clear" w:color="auto" w:fill="FFFFFF"/>
                    </w:rPr>
                    <w:t xml:space="preserve">UNDP supported the promotion of </w:t>
                  </w:r>
                  <w:r w:rsidR="00AD0EA6" w:rsidRPr="00D80E8E">
                    <w:rPr>
                      <w:rFonts w:ascii="Myriad Pro" w:hAnsi="Myriad Pro" w:cs="Segoe UI"/>
                      <w:color w:val="auto"/>
                      <w:sz w:val="20"/>
                      <w:szCs w:val="20"/>
                      <w:shd w:val="clear" w:color="auto" w:fill="FFFFFF"/>
                    </w:rPr>
                    <w:t>community-level</w:t>
                  </w:r>
                  <w:r w:rsidRPr="00D80E8E">
                    <w:rPr>
                      <w:rFonts w:ascii="Myriad Pro" w:hAnsi="Myriad Pro" w:cs="Segoe UI"/>
                      <w:color w:val="auto"/>
                      <w:sz w:val="20"/>
                      <w:szCs w:val="20"/>
                      <w:shd w:val="clear" w:color="auto" w:fill="FFFFFF"/>
                    </w:rPr>
                    <w:t xml:space="preserve"> dialogue that </w:t>
                  </w:r>
                  <w:r w:rsidR="007B79AE" w:rsidRPr="00D80E8E">
                    <w:rPr>
                      <w:rFonts w:ascii="Myriad Pro" w:hAnsi="Myriad Pro" w:cs="Segoe UI"/>
                      <w:color w:val="auto"/>
                      <w:sz w:val="20"/>
                      <w:szCs w:val="20"/>
                      <w:shd w:val="clear" w:color="auto" w:fill="FFFFFF"/>
                    </w:rPr>
                    <w:t>reduced</w:t>
                  </w:r>
                  <w:r w:rsidRPr="00D80E8E">
                    <w:rPr>
                      <w:rFonts w:ascii="Myriad Pro" w:hAnsi="Myriad Pro" w:cs="Segoe UI"/>
                      <w:color w:val="auto"/>
                      <w:sz w:val="20"/>
                      <w:szCs w:val="20"/>
                      <w:shd w:val="clear" w:color="auto" w:fill="FFFFFF"/>
                    </w:rPr>
                    <w:t xml:space="preserve"> local conflicts and </w:t>
                  </w:r>
                  <w:r w:rsidR="00BB3784" w:rsidRPr="00D80E8E">
                    <w:rPr>
                      <w:rFonts w:ascii="Myriad Pro" w:hAnsi="Myriad Pro" w:cs="Segoe UI"/>
                      <w:color w:val="auto"/>
                      <w:sz w:val="20"/>
                      <w:szCs w:val="20"/>
                      <w:shd w:val="clear" w:color="auto" w:fill="FFFFFF"/>
                    </w:rPr>
                    <w:t>enhanced</w:t>
                  </w:r>
                  <w:r w:rsidRPr="00D80E8E">
                    <w:rPr>
                      <w:rFonts w:ascii="Myriad Pro" w:hAnsi="Myriad Pro" w:cs="Segoe UI"/>
                      <w:color w:val="auto"/>
                      <w:sz w:val="20"/>
                      <w:szCs w:val="20"/>
                      <w:shd w:val="clear" w:color="auto" w:fill="FFFFFF"/>
                    </w:rPr>
                    <w:t xml:space="preserve"> peacebuilding at the local level. </w:t>
                  </w:r>
                  <w:r w:rsidR="00AD0EA6" w:rsidRPr="00D80E8E">
                    <w:rPr>
                      <w:rFonts w:ascii="Myriad Pro" w:hAnsi="Myriad Pro" w:cs="Segoe UI"/>
                      <w:color w:val="auto"/>
                      <w:sz w:val="20"/>
                      <w:szCs w:val="20"/>
                      <w:shd w:val="clear" w:color="auto" w:fill="FFFFFF"/>
                    </w:rPr>
                    <w:t xml:space="preserve">Over </w:t>
                  </w:r>
                  <w:r w:rsidRPr="00D80E8E">
                    <w:rPr>
                      <w:rFonts w:ascii="Myriad Pro" w:hAnsi="Myriad Pro" w:cs="Segoe UI"/>
                      <w:color w:val="auto"/>
                      <w:sz w:val="20"/>
                      <w:szCs w:val="20"/>
                      <w:shd w:val="clear" w:color="auto" w:fill="FFFFFF"/>
                    </w:rPr>
                    <w:t xml:space="preserve">135 community dialogue initiatives have </w:t>
                  </w:r>
                  <w:r w:rsidR="00A10F92" w:rsidRPr="00D80E8E">
                    <w:rPr>
                      <w:rFonts w:ascii="Myriad Pro" w:hAnsi="Myriad Pro" w:cs="Segoe UI"/>
                      <w:color w:val="auto"/>
                      <w:sz w:val="20"/>
                      <w:szCs w:val="20"/>
                      <w:shd w:val="clear" w:color="auto" w:fill="FFFFFF"/>
                    </w:rPr>
                    <w:t>convened</w:t>
                  </w:r>
                  <w:r w:rsidRPr="00D80E8E">
                    <w:rPr>
                      <w:rFonts w:ascii="Myriad Pro" w:hAnsi="Myriad Pro" w:cs="Segoe UI"/>
                      <w:color w:val="auto"/>
                      <w:sz w:val="20"/>
                      <w:szCs w:val="20"/>
                      <w:shd w:val="clear" w:color="auto" w:fill="FFFFFF"/>
                    </w:rPr>
                    <w:t xml:space="preserve"> communities’ representatives and local security forces. In addition, </w:t>
                  </w:r>
                  <w:r w:rsidR="00AD0EA6" w:rsidRPr="00D80E8E">
                    <w:rPr>
                      <w:rFonts w:ascii="Myriad Pro" w:hAnsi="Myriad Pro" w:cs="Segoe UI"/>
                      <w:color w:val="auto"/>
                      <w:sz w:val="20"/>
                      <w:szCs w:val="20"/>
                      <w:shd w:val="clear" w:color="auto" w:fill="FFFFFF"/>
                    </w:rPr>
                    <w:t xml:space="preserve">over </w:t>
                  </w:r>
                  <w:r w:rsidRPr="00D80E8E">
                    <w:rPr>
                      <w:rFonts w:ascii="Myriad Pro" w:hAnsi="Myriad Pro" w:cs="Segoe UI"/>
                      <w:color w:val="auto"/>
                      <w:sz w:val="20"/>
                      <w:szCs w:val="20"/>
                      <w:shd w:val="clear" w:color="auto" w:fill="FFFFFF"/>
                    </w:rPr>
                    <w:t xml:space="preserve">232 activities to improve community engagement </w:t>
                  </w:r>
                  <w:r w:rsidR="00AD0EA6" w:rsidRPr="00D80E8E">
                    <w:rPr>
                      <w:rFonts w:ascii="Myriad Pro" w:hAnsi="Myriad Pro" w:cs="Segoe UI"/>
                      <w:color w:val="auto"/>
                      <w:sz w:val="20"/>
                      <w:szCs w:val="20"/>
                      <w:shd w:val="clear" w:color="auto" w:fill="FFFFFF"/>
                    </w:rPr>
                    <w:t>were</w:t>
                  </w:r>
                  <w:r w:rsidRPr="00D80E8E">
                    <w:rPr>
                      <w:rFonts w:ascii="Myriad Pro" w:hAnsi="Myriad Pro" w:cs="Segoe UI"/>
                      <w:color w:val="auto"/>
                      <w:sz w:val="20"/>
                      <w:szCs w:val="20"/>
                      <w:shd w:val="clear" w:color="auto" w:fill="FFFFFF"/>
                    </w:rPr>
                    <w:t xml:space="preserve"> conducted</w:t>
                  </w:r>
                  <w:r w:rsidR="00AD0EA6" w:rsidRPr="00D80E8E">
                    <w:rPr>
                      <w:rFonts w:ascii="Myriad Pro" w:hAnsi="Myriad Pro" w:cs="Segoe UI"/>
                      <w:color w:val="auto"/>
                      <w:sz w:val="20"/>
                      <w:szCs w:val="20"/>
                      <w:shd w:val="clear" w:color="auto" w:fill="FFFFFF"/>
                    </w:rPr>
                    <w:t xml:space="preserve">. </w:t>
                  </w:r>
                </w:p>
                <w:p w14:paraId="4FB57899" w14:textId="1BC4B6AA" w:rsidR="00E61115" w:rsidRPr="00D80E8E" w:rsidRDefault="00E61115" w:rsidP="00816A29">
                  <w:pPr>
                    <w:pStyle w:val="Default"/>
                    <w:rPr>
                      <w:rFonts w:ascii="Myriad Pro" w:hAnsi="Myriad Pro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416DF20" w14:textId="557C2546" w:rsidR="005F2E08" w:rsidRPr="00D80E8E" w:rsidRDefault="005F2E08" w:rsidP="008F3DB8">
            <w:pPr>
              <w:rPr>
                <w:rFonts w:ascii="Myriad Pro" w:hAnsi="Myriad Pro"/>
                <w:sz w:val="20"/>
              </w:rPr>
            </w:pPr>
          </w:p>
        </w:tc>
      </w:tr>
      <w:tr w:rsidR="009E7526" w:rsidRPr="00D80E8E" w14:paraId="0416DF27" w14:textId="77777777" w:rsidTr="008977D9">
        <w:tc>
          <w:tcPr>
            <w:tcW w:w="14040" w:type="dxa"/>
            <w:gridSpan w:val="5"/>
          </w:tcPr>
          <w:p w14:paraId="0416DF23" w14:textId="4C535E1A" w:rsidR="009E7526" w:rsidRPr="00D80E8E" w:rsidRDefault="009E7526" w:rsidP="009E42B3">
            <w:pPr>
              <w:rPr>
                <w:rFonts w:ascii="Myriad Pro" w:hAnsi="Myriad Pro"/>
                <w:i/>
                <w:sz w:val="20"/>
              </w:rPr>
            </w:pPr>
            <w:r w:rsidRPr="00D80E8E">
              <w:rPr>
                <w:rFonts w:ascii="Myriad Pro" w:hAnsi="Myriad Pro"/>
                <w:sz w:val="20"/>
                <w:u w:val="single"/>
              </w:rPr>
              <w:t>Summary of evaluation</w:t>
            </w:r>
            <w:r w:rsidR="00674B1A" w:rsidRPr="00D80E8E">
              <w:rPr>
                <w:rFonts w:ascii="Myriad Pro" w:hAnsi="Myriad Pro"/>
                <w:sz w:val="20"/>
                <w:u w:val="single"/>
              </w:rPr>
              <w:t xml:space="preserve"> finding</w:t>
            </w:r>
            <w:r w:rsidRPr="00D80E8E">
              <w:rPr>
                <w:rFonts w:ascii="Myriad Pro" w:hAnsi="Myriad Pro"/>
                <w:sz w:val="20"/>
                <w:u w:val="single"/>
              </w:rPr>
              <w:t>s</w:t>
            </w:r>
            <w:r w:rsidR="009E42B3" w:rsidRPr="00D80E8E">
              <w:rPr>
                <w:rFonts w:ascii="Myriad Pro" w:hAnsi="Myriad Pro"/>
                <w:sz w:val="20"/>
                <w:u w:val="single"/>
              </w:rPr>
              <w:t xml:space="preserve">: </w:t>
            </w:r>
            <w:r w:rsidR="009D1249" w:rsidRPr="00D80E8E">
              <w:rPr>
                <w:rFonts w:ascii="Myriad Pro" w:hAnsi="Myriad Pro"/>
                <w:iCs/>
                <w:sz w:val="20"/>
              </w:rPr>
              <w:t xml:space="preserve">The CO conducted seven evaluations over the past </w:t>
            </w:r>
            <w:r w:rsidR="00A10F92" w:rsidRPr="00D80E8E">
              <w:rPr>
                <w:rFonts w:ascii="Myriad Pro" w:hAnsi="Myriad Pro"/>
                <w:iCs/>
                <w:sz w:val="20"/>
              </w:rPr>
              <w:t>three</w:t>
            </w:r>
            <w:r w:rsidR="009D1249" w:rsidRPr="00D80E8E">
              <w:rPr>
                <w:rFonts w:ascii="Myriad Pro" w:hAnsi="Myriad Pro"/>
                <w:iCs/>
                <w:sz w:val="20"/>
              </w:rPr>
              <w:t xml:space="preserve"> years, all </w:t>
            </w:r>
            <w:r w:rsidR="009E42B3" w:rsidRPr="00D80E8E">
              <w:rPr>
                <w:rFonts w:ascii="Myriad Pro" w:hAnsi="Myriad Pro"/>
                <w:iCs/>
                <w:sz w:val="20"/>
              </w:rPr>
              <w:t xml:space="preserve">positively appraised: Enhanced Rural Resilience in Yemen (ERRY) Joint Programme Final Evaluation (2019) – Satisfactory; Final Evaluation of the Emergency Mine Action Project (2021) - moderately satisfactory; Final Evaluation of the Responding to Protection Needs and Supporting Resilience in Places of Detentions in Yemen Project (2021) – satisfactory; Final Evaluation of the Crisis Support for </w:t>
            </w:r>
            <w:r w:rsidR="009E42B3" w:rsidRPr="00D80E8E">
              <w:rPr>
                <w:rFonts w:ascii="Myriad Pro" w:hAnsi="Myriad Pro"/>
                <w:iCs/>
                <w:sz w:val="20"/>
              </w:rPr>
              <w:lastRenderedPageBreak/>
              <w:t>Solid Waste, Water Supply and Sewerage Institutions in Aden and Mukalla Cities Project (2021) – satisfactory; Final Evaluation of the Social Protection for Community Resilience Project (2021) - satisfactory; Yemen Emergency Crisis Response Project final evaluation (2019) - Moderately Satisfactory); Mid-term evaluation for Peace Support Facility (2021) – moderately satisfactory. Implementation of the recommendations and action points is underway.</w:t>
            </w:r>
          </w:p>
          <w:p w14:paraId="0416DF24" w14:textId="77777777" w:rsidR="00674B1A" w:rsidRPr="00D80E8E" w:rsidRDefault="00674B1A" w:rsidP="00F21966">
            <w:pPr>
              <w:jc w:val="both"/>
              <w:rPr>
                <w:rFonts w:ascii="Myriad Pro" w:hAnsi="Myriad Pro"/>
                <w:sz w:val="20"/>
              </w:rPr>
            </w:pPr>
          </w:p>
          <w:p w14:paraId="505AA7C3" w14:textId="77777777" w:rsidR="001334D5" w:rsidRPr="00D80E8E" w:rsidRDefault="009E42B3" w:rsidP="00F21966">
            <w:pPr>
              <w:jc w:val="both"/>
              <w:rPr>
                <w:rFonts w:ascii="Myriad Pro" w:hAnsi="Myriad Pro"/>
                <w:b/>
                <w:bCs/>
                <w:sz w:val="20"/>
              </w:rPr>
            </w:pPr>
            <w:r w:rsidRPr="00D80E8E">
              <w:rPr>
                <w:rFonts w:ascii="Myriad Pro" w:hAnsi="Myriad Pro"/>
                <w:b/>
                <w:bCs/>
                <w:sz w:val="20"/>
              </w:rPr>
              <w:t xml:space="preserve">Key findings: </w:t>
            </w:r>
          </w:p>
          <w:p w14:paraId="189434AE" w14:textId="22CBF0D2" w:rsidR="005C6593" w:rsidRPr="00D80E8E" w:rsidRDefault="00C73FFA" w:rsidP="00F21966">
            <w:pPr>
              <w:jc w:val="both"/>
              <w:rPr>
                <w:rFonts w:ascii="Myriad Pro" w:hAnsi="Myriad Pro" w:cs="Open Sans"/>
                <w:sz w:val="20"/>
                <w:shd w:val="clear" w:color="auto" w:fill="F9F9F9"/>
              </w:rPr>
            </w:pPr>
            <w:r w:rsidRPr="00D80E8E">
              <w:rPr>
                <w:rFonts w:ascii="Myriad Pro" w:hAnsi="Myriad Pro" w:cs="Open Sans"/>
                <w:sz w:val="20"/>
                <w:shd w:val="clear" w:color="auto" w:fill="F9F9F9"/>
              </w:rPr>
              <w:t>The evaluation</w:t>
            </w:r>
            <w:r w:rsidR="001334D5" w:rsidRPr="00D80E8E">
              <w:rPr>
                <w:rFonts w:ascii="Myriad Pro" w:hAnsi="Myriad Pro" w:cs="Open Sans"/>
                <w:sz w:val="20"/>
                <w:shd w:val="clear" w:color="auto" w:fill="F9F9F9"/>
              </w:rPr>
              <w:t>s</w:t>
            </w:r>
            <w:r w:rsidRPr="00D80E8E">
              <w:rPr>
                <w:rFonts w:ascii="Myriad Pro" w:hAnsi="Myriad Pro" w:cs="Open Sans"/>
                <w:sz w:val="20"/>
                <w:shd w:val="clear" w:color="auto" w:fill="F9F9F9"/>
              </w:rPr>
              <w:t xml:space="preserve"> consider</w:t>
            </w:r>
            <w:r w:rsidR="001334D5" w:rsidRPr="00D80E8E">
              <w:rPr>
                <w:rFonts w:ascii="Myriad Pro" w:hAnsi="Myriad Pro" w:cs="Open Sans"/>
                <w:sz w:val="20"/>
                <w:shd w:val="clear" w:color="auto" w:fill="F9F9F9"/>
              </w:rPr>
              <w:t>ed</w:t>
            </w:r>
            <w:r w:rsidRPr="00D80E8E">
              <w:rPr>
                <w:rFonts w:ascii="Myriad Pro" w:hAnsi="Myriad Pro" w:cs="Open Sans"/>
                <w:sz w:val="20"/>
                <w:shd w:val="clear" w:color="auto" w:fill="F9F9F9"/>
              </w:rPr>
              <w:t xml:space="preserve"> the results of the implementation of the </w:t>
            </w:r>
            <w:r w:rsidR="001334D5" w:rsidRPr="00D80E8E">
              <w:rPr>
                <w:rFonts w:ascii="Myriad Pro" w:hAnsi="Myriad Pro" w:cs="Open Sans"/>
                <w:sz w:val="20"/>
                <w:shd w:val="clear" w:color="auto" w:fill="F9F9F9"/>
              </w:rPr>
              <w:t>p</w:t>
            </w:r>
            <w:r w:rsidRPr="00D80E8E">
              <w:rPr>
                <w:rFonts w:ascii="Myriad Pro" w:hAnsi="Myriad Pro" w:cs="Open Sans"/>
                <w:sz w:val="20"/>
                <w:shd w:val="clear" w:color="auto" w:fill="F9F9F9"/>
              </w:rPr>
              <w:t>roject</w:t>
            </w:r>
            <w:r w:rsidR="001964F5" w:rsidRPr="00D80E8E">
              <w:rPr>
                <w:rFonts w:ascii="Myriad Pro" w:hAnsi="Myriad Pro" w:cs="Open Sans"/>
                <w:sz w:val="20"/>
                <w:shd w:val="clear" w:color="auto" w:fill="F9F9F9"/>
              </w:rPr>
              <w:t>s</w:t>
            </w:r>
            <w:r w:rsidRPr="00D80E8E">
              <w:rPr>
                <w:rFonts w:ascii="Myriad Pro" w:hAnsi="Myriad Pro" w:cs="Open Sans"/>
                <w:sz w:val="20"/>
                <w:shd w:val="clear" w:color="auto" w:fill="F9F9F9"/>
              </w:rPr>
              <w:t xml:space="preserve"> as satisfactory</w:t>
            </w:r>
            <w:r w:rsidR="001334D5" w:rsidRPr="00D80E8E">
              <w:rPr>
                <w:rFonts w:ascii="Myriad Pro" w:hAnsi="Myriad Pro" w:cs="Open Sans"/>
                <w:sz w:val="20"/>
                <w:shd w:val="clear" w:color="auto" w:fill="F9F9F9"/>
              </w:rPr>
              <w:t xml:space="preserve"> - </w:t>
            </w:r>
            <w:r w:rsidRPr="00D80E8E">
              <w:rPr>
                <w:rFonts w:ascii="Myriad Pro" w:hAnsi="Myriad Pro" w:cs="Open Sans"/>
                <w:sz w:val="20"/>
                <w:shd w:val="clear" w:color="auto" w:fill="F9F9F9"/>
              </w:rPr>
              <w:t>the level</w:t>
            </w:r>
            <w:r w:rsidR="001964F5" w:rsidRPr="00D80E8E">
              <w:rPr>
                <w:rFonts w:ascii="Myriad Pro" w:hAnsi="Myriad Pro" w:cs="Open Sans"/>
                <w:sz w:val="20"/>
                <w:shd w:val="clear" w:color="auto" w:fill="F9F9F9"/>
              </w:rPr>
              <w:t>s</w:t>
            </w:r>
            <w:r w:rsidRPr="00D80E8E">
              <w:rPr>
                <w:rFonts w:ascii="Myriad Pro" w:hAnsi="Myriad Pro" w:cs="Open Sans"/>
                <w:sz w:val="20"/>
                <w:shd w:val="clear" w:color="auto" w:fill="F9F9F9"/>
              </w:rPr>
              <w:t xml:space="preserve"> of results </w:t>
            </w:r>
            <w:r w:rsidR="001964F5" w:rsidRPr="00D80E8E">
              <w:rPr>
                <w:rFonts w:ascii="Myriad Pro" w:hAnsi="Myriad Pro" w:cs="Open Sans"/>
                <w:sz w:val="20"/>
                <w:shd w:val="clear" w:color="auto" w:fill="F9F9F9"/>
              </w:rPr>
              <w:t>were</w:t>
            </w:r>
            <w:r w:rsidRPr="00D80E8E">
              <w:rPr>
                <w:rFonts w:ascii="Myriad Pro" w:hAnsi="Myriad Pro" w:cs="Open Sans"/>
                <w:sz w:val="20"/>
                <w:shd w:val="clear" w:color="auto" w:fill="F9F9F9"/>
              </w:rPr>
              <w:t xml:space="preserve"> acceptable and encouraging, despite </w:t>
            </w:r>
            <w:r w:rsidR="00D22CE7" w:rsidRPr="00D80E8E">
              <w:rPr>
                <w:rFonts w:ascii="Myriad Pro" w:hAnsi="Myriad Pro" w:cs="Open Sans"/>
                <w:sz w:val="20"/>
                <w:shd w:val="clear" w:color="auto" w:fill="F9F9F9"/>
              </w:rPr>
              <w:t xml:space="preserve">the challenging context. </w:t>
            </w:r>
            <w:r w:rsidR="001334D5" w:rsidRPr="00D80E8E">
              <w:rPr>
                <w:rFonts w:ascii="Myriad Pro" w:hAnsi="Myriad Pro" w:cs="Open Sans"/>
                <w:sz w:val="20"/>
                <w:shd w:val="clear" w:color="auto" w:fill="F9F9F9"/>
              </w:rPr>
              <w:t xml:space="preserve"> </w:t>
            </w:r>
            <w:r w:rsidR="001334D5" w:rsidRPr="00D80E8E">
              <w:rPr>
                <w:rFonts w:ascii="Myriad Pro" w:hAnsi="Myriad Pro" w:cs="Calibri Light"/>
                <w:sz w:val="20"/>
              </w:rPr>
              <w:t>The projects and all their components remained highly relevant throughout the implementation period</w:t>
            </w:r>
            <w:r w:rsidR="006A6D80" w:rsidRPr="00D80E8E">
              <w:rPr>
                <w:rFonts w:ascii="Myriad Pro" w:hAnsi="Myriad Pro" w:cs="Calibri Light"/>
                <w:sz w:val="20"/>
              </w:rPr>
              <w:t xml:space="preserve">, with greater internal and external coherence. The </w:t>
            </w:r>
            <w:r w:rsidR="001334D5" w:rsidRPr="00D80E8E">
              <w:rPr>
                <w:rFonts w:ascii="Myriad Pro" w:hAnsi="Myriad Pro" w:cs="Calibri Light"/>
                <w:sz w:val="20"/>
                <w:lang w:val="en-US"/>
              </w:rPr>
              <w:t xml:space="preserve">projects achieved most of the targeted results according to the set indicators </w:t>
            </w:r>
            <w:r w:rsidR="006A6D80" w:rsidRPr="00D80E8E">
              <w:rPr>
                <w:rFonts w:ascii="Myriad Pro" w:hAnsi="Myriad Pro" w:cs="Calibri Light"/>
                <w:sz w:val="20"/>
                <w:lang w:val="en-US"/>
              </w:rPr>
              <w:t>in their respective</w:t>
            </w:r>
            <w:r w:rsidR="001334D5" w:rsidRPr="00D80E8E">
              <w:rPr>
                <w:rFonts w:ascii="Myriad Pro" w:hAnsi="Myriad Pro" w:cs="Calibri Light"/>
                <w:sz w:val="20"/>
                <w:lang w:val="en-US"/>
              </w:rPr>
              <w:t xml:space="preserve"> results framework</w:t>
            </w:r>
            <w:r w:rsidR="00F54E43" w:rsidRPr="00D80E8E">
              <w:rPr>
                <w:rFonts w:ascii="Myriad Pro" w:hAnsi="Myriad Pro" w:cs="Calibri Light"/>
                <w:sz w:val="20"/>
                <w:lang w:val="en-US"/>
              </w:rPr>
              <w:t xml:space="preserve">s. The project management structures were </w:t>
            </w:r>
            <w:r w:rsidR="00426855" w:rsidRPr="00D80E8E">
              <w:rPr>
                <w:rFonts w:ascii="Myriad Pro" w:hAnsi="Myriad Pro" w:cs="Calibri Light"/>
                <w:sz w:val="20"/>
                <w:lang w:val="en-US"/>
              </w:rPr>
              <w:t>assessed as</w:t>
            </w:r>
            <w:r w:rsidR="001334D5" w:rsidRPr="00D80E8E">
              <w:rPr>
                <w:rFonts w:ascii="Myriad Pro" w:hAnsi="Myriad Pro" w:cs="Calibri Light"/>
                <w:sz w:val="20"/>
              </w:rPr>
              <w:t xml:space="preserve"> efficient in delivering the expected results</w:t>
            </w:r>
            <w:r w:rsidR="002664F6" w:rsidRPr="00D80E8E">
              <w:rPr>
                <w:rFonts w:ascii="Myriad Pro" w:hAnsi="Myriad Pro" w:cs="Calibri Light"/>
                <w:sz w:val="20"/>
              </w:rPr>
              <w:t xml:space="preserve">. However, </w:t>
            </w:r>
            <w:r w:rsidR="0014771B" w:rsidRPr="00D80E8E">
              <w:rPr>
                <w:rFonts w:ascii="Myriad Pro" w:hAnsi="Myriad Pro" w:cs="Calibri Light"/>
                <w:sz w:val="20"/>
              </w:rPr>
              <w:t xml:space="preserve">the </w:t>
            </w:r>
            <w:r w:rsidR="002664F6" w:rsidRPr="00D80E8E">
              <w:rPr>
                <w:rFonts w:ascii="Myriad Pro" w:hAnsi="Myriad Pro" w:cs="Calibri Light"/>
                <w:sz w:val="20"/>
              </w:rPr>
              <w:t xml:space="preserve">sustainability </w:t>
            </w:r>
            <w:r w:rsidR="0014771B" w:rsidRPr="00D80E8E">
              <w:rPr>
                <w:rFonts w:ascii="Myriad Pro" w:hAnsi="Myriad Pro" w:cs="Calibri Light"/>
                <w:sz w:val="20"/>
              </w:rPr>
              <w:t xml:space="preserve">of results </w:t>
            </w:r>
            <w:r w:rsidR="00426855" w:rsidRPr="00D80E8E">
              <w:rPr>
                <w:rFonts w:ascii="Myriad Pro" w:hAnsi="Myriad Pro" w:cs="Calibri Light"/>
                <w:sz w:val="20"/>
              </w:rPr>
              <w:t xml:space="preserve">is largely dependent on the context, whereby </w:t>
            </w:r>
            <w:r w:rsidR="00847843" w:rsidRPr="00D80E8E">
              <w:rPr>
                <w:rFonts w:ascii="Myriad Pro" w:hAnsi="Myriad Pro" w:cs="Calibri Light"/>
                <w:sz w:val="20"/>
              </w:rPr>
              <w:t xml:space="preserve">a </w:t>
            </w:r>
            <w:r w:rsidR="0014771B" w:rsidRPr="00D80E8E">
              <w:rPr>
                <w:rFonts w:ascii="Myriad Pro" w:hAnsi="Myriad Pro" w:cs="Calibri Light"/>
                <w:sz w:val="20"/>
              </w:rPr>
              <w:t xml:space="preserve">worsening </w:t>
            </w:r>
            <w:r w:rsidR="00847843" w:rsidRPr="00D80E8E">
              <w:rPr>
                <w:rFonts w:ascii="Myriad Pro" w:hAnsi="Myriad Pro" w:cs="Calibri Light"/>
                <w:sz w:val="20"/>
              </w:rPr>
              <w:t xml:space="preserve">context </w:t>
            </w:r>
            <w:r w:rsidR="0014771B" w:rsidRPr="00D80E8E">
              <w:rPr>
                <w:rFonts w:ascii="Myriad Pro" w:hAnsi="Myriad Pro" w:cs="Calibri Light"/>
                <w:sz w:val="20"/>
              </w:rPr>
              <w:t xml:space="preserve">can </w:t>
            </w:r>
            <w:r w:rsidR="00847843" w:rsidRPr="00D80E8E">
              <w:rPr>
                <w:rFonts w:ascii="Myriad Pro" w:hAnsi="Myriad Pro" w:cs="Calibri Light"/>
                <w:sz w:val="20"/>
              </w:rPr>
              <w:t xml:space="preserve">potentially </w:t>
            </w:r>
            <w:r w:rsidR="0014771B" w:rsidRPr="00D80E8E">
              <w:rPr>
                <w:rFonts w:ascii="Myriad Pro" w:hAnsi="Myriad Pro" w:cs="Calibri Light"/>
                <w:sz w:val="20"/>
              </w:rPr>
              <w:t>reverse all the gains</w:t>
            </w:r>
            <w:r w:rsidR="00DC7F13" w:rsidRPr="00D80E8E">
              <w:rPr>
                <w:rFonts w:ascii="Myriad Pro" w:hAnsi="Myriad Pro" w:cs="Calibri Light"/>
                <w:sz w:val="20"/>
              </w:rPr>
              <w:t xml:space="preserve">. </w:t>
            </w:r>
            <w:r w:rsidR="00CA27B5" w:rsidRPr="00D80E8E">
              <w:rPr>
                <w:rFonts w:ascii="Myriad Pro" w:hAnsi="Myriad Pro" w:cs="Calibri Light"/>
                <w:sz w:val="20"/>
              </w:rPr>
              <w:t xml:space="preserve">Other critical factors are </w:t>
            </w:r>
            <w:r w:rsidR="002664F6" w:rsidRPr="00D80E8E">
              <w:rPr>
                <w:rFonts w:ascii="Myriad Pro" w:hAnsi="Myriad Pro" w:cs="Calibri Light"/>
                <w:sz w:val="20"/>
              </w:rPr>
              <w:t xml:space="preserve">political will on the part of the government and relevant authorities and financial commitment </w:t>
            </w:r>
            <w:r w:rsidR="0014771B" w:rsidRPr="00D80E8E">
              <w:rPr>
                <w:rFonts w:ascii="Myriad Pro" w:hAnsi="Myriad Pro" w:cs="Calibri Light"/>
                <w:sz w:val="20"/>
              </w:rPr>
              <w:t>to</w:t>
            </w:r>
            <w:r w:rsidR="002664F6" w:rsidRPr="00D80E8E">
              <w:rPr>
                <w:rFonts w:ascii="Myriad Pro" w:hAnsi="Myriad Pro" w:cs="Calibri Light"/>
                <w:sz w:val="20"/>
              </w:rPr>
              <w:t xml:space="preserve"> </w:t>
            </w:r>
            <w:r w:rsidR="0014771B" w:rsidRPr="00D80E8E">
              <w:rPr>
                <w:rFonts w:ascii="Myriad Pro" w:hAnsi="Myriad Pro" w:cs="Calibri Light"/>
                <w:sz w:val="20"/>
              </w:rPr>
              <w:t xml:space="preserve">the </w:t>
            </w:r>
            <w:r w:rsidR="002664F6" w:rsidRPr="00D80E8E">
              <w:rPr>
                <w:rFonts w:ascii="Myriad Pro" w:hAnsi="Myriad Pro" w:cs="Calibri Light"/>
                <w:sz w:val="20"/>
              </w:rPr>
              <w:t xml:space="preserve">maintenance of the </w:t>
            </w:r>
            <w:r w:rsidR="000C4863" w:rsidRPr="00D80E8E">
              <w:rPr>
                <w:rFonts w:ascii="Myriad Pro" w:hAnsi="Myriad Pro" w:cs="Calibri Light"/>
                <w:sz w:val="20"/>
              </w:rPr>
              <w:t xml:space="preserve">capacities and </w:t>
            </w:r>
            <w:r w:rsidR="002664F6" w:rsidRPr="00D80E8E">
              <w:rPr>
                <w:rFonts w:ascii="Myriad Pro" w:hAnsi="Myriad Pro" w:cs="Calibri Light"/>
                <w:sz w:val="20"/>
              </w:rPr>
              <w:t>infrastructures that have been put in pla</w:t>
            </w:r>
            <w:r w:rsidR="00CA27B5" w:rsidRPr="00D80E8E">
              <w:rPr>
                <w:rFonts w:ascii="Myriad Pro" w:hAnsi="Myriad Pro" w:cs="Calibri Light"/>
                <w:sz w:val="20"/>
              </w:rPr>
              <w:t>ce</w:t>
            </w:r>
            <w:r w:rsidR="002664F6" w:rsidRPr="00D80E8E">
              <w:rPr>
                <w:rFonts w:ascii="Myriad Pro" w:hAnsi="Myriad Pro" w:cs="Calibri Light"/>
                <w:sz w:val="20"/>
              </w:rPr>
              <w:t xml:space="preserve">.    </w:t>
            </w:r>
          </w:p>
          <w:p w14:paraId="1B370C6A" w14:textId="77777777" w:rsidR="00515722" w:rsidRPr="00D80E8E" w:rsidRDefault="009E7526" w:rsidP="00F21966">
            <w:pPr>
              <w:jc w:val="both"/>
              <w:rPr>
                <w:rFonts w:ascii="Myriad Pro" w:hAnsi="Myriad Pro"/>
                <w:sz w:val="20"/>
              </w:rPr>
            </w:pPr>
            <w:r w:rsidRPr="00D80E8E">
              <w:rPr>
                <w:rFonts w:ascii="Myriad Pro" w:hAnsi="Myriad Pro"/>
                <w:sz w:val="20"/>
                <w:u w:val="single"/>
              </w:rPr>
              <w:t>Major Lessons Learnt</w:t>
            </w:r>
            <w:r w:rsidR="005F6261" w:rsidRPr="00D80E8E">
              <w:rPr>
                <w:rFonts w:ascii="Myriad Pro" w:hAnsi="Myriad Pro"/>
                <w:sz w:val="20"/>
              </w:rPr>
              <w:t>:</w:t>
            </w:r>
            <w:r w:rsidR="008D2324" w:rsidRPr="00D80E8E">
              <w:rPr>
                <w:rFonts w:ascii="Myriad Pro" w:hAnsi="Myriad Pro"/>
                <w:sz w:val="20"/>
              </w:rPr>
              <w:t xml:space="preserve"> </w:t>
            </w:r>
          </w:p>
          <w:p w14:paraId="72840038" w14:textId="6B28DBA6" w:rsidR="00606157" w:rsidRPr="00D80E8E" w:rsidRDefault="00354A60" w:rsidP="0099324F">
            <w:pPr>
              <w:pStyle w:val="ListParagraph"/>
              <w:numPr>
                <w:ilvl w:val="0"/>
                <w:numId w:val="27"/>
              </w:numPr>
              <w:shd w:val="clear" w:color="auto" w:fill="F9F9F9"/>
              <w:rPr>
                <w:rFonts w:ascii="Myriad Pro" w:hAnsi="Myriad Pro" w:cs="Calibri Light"/>
                <w:sz w:val="20"/>
                <w:szCs w:val="20"/>
                <w:lang w:val="en-US"/>
              </w:rPr>
            </w:pPr>
            <w:r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 xml:space="preserve">There is value addition in working with local CSOs and other national partners whose capacity is </w:t>
            </w:r>
            <w:r w:rsidR="00A10F92"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>vital</w:t>
            </w:r>
            <w:r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 xml:space="preserve"> in the subject area and has local political acceptance.</w:t>
            </w:r>
            <w:r w:rsidR="00606157"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 xml:space="preserve"> </w:t>
            </w:r>
          </w:p>
          <w:p w14:paraId="51D07345" w14:textId="5D1EBEE6" w:rsidR="00B0115C" w:rsidRPr="00D80E8E" w:rsidRDefault="00606157" w:rsidP="0099324F">
            <w:pPr>
              <w:pStyle w:val="ListParagraph"/>
              <w:numPr>
                <w:ilvl w:val="0"/>
                <w:numId w:val="27"/>
              </w:numPr>
              <w:shd w:val="clear" w:color="auto" w:fill="F9F9F9"/>
              <w:rPr>
                <w:rFonts w:ascii="Myriad Pro" w:hAnsi="Myriad Pro" w:cs="Calibri Light"/>
                <w:sz w:val="20"/>
                <w:szCs w:val="20"/>
                <w:lang w:val="en-US"/>
              </w:rPr>
            </w:pPr>
            <w:r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 xml:space="preserve">Including </w:t>
            </w:r>
            <w:r w:rsidR="008D4EBF"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>relevant g</w:t>
            </w:r>
            <w:r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 xml:space="preserve">overnment </w:t>
            </w:r>
            <w:r w:rsidR="008D4EBF"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 xml:space="preserve">ministries </w:t>
            </w:r>
            <w:r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 xml:space="preserve">in </w:t>
            </w:r>
            <w:r w:rsidR="003E32E3"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 xml:space="preserve">the </w:t>
            </w:r>
            <w:proofErr w:type="spellStart"/>
            <w:r w:rsidR="00A10F92"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>organisational</w:t>
            </w:r>
            <w:proofErr w:type="spellEnd"/>
            <w:r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 xml:space="preserve"> capacity building </w:t>
            </w:r>
            <w:r w:rsidR="008D4EBF"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>of</w:t>
            </w:r>
            <w:r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 xml:space="preserve"> governmental institutions is necessary </w:t>
            </w:r>
            <w:r w:rsidR="003E32E3"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 xml:space="preserve">for continuity. </w:t>
            </w:r>
          </w:p>
          <w:p w14:paraId="746438AA" w14:textId="70F09449" w:rsidR="0099324F" w:rsidRPr="00D80E8E" w:rsidRDefault="0099324F" w:rsidP="001267C7">
            <w:pPr>
              <w:pStyle w:val="ListParagraph"/>
              <w:numPr>
                <w:ilvl w:val="0"/>
                <w:numId w:val="27"/>
              </w:numPr>
              <w:shd w:val="clear" w:color="auto" w:fill="F9F9F9"/>
              <w:rPr>
                <w:rFonts w:ascii="Myriad Pro" w:hAnsi="Myriad Pro" w:cs="Calibri Light"/>
                <w:sz w:val="20"/>
                <w:szCs w:val="20"/>
                <w:lang w:val="en-US"/>
              </w:rPr>
            </w:pPr>
            <w:r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 xml:space="preserve">Focusing interventions on specific groups such as women </w:t>
            </w:r>
            <w:r w:rsidR="00AA51B9"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>contribute</w:t>
            </w:r>
            <w:r w:rsidR="00A10F92"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 xml:space="preserve"> to their advancement and empowerment and</w:t>
            </w:r>
            <w:r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 xml:space="preserve"> the achievement of community development goals.</w:t>
            </w:r>
          </w:p>
          <w:p w14:paraId="05EFC586" w14:textId="0F3FF771" w:rsidR="00A0263F" w:rsidRPr="00D80E8E" w:rsidRDefault="00A0263F" w:rsidP="008471F0">
            <w:pPr>
              <w:pStyle w:val="ListParagraph"/>
              <w:numPr>
                <w:ilvl w:val="0"/>
                <w:numId w:val="27"/>
              </w:numPr>
              <w:shd w:val="clear" w:color="auto" w:fill="F9F9F9"/>
              <w:rPr>
                <w:rFonts w:ascii="Myriad Pro" w:hAnsi="Myriad Pro" w:cs="Calibri Light"/>
                <w:sz w:val="20"/>
                <w:szCs w:val="20"/>
                <w:lang w:val="en-US"/>
              </w:rPr>
            </w:pPr>
            <w:r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>The Yemen experience highlights the importance of linking economic issues to political/peace processes, which</w:t>
            </w:r>
            <w:r w:rsidR="00421A29"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 xml:space="preserve"> </w:t>
            </w:r>
            <w:r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 xml:space="preserve">created ‘space’ and institutional incentives in an environment </w:t>
            </w:r>
            <w:r w:rsidR="00A10F92"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>primarily</w:t>
            </w:r>
            <w:r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 xml:space="preserve"> focused on </w:t>
            </w:r>
            <w:r w:rsidR="000C4863"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>life-saving</w:t>
            </w:r>
            <w:r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 xml:space="preserve"> interventions</w:t>
            </w:r>
            <w:r w:rsidR="00421A29"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>.</w:t>
            </w:r>
          </w:p>
          <w:p w14:paraId="592D9F76" w14:textId="4887E526" w:rsidR="001267C7" w:rsidRPr="00D80E8E" w:rsidRDefault="001267C7" w:rsidP="001267C7">
            <w:pPr>
              <w:pStyle w:val="ListParagraph"/>
              <w:numPr>
                <w:ilvl w:val="0"/>
                <w:numId w:val="27"/>
              </w:numPr>
              <w:shd w:val="clear" w:color="auto" w:fill="F9F9F9"/>
              <w:rPr>
                <w:rFonts w:ascii="Myriad Pro" w:hAnsi="Myriad Pro" w:cs="Calibri Light"/>
                <w:sz w:val="20"/>
                <w:szCs w:val="20"/>
                <w:lang w:val="en-US"/>
              </w:rPr>
            </w:pPr>
            <w:r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 xml:space="preserve">The role of a UN entity in these contexts can and must go beyond acting as </w:t>
            </w:r>
            <w:r w:rsidR="000C4863"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 xml:space="preserve">a </w:t>
            </w:r>
            <w:r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 xml:space="preserve">fiduciary ‘pass-through’ agent. </w:t>
            </w:r>
            <w:r w:rsidR="007B79AE"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 xml:space="preserve">UNDP's additional functions and associated resources and expertise </w:t>
            </w:r>
            <w:r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>to ensure successful implementation underscores the importance of robust implementation support to national implementing partners in volatile and challenging contexts, including technical advice and capacity building support.</w:t>
            </w:r>
          </w:p>
          <w:p w14:paraId="0416DF26" w14:textId="449E3BAB" w:rsidR="00606157" w:rsidRPr="00D80E8E" w:rsidRDefault="001267C7" w:rsidP="00606157">
            <w:pPr>
              <w:pStyle w:val="ListParagraph"/>
              <w:numPr>
                <w:ilvl w:val="0"/>
                <w:numId w:val="27"/>
              </w:numPr>
              <w:shd w:val="clear" w:color="auto" w:fill="F9F9F9"/>
              <w:rPr>
                <w:rFonts w:ascii="Myriad Pro" w:hAnsi="Myriad Pro" w:cs="Calibri Light"/>
                <w:sz w:val="20"/>
                <w:szCs w:val="20"/>
                <w:lang w:val="en-US"/>
              </w:rPr>
            </w:pPr>
            <w:r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 xml:space="preserve">The </w:t>
            </w:r>
            <w:r w:rsidR="008A7A1B"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>evaluations</w:t>
            </w:r>
            <w:r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 xml:space="preserve"> </w:t>
            </w:r>
            <w:r w:rsidR="008A7A1B"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>highlight</w:t>
            </w:r>
            <w:r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 xml:space="preserve"> the </w:t>
            </w:r>
            <w:r w:rsidR="00AA51B9"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>critical</w:t>
            </w:r>
            <w:r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 xml:space="preserve"> role </w:t>
            </w:r>
            <w:r w:rsidR="007B79AE"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>of relevant national institutions</w:t>
            </w:r>
            <w:r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 xml:space="preserve"> in </w:t>
            </w:r>
            <w:r w:rsidR="00AA51B9"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>providing</w:t>
            </w:r>
            <w:r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 xml:space="preserve"> </w:t>
            </w:r>
            <w:r w:rsidR="00AA51B9"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>essential</w:t>
            </w:r>
            <w:r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 xml:space="preserve"> social services in crisis contexts</w:t>
            </w:r>
            <w:r w:rsidR="00AA51B9"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 xml:space="preserve"> and</w:t>
            </w:r>
            <w:r w:rsidRPr="00D80E8E">
              <w:rPr>
                <w:rFonts w:ascii="Myriad Pro" w:hAnsi="Myriad Pro" w:cs="Calibri Light"/>
                <w:sz w:val="20"/>
                <w:szCs w:val="20"/>
                <w:lang w:val="en-US"/>
              </w:rPr>
              <w:t xml:space="preserve"> the importance of investing in national institutions, particularly those with a demonstrated track record and capacity for delivery in challenging environments.</w:t>
            </w:r>
          </w:p>
        </w:tc>
      </w:tr>
    </w:tbl>
    <w:p w14:paraId="64B379A0" w14:textId="77777777" w:rsidR="008A7A1B" w:rsidRPr="00D80E8E" w:rsidRDefault="008A7A1B">
      <w:pPr>
        <w:pStyle w:val="BodyText2"/>
        <w:rPr>
          <w:rFonts w:ascii="Myriad Pro" w:hAnsi="Myriad Pro"/>
        </w:rPr>
      </w:pPr>
    </w:p>
    <w:p w14:paraId="0416DF29" w14:textId="77777777" w:rsidR="00E37E7A" w:rsidRPr="00D80E8E" w:rsidRDefault="00EA7740" w:rsidP="00E37E7A">
      <w:pPr>
        <w:pStyle w:val="BodyText2"/>
        <w:jc w:val="center"/>
        <w:rPr>
          <w:rFonts w:ascii="Myriad Pro" w:hAnsi="Myriad Pro"/>
        </w:rPr>
      </w:pPr>
      <w:r w:rsidRPr="00D80E8E">
        <w:rPr>
          <w:rFonts w:ascii="Myriad Pro" w:hAnsi="Myriad Pro"/>
        </w:rPr>
        <w:t xml:space="preserve">III. </w:t>
      </w:r>
      <w:r w:rsidR="00673710" w:rsidRPr="00D80E8E">
        <w:rPr>
          <w:rFonts w:ascii="Myriad Pro" w:hAnsi="Myriad Pro"/>
        </w:rPr>
        <w:t xml:space="preserve">Country Programme </w:t>
      </w:r>
      <w:r w:rsidR="00E37E7A" w:rsidRPr="00D80E8E">
        <w:rPr>
          <w:rFonts w:ascii="Myriad Pro" w:hAnsi="Myriad Pro"/>
        </w:rPr>
        <w:t>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7"/>
        <w:gridCol w:w="1867"/>
        <w:gridCol w:w="2039"/>
        <w:gridCol w:w="1950"/>
        <w:gridCol w:w="1977"/>
      </w:tblGrid>
      <w:tr w:rsidR="00BB3784" w:rsidRPr="00D80E8E" w14:paraId="0416DF2D" w14:textId="77777777" w:rsidTr="00F82CC3">
        <w:tc>
          <w:tcPr>
            <w:tcW w:w="6117" w:type="dxa"/>
            <w:shd w:val="clear" w:color="auto" w:fill="000000" w:themeFill="text1"/>
          </w:tcPr>
          <w:p w14:paraId="0416DF2A" w14:textId="3377FEA3" w:rsidR="0015409F" w:rsidRPr="00D80E8E" w:rsidRDefault="0015409F" w:rsidP="00E37E7A">
            <w:pPr>
              <w:pStyle w:val="BodyText2"/>
              <w:jc w:val="center"/>
              <w:rPr>
                <w:rFonts w:ascii="Myriad Pro" w:hAnsi="Myriad Pro"/>
                <w:b/>
              </w:rPr>
            </w:pPr>
            <w:r w:rsidRPr="00D80E8E">
              <w:rPr>
                <w:rFonts w:ascii="Myriad Pro" w:hAnsi="Myriad Pro"/>
                <w:b/>
              </w:rPr>
              <w:t>Focus Area</w:t>
            </w:r>
            <w:r w:rsidR="009F2640" w:rsidRPr="00D80E8E">
              <w:rPr>
                <w:rStyle w:val="FootnoteReference"/>
                <w:rFonts w:ascii="Myriad Pro" w:hAnsi="Myriad Pro"/>
                <w:b/>
              </w:rPr>
              <w:footnoteReference w:id="1"/>
            </w:r>
          </w:p>
        </w:tc>
        <w:tc>
          <w:tcPr>
            <w:tcW w:w="5856" w:type="dxa"/>
            <w:gridSpan w:val="3"/>
            <w:shd w:val="clear" w:color="auto" w:fill="000000" w:themeFill="text1"/>
          </w:tcPr>
          <w:p w14:paraId="0416DF2B" w14:textId="77777777" w:rsidR="0015409F" w:rsidRPr="00D80E8E" w:rsidRDefault="000D6DE5" w:rsidP="00E37E7A">
            <w:pPr>
              <w:pStyle w:val="BodyText2"/>
              <w:jc w:val="center"/>
              <w:rPr>
                <w:rFonts w:ascii="Myriad Pro" w:hAnsi="Myriad Pro"/>
                <w:b/>
              </w:rPr>
            </w:pPr>
            <w:r w:rsidRPr="00D80E8E">
              <w:rPr>
                <w:rFonts w:ascii="Myriad Pro" w:hAnsi="Myriad Pro"/>
                <w:b/>
              </w:rPr>
              <w:t xml:space="preserve">Programme </w:t>
            </w:r>
            <w:r w:rsidR="0015409F" w:rsidRPr="00D80E8E">
              <w:rPr>
                <w:rFonts w:ascii="Myriad Pro" w:hAnsi="Myriad Pro"/>
                <w:b/>
              </w:rPr>
              <w:t>Expenditure ($)</w:t>
            </w:r>
          </w:p>
        </w:tc>
        <w:tc>
          <w:tcPr>
            <w:tcW w:w="1977" w:type="dxa"/>
            <w:shd w:val="clear" w:color="auto" w:fill="000000" w:themeFill="text1"/>
          </w:tcPr>
          <w:p w14:paraId="0416DF2C" w14:textId="77777777" w:rsidR="0015409F" w:rsidRPr="00D80E8E" w:rsidRDefault="0015409F" w:rsidP="00E37E7A">
            <w:pPr>
              <w:pStyle w:val="BodyText2"/>
              <w:jc w:val="center"/>
              <w:rPr>
                <w:rFonts w:ascii="Myriad Pro" w:hAnsi="Myriad Pro"/>
                <w:b/>
              </w:rPr>
            </w:pPr>
            <w:r w:rsidRPr="00D80E8E">
              <w:rPr>
                <w:rFonts w:ascii="Myriad Pro" w:hAnsi="Myriad Pro"/>
                <w:b/>
              </w:rPr>
              <w:t>% of Total</w:t>
            </w:r>
          </w:p>
        </w:tc>
      </w:tr>
      <w:tr w:rsidR="00BB3784" w:rsidRPr="00D80E8E" w14:paraId="0416DF33" w14:textId="77777777" w:rsidTr="00F82CC3">
        <w:tc>
          <w:tcPr>
            <w:tcW w:w="6117" w:type="dxa"/>
          </w:tcPr>
          <w:p w14:paraId="0416DF2E" w14:textId="77777777" w:rsidR="000D6DE5" w:rsidRPr="00D80E8E" w:rsidRDefault="000D6DE5" w:rsidP="00A0001A">
            <w:pPr>
              <w:pStyle w:val="BodyText2"/>
              <w:rPr>
                <w:rFonts w:ascii="Myriad Pro" w:hAnsi="Myriad Pro"/>
              </w:rPr>
            </w:pPr>
          </w:p>
        </w:tc>
        <w:tc>
          <w:tcPr>
            <w:tcW w:w="1867" w:type="dxa"/>
          </w:tcPr>
          <w:p w14:paraId="0416DF2F" w14:textId="77777777" w:rsidR="000D6DE5" w:rsidRPr="00D80E8E" w:rsidRDefault="000D6DE5" w:rsidP="00E37E7A">
            <w:pPr>
              <w:pStyle w:val="BodyText2"/>
              <w:jc w:val="center"/>
              <w:rPr>
                <w:rFonts w:ascii="Myriad Pro" w:hAnsi="Myriad Pro"/>
              </w:rPr>
            </w:pPr>
            <w:r w:rsidRPr="00D80E8E">
              <w:rPr>
                <w:rFonts w:ascii="Myriad Pro" w:hAnsi="Myriad Pro"/>
              </w:rPr>
              <w:t>Regular (TRAC)</w:t>
            </w:r>
          </w:p>
        </w:tc>
        <w:tc>
          <w:tcPr>
            <w:tcW w:w="2039" w:type="dxa"/>
          </w:tcPr>
          <w:p w14:paraId="0416DF30" w14:textId="77777777" w:rsidR="000D6DE5" w:rsidRPr="00D80E8E" w:rsidRDefault="000D6DE5" w:rsidP="00E37E7A">
            <w:pPr>
              <w:pStyle w:val="BodyText2"/>
              <w:jc w:val="center"/>
              <w:rPr>
                <w:rFonts w:ascii="Myriad Pro" w:hAnsi="Myriad Pro"/>
              </w:rPr>
            </w:pPr>
            <w:r w:rsidRPr="00D80E8E">
              <w:rPr>
                <w:rFonts w:ascii="Myriad Pro" w:hAnsi="Myriad Pro"/>
              </w:rPr>
              <w:t>Other</w:t>
            </w:r>
          </w:p>
        </w:tc>
        <w:tc>
          <w:tcPr>
            <w:tcW w:w="1950" w:type="dxa"/>
          </w:tcPr>
          <w:p w14:paraId="0416DF31" w14:textId="77777777" w:rsidR="000D6DE5" w:rsidRPr="00D80E8E" w:rsidRDefault="000D6DE5" w:rsidP="00E37E7A">
            <w:pPr>
              <w:pStyle w:val="BodyText2"/>
              <w:jc w:val="center"/>
              <w:rPr>
                <w:rFonts w:ascii="Myriad Pro" w:hAnsi="Myriad Pro"/>
              </w:rPr>
            </w:pPr>
            <w:r w:rsidRPr="00D80E8E">
              <w:rPr>
                <w:rFonts w:ascii="Myriad Pro" w:hAnsi="Myriad Pro"/>
              </w:rPr>
              <w:t>Total</w:t>
            </w:r>
          </w:p>
        </w:tc>
        <w:tc>
          <w:tcPr>
            <w:tcW w:w="1977" w:type="dxa"/>
          </w:tcPr>
          <w:p w14:paraId="0416DF32" w14:textId="77777777" w:rsidR="000D6DE5" w:rsidRPr="00D80E8E" w:rsidRDefault="000D6DE5" w:rsidP="00E37E7A">
            <w:pPr>
              <w:pStyle w:val="BodyText2"/>
              <w:jc w:val="center"/>
              <w:rPr>
                <w:rFonts w:ascii="Myriad Pro" w:hAnsi="Myriad Pro"/>
              </w:rPr>
            </w:pPr>
          </w:p>
        </w:tc>
      </w:tr>
      <w:tr w:rsidR="0022303C" w:rsidRPr="00D80E8E" w14:paraId="09F853B8" w14:textId="77777777" w:rsidTr="00F82CC3">
        <w:tc>
          <w:tcPr>
            <w:tcW w:w="6117" w:type="dxa"/>
          </w:tcPr>
          <w:p w14:paraId="6D9CEF73" w14:textId="16CAB8DC" w:rsidR="0022303C" w:rsidRPr="00D80E8E" w:rsidRDefault="0022303C" w:rsidP="0022303C">
            <w:pPr>
              <w:pStyle w:val="BodyText2"/>
              <w:rPr>
                <w:rFonts w:ascii="Myriad Pro" w:hAnsi="Myriad Pro"/>
              </w:rPr>
            </w:pPr>
            <w:r w:rsidRPr="00D80E8E">
              <w:rPr>
                <w:rFonts w:ascii="Myriad Pro" w:hAnsi="Myriad Pro"/>
              </w:rPr>
              <w:t>Governance and Rule of Law (outcome 1)</w:t>
            </w:r>
          </w:p>
        </w:tc>
        <w:tc>
          <w:tcPr>
            <w:tcW w:w="1867" w:type="dxa"/>
          </w:tcPr>
          <w:p w14:paraId="389AFA73" w14:textId="7A227D40" w:rsidR="0022303C" w:rsidRPr="00D80E8E" w:rsidRDefault="0022303C" w:rsidP="0022303C">
            <w:pPr>
              <w:pStyle w:val="BodyText2"/>
              <w:jc w:val="center"/>
            </w:pPr>
            <w:r w:rsidRPr="00D80E8E">
              <w:t>1,366,020</w:t>
            </w:r>
          </w:p>
        </w:tc>
        <w:tc>
          <w:tcPr>
            <w:tcW w:w="2039" w:type="dxa"/>
          </w:tcPr>
          <w:p w14:paraId="2C86E85E" w14:textId="182BFC56" w:rsidR="0022303C" w:rsidRPr="00D80E8E" w:rsidRDefault="0022303C" w:rsidP="0022303C">
            <w:pPr>
              <w:pStyle w:val="BodyText2"/>
              <w:jc w:val="center"/>
            </w:pPr>
            <w:r w:rsidRPr="00D80E8E">
              <w:t>35,372,378</w:t>
            </w:r>
          </w:p>
        </w:tc>
        <w:tc>
          <w:tcPr>
            <w:tcW w:w="1950" w:type="dxa"/>
          </w:tcPr>
          <w:p w14:paraId="4E8D28C7" w14:textId="6A7C1AEC" w:rsidR="0022303C" w:rsidRPr="00D80E8E" w:rsidRDefault="0022303C" w:rsidP="0022303C">
            <w:pPr>
              <w:pStyle w:val="BodyText2"/>
              <w:jc w:val="center"/>
            </w:pPr>
            <w:r w:rsidRPr="00D80E8E">
              <w:t>36,738,398</w:t>
            </w:r>
          </w:p>
        </w:tc>
        <w:tc>
          <w:tcPr>
            <w:tcW w:w="1977" w:type="dxa"/>
          </w:tcPr>
          <w:p w14:paraId="186230D6" w14:textId="3621CBF7" w:rsidR="0022303C" w:rsidRPr="00D80E8E" w:rsidRDefault="0022303C" w:rsidP="0022303C">
            <w:pPr>
              <w:pStyle w:val="BodyText2"/>
              <w:jc w:val="center"/>
            </w:pPr>
            <w:r w:rsidRPr="00D80E8E">
              <w:t>10%</w:t>
            </w:r>
          </w:p>
        </w:tc>
      </w:tr>
      <w:tr w:rsidR="0022303C" w:rsidRPr="00D80E8E" w14:paraId="0416DF39" w14:textId="77777777" w:rsidTr="00F82CC3">
        <w:tc>
          <w:tcPr>
            <w:tcW w:w="6117" w:type="dxa"/>
          </w:tcPr>
          <w:p w14:paraId="0416DF34" w14:textId="39D7B16E" w:rsidR="0022303C" w:rsidRPr="00D80E8E" w:rsidRDefault="0022303C" w:rsidP="0022303C">
            <w:pPr>
              <w:pStyle w:val="BodyText2"/>
              <w:rPr>
                <w:rFonts w:ascii="Myriad Pro" w:hAnsi="Myriad Pro"/>
              </w:rPr>
            </w:pPr>
            <w:r w:rsidRPr="00D80E8E">
              <w:rPr>
                <w:rFonts w:ascii="Myriad Pro" w:hAnsi="Myriad Pro"/>
              </w:rPr>
              <w:t>Economic Recovery and Development (outcome 2)</w:t>
            </w:r>
          </w:p>
        </w:tc>
        <w:tc>
          <w:tcPr>
            <w:tcW w:w="1867" w:type="dxa"/>
          </w:tcPr>
          <w:p w14:paraId="0416DF35" w14:textId="6C5830A1" w:rsidR="0022303C" w:rsidRPr="00D80E8E" w:rsidRDefault="0022303C" w:rsidP="0022303C">
            <w:pPr>
              <w:pStyle w:val="BodyText2"/>
              <w:jc w:val="center"/>
              <w:rPr>
                <w:rFonts w:ascii="Myriad Pro" w:hAnsi="Myriad Pro"/>
              </w:rPr>
            </w:pPr>
            <w:r w:rsidRPr="00D80E8E">
              <w:t>2,297,199</w:t>
            </w:r>
          </w:p>
        </w:tc>
        <w:tc>
          <w:tcPr>
            <w:tcW w:w="2039" w:type="dxa"/>
          </w:tcPr>
          <w:p w14:paraId="0416DF36" w14:textId="74E40122" w:rsidR="0022303C" w:rsidRPr="00D80E8E" w:rsidRDefault="0022303C" w:rsidP="0022303C">
            <w:pPr>
              <w:pStyle w:val="BodyText2"/>
              <w:jc w:val="center"/>
              <w:rPr>
                <w:rFonts w:ascii="Myriad Pro" w:hAnsi="Myriad Pro"/>
              </w:rPr>
            </w:pPr>
            <w:r w:rsidRPr="00D80E8E">
              <w:t>256,102,360</w:t>
            </w:r>
          </w:p>
        </w:tc>
        <w:tc>
          <w:tcPr>
            <w:tcW w:w="1950" w:type="dxa"/>
          </w:tcPr>
          <w:p w14:paraId="0416DF37" w14:textId="7B14F99C" w:rsidR="0022303C" w:rsidRPr="00D80E8E" w:rsidRDefault="0022303C" w:rsidP="0022303C">
            <w:pPr>
              <w:pStyle w:val="BodyText2"/>
              <w:jc w:val="center"/>
              <w:rPr>
                <w:rFonts w:ascii="Myriad Pro" w:hAnsi="Myriad Pro"/>
              </w:rPr>
            </w:pPr>
            <w:r w:rsidRPr="00D80E8E">
              <w:t>258,399,559</w:t>
            </w:r>
          </w:p>
        </w:tc>
        <w:tc>
          <w:tcPr>
            <w:tcW w:w="1977" w:type="dxa"/>
          </w:tcPr>
          <w:p w14:paraId="0416DF38" w14:textId="4B50461E" w:rsidR="0022303C" w:rsidRPr="00D80E8E" w:rsidRDefault="0022303C" w:rsidP="0022303C">
            <w:pPr>
              <w:pStyle w:val="BodyText2"/>
              <w:jc w:val="center"/>
              <w:rPr>
                <w:rFonts w:ascii="Myriad Pro" w:hAnsi="Myriad Pro"/>
              </w:rPr>
            </w:pPr>
            <w:r w:rsidRPr="00D80E8E">
              <w:t>72%</w:t>
            </w:r>
          </w:p>
        </w:tc>
      </w:tr>
      <w:tr w:rsidR="0022303C" w:rsidRPr="00D80E8E" w14:paraId="0416DF45" w14:textId="77777777" w:rsidTr="00F82CC3">
        <w:tc>
          <w:tcPr>
            <w:tcW w:w="6117" w:type="dxa"/>
          </w:tcPr>
          <w:p w14:paraId="0416DF40" w14:textId="0BEEC925" w:rsidR="0022303C" w:rsidRPr="00D80E8E" w:rsidRDefault="0022303C" w:rsidP="0022303C">
            <w:pPr>
              <w:pStyle w:val="BodyText2"/>
              <w:rPr>
                <w:rFonts w:ascii="Myriad Pro" w:hAnsi="Myriad Pro"/>
              </w:rPr>
            </w:pPr>
            <w:r w:rsidRPr="00D80E8E">
              <w:rPr>
                <w:rFonts w:ascii="Myriad Pro" w:hAnsi="Myriad Pro"/>
              </w:rPr>
              <w:t>Peace Operation Support  (outcome 3)</w:t>
            </w:r>
          </w:p>
        </w:tc>
        <w:tc>
          <w:tcPr>
            <w:tcW w:w="1867" w:type="dxa"/>
          </w:tcPr>
          <w:p w14:paraId="0416DF41" w14:textId="11BB367F" w:rsidR="0022303C" w:rsidRPr="00D80E8E" w:rsidRDefault="0022303C" w:rsidP="0022303C">
            <w:pPr>
              <w:pStyle w:val="BodyText2"/>
              <w:jc w:val="center"/>
              <w:rPr>
                <w:rFonts w:ascii="Myriad Pro" w:hAnsi="Myriad Pro"/>
              </w:rPr>
            </w:pPr>
            <w:r w:rsidRPr="00D80E8E">
              <w:t>1,262,388</w:t>
            </w:r>
          </w:p>
        </w:tc>
        <w:tc>
          <w:tcPr>
            <w:tcW w:w="2039" w:type="dxa"/>
          </w:tcPr>
          <w:p w14:paraId="0416DF42" w14:textId="1C22A15A" w:rsidR="0022303C" w:rsidRPr="00D80E8E" w:rsidRDefault="0022303C" w:rsidP="0022303C">
            <w:pPr>
              <w:pStyle w:val="BodyText2"/>
              <w:jc w:val="center"/>
              <w:rPr>
                <w:rFonts w:ascii="Myriad Pro" w:hAnsi="Myriad Pro"/>
              </w:rPr>
            </w:pPr>
            <w:r w:rsidRPr="00D80E8E">
              <w:t>63,879,787</w:t>
            </w:r>
          </w:p>
        </w:tc>
        <w:tc>
          <w:tcPr>
            <w:tcW w:w="1950" w:type="dxa"/>
          </w:tcPr>
          <w:p w14:paraId="0416DF43" w14:textId="1E961938" w:rsidR="0022303C" w:rsidRPr="00D80E8E" w:rsidRDefault="0022303C" w:rsidP="0022303C">
            <w:pPr>
              <w:pStyle w:val="BodyText2"/>
              <w:jc w:val="center"/>
              <w:rPr>
                <w:rFonts w:ascii="Myriad Pro" w:hAnsi="Myriad Pro"/>
              </w:rPr>
            </w:pPr>
            <w:r w:rsidRPr="00D80E8E">
              <w:t>65,142,175</w:t>
            </w:r>
          </w:p>
        </w:tc>
        <w:tc>
          <w:tcPr>
            <w:tcW w:w="1977" w:type="dxa"/>
          </w:tcPr>
          <w:p w14:paraId="0416DF44" w14:textId="21F920D2" w:rsidR="0022303C" w:rsidRPr="00D80E8E" w:rsidRDefault="0022303C" w:rsidP="0022303C">
            <w:pPr>
              <w:pStyle w:val="BodyText2"/>
              <w:jc w:val="center"/>
              <w:rPr>
                <w:rFonts w:ascii="Myriad Pro" w:hAnsi="Myriad Pro"/>
              </w:rPr>
            </w:pPr>
            <w:r w:rsidRPr="00D80E8E">
              <w:t>18%</w:t>
            </w:r>
          </w:p>
        </w:tc>
      </w:tr>
      <w:tr w:rsidR="0022303C" w:rsidRPr="00D80E8E" w14:paraId="0416DF51" w14:textId="77777777" w:rsidTr="00F82CC3">
        <w:tc>
          <w:tcPr>
            <w:tcW w:w="6117" w:type="dxa"/>
            <w:shd w:val="clear" w:color="auto" w:fill="00B0F0"/>
          </w:tcPr>
          <w:p w14:paraId="0416DF4C" w14:textId="77777777" w:rsidR="0022303C" w:rsidRPr="00D80E8E" w:rsidRDefault="0022303C" w:rsidP="0022303C">
            <w:pPr>
              <w:pStyle w:val="BodyText2"/>
              <w:jc w:val="center"/>
              <w:rPr>
                <w:rFonts w:ascii="Myriad Pro" w:hAnsi="Myriad Pro"/>
              </w:rPr>
            </w:pPr>
            <w:r w:rsidRPr="00D80E8E">
              <w:rPr>
                <w:rFonts w:ascii="Myriad Pro" w:hAnsi="Myriad Pro"/>
              </w:rPr>
              <w:t>Total</w:t>
            </w:r>
          </w:p>
        </w:tc>
        <w:tc>
          <w:tcPr>
            <w:tcW w:w="1867" w:type="dxa"/>
            <w:shd w:val="clear" w:color="auto" w:fill="00B0F0"/>
          </w:tcPr>
          <w:p w14:paraId="0416DF4D" w14:textId="7F523283" w:rsidR="0022303C" w:rsidRPr="00D80E8E" w:rsidRDefault="0022303C" w:rsidP="0022303C">
            <w:pPr>
              <w:pStyle w:val="BodyText2"/>
              <w:jc w:val="center"/>
              <w:rPr>
                <w:rFonts w:ascii="Myriad Pro" w:hAnsi="Myriad Pro"/>
              </w:rPr>
            </w:pPr>
            <w:r w:rsidRPr="00D80E8E">
              <w:t>4,925,608</w:t>
            </w:r>
          </w:p>
        </w:tc>
        <w:tc>
          <w:tcPr>
            <w:tcW w:w="2039" w:type="dxa"/>
            <w:shd w:val="clear" w:color="auto" w:fill="00B0F0"/>
          </w:tcPr>
          <w:p w14:paraId="0416DF4E" w14:textId="0F68BC23" w:rsidR="0022303C" w:rsidRPr="00D80E8E" w:rsidRDefault="0022303C" w:rsidP="0022303C">
            <w:pPr>
              <w:pStyle w:val="BodyText2"/>
              <w:jc w:val="center"/>
              <w:rPr>
                <w:rFonts w:ascii="Myriad Pro" w:hAnsi="Myriad Pro"/>
              </w:rPr>
            </w:pPr>
            <w:r w:rsidRPr="00D80E8E">
              <w:t>355,354,524</w:t>
            </w:r>
          </w:p>
        </w:tc>
        <w:tc>
          <w:tcPr>
            <w:tcW w:w="1950" w:type="dxa"/>
            <w:shd w:val="clear" w:color="auto" w:fill="00B0F0"/>
          </w:tcPr>
          <w:p w14:paraId="0416DF4F" w14:textId="40063799" w:rsidR="0022303C" w:rsidRPr="00D80E8E" w:rsidRDefault="0022303C" w:rsidP="0022303C">
            <w:pPr>
              <w:pStyle w:val="BodyText2"/>
              <w:jc w:val="center"/>
              <w:rPr>
                <w:rFonts w:ascii="Myriad Pro" w:hAnsi="Myriad Pro"/>
              </w:rPr>
            </w:pPr>
            <w:r w:rsidRPr="00D80E8E">
              <w:t>360,280,132</w:t>
            </w:r>
          </w:p>
        </w:tc>
        <w:tc>
          <w:tcPr>
            <w:tcW w:w="1977" w:type="dxa"/>
            <w:shd w:val="clear" w:color="auto" w:fill="00B0F0"/>
          </w:tcPr>
          <w:p w14:paraId="0416DF50" w14:textId="77777777" w:rsidR="0022303C" w:rsidRPr="00D80E8E" w:rsidRDefault="0022303C" w:rsidP="0022303C">
            <w:pPr>
              <w:pStyle w:val="BodyText2"/>
              <w:jc w:val="center"/>
              <w:rPr>
                <w:rFonts w:ascii="Myriad Pro" w:hAnsi="Myriad Pro"/>
              </w:rPr>
            </w:pPr>
          </w:p>
        </w:tc>
      </w:tr>
      <w:tr w:rsidR="0022303C" w:rsidRPr="00D80E8E" w14:paraId="0416DF54" w14:textId="77777777" w:rsidTr="00B83B5D">
        <w:tc>
          <w:tcPr>
            <w:tcW w:w="13950" w:type="dxa"/>
            <w:gridSpan w:val="5"/>
          </w:tcPr>
          <w:p w14:paraId="0416DF53" w14:textId="33016724" w:rsidR="0022303C" w:rsidRPr="00D80E8E" w:rsidRDefault="0022303C" w:rsidP="0022303C">
            <w:pPr>
              <w:pStyle w:val="BodyText2"/>
              <w:rPr>
                <w:rFonts w:ascii="Myriad Pro" w:hAnsi="Myriad Pro"/>
                <w:b/>
              </w:rPr>
            </w:pPr>
            <w:r w:rsidRPr="00D80E8E">
              <w:rPr>
                <w:rFonts w:ascii="Myriad Pro" w:hAnsi="Myriad Pro"/>
                <w:b/>
              </w:rPr>
              <w:t xml:space="preserve">Data sources:  (please indicate the primary sources from which data were obtained for this report.) </w:t>
            </w:r>
          </w:p>
        </w:tc>
      </w:tr>
      <w:tr w:rsidR="0022303C" w:rsidRPr="00BB3784" w14:paraId="0416DF5A" w14:textId="77777777" w:rsidTr="00B83B5D">
        <w:tc>
          <w:tcPr>
            <w:tcW w:w="13950" w:type="dxa"/>
            <w:gridSpan w:val="5"/>
          </w:tcPr>
          <w:p w14:paraId="0416DF55" w14:textId="3C9D08E9" w:rsidR="0022303C" w:rsidRPr="00D80E8E" w:rsidRDefault="0022303C" w:rsidP="0022303C">
            <w:pPr>
              <w:pStyle w:val="BodyText2"/>
              <w:numPr>
                <w:ilvl w:val="0"/>
                <w:numId w:val="28"/>
              </w:numPr>
              <w:rPr>
                <w:rFonts w:ascii="Myriad Pro" w:hAnsi="Myriad Pro"/>
                <w:bCs/>
              </w:rPr>
            </w:pPr>
            <w:r w:rsidRPr="00D80E8E">
              <w:rPr>
                <w:rFonts w:ascii="Myriad Pro" w:hAnsi="Myriad Pro"/>
                <w:bCs/>
              </w:rPr>
              <w:t>Results-Oriented Annual reports (2019- 2021)</w:t>
            </w:r>
          </w:p>
          <w:p w14:paraId="6F6B9B79" w14:textId="6B55B8F5" w:rsidR="00DA171C" w:rsidRPr="00D80E8E" w:rsidRDefault="00DA171C" w:rsidP="0022303C">
            <w:pPr>
              <w:pStyle w:val="BodyText2"/>
              <w:numPr>
                <w:ilvl w:val="0"/>
                <w:numId w:val="28"/>
              </w:numPr>
              <w:rPr>
                <w:rFonts w:ascii="Myriad Pro" w:hAnsi="Myriad Pro"/>
                <w:bCs/>
              </w:rPr>
            </w:pPr>
            <w:r w:rsidRPr="00D80E8E">
              <w:rPr>
                <w:rFonts w:ascii="Myriad Pro" w:hAnsi="Myriad Pro"/>
                <w:bCs/>
              </w:rPr>
              <w:t>Corporate planning system</w:t>
            </w:r>
          </w:p>
          <w:p w14:paraId="22C03B62" w14:textId="56C40E97" w:rsidR="0022303C" w:rsidRPr="00D80E8E" w:rsidRDefault="0022303C" w:rsidP="0022303C">
            <w:pPr>
              <w:pStyle w:val="BodyText2"/>
              <w:numPr>
                <w:ilvl w:val="0"/>
                <w:numId w:val="28"/>
              </w:numPr>
              <w:rPr>
                <w:rFonts w:ascii="Myriad Pro" w:hAnsi="Myriad Pro"/>
                <w:bCs/>
              </w:rPr>
            </w:pPr>
            <w:r w:rsidRPr="00D80E8E">
              <w:rPr>
                <w:rFonts w:ascii="Myriad Pro" w:hAnsi="Myriad Pro"/>
                <w:bCs/>
              </w:rPr>
              <w:lastRenderedPageBreak/>
              <w:t xml:space="preserve">Project evaluation reports </w:t>
            </w:r>
          </w:p>
          <w:p w14:paraId="0416DF59" w14:textId="0A92DF04" w:rsidR="0022303C" w:rsidRPr="00D80E8E" w:rsidRDefault="0022303C" w:rsidP="0022303C">
            <w:pPr>
              <w:pStyle w:val="BodyText2"/>
              <w:numPr>
                <w:ilvl w:val="0"/>
                <w:numId w:val="28"/>
              </w:numPr>
              <w:rPr>
                <w:rFonts w:ascii="Myriad Pro" w:hAnsi="Myriad Pro"/>
                <w:bCs/>
              </w:rPr>
            </w:pPr>
            <w:r w:rsidRPr="00D80E8E">
              <w:rPr>
                <w:rFonts w:ascii="Myriad Pro" w:hAnsi="Myriad Pro"/>
                <w:bCs/>
              </w:rPr>
              <w:t xml:space="preserve">Stream analytics </w:t>
            </w:r>
          </w:p>
        </w:tc>
      </w:tr>
    </w:tbl>
    <w:p w14:paraId="0416DF5B" w14:textId="77777777" w:rsidR="00635929" w:rsidRPr="00BB3784" w:rsidRDefault="00635929" w:rsidP="005E0C05">
      <w:pPr>
        <w:pStyle w:val="BodyText2"/>
        <w:rPr>
          <w:rFonts w:ascii="Myriad Pro" w:hAnsi="Myriad Pro"/>
        </w:rPr>
      </w:pPr>
    </w:p>
    <w:sectPr w:rsidR="00635929" w:rsidRPr="00BB3784" w:rsidSect="0037523B">
      <w:endnotePr>
        <w:numFmt w:val="decimal"/>
      </w:endnotePr>
      <w:pgSz w:w="16840" w:h="11907" w:orient="landscape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76E7" w14:textId="77777777" w:rsidR="002B6B29" w:rsidRDefault="002B6B29">
      <w:r>
        <w:separator/>
      </w:r>
    </w:p>
  </w:endnote>
  <w:endnote w:type="continuationSeparator" w:id="0">
    <w:p w14:paraId="416481AC" w14:textId="77777777" w:rsidR="002B6B29" w:rsidRDefault="002B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407"/>
      <w:docPartObj>
        <w:docPartGallery w:val="Page Numbers (Bottom of Page)"/>
        <w:docPartUnique/>
      </w:docPartObj>
    </w:sdtPr>
    <w:sdtEndPr/>
    <w:sdtContent>
      <w:p w14:paraId="0416DF61" w14:textId="77777777" w:rsidR="00A210CD" w:rsidRDefault="009F26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D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16DF62" w14:textId="77777777" w:rsidR="00A210CD" w:rsidRDefault="00A21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9D093" w14:textId="77777777" w:rsidR="002B6B29" w:rsidRDefault="002B6B29">
      <w:r>
        <w:separator/>
      </w:r>
    </w:p>
  </w:footnote>
  <w:footnote w:type="continuationSeparator" w:id="0">
    <w:p w14:paraId="3A471BBF" w14:textId="77777777" w:rsidR="002B6B29" w:rsidRDefault="002B6B29">
      <w:r>
        <w:continuationSeparator/>
      </w:r>
    </w:p>
  </w:footnote>
  <w:footnote w:id="1">
    <w:p w14:paraId="1D707D8C" w14:textId="3A659754" w:rsidR="009F2640" w:rsidRDefault="009F2640">
      <w:pPr>
        <w:pStyle w:val="FootnoteText"/>
      </w:pPr>
      <w:r>
        <w:rPr>
          <w:rStyle w:val="FootnoteReference"/>
        </w:rPr>
        <w:footnoteRef/>
      </w:r>
      <w:r>
        <w:t xml:space="preserve"> Replace with the focus areas of your programme.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81E"/>
    <w:multiLevelType w:val="multilevel"/>
    <w:tmpl w:val="F484F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EA39EF"/>
    <w:multiLevelType w:val="hybridMultilevel"/>
    <w:tmpl w:val="2E34CBA8"/>
    <w:lvl w:ilvl="0" w:tplc="89B6A30A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A47C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2A68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120B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C30BE2"/>
    <w:multiLevelType w:val="hybridMultilevel"/>
    <w:tmpl w:val="FF4C982A"/>
    <w:lvl w:ilvl="0" w:tplc="F6FE1EFC">
      <w:numFmt w:val="bullet"/>
      <w:lvlText w:val="-"/>
      <w:lvlJc w:val="left"/>
      <w:pPr>
        <w:tabs>
          <w:tab w:val="num" w:pos="572"/>
        </w:tabs>
        <w:ind w:left="572" w:hanging="36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52816"/>
    <w:multiLevelType w:val="hybridMultilevel"/>
    <w:tmpl w:val="4000A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B69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B76CFF"/>
    <w:multiLevelType w:val="hybridMultilevel"/>
    <w:tmpl w:val="61289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84809"/>
    <w:multiLevelType w:val="hybridMultilevel"/>
    <w:tmpl w:val="5BCC15D6"/>
    <w:lvl w:ilvl="0" w:tplc="08260F98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A421C8"/>
    <w:multiLevelType w:val="hybridMultilevel"/>
    <w:tmpl w:val="3828C37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E91BBE"/>
    <w:multiLevelType w:val="hybridMultilevel"/>
    <w:tmpl w:val="06C04FAC"/>
    <w:lvl w:ilvl="0" w:tplc="F6FE1EFC">
      <w:numFmt w:val="bullet"/>
      <w:lvlText w:val="-"/>
      <w:lvlJc w:val="left"/>
      <w:pPr>
        <w:tabs>
          <w:tab w:val="num" w:pos="1112"/>
        </w:tabs>
        <w:ind w:left="1112" w:hanging="36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C1C2DD6"/>
    <w:multiLevelType w:val="hybridMultilevel"/>
    <w:tmpl w:val="614275AA"/>
    <w:lvl w:ilvl="0" w:tplc="82BCF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B7DAA"/>
    <w:multiLevelType w:val="hybridMultilevel"/>
    <w:tmpl w:val="B1BC2630"/>
    <w:lvl w:ilvl="0" w:tplc="637AB9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2CCC01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F520C4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EA22EF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6E8003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0F6687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E283A6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4B860E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75AACE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B2439A"/>
    <w:multiLevelType w:val="hybridMultilevel"/>
    <w:tmpl w:val="73C81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569F9"/>
    <w:multiLevelType w:val="hybridMultilevel"/>
    <w:tmpl w:val="24509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A2D09"/>
    <w:multiLevelType w:val="multilevel"/>
    <w:tmpl w:val="EF82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21425E"/>
    <w:multiLevelType w:val="hybridMultilevel"/>
    <w:tmpl w:val="B866C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57F3D"/>
    <w:multiLevelType w:val="hybridMultilevel"/>
    <w:tmpl w:val="AB926C66"/>
    <w:lvl w:ilvl="0" w:tplc="1924D38C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B51D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903215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AE602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D387FF6"/>
    <w:multiLevelType w:val="hybridMultilevel"/>
    <w:tmpl w:val="BB401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8708F8"/>
    <w:multiLevelType w:val="hybridMultilevel"/>
    <w:tmpl w:val="3CA02C6C"/>
    <w:lvl w:ilvl="0" w:tplc="B7AEFE40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271708"/>
    <w:multiLevelType w:val="hybridMultilevel"/>
    <w:tmpl w:val="863A0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C42AE"/>
    <w:multiLevelType w:val="hybridMultilevel"/>
    <w:tmpl w:val="89201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14FD5"/>
    <w:multiLevelType w:val="hybridMultilevel"/>
    <w:tmpl w:val="C526E486"/>
    <w:lvl w:ilvl="0" w:tplc="6A00F7F2">
      <w:start w:val="16"/>
      <w:numFmt w:val="bullet"/>
      <w:lvlText w:val=""/>
      <w:lvlJc w:val="left"/>
      <w:pPr>
        <w:tabs>
          <w:tab w:val="num" w:pos="1472"/>
        </w:tabs>
        <w:ind w:left="1472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73A41AA"/>
    <w:multiLevelType w:val="hybridMultilevel"/>
    <w:tmpl w:val="C9184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19"/>
  </w:num>
  <w:num w:numId="6">
    <w:abstractNumId w:val="21"/>
  </w:num>
  <w:num w:numId="7">
    <w:abstractNumId w:val="3"/>
  </w:num>
  <w:num w:numId="8">
    <w:abstractNumId w:val="20"/>
  </w:num>
  <w:num w:numId="9">
    <w:abstractNumId w:val="5"/>
  </w:num>
  <w:num w:numId="10">
    <w:abstractNumId w:val="11"/>
  </w:num>
  <w:num w:numId="11">
    <w:abstractNumId w:val="26"/>
  </w:num>
  <w:num w:numId="12">
    <w:abstractNumId w:val="15"/>
  </w:num>
  <w:num w:numId="13">
    <w:abstractNumId w:val="18"/>
  </w:num>
  <w:num w:numId="14">
    <w:abstractNumId w:val="9"/>
  </w:num>
  <w:num w:numId="15">
    <w:abstractNumId w:val="1"/>
  </w:num>
  <w:num w:numId="16">
    <w:abstractNumId w:val="23"/>
  </w:num>
  <w:num w:numId="17">
    <w:abstractNumId w:val="22"/>
  </w:num>
  <w:num w:numId="18">
    <w:abstractNumId w:val="27"/>
  </w:num>
  <w:num w:numId="19">
    <w:abstractNumId w:val="17"/>
  </w:num>
  <w:num w:numId="20">
    <w:abstractNumId w:val="14"/>
  </w:num>
  <w:num w:numId="21">
    <w:abstractNumId w:val="12"/>
  </w:num>
  <w:num w:numId="22">
    <w:abstractNumId w:val="6"/>
  </w:num>
  <w:num w:numId="23">
    <w:abstractNumId w:val="0"/>
  </w:num>
  <w:num w:numId="24">
    <w:abstractNumId w:val="8"/>
  </w:num>
  <w:num w:numId="25">
    <w:abstractNumId w:val="16"/>
  </w:num>
  <w:num w:numId="26">
    <w:abstractNumId w:val="10"/>
  </w:num>
  <w:num w:numId="27">
    <w:abstractNumId w:val="2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68"/>
    <w:rsid w:val="00003C64"/>
    <w:rsid w:val="00007461"/>
    <w:rsid w:val="000079CC"/>
    <w:rsid w:val="00011A63"/>
    <w:rsid w:val="000502AD"/>
    <w:rsid w:val="00056A1E"/>
    <w:rsid w:val="00060083"/>
    <w:rsid w:val="00061634"/>
    <w:rsid w:val="000823AC"/>
    <w:rsid w:val="000823EC"/>
    <w:rsid w:val="00091FDF"/>
    <w:rsid w:val="000929C0"/>
    <w:rsid w:val="00094C21"/>
    <w:rsid w:val="000A049E"/>
    <w:rsid w:val="000A282C"/>
    <w:rsid w:val="000A5872"/>
    <w:rsid w:val="000C09B4"/>
    <w:rsid w:val="000C4457"/>
    <w:rsid w:val="000C4863"/>
    <w:rsid w:val="000D0460"/>
    <w:rsid w:val="000D2155"/>
    <w:rsid w:val="000D6DE5"/>
    <w:rsid w:val="000F77FD"/>
    <w:rsid w:val="00101465"/>
    <w:rsid w:val="00103FEF"/>
    <w:rsid w:val="001267C7"/>
    <w:rsid w:val="001334D5"/>
    <w:rsid w:val="0014295B"/>
    <w:rsid w:val="00143E03"/>
    <w:rsid w:val="00144C03"/>
    <w:rsid w:val="0014771B"/>
    <w:rsid w:val="00152969"/>
    <w:rsid w:val="0015409F"/>
    <w:rsid w:val="0015724C"/>
    <w:rsid w:val="00157815"/>
    <w:rsid w:val="001663A4"/>
    <w:rsid w:val="00167DA9"/>
    <w:rsid w:val="00176076"/>
    <w:rsid w:val="001956C7"/>
    <w:rsid w:val="001958D4"/>
    <w:rsid w:val="001964F5"/>
    <w:rsid w:val="001A4D75"/>
    <w:rsid w:val="001B3148"/>
    <w:rsid w:val="001B322A"/>
    <w:rsid w:val="001B721D"/>
    <w:rsid w:val="001C1500"/>
    <w:rsid w:val="001C43D4"/>
    <w:rsid w:val="001D2010"/>
    <w:rsid w:val="001D5BFE"/>
    <w:rsid w:val="001E4911"/>
    <w:rsid w:val="001F2BAB"/>
    <w:rsid w:val="001F3524"/>
    <w:rsid w:val="0022303C"/>
    <w:rsid w:val="002243CA"/>
    <w:rsid w:val="00230A0E"/>
    <w:rsid w:val="00230BEA"/>
    <w:rsid w:val="002315A5"/>
    <w:rsid w:val="0023233A"/>
    <w:rsid w:val="00232597"/>
    <w:rsid w:val="00237593"/>
    <w:rsid w:val="00242B38"/>
    <w:rsid w:val="0025071B"/>
    <w:rsid w:val="002547CF"/>
    <w:rsid w:val="00257273"/>
    <w:rsid w:val="0026321D"/>
    <w:rsid w:val="002664F6"/>
    <w:rsid w:val="00274DDF"/>
    <w:rsid w:val="00275EAE"/>
    <w:rsid w:val="002941AF"/>
    <w:rsid w:val="00297ADF"/>
    <w:rsid w:val="002A1CF5"/>
    <w:rsid w:val="002A6DFB"/>
    <w:rsid w:val="002B2757"/>
    <w:rsid w:val="002B6B29"/>
    <w:rsid w:val="002B6F26"/>
    <w:rsid w:val="002C26C0"/>
    <w:rsid w:val="002C4B80"/>
    <w:rsid w:val="002C7EA7"/>
    <w:rsid w:val="002F7E65"/>
    <w:rsid w:val="003149C0"/>
    <w:rsid w:val="00317053"/>
    <w:rsid w:val="0032175A"/>
    <w:rsid w:val="00322DEA"/>
    <w:rsid w:val="00330A98"/>
    <w:rsid w:val="00337D67"/>
    <w:rsid w:val="00346615"/>
    <w:rsid w:val="00354A60"/>
    <w:rsid w:val="00354CB5"/>
    <w:rsid w:val="00357B0E"/>
    <w:rsid w:val="00363EC5"/>
    <w:rsid w:val="003654A5"/>
    <w:rsid w:val="003661E4"/>
    <w:rsid w:val="00366AD1"/>
    <w:rsid w:val="00367ED5"/>
    <w:rsid w:val="00374F37"/>
    <w:rsid w:val="0037523B"/>
    <w:rsid w:val="00381191"/>
    <w:rsid w:val="0038343F"/>
    <w:rsid w:val="00384504"/>
    <w:rsid w:val="00387409"/>
    <w:rsid w:val="00396421"/>
    <w:rsid w:val="003A4407"/>
    <w:rsid w:val="003B037A"/>
    <w:rsid w:val="003B0D44"/>
    <w:rsid w:val="003B422F"/>
    <w:rsid w:val="003C2BB3"/>
    <w:rsid w:val="003C52B7"/>
    <w:rsid w:val="003C53AA"/>
    <w:rsid w:val="003C5F7A"/>
    <w:rsid w:val="003C70C0"/>
    <w:rsid w:val="003D09AA"/>
    <w:rsid w:val="003D11E1"/>
    <w:rsid w:val="003D653B"/>
    <w:rsid w:val="003E32E3"/>
    <w:rsid w:val="003E39D4"/>
    <w:rsid w:val="004004FC"/>
    <w:rsid w:val="004032CA"/>
    <w:rsid w:val="00403B78"/>
    <w:rsid w:val="004123CF"/>
    <w:rsid w:val="00417008"/>
    <w:rsid w:val="004174D6"/>
    <w:rsid w:val="0041777B"/>
    <w:rsid w:val="00417800"/>
    <w:rsid w:val="00421A29"/>
    <w:rsid w:val="00424E4F"/>
    <w:rsid w:val="00426855"/>
    <w:rsid w:val="00430F04"/>
    <w:rsid w:val="004460D5"/>
    <w:rsid w:val="00461D62"/>
    <w:rsid w:val="004711A7"/>
    <w:rsid w:val="00487E01"/>
    <w:rsid w:val="004930F1"/>
    <w:rsid w:val="004A31E3"/>
    <w:rsid w:val="004B1BFD"/>
    <w:rsid w:val="004B3911"/>
    <w:rsid w:val="004B5459"/>
    <w:rsid w:val="004B78F8"/>
    <w:rsid w:val="004C3BB5"/>
    <w:rsid w:val="004C595C"/>
    <w:rsid w:val="004D3DBE"/>
    <w:rsid w:val="004F7209"/>
    <w:rsid w:val="0051231A"/>
    <w:rsid w:val="00512EC0"/>
    <w:rsid w:val="00515722"/>
    <w:rsid w:val="00516AC8"/>
    <w:rsid w:val="00517955"/>
    <w:rsid w:val="00530FDE"/>
    <w:rsid w:val="005474ED"/>
    <w:rsid w:val="005622C0"/>
    <w:rsid w:val="005820BF"/>
    <w:rsid w:val="0058733E"/>
    <w:rsid w:val="00590391"/>
    <w:rsid w:val="005A1748"/>
    <w:rsid w:val="005A1DEB"/>
    <w:rsid w:val="005A2359"/>
    <w:rsid w:val="005A7B65"/>
    <w:rsid w:val="005B06B9"/>
    <w:rsid w:val="005B4927"/>
    <w:rsid w:val="005C2D92"/>
    <w:rsid w:val="005C6168"/>
    <w:rsid w:val="005C6593"/>
    <w:rsid w:val="005D2E8B"/>
    <w:rsid w:val="005D698F"/>
    <w:rsid w:val="005E0C05"/>
    <w:rsid w:val="005E2F8D"/>
    <w:rsid w:val="005E7A94"/>
    <w:rsid w:val="005E7CBE"/>
    <w:rsid w:val="005F2E08"/>
    <w:rsid w:val="005F2E44"/>
    <w:rsid w:val="005F6261"/>
    <w:rsid w:val="005F7506"/>
    <w:rsid w:val="006004BF"/>
    <w:rsid w:val="00601F96"/>
    <w:rsid w:val="00606157"/>
    <w:rsid w:val="00612159"/>
    <w:rsid w:val="006128DD"/>
    <w:rsid w:val="00613FB2"/>
    <w:rsid w:val="0061604C"/>
    <w:rsid w:val="0061610A"/>
    <w:rsid w:val="00616DE6"/>
    <w:rsid w:val="00622E6F"/>
    <w:rsid w:val="00635929"/>
    <w:rsid w:val="006421FE"/>
    <w:rsid w:val="00645B6B"/>
    <w:rsid w:val="0064746F"/>
    <w:rsid w:val="006523B7"/>
    <w:rsid w:val="0065673A"/>
    <w:rsid w:val="00662B93"/>
    <w:rsid w:val="00673710"/>
    <w:rsid w:val="00674B1A"/>
    <w:rsid w:val="00680ADC"/>
    <w:rsid w:val="006856E8"/>
    <w:rsid w:val="00685DE1"/>
    <w:rsid w:val="006900FE"/>
    <w:rsid w:val="006A0AB0"/>
    <w:rsid w:val="006A6D80"/>
    <w:rsid w:val="006A71B0"/>
    <w:rsid w:val="006B750C"/>
    <w:rsid w:val="006B7757"/>
    <w:rsid w:val="006D0776"/>
    <w:rsid w:val="006E0AB1"/>
    <w:rsid w:val="006E38DD"/>
    <w:rsid w:val="006E5EB2"/>
    <w:rsid w:val="00700521"/>
    <w:rsid w:val="007064FD"/>
    <w:rsid w:val="00706D44"/>
    <w:rsid w:val="0071555C"/>
    <w:rsid w:val="007570AC"/>
    <w:rsid w:val="00760E32"/>
    <w:rsid w:val="00764E41"/>
    <w:rsid w:val="00771515"/>
    <w:rsid w:val="007722B9"/>
    <w:rsid w:val="00775A32"/>
    <w:rsid w:val="00776056"/>
    <w:rsid w:val="00780AE0"/>
    <w:rsid w:val="00790C12"/>
    <w:rsid w:val="00797184"/>
    <w:rsid w:val="007B79AE"/>
    <w:rsid w:val="007C1B15"/>
    <w:rsid w:val="007E1663"/>
    <w:rsid w:val="007F6231"/>
    <w:rsid w:val="008018C5"/>
    <w:rsid w:val="00813F1E"/>
    <w:rsid w:val="0081403B"/>
    <w:rsid w:val="00816A29"/>
    <w:rsid w:val="008226A5"/>
    <w:rsid w:val="00825CDD"/>
    <w:rsid w:val="00834997"/>
    <w:rsid w:val="008359CB"/>
    <w:rsid w:val="00837C4B"/>
    <w:rsid w:val="00842737"/>
    <w:rsid w:val="00843006"/>
    <w:rsid w:val="008440D9"/>
    <w:rsid w:val="00845340"/>
    <w:rsid w:val="00847843"/>
    <w:rsid w:val="00852476"/>
    <w:rsid w:val="008556D7"/>
    <w:rsid w:val="00856B0A"/>
    <w:rsid w:val="00864D08"/>
    <w:rsid w:val="00867AAC"/>
    <w:rsid w:val="008725B6"/>
    <w:rsid w:val="00881622"/>
    <w:rsid w:val="008826A8"/>
    <w:rsid w:val="00882ECA"/>
    <w:rsid w:val="008835E3"/>
    <w:rsid w:val="00884A36"/>
    <w:rsid w:val="008977D9"/>
    <w:rsid w:val="008A3674"/>
    <w:rsid w:val="008A40E4"/>
    <w:rsid w:val="008A7A1B"/>
    <w:rsid w:val="008B06DD"/>
    <w:rsid w:val="008C47B6"/>
    <w:rsid w:val="008D0BB7"/>
    <w:rsid w:val="008D2324"/>
    <w:rsid w:val="008D4556"/>
    <w:rsid w:val="008D4EBF"/>
    <w:rsid w:val="008D791F"/>
    <w:rsid w:val="008E3B8D"/>
    <w:rsid w:val="008F0A97"/>
    <w:rsid w:val="008F3DB8"/>
    <w:rsid w:val="008F545D"/>
    <w:rsid w:val="00920DBC"/>
    <w:rsid w:val="009260C8"/>
    <w:rsid w:val="0092646A"/>
    <w:rsid w:val="009275A8"/>
    <w:rsid w:val="00933C28"/>
    <w:rsid w:val="009353D7"/>
    <w:rsid w:val="00935416"/>
    <w:rsid w:val="00937A31"/>
    <w:rsid w:val="00942B3B"/>
    <w:rsid w:val="00956D65"/>
    <w:rsid w:val="00957172"/>
    <w:rsid w:val="0096611E"/>
    <w:rsid w:val="0097197E"/>
    <w:rsid w:val="00975566"/>
    <w:rsid w:val="00983861"/>
    <w:rsid w:val="009869F5"/>
    <w:rsid w:val="00990CED"/>
    <w:rsid w:val="00991C4D"/>
    <w:rsid w:val="00991F66"/>
    <w:rsid w:val="0099324F"/>
    <w:rsid w:val="009A4221"/>
    <w:rsid w:val="009B76A1"/>
    <w:rsid w:val="009D1249"/>
    <w:rsid w:val="009D58DA"/>
    <w:rsid w:val="009E42B3"/>
    <w:rsid w:val="009E7526"/>
    <w:rsid w:val="009F21FD"/>
    <w:rsid w:val="009F2640"/>
    <w:rsid w:val="009F2EE2"/>
    <w:rsid w:val="009F3C5C"/>
    <w:rsid w:val="009F3FF5"/>
    <w:rsid w:val="00A0001A"/>
    <w:rsid w:val="00A0263F"/>
    <w:rsid w:val="00A0461F"/>
    <w:rsid w:val="00A06553"/>
    <w:rsid w:val="00A10F92"/>
    <w:rsid w:val="00A1786A"/>
    <w:rsid w:val="00A210CD"/>
    <w:rsid w:val="00A23A8B"/>
    <w:rsid w:val="00A30EBB"/>
    <w:rsid w:val="00A3747A"/>
    <w:rsid w:val="00A40130"/>
    <w:rsid w:val="00A44F24"/>
    <w:rsid w:val="00A45528"/>
    <w:rsid w:val="00A57912"/>
    <w:rsid w:val="00A66FF4"/>
    <w:rsid w:val="00A7155D"/>
    <w:rsid w:val="00A74149"/>
    <w:rsid w:val="00A75892"/>
    <w:rsid w:val="00A76E78"/>
    <w:rsid w:val="00A85E34"/>
    <w:rsid w:val="00A91FAB"/>
    <w:rsid w:val="00A9375E"/>
    <w:rsid w:val="00AA51B9"/>
    <w:rsid w:val="00AC325E"/>
    <w:rsid w:val="00AC6893"/>
    <w:rsid w:val="00AD0EA6"/>
    <w:rsid w:val="00AD678D"/>
    <w:rsid w:val="00AE42A8"/>
    <w:rsid w:val="00AE7930"/>
    <w:rsid w:val="00AF0E41"/>
    <w:rsid w:val="00AF632C"/>
    <w:rsid w:val="00B00E5C"/>
    <w:rsid w:val="00B0115C"/>
    <w:rsid w:val="00B053BE"/>
    <w:rsid w:val="00B12384"/>
    <w:rsid w:val="00B2050D"/>
    <w:rsid w:val="00B2210A"/>
    <w:rsid w:val="00B23234"/>
    <w:rsid w:val="00B2428D"/>
    <w:rsid w:val="00B25B8C"/>
    <w:rsid w:val="00B30A3A"/>
    <w:rsid w:val="00B315C4"/>
    <w:rsid w:val="00B32ADA"/>
    <w:rsid w:val="00B35AE4"/>
    <w:rsid w:val="00B45F70"/>
    <w:rsid w:val="00B64ACA"/>
    <w:rsid w:val="00B826F0"/>
    <w:rsid w:val="00B83B5D"/>
    <w:rsid w:val="00B9359D"/>
    <w:rsid w:val="00B97D51"/>
    <w:rsid w:val="00BB3784"/>
    <w:rsid w:val="00BB5367"/>
    <w:rsid w:val="00BB671A"/>
    <w:rsid w:val="00BC38E0"/>
    <w:rsid w:val="00BE2925"/>
    <w:rsid w:val="00BF08BF"/>
    <w:rsid w:val="00C04AD8"/>
    <w:rsid w:val="00C3062B"/>
    <w:rsid w:val="00C40E18"/>
    <w:rsid w:val="00C41ABC"/>
    <w:rsid w:val="00C4744B"/>
    <w:rsid w:val="00C60F4E"/>
    <w:rsid w:val="00C621A4"/>
    <w:rsid w:val="00C65620"/>
    <w:rsid w:val="00C66DE1"/>
    <w:rsid w:val="00C72476"/>
    <w:rsid w:val="00C73FFA"/>
    <w:rsid w:val="00C76103"/>
    <w:rsid w:val="00C97E31"/>
    <w:rsid w:val="00CA1F1E"/>
    <w:rsid w:val="00CA27B5"/>
    <w:rsid w:val="00CA7041"/>
    <w:rsid w:val="00CB2979"/>
    <w:rsid w:val="00CB647D"/>
    <w:rsid w:val="00CB79C7"/>
    <w:rsid w:val="00CD0810"/>
    <w:rsid w:val="00CD17BE"/>
    <w:rsid w:val="00CD1EBE"/>
    <w:rsid w:val="00CD688A"/>
    <w:rsid w:val="00CE0C32"/>
    <w:rsid w:val="00CE5C42"/>
    <w:rsid w:val="00D1526F"/>
    <w:rsid w:val="00D22CE7"/>
    <w:rsid w:val="00D30BE3"/>
    <w:rsid w:val="00D361CD"/>
    <w:rsid w:val="00D41141"/>
    <w:rsid w:val="00D5183F"/>
    <w:rsid w:val="00D533FE"/>
    <w:rsid w:val="00D61B1D"/>
    <w:rsid w:val="00D769DE"/>
    <w:rsid w:val="00D80A4F"/>
    <w:rsid w:val="00D80E8E"/>
    <w:rsid w:val="00D817B2"/>
    <w:rsid w:val="00D848A1"/>
    <w:rsid w:val="00D85C20"/>
    <w:rsid w:val="00D9192E"/>
    <w:rsid w:val="00DA171C"/>
    <w:rsid w:val="00DA312D"/>
    <w:rsid w:val="00DA460F"/>
    <w:rsid w:val="00DB2170"/>
    <w:rsid w:val="00DB2F15"/>
    <w:rsid w:val="00DC4D86"/>
    <w:rsid w:val="00DC7354"/>
    <w:rsid w:val="00DC7E8D"/>
    <w:rsid w:val="00DC7F13"/>
    <w:rsid w:val="00DD4368"/>
    <w:rsid w:val="00DD4D25"/>
    <w:rsid w:val="00DE1483"/>
    <w:rsid w:val="00DE42DB"/>
    <w:rsid w:val="00DE49DF"/>
    <w:rsid w:val="00DF0357"/>
    <w:rsid w:val="00DF05B9"/>
    <w:rsid w:val="00E0564E"/>
    <w:rsid w:val="00E06A4E"/>
    <w:rsid w:val="00E1547F"/>
    <w:rsid w:val="00E210F0"/>
    <w:rsid w:val="00E25DB5"/>
    <w:rsid w:val="00E26813"/>
    <w:rsid w:val="00E30371"/>
    <w:rsid w:val="00E32ACA"/>
    <w:rsid w:val="00E359FA"/>
    <w:rsid w:val="00E37E7A"/>
    <w:rsid w:val="00E61115"/>
    <w:rsid w:val="00E71694"/>
    <w:rsid w:val="00E74F2E"/>
    <w:rsid w:val="00E770DC"/>
    <w:rsid w:val="00E91A31"/>
    <w:rsid w:val="00EA3926"/>
    <w:rsid w:val="00EA7740"/>
    <w:rsid w:val="00EC7BBC"/>
    <w:rsid w:val="00ED6B5B"/>
    <w:rsid w:val="00EE1D60"/>
    <w:rsid w:val="00EF6DE4"/>
    <w:rsid w:val="00F01F35"/>
    <w:rsid w:val="00F01FDE"/>
    <w:rsid w:val="00F041AD"/>
    <w:rsid w:val="00F16195"/>
    <w:rsid w:val="00F164E0"/>
    <w:rsid w:val="00F21966"/>
    <w:rsid w:val="00F21A26"/>
    <w:rsid w:val="00F315D4"/>
    <w:rsid w:val="00F31949"/>
    <w:rsid w:val="00F34B26"/>
    <w:rsid w:val="00F37FA7"/>
    <w:rsid w:val="00F54E43"/>
    <w:rsid w:val="00F55D79"/>
    <w:rsid w:val="00F563D6"/>
    <w:rsid w:val="00F65367"/>
    <w:rsid w:val="00F739FE"/>
    <w:rsid w:val="00F826EC"/>
    <w:rsid w:val="00F82CC3"/>
    <w:rsid w:val="00F84FD4"/>
    <w:rsid w:val="00F902BE"/>
    <w:rsid w:val="00FB10CF"/>
    <w:rsid w:val="00FB1B4B"/>
    <w:rsid w:val="00FB2C4C"/>
    <w:rsid w:val="00FB3DB2"/>
    <w:rsid w:val="00FC7E95"/>
    <w:rsid w:val="00FD1ABB"/>
    <w:rsid w:val="00FD55CF"/>
    <w:rsid w:val="00FE3711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16DEC6"/>
  <w15:docId w15:val="{33B4BF7F-9982-4F2A-83CB-41CCE137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5BC4"/>
    <w:pPr>
      <w:widowControl w:val="0"/>
    </w:pPr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C7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FF5BC4"/>
    <w:pPr>
      <w:keepNext/>
      <w:shd w:val="pct15" w:color="auto" w:fill="FFFFFF"/>
      <w:jc w:val="center"/>
      <w:outlineLvl w:val="2"/>
    </w:pPr>
    <w:rPr>
      <w:rFonts w:ascii="Arial" w:hAnsi="Arial"/>
      <w:bCs/>
    </w:rPr>
  </w:style>
  <w:style w:type="paragraph" w:styleId="Heading4">
    <w:name w:val="heading 4"/>
    <w:basedOn w:val="Normal"/>
    <w:next w:val="Normal"/>
    <w:qFormat/>
    <w:rsid w:val="00FF5BC4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5BC4"/>
    <w:pPr>
      <w:widowControl/>
    </w:pPr>
    <w:rPr>
      <w:rFonts w:ascii="Univers" w:hAnsi="Univers"/>
      <w:sz w:val="22"/>
    </w:rPr>
  </w:style>
  <w:style w:type="paragraph" w:styleId="BodyText2">
    <w:name w:val="Body Text 2"/>
    <w:basedOn w:val="Normal"/>
    <w:rsid w:val="00FF5BC4"/>
    <w:pPr>
      <w:widowControl/>
    </w:pPr>
    <w:rPr>
      <w:rFonts w:ascii="Arial" w:hAnsi="Arial"/>
      <w:sz w:val="20"/>
    </w:rPr>
  </w:style>
  <w:style w:type="paragraph" w:styleId="BodyText3">
    <w:name w:val="Body Text 3"/>
    <w:basedOn w:val="Normal"/>
    <w:rsid w:val="00FF5BC4"/>
    <w:pPr>
      <w:jc w:val="both"/>
    </w:pPr>
    <w:rPr>
      <w:szCs w:val="24"/>
    </w:rPr>
  </w:style>
  <w:style w:type="paragraph" w:styleId="Header">
    <w:name w:val="header"/>
    <w:basedOn w:val="Normal"/>
    <w:rsid w:val="00FF5B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5B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18C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7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210CD"/>
    <w:rPr>
      <w:sz w:val="24"/>
    </w:rPr>
  </w:style>
  <w:style w:type="paragraph" w:styleId="FootnoteText">
    <w:name w:val="footnote text"/>
    <w:basedOn w:val="Normal"/>
    <w:link w:val="FootnoteTextChar"/>
    <w:rsid w:val="001F352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F3524"/>
  </w:style>
  <w:style w:type="character" w:styleId="FootnoteReference">
    <w:name w:val="footnote reference"/>
    <w:basedOn w:val="DefaultParagraphFont"/>
    <w:rsid w:val="001F3524"/>
    <w:rPr>
      <w:vertAlign w:val="superscript"/>
    </w:rPr>
  </w:style>
  <w:style w:type="paragraph" w:styleId="ListParagraph">
    <w:name w:val="List Paragraph"/>
    <w:aliases w:val="List Paragraph Aktis,Bullet Points,Recommendation,OBC Bullet,Recommendatio,Dot pt,F5 List Paragraph,List Paragraph1,No Spacing1,List Paragraph Char Char Char,Indicator Text,Colorful List - Accent 11,Numbered Para 1,Numbered Paragraph"/>
    <w:basedOn w:val="Normal"/>
    <w:link w:val="ListParagraphChar"/>
    <w:uiPriority w:val="34"/>
    <w:qFormat/>
    <w:rsid w:val="00662B9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769DE"/>
    <w:pPr>
      <w:widowControl/>
      <w:spacing w:before="100" w:beforeAutospacing="1" w:after="100" w:afterAutospacing="1"/>
    </w:pPr>
    <w:rPr>
      <w:szCs w:val="24"/>
      <w:lang w:eastAsia="en-GB"/>
    </w:rPr>
  </w:style>
  <w:style w:type="paragraph" w:customStyle="1" w:styleId="Default">
    <w:name w:val="Default"/>
    <w:rsid w:val="000D0460"/>
    <w:pPr>
      <w:autoSpaceDE w:val="0"/>
      <w:autoSpaceDN w:val="0"/>
      <w:adjustRightInd w:val="0"/>
    </w:pPr>
    <w:rPr>
      <w:rFonts w:ascii="Californian FB" w:hAnsi="Californian FB" w:cs="Californian FB"/>
      <w:color w:val="000000"/>
      <w:sz w:val="24"/>
      <w:szCs w:val="24"/>
      <w:lang w:val="en-GB"/>
    </w:rPr>
  </w:style>
  <w:style w:type="character" w:customStyle="1" w:styleId="ListParagraphChar">
    <w:name w:val="List Paragraph Char"/>
    <w:aliases w:val="List Paragraph Aktis Char,Bullet Points Char,Recommendation Char,OBC Bullet Char,Recommendatio Char,Dot pt Char,F5 List Paragraph Char,List Paragraph1 Char,No Spacing1 Char,List Paragraph Char Char Char Char,Indicator Text Char"/>
    <w:basedOn w:val="DefaultParagraphFont"/>
    <w:link w:val="ListParagraph"/>
    <w:uiPriority w:val="34"/>
    <w:qFormat/>
    <w:rsid w:val="0099324F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beba3d-fd60-4dcb-8548-a9fd3c51d9ff">UNITOFFICE-389-65</_dlc_DocId>
    <_dlc_DocIdUrl xmlns="5ebeba3d-fd60-4dcb-8548-a9fd3c51d9ff">
      <Url>https://intranet.undp.org/unit/office/exo/sp2014/SP201417/_layouts/15/DocIdRedir.aspx?ID=UNITOFFICE-389-65</Url>
      <Description>UNITOFFICE-389-65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90A27B52FCB4CAD807182CFC29563" ma:contentTypeVersion="0" ma:contentTypeDescription="Create a new document." ma:contentTypeScope="" ma:versionID="b37ba5427b81870b2e187eab6ab5f15f">
  <xsd:schema xmlns:xsd="http://www.w3.org/2001/XMLSchema" xmlns:xs="http://www.w3.org/2001/XMLSchema" xmlns:p="http://schemas.microsoft.com/office/2006/metadata/properties" xmlns:ns2="5ebeba3d-fd60-4dcb-8548-a9fd3c51d9ff" targetNamespace="http://schemas.microsoft.com/office/2006/metadata/properties" ma:root="true" ma:fieldsID="1955057cc3d262953b1bb7229d2b2619" ns2:_="">
    <xsd:import namespace="5ebeba3d-fd60-4dcb-8548-a9fd3c51d9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eba3d-fd60-4dcb-8548-a9fd3c51d9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A8C3F-AC1D-48A7-B2A6-9D175027A6B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26F30E3-F037-4347-A061-0F786D120BC7}">
  <ds:schemaRefs>
    <ds:schemaRef ds:uri="http://schemas.microsoft.com/office/2006/metadata/properties"/>
    <ds:schemaRef ds:uri="http://schemas.microsoft.com/office/infopath/2007/PartnerControls"/>
    <ds:schemaRef ds:uri="5ebeba3d-fd60-4dcb-8548-a9fd3c51d9ff"/>
  </ds:schemaRefs>
</ds:datastoreItem>
</file>

<file path=customXml/itemProps3.xml><?xml version="1.0" encoding="utf-8"?>
<ds:datastoreItem xmlns:ds="http://schemas.openxmlformats.org/officeDocument/2006/customXml" ds:itemID="{05E776AA-53A5-40ED-AB02-F651111B29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44C24F-AB91-4B21-93C2-F26F78395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eba3d-fd60-4dcb-8548-a9fd3c51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B39C8B-24F1-4B11-BAE3-5A074194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2127</Words>
  <Characters>13268</Characters>
  <Application>Microsoft Office Word</Application>
  <DocSecurity>4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Country:</vt:lpstr>
    </vt:vector>
  </TitlesOfParts>
  <Company>UNDP</Company>
  <LinksUpToDate>false</LinksUpToDate>
  <CharactersWithSpaces>15365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results summary</dc:title>
  <dc:subject/>
  <dc:creator>DGO</dc:creator>
  <cp:keywords/>
  <dc:description/>
  <cp:lastModifiedBy>Svetlana Iazykova</cp:lastModifiedBy>
  <cp:revision>2</cp:revision>
  <cp:lastPrinted>2008-06-06T15:39:00Z</cp:lastPrinted>
  <dcterms:created xsi:type="dcterms:W3CDTF">2022-06-10T18:59:00Z</dcterms:created>
  <dcterms:modified xsi:type="dcterms:W3CDTF">2022-06-10T18:59:00Z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0x01010022190A27B52FCB4CAD807182CFC29563</vt:lpwstr>
  </property>
  <property fmtid="{D5CDD505-2E9C-101B-9397-08002B2CF9AE}" pid="3" name="_dlc_DocIdItemGuid">
    <vt:lpwstr>f27af4bb-be3d-4f14-9b6a-c8842e8f76c8</vt:lpwstr>
  </property>
  <property fmtid="{D5CDD505-2E9C-101B-9397-08002B2CF9AE}" pid="4" name="UNDPPOPPKeywords">
    <vt:lpwstr/>
  </property>
  <property fmtid="{D5CDD505-2E9C-101B-9397-08002B2CF9AE}" pid="5" name="TaxCatchAll">
    <vt:lpwstr/>
  </property>
  <property fmtid="{D5CDD505-2E9C-101B-9397-08002B2CF9AE}" pid="6" name="UNDPAuthor">
    <vt:lpwstr/>
  </property>
  <property fmtid="{D5CDD505-2E9C-101B-9397-08002B2CF9AE}" pid="7" name="Order">
    <vt:r8>9200</vt:r8>
  </property>
  <property fmtid="{D5CDD505-2E9C-101B-9397-08002B2CF9AE}" pid="8" name="_dlc_DocId">
    <vt:lpwstr>UNDPGBL-229-92</vt:lpwstr>
  </property>
  <property fmtid="{D5CDD505-2E9C-101B-9397-08002B2CF9AE}" pid="9" name="_dlc_DocIdUrl">
    <vt:lpwstr>https://intranet.undp.org/global/documents/_layouts/DocIdRedir.aspx?ID=UNDPGBL-229-92, UNDPGBL-229-92</vt:lpwstr>
  </property>
</Properties>
</file>