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E9E38" w14:textId="77777777" w:rsidR="00A509C7" w:rsidRPr="0016385E" w:rsidRDefault="00A509C7" w:rsidP="00A509C7">
      <w:pPr>
        <w:tabs>
          <w:tab w:val="left" w:pos="8789"/>
        </w:tabs>
        <w:ind w:right="288"/>
        <w:rPr>
          <w:b/>
          <w:color w:val="000000"/>
        </w:rPr>
      </w:pPr>
      <w:r w:rsidRPr="0016385E">
        <w:rPr>
          <w:b/>
          <w:color w:val="000000"/>
        </w:rPr>
        <w:t>Second regular session 2021</w:t>
      </w:r>
    </w:p>
    <w:p w14:paraId="3068792D" w14:textId="77777777" w:rsidR="00A509C7" w:rsidRPr="0016385E" w:rsidRDefault="00A509C7" w:rsidP="00A509C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16385E">
        <w:rPr>
          <w:color w:val="000000"/>
        </w:rPr>
        <w:t>30 August – 2 September 2021, New York</w:t>
      </w:r>
    </w:p>
    <w:p w14:paraId="32FD7AFB" w14:textId="3E994FFE" w:rsidR="00A509C7" w:rsidRPr="0016385E" w:rsidRDefault="00A509C7" w:rsidP="00A509C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rPr>
      </w:pPr>
      <w:r w:rsidRPr="0016385E">
        <w:rPr>
          <w:color w:val="000000"/>
        </w:rPr>
        <w:t xml:space="preserve">Item </w:t>
      </w:r>
      <w:r w:rsidR="001F1FED">
        <w:rPr>
          <w:color w:val="000000"/>
        </w:rPr>
        <w:t>5</w:t>
      </w:r>
      <w:r w:rsidRPr="0016385E">
        <w:rPr>
          <w:color w:val="000000"/>
        </w:rPr>
        <w:t xml:space="preserve"> of the provisional agenda</w:t>
      </w:r>
    </w:p>
    <w:p w14:paraId="4163BB89" w14:textId="77777777" w:rsidR="00A509C7" w:rsidRPr="0016385E" w:rsidRDefault="00A509C7" w:rsidP="00A509C7">
      <w:pPr>
        <w:ind w:right="1260"/>
        <w:rPr>
          <w:b/>
          <w:color w:val="000000"/>
        </w:rPr>
      </w:pPr>
      <w:r w:rsidRPr="0016385E">
        <w:rPr>
          <w:b/>
          <w:color w:val="000000"/>
        </w:rPr>
        <w:t>Country programmes and related matters</w:t>
      </w:r>
    </w:p>
    <w:p w14:paraId="2A1E5422" w14:textId="77777777" w:rsidR="00A509C7" w:rsidRPr="0016385E" w:rsidRDefault="00A509C7" w:rsidP="00A509C7">
      <w:pPr>
        <w:jc w:val="both"/>
        <w:rPr>
          <w:b/>
        </w:rPr>
      </w:pPr>
    </w:p>
    <w:p w14:paraId="688E5C43" w14:textId="77777777" w:rsidR="00A509C7" w:rsidRPr="0016385E" w:rsidRDefault="00A509C7" w:rsidP="00A509C7">
      <w:pPr>
        <w:keepNext/>
        <w:keepLines/>
        <w:pBdr>
          <w:top w:val="nil"/>
          <w:left w:val="nil"/>
          <w:bottom w:val="nil"/>
          <w:right w:val="nil"/>
          <w:between w:val="nil"/>
        </w:pBd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auto"/>
        <w:ind w:left="1267" w:right="1260" w:hanging="1267"/>
        <w:rPr>
          <w:b/>
          <w:sz w:val="28"/>
          <w:szCs w:val="28"/>
        </w:rPr>
      </w:pPr>
    </w:p>
    <w:p w14:paraId="38767438" w14:textId="18225DB1" w:rsidR="00A509C7" w:rsidRPr="0016385E" w:rsidRDefault="00C82F54" w:rsidP="00A509C7">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eastAsia="fr-FR"/>
        </w:rPr>
      </w:pPr>
      <w:r>
        <w:rPr>
          <w:b/>
          <w:sz w:val="28"/>
          <w:szCs w:val="28"/>
        </w:rPr>
        <w:t>C</w:t>
      </w:r>
      <w:r w:rsidR="00A509C7" w:rsidRPr="0016385E">
        <w:rPr>
          <w:b/>
          <w:sz w:val="28"/>
          <w:szCs w:val="28"/>
        </w:rPr>
        <w:t>ountry programme document for</w:t>
      </w:r>
      <w:r w:rsidR="00A509C7" w:rsidRPr="00882056">
        <w:rPr>
          <w:b/>
          <w:sz w:val="28"/>
          <w:szCs w:val="28"/>
        </w:rPr>
        <w:t xml:space="preserve"> Madagascar</w:t>
      </w:r>
      <w:r w:rsidR="00A509C7" w:rsidRPr="0016385E">
        <w:rPr>
          <w:b/>
          <w:sz w:val="28"/>
          <w:szCs w:val="28"/>
        </w:rPr>
        <w:t xml:space="preserve"> (202</w:t>
      </w:r>
      <w:r w:rsidR="00C53E56" w:rsidRPr="0016385E">
        <w:rPr>
          <w:b/>
          <w:sz w:val="28"/>
          <w:szCs w:val="28"/>
        </w:rPr>
        <w:t>1</w:t>
      </w:r>
      <w:r w:rsidR="00A509C7" w:rsidRPr="0016385E">
        <w:rPr>
          <w:b/>
          <w:sz w:val="28"/>
          <w:szCs w:val="28"/>
        </w:rPr>
        <w:t>-202</w:t>
      </w:r>
      <w:r w:rsidR="00C53E56" w:rsidRPr="00882056">
        <w:rPr>
          <w:b/>
          <w:sz w:val="28"/>
          <w:szCs w:val="28"/>
        </w:rPr>
        <w:t>3</w:t>
      </w:r>
      <w:r w:rsidR="00A509C7" w:rsidRPr="0016385E">
        <w:rPr>
          <w:b/>
          <w:sz w:val="28"/>
          <w:szCs w:val="28"/>
        </w:rPr>
        <w:t>)</w:t>
      </w:r>
      <w:r w:rsidR="00A509C7" w:rsidRPr="0016385E">
        <w:rPr>
          <w:b/>
          <w:sz w:val="28"/>
          <w:szCs w:val="28"/>
        </w:rPr>
        <w:br/>
      </w:r>
    </w:p>
    <w:p w14:paraId="3355682E" w14:textId="77777777" w:rsidR="00A509C7" w:rsidRPr="0016385E" w:rsidRDefault="00A509C7" w:rsidP="00A509C7">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eastAsia="fr-FR"/>
        </w:rPr>
      </w:pPr>
      <w:r w:rsidRPr="0016385E">
        <w:rPr>
          <w:color w:val="000000"/>
          <w:kern w:val="14"/>
          <w:sz w:val="28"/>
          <w:lang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260"/>
        <w:gridCol w:w="8109"/>
        <w:gridCol w:w="171"/>
        <w:gridCol w:w="362"/>
      </w:tblGrid>
      <w:tr w:rsidR="00A509C7" w:rsidRPr="0016385E" w14:paraId="3B308D76" w14:textId="77777777" w:rsidTr="00882056">
        <w:tc>
          <w:tcPr>
            <w:tcW w:w="1260" w:type="dxa"/>
            <w:shd w:val="clear" w:color="auto" w:fill="auto"/>
          </w:tcPr>
          <w:p w14:paraId="6E8A6C66" w14:textId="1C046D05" w:rsidR="00A509C7" w:rsidRPr="0016385E" w:rsidRDefault="00EC49ED" w:rsidP="00A509C7">
            <w:pPr>
              <w:tabs>
                <w:tab w:val="left" w:pos="1620"/>
              </w:tabs>
              <w:suppressAutoHyphens/>
              <w:spacing w:after="120"/>
              <w:jc w:val="right"/>
              <w:rPr>
                <w:i/>
                <w:color w:val="000000"/>
                <w:spacing w:val="4"/>
                <w:w w:val="103"/>
                <w:kern w:val="14"/>
                <w:sz w:val="14"/>
                <w:lang w:eastAsia="fr-FR"/>
              </w:rPr>
            </w:pPr>
            <w:r w:rsidRPr="0016385E">
              <w:rPr>
                <w:i/>
                <w:color w:val="000000"/>
                <w:spacing w:val="4"/>
                <w:w w:val="103"/>
                <w:kern w:val="14"/>
                <w:sz w:val="14"/>
                <w:lang w:eastAsia="fr-FR"/>
              </w:rPr>
              <w:t>Chapter</w:t>
            </w:r>
          </w:p>
        </w:tc>
        <w:tc>
          <w:tcPr>
            <w:tcW w:w="8280" w:type="dxa"/>
            <w:gridSpan w:val="2"/>
            <w:shd w:val="clear" w:color="auto" w:fill="auto"/>
          </w:tcPr>
          <w:p w14:paraId="4F6D6E07" w14:textId="77777777" w:rsidR="00A509C7" w:rsidRPr="0016385E" w:rsidRDefault="00A509C7" w:rsidP="00A509C7">
            <w:pPr>
              <w:tabs>
                <w:tab w:val="left" w:pos="1620"/>
              </w:tabs>
              <w:suppressAutoHyphens/>
              <w:spacing w:after="120"/>
              <w:rPr>
                <w:i/>
                <w:color w:val="000000"/>
                <w:spacing w:val="4"/>
                <w:w w:val="103"/>
                <w:kern w:val="14"/>
                <w:sz w:val="14"/>
                <w:lang w:eastAsia="fr-FR"/>
              </w:rPr>
            </w:pPr>
          </w:p>
        </w:tc>
        <w:tc>
          <w:tcPr>
            <w:tcW w:w="362" w:type="dxa"/>
            <w:shd w:val="clear" w:color="auto" w:fill="auto"/>
          </w:tcPr>
          <w:p w14:paraId="3422EED1" w14:textId="77777777" w:rsidR="00A509C7" w:rsidRPr="0016385E" w:rsidRDefault="00A509C7" w:rsidP="00A509C7">
            <w:pPr>
              <w:tabs>
                <w:tab w:val="left" w:pos="1620"/>
              </w:tabs>
              <w:suppressAutoHyphens/>
              <w:spacing w:after="120"/>
              <w:jc w:val="right"/>
              <w:rPr>
                <w:i/>
                <w:color w:val="000000"/>
                <w:spacing w:val="4"/>
                <w:w w:val="103"/>
                <w:kern w:val="14"/>
                <w:sz w:val="14"/>
                <w:lang w:eastAsia="fr-FR"/>
              </w:rPr>
            </w:pPr>
            <w:r w:rsidRPr="0016385E">
              <w:rPr>
                <w:i/>
                <w:iCs/>
                <w:color w:val="000000"/>
                <w:kern w:val="14"/>
                <w:sz w:val="14"/>
                <w:lang w:eastAsia="fr-FR"/>
              </w:rPr>
              <w:t>Page</w:t>
            </w:r>
          </w:p>
        </w:tc>
      </w:tr>
      <w:tr w:rsidR="00A509C7" w:rsidRPr="0016385E" w14:paraId="7A5A3ECA" w14:textId="77777777" w:rsidTr="00EC49ED">
        <w:tc>
          <w:tcPr>
            <w:tcW w:w="9540" w:type="dxa"/>
            <w:gridSpan w:val="3"/>
            <w:shd w:val="clear" w:color="auto" w:fill="auto"/>
          </w:tcPr>
          <w:p w14:paraId="50AFB0EC" w14:textId="77777777" w:rsidR="00A509C7" w:rsidRPr="0016385E" w:rsidRDefault="00A509C7" w:rsidP="00A509C7">
            <w:pPr>
              <w:numPr>
                <w:ilvl w:val="0"/>
                <w:numId w:val="2"/>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eastAsia="fr-FR"/>
              </w:rPr>
            </w:pPr>
            <w:r w:rsidRPr="0016385E">
              <w:rPr>
                <w:color w:val="000000"/>
                <w:kern w:val="14"/>
                <w:lang w:eastAsia="fr-FR"/>
              </w:rPr>
              <w:tab/>
              <w:t>UNDP within the United Nations Sustainable Development Cooperation Framework</w:t>
            </w:r>
            <w:r w:rsidRPr="0016385E">
              <w:rPr>
                <w:color w:val="000000"/>
                <w:sz w:val="24"/>
                <w:szCs w:val="24"/>
                <w:lang w:eastAsia="fr-FR"/>
              </w:rPr>
              <w:tab/>
            </w:r>
          </w:p>
        </w:tc>
        <w:tc>
          <w:tcPr>
            <w:tcW w:w="362" w:type="dxa"/>
            <w:vMerge w:val="restart"/>
            <w:shd w:val="clear" w:color="auto" w:fill="auto"/>
            <w:vAlign w:val="bottom"/>
          </w:tcPr>
          <w:p w14:paraId="7F232B64" w14:textId="77777777" w:rsidR="00A509C7" w:rsidRPr="0016385E" w:rsidRDefault="00A509C7" w:rsidP="00882056">
            <w:pPr>
              <w:tabs>
                <w:tab w:val="left" w:pos="1620"/>
              </w:tabs>
              <w:suppressAutoHyphens/>
              <w:spacing w:after="120" w:line="240" w:lineRule="exact"/>
              <w:jc w:val="center"/>
              <w:rPr>
                <w:color w:val="000000"/>
                <w:spacing w:val="4"/>
                <w:w w:val="103"/>
                <w:kern w:val="14"/>
                <w:lang w:eastAsia="fr-FR"/>
              </w:rPr>
            </w:pPr>
            <w:r w:rsidRPr="0016385E">
              <w:rPr>
                <w:color w:val="000000"/>
                <w:kern w:val="14"/>
                <w:lang w:eastAsia="fr-FR"/>
              </w:rPr>
              <w:t>2</w:t>
            </w:r>
          </w:p>
          <w:p w14:paraId="03449D7C" w14:textId="77777777" w:rsidR="00A509C7" w:rsidRPr="0016385E" w:rsidRDefault="00A509C7" w:rsidP="00882056">
            <w:pPr>
              <w:tabs>
                <w:tab w:val="left" w:pos="1620"/>
              </w:tabs>
              <w:suppressAutoHyphens/>
              <w:spacing w:after="120" w:line="240" w:lineRule="exact"/>
              <w:jc w:val="center"/>
              <w:rPr>
                <w:color w:val="000000"/>
                <w:spacing w:val="4"/>
                <w:w w:val="103"/>
                <w:kern w:val="14"/>
                <w:lang w:eastAsia="fr-FR"/>
              </w:rPr>
            </w:pPr>
            <w:r w:rsidRPr="0016385E">
              <w:rPr>
                <w:color w:val="000000"/>
                <w:kern w:val="14"/>
                <w:lang w:eastAsia="fr-FR"/>
              </w:rPr>
              <w:t>4</w:t>
            </w:r>
          </w:p>
        </w:tc>
      </w:tr>
      <w:tr w:rsidR="00A509C7" w:rsidRPr="0016385E" w14:paraId="0E0288C6" w14:textId="77777777" w:rsidTr="00EC49ED">
        <w:tc>
          <w:tcPr>
            <w:tcW w:w="9540" w:type="dxa"/>
            <w:gridSpan w:val="3"/>
            <w:shd w:val="clear" w:color="auto" w:fill="auto"/>
          </w:tcPr>
          <w:p w14:paraId="7327B3AF" w14:textId="77777777" w:rsidR="00A509C7" w:rsidRPr="0016385E" w:rsidRDefault="00A509C7" w:rsidP="00A509C7">
            <w:pPr>
              <w:numPr>
                <w:ilvl w:val="0"/>
                <w:numId w:val="2"/>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eastAsia="fr-FR"/>
              </w:rPr>
            </w:pPr>
            <w:r w:rsidRPr="0016385E">
              <w:rPr>
                <w:color w:val="000000"/>
                <w:kern w:val="14"/>
                <w:lang w:eastAsia="fr-FR"/>
              </w:rPr>
              <w:tab/>
              <w:t>Programme priorities and partnerships</w:t>
            </w:r>
            <w:r w:rsidRPr="0016385E">
              <w:rPr>
                <w:color w:val="000000"/>
                <w:lang w:eastAsia="fr-FR"/>
              </w:rPr>
              <w:t>………………………………………………….</w:t>
            </w:r>
            <w:r w:rsidRPr="0016385E">
              <w:rPr>
                <w:color w:val="000000"/>
                <w:lang w:eastAsia="fr-FR"/>
              </w:rPr>
              <w:tab/>
              <w:t>……….…</w:t>
            </w:r>
          </w:p>
        </w:tc>
        <w:tc>
          <w:tcPr>
            <w:tcW w:w="362" w:type="dxa"/>
            <w:vMerge/>
            <w:shd w:val="clear" w:color="auto" w:fill="auto"/>
            <w:vAlign w:val="bottom"/>
          </w:tcPr>
          <w:p w14:paraId="55252B7F" w14:textId="77777777" w:rsidR="00A509C7" w:rsidRPr="0016385E" w:rsidRDefault="00A509C7" w:rsidP="00882056">
            <w:pPr>
              <w:tabs>
                <w:tab w:val="left" w:pos="1620"/>
              </w:tabs>
              <w:suppressAutoHyphens/>
              <w:spacing w:after="120" w:line="240" w:lineRule="exact"/>
              <w:jc w:val="center"/>
              <w:rPr>
                <w:color w:val="000000"/>
                <w:spacing w:val="4"/>
                <w:w w:val="103"/>
                <w:kern w:val="14"/>
                <w:lang w:eastAsia="fr-FR"/>
              </w:rPr>
            </w:pPr>
          </w:p>
        </w:tc>
      </w:tr>
      <w:tr w:rsidR="00A509C7" w:rsidRPr="0016385E" w14:paraId="4FDBAF2D" w14:textId="77777777" w:rsidTr="00EC49ED">
        <w:tc>
          <w:tcPr>
            <w:tcW w:w="9540" w:type="dxa"/>
            <w:gridSpan w:val="3"/>
            <w:shd w:val="clear" w:color="auto" w:fill="auto"/>
          </w:tcPr>
          <w:p w14:paraId="1245BB0C" w14:textId="77777777" w:rsidR="00A509C7" w:rsidRPr="0016385E" w:rsidRDefault="00A509C7" w:rsidP="00A509C7">
            <w:pPr>
              <w:numPr>
                <w:ilvl w:val="0"/>
                <w:numId w:val="2"/>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eastAsia="fr-FR"/>
              </w:rPr>
            </w:pPr>
            <w:r w:rsidRPr="0016385E">
              <w:rPr>
                <w:color w:val="000000"/>
                <w:kern w:val="14"/>
                <w:lang w:eastAsia="fr-FR"/>
              </w:rPr>
              <w:tab/>
              <w:t xml:space="preserve">Programme and risk management </w:t>
            </w:r>
            <w:r w:rsidRPr="0016385E">
              <w:rPr>
                <w:color w:val="000000"/>
                <w:lang w:eastAsia="fr-FR"/>
              </w:rPr>
              <w:t>……………………………………………….…………………</w:t>
            </w:r>
          </w:p>
        </w:tc>
        <w:tc>
          <w:tcPr>
            <w:tcW w:w="362" w:type="dxa"/>
            <w:vMerge w:val="restart"/>
            <w:shd w:val="clear" w:color="auto" w:fill="auto"/>
            <w:vAlign w:val="bottom"/>
          </w:tcPr>
          <w:p w14:paraId="182567CB" w14:textId="77777777" w:rsidR="00A509C7" w:rsidRPr="0016385E" w:rsidRDefault="00A509C7" w:rsidP="00882056">
            <w:pPr>
              <w:tabs>
                <w:tab w:val="left" w:pos="1620"/>
              </w:tabs>
              <w:suppressAutoHyphens/>
              <w:spacing w:after="120" w:line="240" w:lineRule="exact"/>
              <w:jc w:val="center"/>
              <w:rPr>
                <w:color w:val="000000"/>
                <w:spacing w:val="4"/>
                <w:w w:val="103"/>
                <w:kern w:val="14"/>
                <w:lang w:eastAsia="fr-FR"/>
              </w:rPr>
            </w:pPr>
            <w:r w:rsidRPr="0016385E">
              <w:rPr>
                <w:color w:val="000000"/>
                <w:spacing w:val="4"/>
                <w:w w:val="103"/>
                <w:kern w:val="14"/>
                <w:lang w:eastAsia="fr-FR"/>
              </w:rPr>
              <w:t>7</w:t>
            </w:r>
          </w:p>
          <w:p w14:paraId="6E0BA591" w14:textId="77777777" w:rsidR="00A509C7" w:rsidRPr="0016385E" w:rsidRDefault="00A509C7" w:rsidP="00882056">
            <w:pPr>
              <w:tabs>
                <w:tab w:val="left" w:pos="1620"/>
              </w:tabs>
              <w:suppressAutoHyphens/>
              <w:spacing w:after="120" w:line="240" w:lineRule="exact"/>
              <w:jc w:val="center"/>
              <w:rPr>
                <w:color w:val="000000"/>
                <w:spacing w:val="4"/>
                <w:w w:val="103"/>
                <w:kern w:val="14"/>
                <w:lang w:eastAsia="fr-FR"/>
              </w:rPr>
            </w:pPr>
            <w:r w:rsidRPr="0016385E">
              <w:rPr>
                <w:color w:val="000000"/>
                <w:spacing w:val="4"/>
                <w:w w:val="103"/>
                <w:kern w:val="14"/>
                <w:lang w:eastAsia="fr-FR"/>
              </w:rPr>
              <w:t>8</w:t>
            </w:r>
          </w:p>
        </w:tc>
      </w:tr>
      <w:tr w:rsidR="00A509C7" w:rsidRPr="0016385E" w14:paraId="399691CF" w14:textId="77777777" w:rsidTr="00EC49ED">
        <w:tc>
          <w:tcPr>
            <w:tcW w:w="9540" w:type="dxa"/>
            <w:gridSpan w:val="3"/>
            <w:shd w:val="clear" w:color="auto" w:fill="auto"/>
          </w:tcPr>
          <w:p w14:paraId="39DC22CC" w14:textId="77777777" w:rsidR="00A509C7" w:rsidRPr="0016385E" w:rsidRDefault="00A509C7" w:rsidP="00A509C7">
            <w:pPr>
              <w:numPr>
                <w:ilvl w:val="0"/>
                <w:numId w:val="2"/>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eastAsia="fr-FR"/>
              </w:rPr>
            </w:pPr>
            <w:r w:rsidRPr="0016385E">
              <w:rPr>
                <w:color w:val="000000"/>
                <w:kern w:val="14"/>
                <w:lang w:eastAsia="fr-FR"/>
              </w:rPr>
              <w:tab/>
              <w:t>Monitoring and evaluation</w:t>
            </w:r>
            <w:r w:rsidRPr="0016385E">
              <w:rPr>
                <w:color w:val="000000"/>
                <w:sz w:val="24"/>
                <w:szCs w:val="24"/>
                <w:lang w:eastAsia="fr-FR"/>
              </w:rPr>
              <w:tab/>
            </w:r>
            <w:r w:rsidRPr="0016385E">
              <w:rPr>
                <w:color w:val="000000"/>
                <w:lang w:eastAsia="fr-FR"/>
              </w:rPr>
              <w:t>…………………………………………………….……………………</w:t>
            </w:r>
          </w:p>
        </w:tc>
        <w:tc>
          <w:tcPr>
            <w:tcW w:w="362" w:type="dxa"/>
            <w:vMerge/>
            <w:shd w:val="clear" w:color="auto" w:fill="auto"/>
            <w:vAlign w:val="bottom"/>
          </w:tcPr>
          <w:p w14:paraId="4D2FB098" w14:textId="77777777" w:rsidR="00A509C7" w:rsidRPr="0016385E" w:rsidRDefault="00A509C7" w:rsidP="00A509C7">
            <w:pPr>
              <w:tabs>
                <w:tab w:val="left" w:pos="1620"/>
              </w:tabs>
              <w:suppressAutoHyphens/>
              <w:spacing w:after="120" w:line="240" w:lineRule="exact"/>
              <w:jc w:val="right"/>
              <w:rPr>
                <w:color w:val="000000"/>
                <w:spacing w:val="4"/>
                <w:w w:val="103"/>
                <w:kern w:val="14"/>
                <w:lang w:eastAsia="fr-FR"/>
              </w:rPr>
            </w:pPr>
          </w:p>
        </w:tc>
      </w:tr>
      <w:tr w:rsidR="00A509C7" w:rsidRPr="0016385E" w14:paraId="7BC9EAEB" w14:textId="77777777" w:rsidTr="00EC49ED">
        <w:tc>
          <w:tcPr>
            <w:tcW w:w="9369" w:type="dxa"/>
            <w:gridSpan w:val="2"/>
            <w:shd w:val="clear" w:color="auto" w:fill="auto"/>
          </w:tcPr>
          <w:p w14:paraId="60647CD3" w14:textId="2D3239F7" w:rsidR="00A509C7" w:rsidRPr="0016385E" w:rsidRDefault="00A8113C" w:rsidP="00A509C7">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eastAsia="fr-FR"/>
              </w:rPr>
            </w:pPr>
            <w:r w:rsidRPr="00865BD0">
              <w:rPr>
                <w:color w:val="000000"/>
                <w:kern w:val="14"/>
                <w:lang w:eastAsia="fr-FR"/>
              </w:rPr>
              <w:t xml:space="preserve">      </w:t>
            </w:r>
            <w:r w:rsidRPr="0016385E">
              <w:rPr>
                <w:color w:val="000000"/>
                <w:kern w:val="14"/>
                <w:lang w:eastAsia="fr-FR"/>
              </w:rPr>
              <w:t xml:space="preserve">           </w:t>
            </w:r>
            <w:r w:rsidR="00A509C7" w:rsidRPr="0016385E">
              <w:rPr>
                <w:color w:val="000000"/>
                <w:kern w:val="14"/>
                <w:lang w:eastAsia="fr-FR"/>
              </w:rPr>
              <w:t>Annex</w:t>
            </w:r>
          </w:p>
        </w:tc>
        <w:tc>
          <w:tcPr>
            <w:tcW w:w="533" w:type="dxa"/>
            <w:gridSpan w:val="2"/>
            <w:shd w:val="clear" w:color="auto" w:fill="auto"/>
            <w:vAlign w:val="bottom"/>
          </w:tcPr>
          <w:p w14:paraId="0A15A790" w14:textId="77777777" w:rsidR="00A509C7" w:rsidRPr="0016385E" w:rsidRDefault="00A509C7" w:rsidP="00A509C7">
            <w:pPr>
              <w:tabs>
                <w:tab w:val="left" w:pos="1620"/>
              </w:tabs>
              <w:suppressAutoHyphens/>
              <w:spacing w:after="120" w:line="240" w:lineRule="exact"/>
              <w:jc w:val="right"/>
              <w:rPr>
                <w:color w:val="000000"/>
                <w:spacing w:val="4"/>
                <w:w w:val="103"/>
                <w:kern w:val="14"/>
                <w:lang w:eastAsia="fr-FR"/>
              </w:rPr>
            </w:pPr>
          </w:p>
        </w:tc>
      </w:tr>
      <w:tr w:rsidR="00A509C7" w:rsidRPr="0016385E" w14:paraId="4100C420" w14:textId="77777777" w:rsidTr="00EC49ED">
        <w:tc>
          <w:tcPr>
            <w:tcW w:w="9369" w:type="dxa"/>
            <w:gridSpan w:val="2"/>
            <w:shd w:val="clear" w:color="auto" w:fill="auto"/>
          </w:tcPr>
          <w:p w14:paraId="0C462EA3" w14:textId="69923D21" w:rsidR="00A509C7" w:rsidRPr="0016385E" w:rsidRDefault="00A509C7" w:rsidP="00A509C7">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580"/>
                <w:tab w:val="left" w:pos="5616"/>
                <w:tab w:val="left" w:pos="6048"/>
                <w:tab w:val="right" w:leader="dot" w:pos="9360"/>
              </w:tabs>
              <w:suppressAutoHyphens/>
              <w:spacing w:after="120" w:line="240" w:lineRule="exact"/>
              <w:ind w:left="1296"/>
              <w:rPr>
                <w:color w:val="000000"/>
                <w:spacing w:val="60"/>
                <w:w w:val="103"/>
                <w:kern w:val="14"/>
                <w:sz w:val="17"/>
                <w:lang w:eastAsia="fr-FR"/>
              </w:rPr>
            </w:pPr>
            <w:r w:rsidRPr="0016385E">
              <w:rPr>
                <w:color w:val="000000"/>
                <w:kern w:val="14"/>
                <w:lang w:eastAsia="fr-FR"/>
              </w:rPr>
              <w:t>Results and resources framework for Madagascar (202</w:t>
            </w:r>
            <w:r w:rsidR="00C53E56" w:rsidRPr="00882056">
              <w:rPr>
                <w:color w:val="000000"/>
                <w:kern w:val="14"/>
                <w:lang w:eastAsia="fr-FR"/>
              </w:rPr>
              <w:t>1</w:t>
            </w:r>
            <w:r w:rsidRPr="0016385E">
              <w:rPr>
                <w:color w:val="000000"/>
                <w:kern w:val="14"/>
                <w:lang w:eastAsia="fr-FR"/>
              </w:rPr>
              <w:t>-202</w:t>
            </w:r>
            <w:r w:rsidR="00C53E56" w:rsidRPr="0016385E">
              <w:rPr>
                <w:color w:val="000000"/>
                <w:kern w:val="14"/>
                <w:lang w:eastAsia="fr-FR"/>
              </w:rPr>
              <w:t>3</w:t>
            </w:r>
            <w:r w:rsidRPr="0016385E">
              <w:rPr>
                <w:color w:val="000000"/>
                <w:kern w:val="14"/>
                <w:lang w:eastAsia="fr-FR"/>
              </w:rPr>
              <w:t>)</w:t>
            </w:r>
            <w:r w:rsidRPr="0016385E">
              <w:rPr>
                <w:color w:val="000000"/>
                <w:sz w:val="24"/>
                <w:szCs w:val="24"/>
                <w:lang w:eastAsia="fr-FR"/>
              </w:rPr>
              <w:tab/>
            </w:r>
          </w:p>
        </w:tc>
        <w:tc>
          <w:tcPr>
            <w:tcW w:w="533" w:type="dxa"/>
            <w:gridSpan w:val="2"/>
            <w:shd w:val="clear" w:color="auto" w:fill="auto"/>
            <w:vAlign w:val="bottom"/>
          </w:tcPr>
          <w:p w14:paraId="7B77E107" w14:textId="5FF78321" w:rsidR="00A509C7" w:rsidRPr="0016385E" w:rsidRDefault="00A8113C" w:rsidP="00882056">
            <w:pPr>
              <w:tabs>
                <w:tab w:val="left" w:pos="1620"/>
              </w:tabs>
              <w:suppressAutoHyphens/>
              <w:spacing w:after="120" w:line="240" w:lineRule="exact"/>
              <w:jc w:val="center"/>
              <w:rPr>
                <w:color w:val="000000"/>
                <w:spacing w:val="4"/>
                <w:w w:val="103"/>
                <w:kern w:val="14"/>
                <w:lang w:eastAsia="fr-FR"/>
              </w:rPr>
            </w:pPr>
            <w:r w:rsidRPr="0016385E">
              <w:rPr>
                <w:color w:val="000000"/>
                <w:spacing w:val="4"/>
                <w:w w:val="103"/>
                <w:kern w:val="14"/>
                <w:lang w:eastAsia="fr-FR"/>
              </w:rPr>
              <w:t xml:space="preserve">  9</w:t>
            </w:r>
          </w:p>
        </w:tc>
      </w:tr>
    </w:tbl>
    <w:p w14:paraId="2F1BA9D4" w14:textId="77777777" w:rsidR="00250662" w:rsidRPr="0016385E" w:rsidRDefault="00250662" w:rsidP="00250662">
      <w:pPr>
        <w:pStyle w:val="Heading2"/>
        <w:spacing w:after="120"/>
        <w:ind w:left="990" w:right="1267" w:hanging="270"/>
        <w:jc w:val="both"/>
        <w:rPr>
          <w:szCs w:val="28"/>
        </w:rPr>
      </w:pPr>
      <w:r w:rsidRPr="0016385E">
        <w:rPr>
          <w:szCs w:val="28"/>
        </w:rPr>
        <w:br w:type="page"/>
      </w:r>
    </w:p>
    <w:p w14:paraId="534EE68F" w14:textId="77777777" w:rsidR="00250662" w:rsidRPr="0016385E" w:rsidRDefault="00250662" w:rsidP="00EC49ED">
      <w:pPr>
        <w:pStyle w:val="Heading2"/>
        <w:spacing w:after="240"/>
        <w:ind w:left="1080" w:right="403" w:hanging="446"/>
        <w:jc w:val="both"/>
        <w:rPr>
          <w:rFonts w:ascii="Times New Roman" w:hAnsi="Times New Roman"/>
          <w:bCs/>
          <w:color w:val="000000"/>
          <w:szCs w:val="28"/>
        </w:rPr>
      </w:pPr>
      <w:bookmarkStart w:id="0" w:name="_Hlk52383667"/>
      <w:r w:rsidRPr="0016385E">
        <w:rPr>
          <w:rFonts w:ascii="Times New Roman" w:hAnsi="Times New Roman"/>
          <w:bCs/>
          <w:color w:val="000000"/>
          <w:szCs w:val="28"/>
        </w:rPr>
        <w:lastRenderedPageBreak/>
        <w:t>I.</w:t>
      </w:r>
      <w:r w:rsidRPr="0016385E">
        <w:rPr>
          <w:rFonts w:ascii="Times New Roman" w:hAnsi="Times New Roman"/>
          <w:bCs/>
          <w:color w:val="000000"/>
          <w:szCs w:val="28"/>
        </w:rPr>
        <w:tab/>
        <w:t>UNDP within the United Nations Sustainable Cooperation Framework</w:t>
      </w:r>
    </w:p>
    <w:p w14:paraId="59595795" w14:textId="48E6E485" w:rsidR="002201AB" w:rsidRPr="0016385E" w:rsidRDefault="002201AB" w:rsidP="00BD1764">
      <w:pPr>
        <w:pStyle w:val="ListParagraph"/>
        <w:numPr>
          <w:ilvl w:val="0"/>
          <w:numId w:val="1"/>
        </w:numPr>
        <w:spacing w:after="120"/>
        <w:ind w:left="1080" w:right="1218" w:firstLine="0"/>
        <w:jc w:val="both"/>
        <w:rPr>
          <w:shd w:val="clear" w:color="auto" w:fill="FFFFFF"/>
        </w:rPr>
      </w:pPr>
      <w:r w:rsidRPr="0016385E">
        <w:rPr>
          <w:shd w:val="clear" w:color="auto" w:fill="FFFFFF"/>
        </w:rPr>
        <w:t>Since the end of the political crisis in 2014, Madagascar has experienced two electoral cycles, with the presidential, legislative, and municipal elections of 2018 and 2019</w:t>
      </w:r>
      <w:r w:rsidR="00EC49ED" w:rsidRPr="0016385E">
        <w:rPr>
          <w:shd w:val="clear" w:color="auto" w:fill="FFFFFF"/>
        </w:rPr>
        <w:t>.</w:t>
      </w:r>
      <w:r w:rsidRPr="0016385E">
        <w:rPr>
          <w:rStyle w:val="FootnoteReference"/>
          <w:shd w:val="clear" w:color="auto" w:fill="FFFFFF"/>
        </w:rPr>
        <w:footnoteReference w:id="1"/>
      </w:r>
      <w:r w:rsidRPr="0016385E">
        <w:rPr>
          <w:shd w:val="clear" w:color="auto" w:fill="FFFFFF"/>
        </w:rPr>
        <w:t xml:space="preserve"> The country </w:t>
      </w:r>
      <w:r w:rsidR="002465A9" w:rsidRPr="00CC7002">
        <w:rPr>
          <w:shd w:val="clear" w:color="auto" w:fill="FFFFFF"/>
        </w:rPr>
        <w:t xml:space="preserve">has </w:t>
      </w:r>
      <w:r w:rsidR="00CC7002" w:rsidRPr="00CC7002">
        <w:rPr>
          <w:shd w:val="clear" w:color="auto" w:fill="FFFFFF"/>
        </w:rPr>
        <w:t xml:space="preserve">recently </w:t>
      </w:r>
      <w:r w:rsidR="002465A9" w:rsidRPr="00CC7002">
        <w:rPr>
          <w:shd w:val="clear" w:color="auto" w:fill="FFFFFF"/>
        </w:rPr>
        <w:t xml:space="preserve">experienced </w:t>
      </w:r>
      <w:r w:rsidRPr="0016385E">
        <w:rPr>
          <w:shd w:val="clear" w:color="auto" w:fill="FFFFFF"/>
        </w:rPr>
        <w:t>recurring political crises reflecting the tensions and dissension within Malagasy society. This has resulted in average growth of 3.3</w:t>
      </w:r>
      <w:r w:rsidR="004F4886" w:rsidRPr="0016385E">
        <w:rPr>
          <w:shd w:val="clear" w:color="auto" w:fill="FFFFFF"/>
        </w:rPr>
        <w:t> </w:t>
      </w:r>
      <w:r w:rsidRPr="0016385E">
        <w:rPr>
          <w:shd w:val="clear" w:color="auto" w:fill="FFFFFF"/>
        </w:rPr>
        <w:t>per</w:t>
      </w:r>
      <w:r w:rsidR="00EC49ED" w:rsidRPr="0016385E">
        <w:rPr>
          <w:shd w:val="clear" w:color="auto" w:fill="FFFFFF"/>
        </w:rPr>
        <w:t xml:space="preserve"> </w:t>
      </w:r>
      <w:r w:rsidRPr="0016385E">
        <w:rPr>
          <w:shd w:val="clear" w:color="auto" w:fill="FFFFFF"/>
        </w:rPr>
        <w:t>cent</w:t>
      </w:r>
      <w:r w:rsidR="00EC49ED" w:rsidRPr="0016385E">
        <w:rPr>
          <w:shd w:val="clear" w:color="auto" w:fill="FFFFFF"/>
        </w:rPr>
        <w:t xml:space="preserve"> over the last decade</w:t>
      </w:r>
      <w:r w:rsidRPr="0016385E">
        <w:rPr>
          <w:shd w:val="clear" w:color="auto" w:fill="FFFFFF"/>
        </w:rPr>
        <w:t>, barely higher than demographic growth (3 per</w:t>
      </w:r>
      <w:r w:rsidR="00063E27">
        <w:rPr>
          <w:shd w:val="clear" w:color="auto" w:fill="FFFFFF"/>
        </w:rPr>
        <w:t xml:space="preserve"> </w:t>
      </w:r>
      <w:r w:rsidRPr="0016385E">
        <w:rPr>
          <w:shd w:val="clear" w:color="auto" w:fill="FFFFFF"/>
        </w:rPr>
        <w:t>cent)</w:t>
      </w:r>
      <w:r w:rsidR="00BC18A2" w:rsidRPr="0016385E">
        <w:rPr>
          <w:shd w:val="clear" w:color="auto" w:fill="FFFFFF"/>
        </w:rPr>
        <w:t xml:space="preserve">. </w:t>
      </w:r>
      <w:r w:rsidR="00EC49ED" w:rsidRPr="0016385E">
        <w:rPr>
          <w:shd w:val="clear" w:color="auto" w:fill="FFFFFF"/>
        </w:rPr>
        <w:t>It has thus been</w:t>
      </w:r>
      <w:r w:rsidRPr="0016385E">
        <w:rPr>
          <w:shd w:val="clear" w:color="auto" w:fill="FFFFFF"/>
        </w:rPr>
        <w:t xml:space="preserve"> </w:t>
      </w:r>
      <w:r w:rsidR="00A8113C" w:rsidRPr="0016385E">
        <w:rPr>
          <w:shd w:val="clear" w:color="auto" w:fill="FFFFFF"/>
        </w:rPr>
        <w:t>im</w:t>
      </w:r>
      <w:r w:rsidRPr="0016385E">
        <w:rPr>
          <w:shd w:val="clear" w:color="auto" w:fill="FFFFFF"/>
        </w:rPr>
        <w:t>possible to reduce poverty, which still affects almost 72 per</w:t>
      </w:r>
      <w:r w:rsidR="00EC49ED" w:rsidRPr="0016385E">
        <w:rPr>
          <w:shd w:val="clear" w:color="auto" w:fill="FFFFFF"/>
        </w:rPr>
        <w:t xml:space="preserve"> </w:t>
      </w:r>
      <w:r w:rsidRPr="0016385E">
        <w:rPr>
          <w:shd w:val="clear" w:color="auto" w:fill="FFFFFF"/>
        </w:rPr>
        <w:t>cent of the population</w:t>
      </w:r>
      <w:r w:rsidR="00383AA8" w:rsidRPr="0016385E">
        <w:rPr>
          <w:rStyle w:val="FootnoteReference"/>
          <w:shd w:val="clear" w:color="auto" w:fill="FFFFFF"/>
        </w:rPr>
        <w:footnoteReference w:id="2"/>
      </w:r>
      <w:r w:rsidRPr="0016385E">
        <w:rPr>
          <w:shd w:val="clear" w:color="auto" w:fill="FFFFFF"/>
        </w:rPr>
        <w:t xml:space="preserve">. </w:t>
      </w:r>
    </w:p>
    <w:p w14:paraId="49A0335D" w14:textId="0256F7E0" w:rsidR="003164E6" w:rsidRPr="0016385E" w:rsidRDefault="003164E6" w:rsidP="00882056">
      <w:pPr>
        <w:pStyle w:val="ListParagraph"/>
        <w:numPr>
          <w:ilvl w:val="0"/>
          <w:numId w:val="1"/>
        </w:numPr>
        <w:spacing w:after="120"/>
        <w:ind w:left="1080" w:right="1224" w:firstLine="0"/>
        <w:jc w:val="both"/>
        <w:rPr>
          <w:shd w:val="clear" w:color="auto" w:fill="FFFFFF"/>
        </w:rPr>
      </w:pPr>
      <w:r w:rsidRPr="0016385E">
        <w:rPr>
          <w:shd w:val="clear" w:color="auto" w:fill="FFFFFF"/>
        </w:rPr>
        <w:t xml:space="preserve">In 2020, the </w:t>
      </w:r>
      <w:r w:rsidR="00EC49ED" w:rsidRPr="0016385E">
        <w:rPr>
          <w:shd w:val="clear" w:color="auto" w:fill="FFFFFF"/>
        </w:rPr>
        <w:t xml:space="preserve">COVID-19 </w:t>
      </w:r>
      <w:r w:rsidRPr="0016385E">
        <w:rPr>
          <w:shd w:val="clear" w:color="auto" w:fill="FFFFFF"/>
        </w:rPr>
        <w:t>pandemic accentuated structural socio-economic weaknesses</w:t>
      </w:r>
      <w:r w:rsidR="00A8113C" w:rsidRPr="0016385E">
        <w:rPr>
          <w:shd w:val="clear" w:color="auto" w:fill="FFFFFF"/>
        </w:rPr>
        <w:t>,</w:t>
      </w:r>
      <w:r w:rsidRPr="0016385E">
        <w:rPr>
          <w:shd w:val="clear" w:color="auto" w:fill="FFFFFF"/>
        </w:rPr>
        <w:t xml:space="preserve"> </w:t>
      </w:r>
      <w:r w:rsidR="00A8113C" w:rsidRPr="0016385E">
        <w:rPr>
          <w:shd w:val="clear" w:color="auto" w:fill="FFFFFF"/>
        </w:rPr>
        <w:t>causing</w:t>
      </w:r>
      <w:r w:rsidR="005139EB" w:rsidRPr="0016385E">
        <w:rPr>
          <w:shd w:val="clear" w:color="auto" w:fill="FFFFFF"/>
        </w:rPr>
        <w:t xml:space="preserve"> a</w:t>
      </w:r>
      <w:r w:rsidRPr="0016385E">
        <w:rPr>
          <w:shd w:val="clear" w:color="auto" w:fill="FFFFFF"/>
        </w:rPr>
        <w:t xml:space="preserve"> significant setback </w:t>
      </w:r>
      <w:r w:rsidR="005139EB" w:rsidRPr="0016385E">
        <w:rPr>
          <w:shd w:val="clear" w:color="auto" w:fill="FFFFFF"/>
        </w:rPr>
        <w:t>in</w:t>
      </w:r>
      <w:r w:rsidRPr="0016385E">
        <w:rPr>
          <w:shd w:val="clear" w:color="auto" w:fill="FFFFFF"/>
        </w:rPr>
        <w:t xml:space="preserve"> human development </w:t>
      </w:r>
      <w:r w:rsidR="00820E45" w:rsidRPr="0016385E">
        <w:rPr>
          <w:shd w:val="clear" w:color="auto" w:fill="FFFFFF"/>
        </w:rPr>
        <w:t>indicators,</w:t>
      </w:r>
      <w:r w:rsidR="00A8113C" w:rsidRPr="0016385E">
        <w:rPr>
          <w:shd w:val="clear" w:color="auto" w:fill="FFFFFF"/>
        </w:rPr>
        <w:t xml:space="preserve"> and</w:t>
      </w:r>
      <w:r w:rsidRPr="0016385E">
        <w:rPr>
          <w:shd w:val="clear" w:color="auto" w:fill="FFFFFF"/>
        </w:rPr>
        <w:t xml:space="preserve"> cancelling the poverty reduction and income gains </w:t>
      </w:r>
      <w:r w:rsidR="00A8113C" w:rsidRPr="0016385E">
        <w:rPr>
          <w:shd w:val="clear" w:color="auto" w:fill="FFFFFF"/>
        </w:rPr>
        <w:t>of</w:t>
      </w:r>
      <w:r w:rsidRPr="0016385E">
        <w:rPr>
          <w:shd w:val="clear" w:color="auto" w:fill="FFFFFF"/>
        </w:rPr>
        <w:t xml:space="preserve"> the last decade.</w:t>
      </w:r>
      <w:r w:rsidR="00DE064C" w:rsidRPr="0016385E">
        <w:rPr>
          <w:shd w:val="clear" w:color="auto" w:fill="FFFFFF"/>
        </w:rPr>
        <w:t xml:space="preserve"> </w:t>
      </w:r>
      <w:r w:rsidR="00B81325" w:rsidRPr="0016385E">
        <w:rPr>
          <w:shd w:val="clear" w:color="auto" w:fill="FFFFFF"/>
        </w:rPr>
        <w:t xml:space="preserve">Negative economic growth </w:t>
      </w:r>
      <w:r w:rsidR="005139EB" w:rsidRPr="0016385E">
        <w:rPr>
          <w:shd w:val="clear" w:color="auto" w:fill="FFFFFF"/>
        </w:rPr>
        <w:t>w</w:t>
      </w:r>
      <w:r w:rsidR="00B81325" w:rsidRPr="0016385E">
        <w:rPr>
          <w:shd w:val="clear" w:color="auto" w:fill="FFFFFF"/>
        </w:rPr>
        <w:t>as recorded in 2020</w:t>
      </w:r>
      <w:r w:rsidR="00A8113C" w:rsidRPr="0016385E">
        <w:rPr>
          <w:shd w:val="clear" w:color="auto" w:fill="FFFFFF"/>
        </w:rPr>
        <w:t xml:space="preserve"> – </w:t>
      </w:r>
      <w:r w:rsidR="00B81325" w:rsidRPr="0016385E">
        <w:rPr>
          <w:shd w:val="clear" w:color="auto" w:fill="FFFFFF"/>
        </w:rPr>
        <w:t>from an initially projected +5.2</w:t>
      </w:r>
      <w:r w:rsidR="006F31B7" w:rsidRPr="0016385E">
        <w:rPr>
          <w:shd w:val="clear" w:color="auto" w:fill="FFFFFF"/>
        </w:rPr>
        <w:t xml:space="preserve"> </w:t>
      </w:r>
      <w:r w:rsidR="00EC49ED" w:rsidRPr="0016385E">
        <w:rPr>
          <w:shd w:val="clear" w:color="auto" w:fill="FFFFFF"/>
        </w:rPr>
        <w:t>per cent</w:t>
      </w:r>
      <w:r w:rsidR="00B81325" w:rsidRPr="0016385E">
        <w:rPr>
          <w:shd w:val="clear" w:color="auto" w:fill="FFFFFF"/>
        </w:rPr>
        <w:t xml:space="preserve"> to -4.2</w:t>
      </w:r>
      <w:r w:rsidR="00076DE4" w:rsidRPr="0016385E">
        <w:rPr>
          <w:shd w:val="clear" w:color="auto" w:fill="FFFFFF"/>
        </w:rPr>
        <w:t xml:space="preserve"> </w:t>
      </w:r>
      <w:r w:rsidR="00EC49ED" w:rsidRPr="0016385E">
        <w:rPr>
          <w:shd w:val="clear" w:color="auto" w:fill="FFFFFF"/>
        </w:rPr>
        <w:t>per cent</w:t>
      </w:r>
      <w:r w:rsidR="00A8113C" w:rsidRPr="0016385E">
        <w:rPr>
          <w:shd w:val="clear" w:color="auto" w:fill="FFFFFF"/>
        </w:rPr>
        <w:t xml:space="preserve"> – </w:t>
      </w:r>
      <w:r w:rsidR="00B81325" w:rsidRPr="0016385E">
        <w:rPr>
          <w:shd w:val="clear" w:color="auto" w:fill="FFFFFF"/>
        </w:rPr>
        <w:t>significant</w:t>
      </w:r>
      <w:r w:rsidR="00A8113C" w:rsidRPr="0016385E">
        <w:rPr>
          <w:shd w:val="clear" w:color="auto" w:fill="FFFFFF"/>
        </w:rPr>
        <w:t xml:space="preserve">ly affecting </w:t>
      </w:r>
      <w:r w:rsidR="00B81325" w:rsidRPr="0016385E">
        <w:rPr>
          <w:shd w:val="clear" w:color="auto" w:fill="FFFFFF"/>
        </w:rPr>
        <w:t xml:space="preserve">the poverty rate </w:t>
      </w:r>
      <w:r w:rsidR="00176E89" w:rsidRPr="0016385E">
        <w:rPr>
          <w:shd w:val="clear" w:color="auto" w:fill="FFFFFF"/>
        </w:rPr>
        <w:t>(</w:t>
      </w:r>
      <w:r w:rsidR="00EC49ED" w:rsidRPr="0016385E">
        <w:rPr>
          <w:shd w:val="clear" w:color="auto" w:fill="FFFFFF"/>
        </w:rPr>
        <w:t>$</w:t>
      </w:r>
      <w:r w:rsidR="00B81325" w:rsidRPr="0016385E">
        <w:rPr>
          <w:shd w:val="clear" w:color="auto" w:fill="FFFFFF"/>
        </w:rPr>
        <w:t>1.9</w:t>
      </w:r>
      <w:r w:rsidR="00176E89" w:rsidRPr="0016385E">
        <w:rPr>
          <w:shd w:val="clear" w:color="auto" w:fill="FFFFFF"/>
        </w:rPr>
        <w:t xml:space="preserve"> </w:t>
      </w:r>
      <w:r w:rsidR="00076DE4" w:rsidRPr="0016385E">
        <w:rPr>
          <w:shd w:val="clear" w:color="auto" w:fill="FFFFFF"/>
        </w:rPr>
        <w:t xml:space="preserve">per </w:t>
      </w:r>
      <w:r w:rsidR="00B81325" w:rsidRPr="0016385E">
        <w:rPr>
          <w:shd w:val="clear" w:color="auto" w:fill="FFFFFF"/>
        </w:rPr>
        <w:t xml:space="preserve">day), which is estimated to rise </w:t>
      </w:r>
      <w:r w:rsidR="00630223" w:rsidRPr="0016385E">
        <w:rPr>
          <w:shd w:val="clear" w:color="auto" w:fill="FFFFFF"/>
        </w:rPr>
        <w:t>from 74.3</w:t>
      </w:r>
      <w:r w:rsidR="00076DE4" w:rsidRPr="0016385E">
        <w:rPr>
          <w:shd w:val="clear" w:color="auto" w:fill="FFFFFF"/>
        </w:rPr>
        <w:t xml:space="preserve"> </w:t>
      </w:r>
      <w:r w:rsidR="00EC49ED" w:rsidRPr="0016385E">
        <w:rPr>
          <w:shd w:val="clear" w:color="auto" w:fill="FFFFFF"/>
        </w:rPr>
        <w:t>per cent</w:t>
      </w:r>
      <w:r w:rsidR="00630223" w:rsidRPr="0016385E">
        <w:rPr>
          <w:shd w:val="clear" w:color="auto" w:fill="FFFFFF"/>
        </w:rPr>
        <w:t xml:space="preserve"> in 2019 </w:t>
      </w:r>
      <w:r w:rsidR="00B81325" w:rsidRPr="0016385E">
        <w:rPr>
          <w:shd w:val="clear" w:color="auto" w:fill="FFFFFF"/>
        </w:rPr>
        <w:t>to 77.4</w:t>
      </w:r>
      <w:r w:rsidR="00076DE4" w:rsidRPr="0016385E">
        <w:rPr>
          <w:shd w:val="clear" w:color="auto" w:fill="FFFFFF"/>
        </w:rPr>
        <w:t xml:space="preserve"> </w:t>
      </w:r>
      <w:r w:rsidR="00EC49ED" w:rsidRPr="0016385E">
        <w:rPr>
          <w:shd w:val="clear" w:color="auto" w:fill="FFFFFF"/>
        </w:rPr>
        <w:t>per cent</w:t>
      </w:r>
      <w:r w:rsidR="00B81325" w:rsidRPr="0016385E">
        <w:rPr>
          <w:shd w:val="clear" w:color="auto" w:fill="FFFFFF"/>
        </w:rPr>
        <w:t xml:space="preserve"> in 2020</w:t>
      </w:r>
      <w:r w:rsidR="0016385E" w:rsidRPr="0016385E">
        <w:rPr>
          <w:shd w:val="clear" w:color="auto" w:fill="FFFFFF"/>
        </w:rPr>
        <w:t>,</w:t>
      </w:r>
      <w:r w:rsidR="00B81325" w:rsidRPr="0016385E">
        <w:rPr>
          <w:shd w:val="clear" w:color="auto" w:fill="FFFFFF"/>
        </w:rPr>
        <w:t xml:space="preserve"> </w:t>
      </w:r>
      <w:r w:rsidR="00A8113C" w:rsidRPr="0016385E">
        <w:rPr>
          <w:shd w:val="clear" w:color="auto" w:fill="FFFFFF"/>
        </w:rPr>
        <w:t xml:space="preserve">representing </w:t>
      </w:r>
      <w:r w:rsidR="00B81325" w:rsidRPr="0016385E">
        <w:rPr>
          <w:shd w:val="clear" w:color="auto" w:fill="FFFFFF"/>
        </w:rPr>
        <w:t>an increase of 1.38 million people in one year</w:t>
      </w:r>
      <w:r w:rsidR="005139EB" w:rsidRPr="0016385E">
        <w:rPr>
          <w:shd w:val="clear" w:color="auto" w:fill="FFFFFF"/>
        </w:rPr>
        <w:t>.</w:t>
      </w:r>
      <w:r w:rsidR="00630223" w:rsidRPr="0016385E">
        <w:rPr>
          <w:rStyle w:val="FootnoteReference"/>
          <w:shd w:val="clear" w:color="auto" w:fill="FFFFFF"/>
        </w:rPr>
        <w:footnoteReference w:id="3"/>
      </w:r>
    </w:p>
    <w:p w14:paraId="7D8BCC7C" w14:textId="56DF5A28" w:rsidR="00A86758" w:rsidRPr="0016385E" w:rsidRDefault="00A86758" w:rsidP="00882056">
      <w:pPr>
        <w:pStyle w:val="ListParagraph"/>
        <w:numPr>
          <w:ilvl w:val="0"/>
          <w:numId w:val="1"/>
        </w:numPr>
        <w:spacing w:after="120"/>
        <w:ind w:left="1080" w:right="1224" w:firstLine="0"/>
        <w:jc w:val="both"/>
        <w:rPr>
          <w:shd w:val="clear" w:color="auto" w:fill="FFFFFF"/>
        </w:rPr>
      </w:pPr>
      <w:r w:rsidRPr="0016385E">
        <w:rPr>
          <w:shd w:val="clear" w:color="auto" w:fill="FFFFFF"/>
        </w:rPr>
        <w:t xml:space="preserve">The most vulnerable are at risk of being left </w:t>
      </w:r>
      <w:r w:rsidR="005139EB" w:rsidRPr="0016385E">
        <w:rPr>
          <w:shd w:val="clear" w:color="auto" w:fill="FFFFFF"/>
        </w:rPr>
        <w:t xml:space="preserve">even further </w:t>
      </w:r>
      <w:r w:rsidRPr="0016385E">
        <w:rPr>
          <w:shd w:val="clear" w:color="auto" w:fill="FFFFFF"/>
        </w:rPr>
        <w:t xml:space="preserve">behind. </w:t>
      </w:r>
      <w:r w:rsidR="00A8113C" w:rsidRPr="0016385E">
        <w:rPr>
          <w:shd w:val="clear" w:color="auto" w:fill="FFFFFF"/>
        </w:rPr>
        <w:t>P</w:t>
      </w:r>
      <w:r w:rsidRPr="0016385E">
        <w:rPr>
          <w:shd w:val="clear" w:color="auto" w:fill="FFFFFF"/>
        </w:rPr>
        <w:t>eople who were already economically and socially vulnerable</w:t>
      </w:r>
      <w:r w:rsidR="005139EB" w:rsidRPr="0016385E">
        <w:rPr>
          <w:shd w:val="clear" w:color="auto" w:fill="FFFFFF"/>
        </w:rPr>
        <w:t xml:space="preserve"> – </w:t>
      </w:r>
      <w:r w:rsidRPr="0016385E">
        <w:rPr>
          <w:shd w:val="clear" w:color="auto" w:fill="FFFFFF"/>
        </w:rPr>
        <w:t xml:space="preserve">especially victims of discrimination and inequalities, including </w:t>
      </w:r>
      <w:r w:rsidR="00667F2E" w:rsidRPr="0016385E">
        <w:rPr>
          <w:shd w:val="clear" w:color="auto" w:fill="FFFFFF"/>
        </w:rPr>
        <w:t>women</w:t>
      </w:r>
      <w:r w:rsidRPr="0016385E">
        <w:rPr>
          <w:shd w:val="clear" w:color="auto" w:fill="FFFFFF"/>
        </w:rPr>
        <w:t xml:space="preserve"> and other vulnerable groups</w:t>
      </w:r>
      <w:r w:rsidR="00DB594A" w:rsidRPr="0016385E">
        <w:rPr>
          <w:rStyle w:val="FootnoteReference"/>
          <w:shd w:val="clear" w:color="auto" w:fill="FFFFFF"/>
        </w:rPr>
        <w:footnoteReference w:id="4"/>
      </w:r>
      <w:r w:rsidR="005139EB" w:rsidRPr="0016385E">
        <w:rPr>
          <w:shd w:val="clear" w:color="auto" w:fill="FFFFFF"/>
        </w:rPr>
        <w:t xml:space="preserve"> –</w:t>
      </w:r>
      <w:r w:rsidRPr="0016385E">
        <w:rPr>
          <w:shd w:val="clear" w:color="auto" w:fill="FFFFFF"/>
        </w:rPr>
        <w:t xml:space="preserve"> will be more exposed to the consequences of the crisis, having minimal means or capacities to cope</w:t>
      </w:r>
      <w:r w:rsidR="005139EB" w:rsidRPr="0016385E">
        <w:rPr>
          <w:shd w:val="clear" w:color="auto" w:fill="FFFFFF"/>
        </w:rPr>
        <w:t>.</w:t>
      </w:r>
      <w:r w:rsidR="009815D8" w:rsidRPr="0016385E">
        <w:rPr>
          <w:rStyle w:val="FootnoteReference"/>
          <w:shd w:val="clear" w:color="auto" w:fill="FFFFFF"/>
        </w:rPr>
        <w:footnoteReference w:id="5"/>
      </w:r>
    </w:p>
    <w:p w14:paraId="261F4B70" w14:textId="06002C58" w:rsidR="00F018F0" w:rsidRPr="0016385E" w:rsidRDefault="00F018F0" w:rsidP="00BD1764">
      <w:pPr>
        <w:pStyle w:val="ListParagraph"/>
        <w:numPr>
          <w:ilvl w:val="0"/>
          <w:numId w:val="1"/>
        </w:numPr>
        <w:spacing w:after="120"/>
        <w:ind w:left="1080" w:right="1218" w:firstLine="0"/>
        <w:jc w:val="both"/>
      </w:pPr>
      <w:r w:rsidRPr="0016385E">
        <w:t xml:space="preserve">In this context, the Government has </w:t>
      </w:r>
      <w:r w:rsidR="00DB426C" w:rsidRPr="0016385E">
        <w:t>drawn</w:t>
      </w:r>
      <w:r w:rsidRPr="0016385E">
        <w:t xml:space="preserve"> up a new development framework for the period 2020-2023 </w:t>
      </w:r>
      <w:r w:rsidR="00D452FF" w:rsidRPr="0016385E">
        <w:t>centred</w:t>
      </w:r>
      <w:r w:rsidRPr="0016385E">
        <w:t xml:space="preserve"> on the Madagascar</w:t>
      </w:r>
      <w:r w:rsidR="0016385E" w:rsidRPr="0016385E">
        <w:t xml:space="preserve"> Emergence P</w:t>
      </w:r>
      <w:r w:rsidR="00A608C0" w:rsidRPr="0016385E">
        <w:t>lan</w:t>
      </w:r>
      <w:r w:rsidRPr="0016385E">
        <w:t xml:space="preserve"> around thirteen strategic commitments</w:t>
      </w:r>
      <w:r w:rsidR="0016385E">
        <w:t xml:space="preserve"> </w:t>
      </w:r>
      <w:r w:rsidR="0016385E" w:rsidRPr="00833BC5">
        <w:t>(“Velirano” in Malagasy),</w:t>
      </w:r>
      <w:r w:rsidR="00B14741" w:rsidRPr="0016385E">
        <w:t xml:space="preserve"> </w:t>
      </w:r>
      <w:r w:rsidRPr="0016385E">
        <w:t xml:space="preserve">translated into the </w:t>
      </w:r>
      <w:r w:rsidR="0016385E" w:rsidRPr="0016385E">
        <w:t>g</w:t>
      </w:r>
      <w:r w:rsidRPr="0016385E">
        <w:t xml:space="preserve">eneral </w:t>
      </w:r>
      <w:r w:rsidR="0016385E" w:rsidRPr="0016385E">
        <w:t>p</w:t>
      </w:r>
      <w:r w:rsidRPr="0016385E">
        <w:t>olicy of the State</w:t>
      </w:r>
      <w:r w:rsidR="001F5F01" w:rsidRPr="0016385E">
        <w:t xml:space="preserve">. </w:t>
      </w:r>
    </w:p>
    <w:p w14:paraId="199DCA9A" w14:textId="2E8F347A" w:rsidR="00F018F0" w:rsidRPr="0016385E" w:rsidRDefault="00F018F0" w:rsidP="00BD1764">
      <w:pPr>
        <w:pStyle w:val="ListParagraph"/>
        <w:numPr>
          <w:ilvl w:val="0"/>
          <w:numId w:val="1"/>
        </w:numPr>
        <w:spacing w:after="120"/>
        <w:ind w:left="1080" w:right="1218" w:firstLine="0"/>
        <w:jc w:val="both"/>
      </w:pPr>
      <w:r w:rsidRPr="0016385E">
        <w:t>This national development strategy is reinforced by a</w:t>
      </w:r>
      <w:r w:rsidR="00BD4E3A" w:rsidRPr="0016385E">
        <w:t xml:space="preserve"> </w:t>
      </w:r>
      <w:r w:rsidR="004F4886" w:rsidRPr="0016385E">
        <w:t>m</w:t>
      </w:r>
      <w:r w:rsidRPr="0016385E">
        <w:t xml:space="preserve">ultisectoral </w:t>
      </w:r>
      <w:r w:rsidR="004F4886" w:rsidRPr="0016385E">
        <w:t>e</w:t>
      </w:r>
      <w:r w:rsidR="00BD4E3A" w:rsidRPr="0016385E">
        <w:t xml:space="preserve">mergency </w:t>
      </w:r>
      <w:r w:rsidR="004F4886" w:rsidRPr="0016385E">
        <w:t>p</w:t>
      </w:r>
      <w:r w:rsidRPr="0016385E">
        <w:t>lan</w:t>
      </w:r>
      <w:r w:rsidR="001A47FB" w:rsidRPr="0016385E">
        <w:t xml:space="preserve"> (</w:t>
      </w:r>
      <w:r w:rsidR="00F75EA9" w:rsidRPr="0016385E">
        <w:t>r</w:t>
      </w:r>
      <w:r w:rsidRPr="0016385E">
        <w:t>espon</w:t>
      </w:r>
      <w:r w:rsidR="001A47FB" w:rsidRPr="0016385E">
        <w:t>se</w:t>
      </w:r>
      <w:r w:rsidRPr="0016385E">
        <w:t xml:space="preserve"> to </w:t>
      </w:r>
      <w:r w:rsidR="00EC49ED" w:rsidRPr="0016385E">
        <w:rPr>
          <w:shd w:val="clear" w:color="auto" w:fill="FFFFFF"/>
        </w:rPr>
        <w:t>COVID</w:t>
      </w:r>
      <w:r w:rsidR="00EC49ED" w:rsidRPr="0016385E">
        <w:t>-</w:t>
      </w:r>
      <w:r w:rsidR="007C60BA" w:rsidRPr="0016385E">
        <w:t>19</w:t>
      </w:r>
      <w:r w:rsidR="001A47FB" w:rsidRPr="0016385E">
        <w:t>)</w:t>
      </w:r>
      <w:r w:rsidRPr="0016385E">
        <w:t>, built around three axes: (</w:t>
      </w:r>
      <w:r w:rsidR="005139EB" w:rsidRPr="0016385E">
        <w:t>a</w:t>
      </w:r>
      <w:r w:rsidRPr="0016385E">
        <w:t xml:space="preserve">) Enhancing the </w:t>
      </w:r>
      <w:r w:rsidR="00625F01" w:rsidRPr="0016385E">
        <w:t xml:space="preserve">management </w:t>
      </w:r>
      <w:r w:rsidRPr="0016385E">
        <w:t>governance of the epidemic; (</w:t>
      </w:r>
      <w:r w:rsidR="005139EB" w:rsidRPr="0016385E">
        <w:t>b</w:t>
      </w:r>
      <w:r w:rsidRPr="0016385E">
        <w:t xml:space="preserve">) Strengthening </w:t>
      </w:r>
      <w:r w:rsidR="00625F01" w:rsidRPr="0016385E">
        <w:t xml:space="preserve">social protection </w:t>
      </w:r>
      <w:r w:rsidRPr="0016385E">
        <w:t>measures; and (</w:t>
      </w:r>
      <w:r w:rsidR="005139EB" w:rsidRPr="0016385E">
        <w:t>c</w:t>
      </w:r>
      <w:r w:rsidRPr="0016385E">
        <w:t xml:space="preserve">) Supporting economic resilience and the private sector. The United Nations </w:t>
      </w:r>
      <w:r w:rsidR="005139EB" w:rsidRPr="0016385E">
        <w:t>s</w:t>
      </w:r>
      <w:r w:rsidRPr="0016385E">
        <w:t xml:space="preserve">ystem in Madagascar contributes to </w:t>
      </w:r>
      <w:r w:rsidR="008C2FC5" w:rsidRPr="0016385E">
        <w:t>this emer</w:t>
      </w:r>
      <w:r w:rsidR="00A90253" w:rsidRPr="0016385E">
        <w:t xml:space="preserve">gency </w:t>
      </w:r>
      <w:r w:rsidR="008C2FC5" w:rsidRPr="0016385E">
        <w:t xml:space="preserve">plan </w:t>
      </w:r>
      <w:r w:rsidR="00A90253" w:rsidRPr="0016385E">
        <w:t xml:space="preserve">through </w:t>
      </w:r>
      <w:r w:rsidRPr="00C707C1">
        <w:t>the U</w:t>
      </w:r>
      <w:r w:rsidR="005139EB" w:rsidRPr="00C707C1">
        <w:t xml:space="preserve">nited </w:t>
      </w:r>
      <w:r w:rsidRPr="00C707C1">
        <w:t>N</w:t>
      </w:r>
      <w:r w:rsidR="005139EB" w:rsidRPr="00C707C1">
        <w:t>ations</w:t>
      </w:r>
      <w:r w:rsidRPr="00C707C1">
        <w:t xml:space="preserve"> </w:t>
      </w:r>
      <w:r w:rsidR="005139EB" w:rsidRPr="00C707C1">
        <w:t>s</w:t>
      </w:r>
      <w:r w:rsidRPr="00C707C1">
        <w:t>ocio-</w:t>
      </w:r>
      <w:r w:rsidR="005139EB" w:rsidRPr="00C707C1">
        <w:t>e</w:t>
      </w:r>
      <w:r w:rsidRPr="00C707C1">
        <w:t xml:space="preserve">conomic </w:t>
      </w:r>
      <w:r w:rsidR="009E4CED" w:rsidRPr="00C707C1">
        <w:t>immediate response</w:t>
      </w:r>
      <w:r w:rsidRPr="00C707C1">
        <w:t xml:space="preserve"> to </w:t>
      </w:r>
      <w:r w:rsidR="00EC49ED" w:rsidRPr="00C707C1">
        <w:rPr>
          <w:shd w:val="clear" w:color="auto" w:fill="FFFFFF"/>
        </w:rPr>
        <w:t>COVID</w:t>
      </w:r>
      <w:r w:rsidR="007C60BA" w:rsidRPr="00C707C1">
        <w:t>-</w:t>
      </w:r>
      <w:r w:rsidR="007C60BA" w:rsidRPr="0016385E">
        <w:t>19</w:t>
      </w:r>
      <w:r w:rsidRPr="0016385E">
        <w:t>.</w:t>
      </w:r>
    </w:p>
    <w:p w14:paraId="379FFB50" w14:textId="634C43C6" w:rsidR="001D6207" w:rsidRPr="0016385E" w:rsidRDefault="00F018F0" w:rsidP="00BD1764">
      <w:pPr>
        <w:pStyle w:val="ListParagraph"/>
        <w:numPr>
          <w:ilvl w:val="0"/>
          <w:numId w:val="1"/>
        </w:numPr>
        <w:spacing w:after="120"/>
        <w:ind w:left="1080" w:right="1218" w:firstLine="0"/>
        <w:jc w:val="both"/>
      </w:pPr>
      <w:r w:rsidRPr="0016385E">
        <w:t>The United Nations Sustainable Development Cooperation Framework</w:t>
      </w:r>
      <w:r w:rsidR="00043788" w:rsidRPr="0016385E">
        <w:t>,</w:t>
      </w:r>
      <w:r w:rsidR="003C7071" w:rsidRPr="0016385E">
        <w:t xml:space="preserve"> </w:t>
      </w:r>
      <w:r w:rsidR="00C74446" w:rsidRPr="0016385E">
        <w:t>2021-2023</w:t>
      </w:r>
      <w:r w:rsidR="00043788" w:rsidRPr="0016385E">
        <w:t>,</w:t>
      </w:r>
      <w:r w:rsidR="00D8735A" w:rsidRPr="0016385E">
        <w:t xml:space="preserve"> </w:t>
      </w:r>
      <w:r w:rsidR="00B226E0" w:rsidRPr="0016385E">
        <w:t>will</w:t>
      </w:r>
      <w:r w:rsidRPr="0016385E">
        <w:t xml:space="preserve"> help Madagascar address its development challenges through four strategic priorities</w:t>
      </w:r>
      <w:r w:rsidR="005139EB" w:rsidRPr="0016385E">
        <w:t>.</w:t>
      </w:r>
      <w:r w:rsidR="00EF5052" w:rsidRPr="0016385E">
        <w:rPr>
          <w:rStyle w:val="FootnoteReference"/>
        </w:rPr>
        <w:footnoteReference w:id="6"/>
      </w:r>
      <w:r w:rsidR="0066256E" w:rsidRPr="0016385E">
        <w:t xml:space="preserve"> </w:t>
      </w:r>
    </w:p>
    <w:p w14:paraId="37BC3C5C" w14:textId="7FD0E72E" w:rsidR="00A11133" w:rsidRPr="0016385E" w:rsidRDefault="00A11133" w:rsidP="00BD1764">
      <w:pPr>
        <w:pStyle w:val="ListParagraph"/>
        <w:numPr>
          <w:ilvl w:val="0"/>
          <w:numId w:val="1"/>
        </w:numPr>
        <w:spacing w:after="120"/>
        <w:ind w:left="1080" w:right="1218" w:firstLine="0"/>
        <w:jc w:val="both"/>
      </w:pPr>
      <w:r w:rsidRPr="0016385E">
        <w:t>UNDP is strategically positioned to support Madagascar in addressing</w:t>
      </w:r>
      <w:r w:rsidR="00834E9D" w:rsidRPr="0016385E">
        <w:t xml:space="preserve"> the</w:t>
      </w:r>
      <w:r w:rsidRPr="0016385E">
        <w:t xml:space="preserve"> development challenges</w:t>
      </w:r>
      <w:r w:rsidR="00413519" w:rsidRPr="0016385E">
        <w:rPr>
          <w:rStyle w:val="FootnoteReference"/>
        </w:rPr>
        <w:footnoteReference w:id="7"/>
      </w:r>
      <w:r w:rsidR="00107BAD" w:rsidRPr="0016385E">
        <w:t xml:space="preserve"> </w:t>
      </w:r>
      <w:r w:rsidR="009C6C6B" w:rsidRPr="0016385E">
        <w:t xml:space="preserve">of </w:t>
      </w:r>
      <w:r w:rsidRPr="0016385E">
        <w:t xml:space="preserve">three strategic priority areas </w:t>
      </w:r>
      <w:r w:rsidR="005139EB" w:rsidRPr="0016385E">
        <w:t>‘</w:t>
      </w:r>
      <w:r w:rsidRPr="0016385E">
        <w:t>SP1</w:t>
      </w:r>
      <w:r w:rsidR="005139EB" w:rsidRPr="0016385E">
        <w:t>’</w:t>
      </w:r>
      <w:r w:rsidRPr="0016385E">
        <w:t xml:space="preserve">, </w:t>
      </w:r>
      <w:r w:rsidR="005139EB" w:rsidRPr="0016385E">
        <w:t>‘</w:t>
      </w:r>
      <w:r w:rsidRPr="0016385E">
        <w:t>SP3</w:t>
      </w:r>
      <w:r w:rsidR="005139EB" w:rsidRPr="0016385E">
        <w:t>’</w:t>
      </w:r>
      <w:r w:rsidRPr="0016385E">
        <w:t xml:space="preserve"> and </w:t>
      </w:r>
      <w:r w:rsidR="005139EB" w:rsidRPr="0016385E">
        <w:t>‘</w:t>
      </w:r>
      <w:r w:rsidRPr="0016385E">
        <w:t>SP4</w:t>
      </w:r>
      <w:r w:rsidR="005139EB" w:rsidRPr="0016385E">
        <w:t>’</w:t>
      </w:r>
      <w:r w:rsidR="001E46E6" w:rsidRPr="0016385E">
        <w:t xml:space="preserve">. </w:t>
      </w:r>
    </w:p>
    <w:p w14:paraId="3D0E78E4" w14:textId="30EC7085" w:rsidR="001E46E6" w:rsidRPr="0016385E" w:rsidRDefault="00364860" w:rsidP="00BD1764">
      <w:pPr>
        <w:pStyle w:val="ListParagraph"/>
        <w:spacing w:after="120"/>
        <w:ind w:left="1080" w:right="1218"/>
        <w:jc w:val="both"/>
      </w:pPr>
      <w:r w:rsidRPr="00364860">
        <w:rPr>
          <w:bCs/>
        </w:rPr>
        <w:t>8.</w:t>
      </w:r>
      <w:r>
        <w:rPr>
          <w:b/>
          <w:bCs/>
        </w:rPr>
        <w:tab/>
      </w:r>
      <w:r w:rsidR="001E46E6" w:rsidRPr="0016385E">
        <w:rPr>
          <w:b/>
          <w:bCs/>
        </w:rPr>
        <w:t>SP1</w:t>
      </w:r>
      <w:r w:rsidR="0016385E">
        <w:rPr>
          <w:b/>
          <w:bCs/>
        </w:rPr>
        <w:t>.</w:t>
      </w:r>
      <w:r w:rsidR="001E46E6" w:rsidRPr="0016385E">
        <w:rPr>
          <w:b/>
          <w:bCs/>
        </w:rPr>
        <w:t xml:space="preserve"> </w:t>
      </w:r>
      <w:r w:rsidR="00912C5C" w:rsidRPr="0016385E">
        <w:rPr>
          <w:b/>
          <w:bCs/>
        </w:rPr>
        <w:t xml:space="preserve">Enhance good </w:t>
      </w:r>
      <w:r w:rsidR="00043788" w:rsidRPr="0016385E">
        <w:rPr>
          <w:b/>
          <w:bCs/>
        </w:rPr>
        <w:t>g</w:t>
      </w:r>
      <w:r w:rsidR="00912C5C" w:rsidRPr="0016385E">
        <w:rPr>
          <w:b/>
          <w:bCs/>
        </w:rPr>
        <w:t xml:space="preserve">overnance, the </w:t>
      </w:r>
      <w:r w:rsidR="00043788" w:rsidRPr="0016385E">
        <w:rPr>
          <w:b/>
          <w:bCs/>
        </w:rPr>
        <w:t>r</w:t>
      </w:r>
      <w:r w:rsidR="00912C5C" w:rsidRPr="0016385E">
        <w:rPr>
          <w:b/>
          <w:bCs/>
        </w:rPr>
        <w:t xml:space="preserve">ule of law and </w:t>
      </w:r>
      <w:r w:rsidR="00043788" w:rsidRPr="0016385E">
        <w:rPr>
          <w:b/>
          <w:bCs/>
        </w:rPr>
        <w:t>s</w:t>
      </w:r>
      <w:r w:rsidR="00912C5C" w:rsidRPr="0016385E">
        <w:rPr>
          <w:b/>
          <w:bCs/>
        </w:rPr>
        <w:t>ecurity</w:t>
      </w:r>
      <w:r w:rsidR="00D97406" w:rsidRPr="0016385E">
        <w:rPr>
          <w:b/>
          <w:bCs/>
        </w:rPr>
        <w:t>.</w:t>
      </w:r>
      <w:r w:rsidR="001E46E6" w:rsidRPr="0016385E">
        <w:t xml:space="preserve"> The recurrent challenges to political and democratic legitimacy,</w:t>
      </w:r>
      <w:r w:rsidR="006227EB" w:rsidRPr="0016385E">
        <w:t xml:space="preserve"> </w:t>
      </w:r>
      <w:r w:rsidR="00043788" w:rsidRPr="0016385E">
        <w:t xml:space="preserve">the </w:t>
      </w:r>
      <w:r w:rsidR="001E46E6" w:rsidRPr="0016385E">
        <w:t xml:space="preserve">fragility of the rule of law and institutions, </w:t>
      </w:r>
      <w:r w:rsidR="00043788" w:rsidRPr="0016385E">
        <w:t xml:space="preserve">the </w:t>
      </w:r>
      <w:r w:rsidR="001E46E6" w:rsidRPr="0016385E">
        <w:t xml:space="preserve">precariousness of human rights, </w:t>
      </w:r>
      <w:r w:rsidR="00043788" w:rsidRPr="0016385E">
        <w:t xml:space="preserve">the </w:t>
      </w:r>
      <w:r w:rsidR="001E46E6" w:rsidRPr="0016385E">
        <w:t>lack of transparency</w:t>
      </w:r>
      <w:r w:rsidR="0016385E">
        <w:t>,</w:t>
      </w:r>
      <w:r w:rsidR="001E46E6" w:rsidRPr="0016385E">
        <w:t xml:space="preserve"> and </w:t>
      </w:r>
      <w:r w:rsidR="0016385E">
        <w:t xml:space="preserve">the </w:t>
      </w:r>
      <w:r w:rsidR="001E46E6" w:rsidRPr="0016385E">
        <w:t xml:space="preserve">weakness of public accountability </w:t>
      </w:r>
      <w:r w:rsidR="0016385E">
        <w:t xml:space="preserve">mechanisms </w:t>
      </w:r>
      <w:r w:rsidR="001E46E6" w:rsidRPr="0016385E">
        <w:t>are challenges to social cohesion and peace.</w:t>
      </w:r>
      <w:r w:rsidR="00EF1E9E" w:rsidRPr="0016385E">
        <w:t xml:space="preserve"> </w:t>
      </w:r>
      <w:r w:rsidR="001E46E6" w:rsidRPr="0016385E">
        <w:t>They weak</w:t>
      </w:r>
      <w:r w:rsidR="00625EFF" w:rsidRPr="0016385E">
        <w:t>en</w:t>
      </w:r>
      <w:r w:rsidR="001E46E6" w:rsidRPr="0016385E">
        <w:t xml:space="preserve"> protection</w:t>
      </w:r>
      <w:r w:rsidR="00625EFF" w:rsidRPr="0016385E">
        <w:t>s</w:t>
      </w:r>
      <w:r w:rsidR="001E46E6" w:rsidRPr="0016385E">
        <w:t xml:space="preserve"> of citizens</w:t>
      </w:r>
      <w:r w:rsidR="00625EFF" w:rsidRPr="0016385E">
        <w:t>’</w:t>
      </w:r>
      <w:r w:rsidR="001E46E6" w:rsidRPr="0016385E">
        <w:t xml:space="preserve"> rights</w:t>
      </w:r>
      <w:r w:rsidR="00616710">
        <w:t xml:space="preserve"> and </w:t>
      </w:r>
      <w:r w:rsidR="00B226E0" w:rsidRPr="0016385E">
        <w:t xml:space="preserve">are </w:t>
      </w:r>
      <w:r w:rsidR="00616710">
        <w:t>aggravated</w:t>
      </w:r>
      <w:r w:rsidR="00625EFF" w:rsidRPr="0016385E">
        <w:t xml:space="preserve"> </w:t>
      </w:r>
      <w:r w:rsidR="001E46E6" w:rsidRPr="0016385E">
        <w:t>by persisten</w:t>
      </w:r>
      <w:r w:rsidR="00B226E0" w:rsidRPr="0016385E">
        <w:t>t</w:t>
      </w:r>
      <w:r w:rsidR="001E46E6" w:rsidRPr="0016385E">
        <w:t xml:space="preserve"> corruption in the justice system</w:t>
      </w:r>
      <w:r w:rsidR="00625EFF" w:rsidRPr="0016385E">
        <w:t xml:space="preserve"> and </w:t>
      </w:r>
      <w:r w:rsidR="00616710">
        <w:t xml:space="preserve">a </w:t>
      </w:r>
      <w:r w:rsidR="001E46E6" w:rsidRPr="0016385E">
        <w:t>weak state presence</w:t>
      </w:r>
      <w:r w:rsidR="002465A9" w:rsidRPr="0016385E">
        <w:t xml:space="preserve"> </w:t>
      </w:r>
      <w:r w:rsidR="002465A9" w:rsidRPr="00CC7002">
        <w:t>in remote areas</w:t>
      </w:r>
      <w:r w:rsidR="00616710" w:rsidRPr="00CC7002">
        <w:t>,</w:t>
      </w:r>
      <w:r w:rsidR="001E46E6" w:rsidRPr="0016385E">
        <w:t xml:space="preserve"> resulting in growing insecurity</w:t>
      </w:r>
      <w:r w:rsidR="00BC40D7" w:rsidRPr="0016385E">
        <w:t>,</w:t>
      </w:r>
      <w:r w:rsidR="00496C29" w:rsidRPr="0016385E">
        <w:t xml:space="preserve">. </w:t>
      </w:r>
      <w:r w:rsidR="00625EFF" w:rsidRPr="0016385E">
        <w:t>D</w:t>
      </w:r>
      <w:r w:rsidR="001E46E6" w:rsidRPr="0016385E">
        <w:t>isenchantment with the political system lead</w:t>
      </w:r>
      <w:r w:rsidR="00A32DEC" w:rsidRPr="0016385E">
        <w:t>s</w:t>
      </w:r>
      <w:r w:rsidR="001E46E6" w:rsidRPr="0016385E">
        <w:t xml:space="preserve"> to low </w:t>
      </w:r>
      <w:r w:rsidR="001E46E6" w:rsidRPr="009E4CED">
        <w:t xml:space="preserve">citizen </w:t>
      </w:r>
      <w:r w:rsidR="0067173C" w:rsidRPr="009E4CED">
        <w:t>participation (</w:t>
      </w:r>
      <w:r w:rsidR="00413720" w:rsidRPr="009E4CED">
        <w:t>especially women and youth)</w:t>
      </w:r>
      <w:r w:rsidR="001E46E6" w:rsidRPr="009E4CED">
        <w:t xml:space="preserve"> in decision-making and accountability bodi</w:t>
      </w:r>
      <w:r w:rsidR="001E46E6" w:rsidRPr="0016385E">
        <w:t>es. Th</w:t>
      </w:r>
      <w:r w:rsidR="00616710">
        <w:t>e</w:t>
      </w:r>
      <w:r w:rsidR="001E46E6" w:rsidRPr="0016385E">
        <w:t xml:space="preserve"> </w:t>
      </w:r>
      <w:r w:rsidR="00B226E0" w:rsidRPr="0016385E">
        <w:t>result i</w:t>
      </w:r>
      <w:r w:rsidR="00616710">
        <w:t>s</w:t>
      </w:r>
      <w:r w:rsidR="001E46E6" w:rsidRPr="0016385E">
        <w:t xml:space="preserve"> violence</w:t>
      </w:r>
      <w:r w:rsidR="00B226E0" w:rsidRPr="0016385E">
        <w:t>,</w:t>
      </w:r>
      <w:r w:rsidR="001E46E6" w:rsidRPr="0016385E">
        <w:t xml:space="preserve"> marked by popular </w:t>
      </w:r>
      <w:r w:rsidR="001E46E6" w:rsidRPr="0016385E">
        <w:lastRenderedPageBreak/>
        <w:t>vindictiveness in</w:t>
      </w:r>
      <w:r w:rsidR="00B226E0" w:rsidRPr="0016385E">
        <w:t>stead</w:t>
      </w:r>
      <w:r w:rsidR="001E46E6" w:rsidRPr="0016385E">
        <w:t xml:space="preserve"> of legal justice</w:t>
      </w:r>
      <w:r w:rsidR="00625EFF" w:rsidRPr="0016385E">
        <w:t>,</w:t>
      </w:r>
      <w:r w:rsidR="009A5BBC" w:rsidRPr="0016385E">
        <w:t xml:space="preserve"> a</w:t>
      </w:r>
      <w:r w:rsidR="00616710">
        <w:t>nd intensified</w:t>
      </w:r>
      <w:r w:rsidR="009A5BBC" w:rsidRPr="0016385E">
        <w:t xml:space="preserve"> </w:t>
      </w:r>
      <w:r w:rsidR="001E46E6" w:rsidRPr="0016385E">
        <w:t>social inequalities</w:t>
      </w:r>
      <w:r w:rsidR="009A5BBC" w:rsidRPr="0016385E">
        <w:t>.</w:t>
      </w:r>
      <w:r w:rsidR="001E46E6" w:rsidRPr="0016385E">
        <w:t xml:space="preserve"> </w:t>
      </w:r>
      <w:r w:rsidR="00625EFF" w:rsidRPr="0016385E">
        <w:t>W</w:t>
      </w:r>
      <w:r w:rsidR="001E46E6" w:rsidRPr="0016385E">
        <w:t xml:space="preserve">eak decentralization </w:t>
      </w:r>
      <w:r w:rsidR="00625EFF" w:rsidRPr="0016385E">
        <w:t>reduces</w:t>
      </w:r>
      <w:r w:rsidR="001E46E6" w:rsidRPr="0016385E">
        <w:t xml:space="preserve"> access to quality </w:t>
      </w:r>
      <w:r w:rsidR="00117921" w:rsidRPr="0016385E">
        <w:t xml:space="preserve">basic </w:t>
      </w:r>
      <w:r w:rsidR="001E46E6" w:rsidRPr="0016385E">
        <w:t>public services</w:t>
      </w:r>
      <w:r w:rsidR="000B2784" w:rsidRPr="0016385E">
        <w:t xml:space="preserve">, </w:t>
      </w:r>
      <w:r w:rsidR="000B2784" w:rsidRPr="006E08D7">
        <w:t>affecting</w:t>
      </w:r>
      <w:r w:rsidR="00EF1E9E" w:rsidRPr="006E08D7">
        <w:t xml:space="preserve"> </w:t>
      </w:r>
      <w:r w:rsidR="00BA2DCC" w:rsidRPr="006E08D7">
        <w:t>women and youth</w:t>
      </w:r>
      <w:r w:rsidR="00EF1E9E" w:rsidRPr="006E08D7">
        <w:t xml:space="preserve"> </w:t>
      </w:r>
      <w:r w:rsidR="00625EFF" w:rsidRPr="006E08D7">
        <w:t>disproportionately.</w:t>
      </w:r>
      <w:r w:rsidR="00C16420" w:rsidRPr="006E08D7">
        <w:rPr>
          <w:rStyle w:val="FootnoteReference"/>
        </w:rPr>
        <w:footnoteReference w:id="8"/>
      </w:r>
    </w:p>
    <w:p w14:paraId="119E18BF" w14:textId="674A155E" w:rsidR="007B3EEF" w:rsidRPr="0016385E" w:rsidRDefault="00B501A6" w:rsidP="00B501A6">
      <w:pPr>
        <w:spacing w:after="120"/>
        <w:ind w:left="1080" w:right="1218"/>
        <w:jc w:val="both"/>
      </w:pPr>
      <w:r>
        <w:rPr>
          <w:bCs/>
        </w:rPr>
        <w:t>9.</w:t>
      </w:r>
      <w:r>
        <w:rPr>
          <w:bCs/>
        </w:rPr>
        <w:tab/>
      </w:r>
      <w:r w:rsidR="007B3EEF" w:rsidRPr="00B501A6">
        <w:rPr>
          <w:b/>
          <w:bCs/>
        </w:rPr>
        <w:t>SP 3</w:t>
      </w:r>
      <w:r w:rsidR="00616710" w:rsidRPr="00B501A6">
        <w:rPr>
          <w:b/>
          <w:bCs/>
        </w:rPr>
        <w:t>.</w:t>
      </w:r>
      <w:r w:rsidR="007B3EEF" w:rsidRPr="00B501A6">
        <w:rPr>
          <w:b/>
          <w:bCs/>
        </w:rPr>
        <w:t xml:space="preserve"> </w:t>
      </w:r>
      <w:r w:rsidR="004F3919" w:rsidRPr="00B501A6">
        <w:rPr>
          <w:b/>
          <w:bCs/>
        </w:rPr>
        <w:t xml:space="preserve">Trigger </w:t>
      </w:r>
      <w:r w:rsidR="005513B4" w:rsidRPr="00B501A6">
        <w:rPr>
          <w:b/>
          <w:bCs/>
        </w:rPr>
        <w:t>labour</w:t>
      </w:r>
      <w:r w:rsidR="004F3919" w:rsidRPr="00B501A6">
        <w:rPr>
          <w:b/>
          <w:bCs/>
        </w:rPr>
        <w:t xml:space="preserve"> productivity and the creation of productive jobs for decent incomes and a competitive economy</w:t>
      </w:r>
      <w:r w:rsidR="00D97406" w:rsidRPr="00B501A6">
        <w:rPr>
          <w:b/>
          <w:bCs/>
        </w:rPr>
        <w:t>.</w:t>
      </w:r>
      <w:r w:rsidR="007B3EEF" w:rsidRPr="0016385E">
        <w:t xml:space="preserve"> The competitiveness of the Malagasy economy is hampered by structural factors linked to deficits in infrastructure, particularly connectivity (transport, telecommunications) and energy, the weakness of human capital and the low</w:t>
      </w:r>
      <w:r w:rsidR="00625EFF" w:rsidRPr="0016385E">
        <w:t>-</w:t>
      </w:r>
      <w:r w:rsidR="007B3EEF" w:rsidRPr="0016385E">
        <w:t xml:space="preserve">incentive business climate, </w:t>
      </w:r>
      <w:r w:rsidR="00625EFF" w:rsidRPr="0016385E">
        <w:t xml:space="preserve">as well as by </w:t>
      </w:r>
      <w:r w:rsidR="007B3EEF" w:rsidRPr="0016385E">
        <w:t xml:space="preserve">vulnerability to climate change and </w:t>
      </w:r>
      <w:r w:rsidR="00C71F40" w:rsidRPr="0016385E">
        <w:t>associated natural</w:t>
      </w:r>
      <w:r w:rsidR="007B3EEF" w:rsidRPr="0016385E">
        <w:t xml:space="preserve"> disasters. The modest productivity of labour, especially in the agricultural and informal sectors, which remain the first job provider and largest share of employment, is </w:t>
      </w:r>
      <w:r w:rsidR="00625EFF" w:rsidRPr="0016385E">
        <w:t xml:space="preserve">an </w:t>
      </w:r>
      <w:r w:rsidR="007B3EEF" w:rsidRPr="0016385E">
        <w:t xml:space="preserve">insufficient </w:t>
      </w:r>
      <w:r w:rsidR="00625EFF" w:rsidRPr="0016385E">
        <w:t xml:space="preserve">source of </w:t>
      </w:r>
      <w:r w:rsidR="007B3EEF" w:rsidRPr="0016385E">
        <w:t>income</w:t>
      </w:r>
      <w:r w:rsidR="00625EFF" w:rsidRPr="0016385E">
        <w:t>,</w:t>
      </w:r>
      <w:r w:rsidR="007B3EEF" w:rsidRPr="0016385E">
        <w:t xml:space="preserve"> </w:t>
      </w:r>
      <w:r w:rsidR="00616710">
        <w:t>with</w:t>
      </w:r>
      <w:r w:rsidR="00616710" w:rsidRPr="0016385E">
        <w:t xml:space="preserve"> </w:t>
      </w:r>
      <w:r w:rsidR="007B3EEF" w:rsidRPr="0016385E">
        <w:t xml:space="preserve">returns </w:t>
      </w:r>
      <w:r w:rsidR="00625EFF" w:rsidRPr="0016385E">
        <w:t>that discourage</w:t>
      </w:r>
      <w:r w:rsidR="007B3EEF" w:rsidRPr="0016385E">
        <w:t xml:space="preserve"> a</w:t>
      </w:r>
      <w:r w:rsidR="00625EFF" w:rsidRPr="0016385E">
        <w:t>ny</w:t>
      </w:r>
      <w:r w:rsidR="007B3EEF" w:rsidRPr="0016385E">
        <w:t xml:space="preserve"> qualitative increase in human capital. </w:t>
      </w:r>
      <w:r w:rsidR="004D1359" w:rsidRPr="0016385E">
        <w:t>These weaknesses prevent access to formal employment,</w:t>
      </w:r>
      <w:r w:rsidR="00243B85" w:rsidRPr="0016385E">
        <w:t xml:space="preserve"> </w:t>
      </w:r>
      <w:r w:rsidR="00F142B9" w:rsidRPr="0016385E">
        <w:t>finance,</w:t>
      </w:r>
      <w:r w:rsidR="00625EFF" w:rsidRPr="0016385E">
        <w:t xml:space="preserve"> and </w:t>
      </w:r>
      <w:r w:rsidR="004D1359" w:rsidRPr="0016385E">
        <w:t>productive assets (land), and to savings assets (modern and traditional</w:t>
      </w:r>
      <w:r w:rsidR="003725A7" w:rsidRPr="0016385E">
        <w:t xml:space="preserve">, </w:t>
      </w:r>
      <w:r w:rsidR="00625EFF" w:rsidRPr="0016385E">
        <w:t>such</w:t>
      </w:r>
      <w:r w:rsidR="004D1359" w:rsidRPr="0016385E">
        <w:t xml:space="preserve"> as </w:t>
      </w:r>
      <w:r w:rsidR="004D1359" w:rsidRPr="006E08D7">
        <w:t>cattle),</w:t>
      </w:r>
      <w:r w:rsidR="002422BA" w:rsidRPr="006E08D7">
        <w:t xml:space="preserve"> </w:t>
      </w:r>
      <w:r w:rsidR="000C736E" w:rsidRPr="006E08D7">
        <w:t xml:space="preserve">especially </w:t>
      </w:r>
      <w:r w:rsidR="00243B85" w:rsidRPr="006E08D7">
        <w:t>for</w:t>
      </w:r>
      <w:r w:rsidR="000C736E" w:rsidRPr="006E08D7">
        <w:t xml:space="preserve"> women and youth</w:t>
      </w:r>
      <w:r w:rsidR="00243B85" w:rsidRPr="006E08D7">
        <w:t>.</w:t>
      </w:r>
      <w:r w:rsidR="000C736E" w:rsidRPr="0016385E">
        <w:t xml:space="preserve"> </w:t>
      </w:r>
      <w:r w:rsidR="00625EFF" w:rsidRPr="0016385E">
        <w:t>The</w:t>
      </w:r>
      <w:r w:rsidR="00EC7E2D" w:rsidRPr="0016385E">
        <w:t xml:space="preserve"> </w:t>
      </w:r>
      <w:r w:rsidR="007B3EEF" w:rsidRPr="0016385E">
        <w:t>unfavourable climate for entrepreneurship</w:t>
      </w:r>
      <w:r w:rsidR="00EC7E2D" w:rsidRPr="0016385E">
        <w:t xml:space="preserve"> </w:t>
      </w:r>
      <w:r w:rsidR="007B3EEF" w:rsidRPr="0016385E">
        <w:t xml:space="preserve">and innovation, low foreign </w:t>
      </w:r>
      <w:r w:rsidR="00255FD9" w:rsidRPr="0016385E">
        <w:t>investments,</w:t>
      </w:r>
      <w:r w:rsidR="007B3EEF" w:rsidRPr="0016385E">
        <w:t xml:space="preserve"> and insufficient development of the financial sector</w:t>
      </w:r>
      <w:r w:rsidR="00255FD9" w:rsidRPr="0016385E">
        <w:t>,</w:t>
      </w:r>
      <w:r w:rsidR="007B3EEF" w:rsidRPr="0016385E">
        <w:t xml:space="preserve"> strongly constrain transformational investments required </w:t>
      </w:r>
      <w:r w:rsidR="003725A7" w:rsidRPr="0016385E">
        <w:t>to</w:t>
      </w:r>
      <w:r w:rsidR="007B3EEF" w:rsidRPr="0016385E">
        <w:t xml:space="preserve"> improve economic productivity and competitiveness, inclusiveness of economic growth</w:t>
      </w:r>
      <w:r w:rsidR="00616710">
        <w:t>,</w:t>
      </w:r>
      <w:r w:rsidR="007B3EEF" w:rsidRPr="0016385E">
        <w:t xml:space="preserve"> and</w:t>
      </w:r>
      <w:r w:rsidR="00616710" w:rsidRPr="0016385E">
        <w:t xml:space="preserve"> </w:t>
      </w:r>
      <w:r w:rsidR="007B3EEF" w:rsidRPr="0016385E">
        <w:t>sustainable development.</w:t>
      </w:r>
    </w:p>
    <w:p w14:paraId="4CD29D90" w14:textId="48C7A404" w:rsidR="00A11133" w:rsidRPr="0016385E" w:rsidRDefault="00B501A6" w:rsidP="00B501A6">
      <w:pPr>
        <w:pStyle w:val="ListParagraph"/>
        <w:spacing w:after="120"/>
        <w:ind w:left="1080" w:right="1218"/>
        <w:jc w:val="both"/>
      </w:pPr>
      <w:r w:rsidRPr="00B501A6">
        <w:rPr>
          <w:bCs/>
        </w:rPr>
        <w:t>10.</w:t>
      </w:r>
      <w:r>
        <w:rPr>
          <w:b/>
          <w:bCs/>
        </w:rPr>
        <w:tab/>
      </w:r>
      <w:r w:rsidR="00CF740C" w:rsidRPr="0016385E">
        <w:rPr>
          <w:b/>
          <w:bCs/>
        </w:rPr>
        <w:t>SP 4</w:t>
      </w:r>
      <w:r w:rsidR="00616710">
        <w:rPr>
          <w:b/>
          <w:bCs/>
        </w:rPr>
        <w:t>.</w:t>
      </w:r>
      <w:r w:rsidR="00CF740C" w:rsidRPr="0016385E">
        <w:rPr>
          <w:b/>
          <w:bCs/>
        </w:rPr>
        <w:t xml:space="preserve"> </w:t>
      </w:r>
      <w:r w:rsidR="00C464D0" w:rsidRPr="0016385E">
        <w:rPr>
          <w:b/>
          <w:bCs/>
        </w:rPr>
        <w:t>Enhance sustainable, resilient, and inclusive environmental management</w:t>
      </w:r>
      <w:r w:rsidR="00D97406" w:rsidRPr="0016385E">
        <w:rPr>
          <w:b/>
          <w:bCs/>
        </w:rPr>
        <w:t>.</w:t>
      </w:r>
      <w:r w:rsidR="00CF740C" w:rsidRPr="0016385E">
        <w:t xml:space="preserve"> </w:t>
      </w:r>
      <w:r w:rsidR="003C52C1" w:rsidRPr="0016385E">
        <w:t xml:space="preserve">Madagascar is </w:t>
      </w:r>
      <w:r w:rsidR="00CF740C" w:rsidRPr="0016385E">
        <w:t>rich in natural resources (land, min</w:t>
      </w:r>
      <w:r w:rsidR="00E47C85" w:rsidRPr="0016385E">
        <w:t>erals</w:t>
      </w:r>
      <w:r w:rsidR="00CF740C" w:rsidRPr="0016385E">
        <w:t xml:space="preserve">, terrestrial and marine </w:t>
      </w:r>
      <w:r w:rsidR="00D5047B" w:rsidRPr="0016385E">
        <w:t>biodiversity</w:t>
      </w:r>
      <w:r w:rsidR="00CF740C" w:rsidRPr="0016385E">
        <w:t xml:space="preserve">), </w:t>
      </w:r>
      <w:r w:rsidR="00616710">
        <w:t xml:space="preserve">but </w:t>
      </w:r>
      <w:r w:rsidR="00CF740C" w:rsidRPr="0016385E">
        <w:t>the</w:t>
      </w:r>
      <w:r w:rsidR="00E9321D" w:rsidRPr="0016385E">
        <w:t>ir</w:t>
      </w:r>
      <w:r w:rsidR="00CF740C" w:rsidRPr="0016385E">
        <w:t xml:space="preserve"> contribution </w:t>
      </w:r>
      <w:r w:rsidR="00EA6558" w:rsidRPr="0016385E">
        <w:t xml:space="preserve">towards </w:t>
      </w:r>
      <w:r w:rsidR="00CF740C" w:rsidRPr="0016385E">
        <w:t xml:space="preserve">inclusive growth and sustainable development </w:t>
      </w:r>
      <w:r w:rsidR="00E9321D" w:rsidRPr="0016385E">
        <w:t>remains</w:t>
      </w:r>
      <w:r w:rsidR="00CF740C" w:rsidRPr="0016385E">
        <w:t xml:space="preserve"> low. The governance of natural resources is weak</w:t>
      </w:r>
      <w:r w:rsidR="00E9321D" w:rsidRPr="0016385E">
        <w:t>,</w:t>
      </w:r>
      <w:r w:rsidR="00CF740C" w:rsidRPr="0016385E">
        <w:t xml:space="preserve"> </w:t>
      </w:r>
      <w:r w:rsidR="00E9321D" w:rsidRPr="0016385E">
        <w:t>leading to</w:t>
      </w:r>
      <w:r w:rsidR="00CF740C" w:rsidRPr="0016385E">
        <w:t xml:space="preserve"> difficulty in establishing sustainable and transparent </w:t>
      </w:r>
      <w:r w:rsidR="00E9321D" w:rsidRPr="0016385E">
        <w:t xml:space="preserve">resources </w:t>
      </w:r>
      <w:r w:rsidR="00CF740C" w:rsidRPr="0016385E">
        <w:t xml:space="preserve">management, </w:t>
      </w:r>
      <w:r w:rsidR="00F64436" w:rsidRPr="0016385E">
        <w:t>due to</w:t>
      </w:r>
      <w:r w:rsidR="00CF740C" w:rsidRPr="0016385E">
        <w:t>: (</w:t>
      </w:r>
      <w:r w:rsidR="00E9321D" w:rsidRPr="0016385E">
        <w:t>a</w:t>
      </w:r>
      <w:r w:rsidR="00CF740C" w:rsidRPr="0016385E">
        <w:t>) systemic plundering of natural (precious wood</w:t>
      </w:r>
      <w:r w:rsidR="00E9321D" w:rsidRPr="0016385E">
        <w:t>s</w:t>
      </w:r>
      <w:r w:rsidR="00CF740C" w:rsidRPr="0016385E">
        <w:t>) and min</w:t>
      </w:r>
      <w:r w:rsidR="007F2ABA" w:rsidRPr="0016385E">
        <w:t>eral</w:t>
      </w:r>
      <w:r w:rsidR="00CF740C" w:rsidRPr="0016385E">
        <w:t xml:space="preserve"> resources by numerous illegal exploit</w:t>
      </w:r>
      <w:r w:rsidR="00E9321D" w:rsidRPr="0016385E">
        <w:t>er</w:t>
      </w:r>
      <w:r w:rsidR="00CF740C" w:rsidRPr="0016385E">
        <w:t>s, and (</w:t>
      </w:r>
      <w:r w:rsidR="00E9321D" w:rsidRPr="0016385E">
        <w:t>b</w:t>
      </w:r>
      <w:r w:rsidR="00CF740C" w:rsidRPr="0016385E">
        <w:t xml:space="preserve">) overharvesting </w:t>
      </w:r>
      <w:r w:rsidR="00CF740C" w:rsidRPr="006E08D7">
        <w:t xml:space="preserve">by </w:t>
      </w:r>
      <w:r w:rsidR="007D0FE4" w:rsidRPr="006E08D7">
        <w:t>poo</w:t>
      </w:r>
      <w:r w:rsidR="008E708B" w:rsidRPr="006E08D7">
        <w:t xml:space="preserve">r and </w:t>
      </w:r>
      <w:r w:rsidR="00CF740C" w:rsidRPr="006E08D7">
        <w:t>vulnerable populations</w:t>
      </w:r>
      <w:r w:rsidR="00333E82" w:rsidRPr="006E08D7">
        <w:t xml:space="preserve"> (mainly women head</w:t>
      </w:r>
      <w:r w:rsidR="00E9321D" w:rsidRPr="006E08D7">
        <w:t>s</w:t>
      </w:r>
      <w:r w:rsidR="00333E82" w:rsidRPr="006E08D7">
        <w:t xml:space="preserve"> of households)</w:t>
      </w:r>
      <w:r w:rsidR="00AA648A" w:rsidRPr="006E08D7">
        <w:t>,</w:t>
      </w:r>
      <w:r w:rsidR="00BB0457" w:rsidRPr="006E08D7">
        <w:rPr>
          <w:rStyle w:val="FootnoteReference"/>
        </w:rPr>
        <w:footnoteReference w:id="9"/>
      </w:r>
      <w:r w:rsidR="00230C66" w:rsidRPr="006E08D7">
        <w:t xml:space="preserve"> due to</w:t>
      </w:r>
      <w:r w:rsidR="00CF740C" w:rsidRPr="006E08D7">
        <w:t xml:space="preserve"> </w:t>
      </w:r>
      <w:r w:rsidR="00A2694E" w:rsidRPr="006E08D7">
        <w:t>lack of</w:t>
      </w:r>
      <w:r w:rsidR="00A2694E" w:rsidRPr="0016385E">
        <w:t xml:space="preserve"> </w:t>
      </w:r>
      <w:r w:rsidR="00CF740C" w:rsidRPr="0016385E">
        <w:t>sustainable alternatives. This accelerates the degradation of natural capital, jeopardizing the preservation of the environment and resources for future generations. Sustainable</w:t>
      </w:r>
      <w:r w:rsidR="00E9321D" w:rsidRPr="0016385E">
        <w:t>,</w:t>
      </w:r>
      <w:r w:rsidR="00CF740C" w:rsidRPr="0016385E">
        <w:t xml:space="preserve"> inclusive management of the environment is essential to strengthening the resilience of the population (and systems) </w:t>
      </w:r>
      <w:r w:rsidR="00E9321D" w:rsidRPr="0016385E">
        <w:t xml:space="preserve">to </w:t>
      </w:r>
      <w:r w:rsidR="00AA648A" w:rsidRPr="0016385E">
        <w:t>confront</w:t>
      </w:r>
      <w:r w:rsidR="00CF740C" w:rsidRPr="0016385E">
        <w:t xml:space="preserve"> climatic hazards</w:t>
      </w:r>
      <w:r w:rsidR="00AA648A" w:rsidRPr="0016385E">
        <w:t>.</w:t>
      </w:r>
      <w:r w:rsidR="00F679CE" w:rsidRPr="0016385E">
        <w:rPr>
          <w:rStyle w:val="FootnoteReference"/>
        </w:rPr>
        <w:footnoteReference w:id="10"/>
      </w:r>
      <w:r w:rsidR="00CF740C" w:rsidRPr="0016385E">
        <w:t xml:space="preserve"> </w:t>
      </w:r>
      <w:r w:rsidR="00AA648A" w:rsidRPr="0016385E">
        <w:t xml:space="preserve">Inadequate </w:t>
      </w:r>
      <w:r w:rsidR="00CF740C" w:rsidRPr="0016385E">
        <w:t xml:space="preserve">sustainable management </w:t>
      </w:r>
      <w:r w:rsidR="0028311D" w:rsidRPr="0016385E">
        <w:t xml:space="preserve">practices </w:t>
      </w:r>
      <w:r w:rsidR="00616710">
        <w:t>lead to</w:t>
      </w:r>
      <w:r w:rsidR="00CF740C" w:rsidRPr="0016385E">
        <w:t xml:space="preserve"> recurrent social and economic crises</w:t>
      </w:r>
      <w:r w:rsidR="00616710">
        <w:t>,</w:t>
      </w:r>
      <w:r w:rsidR="00CF740C" w:rsidRPr="0016385E">
        <w:t xml:space="preserve"> </w:t>
      </w:r>
      <w:r w:rsidR="00AA648A" w:rsidRPr="0016385E">
        <w:t>hamper</w:t>
      </w:r>
      <w:r w:rsidR="00616710">
        <w:t>ing</w:t>
      </w:r>
      <w:r w:rsidR="00AA648A" w:rsidRPr="0016385E">
        <w:t xml:space="preserve"> </w:t>
      </w:r>
      <w:r w:rsidR="00CF740C" w:rsidRPr="0016385E">
        <w:t>economic growth and sustainable development.</w:t>
      </w:r>
    </w:p>
    <w:p w14:paraId="24C3C75C" w14:textId="7B0BA015" w:rsidR="004B0AAC" w:rsidRPr="0016385E" w:rsidRDefault="00B501A6" w:rsidP="00B501A6">
      <w:pPr>
        <w:pStyle w:val="ListParagraph"/>
        <w:spacing w:after="120"/>
        <w:ind w:left="1080" w:right="1218"/>
        <w:jc w:val="both"/>
        <w:rPr>
          <w:b/>
          <w:bCs/>
        </w:rPr>
      </w:pPr>
      <w:r>
        <w:t>11.</w:t>
      </w:r>
      <w:r>
        <w:tab/>
      </w:r>
      <w:r w:rsidR="00F018F0" w:rsidRPr="0016385E">
        <w:t>UNDP has comparative advantage</w:t>
      </w:r>
      <w:r w:rsidR="000C15E9" w:rsidRPr="0016385E">
        <w:t>s</w:t>
      </w:r>
      <w:r w:rsidR="00F018F0" w:rsidRPr="0016385E">
        <w:t xml:space="preserve"> in contributing to </w:t>
      </w:r>
      <w:r w:rsidR="001E650B" w:rsidRPr="0016385E">
        <w:t>U</w:t>
      </w:r>
      <w:r w:rsidR="000F1174" w:rsidRPr="0016385E">
        <w:t>nited Nations</w:t>
      </w:r>
      <w:r w:rsidR="000135FF" w:rsidRPr="0016385E">
        <w:t xml:space="preserve"> </w:t>
      </w:r>
      <w:r w:rsidR="00F018F0" w:rsidRPr="0016385E">
        <w:t>efforts</w:t>
      </w:r>
      <w:r w:rsidR="000135FF" w:rsidRPr="0016385E">
        <w:t xml:space="preserve"> </w:t>
      </w:r>
      <w:r w:rsidR="00F018F0" w:rsidRPr="0016385E">
        <w:t xml:space="preserve">to support </w:t>
      </w:r>
      <w:r w:rsidR="00FE0F62" w:rsidRPr="0016385E">
        <w:t>the develop</w:t>
      </w:r>
      <w:r w:rsidR="00CD1B20" w:rsidRPr="0016385E">
        <w:t xml:space="preserve">ment of </w:t>
      </w:r>
      <w:r w:rsidR="00F018F0" w:rsidRPr="0016385E">
        <w:t>Madagascar.</w:t>
      </w:r>
      <w:r w:rsidR="00D9339E" w:rsidRPr="0016385E">
        <w:t xml:space="preserve"> </w:t>
      </w:r>
      <w:r w:rsidR="005D1661" w:rsidRPr="0016385E">
        <w:t>UNDP builds on its experience</w:t>
      </w:r>
      <w:r w:rsidR="00D40E41" w:rsidRPr="0016385E">
        <w:t xml:space="preserve"> </w:t>
      </w:r>
      <w:r w:rsidR="004510CF" w:rsidRPr="0016385E">
        <w:t>and</w:t>
      </w:r>
      <w:r w:rsidR="00D40E41" w:rsidRPr="0016385E">
        <w:t xml:space="preserve"> </w:t>
      </w:r>
      <w:r w:rsidR="005D1661" w:rsidRPr="0016385E">
        <w:t xml:space="preserve">development results obtained under the previous </w:t>
      </w:r>
      <w:r w:rsidR="000F1174" w:rsidRPr="0016385E">
        <w:t>c</w:t>
      </w:r>
      <w:r w:rsidR="005D1661" w:rsidRPr="0016385E">
        <w:t xml:space="preserve">ountry </w:t>
      </w:r>
      <w:r w:rsidR="000F1174" w:rsidRPr="0016385E">
        <w:t>p</w:t>
      </w:r>
      <w:r w:rsidR="005D1661" w:rsidRPr="0016385E">
        <w:t>rogram</w:t>
      </w:r>
      <w:r w:rsidR="000F1174" w:rsidRPr="0016385E">
        <w:t>me</w:t>
      </w:r>
      <w:r w:rsidR="0082443E">
        <w:t>, 2015-2021</w:t>
      </w:r>
      <w:r w:rsidR="006208D0" w:rsidRPr="0016385E">
        <w:t>.</w:t>
      </w:r>
      <w:r w:rsidR="005D1661" w:rsidRPr="0016385E">
        <w:t xml:space="preserve"> </w:t>
      </w:r>
      <w:r w:rsidR="00967539" w:rsidRPr="0016385E">
        <w:t>The independent evaluation, as well as various</w:t>
      </w:r>
      <w:r w:rsidR="00DF2EEE" w:rsidRPr="0016385E">
        <w:t xml:space="preserve"> </w:t>
      </w:r>
      <w:r w:rsidR="00967539" w:rsidRPr="0016385E">
        <w:t>project evaluations carried out between 2017 and 2021</w:t>
      </w:r>
      <w:r w:rsidR="000F1174" w:rsidRPr="0016385E">
        <w:t>,</w:t>
      </w:r>
      <w:r w:rsidR="00967539" w:rsidRPr="0016385E">
        <w:t xml:space="preserve"> </w:t>
      </w:r>
      <w:r w:rsidR="00DF2EEE" w:rsidRPr="0016385E">
        <w:t xml:space="preserve">highlighted </w:t>
      </w:r>
      <w:r w:rsidR="0070366E" w:rsidRPr="0016385E">
        <w:t xml:space="preserve">significant results and </w:t>
      </w:r>
      <w:r w:rsidR="00A712A1" w:rsidRPr="0016385E">
        <w:t xml:space="preserve">substantial </w:t>
      </w:r>
      <w:r w:rsidR="0070366E" w:rsidRPr="0016385E">
        <w:t>changes</w:t>
      </w:r>
      <w:r w:rsidR="000F1174" w:rsidRPr="0016385E">
        <w:t>.</w:t>
      </w:r>
      <w:r w:rsidR="00703D78" w:rsidRPr="0016385E">
        <w:t xml:space="preserve"> </w:t>
      </w:r>
      <w:r w:rsidR="001169DA" w:rsidRPr="0016385E">
        <w:t xml:space="preserve">UNDP </w:t>
      </w:r>
      <w:r w:rsidR="00C63829" w:rsidRPr="0016385E">
        <w:t xml:space="preserve">contributed </w:t>
      </w:r>
      <w:r w:rsidR="002465A9" w:rsidRPr="00CC7002">
        <w:t xml:space="preserve">to the organization of the last </w:t>
      </w:r>
      <w:r w:rsidR="001169DA" w:rsidRPr="0016385E">
        <w:t xml:space="preserve">presidential, </w:t>
      </w:r>
      <w:r w:rsidR="00F054FD" w:rsidRPr="0016385E">
        <w:t>legislative,</w:t>
      </w:r>
      <w:r w:rsidR="001169DA" w:rsidRPr="0016385E">
        <w:t xml:space="preserve"> and municipal elections</w:t>
      </w:r>
      <w:r w:rsidR="000F1174" w:rsidRPr="0016385E">
        <w:t>.</w:t>
      </w:r>
      <w:r w:rsidR="00BF65F4" w:rsidRPr="0016385E">
        <w:rPr>
          <w:rStyle w:val="FootnoteReference"/>
        </w:rPr>
        <w:footnoteReference w:id="11"/>
      </w:r>
      <w:r w:rsidR="00265320" w:rsidRPr="0016385E">
        <w:t xml:space="preserve"> </w:t>
      </w:r>
      <w:r w:rsidR="002D7508" w:rsidRPr="0016385E">
        <w:t>UNDP</w:t>
      </w:r>
      <w:r w:rsidR="00153E12" w:rsidRPr="0016385E">
        <w:t xml:space="preserve"> supported </w:t>
      </w:r>
      <w:r w:rsidR="006E667A" w:rsidRPr="0016385E">
        <w:t xml:space="preserve">the </w:t>
      </w:r>
      <w:r w:rsidR="00EE50E8" w:rsidRPr="0016385E">
        <w:t xml:space="preserve">Government </w:t>
      </w:r>
      <w:r w:rsidR="000F1174" w:rsidRPr="0016385E">
        <w:t xml:space="preserve">in </w:t>
      </w:r>
      <w:r w:rsidR="002D7508" w:rsidRPr="0016385E">
        <w:t>contextualiz</w:t>
      </w:r>
      <w:r w:rsidR="000F1174" w:rsidRPr="0016385E">
        <w:t>ing</w:t>
      </w:r>
      <w:r w:rsidR="002D7508" w:rsidRPr="0016385E">
        <w:t xml:space="preserve"> the 2030 </w:t>
      </w:r>
      <w:r w:rsidR="000F1174" w:rsidRPr="0016385E">
        <w:t>A</w:t>
      </w:r>
      <w:r w:rsidR="002D7508" w:rsidRPr="0016385E">
        <w:t xml:space="preserve">genda </w:t>
      </w:r>
      <w:r w:rsidR="000F1174" w:rsidRPr="0016385E">
        <w:t xml:space="preserve">for Sustainable Development </w:t>
      </w:r>
      <w:r w:rsidR="002D7508" w:rsidRPr="0016385E">
        <w:t>and identify</w:t>
      </w:r>
      <w:r w:rsidR="000F1174" w:rsidRPr="0016385E">
        <w:t>ing</w:t>
      </w:r>
      <w:r w:rsidR="002D7508" w:rsidRPr="0016385E">
        <w:t xml:space="preserve"> national priorities</w:t>
      </w:r>
      <w:r w:rsidR="000F1174" w:rsidRPr="0016385E">
        <w:t>,</w:t>
      </w:r>
      <w:r w:rsidR="002D7508" w:rsidRPr="0016385E">
        <w:t xml:space="preserve"> taking into account the most </w:t>
      </w:r>
      <w:r w:rsidR="004F0893" w:rsidRPr="0016385E">
        <w:t>vulnerable</w:t>
      </w:r>
      <w:r w:rsidR="000F1174" w:rsidRPr="0016385E">
        <w:t>.</w:t>
      </w:r>
      <w:r w:rsidR="002D7508" w:rsidRPr="0016385E">
        <w:t xml:space="preserve"> </w:t>
      </w:r>
      <w:r w:rsidR="00265320" w:rsidRPr="0016385E">
        <w:t xml:space="preserve">UNDP helped strengthen state authority in the Grand Sud </w:t>
      </w:r>
      <w:r w:rsidR="000F1174" w:rsidRPr="0016385E">
        <w:t xml:space="preserve">region </w:t>
      </w:r>
      <w:r w:rsidR="005B6082" w:rsidRPr="0016385E">
        <w:t>b</w:t>
      </w:r>
      <w:r w:rsidR="00404CF8" w:rsidRPr="0016385E">
        <w:t>y facilitating</w:t>
      </w:r>
      <w:r w:rsidR="001169DA" w:rsidRPr="0016385E">
        <w:t xml:space="preserve"> access to </w:t>
      </w:r>
      <w:r w:rsidR="00D50614" w:rsidRPr="0016385E">
        <w:t>justice</w:t>
      </w:r>
      <w:r w:rsidR="001169DA" w:rsidRPr="0016385E">
        <w:t xml:space="preserve"> for 17,072</w:t>
      </w:r>
      <w:r w:rsidR="000F1174" w:rsidRPr="0016385E">
        <w:t> </w:t>
      </w:r>
      <w:r w:rsidR="001169DA" w:rsidRPr="0016385E">
        <w:t>vulnerable people (74</w:t>
      </w:r>
      <w:r w:rsidR="000F1174" w:rsidRPr="0016385E">
        <w:t xml:space="preserve"> per cent of them</w:t>
      </w:r>
      <w:r w:rsidR="001169DA" w:rsidRPr="0016385E">
        <w:t xml:space="preserve"> women) through </w:t>
      </w:r>
      <w:r w:rsidR="00B040F5" w:rsidRPr="0016385E">
        <w:t>formal and informal system</w:t>
      </w:r>
      <w:r w:rsidR="00A329BD" w:rsidRPr="0016385E">
        <w:t>s</w:t>
      </w:r>
      <w:r w:rsidR="000F1174" w:rsidRPr="0016385E">
        <w:t>.</w:t>
      </w:r>
      <w:r w:rsidR="00CC7002">
        <w:t xml:space="preserve"> </w:t>
      </w:r>
      <w:r w:rsidR="007B19A9" w:rsidRPr="0016385E">
        <w:t>UNDP enabled Madagascar to implement legislative reforms</w:t>
      </w:r>
      <w:r w:rsidR="00B21E41" w:rsidRPr="0016385E">
        <w:t>,</w:t>
      </w:r>
      <w:r w:rsidR="007B19A9" w:rsidRPr="0016385E">
        <w:t xml:space="preserve"> putting in place instruments to lay </w:t>
      </w:r>
      <w:r w:rsidR="00823B95" w:rsidRPr="0016385E">
        <w:t xml:space="preserve">the </w:t>
      </w:r>
      <w:r w:rsidR="007B19A9" w:rsidRPr="0016385E">
        <w:t>foundation for</w:t>
      </w:r>
      <w:r w:rsidR="00E03CD4" w:rsidRPr="0016385E">
        <w:t xml:space="preserve"> </w:t>
      </w:r>
      <w:r w:rsidR="00C01175" w:rsidRPr="0016385E">
        <w:t xml:space="preserve">an </w:t>
      </w:r>
      <w:r w:rsidR="007B19A9" w:rsidRPr="0016385E">
        <w:t>effective fight against corruption</w:t>
      </w:r>
      <w:r w:rsidR="00C01175" w:rsidRPr="0016385E">
        <w:t>.</w:t>
      </w:r>
      <w:r w:rsidR="00EB0259" w:rsidRPr="0016385E">
        <w:rPr>
          <w:rStyle w:val="FootnoteReference"/>
        </w:rPr>
        <w:footnoteReference w:id="12"/>
      </w:r>
      <w:r w:rsidR="00C01088" w:rsidRPr="0016385E">
        <w:t xml:space="preserve"> </w:t>
      </w:r>
      <w:r w:rsidR="007B19A9" w:rsidRPr="0016385E">
        <w:t xml:space="preserve">UNDP </w:t>
      </w:r>
      <w:r w:rsidR="00704B33">
        <w:t>helped</w:t>
      </w:r>
      <w:r w:rsidR="007B19A9" w:rsidRPr="0016385E">
        <w:t xml:space="preserve"> relaunch the decentralization process</w:t>
      </w:r>
      <w:r w:rsidR="009201D1">
        <w:t>.</w:t>
      </w:r>
      <w:r w:rsidR="00704B33">
        <w:t xml:space="preserve"> </w:t>
      </w:r>
      <w:r w:rsidR="009201D1">
        <w:t>T</w:t>
      </w:r>
      <w:r w:rsidR="007B19A9" w:rsidRPr="0016385E">
        <w:t xml:space="preserve">he strengthening of </w:t>
      </w:r>
      <w:r w:rsidR="002511D1" w:rsidRPr="0016385E">
        <w:t>decentralization mechanisms</w:t>
      </w:r>
      <w:r w:rsidR="001910EC" w:rsidRPr="0016385E">
        <w:t xml:space="preserve"> </w:t>
      </w:r>
      <w:r w:rsidR="007B19A9" w:rsidRPr="0016385E">
        <w:t>enabled 58 municipalities</w:t>
      </w:r>
      <w:r w:rsidR="00012A51" w:rsidRPr="0016385E">
        <w:t xml:space="preserve"> in the </w:t>
      </w:r>
      <w:r w:rsidR="002511D1" w:rsidRPr="0016385E">
        <w:t>south</w:t>
      </w:r>
      <w:r w:rsidR="00251B40" w:rsidRPr="0016385E">
        <w:t xml:space="preserve"> </w:t>
      </w:r>
      <w:r w:rsidR="007B19A9" w:rsidRPr="0016385E">
        <w:t xml:space="preserve">to develop and implement local development plans </w:t>
      </w:r>
      <w:r w:rsidR="00842E7E" w:rsidRPr="0016385E">
        <w:t>to</w:t>
      </w:r>
      <w:r w:rsidR="007B19A9" w:rsidRPr="0016385E">
        <w:t xml:space="preserve"> reduc</w:t>
      </w:r>
      <w:r w:rsidR="00842E7E" w:rsidRPr="0016385E">
        <w:t>e</w:t>
      </w:r>
      <w:r w:rsidR="007B19A9" w:rsidRPr="0016385E">
        <w:t xml:space="preserve"> poverty. </w:t>
      </w:r>
      <w:r w:rsidR="00E755F5" w:rsidRPr="0016385E">
        <w:t xml:space="preserve">UNDP </w:t>
      </w:r>
      <w:r w:rsidR="00863145" w:rsidRPr="0016385E">
        <w:t>improved</w:t>
      </w:r>
      <w:r w:rsidR="00E755F5" w:rsidRPr="0016385E">
        <w:t xml:space="preserve"> conditions </w:t>
      </w:r>
      <w:r w:rsidR="00C01175" w:rsidRPr="0016385E">
        <w:t xml:space="preserve">for </w:t>
      </w:r>
      <w:r w:rsidR="00E755F5" w:rsidRPr="0016385E">
        <w:t xml:space="preserve">populations in the </w:t>
      </w:r>
      <w:r w:rsidR="006C0F79" w:rsidRPr="0016385E">
        <w:t>south</w:t>
      </w:r>
      <w:r w:rsidR="008344D1" w:rsidRPr="0016385E">
        <w:t>ern</w:t>
      </w:r>
      <w:r w:rsidR="006C0F79" w:rsidRPr="0016385E">
        <w:t xml:space="preserve"> </w:t>
      </w:r>
      <w:r w:rsidR="00E755F5" w:rsidRPr="0016385E">
        <w:t xml:space="preserve">regions through sustainable self-employment </w:t>
      </w:r>
      <w:r w:rsidR="0046440B" w:rsidRPr="0016385E">
        <w:t xml:space="preserve">created </w:t>
      </w:r>
      <w:r w:rsidR="00E755F5" w:rsidRPr="0016385E">
        <w:t>for 46,684 vulnerable</w:t>
      </w:r>
      <w:r w:rsidR="0046440B" w:rsidRPr="0016385E">
        <w:t xml:space="preserve"> </w:t>
      </w:r>
      <w:r w:rsidR="00C01175" w:rsidRPr="0016385E">
        <w:t xml:space="preserve">people </w:t>
      </w:r>
      <w:r w:rsidR="00070FD9" w:rsidRPr="0016385E">
        <w:t>(</w:t>
      </w:r>
      <w:r w:rsidR="00E755F5" w:rsidRPr="0016385E">
        <w:t>11,787 women</w:t>
      </w:r>
      <w:r w:rsidR="009A5B92" w:rsidRPr="0016385E">
        <w:t xml:space="preserve"> </w:t>
      </w:r>
      <w:r w:rsidR="00C01175" w:rsidRPr="0016385E">
        <w:t>and</w:t>
      </w:r>
      <w:r w:rsidR="009A5B92" w:rsidRPr="0016385E">
        <w:t xml:space="preserve"> </w:t>
      </w:r>
      <w:r w:rsidR="00E755F5" w:rsidRPr="0016385E">
        <w:t>23,083</w:t>
      </w:r>
      <w:r w:rsidR="00704B33">
        <w:t> </w:t>
      </w:r>
      <w:r w:rsidR="00E755F5" w:rsidRPr="0016385E">
        <w:t>youth</w:t>
      </w:r>
      <w:r w:rsidR="009A5B92" w:rsidRPr="0016385E">
        <w:t>)</w:t>
      </w:r>
      <w:r w:rsidR="00E755F5" w:rsidRPr="0016385E">
        <w:t xml:space="preserve"> and 7,370</w:t>
      </w:r>
      <w:r w:rsidR="004154A6" w:rsidRPr="0016385E">
        <w:t xml:space="preserve"> </w:t>
      </w:r>
      <w:r w:rsidR="00E755F5" w:rsidRPr="0016385E">
        <w:t xml:space="preserve">green </w:t>
      </w:r>
      <w:r w:rsidR="00C01175" w:rsidRPr="0016385E">
        <w:t xml:space="preserve">jobs </w:t>
      </w:r>
      <w:r w:rsidR="004154A6" w:rsidRPr="0016385E">
        <w:t>(3,795 women)</w:t>
      </w:r>
      <w:r w:rsidR="00E755F5" w:rsidRPr="0016385E">
        <w:t>.</w:t>
      </w:r>
      <w:r w:rsidR="000E3E80" w:rsidRPr="0016385E">
        <w:t xml:space="preserve"> </w:t>
      </w:r>
      <w:r w:rsidR="00E755F5" w:rsidRPr="0016385E">
        <w:t>UNDP built</w:t>
      </w:r>
      <w:r w:rsidR="00170857" w:rsidRPr="0016385E">
        <w:t xml:space="preserve"> and </w:t>
      </w:r>
      <w:r w:rsidR="00E755F5" w:rsidRPr="0016385E">
        <w:t>rehabilitated local socio-economic infrastructure</w:t>
      </w:r>
      <w:r w:rsidR="00C47808" w:rsidRPr="0016385E">
        <w:t>s</w:t>
      </w:r>
      <w:r w:rsidR="00E755F5" w:rsidRPr="0016385E">
        <w:t xml:space="preserve"> through which 56,586 beneficiaries </w:t>
      </w:r>
      <w:r w:rsidR="00C01175" w:rsidRPr="0016385E">
        <w:t xml:space="preserve">gained </w:t>
      </w:r>
      <w:r w:rsidR="00E755F5" w:rsidRPr="0016385E">
        <w:t xml:space="preserve">improved access to water, </w:t>
      </w:r>
      <w:r w:rsidR="004845C8" w:rsidRPr="0016385E">
        <w:t>hygiene</w:t>
      </w:r>
      <w:r w:rsidR="00EE5B60" w:rsidRPr="0016385E">
        <w:t>,</w:t>
      </w:r>
      <w:r w:rsidR="000E3E80" w:rsidRPr="0016385E">
        <w:t xml:space="preserve"> </w:t>
      </w:r>
      <w:r w:rsidR="00E755F5" w:rsidRPr="0016385E">
        <w:t>sanitation</w:t>
      </w:r>
      <w:r w:rsidR="00EE5B60" w:rsidRPr="0016385E">
        <w:t xml:space="preserve">, and </w:t>
      </w:r>
      <w:r w:rsidR="00E755F5" w:rsidRPr="0016385E">
        <w:t>hydro-agricultural infrastructure.</w:t>
      </w:r>
      <w:r w:rsidR="007757DD" w:rsidRPr="0016385E">
        <w:t xml:space="preserve"> </w:t>
      </w:r>
      <w:r w:rsidR="00EA5583" w:rsidRPr="0016385E">
        <w:t>UNDP</w:t>
      </w:r>
      <w:r w:rsidR="002C58AD" w:rsidRPr="0016385E">
        <w:t xml:space="preserve"> </w:t>
      </w:r>
      <w:r w:rsidR="00EA5583" w:rsidRPr="0016385E">
        <w:lastRenderedPageBreak/>
        <w:t xml:space="preserve">supported reforestation in </w:t>
      </w:r>
      <w:r w:rsidR="00280B60">
        <w:t>5 </w:t>
      </w:r>
      <w:r w:rsidR="00EA5583" w:rsidRPr="0016385E">
        <w:t>regions through the production of 23 million seedlings</w:t>
      </w:r>
      <w:r w:rsidR="00C01175" w:rsidRPr="0016385E">
        <w:t>,</w:t>
      </w:r>
      <w:r w:rsidR="00EA5583" w:rsidRPr="0016385E">
        <w:t xml:space="preserve"> </w:t>
      </w:r>
      <w:r w:rsidR="00EF7264" w:rsidRPr="0016385E">
        <w:t>cover</w:t>
      </w:r>
      <w:r w:rsidR="00C01175" w:rsidRPr="0016385E">
        <w:t>ing</w:t>
      </w:r>
      <w:r w:rsidR="00EF7264" w:rsidRPr="0016385E">
        <w:t xml:space="preserve"> </w:t>
      </w:r>
      <w:r w:rsidR="00EA5583" w:rsidRPr="0016385E">
        <w:t>9,000 ha</w:t>
      </w:r>
      <w:r w:rsidR="00C01175" w:rsidRPr="0016385E">
        <w:t>,</w:t>
      </w:r>
      <w:r w:rsidR="00EA5583" w:rsidRPr="0016385E">
        <w:t xml:space="preserve"> </w:t>
      </w:r>
      <w:r w:rsidR="00604D60" w:rsidRPr="0016385E">
        <w:t>for</w:t>
      </w:r>
      <w:r w:rsidR="00EA5583" w:rsidRPr="0016385E">
        <w:t xml:space="preserve"> effective climate</w:t>
      </w:r>
      <w:r w:rsidR="00C01175" w:rsidRPr="0016385E">
        <w:t>-</w:t>
      </w:r>
      <w:r w:rsidR="00EA5583" w:rsidRPr="0016385E">
        <w:t>change</w:t>
      </w:r>
      <w:r w:rsidR="00C01175" w:rsidRPr="0016385E">
        <w:t xml:space="preserve"> management</w:t>
      </w:r>
      <w:r w:rsidR="002C58AD" w:rsidRPr="0016385E">
        <w:t>.</w:t>
      </w:r>
    </w:p>
    <w:p w14:paraId="502231C5" w14:textId="5D55FB77" w:rsidR="0049167A" w:rsidRPr="00882056" w:rsidRDefault="00B501A6" w:rsidP="00B501A6">
      <w:pPr>
        <w:pStyle w:val="ListParagraph"/>
        <w:spacing w:after="200"/>
        <w:ind w:left="1080" w:right="1218"/>
        <w:jc w:val="both"/>
      </w:pPr>
      <w:r>
        <w:t>12.</w:t>
      </w:r>
      <w:r>
        <w:tab/>
      </w:r>
      <w:r w:rsidR="00936488" w:rsidRPr="0016385E">
        <w:t xml:space="preserve">The country programme will build on </w:t>
      </w:r>
      <w:r w:rsidR="002A2253" w:rsidRPr="0016385E">
        <w:t xml:space="preserve">recommendations and </w:t>
      </w:r>
      <w:r w:rsidR="00936488" w:rsidRPr="0016385E">
        <w:t xml:space="preserve">lessons learned from the </w:t>
      </w:r>
      <w:r w:rsidR="0010322D" w:rsidRPr="0016385E">
        <w:t>evaluations</w:t>
      </w:r>
      <w:r w:rsidR="00C01175" w:rsidRPr="0016385E">
        <w:t>,</w:t>
      </w:r>
      <w:r w:rsidR="007B1DE3" w:rsidRPr="0016385E">
        <w:t xml:space="preserve"> which </w:t>
      </w:r>
      <w:r w:rsidR="00936488" w:rsidRPr="0016385E">
        <w:t xml:space="preserve">revealed: </w:t>
      </w:r>
      <w:r w:rsidR="00C01175" w:rsidRPr="0016385E">
        <w:t>(</w:t>
      </w:r>
      <w:r w:rsidR="00CB5A7C" w:rsidRPr="0016385E">
        <w:t>a) lack of a clearly stated theory of change, including a specific</w:t>
      </w:r>
      <w:r w:rsidR="00D6650E" w:rsidRPr="0016385E">
        <w:t xml:space="preserve"> theory</w:t>
      </w:r>
      <w:r w:rsidR="00CB5A7C" w:rsidRPr="0016385E">
        <w:t xml:space="preserve"> </w:t>
      </w:r>
      <w:r w:rsidR="00D6650E" w:rsidRPr="0016385E">
        <w:t>f</w:t>
      </w:r>
      <w:r w:rsidR="00CB5A7C" w:rsidRPr="0016385E">
        <w:t>o</w:t>
      </w:r>
      <w:r w:rsidR="00D6650E" w:rsidRPr="0016385E">
        <w:t>r</w:t>
      </w:r>
      <w:r w:rsidR="00CB5A7C" w:rsidRPr="0016385E">
        <w:t xml:space="preserve"> the challenges of </w:t>
      </w:r>
      <w:r w:rsidR="00730A0B" w:rsidRPr="0016385E">
        <w:t>south</w:t>
      </w:r>
      <w:r w:rsidR="00C01175" w:rsidRPr="0016385E">
        <w:t>ern</w:t>
      </w:r>
      <w:r w:rsidR="00730A0B" w:rsidRPr="0016385E">
        <w:t xml:space="preserve"> </w:t>
      </w:r>
      <w:r w:rsidR="00A3144A" w:rsidRPr="0016385E">
        <w:t>Madagascar</w:t>
      </w:r>
      <w:r w:rsidR="00CB5A7C" w:rsidRPr="0016385E">
        <w:t xml:space="preserve">; </w:t>
      </w:r>
      <w:r w:rsidR="00C01175" w:rsidRPr="0016385E">
        <w:t>(</w:t>
      </w:r>
      <w:r w:rsidR="00CB5A7C" w:rsidRPr="0016385E">
        <w:t>b) weak local ownership due to</w:t>
      </w:r>
      <w:r w:rsidR="00E46C57" w:rsidRPr="0016385E">
        <w:t xml:space="preserve"> insufficient </w:t>
      </w:r>
      <w:r w:rsidR="00CB5A7C" w:rsidRPr="0016385E">
        <w:t xml:space="preserve">involvement in project </w:t>
      </w:r>
      <w:r w:rsidR="005B2E90" w:rsidRPr="0016385E">
        <w:t>formulation</w:t>
      </w:r>
      <w:r w:rsidR="00CB5A7C" w:rsidRPr="0016385E">
        <w:t xml:space="preserve">; </w:t>
      </w:r>
      <w:r w:rsidR="00C01175" w:rsidRPr="0016385E">
        <w:t>(</w:t>
      </w:r>
      <w:r w:rsidR="00CB5A7C" w:rsidRPr="0016385E">
        <w:t xml:space="preserve">c) weak emphasis on environmental governance; </w:t>
      </w:r>
      <w:r w:rsidR="00C01175" w:rsidRPr="0016385E">
        <w:t>and (</w:t>
      </w:r>
      <w:r w:rsidR="00CB5A7C" w:rsidRPr="0016385E">
        <w:t>d)</w:t>
      </w:r>
      <w:r w:rsidR="00C01175" w:rsidRPr="0016385E">
        <w:t> </w:t>
      </w:r>
      <w:r w:rsidR="00CB5A7C" w:rsidRPr="0016385E">
        <w:t xml:space="preserve">insufficient support for political, </w:t>
      </w:r>
      <w:r w:rsidR="001863C6" w:rsidRPr="0016385E">
        <w:t>s</w:t>
      </w:r>
      <w:r w:rsidR="00CB5A7C" w:rsidRPr="0016385E">
        <w:t>ocial and economic empowerment of women.</w:t>
      </w:r>
    </w:p>
    <w:p w14:paraId="055025F3" w14:textId="77777777" w:rsidR="00250662" w:rsidRPr="00882056" w:rsidRDefault="00250662" w:rsidP="004206C1">
      <w:pPr>
        <w:spacing w:after="200"/>
        <w:ind w:left="1080" w:right="1218" w:hanging="450"/>
        <w:jc w:val="both"/>
        <w:rPr>
          <w:b/>
          <w:bCs/>
          <w:sz w:val="28"/>
          <w:szCs w:val="28"/>
        </w:rPr>
      </w:pPr>
      <w:r w:rsidRPr="00882056">
        <w:rPr>
          <w:b/>
          <w:bCs/>
          <w:sz w:val="28"/>
          <w:szCs w:val="28"/>
        </w:rPr>
        <w:t>II.</w:t>
      </w:r>
      <w:r w:rsidRPr="00882056">
        <w:rPr>
          <w:b/>
          <w:bCs/>
          <w:sz w:val="28"/>
          <w:szCs w:val="28"/>
        </w:rPr>
        <w:tab/>
        <w:t>Programme priorities and partnerships</w:t>
      </w:r>
      <w:r w:rsidRPr="00882056" w:rsidDel="005153D3">
        <w:rPr>
          <w:b/>
          <w:bCs/>
          <w:sz w:val="28"/>
          <w:szCs w:val="28"/>
        </w:rPr>
        <w:t xml:space="preserve"> </w:t>
      </w:r>
    </w:p>
    <w:p w14:paraId="15A61DF2" w14:textId="322F1B18" w:rsidR="00AD743C" w:rsidRPr="0016385E" w:rsidRDefault="00B501A6" w:rsidP="00B501A6">
      <w:pPr>
        <w:pStyle w:val="ListParagraph"/>
        <w:spacing w:after="120"/>
        <w:ind w:left="1080" w:right="1218"/>
        <w:jc w:val="both"/>
      </w:pPr>
      <w:r>
        <w:t>13.</w:t>
      </w:r>
      <w:r>
        <w:tab/>
      </w:r>
      <w:r w:rsidR="004E6388" w:rsidRPr="0016385E">
        <w:t xml:space="preserve">The proposed programmatic offer is anchored in </w:t>
      </w:r>
      <w:r w:rsidR="00A545DC" w:rsidRPr="0016385E">
        <w:t xml:space="preserve">the </w:t>
      </w:r>
      <w:r w:rsidR="004154A6" w:rsidRPr="0016385E">
        <w:t>UNDP</w:t>
      </w:r>
      <w:r w:rsidR="004E6388" w:rsidRPr="0016385E">
        <w:t xml:space="preserve"> mandate as </w:t>
      </w:r>
      <w:r w:rsidR="00157F51" w:rsidRPr="0016385E">
        <w:t xml:space="preserve">the </w:t>
      </w:r>
      <w:r w:rsidR="004E6388" w:rsidRPr="0016385E">
        <w:t xml:space="preserve">lead </w:t>
      </w:r>
      <w:r w:rsidR="00A545DC" w:rsidRPr="0016385E">
        <w:t>United Nations organization</w:t>
      </w:r>
      <w:r w:rsidR="004E6388" w:rsidRPr="0016385E">
        <w:t xml:space="preserve"> for development, in an integrated approach. </w:t>
      </w:r>
      <w:r w:rsidR="00AD3889" w:rsidRPr="0016385E">
        <w:t xml:space="preserve">The country programme will contribute to the </w:t>
      </w:r>
      <w:r w:rsidR="00E973C3" w:rsidRPr="0016385E">
        <w:t>African Union Agenda 2063</w:t>
      </w:r>
      <w:r w:rsidR="00A545DC" w:rsidRPr="0016385E">
        <w:t>,</w:t>
      </w:r>
      <w:r w:rsidR="00E973C3" w:rsidRPr="0016385E">
        <w:rPr>
          <w:rStyle w:val="FootnoteReference"/>
        </w:rPr>
        <w:footnoteReference w:id="13"/>
      </w:r>
      <w:r w:rsidR="00E973C3" w:rsidRPr="0016385E">
        <w:t xml:space="preserve"> the </w:t>
      </w:r>
      <w:r w:rsidR="00AD3889" w:rsidRPr="0016385E">
        <w:t>2030 Agenda</w:t>
      </w:r>
      <w:r w:rsidR="00FB216C" w:rsidRPr="0016385E">
        <w:t>,</w:t>
      </w:r>
      <w:r w:rsidR="00C271F2" w:rsidRPr="0016385E">
        <w:t xml:space="preserve"> and </w:t>
      </w:r>
      <w:r w:rsidR="00503915" w:rsidRPr="0016385E">
        <w:t xml:space="preserve">the </w:t>
      </w:r>
      <w:r w:rsidR="0030270E" w:rsidRPr="0016385E">
        <w:t>UNDP</w:t>
      </w:r>
      <w:r w:rsidR="00503915" w:rsidRPr="0016385E">
        <w:t xml:space="preserve"> </w:t>
      </w:r>
      <w:r w:rsidR="00A608C0" w:rsidRPr="0016385E">
        <w:t>S</w:t>
      </w:r>
      <w:r w:rsidR="00503915" w:rsidRPr="0016385E">
        <w:t xml:space="preserve">trategic </w:t>
      </w:r>
      <w:r w:rsidR="00704B33">
        <w:t>Plan</w:t>
      </w:r>
      <w:r w:rsidR="004F4886" w:rsidRPr="0016385E">
        <w:t>, 2018-2022</w:t>
      </w:r>
      <w:r w:rsidR="00503915" w:rsidRPr="0016385E">
        <w:t>.</w:t>
      </w:r>
      <w:r w:rsidR="004E2FB0" w:rsidRPr="0016385E">
        <w:t xml:space="preserve"> It is</w:t>
      </w:r>
      <w:r w:rsidR="00AD3889" w:rsidRPr="0016385E">
        <w:t xml:space="preserve"> aligned </w:t>
      </w:r>
      <w:r w:rsidR="00704B33">
        <w:t>with</w:t>
      </w:r>
      <w:r w:rsidR="00704B33" w:rsidRPr="0016385E">
        <w:t xml:space="preserve"> </w:t>
      </w:r>
      <w:r w:rsidR="00AD3889" w:rsidRPr="0016385E">
        <w:t xml:space="preserve">the </w:t>
      </w:r>
      <w:r w:rsidR="004F4886" w:rsidRPr="0016385E">
        <w:t>Madagascar</w:t>
      </w:r>
      <w:r w:rsidR="00A608C0" w:rsidRPr="0016385E">
        <w:t xml:space="preserve"> </w:t>
      </w:r>
      <w:r w:rsidR="00704B33">
        <w:t>Emergence P</w:t>
      </w:r>
      <w:r w:rsidR="00A608C0" w:rsidRPr="0016385E">
        <w:t>lan</w:t>
      </w:r>
      <w:r w:rsidR="004F4886" w:rsidRPr="0016385E">
        <w:t xml:space="preserve">, </w:t>
      </w:r>
      <w:r w:rsidR="00AD3889" w:rsidRPr="0016385E">
        <w:t>2020-2023</w:t>
      </w:r>
      <w:r w:rsidR="00704B33">
        <w:t xml:space="preserve">, and </w:t>
      </w:r>
      <w:r w:rsidR="004565C1" w:rsidRPr="0016385E">
        <w:t xml:space="preserve">will contribute </w:t>
      </w:r>
      <w:r w:rsidR="004F4886" w:rsidRPr="0016385E">
        <w:t xml:space="preserve">to </w:t>
      </w:r>
      <w:r w:rsidR="004565C1" w:rsidRPr="0016385E">
        <w:t>SP1</w:t>
      </w:r>
      <w:r w:rsidR="004F4886" w:rsidRPr="0016385E">
        <w:t>:</w:t>
      </w:r>
      <w:r w:rsidR="004565C1" w:rsidRPr="0016385E">
        <w:t xml:space="preserve"> Velirano 01, 03 and 12</w:t>
      </w:r>
      <w:r w:rsidR="004F4886" w:rsidRPr="0016385E">
        <w:t>;</w:t>
      </w:r>
      <w:r w:rsidR="00511890" w:rsidRPr="0016385E">
        <w:rPr>
          <w:rStyle w:val="FootnoteReference"/>
        </w:rPr>
        <w:footnoteReference w:id="14"/>
      </w:r>
      <w:r w:rsidR="004565C1" w:rsidRPr="0016385E">
        <w:t xml:space="preserve"> SP3</w:t>
      </w:r>
      <w:r w:rsidR="004F4886" w:rsidRPr="0016385E">
        <w:t>:</w:t>
      </w:r>
      <w:r w:rsidR="004565C1" w:rsidRPr="0016385E">
        <w:t xml:space="preserve"> Velirano 06, 07</w:t>
      </w:r>
      <w:r w:rsidR="00D460F4" w:rsidRPr="0016385E">
        <w:t xml:space="preserve"> </w:t>
      </w:r>
      <w:r w:rsidR="004565C1" w:rsidRPr="0016385E">
        <w:t>and 08</w:t>
      </w:r>
      <w:r w:rsidR="004F4886" w:rsidRPr="0016385E">
        <w:t>;</w:t>
      </w:r>
      <w:r w:rsidR="00511890" w:rsidRPr="0016385E">
        <w:rPr>
          <w:rStyle w:val="FootnoteReference"/>
        </w:rPr>
        <w:footnoteReference w:id="15"/>
      </w:r>
      <w:r w:rsidR="004565C1" w:rsidRPr="0016385E">
        <w:t xml:space="preserve"> and SP4</w:t>
      </w:r>
      <w:r w:rsidR="004F4886" w:rsidRPr="0016385E">
        <w:t xml:space="preserve">: </w:t>
      </w:r>
      <w:r w:rsidR="004565C1" w:rsidRPr="0016385E">
        <w:t>Velirano</w:t>
      </w:r>
      <w:r w:rsidR="004F4886" w:rsidRPr="0016385E">
        <w:t xml:space="preserve"> </w:t>
      </w:r>
      <w:r w:rsidR="004565C1" w:rsidRPr="0016385E">
        <w:t>10</w:t>
      </w:r>
      <w:r w:rsidR="004F4886" w:rsidRPr="0016385E">
        <w:t>.</w:t>
      </w:r>
      <w:r w:rsidR="0036113A" w:rsidRPr="0016385E">
        <w:rPr>
          <w:rStyle w:val="FootnoteReference"/>
        </w:rPr>
        <w:footnoteReference w:id="16"/>
      </w:r>
    </w:p>
    <w:p w14:paraId="76F99D8B" w14:textId="21A3929D" w:rsidR="00672D22" w:rsidRPr="0016385E" w:rsidRDefault="00B501A6" w:rsidP="00B501A6">
      <w:pPr>
        <w:pStyle w:val="ListParagraph"/>
        <w:spacing w:after="120"/>
        <w:ind w:left="1080" w:right="1218"/>
        <w:jc w:val="both"/>
      </w:pPr>
      <w:r>
        <w:t>14.</w:t>
      </w:r>
      <w:r>
        <w:tab/>
      </w:r>
      <w:r w:rsidR="00672D22" w:rsidRPr="0016385E">
        <w:t xml:space="preserve">UNDP will adopt a holistic, risk-informed, humanitarian-sensitive intervention strategy that considers socioeconomic, </w:t>
      </w:r>
      <w:r w:rsidR="00902886" w:rsidRPr="0016385E">
        <w:t>political,</w:t>
      </w:r>
      <w:r w:rsidR="00672D22" w:rsidRPr="0016385E">
        <w:t xml:space="preserve"> and humanitarian contexts, particularly in the </w:t>
      </w:r>
      <w:r w:rsidR="002559AC" w:rsidRPr="0016385E">
        <w:t>s</w:t>
      </w:r>
      <w:r w:rsidR="00672D22" w:rsidRPr="0016385E">
        <w:t>outh. The programme will focus</w:t>
      </w:r>
      <w:r w:rsidR="001A097E" w:rsidRPr="0016385E">
        <w:t xml:space="preserve"> </w:t>
      </w:r>
      <w:r w:rsidR="00417FDE" w:rsidRPr="0016385E">
        <w:t>o</w:t>
      </w:r>
      <w:r w:rsidR="00672D22" w:rsidRPr="0016385E">
        <w:t xml:space="preserve">n </w:t>
      </w:r>
      <w:r w:rsidR="00AC5157">
        <w:t xml:space="preserve">the </w:t>
      </w:r>
      <w:r w:rsidR="00672D22" w:rsidRPr="0016385E">
        <w:t xml:space="preserve">three </w:t>
      </w:r>
      <w:r w:rsidR="00AC5157" w:rsidRPr="0016385E">
        <w:t xml:space="preserve">most underdeveloped regions </w:t>
      </w:r>
      <w:r w:rsidR="00672D22" w:rsidRPr="0016385E">
        <w:t>(Androy, Atsimo-Andrefana and Anôsy) to continue the transformational change initiated in the previous programme</w:t>
      </w:r>
      <w:r w:rsidR="00AC5157">
        <w:t>.</w:t>
      </w:r>
      <w:r w:rsidR="0053668A" w:rsidRPr="0016385E">
        <w:t xml:space="preserve"> </w:t>
      </w:r>
      <w:r w:rsidR="008072CD" w:rsidRPr="0016385E">
        <w:t>A</w:t>
      </w:r>
      <w:r w:rsidR="00672D22" w:rsidRPr="0016385E">
        <w:t xml:space="preserve">dditional </w:t>
      </w:r>
      <w:r w:rsidR="0053668A" w:rsidRPr="0016385E">
        <w:t xml:space="preserve">regions </w:t>
      </w:r>
      <w:r w:rsidR="008072CD" w:rsidRPr="0016385E">
        <w:t xml:space="preserve">will </w:t>
      </w:r>
      <w:r w:rsidR="00051913">
        <w:t>include</w:t>
      </w:r>
      <w:r w:rsidR="006D58C4" w:rsidRPr="0016385E">
        <w:t xml:space="preserve"> Analamanga</w:t>
      </w:r>
      <w:r w:rsidR="00417FDE" w:rsidRPr="0016385E">
        <w:t>,</w:t>
      </w:r>
      <w:r w:rsidR="006D58C4" w:rsidRPr="0016385E">
        <w:t xml:space="preserve"> </w:t>
      </w:r>
      <w:r w:rsidR="0053668A" w:rsidRPr="0016385E">
        <w:t>for</w:t>
      </w:r>
      <w:r w:rsidR="00672D22" w:rsidRPr="0016385E">
        <w:t xml:space="preserve"> </w:t>
      </w:r>
      <w:r w:rsidR="00A67FAE" w:rsidRPr="00A67FAE">
        <w:t>institutional advisory support</w:t>
      </w:r>
      <w:r w:rsidR="006D58C4" w:rsidRPr="0016385E">
        <w:t>,</w:t>
      </w:r>
      <w:r w:rsidR="00672D22" w:rsidRPr="0016385E">
        <w:t xml:space="preserve"> and </w:t>
      </w:r>
      <w:r w:rsidR="006D58C4" w:rsidRPr="0016385E">
        <w:t>Menabe</w:t>
      </w:r>
      <w:r w:rsidR="00417FDE" w:rsidRPr="0016385E">
        <w:t xml:space="preserve"> – due to its rich marine and aquatic resources –</w:t>
      </w:r>
      <w:r w:rsidR="006D58C4" w:rsidRPr="0016385E">
        <w:t xml:space="preserve"> </w:t>
      </w:r>
      <w:r w:rsidR="0053668A" w:rsidRPr="0016385E">
        <w:t xml:space="preserve">for </w:t>
      </w:r>
      <w:r w:rsidR="00672D22" w:rsidRPr="0016385E">
        <w:t>thematic support on natural resource management. The programme will keep targeting the most vulnerable people and those left behind</w:t>
      </w:r>
      <w:r w:rsidR="00417FDE" w:rsidRPr="0016385E">
        <w:t>,</w:t>
      </w:r>
      <w:r w:rsidR="00672D22" w:rsidRPr="0016385E">
        <w:t xml:space="preserve"> including women, youth, </w:t>
      </w:r>
      <w:r w:rsidR="00A545DC" w:rsidRPr="00882056">
        <w:t>people living with disabilities</w:t>
      </w:r>
      <w:r w:rsidR="00A545DC" w:rsidRPr="0016385E">
        <w:t>,</w:t>
      </w:r>
      <w:r w:rsidR="00A545DC" w:rsidRPr="0016385E" w:rsidDel="00A545DC">
        <w:t xml:space="preserve"> </w:t>
      </w:r>
      <w:r w:rsidR="00672D22" w:rsidRPr="0016385E">
        <w:t>and the informal sector. UNDP will consider both the already</w:t>
      </w:r>
      <w:r w:rsidR="00704B33">
        <w:t xml:space="preserve"> </w:t>
      </w:r>
      <w:r w:rsidR="00672D22" w:rsidRPr="0016385E">
        <w:t>critical S</w:t>
      </w:r>
      <w:r w:rsidR="00417FDE" w:rsidRPr="0016385E">
        <w:t>ustainable Development Goals</w:t>
      </w:r>
      <w:r w:rsidR="00672D22" w:rsidRPr="0016385E">
        <w:t xml:space="preserve"> baselines and the socioeconomic consequences of </w:t>
      </w:r>
      <w:r w:rsidR="00EC49ED" w:rsidRPr="0016385E">
        <w:rPr>
          <w:shd w:val="clear" w:color="auto" w:fill="FFFFFF"/>
        </w:rPr>
        <w:t>COVID</w:t>
      </w:r>
      <w:r w:rsidR="00EC49ED" w:rsidRPr="0016385E">
        <w:t>-</w:t>
      </w:r>
      <w:r w:rsidR="00672D22" w:rsidRPr="0016385E">
        <w:t xml:space="preserve">19. </w:t>
      </w:r>
      <w:r w:rsidR="00720A98" w:rsidRPr="0016385E">
        <w:t xml:space="preserve">UNDP will apply its six signature solutions </w:t>
      </w:r>
      <w:r w:rsidR="00417FDE" w:rsidRPr="0016385E">
        <w:t xml:space="preserve">– </w:t>
      </w:r>
      <w:r w:rsidR="00720A98" w:rsidRPr="0016385E">
        <w:t xml:space="preserve">in poverty, governance, resilience, nature-based solutions, </w:t>
      </w:r>
      <w:r w:rsidR="002921A7" w:rsidRPr="0016385E">
        <w:t>energy,</w:t>
      </w:r>
      <w:r w:rsidR="00720A98" w:rsidRPr="0016385E">
        <w:t xml:space="preserve"> and gender equality </w:t>
      </w:r>
      <w:r w:rsidR="00417FDE" w:rsidRPr="0016385E">
        <w:t xml:space="preserve">– </w:t>
      </w:r>
      <w:r w:rsidR="00720A98" w:rsidRPr="0016385E">
        <w:t>to achieve results.</w:t>
      </w:r>
    </w:p>
    <w:p w14:paraId="74D27C60" w14:textId="6505C093" w:rsidR="009D6AC0" w:rsidRPr="0016385E" w:rsidRDefault="00B501A6" w:rsidP="00B501A6">
      <w:pPr>
        <w:pStyle w:val="ListParagraph"/>
        <w:spacing w:after="120"/>
        <w:ind w:left="1080" w:right="1218"/>
        <w:jc w:val="both"/>
      </w:pPr>
      <w:r>
        <w:t>15.</w:t>
      </w:r>
      <w:r>
        <w:tab/>
      </w:r>
      <w:r w:rsidR="009D6AC0" w:rsidRPr="0016385E">
        <w:t>UNDP will perform its integrator role by: (a) establishing integrated platforms to support acceleration of the G</w:t>
      </w:r>
      <w:r w:rsidR="00417FDE" w:rsidRPr="0016385E">
        <w:t>oal</w:t>
      </w:r>
      <w:r w:rsidR="009D6AC0" w:rsidRPr="0016385E">
        <w:t xml:space="preserve">s; (b) supporting the development of </w:t>
      </w:r>
      <w:r w:rsidR="00417FDE" w:rsidRPr="0016385E">
        <w:t xml:space="preserve">an </w:t>
      </w:r>
      <w:r w:rsidR="009D6AC0" w:rsidRPr="0016385E">
        <w:t xml:space="preserve">integrated data ecosystem with the </w:t>
      </w:r>
      <w:r w:rsidR="00417FDE" w:rsidRPr="0016385E">
        <w:t>United Nations country team</w:t>
      </w:r>
      <w:r w:rsidR="009D6AC0" w:rsidRPr="0016385E">
        <w:t>; (c) mobilizing innovative financing</w:t>
      </w:r>
      <w:r w:rsidR="00417FDE" w:rsidRPr="0016385E">
        <w:t>;</w:t>
      </w:r>
      <w:r w:rsidR="00FC3D4D" w:rsidRPr="0016385E">
        <w:t xml:space="preserve"> </w:t>
      </w:r>
      <w:r w:rsidR="009D6AC0" w:rsidRPr="0016385E">
        <w:t xml:space="preserve">(d) transferring knowledge and technologies via South-South and triangular cooperation; (e) combining an offer of high-level policy advice and targeted downstream programmatic interventions during and </w:t>
      </w:r>
      <w:r w:rsidR="00AA0EF6" w:rsidRPr="0016385E">
        <w:t xml:space="preserve">after </w:t>
      </w:r>
      <w:r w:rsidR="00EC49ED" w:rsidRPr="0016385E">
        <w:rPr>
          <w:shd w:val="clear" w:color="auto" w:fill="FFFFFF"/>
        </w:rPr>
        <w:t>COVID</w:t>
      </w:r>
      <w:r w:rsidR="00EC49ED" w:rsidRPr="0016385E">
        <w:t>-</w:t>
      </w:r>
      <w:r w:rsidR="009D6AC0" w:rsidRPr="0016385E">
        <w:t>19; (f) creating innovative development approaches</w:t>
      </w:r>
      <w:r w:rsidR="00417FDE" w:rsidRPr="0016385E">
        <w:t>;</w:t>
      </w:r>
      <w:r w:rsidR="009D6AC0" w:rsidRPr="0016385E">
        <w:t xml:space="preserve"> (g) developing a fresh partnership with civil society and </w:t>
      </w:r>
      <w:r w:rsidR="00417FDE" w:rsidRPr="0016385E">
        <w:t xml:space="preserve">the </w:t>
      </w:r>
      <w:r w:rsidR="009D6AC0" w:rsidRPr="0016385E">
        <w:t>private sector;</w:t>
      </w:r>
      <w:r w:rsidR="00A65CD9" w:rsidRPr="0016385E">
        <w:t xml:space="preserve"> </w:t>
      </w:r>
      <w:r w:rsidR="009D6AC0" w:rsidRPr="0016385E">
        <w:t>and (</w:t>
      </w:r>
      <w:r w:rsidR="00A65CD9" w:rsidRPr="0016385E">
        <w:t>h</w:t>
      </w:r>
      <w:r w:rsidR="009D6AC0" w:rsidRPr="0016385E">
        <w:t>) continuing to adopt a human rights</w:t>
      </w:r>
      <w:r w:rsidR="00417FDE" w:rsidRPr="0016385E">
        <w:t>-</w:t>
      </w:r>
      <w:r w:rsidR="009D6AC0" w:rsidRPr="0016385E">
        <w:t xml:space="preserve">based approach leveraging our engagement with the </w:t>
      </w:r>
      <w:r w:rsidR="00417FDE" w:rsidRPr="0016385E">
        <w:t xml:space="preserve">United Nations Peacebuilding Fund </w:t>
      </w:r>
      <w:r w:rsidR="00595042" w:rsidRPr="0016385E">
        <w:t>th</w:t>
      </w:r>
      <w:r w:rsidR="006F68DB" w:rsidRPr="0016385E">
        <w:t xml:space="preserve">rough seven </w:t>
      </w:r>
      <w:r w:rsidR="009D6AC0" w:rsidRPr="0016385E">
        <w:t>active projects</w:t>
      </w:r>
      <w:r w:rsidR="00885447">
        <w:t xml:space="preserve"> – </w:t>
      </w:r>
      <w:r w:rsidR="009D6AC0" w:rsidRPr="0016385E">
        <w:t xml:space="preserve">for a total budget of </w:t>
      </w:r>
      <w:r w:rsidR="00417FDE" w:rsidRPr="0016385E">
        <w:t>$</w:t>
      </w:r>
      <w:r w:rsidR="009D6AC0" w:rsidRPr="0016385E">
        <w:t>7</w:t>
      </w:r>
      <w:r w:rsidR="00417FDE" w:rsidRPr="0016385E">
        <w:t>.</w:t>
      </w:r>
      <w:r w:rsidR="009D6AC0" w:rsidRPr="0016385E">
        <w:t>5 million</w:t>
      </w:r>
      <w:r w:rsidR="00885447">
        <w:t xml:space="preserve"> –</w:t>
      </w:r>
      <w:r w:rsidR="009D6AC0" w:rsidRPr="0016385E">
        <w:t xml:space="preserve"> </w:t>
      </w:r>
      <w:r w:rsidR="00885447">
        <w:t>to</w:t>
      </w:r>
      <w:r w:rsidR="00885447" w:rsidRPr="0016385E">
        <w:t xml:space="preserve"> </w:t>
      </w:r>
      <w:r w:rsidR="009D6AC0" w:rsidRPr="0016385E">
        <w:t>consolidat</w:t>
      </w:r>
      <w:r w:rsidR="00885447">
        <w:t>e</w:t>
      </w:r>
      <w:r w:rsidR="009D6AC0" w:rsidRPr="0016385E">
        <w:t xml:space="preserve"> peace,</w:t>
      </w:r>
      <w:r w:rsidR="00DC7583" w:rsidRPr="0016385E">
        <w:t xml:space="preserve"> </w:t>
      </w:r>
      <w:r w:rsidR="009D6AC0" w:rsidRPr="0016385E">
        <w:t xml:space="preserve">social cohesion and </w:t>
      </w:r>
      <w:r w:rsidR="003D30DA" w:rsidRPr="0016385E">
        <w:t>women</w:t>
      </w:r>
      <w:r w:rsidR="00417FDE" w:rsidRPr="0016385E">
        <w:t>’s</w:t>
      </w:r>
      <w:r w:rsidR="003D30DA" w:rsidRPr="0016385E">
        <w:t xml:space="preserve"> </w:t>
      </w:r>
      <w:r w:rsidR="009D6AC0" w:rsidRPr="0016385E">
        <w:t>empowerment</w:t>
      </w:r>
      <w:r w:rsidR="00417FDE" w:rsidRPr="0016385E">
        <w:t>,</w:t>
      </w:r>
      <w:r w:rsidR="009D6AC0" w:rsidRPr="0016385E">
        <w:t xml:space="preserve"> jointly with other </w:t>
      </w:r>
      <w:r w:rsidR="00417FDE" w:rsidRPr="0016385E">
        <w:t>United Nations organizations</w:t>
      </w:r>
      <w:r w:rsidR="008843A2" w:rsidRPr="0016385E">
        <w:t>.</w:t>
      </w:r>
    </w:p>
    <w:p w14:paraId="1CE27936" w14:textId="1CAD2E7D" w:rsidR="00672D22" w:rsidRPr="0016385E" w:rsidRDefault="00B501A6" w:rsidP="00B501A6">
      <w:pPr>
        <w:pStyle w:val="ListParagraph"/>
        <w:spacing w:after="60"/>
        <w:ind w:left="1080" w:right="1224"/>
        <w:jc w:val="both"/>
      </w:pPr>
      <w:r>
        <w:t>16.</w:t>
      </w:r>
      <w:r>
        <w:tab/>
      </w:r>
      <w:r w:rsidR="00AC4947" w:rsidRPr="0016385E">
        <w:t xml:space="preserve">The </w:t>
      </w:r>
      <w:r w:rsidR="00C04E20" w:rsidRPr="0016385E">
        <w:t>c</w:t>
      </w:r>
      <w:r w:rsidR="00AC4947" w:rsidRPr="0016385E">
        <w:t xml:space="preserve">ountry </w:t>
      </w:r>
      <w:r w:rsidR="00C04E20" w:rsidRPr="0016385E">
        <w:t>p</w:t>
      </w:r>
      <w:r w:rsidR="00AC4947" w:rsidRPr="0016385E">
        <w:t>rogramme seeks to strengthen sustainable development in Madagascar with poverty and inequality reduction within a strong governance framework</w:t>
      </w:r>
      <w:r w:rsidR="00885447">
        <w:t>,</w:t>
      </w:r>
      <w:r w:rsidR="00AC4947" w:rsidRPr="0016385E">
        <w:t xml:space="preserve"> allowing efficient management of the environment and natural resources for</w:t>
      </w:r>
      <w:r w:rsidR="00541E1D" w:rsidRPr="0016385E">
        <w:t xml:space="preserve"> </w:t>
      </w:r>
      <w:r w:rsidR="00AC4947" w:rsidRPr="0016385E">
        <w:t>inclusive growth and shared prosperity</w:t>
      </w:r>
      <w:r w:rsidR="00455D8A" w:rsidRPr="0016385E">
        <w:t>.</w:t>
      </w:r>
      <w:r w:rsidR="00A74AC5" w:rsidRPr="0016385E">
        <w:t xml:space="preserve"> This</w:t>
      </w:r>
      <w:r w:rsidR="00AC4947" w:rsidRPr="0016385E">
        <w:t xml:space="preserve"> </w:t>
      </w:r>
      <w:r w:rsidR="00C04E20" w:rsidRPr="0016385E">
        <w:t xml:space="preserve">will be achieved </w:t>
      </w:r>
      <w:r w:rsidR="00AC4947" w:rsidRPr="0016385E">
        <w:t>in partnership with U</w:t>
      </w:r>
      <w:r w:rsidR="00C04E20" w:rsidRPr="0016385E">
        <w:t>nited Nations</w:t>
      </w:r>
      <w:r w:rsidR="00AC4947" w:rsidRPr="0016385E">
        <w:t xml:space="preserve"> system </w:t>
      </w:r>
      <w:r w:rsidR="00C04E20" w:rsidRPr="0016385E">
        <w:t xml:space="preserve">organizations </w:t>
      </w:r>
      <w:r w:rsidR="00AC4947" w:rsidRPr="0016385E">
        <w:t xml:space="preserve">including </w:t>
      </w:r>
      <w:r w:rsidR="00C04E20" w:rsidRPr="0016385E">
        <w:t>the Food and Agriculture Organization (FAO)</w:t>
      </w:r>
      <w:r w:rsidR="00075793">
        <w:t>,</w:t>
      </w:r>
      <w:r w:rsidR="00C04E20" w:rsidRPr="0016385E">
        <w:t xml:space="preserve"> the Internat</w:t>
      </w:r>
      <w:r w:rsidR="00075793">
        <w:t>ional Labour Organization (ILO),</w:t>
      </w:r>
      <w:r w:rsidR="00C04E20" w:rsidRPr="0016385E">
        <w:t xml:space="preserve"> the United N</w:t>
      </w:r>
      <w:r w:rsidR="00075793">
        <w:t>ations Capital Development Fund,</w:t>
      </w:r>
      <w:r w:rsidR="00C04E20" w:rsidRPr="0016385E">
        <w:t xml:space="preserve"> the United Nations Educational, Scientific and Cultural Organization (UNESCO</w:t>
      </w:r>
      <w:r w:rsidR="00C04E20" w:rsidRPr="00882056">
        <w:rPr>
          <w:i/>
        </w:rPr>
        <w:t>)</w:t>
      </w:r>
      <w:r w:rsidR="00075793">
        <w:t>,</w:t>
      </w:r>
      <w:r w:rsidR="00C04E20" w:rsidRPr="0016385E">
        <w:t xml:space="preserve"> </w:t>
      </w:r>
      <w:r w:rsidR="00075793">
        <w:t>UNFPA,</w:t>
      </w:r>
      <w:r w:rsidR="00C04E20" w:rsidRPr="0016385E">
        <w:t xml:space="preserve"> the United Nations Children’s Fund (</w:t>
      </w:r>
      <w:r w:rsidR="00AC4947" w:rsidRPr="0016385E">
        <w:t>UNICEF</w:t>
      </w:r>
      <w:r w:rsidR="00075793">
        <w:t>),</w:t>
      </w:r>
      <w:r w:rsidR="00AC4947" w:rsidRPr="0016385E">
        <w:t xml:space="preserve"> </w:t>
      </w:r>
      <w:r w:rsidR="008C44B1" w:rsidRPr="0016385E">
        <w:t>and the United</w:t>
      </w:r>
      <w:r w:rsidR="00AC4947" w:rsidRPr="0016385E">
        <w:t xml:space="preserve"> </w:t>
      </w:r>
      <w:r w:rsidR="008C44B1" w:rsidRPr="0016385E">
        <w:t>Nations Industrial Development Organization</w:t>
      </w:r>
      <w:r w:rsidR="00075793">
        <w:t>;</w:t>
      </w:r>
      <w:r w:rsidR="00AC4947" w:rsidRPr="0016385E">
        <w:t xml:space="preserve"> with development partners including</w:t>
      </w:r>
      <w:r w:rsidR="008C44B1" w:rsidRPr="0016385E">
        <w:t xml:space="preserve"> the African Development Bank (</w:t>
      </w:r>
      <w:r w:rsidR="00075793">
        <w:t>AfD</w:t>
      </w:r>
      <w:r w:rsidR="00CC7002">
        <w:t>B</w:t>
      </w:r>
      <w:r w:rsidR="00075793">
        <w:t>),</w:t>
      </w:r>
      <w:r w:rsidR="00AC4947" w:rsidRPr="0016385E">
        <w:t xml:space="preserve"> </w:t>
      </w:r>
      <w:r w:rsidR="00075793">
        <w:t>the African Union, the European Union,</w:t>
      </w:r>
      <w:r w:rsidR="008C44B1" w:rsidRPr="0016385E">
        <w:t xml:space="preserve"> </w:t>
      </w:r>
      <w:r w:rsidR="00075793">
        <w:t>the World Bank,</w:t>
      </w:r>
      <w:r w:rsidR="008C44B1" w:rsidRPr="0016385E">
        <w:t xml:space="preserve"> and the International Monetary Fund</w:t>
      </w:r>
      <w:r w:rsidR="00075793">
        <w:rPr>
          <w:u w:val="single"/>
        </w:rPr>
        <w:t>;</w:t>
      </w:r>
      <w:r w:rsidR="00AC4947" w:rsidRPr="0016385E">
        <w:t xml:space="preserve"> bilateral </w:t>
      </w:r>
      <w:r w:rsidR="00075793">
        <w:t>partners</w:t>
      </w:r>
      <w:r w:rsidR="00E43503" w:rsidRPr="0016385E">
        <w:t xml:space="preserve"> </w:t>
      </w:r>
      <w:r w:rsidR="00AC4947" w:rsidRPr="0016385E">
        <w:t xml:space="preserve">such as France, </w:t>
      </w:r>
      <w:r w:rsidR="00E43503" w:rsidRPr="0016385E">
        <w:lastRenderedPageBreak/>
        <w:t>the German Development Agency (GIZ), and</w:t>
      </w:r>
      <w:r w:rsidR="00AC4947" w:rsidRPr="0016385E">
        <w:t xml:space="preserve"> </w:t>
      </w:r>
      <w:r w:rsidR="00E43503" w:rsidRPr="0016385E">
        <w:t xml:space="preserve">the </w:t>
      </w:r>
      <w:r w:rsidR="00E43503" w:rsidRPr="00882056">
        <w:t>United States Agency for International Development;</w:t>
      </w:r>
      <w:r w:rsidR="00AC4947" w:rsidRPr="0016385E">
        <w:t xml:space="preserve"> and a focus </w:t>
      </w:r>
      <w:r w:rsidR="00E43503" w:rsidRPr="0016385E">
        <w:t>o</w:t>
      </w:r>
      <w:r w:rsidR="00AC4947" w:rsidRPr="0016385E">
        <w:t xml:space="preserve">n South-South </w:t>
      </w:r>
      <w:r w:rsidR="00E43503" w:rsidRPr="0016385E">
        <w:t>c</w:t>
      </w:r>
      <w:r w:rsidR="00AC4947" w:rsidRPr="0016385E">
        <w:t xml:space="preserve">ooperation with India and Senegal. </w:t>
      </w:r>
      <w:r w:rsidR="00EC75DF" w:rsidRPr="0016385E">
        <w:t xml:space="preserve">In line with </w:t>
      </w:r>
      <w:r w:rsidR="00E43503" w:rsidRPr="00882056">
        <w:t>United Nations Sustainable Development Cooperation Framework</w:t>
      </w:r>
      <w:r w:rsidR="00E43503" w:rsidRPr="0016385E">
        <w:t xml:space="preserve"> </w:t>
      </w:r>
      <w:r w:rsidR="0088365A" w:rsidRPr="0016385E">
        <w:t xml:space="preserve">operational </w:t>
      </w:r>
      <w:r w:rsidR="00C63180" w:rsidRPr="0016385E">
        <w:t>principles</w:t>
      </w:r>
      <w:r w:rsidR="00547B8C" w:rsidRPr="0016385E">
        <w:t xml:space="preserve">, </w:t>
      </w:r>
      <w:r w:rsidR="002559AC" w:rsidRPr="0016385E">
        <w:t xml:space="preserve">the country programme will develop </w:t>
      </w:r>
      <w:r w:rsidR="00C63180" w:rsidRPr="0016385E">
        <w:t>coordinated</w:t>
      </w:r>
      <w:r w:rsidR="00E43503" w:rsidRPr="0016385E">
        <w:t xml:space="preserve"> and </w:t>
      </w:r>
      <w:r w:rsidR="00C63180" w:rsidRPr="0016385E">
        <w:t>j</w:t>
      </w:r>
      <w:r w:rsidR="00AC4947" w:rsidRPr="0016385E">
        <w:t xml:space="preserve">oint </w:t>
      </w:r>
      <w:r w:rsidR="00C63180" w:rsidRPr="0016385E">
        <w:t>p</w:t>
      </w:r>
      <w:r w:rsidR="00AC4947" w:rsidRPr="0016385E">
        <w:t>rogramm</w:t>
      </w:r>
      <w:r w:rsidR="001E7145" w:rsidRPr="0016385E">
        <w:t>es</w:t>
      </w:r>
      <w:r w:rsidR="00AC4947" w:rsidRPr="0016385E">
        <w:t xml:space="preserve"> to ensure that we plan, implement and are accountable together with other </w:t>
      </w:r>
      <w:r w:rsidR="00E43503" w:rsidRPr="0016385E">
        <w:t>United Nations organizations</w:t>
      </w:r>
      <w:r w:rsidR="00AC4947" w:rsidRPr="0016385E">
        <w:t xml:space="preserve">. The theory of change underlying the programmatic offer </w:t>
      </w:r>
      <w:r w:rsidR="00863E71" w:rsidRPr="0016385E">
        <w:t xml:space="preserve">posits </w:t>
      </w:r>
      <w:r w:rsidR="00AC4947" w:rsidRPr="0016385E">
        <w:t xml:space="preserve">that: </w:t>
      </w:r>
    </w:p>
    <w:p w14:paraId="443005DC" w14:textId="77777777" w:rsidR="00767115" w:rsidRDefault="00AD3889" w:rsidP="00767115">
      <w:pPr>
        <w:pStyle w:val="ListParagraph"/>
        <w:tabs>
          <w:tab w:val="left" w:pos="1800"/>
        </w:tabs>
        <w:spacing w:after="60"/>
        <w:ind w:left="1440" w:right="1224"/>
        <w:jc w:val="both"/>
      </w:pPr>
      <w:r w:rsidRPr="0016385E">
        <w:t>(a)</w:t>
      </w:r>
      <w:r w:rsidR="00863E71" w:rsidRPr="0016385E">
        <w:tab/>
      </w:r>
      <w:r w:rsidRPr="00882056">
        <w:rPr>
          <w:i/>
        </w:rPr>
        <w:t>If</w:t>
      </w:r>
      <w:r w:rsidRPr="0016385E">
        <w:t xml:space="preserve"> </w:t>
      </w:r>
      <w:r w:rsidRPr="00882056">
        <w:t>capacities, policies</w:t>
      </w:r>
      <w:r w:rsidR="00362DF7" w:rsidRPr="00882056">
        <w:t>,</w:t>
      </w:r>
      <w:r w:rsidRPr="00882056">
        <w:t xml:space="preserve"> and institutions for effective and inclusive governance of sustainable development</w:t>
      </w:r>
      <w:r w:rsidRPr="0016385E">
        <w:t xml:space="preserve"> are strengthened by building (i) </w:t>
      </w:r>
      <w:r w:rsidR="00863E71" w:rsidRPr="0016385E">
        <w:t xml:space="preserve">an </w:t>
      </w:r>
      <w:r w:rsidRPr="0016385E">
        <w:t>inclusive, transparent, accountable</w:t>
      </w:r>
      <w:r w:rsidR="00362DF7" w:rsidRPr="0016385E">
        <w:t>,</w:t>
      </w:r>
      <w:r w:rsidRPr="0016385E">
        <w:t xml:space="preserve"> and stable political system, (ii) </w:t>
      </w:r>
      <w:r w:rsidR="00DA1B72" w:rsidRPr="0016385E">
        <w:t xml:space="preserve">effective </w:t>
      </w:r>
      <w:r w:rsidRPr="0016385E">
        <w:t xml:space="preserve">economic development financing </w:t>
      </w:r>
      <w:r w:rsidR="00D33FEA" w:rsidRPr="0016385E">
        <w:t>mechanisms</w:t>
      </w:r>
      <w:r w:rsidR="00863E71" w:rsidRPr="00882056">
        <w:t>;</w:t>
      </w:r>
      <w:r w:rsidR="0092404F" w:rsidRPr="00882056">
        <w:t xml:space="preserve"> </w:t>
      </w:r>
    </w:p>
    <w:p w14:paraId="054140D8" w14:textId="2BFA867F" w:rsidR="00AD3889" w:rsidRPr="00882056" w:rsidRDefault="00767115" w:rsidP="00767115">
      <w:pPr>
        <w:pStyle w:val="ListParagraph"/>
        <w:tabs>
          <w:tab w:val="left" w:pos="1800"/>
        </w:tabs>
        <w:spacing w:after="60"/>
        <w:ind w:left="1440" w:right="1224"/>
        <w:jc w:val="both"/>
      </w:pPr>
      <w:r>
        <w:t xml:space="preserve">(b)  </w:t>
      </w:r>
      <w:r w:rsidR="00075793" w:rsidRPr="00767115">
        <w:rPr>
          <w:i/>
          <w:iCs/>
        </w:rPr>
        <w:t>I</w:t>
      </w:r>
      <w:r w:rsidR="00863E71" w:rsidRPr="00767115">
        <w:rPr>
          <w:i/>
          <w:iCs/>
        </w:rPr>
        <w:t>f</w:t>
      </w:r>
      <w:r w:rsidR="00AD3889" w:rsidRPr="00767115">
        <w:rPr>
          <w:i/>
          <w:iCs/>
        </w:rPr>
        <w:t xml:space="preserve"> </w:t>
      </w:r>
      <w:r w:rsidR="00AD3889" w:rsidRPr="0016385E">
        <w:t xml:space="preserve">performing, accountable and inclusive decentralized institutions are in place, and </w:t>
      </w:r>
      <w:r w:rsidR="005C08A5" w:rsidRPr="0016385E">
        <w:t xml:space="preserve">the </w:t>
      </w:r>
      <w:r w:rsidR="00AD3889" w:rsidRPr="0016385E">
        <w:t xml:space="preserve">judicial system </w:t>
      </w:r>
      <w:r w:rsidR="005541F9" w:rsidRPr="0016385E">
        <w:t xml:space="preserve">that </w:t>
      </w:r>
      <w:r w:rsidR="00AD3889" w:rsidRPr="0016385E">
        <w:t>respec</w:t>
      </w:r>
      <w:r w:rsidR="005541F9" w:rsidRPr="0016385E">
        <w:t>ts</w:t>
      </w:r>
      <w:r w:rsidR="00AD3889" w:rsidRPr="0016385E">
        <w:t xml:space="preserve"> human rights </w:t>
      </w:r>
      <w:r w:rsidR="00D44CB4" w:rsidRPr="0016385E">
        <w:t>and</w:t>
      </w:r>
      <w:r w:rsidR="00AD3889" w:rsidRPr="0016385E">
        <w:t xml:space="preserve"> fights against corruption is </w:t>
      </w:r>
      <w:r w:rsidR="0009555D" w:rsidRPr="0016385E">
        <w:t xml:space="preserve">strengthened and </w:t>
      </w:r>
      <w:r w:rsidR="005211D6" w:rsidRPr="0016385E">
        <w:t>operational</w:t>
      </w:r>
      <w:r w:rsidR="00863E71" w:rsidRPr="0016385E">
        <w:t>;</w:t>
      </w:r>
    </w:p>
    <w:p w14:paraId="5713F4CE" w14:textId="45EA7D18" w:rsidR="003709DE" w:rsidRPr="00882056" w:rsidRDefault="003709DE" w:rsidP="00882056">
      <w:pPr>
        <w:pStyle w:val="ListParagraph"/>
        <w:tabs>
          <w:tab w:val="left" w:pos="1800"/>
        </w:tabs>
        <w:spacing w:after="60"/>
        <w:ind w:left="1440" w:right="1224"/>
        <w:jc w:val="both"/>
      </w:pPr>
      <w:r w:rsidRPr="00882056">
        <w:t>(</w:t>
      </w:r>
      <w:r w:rsidR="00767115">
        <w:t>c</w:t>
      </w:r>
      <w:r w:rsidRPr="00882056">
        <w:t>)</w:t>
      </w:r>
      <w:r w:rsidR="00863E71" w:rsidRPr="00882056">
        <w:tab/>
      </w:r>
      <w:r w:rsidRPr="00882056">
        <w:rPr>
          <w:i/>
        </w:rPr>
        <w:t xml:space="preserve">If </w:t>
      </w:r>
      <w:r w:rsidRPr="00882056">
        <w:t xml:space="preserve">women, youth and rural people </w:t>
      </w:r>
      <w:r w:rsidR="00B179AC" w:rsidRPr="00882056">
        <w:t xml:space="preserve">are </w:t>
      </w:r>
      <w:r w:rsidR="00C705E2" w:rsidRPr="00882056">
        <w:t xml:space="preserve">empowered </w:t>
      </w:r>
      <w:r w:rsidR="002F3227" w:rsidRPr="00882056">
        <w:t xml:space="preserve">to develop innovative solutions </w:t>
      </w:r>
      <w:r w:rsidR="00C4189B" w:rsidRPr="00882056">
        <w:t>and have access to means for</w:t>
      </w:r>
      <w:r w:rsidR="00140D13" w:rsidRPr="00882056">
        <w:t xml:space="preserve"> jobs creation</w:t>
      </w:r>
      <w:r w:rsidR="00293819" w:rsidRPr="00882056">
        <w:t xml:space="preserve"> </w:t>
      </w:r>
      <w:r w:rsidRPr="00882056">
        <w:t>in the green and blue economy</w:t>
      </w:r>
      <w:r w:rsidR="00863E71" w:rsidRPr="00882056">
        <w:t xml:space="preserve"> sector</w:t>
      </w:r>
      <w:r w:rsidR="0030787A" w:rsidRPr="00882056">
        <w:t>,</w:t>
      </w:r>
      <w:r w:rsidRPr="00882056">
        <w:t xml:space="preserve"> and if </w:t>
      </w:r>
      <w:r w:rsidR="00AD4182" w:rsidRPr="00882056">
        <w:t>m</w:t>
      </w:r>
      <w:r w:rsidR="00C46586" w:rsidRPr="00882056">
        <w:t xml:space="preserve">easures </w:t>
      </w:r>
      <w:r w:rsidR="00AD4182" w:rsidRPr="00882056">
        <w:t xml:space="preserve">are </w:t>
      </w:r>
      <w:r w:rsidR="00C46586" w:rsidRPr="00882056">
        <w:t xml:space="preserve">in place to facilitate sustainable business opportunities for </w:t>
      </w:r>
      <w:r w:rsidR="00EB7348" w:rsidRPr="00882056">
        <w:t>i</w:t>
      </w:r>
      <w:r w:rsidR="00C46586" w:rsidRPr="00882056">
        <w:t>ndividuals and micro, small and medium-sized enterprise</w:t>
      </w:r>
      <w:r w:rsidR="00AD4182" w:rsidRPr="00882056">
        <w:t>s, contributing to rural economic diversification and transformation</w:t>
      </w:r>
      <w:r w:rsidR="00075793">
        <w:t>;</w:t>
      </w:r>
    </w:p>
    <w:p w14:paraId="4AC94C76" w14:textId="2A0D705C" w:rsidR="004206C1" w:rsidRPr="00882056" w:rsidRDefault="00C45C89" w:rsidP="00882056">
      <w:pPr>
        <w:pStyle w:val="ListParagraph"/>
        <w:tabs>
          <w:tab w:val="left" w:pos="1800"/>
        </w:tabs>
        <w:spacing w:after="60"/>
        <w:ind w:left="1440" w:right="1224"/>
        <w:jc w:val="both"/>
      </w:pPr>
      <w:r w:rsidRPr="0016385E">
        <w:t>(</w:t>
      </w:r>
      <w:r w:rsidR="00767115">
        <w:t>d</w:t>
      </w:r>
      <w:r w:rsidR="00103791" w:rsidRPr="0016385E">
        <w:t>)</w:t>
      </w:r>
      <w:r w:rsidR="00863E71" w:rsidRPr="0016385E">
        <w:tab/>
      </w:r>
      <w:r w:rsidR="00A53DEC" w:rsidRPr="00882056">
        <w:rPr>
          <w:i/>
        </w:rPr>
        <w:t>If</w:t>
      </w:r>
      <w:r w:rsidR="00A53DEC" w:rsidRPr="00882056">
        <w:t xml:space="preserve"> capacities of targeted communities, including women and youth</w:t>
      </w:r>
      <w:r w:rsidR="00863E71" w:rsidRPr="00882056">
        <w:t>,</w:t>
      </w:r>
      <w:r w:rsidR="00A53DEC" w:rsidRPr="00882056">
        <w:t xml:space="preserve"> are enhanced </w:t>
      </w:r>
      <w:bookmarkStart w:id="1" w:name="_Hlk68885874"/>
      <w:r w:rsidR="00A53DEC" w:rsidRPr="00882056">
        <w:t xml:space="preserve">to develop and practice </w:t>
      </w:r>
      <w:bookmarkEnd w:id="1"/>
      <w:r w:rsidR="00A53DEC" w:rsidRPr="00882056">
        <w:t>innovative solutions using clean technologies</w:t>
      </w:r>
      <w:r w:rsidR="00863E71" w:rsidRPr="00882056">
        <w:t>,</w:t>
      </w:r>
      <w:r w:rsidR="00A53DEC" w:rsidRPr="00882056">
        <w:t xml:space="preserve"> and if communities have access to factors of production (land, capital, water) and are able to sustainably manage natural resources, valuing natural capital and fostering alternative economic activities while adding value to natural resources and contributing to rural economic diversification and transformation</w:t>
      </w:r>
      <w:r w:rsidR="00075793">
        <w:t>;</w:t>
      </w:r>
    </w:p>
    <w:p w14:paraId="7ED49E38" w14:textId="2CC02F17" w:rsidR="00DF5339" w:rsidRPr="00882056" w:rsidRDefault="00863E71" w:rsidP="00863E71">
      <w:pPr>
        <w:pStyle w:val="ListParagraph"/>
        <w:tabs>
          <w:tab w:val="left" w:pos="1800"/>
        </w:tabs>
        <w:spacing w:after="120"/>
        <w:ind w:left="1440" w:right="1218"/>
        <w:jc w:val="both"/>
      </w:pPr>
      <w:r w:rsidRPr="0016385E">
        <w:tab/>
      </w:r>
      <w:r w:rsidR="00BB2235" w:rsidRPr="00882056">
        <w:rPr>
          <w:i/>
        </w:rPr>
        <w:t>T</w:t>
      </w:r>
      <w:r w:rsidR="00AD3889" w:rsidRPr="00882056">
        <w:rPr>
          <w:i/>
        </w:rPr>
        <w:t>hen</w:t>
      </w:r>
      <w:r w:rsidR="00AD3889" w:rsidRPr="0016385E">
        <w:t xml:space="preserve"> </w:t>
      </w:r>
      <w:r w:rsidR="0006038E" w:rsidRPr="0016385E">
        <w:t>the people of Madagascar</w:t>
      </w:r>
      <w:r w:rsidR="00AD3889" w:rsidRPr="0016385E">
        <w:t xml:space="preserve">, </w:t>
      </w:r>
      <w:r w:rsidR="00AD3889" w:rsidRPr="00882056">
        <w:t>including women and you</w:t>
      </w:r>
      <w:r w:rsidR="007960CB" w:rsidRPr="00882056">
        <w:t>th</w:t>
      </w:r>
      <w:r w:rsidR="00AD3889" w:rsidRPr="00882056">
        <w:t>,</w:t>
      </w:r>
      <w:r w:rsidR="0092404F" w:rsidRPr="00882056">
        <w:t xml:space="preserve"> </w:t>
      </w:r>
      <w:r w:rsidR="00AD3889" w:rsidRPr="0016385E">
        <w:t xml:space="preserve">will </w:t>
      </w:r>
      <w:r w:rsidR="00B41DDB" w:rsidRPr="0016385E">
        <w:t xml:space="preserve">enjoy </w:t>
      </w:r>
      <w:r w:rsidR="00EE0F53" w:rsidRPr="0016385E">
        <w:t>stabil</w:t>
      </w:r>
      <w:r w:rsidR="00601943" w:rsidRPr="0016385E">
        <w:t>ity</w:t>
      </w:r>
      <w:r w:rsidR="00AD3889" w:rsidRPr="0016385E">
        <w:t xml:space="preserve">, escaping the </w:t>
      </w:r>
      <w:r w:rsidR="0092404F" w:rsidRPr="0016385E">
        <w:t>repetitive cycle of political crises</w:t>
      </w:r>
      <w:r w:rsidR="00AD3889" w:rsidRPr="0016385E">
        <w:t xml:space="preserve">, in an environment characterized by </w:t>
      </w:r>
      <w:r w:rsidR="00E84934" w:rsidRPr="0016385E">
        <w:t xml:space="preserve">functioning </w:t>
      </w:r>
      <w:r w:rsidR="00AD3889" w:rsidRPr="0016385E">
        <w:t>rule of law and national cohesion</w:t>
      </w:r>
      <w:r w:rsidR="006820ED" w:rsidRPr="0016385E">
        <w:t>,</w:t>
      </w:r>
      <w:r w:rsidR="00AD3889" w:rsidRPr="0016385E">
        <w:t xml:space="preserve"> and</w:t>
      </w:r>
      <w:r w:rsidR="00AD3889" w:rsidRPr="00882056">
        <w:t xml:space="preserve"> will benefit from inclusive sustainable green and blue growth </w:t>
      </w:r>
      <w:r w:rsidR="00D83E75" w:rsidRPr="00882056">
        <w:t xml:space="preserve">and </w:t>
      </w:r>
      <w:r w:rsidR="00AD3889" w:rsidRPr="00882056">
        <w:t>more resilien</w:t>
      </w:r>
      <w:r w:rsidR="00971AB6" w:rsidRPr="00882056">
        <w:t>ce</w:t>
      </w:r>
      <w:r w:rsidR="00AD3889" w:rsidRPr="00882056">
        <w:t xml:space="preserve"> to the adverse effects of climate change and natural disasters. </w:t>
      </w:r>
    </w:p>
    <w:p w14:paraId="156C63D7" w14:textId="76D2B729" w:rsidR="007C1582" w:rsidRPr="0016385E" w:rsidRDefault="00C46699" w:rsidP="00BD1764">
      <w:pPr>
        <w:spacing w:after="120"/>
        <w:ind w:left="1080" w:right="1218"/>
        <w:jc w:val="both"/>
        <w:rPr>
          <w:b/>
          <w:bCs/>
        </w:rPr>
      </w:pPr>
      <w:r w:rsidRPr="0016385E">
        <w:rPr>
          <w:b/>
          <w:bCs/>
        </w:rPr>
        <w:t>Enhance good governance, the rule of law and security</w:t>
      </w:r>
      <w:r w:rsidR="009200D7" w:rsidRPr="0016385E">
        <w:rPr>
          <w:b/>
          <w:bCs/>
        </w:rPr>
        <w:t>.</w:t>
      </w:r>
    </w:p>
    <w:p w14:paraId="2AB247FB" w14:textId="140DD95F" w:rsidR="00AE7AE4" w:rsidRPr="0016385E" w:rsidRDefault="00B501A6" w:rsidP="00B501A6">
      <w:pPr>
        <w:pStyle w:val="ListParagraph"/>
        <w:spacing w:after="120"/>
        <w:ind w:left="1080" w:right="1218"/>
        <w:jc w:val="both"/>
      </w:pPr>
      <w:bookmarkStart w:id="2" w:name="_Hlk48576525"/>
      <w:r>
        <w:t>17.</w:t>
      </w:r>
      <w:r>
        <w:tab/>
      </w:r>
      <w:r w:rsidR="00C53A44" w:rsidRPr="0016385E">
        <w:t xml:space="preserve">Priority will be given to strengthening the political system to build stable governance institutions with strong legitimacy to break the cycle of political crises, with continuous support to building a transparent, inclusive, and effective electoral system beyond the electoral period. UNDP will continue </w:t>
      </w:r>
      <w:r w:rsidR="00075793">
        <w:t>to</w:t>
      </w:r>
      <w:r w:rsidR="00075793" w:rsidRPr="0016385E">
        <w:t xml:space="preserve"> </w:t>
      </w:r>
      <w:r w:rsidR="00C53A44" w:rsidRPr="0016385E">
        <w:t xml:space="preserve">support the </w:t>
      </w:r>
      <w:r w:rsidR="006D308F" w:rsidRPr="00882056">
        <w:t xml:space="preserve">independent </w:t>
      </w:r>
      <w:r w:rsidR="007B4C84" w:rsidRPr="0016385E">
        <w:t xml:space="preserve">national </w:t>
      </w:r>
      <w:r w:rsidR="006D308F" w:rsidRPr="00882056">
        <w:t>electoral commission</w:t>
      </w:r>
      <w:r w:rsidR="006D308F" w:rsidRPr="0016385E">
        <w:t xml:space="preserve"> </w:t>
      </w:r>
      <w:r w:rsidR="00AE7AE4" w:rsidRPr="0016385E">
        <w:t xml:space="preserve">and </w:t>
      </w:r>
      <w:r w:rsidR="00C53A44" w:rsidRPr="0016385E">
        <w:t xml:space="preserve">the </w:t>
      </w:r>
      <w:r w:rsidR="006D308F" w:rsidRPr="0016385E">
        <w:t>e</w:t>
      </w:r>
      <w:r w:rsidR="00C53A44" w:rsidRPr="0016385E">
        <w:t xml:space="preserve">lectoral </w:t>
      </w:r>
      <w:r w:rsidR="006D308F" w:rsidRPr="0016385E">
        <w:t>m</w:t>
      </w:r>
      <w:r w:rsidR="00C53A44" w:rsidRPr="0016385E">
        <w:t xml:space="preserve">anagement </w:t>
      </w:r>
      <w:r w:rsidR="006D308F" w:rsidRPr="0016385E">
        <w:t>b</w:t>
      </w:r>
      <w:r w:rsidR="00C53A44" w:rsidRPr="0016385E">
        <w:t>od</w:t>
      </w:r>
      <w:r w:rsidR="00337746" w:rsidRPr="0016385E">
        <w:t>ies</w:t>
      </w:r>
      <w:r w:rsidR="00AE7AE4" w:rsidRPr="0016385E">
        <w:t xml:space="preserve"> </w:t>
      </w:r>
      <w:r w:rsidR="00C53A44" w:rsidRPr="0016385E">
        <w:t xml:space="preserve">to modernize the electoral system </w:t>
      </w:r>
      <w:r w:rsidR="006D308F" w:rsidRPr="0016385E">
        <w:t xml:space="preserve">through </w:t>
      </w:r>
      <w:r w:rsidR="00C53A44" w:rsidRPr="0016385E">
        <w:t>better reliability of voter registration records, including align</w:t>
      </w:r>
      <w:r w:rsidR="005C4D3E" w:rsidRPr="0016385E">
        <w:t>ment</w:t>
      </w:r>
      <w:r w:rsidR="00C53A44" w:rsidRPr="0016385E">
        <w:t xml:space="preserve"> with the digitali</w:t>
      </w:r>
      <w:r w:rsidR="006D308F" w:rsidRPr="0016385E">
        <w:t>z</w:t>
      </w:r>
      <w:r w:rsidR="00C53A44" w:rsidRPr="0016385E">
        <w:t xml:space="preserve">ed and biometric national </w:t>
      </w:r>
      <w:r w:rsidR="00075793" w:rsidRPr="0016385E">
        <w:t>civil registr</w:t>
      </w:r>
      <w:r w:rsidR="00075793">
        <w:t>y</w:t>
      </w:r>
      <w:r w:rsidR="00075793" w:rsidRPr="0016385E">
        <w:t xml:space="preserve"> </w:t>
      </w:r>
      <w:r w:rsidR="00C53A44" w:rsidRPr="0016385E">
        <w:t xml:space="preserve">system supported by the </w:t>
      </w:r>
      <w:r w:rsidR="00BE11CC" w:rsidRPr="0016385E">
        <w:t>W</w:t>
      </w:r>
      <w:r w:rsidR="006D308F" w:rsidRPr="0016385E">
        <w:t>orld Bank</w:t>
      </w:r>
      <w:r w:rsidR="00BE11CC" w:rsidRPr="0016385E">
        <w:t>.</w:t>
      </w:r>
    </w:p>
    <w:p w14:paraId="3CF710C5" w14:textId="2BAFA0EB" w:rsidR="001F1438" w:rsidRPr="0016385E" w:rsidRDefault="00B501A6" w:rsidP="00B501A6">
      <w:pPr>
        <w:pStyle w:val="ListParagraph"/>
        <w:spacing w:after="120"/>
        <w:ind w:left="1080" w:right="1218"/>
        <w:jc w:val="both"/>
      </w:pPr>
      <w:r>
        <w:t>18.</w:t>
      </w:r>
      <w:r>
        <w:tab/>
      </w:r>
      <w:r w:rsidR="001F1438" w:rsidRPr="0016385E">
        <w:t xml:space="preserve">The programme will strengthen the parliamentary bodies in </w:t>
      </w:r>
      <w:r w:rsidR="003C358B" w:rsidRPr="0016385E">
        <w:t xml:space="preserve">their </w:t>
      </w:r>
      <w:r w:rsidR="00487BA8" w:rsidRPr="0016385E">
        <w:t>function</w:t>
      </w:r>
      <w:r w:rsidR="006D308F" w:rsidRPr="0016385E">
        <w:t>s</w:t>
      </w:r>
      <w:r w:rsidR="001F1438" w:rsidRPr="0016385E">
        <w:t>,</w:t>
      </w:r>
      <w:r w:rsidR="00487BA8" w:rsidRPr="0016385E">
        <w:t xml:space="preserve"> </w:t>
      </w:r>
      <w:r w:rsidR="001F1438" w:rsidRPr="0016385E">
        <w:t xml:space="preserve">including assessing public policies. Civic engagement and public participation in the </w:t>
      </w:r>
      <w:r w:rsidR="00FF0CEA" w:rsidRPr="0016385E">
        <w:t>law-making</w:t>
      </w:r>
      <w:r w:rsidR="001F1438" w:rsidRPr="0016385E">
        <w:t xml:space="preserve"> process will be supported to ensure the quality </w:t>
      </w:r>
      <w:r w:rsidR="006D308F" w:rsidRPr="0016385E">
        <w:t xml:space="preserve">and </w:t>
      </w:r>
      <w:r w:rsidR="001F1438" w:rsidRPr="0016385E">
        <w:t xml:space="preserve">relevance of laws and policies. </w:t>
      </w:r>
    </w:p>
    <w:p w14:paraId="535CFBC4" w14:textId="6BB43936" w:rsidR="00433F78" w:rsidRPr="0016385E" w:rsidRDefault="00B501A6" w:rsidP="00B501A6">
      <w:pPr>
        <w:pStyle w:val="ListParagraph"/>
        <w:spacing w:after="120"/>
        <w:ind w:left="1080" w:right="1218"/>
        <w:jc w:val="both"/>
      </w:pPr>
      <w:r>
        <w:t>19.</w:t>
      </w:r>
      <w:r>
        <w:tab/>
      </w:r>
      <w:r w:rsidR="00433F78" w:rsidRPr="0016385E">
        <w:t xml:space="preserve">UNDP will continue </w:t>
      </w:r>
      <w:r w:rsidR="00075793">
        <w:t>to</w:t>
      </w:r>
      <w:r w:rsidR="00075793" w:rsidRPr="0016385E">
        <w:t xml:space="preserve"> </w:t>
      </w:r>
      <w:r w:rsidR="00433F78" w:rsidRPr="0016385E">
        <w:t>support the decentralization process in collaboration with other development partners</w:t>
      </w:r>
      <w:r w:rsidR="006D308F" w:rsidRPr="0016385E">
        <w:t xml:space="preserve"> – the World Bank, the European Union</w:t>
      </w:r>
      <w:r w:rsidR="00433F78" w:rsidRPr="0016385E">
        <w:t xml:space="preserve">, </w:t>
      </w:r>
      <w:r w:rsidR="006D308F" w:rsidRPr="0016385E">
        <w:t xml:space="preserve">GIZ </w:t>
      </w:r>
      <w:r w:rsidR="00433F78" w:rsidRPr="0016385E">
        <w:t xml:space="preserve">and AfDB </w:t>
      </w:r>
      <w:r w:rsidR="006D308F" w:rsidRPr="0016385E">
        <w:t xml:space="preserve">– </w:t>
      </w:r>
      <w:r w:rsidR="00433F78" w:rsidRPr="0016385E">
        <w:t xml:space="preserve">around the national objectives </w:t>
      </w:r>
      <w:r w:rsidR="00087E89" w:rsidRPr="0016385E">
        <w:t>of</w:t>
      </w:r>
      <w:r w:rsidR="00433F78" w:rsidRPr="0016385E">
        <w:t xml:space="preserve"> territoriali</w:t>
      </w:r>
      <w:r w:rsidR="00087E89" w:rsidRPr="0016385E">
        <w:t>z</w:t>
      </w:r>
      <w:r w:rsidR="00075793">
        <w:t>ing</w:t>
      </w:r>
      <w:r w:rsidR="00433F78" w:rsidRPr="0016385E">
        <w:t xml:space="preserve"> public policies</w:t>
      </w:r>
      <w:r w:rsidR="00087E89" w:rsidRPr="0016385E">
        <w:t>,</w:t>
      </w:r>
      <w:r w:rsidR="00433F78" w:rsidRPr="0016385E">
        <w:t xml:space="preserve"> strengthening the capacities of decentralized local authorities</w:t>
      </w:r>
      <w:r w:rsidR="00087E89" w:rsidRPr="0016385E">
        <w:t>,</w:t>
      </w:r>
      <w:r w:rsidR="00433F78" w:rsidRPr="0016385E">
        <w:t xml:space="preserve"> and deconcentrat</w:t>
      </w:r>
      <w:r w:rsidR="00087E89" w:rsidRPr="0016385E">
        <w:t>ing</w:t>
      </w:r>
      <w:r w:rsidR="00433F78" w:rsidRPr="0016385E">
        <w:t xml:space="preserve"> services for the provision of </w:t>
      </w:r>
      <w:r w:rsidR="00087E89" w:rsidRPr="0016385E">
        <w:t>good-</w:t>
      </w:r>
      <w:r w:rsidR="00433F78" w:rsidRPr="0016385E">
        <w:t xml:space="preserve">quality </w:t>
      </w:r>
      <w:r w:rsidR="00075609" w:rsidRPr="0016385E">
        <w:t xml:space="preserve">basic </w:t>
      </w:r>
      <w:r w:rsidR="00433F78" w:rsidRPr="0016385E">
        <w:t>public services to the population.</w:t>
      </w:r>
    </w:p>
    <w:p w14:paraId="2E195668" w14:textId="507D7EF1" w:rsidR="00F20E5E" w:rsidRPr="0016385E" w:rsidRDefault="00B501A6" w:rsidP="00B501A6">
      <w:pPr>
        <w:pStyle w:val="ListParagraph"/>
        <w:spacing w:after="120"/>
        <w:ind w:left="1080" w:right="1218"/>
        <w:jc w:val="both"/>
      </w:pPr>
      <w:r>
        <w:t>20.</w:t>
      </w:r>
      <w:r>
        <w:tab/>
      </w:r>
      <w:r w:rsidR="00F20E5E" w:rsidRPr="0016385E">
        <w:t>UNDP support to the rule of law will centre on strengthening the independence, impartiality, and institutional capacities of the judicia</w:t>
      </w:r>
      <w:r w:rsidR="00087E89" w:rsidRPr="0016385E">
        <w:t>l</w:t>
      </w:r>
      <w:r w:rsidR="00F20E5E" w:rsidRPr="0016385E">
        <w:t xml:space="preserve"> system. </w:t>
      </w:r>
      <w:r w:rsidR="00211E9F">
        <w:t>The e</w:t>
      </w:r>
      <w:r w:rsidR="00F20E5E" w:rsidRPr="0016385E">
        <w:t xml:space="preserve">mphasis will be on </w:t>
      </w:r>
      <w:r w:rsidR="007129D5" w:rsidRPr="0016385E">
        <w:t xml:space="preserve">fighting </w:t>
      </w:r>
      <w:r w:rsidR="00F20E5E" w:rsidRPr="0016385E">
        <w:t xml:space="preserve">corruption, notably </w:t>
      </w:r>
      <w:r w:rsidR="007129D5" w:rsidRPr="0016385E">
        <w:t>preventing</w:t>
      </w:r>
      <w:r w:rsidR="00F20E5E" w:rsidRPr="0016385E">
        <w:t xml:space="preserve"> and </w:t>
      </w:r>
      <w:r w:rsidR="00087E89" w:rsidRPr="0016385E">
        <w:t xml:space="preserve">sanctioning </w:t>
      </w:r>
      <w:r w:rsidR="00377558" w:rsidRPr="0016385E">
        <w:t>offenses</w:t>
      </w:r>
      <w:r w:rsidR="00F20E5E" w:rsidRPr="0016385E">
        <w:t xml:space="preserve"> within</w:t>
      </w:r>
      <w:r w:rsidR="00517E16" w:rsidRPr="0016385E">
        <w:t xml:space="preserve"> and outside the</w:t>
      </w:r>
      <w:r w:rsidR="00F20E5E" w:rsidRPr="0016385E">
        <w:t xml:space="preserve"> justice sector. </w:t>
      </w:r>
      <w:r w:rsidR="002218D0" w:rsidRPr="0016385E">
        <w:t>H</w:t>
      </w:r>
      <w:r w:rsidR="00F20E5E" w:rsidRPr="0016385E">
        <w:t>uman rights-based and people-centred approach</w:t>
      </w:r>
      <w:r w:rsidR="00084199" w:rsidRPr="0016385E">
        <w:t>es</w:t>
      </w:r>
      <w:r w:rsidR="00F20E5E" w:rsidRPr="0016385E">
        <w:t xml:space="preserve"> will improve access to justice, </w:t>
      </w:r>
      <w:r w:rsidR="00927DAE" w:rsidRPr="0016385E">
        <w:t xml:space="preserve">including </w:t>
      </w:r>
      <w:r w:rsidR="00F20E5E" w:rsidRPr="0016385E">
        <w:t>fair trial and gender equality, accelerating judicia</w:t>
      </w:r>
      <w:r w:rsidR="00087E89" w:rsidRPr="0016385E">
        <w:t>l</w:t>
      </w:r>
      <w:r w:rsidR="00F20E5E" w:rsidRPr="0016385E">
        <w:t xml:space="preserve"> processes, and improving the conditions of </w:t>
      </w:r>
      <w:r w:rsidR="00F20E5E" w:rsidRPr="0016385E">
        <w:lastRenderedPageBreak/>
        <w:t xml:space="preserve">detention. UNDP will forge partnerships with the </w:t>
      </w:r>
      <w:r w:rsidR="00087E89" w:rsidRPr="0016385E">
        <w:t>European Union</w:t>
      </w:r>
      <w:r w:rsidR="00F20E5E" w:rsidRPr="0016385E">
        <w:t xml:space="preserve">, </w:t>
      </w:r>
      <w:r w:rsidR="00087E89" w:rsidRPr="0016385E">
        <w:t xml:space="preserve">the African Union, </w:t>
      </w:r>
      <w:r w:rsidR="00F20E5E" w:rsidRPr="0016385E">
        <w:t xml:space="preserve">France, </w:t>
      </w:r>
      <w:r w:rsidR="00087E89" w:rsidRPr="0016385E">
        <w:t xml:space="preserve">GIZ, </w:t>
      </w:r>
      <w:r w:rsidR="00F20E5E" w:rsidRPr="0016385E">
        <w:t xml:space="preserve">and </w:t>
      </w:r>
      <w:r w:rsidR="00985B0F" w:rsidRPr="0016385E">
        <w:t>U</w:t>
      </w:r>
      <w:r w:rsidR="00087E89" w:rsidRPr="0016385E">
        <w:t>nited Nations organizations</w:t>
      </w:r>
      <w:r w:rsidR="00F20E5E" w:rsidRPr="0016385E">
        <w:t xml:space="preserve"> to build </w:t>
      </w:r>
      <w:r w:rsidR="00087E89" w:rsidRPr="0016385E">
        <w:t xml:space="preserve">a </w:t>
      </w:r>
      <w:r w:rsidR="00F20E5E" w:rsidRPr="0016385E">
        <w:t>strong coalition to</w:t>
      </w:r>
      <w:r w:rsidR="00211E9F">
        <w:t>wards</w:t>
      </w:r>
      <w:r w:rsidR="00F20E5E" w:rsidRPr="0016385E">
        <w:t xml:space="preserve"> </w:t>
      </w:r>
      <w:r w:rsidR="004F3D23" w:rsidRPr="0016385E">
        <w:t>this end</w:t>
      </w:r>
      <w:r w:rsidR="00F20E5E" w:rsidRPr="0016385E">
        <w:t xml:space="preserve">. </w:t>
      </w:r>
    </w:p>
    <w:p w14:paraId="549031C3" w14:textId="0D7BEB4E" w:rsidR="002764DA" w:rsidRPr="0016385E" w:rsidRDefault="00B501A6" w:rsidP="00B501A6">
      <w:pPr>
        <w:pStyle w:val="ListParagraph"/>
        <w:spacing w:after="120"/>
        <w:ind w:left="1080" w:right="1218"/>
        <w:jc w:val="both"/>
      </w:pPr>
      <w:r>
        <w:t>21.</w:t>
      </w:r>
      <w:r>
        <w:tab/>
      </w:r>
      <w:r w:rsidR="002764DA" w:rsidRPr="0016385E">
        <w:t xml:space="preserve">Another priority will be support </w:t>
      </w:r>
      <w:r w:rsidR="00211E9F" w:rsidRPr="0016385E">
        <w:t xml:space="preserve">to </w:t>
      </w:r>
      <w:r w:rsidR="002764DA" w:rsidRPr="0016385E">
        <w:t xml:space="preserve">national governance systems </w:t>
      </w:r>
      <w:r w:rsidR="00087E89" w:rsidRPr="0016385E">
        <w:t xml:space="preserve">– </w:t>
      </w:r>
      <w:r w:rsidR="002764DA" w:rsidRPr="0016385E">
        <w:t xml:space="preserve">including the national response to </w:t>
      </w:r>
      <w:r w:rsidR="00EC49ED" w:rsidRPr="0016385E">
        <w:rPr>
          <w:shd w:val="clear" w:color="auto" w:fill="FFFFFF"/>
        </w:rPr>
        <w:t>COVID</w:t>
      </w:r>
      <w:r w:rsidR="00EC49ED" w:rsidRPr="0016385E">
        <w:t>-</w:t>
      </w:r>
      <w:r w:rsidR="002764DA" w:rsidRPr="0016385E">
        <w:t>19</w:t>
      </w:r>
      <w:r w:rsidR="00087E89" w:rsidRPr="0016385E">
        <w:t xml:space="preserve"> –</w:t>
      </w:r>
      <w:r w:rsidR="002764DA" w:rsidRPr="0016385E">
        <w:t>build</w:t>
      </w:r>
      <w:r w:rsidR="00A233CC" w:rsidRPr="0016385E">
        <w:t>ing</w:t>
      </w:r>
      <w:r w:rsidR="002764DA" w:rsidRPr="0016385E">
        <w:t xml:space="preserve"> confidence in institutions</w:t>
      </w:r>
      <w:r w:rsidR="00775B58" w:rsidRPr="0016385E">
        <w:t xml:space="preserve"> and</w:t>
      </w:r>
      <w:r w:rsidR="002764DA" w:rsidRPr="0016385E">
        <w:t xml:space="preserve"> bridg</w:t>
      </w:r>
      <w:r w:rsidR="00A233CC" w:rsidRPr="0016385E">
        <w:t>ing</w:t>
      </w:r>
      <w:r w:rsidR="002764DA" w:rsidRPr="0016385E">
        <w:t xml:space="preserve"> the gap between </w:t>
      </w:r>
      <w:r w:rsidR="00087E89" w:rsidRPr="0016385E">
        <w:t xml:space="preserve">the people </w:t>
      </w:r>
      <w:r w:rsidR="002764DA" w:rsidRPr="0016385E">
        <w:t xml:space="preserve">and the State. This will entail supporting </w:t>
      </w:r>
      <w:r w:rsidR="00087E89" w:rsidRPr="0016385E">
        <w:t>s</w:t>
      </w:r>
      <w:r w:rsidR="00A233CC" w:rsidRPr="0016385E">
        <w:t>tate</w:t>
      </w:r>
      <w:r w:rsidR="002764DA" w:rsidRPr="0016385E">
        <w:t xml:space="preserve"> modernization through e-governance and digitalization of public administration to ensure continuity and effectiveness in deliver</w:t>
      </w:r>
      <w:r w:rsidR="00087E89" w:rsidRPr="0016385E">
        <w:t>ing</w:t>
      </w:r>
      <w:r w:rsidR="002764DA" w:rsidRPr="0016385E">
        <w:t xml:space="preserve"> essential services. </w:t>
      </w:r>
    </w:p>
    <w:p w14:paraId="4255EA24" w14:textId="2C15D199" w:rsidR="00992A63" w:rsidRPr="0016385E" w:rsidRDefault="00B501A6" w:rsidP="00B501A6">
      <w:pPr>
        <w:pStyle w:val="ListParagraph"/>
        <w:spacing w:after="120"/>
        <w:ind w:left="1080" w:right="1218"/>
        <w:jc w:val="both"/>
      </w:pPr>
      <w:r>
        <w:t>22.</w:t>
      </w:r>
      <w:r>
        <w:tab/>
      </w:r>
      <w:r w:rsidR="002764DA" w:rsidRPr="0016385E">
        <w:t>To enhance the governance of natural resources and biodiversity systems</w:t>
      </w:r>
      <w:r w:rsidR="000A1D4A" w:rsidRPr="0016385E">
        <w:t>,</w:t>
      </w:r>
      <w:r w:rsidR="002764DA" w:rsidRPr="0016385E">
        <w:t xml:space="preserve"> capacities of </w:t>
      </w:r>
      <w:r w:rsidR="006658C3" w:rsidRPr="0016385E">
        <w:t xml:space="preserve">key </w:t>
      </w:r>
      <w:r w:rsidR="008648E4" w:rsidRPr="0016385E">
        <w:t>a</w:t>
      </w:r>
      <w:r w:rsidR="006658C3" w:rsidRPr="0016385E">
        <w:t xml:space="preserve">ctors </w:t>
      </w:r>
      <w:r w:rsidR="002764DA" w:rsidRPr="0016385E">
        <w:t>will be strengthened to promote common understanding</w:t>
      </w:r>
      <w:r w:rsidR="00BD174D" w:rsidRPr="0016385E">
        <w:t xml:space="preserve"> </w:t>
      </w:r>
      <w:r w:rsidR="00087E89" w:rsidRPr="0016385E">
        <w:t xml:space="preserve">of </w:t>
      </w:r>
      <w:r w:rsidR="002764DA" w:rsidRPr="0016385E">
        <w:t>the enforcement of laws and regulations</w:t>
      </w:r>
      <w:r w:rsidR="00B44276" w:rsidRPr="0016385E">
        <w:t>, as well as respecting communities</w:t>
      </w:r>
      <w:r w:rsidR="00FF510F" w:rsidRPr="0016385E">
        <w:t>’ rights.</w:t>
      </w:r>
      <w:r w:rsidR="00D50082" w:rsidRPr="0016385E">
        <w:t xml:space="preserve"> </w:t>
      </w:r>
      <w:r w:rsidR="00087E89" w:rsidRPr="0016385E">
        <w:t xml:space="preserve"> </w:t>
      </w:r>
      <w:r w:rsidR="001F7F9E">
        <w:t>I</w:t>
      </w:r>
      <w:r w:rsidR="00F95C0D" w:rsidRPr="0016385E">
        <w:t>nstitutional</w:t>
      </w:r>
      <w:r w:rsidR="00B52114" w:rsidRPr="0016385E">
        <w:t xml:space="preserve"> </w:t>
      </w:r>
      <w:r w:rsidR="00F95C0D" w:rsidRPr="0016385E">
        <w:t>and legal framework</w:t>
      </w:r>
      <w:r w:rsidR="00087E89" w:rsidRPr="0016385E">
        <w:t>s</w:t>
      </w:r>
      <w:r w:rsidR="00F95C0D" w:rsidRPr="0016385E">
        <w:t xml:space="preserve"> </w:t>
      </w:r>
      <w:r w:rsidR="00D50082" w:rsidRPr="0016385E">
        <w:t xml:space="preserve">will be strengthened </w:t>
      </w:r>
      <w:r w:rsidR="00F95C0D" w:rsidRPr="0016385E">
        <w:t>for intersectoral coordination of environmental and climate management at central and decentralized levels.</w:t>
      </w:r>
    </w:p>
    <w:p w14:paraId="49DA4F77" w14:textId="5C55D133" w:rsidR="003831FF" w:rsidRPr="0016385E" w:rsidRDefault="00936DA2" w:rsidP="00BD1764">
      <w:pPr>
        <w:spacing w:after="120"/>
        <w:ind w:left="1080" w:right="1218"/>
        <w:jc w:val="both"/>
        <w:rPr>
          <w:b/>
          <w:bCs/>
        </w:rPr>
      </w:pPr>
      <w:r w:rsidRPr="0016385E">
        <w:rPr>
          <w:b/>
          <w:bCs/>
        </w:rPr>
        <w:t>Competitiveness of the economy through labour productivity and promotion of decent jobs</w:t>
      </w:r>
    </w:p>
    <w:bookmarkEnd w:id="2"/>
    <w:p w14:paraId="522A02FC" w14:textId="21F41C1B" w:rsidR="00646A35" w:rsidRPr="00FF0CEA" w:rsidRDefault="00B501A6" w:rsidP="00B501A6">
      <w:pPr>
        <w:pStyle w:val="ListParagraph"/>
        <w:spacing w:after="120"/>
        <w:ind w:left="1080" w:right="1218"/>
        <w:jc w:val="both"/>
        <w:rPr>
          <w:b/>
          <w:bCs/>
        </w:rPr>
      </w:pPr>
      <w:r>
        <w:t>23.</w:t>
      </w:r>
      <w:r>
        <w:tab/>
      </w:r>
      <w:r w:rsidR="00646A35" w:rsidRPr="00FF0CEA">
        <w:t>UNDP will support the Government in reducing income inequalities and underemployment through innovative entrepreneurship and development of income and employment opportunities for vulnerable populations living in extreme poverty</w:t>
      </w:r>
      <w:r w:rsidR="005E305F">
        <w:t>.</w:t>
      </w:r>
      <w:r w:rsidR="00646A35" w:rsidRPr="00FF0CEA">
        <w:t xml:space="preserve"> </w:t>
      </w:r>
      <w:r w:rsidR="00211E9F" w:rsidRPr="00FF0CEA">
        <w:t>D</w:t>
      </w:r>
      <w:r w:rsidR="00646A35" w:rsidRPr="00FF0CEA">
        <w:t xml:space="preserve">evelopment and improvement of the entrepreneurial environment will be supported </w:t>
      </w:r>
      <w:r w:rsidR="00211E9F" w:rsidRPr="00FF0CEA">
        <w:t>by promoting</w:t>
      </w:r>
      <w:r w:rsidR="00646A35" w:rsidRPr="00FF0CEA">
        <w:t xml:space="preserve"> promising value chains specific to </w:t>
      </w:r>
      <w:r w:rsidR="001327ED" w:rsidRPr="00FF0CEA">
        <w:t>intervention areas</w:t>
      </w:r>
      <w:r w:rsidR="00211E9F" w:rsidRPr="00FF0CEA">
        <w:t>,</w:t>
      </w:r>
      <w:r w:rsidR="00CB3E09" w:rsidRPr="00FF0CEA">
        <w:t xml:space="preserve"> </w:t>
      </w:r>
      <w:r w:rsidR="00211E9F" w:rsidRPr="00FF0CEA">
        <w:t xml:space="preserve">while </w:t>
      </w:r>
      <w:r w:rsidR="00CB3E09" w:rsidRPr="00FF0CEA">
        <w:t xml:space="preserve">addressing </w:t>
      </w:r>
      <w:r w:rsidR="00C15398" w:rsidRPr="00FF0CEA">
        <w:t>key barriers to women</w:t>
      </w:r>
      <w:r w:rsidR="001E5AC6" w:rsidRPr="00FF0CEA">
        <w:t>’s</w:t>
      </w:r>
      <w:r w:rsidR="00C15398" w:rsidRPr="00FF0CEA">
        <w:t xml:space="preserve"> entrepreneurship</w:t>
      </w:r>
      <w:r w:rsidR="00646A35" w:rsidRPr="00FF0CEA">
        <w:t xml:space="preserve">. </w:t>
      </w:r>
    </w:p>
    <w:p w14:paraId="3BC28CE3" w14:textId="3B34F7D7" w:rsidR="00646A35" w:rsidRPr="0016385E" w:rsidRDefault="00B501A6" w:rsidP="00B501A6">
      <w:pPr>
        <w:pStyle w:val="ListParagraph"/>
        <w:spacing w:after="120"/>
        <w:ind w:left="1080" w:right="1218"/>
        <w:jc w:val="both"/>
      </w:pPr>
      <w:r>
        <w:t>24.</w:t>
      </w:r>
      <w:r>
        <w:tab/>
      </w:r>
      <w:r w:rsidR="00646A35" w:rsidRPr="0016385E">
        <w:t>The programme will promote eco-innovative incubators for the emergence of start-ups in the green and blue econom</w:t>
      </w:r>
      <w:r w:rsidR="00371E5B" w:rsidRPr="0016385E">
        <w:t>y</w:t>
      </w:r>
      <w:r w:rsidR="001C1813" w:rsidRPr="0016385E">
        <w:t>,</w:t>
      </w:r>
      <w:r w:rsidR="00646A35" w:rsidRPr="0016385E">
        <w:t xml:space="preserve"> taking into account achievements in ecologically rational access to natural resources</w:t>
      </w:r>
      <w:r w:rsidR="001E5AC6" w:rsidRPr="0016385E">
        <w:t>;</w:t>
      </w:r>
      <w:r w:rsidR="00646A35" w:rsidRPr="0016385E">
        <w:t xml:space="preserve"> alternative use of </w:t>
      </w:r>
      <w:r w:rsidR="001E5AC6" w:rsidRPr="0016385E">
        <w:t xml:space="preserve">resources </w:t>
      </w:r>
      <w:r w:rsidR="00646A35" w:rsidRPr="0016385E">
        <w:t>in value chains</w:t>
      </w:r>
      <w:r w:rsidR="001E5AC6" w:rsidRPr="0016385E">
        <w:t>;</w:t>
      </w:r>
      <w:r w:rsidR="00646A35" w:rsidRPr="0016385E">
        <w:t xml:space="preserve"> enhancement of natural capital</w:t>
      </w:r>
      <w:r w:rsidR="001E5AC6" w:rsidRPr="0016385E">
        <w:t>;</w:t>
      </w:r>
      <w:r w:rsidR="00646A35" w:rsidRPr="0016385E">
        <w:t xml:space="preserve"> </w:t>
      </w:r>
      <w:r w:rsidR="001E5AC6" w:rsidRPr="0016385E">
        <w:t>and</w:t>
      </w:r>
      <w:r w:rsidR="00646A35" w:rsidRPr="0016385E">
        <w:t xml:space="preserve"> innovative ideas in key sectors. </w:t>
      </w:r>
      <w:r w:rsidR="00941907" w:rsidRPr="0016385E">
        <w:t>UNDP will use the social protection scheme to encourage transition to green and blue job</w:t>
      </w:r>
      <w:r w:rsidR="00211E9F">
        <w:t>s</w:t>
      </w:r>
      <w:r w:rsidR="00941907" w:rsidRPr="0016385E">
        <w:t xml:space="preserve"> and discourage harmful environmental practices.</w:t>
      </w:r>
    </w:p>
    <w:p w14:paraId="3C9BB711" w14:textId="5DC16857" w:rsidR="00E32EDA" w:rsidRPr="0016385E" w:rsidRDefault="00B501A6" w:rsidP="00B501A6">
      <w:pPr>
        <w:pStyle w:val="ListParagraph"/>
        <w:spacing w:after="120"/>
        <w:ind w:left="1080" w:right="1218"/>
        <w:jc w:val="both"/>
        <w:rPr>
          <w:b/>
          <w:bCs/>
        </w:rPr>
      </w:pPr>
      <w:r>
        <w:t>25.</w:t>
      </w:r>
      <w:r>
        <w:tab/>
      </w:r>
      <w:r w:rsidR="00646A35" w:rsidRPr="0016385E">
        <w:t xml:space="preserve">To enhance human capital productivity, UNDP will focus on </w:t>
      </w:r>
      <w:r w:rsidR="00A95E71" w:rsidRPr="0016385E">
        <w:t xml:space="preserve">the creation of </w:t>
      </w:r>
      <w:r w:rsidR="00646A35" w:rsidRPr="0016385E">
        <w:t>decent jobs</w:t>
      </w:r>
      <w:r w:rsidR="00AE18B4" w:rsidRPr="0016385E">
        <w:t xml:space="preserve"> </w:t>
      </w:r>
      <w:r w:rsidR="00646A35" w:rsidRPr="0016385E">
        <w:t>and support to the informal sector through capacity</w:t>
      </w:r>
      <w:r w:rsidR="006D308F" w:rsidRPr="0016385E">
        <w:t>-</w:t>
      </w:r>
      <w:r w:rsidR="00646A35" w:rsidRPr="0016385E">
        <w:t xml:space="preserve">building of individuals and </w:t>
      </w:r>
      <w:r w:rsidR="006D308F" w:rsidRPr="00882056">
        <w:t xml:space="preserve">medium, </w:t>
      </w:r>
      <w:r w:rsidR="00152067" w:rsidRPr="00882056">
        <w:t>small,</w:t>
      </w:r>
      <w:r w:rsidR="006D308F" w:rsidRPr="00882056">
        <w:t xml:space="preserve"> and micro enterprises/industries</w:t>
      </w:r>
      <w:r w:rsidR="001E5AC6" w:rsidRPr="00882056">
        <w:t>,</w:t>
      </w:r>
      <w:r w:rsidR="00B936CA" w:rsidRPr="0016385E">
        <w:t xml:space="preserve"> </w:t>
      </w:r>
      <w:r w:rsidR="00646A35" w:rsidRPr="0016385E">
        <w:t xml:space="preserve">and </w:t>
      </w:r>
      <w:r w:rsidR="00B936CA" w:rsidRPr="0016385E">
        <w:t xml:space="preserve">the </w:t>
      </w:r>
      <w:r w:rsidR="00646A35" w:rsidRPr="0016385E">
        <w:t xml:space="preserve">formalization of </w:t>
      </w:r>
      <w:r w:rsidR="00B936CA" w:rsidRPr="0016385E">
        <w:t xml:space="preserve">their </w:t>
      </w:r>
      <w:r w:rsidR="00646A35" w:rsidRPr="0016385E">
        <w:t xml:space="preserve">economic activities. To </w:t>
      </w:r>
      <w:r w:rsidR="001E5AC6" w:rsidRPr="0016385E">
        <w:t>that</w:t>
      </w:r>
      <w:r w:rsidR="00646A35" w:rsidRPr="0016385E">
        <w:t xml:space="preserve"> end, UNDP will collaborate with ILO and the W</w:t>
      </w:r>
      <w:r w:rsidR="006D308F" w:rsidRPr="0016385E">
        <w:t xml:space="preserve">orld </w:t>
      </w:r>
      <w:r w:rsidR="00646A35" w:rsidRPr="0016385E">
        <w:t>B</w:t>
      </w:r>
      <w:r w:rsidR="006D308F" w:rsidRPr="0016385E">
        <w:t>ank</w:t>
      </w:r>
      <w:r w:rsidR="00646A35" w:rsidRPr="0016385E">
        <w:t>.</w:t>
      </w:r>
    </w:p>
    <w:p w14:paraId="58E6303C" w14:textId="06AFBA02" w:rsidR="00F95C0D" w:rsidRPr="0016385E" w:rsidRDefault="007133DF" w:rsidP="00BD1764">
      <w:pPr>
        <w:spacing w:after="120"/>
        <w:ind w:left="1080" w:right="1218"/>
        <w:jc w:val="both"/>
        <w:rPr>
          <w:b/>
          <w:bCs/>
        </w:rPr>
      </w:pPr>
      <w:r w:rsidRPr="0016385E">
        <w:rPr>
          <w:b/>
          <w:bCs/>
        </w:rPr>
        <w:t>Enhance sustainable, resilient, and inclusive environmental management</w:t>
      </w:r>
    </w:p>
    <w:p w14:paraId="03980A57" w14:textId="5444B456" w:rsidR="00DD4D59" w:rsidRPr="0016385E" w:rsidRDefault="00B501A6" w:rsidP="00B501A6">
      <w:pPr>
        <w:pStyle w:val="ListParagraph"/>
        <w:spacing w:after="120"/>
        <w:ind w:left="1080" w:right="1218"/>
        <w:jc w:val="both"/>
      </w:pPr>
      <w:r>
        <w:t>26.</w:t>
      </w:r>
      <w:r>
        <w:tab/>
      </w:r>
      <w:r w:rsidR="00433D7E" w:rsidRPr="0016385E">
        <w:t xml:space="preserve">UNDP will </w:t>
      </w:r>
      <w:r w:rsidR="007E073F" w:rsidRPr="0016385E">
        <w:t>prioriti</w:t>
      </w:r>
      <w:r w:rsidR="001E5AC6" w:rsidRPr="0016385E">
        <w:t>z</w:t>
      </w:r>
      <w:r w:rsidR="007E073F" w:rsidRPr="0016385E">
        <w:t>e the</w:t>
      </w:r>
      <w:r w:rsidR="00433D7E" w:rsidRPr="0016385E">
        <w:t xml:space="preserve"> </w:t>
      </w:r>
      <w:r w:rsidR="002A3DFE" w:rsidRPr="0016385E">
        <w:t>sustainable management of landscapes</w:t>
      </w:r>
      <w:r w:rsidR="001757B9" w:rsidRPr="0016385E">
        <w:t xml:space="preserve">, </w:t>
      </w:r>
      <w:r w:rsidR="002A3DFE" w:rsidRPr="0016385E">
        <w:t xml:space="preserve">including land-based and marine protected areas, labelled areas, </w:t>
      </w:r>
      <w:r w:rsidR="00FF0CEA" w:rsidRPr="0016385E">
        <w:t>wetlands,</w:t>
      </w:r>
      <w:r w:rsidR="001E5AC6" w:rsidRPr="0016385E">
        <w:t xml:space="preserve"> and</w:t>
      </w:r>
      <w:r w:rsidR="002A3DFE" w:rsidRPr="0016385E">
        <w:t xml:space="preserve"> watersheds, </w:t>
      </w:r>
      <w:r w:rsidR="00DD0DF9" w:rsidRPr="0016385E">
        <w:t xml:space="preserve">through </w:t>
      </w:r>
      <w:r w:rsidR="002A3DFE" w:rsidRPr="0016385E">
        <w:t>reforestation and prevention of wildland fire.</w:t>
      </w:r>
      <w:r w:rsidR="00570533" w:rsidRPr="0016385E">
        <w:t xml:space="preserve"> </w:t>
      </w:r>
      <w:r w:rsidR="00E327AE" w:rsidRPr="0016385E">
        <w:t xml:space="preserve">UNDP will </w:t>
      </w:r>
      <w:r w:rsidR="00B726D4">
        <w:t xml:space="preserve">finalize </w:t>
      </w:r>
      <w:r w:rsidR="00B726D4" w:rsidRPr="0016385E">
        <w:t>the creation of community-managed protected areas</w:t>
      </w:r>
      <w:r w:rsidR="00B726D4">
        <w:t>,</w:t>
      </w:r>
      <w:r w:rsidR="00D76BA8">
        <w:t xml:space="preserve"> </w:t>
      </w:r>
      <w:r w:rsidR="00B726D4">
        <w:t>and</w:t>
      </w:r>
      <w:r w:rsidR="00B726D4" w:rsidRPr="0016385E">
        <w:t xml:space="preserve"> </w:t>
      </w:r>
      <w:r w:rsidR="00E327AE" w:rsidRPr="0016385E">
        <w:t>support the</w:t>
      </w:r>
      <w:r w:rsidR="00D76BA8">
        <w:t xml:space="preserve"> </w:t>
      </w:r>
      <w:r w:rsidR="00E327AE" w:rsidRPr="0016385E">
        <w:t>formulation of the reforestation and fire management strategy</w:t>
      </w:r>
      <w:r w:rsidR="00211E9F">
        <w:t>,</w:t>
      </w:r>
      <w:r w:rsidR="00E327AE" w:rsidRPr="0016385E">
        <w:t xml:space="preserve"> </w:t>
      </w:r>
      <w:r w:rsidR="009B1509" w:rsidRPr="0016385E">
        <w:t>strengthen</w:t>
      </w:r>
      <w:r w:rsidR="00211E9F">
        <w:t>ing</w:t>
      </w:r>
      <w:r w:rsidR="009B1509" w:rsidRPr="0016385E">
        <w:t xml:space="preserve"> </w:t>
      </w:r>
      <w:r w:rsidR="00556DF6" w:rsidRPr="0016385E">
        <w:t xml:space="preserve">institutions and communities to </w:t>
      </w:r>
      <w:r w:rsidR="00ED154D" w:rsidRPr="0016385E">
        <w:t>use s</w:t>
      </w:r>
      <w:r w:rsidR="00556DF6" w:rsidRPr="0016385E">
        <w:t xml:space="preserve">patial </w:t>
      </w:r>
      <w:r w:rsidR="00ED154D" w:rsidRPr="0016385E">
        <w:t>m</w:t>
      </w:r>
      <w:r w:rsidR="00556DF6" w:rsidRPr="0016385E">
        <w:t xml:space="preserve">onitoring and </w:t>
      </w:r>
      <w:r w:rsidR="00ED154D" w:rsidRPr="0016385E">
        <w:t>r</w:t>
      </w:r>
      <w:r w:rsidR="00556DF6" w:rsidRPr="0016385E">
        <w:t xml:space="preserve">eporting </w:t>
      </w:r>
      <w:r w:rsidR="003C44EA" w:rsidRPr="0016385E">
        <w:t>t</w:t>
      </w:r>
      <w:r w:rsidR="00556DF6" w:rsidRPr="0016385E">
        <w:t>ool</w:t>
      </w:r>
      <w:r w:rsidR="003C44EA" w:rsidRPr="0016385E">
        <w:t>s</w:t>
      </w:r>
      <w:r w:rsidR="00D8333A" w:rsidRPr="0016385E">
        <w:t xml:space="preserve"> </w:t>
      </w:r>
      <w:r w:rsidR="00556DF6" w:rsidRPr="0016385E">
        <w:t>for protected area management</w:t>
      </w:r>
      <w:r w:rsidR="00D8333A" w:rsidRPr="0016385E">
        <w:t xml:space="preserve">. To </w:t>
      </w:r>
      <w:r w:rsidR="001E5AC6" w:rsidRPr="0016385E">
        <w:t>that</w:t>
      </w:r>
      <w:r w:rsidR="00D8333A" w:rsidRPr="0016385E">
        <w:t xml:space="preserve"> end, UNDP will collaborate with UNESCO</w:t>
      </w:r>
      <w:r w:rsidR="00AC519A">
        <w:t>.</w:t>
      </w:r>
      <w:r w:rsidR="00B67871" w:rsidRPr="0016385E">
        <w:t xml:space="preserve"> </w:t>
      </w:r>
    </w:p>
    <w:p w14:paraId="78D91A91" w14:textId="3BF25125" w:rsidR="00527352" w:rsidRPr="0016385E" w:rsidRDefault="00B501A6" w:rsidP="00B501A6">
      <w:pPr>
        <w:pStyle w:val="ListParagraph"/>
        <w:spacing w:after="120"/>
        <w:ind w:left="1080" w:right="1218"/>
        <w:jc w:val="both"/>
      </w:pPr>
      <w:r>
        <w:t>27.</w:t>
      </w:r>
      <w:r>
        <w:tab/>
      </w:r>
      <w:r w:rsidR="00527352" w:rsidRPr="0016385E">
        <w:t xml:space="preserve">UNDP will support </w:t>
      </w:r>
      <w:r w:rsidR="00926463" w:rsidRPr="0016385E">
        <w:t>communities</w:t>
      </w:r>
      <w:r w:rsidR="00084351" w:rsidRPr="0016385E">
        <w:t>’</w:t>
      </w:r>
      <w:r w:rsidR="00926463" w:rsidRPr="0016385E">
        <w:t xml:space="preserve"> </w:t>
      </w:r>
      <w:r w:rsidR="007B6C6A" w:rsidRPr="0016385E">
        <w:t xml:space="preserve">access </w:t>
      </w:r>
      <w:r w:rsidR="00527352" w:rsidRPr="0016385E">
        <w:t>to factors of production (land, capital, water) and promot</w:t>
      </w:r>
      <w:r w:rsidR="00FB63D4" w:rsidRPr="0016385E">
        <w:t>e</w:t>
      </w:r>
      <w:r w:rsidR="00527352" w:rsidRPr="0016385E">
        <w:t xml:space="preserve"> clean energy and </w:t>
      </w:r>
      <w:r w:rsidR="00782A17" w:rsidRPr="0016385E">
        <w:t xml:space="preserve">natural resources </w:t>
      </w:r>
      <w:r w:rsidR="00527352" w:rsidRPr="0016385E">
        <w:t>conservation. Th</w:t>
      </w:r>
      <w:r w:rsidR="00C33173" w:rsidRPr="0016385E">
        <w:t>e support</w:t>
      </w:r>
      <w:r w:rsidR="00527352" w:rsidRPr="0016385E">
        <w:t xml:space="preserve"> will be linked to </w:t>
      </w:r>
      <w:r w:rsidR="00C50FC4" w:rsidRPr="0016385E">
        <w:t>UNDP</w:t>
      </w:r>
      <w:r w:rsidR="00527352" w:rsidRPr="0016385E">
        <w:t xml:space="preserve"> efforts to promote innovative production technologies and processing techniques that are environmentally friendly and resilient</w:t>
      </w:r>
      <w:r w:rsidR="00A27BFF" w:rsidRPr="0016385E">
        <w:t xml:space="preserve"> </w:t>
      </w:r>
      <w:r w:rsidR="00527352" w:rsidRPr="0016385E">
        <w:t xml:space="preserve">in order to develop alternative economic activities and sustainable value chains. This will be complemented </w:t>
      </w:r>
      <w:r w:rsidR="00A233CC" w:rsidRPr="0016385E">
        <w:t>by</w:t>
      </w:r>
      <w:r w:rsidR="00111402" w:rsidRPr="0016385E">
        <w:t xml:space="preserve"> </w:t>
      </w:r>
      <w:r w:rsidR="00527352" w:rsidRPr="0016385E">
        <w:t xml:space="preserve">support to green jobs creation </w:t>
      </w:r>
      <w:r w:rsidR="00EB6D66" w:rsidRPr="0016385E">
        <w:t>through</w:t>
      </w:r>
      <w:r w:rsidR="00527352" w:rsidRPr="0016385E">
        <w:t xml:space="preserve"> </w:t>
      </w:r>
      <w:r w:rsidR="00752177" w:rsidRPr="0016385E">
        <w:t xml:space="preserve">the </w:t>
      </w:r>
      <w:r w:rsidR="00527352" w:rsidRPr="0016385E">
        <w:t>construction</w:t>
      </w:r>
      <w:r w:rsidR="00C33173" w:rsidRPr="0016385E">
        <w:t xml:space="preserve"> or </w:t>
      </w:r>
      <w:r w:rsidR="00527352" w:rsidRPr="0016385E">
        <w:t>rehabilitation of economic infrastructure</w:t>
      </w:r>
      <w:r w:rsidR="003661BE" w:rsidRPr="0016385E">
        <w:t>s</w:t>
      </w:r>
      <w:r w:rsidR="00C33173" w:rsidRPr="0016385E">
        <w:t>,</w:t>
      </w:r>
      <w:r w:rsidR="00563171" w:rsidRPr="0016385E">
        <w:rPr>
          <w:rStyle w:val="FootnoteReference"/>
        </w:rPr>
        <w:footnoteReference w:id="17"/>
      </w:r>
      <w:r w:rsidR="00C21315" w:rsidRPr="0016385E">
        <w:t xml:space="preserve"> </w:t>
      </w:r>
      <w:r w:rsidR="00A233CC" w:rsidRPr="0016385E">
        <w:t xml:space="preserve">opening </w:t>
      </w:r>
      <w:r w:rsidR="00527352" w:rsidRPr="0016385E">
        <w:t>economic opportunities around natural resources</w:t>
      </w:r>
      <w:r w:rsidR="00211E9F">
        <w:t>.</w:t>
      </w:r>
      <w:r w:rsidR="007F4FC0" w:rsidRPr="0016385E">
        <w:t xml:space="preserve"> </w:t>
      </w:r>
      <w:r w:rsidR="002D1EF2" w:rsidRPr="0016385E">
        <w:t xml:space="preserve">UNDP will </w:t>
      </w:r>
      <w:r w:rsidR="00F36501" w:rsidRPr="0016385E">
        <w:t xml:space="preserve">collaborate with </w:t>
      </w:r>
      <w:r w:rsidR="00C33173" w:rsidRPr="0016385E">
        <w:t>United Nations organizations</w:t>
      </w:r>
      <w:r w:rsidR="00F36501" w:rsidRPr="0016385E">
        <w:t xml:space="preserve"> </w:t>
      </w:r>
      <w:r w:rsidR="00C33173" w:rsidRPr="0016385E">
        <w:t>and will</w:t>
      </w:r>
      <w:r w:rsidR="00F36501" w:rsidRPr="0016385E">
        <w:t xml:space="preserve"> seek</w:t>
      </w:r>
      <w:r w:rsidR="008E643E" w:rsidRPr="0016385E">
        <w:t xml:space="preserve"> </w:t>
      </w:r>
      <w:r w:rsidR="00527352" w:rsidRPr="0016385E">
        <w:t xml:space="preserve">to continue </w:t>
      </w:r>
      <w:r w:rsidR="00C33173" w:rsidRPr="0016385E">
        <w:t>access</w:t>
      </w:r>
      <w:r w:rsidR="00221994">
        <w:t>ing</w:t>
      </w:r>
      <w:r w:rsidR="00527352" w:rsidRPr="0016385E">
        <w:t xml:space="preserve"> climate and environment finance, including </w:t>
      </w:r>
      <w:r w:rsidR="00C33173" w:rsidRPr="0016385E">
        <w:t xml:space="preserve">from </w:t>
      </w:r>
      <w:r w:rsidR="00527352" w:rsidRPr="0016385E">
        <w:t>the</w:t>
      </w:r>
      <w:r w:rsidR="006A2C29" w:rsidRPr="0016385E">
        <w:t xml:space="preserve"> </w:t>
      </w:r>
      <w:r w:rsidR="00C33173" w:rsidRPr="0016385E">
        <w:t>Global Environment Facility (</w:t>
      </w:r>
      <w:r w:rsidR="00527352" w:rsidRPr="0016385E">
        <w:t>GEF</w:t>
      </w:r>
      <w:r w:rsidR="00C33173" w:rsidRPr="0016385E">
        <w:t>)</w:t>
      </w:r>
      <w:r w:rsidR="00527352" w:rsidRPr="0016385E">
        <w:t>, the</w:t>
      </w:r>
      <w:r w:rsidR="006A2C29" w:rsidRPr="0016385E">
        <w:t xml:space="preserve"> </w:t>
      </w:r>
      <w:r w:rsidR="00C33173" w:rsidRPr="0016385E">
        <w:t>Green Climate Fund (</w:t>
      </w:r>
      <w:r w:rsidR="00527352" w:rsidRPr="0016385E">
        <w:t>GCF</w:t>
      </w:r>
      <w:r w:rsidR="00C33173" w:rsidRPr="0016385E">
        <w:t>)</w:t>
      </w:r>
      <w:r w:rsidR="006A2C29" w:rsidRPr="0016385E">
        <w:t xml:space="preserve"> </w:t>
      </w:r>
      <w:r w:rsidR="00527352" w:rsidRPr="0016385E">
        <w:t>and the Adaptation Fund</w:t>
      </w:r>
      <w:r w:rsidR="00A233CC" w:rsidRPr="0016385E">
        <w:t>.</w:t>
      </w:r>
    </w:p>
    <w:p w14:paraId="75D02475" w14:textId="5AD257EC" w:rsidR="004B1057" w:rsidRPr="0016385E" w:rsidRDefault="00B501A6" w:rsidP="00B501A6">
      <w:pPr>
        <w:pStyle w:val="ListParagraph"/>
        <w:spacing w:after="200"/>
        <w:ind w:left="1080" w:right="1218"/>
        <w:jc w:val="both"/>
      </w:pPr>
      <w:r>
        <w:t>28.</w:t>
      </w:r>
      <w:r>
        <w:tab/>
      </w:r>
      <w:r w:rsidR="00C33173" w:rsidRPr="0016385E">
        <w:t>T</w:t>
      </w:r>
      <w:r w:rsidR="009C7BB1" w:rsidRPr="0016385E">
        <w:t xml:space="preserve">o better cope with </w:t>
      </w:r>
      <w:r w:rsidR="00092696" w:rsidRPr="0016385E">
        <w:t xml:space="preserve">climate change and </w:t>
      </w:r>
      <w:r w:rsidR="00740D23" w:rsidRPr="0016385E">
        <w:t xml:space="preserve">disaster </w:t>
      </w:r>
      <w:r w:rsidR="00092696" w:rsidRPr="0016385E">
        <w:t>risk</w:t>
      </w:r>
      <w:r w:rsidR="00035B07" w:rsidRPr="0016385E">
        <w:t>s</w:t>
      </w:r>
      <w:r w:rsidR="00092696" w:rsidRPr="0016385E">
        <w:t xml:space="preserve">, UNDP </w:t>
      </w:r>
      <w:r w:rsidR="000F1BF5" w:rsidRPr="0016385E">
        <w:t xml:space="preserve">will collaborate with UNESCO and other </w:t>
      </w:r>
      <w:r w:rsidR="00C33173" w:rsidRPr="0016385E">
        <w:t>United Nations organizations</w:t>
      </w:r>
      <w:r w:rsidR="000F1BF5" w:rsidRPr="0016385E">
        <w:t xml:space="preserve"> to </w:t>
      </w:r>
      <w:r w:rsidR="002F6CD6" w:rsidRPr="0016385E">
        <w:t xml:space="preserve">support </w:t>
      </w:r>
      <w:r w:rsidR="009D2C0D" w:rsidRPr="0016385E">
        <w:t xml:space="preserve">development of tools </w:t>
      </w:r>
      <w:r w:rsidR="001449DA" w:rsidRPr="0016385E">
        <w:t xml:space="preserve">and </w:t>
      </w:r>
      <w:r w:rsidR="002F2852" w:rsidRPr="0016385E">
        <w:lastRenderedPageBreak/>
        <w:t xml:space="preserve">instruments </w:t>
      </w:r>
      <w:r w:rsidR="006E2F55" w:rsidRPr="0016385E">
        <w:t>for climate and disaster management</w:t>
      </w:r>
      <w:r w:rsidR="000F1BF5" w:rsidRPr="0016385E">
        <w:t>,</w:t>
      </w:r>
      <w:r w:rsidR="006E2F55" w:rsidRPr="0016385E">
        <w:t xml:space="preserve"> strengthen</w:t>
      </w:r>
      <w:r w:rsidR="00221994">
        <w:t>ing</w:t>
      </w:r>
      <w:r w:rsidR="006E2F55" w:rsidRPr="0016385E">
        <w:t xml:space="preserve"> </w:t>
      </w:r>
      <w:r w:rsidR="00D9532E" w:rsidRPr="0016385E">
        <w:t>n</w:t>
      </w:r>
      <w:r w:rsidR="006E2F55" w:rsidRPr="0016385E">
        <w:t xml:space="preserve">ational and </w:t>
      </w:r>
      <w:r w:rsidR="00D9532E" w:rsidRPr="0016385E">
        <w:t>l</w:t>
      </w:r>
      <w:r w:rsidR="006E2F55" w:rsidRPr="0016385E">
        <w:t xml:space="preserve">ocal </w:t>
      </w:r>
      <w:r w:rsidR="00D9532E" w:rsidRPr="0016385E">
        <w:t>i</w:t>
      </w:r>
      <w:r w:rsidR="006E2F55" w:rsidRPr="0016385E">
        <w:t>nstitutions</w:t>
      </w:r>
      <w:r w:rsidR="00687685" w:rsidRPr="0016385E">
        <w:t xml:space="preserve"> </w:t>
      </w:r>
      <w:r w:rsidR="00C33173" w:rsidRPr="0016385E">
        <w:t>to</w:t>
      </w:r>
      <w:r w:rsidR="003C061B" w:rsidRPr="0016385E">
        <w:t xml:space="preserve"> </w:t>
      </w:r>
      <w:r w:rsidR="00C33173" w:rsidRPr="0016385E">
        <w:t xml:space="preserve">create </w:t>
      </w:r>
      <w:r w:rsidR="00B41A70" w:rsidRPr="0016385E">
        <w:t>a</w:t>
      </w:r>
      <w:r w:rsidR="00687685" w:rsidRPr="0016385E">
        <w:t xml:space="preserve"> </w:t>
      </w:r>
      <w:r w:rsidR="00D9532E" w:rsidRPr="0016385E">
        <w:t>m</w:t>
      </w:r>
      <w:r w:rsidR="003C061B" w:rsidRPr="0016385E">
        <w:t>ulti-hazard</w:t>
      </w:r>
      <w:r w:rsidR="00C33173" w:rsidRPr="0016385E">
        <w:t>,</w:t>
      </w:r>
      <w:r w:rsidR="003C061B" w:rsidRPr="0016385E">
        <w:t xml:space="preserve"> people</w:t>
      </w:r>
      <w:r w:rsidR="00C33173" w:rsidRPr="0016385E">
        <w:t>-</w:t>
      </w:r>
      <w:r w:rsidR="00027583" w:rsidRPr="0016385E">
        <w:t>centred</w:t>
      </w:r>
      <w:r w:rsidR="003C061B" w:rsidRPr="0016385E">
        <w:t xml:space="preserve"> </w:t>
      </w:r>
      <w:r w:rsidR="00D9532E" w:rsidRPr="0016385E">
        <w:t>e</w:t>
      </w:r>
      <w:r w:rsidR="00027583" w:rsidRPr="0016385E">
        <w:t xml:space="preserve">arly </w:t>
      </w:r>
      <w:r w:rsidR="00D9532E" w:rsidRPr="0016385E">
        <w:t>w</w:t>
      </w:r>
      <w:r w:rsidR="00027583" w:rsidRPr="0016385E">
        <w:t xml:space="preserve">arning </w:t>
      </w:r>
      <w:r w:rsidR="00D9532E" w:rsidRPr="0016385E">
        <w:t>s</w:t>
      </w:r>
      <w:r w:rsidR="00027583" w:rsidRPr="0016385E">
        <w:t xml:space="preserve">ystem. </w:t>
      </w:r>
    </w:p>
    <w:p w14:paraId="47245FC4" w14:textId="77777777" w:rsidR="00250662" w:rsidRPr="0016385E" w:rsidRDefault="00250662" w:rsidP="004206C1">
      <w:pPr>
        <w:spacing w:after="200"/>
        <w:ind w:left="1080" w:right="1218" w:hanging="540"/>
        <w:jc w:val="both"/>
        <w:rPr>
          <w:b/>
          <w:bCs/>
          <w:sz w:val="24"/>
          <w:szCs w:val="24"/>
        </w:rPr>
      </w:pPr>
      <w:r w:rsidRPr="0016385E">
        <w:rPr>
          <w:b/>
          <w:bCs/>
          <w:sz w:val="24"/>
          <w:szCs w:val="24"/>
        </w:rPr>
        <w:t>III.</w:t>
      </w:r>
      <w:r w:rsidRPr="0016385E">
        <w:rPr>
          <w:b/>
          <w:bCs/>
          <w:sz w:val="24"/>
          <w:szCs w:val="24"/>
        </w:rPr>
        <w:tab/>
        <w:t xml:space="preserve">Programme and risk management </w:t>
      </w:r>
    </w:p>
    <w:p w14:paraId="4F67AC1A" w14:textId="1D7D0237" w:rsidR="008E6C38" w:rsidRPr="00CC7002" w:rsidRDefault="00B501A6" w:rsidP="00B501A6">
      <w:pPr>
        <w:pStyle w:val="ListParagraph"/>
        <w:spacing w:after="120"/>
        <w:ind w:left="1080" w:right="1218"/>
        <w:jc w:val="both"/>
      </w:pPr>
      <w:r>
        <w:t>29.</w:t>
      </w:r>
      <w:r>
        <w:tab/>
      </w:r>
      <w:r w:rsidR="008E6C38" w:rsidRPr="0016385E">
        <w:t>This country programme document outlines</w:t>
      </w:r>
      <w:r w:rsidR="00C33173" w:rsidRPr="0016385E">
        <w:t xml:space="preserve"> </w:t>
      </w:r>
      <w:r w:rsidR="008E6C38" w:rsidRPr="0016385E">
        <w:t>UNDP contributions to national results</w:t>
      </w:r>
      <w:r w:rsidR="00D506F6" w:rsidRPr="0016385E">
        <w:t>, includin</w:t>
      </w:r>
      <w:r w:rsidR="002E25C9" w:rsidRPr="0016385E">
        <w:t xml:space="preserve">g the </w:t>
      </w:r>
      <w:r w:rsidR="00E43503" w:rsidRPr="00882056">
        <w:t>United Nations Sustainable Development Cooperation Framework</w:t>
      </w:r>
      <w:r w:rsidR="002E25C9" w:rsidRPr="0016385E">
        <w:t xml:space="preserve"> </w:t>
      </w:r>
      <w:r w:rsidR="008E6C38" w:rsidRPr="0016385E">
        <w:t xml:space="preserve">and serves as the primary unit of accountability to the Executive Board for results alignment and resources assigned to the programme at </w:t>
      </w:r>
      <w:r w:rsidR="007466EC" w:rsidRPr="0016385E">
        <w:t>c</w:t>
      </w:r>
      <w:r w:rsidR="008E6C38" w:rsidRPr="0016385E">
        <w:t xml:space="preserve">ountry level. This </w:t>
      </w:r>
      <w:r w:rsidR="007466EC" w:rsidRPr="0016385E">
        <w:t xml:space="preserve">document </w:t>
      </w:r>
      <w:r w:rsidR="008E6C38" w:rsidRPr="0016385E">
        <w:t xml:space="preserve">is based on lessons </w:t>
      </w:r>
      <w:r w:rsidR="00221994">
        <w:t>from</w:t>
      </w:r>
      <w:r w:rsidR="00221994" w:rsidRPr="0016385E">
        <w:t xml:space="preserve"> </w:t>
      </w:r>
      <w:r w:rsidR="008E6C38" w:rsidRPr="0016385E">
        <w:t>the past program</w:t>
      </w:r>
      <w:r w:rsidR="007466EC" w:rsidRPr="0016385E">
        <w:t>me</w:t>
      </w:r>
      <w:r w:rsidR="008E6C38" w:rsidRPr="0016385E">
        <w:t xml:space="preserve"> and </w:t>
      </w:r>
      <w:r w:rsidR="00221994">
        <w:t>aims</w:t>
      </w:r>
      <w:r w:rsidR="00221994" w:rsidRPr="0016385E">
        <w:t xml:space="preserve"> </w:t>
      </w:r>
      <w:r w:rsidR="008E6C38" w:rsidRPr="0016385E">
        <w:t xml:space="preserve">to strengthen the achievements of UNDP in consultation with the Government of Madagascar. </w:t>
      </w:r>
      <w:r w:rsidR="00C62782" w:rsidRPr="0016385E">
        <w:t xml:space="preserve">Accountabilities of </w:t>
      </w:r>
      <w:r w:rsidR="007466EC" w:rsidRPr="0016385E">
        <w:t>m</w:t>
      </w:r>
      <w:r w:rsidR="009B7617" w:rsidRPr="0016385E">
        <w:t>anagers</w:t>
      </w:r>
      <w:r w:rsidR="00C94182" w:rsidRPr="0016385E">
        <w:t xml:space="preserve"> </w:t>
      </w:r>
      <w:r w:rsidR="008E6C38" w:rsidRPr="0016385E">
        <w:t>at</w:t>
      </w:r>
      <w:r w:rsidR="00C94182" w:rsidRPr="0016385E">
        <w:t xml:space="preserve"> </w:t>
      </w:r>
      <w:r w:rsidR="007466EC" w:rsidRPr="0016385E">
        <w:t>c</w:t>
      </w:r>
      <w:r w:rsidR="008E6C38" w:rsidRPr="0016385E">
        <w:t xml:space="preserve">ountry, </w:t>
      </w:r>
      <w:r w:rsidR="007466EC" w:rsidRPr="0016385E">
        <w:t>r</w:t>
      </w:r>
      <w:r w:rsidR="008E6C38" w:rsidRPr="0016385E">
        <w:t xml:space="preserve">egional and </w:t>
      </w:r>
      <w:r w:rsidR="007466EC" w:rsidRPr="0016385E">
        <w:t>h</w:t>
      </w:r>
      <w:r w:rsidR="008E6C38" w:rsidRPr="0016385E">
        <w:t>eadquarter</w:t>
      </w:r>
      <w:r w:rsidR="007466EC" w:rsidRPr="0016385E">
        <w:t>s</w:t>
      </w:r>
      <w:r w:rsidR="008E6C38" w:rsidRPr="0016385E">
        <w:t xml:space="preserve"> levels with respect to country programmes </w:t>
      </w:r>
      <w:r w:rsidR="00221994">
        <w:t>are</w:t>
      </w:r>
      <w:r w:rsidR="00221994" w:rsidRPr="0016385E">
        <w:t xml:space="preserve"> </w:t>
      </w:r>
      <w:r w:rsidR="008E6C38" w:rsidRPr="0016385E">
        <w:t>prescribed in the</w:t>
      </w:r>
      <w:r w:rsidR="00B27616" w:rsidRPr="0016385E">
        <w:t xml:space="preserve"> </w:t>
      </w:r>
      <w:r w:rsidR="00A30FDD" w:rsidRPr="0016385E">
        <w:t>P</w:t>
      </w:r>
      <w:r w:rsidR="008E6C38" w:rsidRPr="0016385E">
        <w:t xml:space="preserve">rogramme and </w:t>
      </w:r>
      <w:r w:rsidR="00A30FDD" w:rsidRPr="00CC7002">
        <w:t>O</w:t>
      </w:r>
      <w:r w:rsidR="008E6C38" w:rsidRPr="00CC7002">
        <w:t xml:space="preserve">perations </w:t>
      </w:r>
      <w:r w:rsidR="00A30FDD" w:rsidRPr="00CC7002">
        <w:t>P</w:t>
      </w:r>
      <w:r w:rsidR="008E6C38" w:rsidRPr="00CC7002">
        <w:t xml:space="preserve">olicies and </w:t>
      </w:r>
      <w:r w:rsidR="00A30FDD" w:rsidRPr="00CC7002">
        <w:t>P</w:t>
      </w:r>
      <w:r w:rsidR="008E6C38" w:rsidRPr="00CC7002">
        <w:t xml:space="preserve">rocedures and </w:t>
      </w:r>
      <w:r w:rsidR="00A30FDD" w:rsidRPr="00CC7002">
        <w:t>the I</w:t>
      </w:r>
      <w:r w:rsidR="008E6C38" w:rsidRPr="00CC7002">
        <w:t xml:space="preserve">nternal </w:t>
      </w:r>
      <w:r w:rsidR="00A30FDD" w:rsidRPr="00CC7002">
        <w:t>C</w:t>
      </w:r>
      <w:r w:rsidR="008E6C38" w:rsidRPr="00CC7002">
        <w:t xml:space="preserve">ontrol </w:t>
      </w:r>
      <w:r w:rsidR="00A30FDD" w:rsidRPr="00CC7002">
        <w:t>F</w:t>
      </w:r>
      <w:r w:rsidR="008E6C38" w:rsidRPr="00CC7002">
        <w:t>ramework.</w:t>
      </w:r>
    </w:p>
    <w:p w14:paraId="4B1F45A5" w14:textId="308FA362" w:rsidR="008E6C38" w:rsidRPr="00CC7002" w:rsidRDefault="00B501A6" w:rsidP="00B501A6">
      <w:pPr>
        <w:pStyle w:val="ListParagraph"/>
        <w:spacing w:after="120"/>
        <w:ind w:left="1080" w:right="1218"/>
        <w:jc w:val="both"/>
      </w:pPr>
      <w:r>
        <w:t>30.</w:t>
      </w:r>
      <w:r>
        <w:tab/>
      </w:r>
      <w:r w:rsidR="008E6C38" w:rsidRPr="00CC7002">
        <w:t>The programme will be</w:t>
      </w:r>
      <w:r w:rsidR="00EA6450" w:rsidRPr="00CC7002">
        <w:t xml:space="preserve"> implemented through</w:t>
      </w:r>
      <w:r w:rsidR="00D75670" w:rsidRPr="00CC7002">
        <w:t xml:space="preserve"> </w:t>
      </w:r>
      <w:r w:rsidR="007466EC" w:rsidRPr="00CC7002">
        <w:t>n</w:t>
      </w:r>
      <w:r w:rsidR="00D75670" w:rsidRPr="00CC7002">
        <w:t xml:space="preserve">ational </w:t>
      </w:r>
      <w:r w:rsidR="007466EC" w:rsidRPr="00CC7002">
        <w:t>i</w:t>
      </w:r>
      <w:r w:rsidR="00D75670" w:rsidRPr="00CC7002">
        <w:t>mplementation</w:t>
      </w:r>
      <w:r w:rsidR="00D86275" w:rsidRPr="00CC7002">
        <w:t xml:space="preserve"> modality</w:t>
      </w:r>
      <w:r w:rsidR="006B30B1" w:rsidRPr="00CC7002">
        <w:t xml:space="preserve"> under the coordination of the </w:t>
      </w:r>
      <w:r w:rsidR="004B2F2C" w:rsidRPr="00CC7002">
        <w:t>Ministry of Economy and Finance</w:t>
      </w:r>
      <w:r w:rsidR="00125B9E" w:rsidRPr="00CC7002">
        <w:t>,</w:t>
      </w:r>
      <w:r w:rsidR="006B30B1" w:rsidRPr="00CC7002">
        <w:t xml:space="preserve"> in collaboration with sector</w:t>
      </w:r>
      <w:r w:rsidR="00125B9E" w:rsidRPr="00CC7002">
        <w:t>al</w:t>
      </w:r>
      <w:r w:rsidR="006B30B1" w:rsidRPr="00CC7002">
        <w:t xml:space="preserve"> </w:t>
      </w:r>
      <w:r w:rsidR="007466EC" w:rsidRPr="00CC7002">
        <w:t>m</w:t>
      </w:r>
      <w:r w:rsidR="006B30B1" w:rsidRPr="00CC7002">
        <w:t>inistries.</w:t>
      </w:r>
      <w:r w:rsidR="00767C30" w:rsidRPr="00CC7002">
        <w:t xml:space="preserve"> </w:t>
      </w:r>
      <w:r w:rsidR="007466EC" w:rsidRPr="00CC7002">
        <w:t>A</w:t>
      </w:r>
      <w:r w:rsidR="00767C30" w:rsidRPr="00CC7002">
        <w:t xml:space="preserve"> national coordination body will be set</w:t>
      </w:r>
      <w:r w:rsidR="007466EC" w:rsidRPr="00CC7002">
        <w:t xml:space="preserve"> </w:t>
      </w:r>
      <w:r w:rsidR="00767C30" w:rsidRPr="00CC7002">
        <w:t xml:space="preserve">up to act as the Government </w:t>
      </w:r>
      <w:r w:rsidR="007466EC" w:rsidRPr="00CC7002">
        <w:t>c</w:t>
      </w:r>
      <w:r w:rsidR="00767C30" w:rsidRPr="00CC7002">
        <w:t xml:space="preserve">oordinating </w:t>
      </w:r>
      <w:r w:rsidR="007466EC" w:rsidRPr="00CC7002">
        <w:t>a</w:t>
      </w:r>
      <w:r w:rsidR="00767C30" w:rsidRPr="00CC7002">
        <w:t xml:space="preserve">gency. </w:t>
      </w:r>
      <w:r w:rsidR="008E6C38" w:rsidRPr="00CC7002">
        <w:t>In line with the national ownership</w:t>
      </w:r>
      <w:r w:rsidR="00113F34" w:rsidRPr="00CC7002">
        <w:t xml:space="preserve"> principle</w:t>
      </w:r>
      <w:r w:rsidR="002C1696" w:rsidRPr="00CC7002">
        <w:t>s</w:t>
      </w:r>
      <w:r w:rsidR="007466EC" w:rsidRPr="00CC7002">
        <w:t>,</w:t>
      </w:r>
      <w:r w:rsidR="002C1696" w:rsidRPr="00CC7002">
        <w:rPr>
          <w:rStyle w:val="FootnoteReference"/>
        </w:rPr>
        <w:footnoteReference w:id="18"/>
      </w:r>
      <w:r w:rsidR="008E6C38" w:rsidRPr="00CC7002">
        <w:t xml:space="preserve"> the </w:t>
      </w:r>
      <w:r w:rsidR="00432201" w:rsidRPr="00CC7002">
        <w:t>H</w:t>
      </w:r>
      <w:r w:rsidR="008E6C38" w:rsidRPr="00CC7002">
        <w:t xml:space="preserve">armonized </w:t>
      </w:r>
      <w:r w:rsidR="00432201" w:rsidRPr="00CC7002">
        <w:t>A</w:t>
      </w:r>
      <w:r w:rsidR="008E6C38" w:rsidRPr="00CC7002">
        <w:t xml:space="preserve">pproach to </w:t>
      </w:r>
      <w:r w:rsidR="00432201" w:rsidRPr="00CC7002">
        <w:t>C</w:t>
      </w:r>
      <w:r w:rsidR="008E6C38" w:rsidRPr="00CC7002">
        <w:t xml:space="preserve">ash </w:t>
      </w:r>
      <w:r w:rsidR="00432201" w:rsidRPr="00CC7002">
        <w:t>T</w:t>
      </w:r>
      <w:r w:rsidR="008E6C38" w:rsidRPr="00CC7002">
        <w:t>ransfer will be gradually implemented</w:t>
      </w:r>
      <w:r w:rsidR="00432201" w:rsidRPr="00CC7002">
        <w:t>,</w:t>
      </w:r>
      <w:r w:rsidR="008E6C38" w:rsidRPr="00CC7002">
        <w:t xml:space="preserve"> </w:t>
      </w:r>
      <w:r w:rsidR="001D5054" w:rsidRPr="00CC7002">
        <w:t>considering</w:t>
      </w:r>
      <w:r w:rsidR="008E6C38" w:rsidRPr="00CC7002">
        <w:t xml:space="preserve"> </w:t>
      </w:r>
      <w:bookmarkStart w:id="3" w:name="_Hlk59722081"/>
      <w:r w:rsidR="008E6C38" w:rsidRPr="00CC7002">
        <w:t>the specificities identified by the micro-assessment of</w:t>
      </w:r>
      <w:bookmarkEnd w:id="3"/>
      <w:r w:rsidR="008E6C38" w:rsidRPr="00CC7002">
        <w:t xml:space="preserve"> </w:t>
      </w:r>
      <w:r w:rsidR="00221994" w:rsidRPr="00CC7002">
        <w:t>i</w:t>
      </w:r>
      <w:r w:rsidR="0051261D" w:rsidRPr="00CC7002">
        <w:t xml:space="preserve">mplementing </w:t>
      </w:r>
      <w:r w:rsidR="00221994" w:rsidRPr="00CC7002">
        <w:t>p</w:t>
      </w:r>
      <w:r w:rsidR="002E3CC5" w:rsidRPr="00CC7002">
        <w:t>artners</w:t>
      </w:r>
      <w:r w:rsidR="007466EC" w:rsidRPr="00CC7002">
        <w:t>.</w:t>
      </w:r>
      <w:r w:rsidR="008E6C38" w:rsidRPr="00CC7002">
        <w:t xml:space="preserve"> If necessary, </w:t>
      </w:r>
      <w:r w:rsidR="007466EC" w:rsidRPr="00CC7002">
        <w:t>n</w:t>
      </w:r>
      <w:r w:rsidR="008E6C38" w:rsidRPr="00CC7002">
        <w:t xml:space="preserve">ational </w:t>
      </w:r>
      <w:r w:rsidR="007466EC" w:rsidRPr="00CC7002">
        <w:t>e</w:t>
      </w:r>
      <w:r w:rsidR="008E6C38" w:rsidRPr="00CC7002">
        <w:t xml:space="preserve">xecution </w:t>
      </w:r>
      <w:r w:rsidR="00F05E78" w:rsidRPr="00CC7002">
        <w:t>will</w:t>
      </w:r>
      <w:r w:rsidR="008E6C38" w:rsidRPr="00CC7002">
        <w:t xml:space="preserve"> be replaced </w:t>
      </w:r>
      <w:r w:rsidR="007466EC" w:rsidRPr="00CC7002">
        <w:t>with d</w:t>
      </w:r>
      <w:r w:rsidR="008E6C38" w:rsidRPr="00CC7002">
        <w:t xml:space="preserve">irect </w:t>
      </w:r>
      <w:r w:rsidR="007466EC" w:rsidRPr="00CC7002">
        <w:t>e</w:t>
      </w:r>
      <w:r w:rsidR="008E6C38" w:rsidRPr="00CC7002">
        <w:t>xecution for part or all of the programme to respon</w:t>
      </w:r>
      <w:r w:rsidR="00B3354C" w:rsidRPr="00CC7002">
        <w:t>d</w:t>
      </w:r>
      <w:r w:rsidR="008E6C38" w:rsidRPr="00CC7002">
        <w:t xml:space="preserve"> to force majeure. The </w:t>
      </w:r>
      <w:r w:rsidR="007466EC" w:rsidRPr="00CC7002">
        <w:t>Harmonized Approach</w:t>
      </w:r>
      <w:r w:rsidR="008E6C38" w:rsidRPr="00CC7002">
        <w:t xml:space="preserve"> will be used in collaboration with other </w:t>
      </w:r>
      <w:r w:rsidR="007466EC" w:rsidRPr="00CC7002">
        <w:t>United Nations organizations</w:t>
      </w:r>
      <w:r w:rsidR="008E6C38" w:rsidRPr="00CC7002">
        <w:t xml:space="preserve"> to manage financial risks. </w:t>
      </w:r>
      <w:r w:rsidR="00F46FA8" w:rsidRPr="00CC7002">
        <w:t xml:space="preserve">Cost definitions and classifications associated with </w:t>
      </w:r>
      <w:r w:rsidR="007466EC" w:rsidRPr="00CC7002">
        <w:t>p</w:t>
      </w:r>
      <w:r w:rsidR="00F46FA8" w:rsidRPr="00CC7002">
        <w:t>rogramme implementation must be charged to the respective projects</w:t>
      </w:r>
      <w:r w:rsidR="007466EC" w:rsidRPr="00CC7002">
        <w:t>.</w:t>
      </w:r>
    </w:p>
    <w:p w14:paraId="12DF47F1" w14:textId="2ECA6A2A" w:rsidR="009207CD" w:rsidRPr="0016385E" w:rsidRDefault="00B501A6" w:rsidP="00B501A6">
      <w:pPr>
        <w:pStyle w:val="ListParagraph"/>
        <w:spacing w:after="120"/>
        <w:ind w:left="1080" w:right="1218"/>
        <w:jc w:val="both"/>
      </w:pPr>
      <w:r>
        <w:t>31.</w:t>
      </w:r>
      <w:r>
        <w:tab/>
      </w:r>
      <w:r w:rsidR="008E6C38" w:rsidRPr="0016385E">
        <w:t>The main risk</w:t>
      </w:r>
      <w:r w:rsidR="00717C44" w:rsidRPr="0016385E">
        <w:t>s</w:t>
      </w:r>
      <w:r w:rsidR="008E6C38" w:rsidRPr="0016385E">
        <w:t xml:space="preserve"> that could negatively </w:t>
      </w:r>
      <w:r w:rsidR="007466EC" w:rsidRPr="0016385E">
        <w:t xml:space="preserve">affect </w:t>
      </w:r>
      <w:r w:rsidR="00E06654" w:rsidRPr="0016385E">
        <w:t xml:space="preserve">the </w:t>
      </w:r>
      <w:r w:rsidR="008E6C38" w:rsidRPr="0016385E">
        <w:t xml:space="preserve">achievement of </w:t>
      </w:r>
      <w:r w:rsidR="00221994">
        <w:t>the proposed</w:t>
      </w:r>
      <w:r w:rsidR="007466EC" w:rsidRPr="0016385E">
        <w:t xml:space="preserve"> programme </w:t>
      </w:r>
      <w:r w:rsidR="008E6C38" w:rsidRPr="0016385E">
        <w:t>relate to</w:t>
      </w:r>
      <w:r w:rsidR="001865AD" w:rsidRPr="0016385E">
        <w:t xml:space="preserve">: </w:t>
      </w:r>
      <w:r w:rsidR="008E6C38" w:rsidRPr="0016385E">
        <w:t>the shorter implementation timeline for a country programme of this nature</w:t>
      </w:r>
      <w:r w:rsidR="00AA343D" w:rsidRPr="0016385E">
        <w:t>;</w:t>
      </w:r>
      <w:r w:rsidR="008E6C38" w:rsidRPr="0016385E">
        <w:t xml:space="preserve"> availability of financial resources</w:t>
      </w:r>
      <w:r w:rsidR="00AA343D" w:rsidRPr="0016385E">
        <w:t>;</w:t>
      </w:r>
      <w:r w:rsidR="000705DC" w:rsidRPr="0016385E">
        <w:t xml:space="preserve"> </w:t>
      </w:r>
      <w:r w:rsidR="008E6C38" w:rsidRPr="0016385E">
        <w:t>political stability at the national level</w:t>
      </w:r>
      <w:r w:rsidR="00AA343D" w:rsidRPr="0016385E">
        <w:t>;</w:t>
      </w:r>
      <w:r w:rsidR="008E6C38" w:rsidRPr="0016385E">
        <w:t xml:space="preserve"> and security risk</w:t>
      </w:r>
      <w:r w:rsidR="001865AD" w:rsidRPr="0016385E">
        <w:t>s</w:t>
      </w:r>
      <w:r w:rsidR="008E6C38" w:rsidRPr="0016385E">
        <w:t xml:space="preserve"> in the regions of intervention</w:t>
      </w:r>
      <w:r w:rsidR="00880430" w:rsidRPr="0016385E">
        <w:t>,</w:t>
      </w:r>
      <w:r w:rsidR="008E6C38" w:rsidRPr="0016385E">
        <w:t xml:space="preserve"> particular</w:t>
      </w:r>
      <w:r w:rsidR="001865AD" w:rsidRPr="0016385E">
        <w:t>ly</w:t>
      </w:r>
      <w:r w:rsidR="008E6C38" w:rsidRPr="0016385E">
        <w:t xml:space="preserve"> in the </w:t>
      </w:r>
      <w:r w:rsidR="00AA343D" w:rsidRPr="0016385E">
        <w:t>s</w:t>
      </w:r>
      <w:r w:rsidR="008E6C38" w:rsidRPr="0016385E">
        <w:t>outh.</w:t>
      </w:r>
      <w:r w:rsidR="003219A7" w:rsidRPr="0016385E">
        <w:t xml:space="preserve"> </w:t>
      </w:r>
      <w:r w:rsidR="008E6C38" w:rsidRPr="0016385E">
        <w:t xml:space="preserve">Risks of further socioeconomic shocks linked to the </w:t>
      </w:r>
      <w:r w:rsidR="00EC49ED" w:rsidRPr="0016385E">
        <w:rPr>
          <w:shd w:val="clear" w:color="auto" w:fill="FFFFFF"/>
        </w:rPr>
        <w:t>COVID</w:t>
      </w:r>
      <w:r w:rsidR="00EC49ED" w:rsidRPr="0016385E">
        <w:t>-</w:t>
      </w:r>
      <w:r w:rsidR="008E6C38" w:rsidRPr="0016385E">
        <w:t>19 pandemic</w:t>
      </w:r>
      <w:r w:rsidR="00AA343D" w:rsidRPr="0016385E">
        <w:t xml:space="preserve"> – </w:t>
      </w:r>
      <w:r w:rsidR="00AB0BBA" w:rsidRPr="0016385E">
        <w:t xml:space="preserve">as well as </w:t>
      </w:r>
      <w:r w:rsidR="008E6C38" w:rsidRPr="0016385E">
        <w:t>social and environmental issues</w:t>
      </w:r>
      <w:r w:rsidR="00221994">
        <w:t>,</w:t>
      </w:r>
      <w:r w:rsidR="008E6C38" w:rsidRPr="0016385E">
        <w:t xml:space="preserve"> including natural disasters</w:t>
      </w:r>
      <w:r w:rsidR="00AA343D" w:rsidRPr="0016385E">
        <w:t xml:space="preserve">– </w:t>
      </w:r>
      <w:r w:rsidR="008E6C38" w:rsidRPr="0016385E">
        <w:t xml:space="preserve">could jeopardize UNDP access to target populations and the achievement of expected results. </w:t>
      </w:r>
      <w:r w:rsidR="00CD64D9" w:rsidRPr="0016385E">
        <w:t xml:space="preserve">In line with </w:t>
      </w:r>
      <w:r w:rsidR="00E43503" w:rsidRPr="00882056">
        <w:t>United Nations Sustainable Development Cooperation Framework</w:t>
      </w:r>
      <w:r w:rsidR="008607DB" w:rsidRPr="0016385E">
        <w:t xml:space="preserve"> operational principles, </w:t>
      </w:r>
      <w:r w:rsidR="008E6C38" w:rsidRPr="0016385E">
        <w:t xml:space="preserve">UNDP will strengthen collaboration with development partners and other </w:t>
      </w:r>
      <w:r w:rsidR="00AA343D" w:rsidRPr="0016385E">
        <w:t xml:space="preserve">United Nations organizations </w:t>
      </w:r>
      <w:r w:rsidR="008E6C38" w:rsidRPr="0016385E">
        <w:t xml:space="preserve">to foster </w:t>
      </w:r>
      <w:r w:rsidR="00880430" w:rsidRPr="0016385E">
        <w:t xml:space="preserve">common </w:t>
      </w:r>
      <w:r w:rsidR="008E6C38" w:rsidRPr="0016385E">
        <w:t xml:space="preserve">conflict analysis, </w:t>
      </w:r>
      <w:r w:rsidR="00AA796F" w:rsidRPr="0016385E">
        <w:t>community,</w:t>
      </w:r>
      <w:r w:rsidR="008E6C38" w:rsidRPr="0016385E">
        <w:t xml:space="preserve"> and human security approaches</w:t>
      </w:r>
      <w:r w:rsidR="00AA343D" w:rsidRPr="0016385E">
        <w:t>,</w:t>
      </w:r>
      <w:r w:rsidR="008E6C38" w:rsidRPr="0016385E">
        <w:t xml:space="preserve"> as well as more integrated mainstreaming of climate change an</w:t>
      </w:r>
      <w:r w:rsidR="004E30D9" w:rsidRPr="0016385E">
        <w:t>d</w:t>
      </w:r>
      <w:r w:rsidR="008E6C38" w:rsidRPr="0016385E">
        <w:t xml:space="preserve"> disaster risk management in development planning</w:t>
      </w:r>
      <w:r w:rsidR="00245465" w:rsidRPr="0016385E">
        <w:t xml:space="preserve">, </w:t>
      </w:r>
      <w:r w:rsidR="00E12347" w:rsidRPr="0016385E">
        <w:t>budgeting,</w:t>
      </w:r>
      <w:r w:rsidR="008E6C38" w:rsidRPr="0016385E">
        <w:t xml:space="preserve"> and programming across the </w:t>
      </w:r>
      <w:r w:rsidR="00AA343D" w:rsidRPr="0016385E">
        <w:t>p</w:t>
      </w:r>
      <w:r w:rsidR="008E6C38" w:rsidRPr="0016385E">
        <w:t>eace-</w:t>
      </w:r>
      <w:r w:rsidR="00AA343D" w:rsidRPr="0016385E">
        <w:t>h</w:t>
      </w:r>
      <w:r w:rsidR="008E6C38" w:rsidRPr="0016385E">
        <w:t>umanitarian</w:t>
      </w:r>
      <w:r w:rsidR="00874646">
        <w:t>-</w:t>
      </w:r>
      <w:r w:rsidR="00AA343D" w:rsidRPr="0016385E">
        <w:t>d</w:t>
      </w:r>
      <w:r w:rsidR="008E6C38" w:rsidRPr="0016385E">
        <w:t>evelopment nexus.</w:t>
      </w:r>
    </w:p>
    <w:p w14:paraId="41BC9D56" w14:textId="65F4C5D4" w:rsidR="00880430" w:rsidRPr="0016385E" w:rsidRDefault="00B501A6" w:rsidP="00B501A6">
      <w:pPr>
        <w:pStyle w:val="ListParagraph"/>
        <w:spacing w:after="120"/>
        <w:ind w:left="1080" w:right="1224"/>
        <w:jc w:val="both"/>
      </w:pPr>
      <w:r>
        <w:t>32.</w:t>
      </w:r>
      <w:r>
        <w:tab/>
      </w:r>
      <w:r w:rsidR="00880430" w:rsidRPr="0016385E">
        <w:t>T</w:t>
      </w:r>
      <w:r w:rsidR="008E6C38" w:rsidRPr="0016385E">
        <w:t xml:space="preserve">he </w:t>
      </w:r>
      <w:r w:rsidR="00AA343D" w:rsidRPr="0016385E">
        <w:t>c</w:t>
      </w:r>
      <w:r w:rsidR="008E6C38" w:rsidRPr="0016385E">
        <w:t xml:space="preserve">ountry </w:t>
      </w:r>
      <w:r w:rsidR="00AA343D" w:rsidRPr="0016385E">
        <w:t>o</w:t>
      </w:r>
      <w:r w:rsidR="008E6C38" w:rsidRPr="0016385E">
        <w:t xml:space="preserve">ffice will adopt an </w:t>
      </w:r>
      <w:r w:rsidR="00AA343D" w:rsidRPr="0016385E">
        <w:t>‘a</w:t>
      </w:r>
      <w:r w:rsidR="008E6C38" w:rsidRPr="0016385E">
        <w:t xml:space="preserve">daptive </w:t>
      </w:r>
      <w:r w:rsidR="00AA343D" w:rsidRPr="0016385E">
        <w:t>m</w:t>
      </w:r>
      <w:r w:rsidR="008E6C38" w:rsidRPr="0016385E">
        <w:t>anagement</w:t>
      </w:r>
      <w:r w:rsidR="00AA343D" w:rsidRPr="0016385E">
        <w:t>’</w:t>
      </w:r>
      <w:r w:rsidR="008E6C38" w:rsidRPr="0016385E">
        <w:t xml:space="preserve"> approach to </w:t>
      </w:r>
      <w:r w:rsidR="00AA343D" w:rsidRPr="0016385E">
        <w:t xml:space="preserve">country programme </w:t>
      </w:r>
      <w:r w:rsidR="008E6C38" w:rsidRPr="0016385E">
        <w:t>implementation to ensure that regular stocktaking is informed by feedback loops that allow for adjustments to approach and direction based on clear evidence and feedback, including from national</w:t>
      </w:r>
      <w:r w:rsidR="00297656" w:rsidRPr="0016385E">
        <w:t xml:space="preserve"> </w:t>
      </w:r>
      <w:r w:rsidR="007466EC" w:rsidRPr="0016385E">
        <w:t>implementing partner</w:t>
      </w:r>
      <w:r w:rsidR="00617556" w:rsidRPr="0016385E">
        <w:t>s</w:t>
      </w:r>
      <w:r w:rsidR="008E6C38" w:rsidRPr="0016385E">
        <w:t xml:space="preserve">. </w:t>
      </w:r>
      <w:r w:rsidR="00880430" w:rsidRPr="0016385E">
        <w:t>Particular attention will be paid to (</w:t>
      </w:r>
      <w:r w:rsidR="00AA343D" w:rsidRPr="0016385E">
        <w:t>a</w:t>
      </w:r>
      <w:r w:rsidR="00880430" w:rsidRPr="0016385E">
        <w:t xml:space="preserve">) </w:t>
      </w:r>
      <w:r w:rsidR="00AA343D" w:rsidRPr="0016385E">
        <w:t xml:space="preserve">imparting </w:t>
      </w:r>
      <w:r w:rsidR="00880430" w:rsidRPr="0016385E">
        <w:t xml:space="preserve">information and awareness </w:t>
      </w:r>
      <w:r w:rsidR="003D125D" w:rsidRPr="0016385E">
        <w:t>to</w:t>
      </w:r>
      <w:r w:rsidR="00880430" w:rsidRPr="0016385E">
        <w:t xml:space="preserve"> </w:t>
      </w:r>
      <w:r w:rsidR="00AA343D" w:rsidRPr="0016385E">
        <w:t>further involve people</w:t>
      </w:r>
      <w:r w:rsidR="00F018B2" w:rsidRPr="0016385E">
        <w:t xml:space="preserve"> in </w:t>
      </w:r>
      <w:r w:rsidR="007F3D1F" w:rsidRPr="0016385E">
        <w:t xml:space="preserve">project </w:t>
      </w:r>
      <w:r w:rsidR="00880430" w:rsidRPr="0016385E">
        <w:t>implementation</w:t>
      </w:r>
      <w:r w:rsidR="005A7917" w:rsidRPr="0016385E">
        <w:t xml:space="preserve">, including researching </w:t>
      </w:r>
      <w:r w:rsidR="00880430" w:rsidRPr="0016385E">
        <w:t xml:space="preserve">endogenous solutions in </w:t>
      </w:r>
      <w:r w:rsidR="003D125D" w:rsidRPr="0016385E">
        <w:t xml:space="preserve">case of </w:t>
      </w:r>
      <w:r w:rsidR="00AA343D" w:rsidRPr="0016385E">
        <w:t xml:space="preserve">risk </w:t>
      </w:r>
      <w:r w:rsidR="00880430" w:rsidRPr="0016385E">
        <w:t xml:space="preserve">occurrence; </w:t>
      </w:r>
      <w:r w:rsidR="00AA343D" w:rsidRPr="0016385E">
        <w:t xml:space="preserve">and </w:t>
      </w:r>
      <w:r w:rsidR="00880430" w:rsidRPr="0016385E">
        <w:t>(</w:t>
      </w:r>
      <w:r w:rsidR="00AA343D" w:rsidRPr="0016385E">
        <w:t>b</w:t>
      </w:r>
      <w:r w:rsidR="00880430" w:rsidRPr="0016385E">
        <w:t>)</w:t>
      </w:r>
      <w:r w:rsidR="00787860" w:rsidRPr="0016385E">
        <w:t xml:space="preserve"> </w:t>
      </w:r>
      <w:r w:rsidR="00AA343D" w:rsidRPr="0016385E">
        <w:t>incorporating</w:t>
      </w:r>
      <w:r w:rsidR="00787860" w:rsidRPr="0016385E">
        <w:t xml:space="preserve"> monitoring, evaluation and risk analysis measures to enhance decision-making by steering committees and </w:t>
      </w:r>
      <w:r w:rsidR="00AA343D" w:rsidRPr="0016385E">
        <w:t xml:space="preserve">enable </w:t>
      </w:r>
      <w:r w:rsidR="00787860" w:rsidRPr="0016385E">
        <w:t xml:space="preserve">possible adjustments </w:t>
      </w:r>
      <w:r w:rsidR="00AA343D" w:rsidRPr="0016385E">
        <w:t xml:space="preserve">to </w:t>
      </w:r>
      <w:r w:rsidR="00787860" w:rsidRPr="0016385E">
        <w:t>project initiatives.</w:t>
      </w:r>
      <w:r w:rsidR="000C5FD0" w:rsidRPr="0016385E">
        <w:t xml:space="preserve"> </w:t>
      </w:r>
      <w:r w:rsidR="00101DC2" w:rsidRPr="0016385E">
        <w:t xml:space="preserve">This will </w:t>
      </w:r>
      <w:r w:rsidR="00AA343D" w:rsidRPr="0016385E">
        <w:t>permit</w:t>
      </w:r>
      <w:r w:rsidR="00101DC2" w:rsidRPr="0016385E">
        <w:t xml:space="preserve"> adopt</w:t>
      </w:r>
      <w:r w:rsidR="00AA343D" w:rsidRPr="0016385E">
        <w:t>ion of</w:t>
      </w:r>
      <w:r w:rsidR="00101DC2" w:rsidRPr="0016385E">
        <w:t xml:space="preserve"> a </w:t>
      </w:r>
      <w:r w:rsidR="00AA343D" w:rsidRPr="0016385E">
        <w:t>‘</w:t>
      </w:r>
      <w:r w:rsidR="00101DC2" w:rsidRPr="0016385E">
        <w:t>Plan B</w:t>
      </w:r>
      <w:r w:rsidR="00AA343D" w:rsidRPr="0016385E">
        <w:t>’</w:t>
      </w:r>
      <w:r w:rsidR="00101DC2" w:rsidRPr="0016385E">
        <w:t xml:space="preserve"> </w:t>
      </w:r>
      <w:r w:rsidR="00AA343D" w:rsidRPr="0016385E">
        <w:t xml:space="preserve">to </w:t>
      </w:r>
      <w:r w:rsidR="00101DC2" w:rsidRPr="0016385E">
        <w:t>resiz</w:t>
      </w:r>
      <w:r w:rsidR="00AA343D" w:rsidRPr="0016385E">
        <w:t>e</w:t>
      </w:r>
      <w:r w:rsidR="00101DC2" w:rsidRPr="0016385E">
        <w:t xml:space="preserve"> the programme and adjust to resources available.</w:t>
      </w:r>
    </w:p>
    <w:p w14:paraId="25EDB5F6" w14:textId="3EDBA114" w:rsidR="008E6C38" w:rsidRPr="0016385E" w:rsidRDefault="00B501A6" w:rsidP="00596035">
      <w:pPr>
        <w:pStyle w:val="ListParagraph"/>
        <w:spacing w:after="200"/>
        <w:ind w:left="1080" w:right="1224"/>
        <w:jc w:val="both"/>
      </w:pPr>
      <w:r>
        <w:t>33.</w:t>
      </w:r>
      <w:r>
        <w:tab/>
      </w:r>
      <w:r w:rsidR="00AA343D" w:rsidRPr="0016385E">
        <w:t>T</w:t>
      </w:r>
      <w:r w:rsidR="008E6C38" w:rsidRPr="0016385E">
        <w:t xml:space="preserve">his </w:t>
      </w:r>
      <w:r w:rsidR="00AA343D" w:rsidRPr="0016385E">
        <w:t xml:space="preserve">country programme </w:t>
      </w:r>
      <w:r w:rsidR="008E6C38" w:rsidRPr="0016385E">
        <w:t>will include</w:t>
      </w:r>
      <w:r w:rsidR="00F2155B">
        <w:t>:</w:t>
      </w:r>
      <w:r w:rsidR="008E6C38" w:rsidRPr="0016385E">
        <w:t xml:space="preserve"> </w:t>
      </w:r>
      <w:r w:rsidR="00AA343D" w:rsidRPr="0016385E">
        <w:t>(</w:t>
      </w:r>
      <w:r w:rsidR="008E6C38" w:rsidRPr="0016385E">
        <w:t>a) in</w:t>
      </w:r>
      <w:r w:rsidR="008C11B7" w:rsidRPr="0016385E">
        <w:t>tegration</w:t>
      </w:r>
      <w:r w:rsidR="008E6C38" w:rsidRPr="0016385E">
        <w:t xml:space="preserve"> of risk mitigation and management plans in project documents and multi-year </w:t>
      </w:r>
      <w:r w:rsidR="008C11B7" w:rsidRPr="0016385E">
        <w:t>plan</w:t>
      </w:r>
      <w:r w:rsidR="00071F3F" w:rsidRPr="0016385E">
        <w:t>s</w:t>
      </w:r>
      <w:r w:rsidR="008E6C38" w:rsidRPr="0016385E">
        <w:t xml:space="preserve">; </w:t>
      </w:r>
      <w:r w:rsidR="00150C22" w:rsidRPr="0016385E">
        <w:t>(</w:t>
      </w:r>
      <w:r w:rsidR="008E6C38" w:rsidRPr="0016385E">
        <w:t xml:space="preserve">b) services contract agreement to local </w:t>
      </w:r>
      <w:r w:rsidR="00150C22" w:rsidRPr="0016385E">
        <w:t>non-governmental organizations</w:t>
      </w:r>
      <w:r w:rsidR="008E6C38" w:rsidRPr="0016385E">
        <w:t xml:space="preserve"> </w:t>
      </w:r>
      <w:r w:rsidR="00AD1E63" w:rsidRPr="0016385E">
        <w:t xml:space="preserve">with </w:t>
      </w:r>
      <w:r w:rsidR="00150C22" w:rsidRPr="0016385E">
        <w:t xml:space="preserve">the </w:t>
      </w:r>
      <w:r w:rsidR="00AD1E63" w:rsidRPr="0016385E">
        <w:t>capacit</w:t>
      </w:r>
      <w:r w:rsidR="00150C22" w:rsidRPr="0016385E">
        <w:t>y</w:t>
      </w:r>
      <w:r w:rsidR="00AD1E63" w:rsidRPr="0016385E">
        <w:t xml:space="preserve"> </w:t>
      </w:r>
      <w:r w:rsidR="008E6C38" w:rsidRPr="0016385E">
        <w:t>to act as relay</w:t>
      </w:r>
      <w:r w:rsidR="00480B1B" w:rsidRPr="0016385E">
        <w:t xml:space="preserve">s, </w:t>
      </w:r>
      <w:r w:rsidR="008E6C38" w:rsidRPr="0016385E">
        <w:t xml:space="preserve">to consolidate the continuity </w:t>
      </w:r>
      <w:r w:rsidR="00A071CD" w:rsidRPr="0016385E">
        <w:t xml:space="preserve">of operations in the </w:t>
      </w:r>
      <w:r w:rsidR="008E6C38" w:rsidRPr="0016385E">
        <w:t xml:space="preserve">field; </w:t>
      </w:r>
      <w:r w:rsidR="00150C22" w:rsidRPr="0016385E">
        <w:t>(</w:t>
      </w:r>
      <w:r w:rsidR="008E6C38" w:rsidRPr="0016385E">
        <w:t>c) long-term agreements with qualified consultants and consulting firms</w:t>
      </w:r>
      <w:r w:rsidR="00150C22" w:rsidRPr="0016385E">
        <w:t>;</w:t>
      </w:r>
      <w:r w:rsidR="00554825" w:rsidRPr="0016385E">
        <w:t xml:space="preserve"> </w:t>
      </w:r>
      <w:r w:rsidR="00150C22" w:rsidRPr="0016385E">
        <w:t>(</w:t>
      </w:r>
      <w:r w:rsidR="00554825" w:rsidRPr="0016385E">
        <w:t>d</w:t>
      </w:r>
      <w:r w:rsidR="008E6C38" w:rsidRPr="0016385E">
        <w:t>) regular consultation</w:t>
      </w:r>
      <w:r w:rsidR="00554825" w:rsidRPr="0016385E">
        <w:t>s</w:t>
      </w:r>
      <w:r w:rsidR="008E6C38" w:rsidRPr="0016385E">
        <w:t xml:space="preserve"> with the Government in order to better target intervention areas </w:t>
      </w:r>
      <w:r w:rsidR="008E6C38" w:rsidRPr="0016385E">
        <w:lastRenderedPageBreak/>
        <w:t xml:space="preserve">and rationalize the use of resources; </w:t>
      </w:r>
      <w:r w:rsidR="00582572" w:rsidRPr="0016385E">
        <w:t xml:space="preserve">and </w:t>
      </w:r>
      <w:r w:rsidR="00150C22" w:rsidRPr="0016385E">
        <w:t>(</w:t>
      </w:r>
      <w:r w:rsidR="008E6C38" w:rsidRPr="0016385E">
        <w:t>f) contribut</w:t>
      </w:r>
      <w:r w:rsidR="008D0691" w:rsidRPr="0016385E">
        <w:t>ion</w:t>
      </w:r>
      <w:r w:rsidR="008E6C38" w:rsidRPr="0016385E">
        <w:t xml:space="preserve"> to joint program</w:t>
      </w:r>
      <w:r w:rsidR="00150C22" w:rsidRPr="0016385E">
        <w:t>me</w:t>
      </w:r>
      <w:r w:rsidR="008E6C38" w:rsidRPr="0016385E">
        <w:t xml:space="preserve">s within the framework of </w:t>
      </w:r>
      <w:r w:rsidR="00150C22" w:rsidRPr="0016385E">
        <w:t>‘delivering as one’</w:t>
      </w:r>
      <w:r w:rsidR="008E6C38" w:rsidRPr="0016385E">
        <w:t xml:space="preserve"> to better cover </w:t>
      </w:r>
      <w:r w:rsidR="00150C22" w:rsidRPr="0016385E">
        <w:t xml:space="preserve">people’s </w:t>
      </w:r>
      <w:r w:rsidR="008E6C38" w:rsidRPr="0016385E">
        <w:t xml:space="preserve">needs and </w:t>
      </w:r>
      <w:r w:rsidR="00F2155B">
        <w:t>maximize</w:t>
      </w:r>
      <w:r w:rsidR="008E6C38" w:rsidRPr="0016385E">
        <w:t xml:space="preserve"> impact.</w:t>
      </w:r>
    </w:p>
    <w:p w14:paraId="6FDB1983" w14:textId="5FA0C2D8" w:rsidR="000702CD" w:rsidRPr="0016385E" w:rsidRDefault="00250662" w:rsidP="004206C1">
      <w:pPr>
        <w:spacing w:after="200"/>
        <w:ind w:left="1080" w:right="1218" w:hanging="540"/>
        <w:jc w:val="both"/>
        <w:rPr>
          <w:b/>
          <w:bCs/>
          <w:sz w:val="24"/>
          <w:szCs w:val="24"/>
        </w:rPr>
      </w:pPr>
      <w:r w:rsidRPr="0016385E">
        <w:rPr>
          <w:b/>
          <w:bCs/>
          <w:sz w:val="24"/>
          <w:szCs w:val="24"/>
        </w:rPr>
        <w:t>IV.</w:t>
      </w:r>
      <w:r w:rsidRPr="0016385E">
        <w:rPr>
          <w:b/>
          <w:bCs/>
          <w:sz w:val="24"/>
          <w:szCs w:val="24"/>
        </w:rPr>
        <w:tab/>
        <w:t>Monitoring and evaluation</w:t>
      </w:r>
    </w:p>
    <w:p w14:paraId="436E997F" w14:textId="5BB460BF" w:rsidR="000702CD" w:rsidRPr="0016385E" w:rsidRDefault="00B501A6" w:rsidP="00B501A6">
      <w:pPr>
        <w:pStyle w:val="ListParagraph"/>
        <w:spacing w:after="120"/>
        <w:ind w:left="1080" w:right="1218"/>
        <w:jc w:val="both"/>
      </w:pPr>
      <w:r>
        <w:t>34.</w:t>
      </w:r>
      <w:r>
        <w:tab/>
      </w:r>
      <w:r w:rsidR="000702CD" w:rsidRPr="0016385E">
        <w:t xml:space="preserve">An evidence-based monitoring and evaluation </w:t>
      </w:r>
      <w:r w:rsidR="001A71E5" w:rsidRPr="0016385E">
        <w:t>mechanism</w:t>
      </w:r>
      <w:r w:rsidR="00150C22" w:rsidRPr="0016385E">
        <w:t xml:space="preserve">, with indicators aligned to </w:t>
      </w:r>
      <w:r w:rsidR="00F2155B">
        <w:t xml:space="preserve">those of the </w:t>
      </w:r>
      <w:r w:rsidR="00150C22" w:rsidRPr="0016385E">
        <w:t>national and localized Sustainable Development Goals,</w:t>
      </w:r>
      <w:r w:rsidR="000702CD" w:rsidRPr="0016385E">
        <w:t xml:space="preserve"> will be put in place to measure and assess the results of the country program</w:t>
      </w:r>
      <w:r w:rsidR="00150C22" w:rsidRPr="0016385E">
        <w:t>me</w:t>
      </w:r>
      <w:r w:rsidR="000702CD" w:rsidRPr="0016385E">
        <w:t>.</w:t>
      </w:r>
      <w:r w:rsidR="00FD57E0" w:rsidRPr="0016385E">
        <w:t xml:space="preserve"> T</w:t>
      </w:r>
      <w:r w:rsidR="000702CD" w:rsidRPr="0016385E">
        <w:t>h</w:t>
      </w:r>
      <w:r w:rsidR="00150C22" w:rsidRPr="0016385E">
        <w:t xml:space="preserve">e </w:t>
      </w:r>
      <w:r w:rsidR="00FD57E0" w:rsidRPr="0016385E">
        <w:t xml:space="preserve">mechanism </w:t>
      </w:r>
      <w:r w:rsidR="000702CD" w:rsidRPr="0016385E">
        <w:t xml:space="preserve">will be anchored in the </w:t>
      </w:r>
      <w:r w:rsidR="00150C22" w:rsidRPr="0016385E">
        <w:t xml:space="preserve">monitoring and evaluation system of the </w:t>
      </w:r>
      <w:r w:rsidR="00E43503" w:rsidRPr="00882056">
        <w:t>United Nations Sustainable Development Cooperation Framework</w:t>
      </w:r>
      <w:r w:rsidR="006D4C5E" w:rsidRPr="0016385E">
        <w:t xml:space="preserve"> </w:t>
      </w:r>
      <w:r w:rsidR="00150C22" w:rsidRPr="0016385E">
        <w:t xml:space="preserve">and </w:t>
      </w:r>
      <w:r w:rsidR="00072CAE" w:rsidRPr="0016385E">
        <w:t xml:space="preserve">aligned </w:t>
      </w:r>
      <w:r w:rsidR="0038023A" w:rsidRPr="0016385E">
        <w:t>to the national</w:t>
      </w:r>
      <w:r w:rsidR="0012532C" w:rsidRPr="0016385E">
        <w:t xml:space="preserve"> </w:t>
      </w:r>
      <w:r w:rsidR="00150C22" w:rsidRPr="0016385E">
        <w:t>monitoring and evaluation</w:t>
      </w:r>
      <w:r w:rsidR="00150C22" w:rsidRPr="0016385E" w:rsidDel="00150C22">
        <w:t xml:space="preserve"> </w:t>
      </w:r>
      <w:r w:rsidR="00237188" w:rsidRPr="0016385E">
        <w:t xml:space="preserve">framework of the </w:t>
      </w:r>
      <w:r w:rsidR="00150C22" w:rsidRPr="0016385E">
        <w:t>Madagascar</w:t>
      </w:r>
      <w:r w:rsidR="00F2155B">
        <w:t xml:space="preserve"> Emergence P</w:t>
      </w:r>
      <w:r w:rsidR="00A608C0" w:rsidRPr="0016385E">
        <w:t>lan</w:t>
      </w:r>
      <w:r w:rsidR="000702CD" w:rsidRPr="0016385E">
        <w:t xml:space="preserve">. UNDP will work with other </w:t>
      </w:r>
      <w:r w:rsidR="00150C22" w:rsidRPr="0016385E">
        <w:t>United Nations organizations</w:t>
      </w:r>
      <w:r w:rsidR="000702CD" w:rsidRPr="0016385E">
        <w:t xml:space="preserve"> to strengthen government capacity and advance </w:t>
      </w:r>
      <w:r w:rsidR="00150C22" w:rsidRPr="0016385E">
        <w:t>public policy</w:t>
      </w:r>
      <w:r w:rsidR="000702CD" w:rsidRPr="0016385E">
        <w:t xml:space="preserve"> evaluation</w:t>
      </w:r>
      <w:r w:rsidR="00150C22" w:rsidRPr="0016385E">
        <w:t>.</w:t>
      </w:r>
      <w:r w:rsidR="000702CD" w:rsidRPr="0016385E">
        <w:t xml:space="preserve"> </w:t>
      </w:r>
    </w:p>
    <w:p w14:paraId="6F9F3602" w14:textId="652F1B70" w:rsidR="000702CD" w:rsidRPr="0016385E" w:rsidRDefault="00B501A6" w:rsidP="00B501A6">
      <w:pPr>
        <w:pStyle w:val="ListParagraph"/>
        <w:spacing w:after="120"/>
        <w:ind w:left="1080" w:right="1218"/>
        <w:jc w:val="both"/>
      </w:pPr>
      <w:r>
        <w:t>35.</w:t>
      </w:r>
      <w:r>
        <w:tab/>
      </w:r>
      <w:r w:rsidR="000B66A7" w:rsidRPr="0016385E">
        <w:t>Partners’ results-based management c</w:t>
      </w:r>
      <w:r w:rsidR="00C731A4" w:rsidRPr="0016385E">
        <w:t xml:space="preserve">apacities </w:t>
      </w:r>
      <w:r w:rsidR="00900EB3" w:rsidRPr="0016385E">
        <w:t xml:space="preserve">will be </w:t>
      </w:r>
      <w:r w:rsidR="00160BA3" w:rsidRPr="0016385E">
        <w:t>strengthened,</w:t>
      </w:r>
      <w:r w:rsidR="00900EB3" w:rsidRPr="0016385E">
        <w:t xml:space="preserve"> </w:t>
      </w:r>
      <w:r w:rsidR="006A51A0" w:rsidRPr="0016385E">
        <w:t>and</w:t>
      </w:r>
      <w:r w:rsidR="00C857E5" w:rsidRPr="0016385E">
        <w:t xml:space="preserve"> the</w:t>
      </w:r>
      <w:r w:rsidR="000702CD" w:rsidRPr="0016385E">
        <w:t xml:space="preserve"> </w:t>
      </w:r>
      <w:r w:rsidR="000B66A7" w:rsidRPr="0016385E">
        <w:t xml:space="preserve">Sustainable Development Goals will be further localized </w:t>
      </w:r>
      <w:r w:rsidR="000702CD" w:rsidRPr="0016385E">
        <w:t>to improve</w:t>
      </w:r>
      <w:r w:rsidR="000003FA" w:rsidRPr="0016385E">
        <w:t xml:space="preserve"> </w:t>
      </w:r>
      <w:r w:rsidR="000702CD" w:rsidRPr="0016385E">
        <w:t>targeting of beneficiaries</w:t>
      </w:r>
      <w:r w:rsidR="000B66A7" w:rsidRPr="0016385E">
        <w:t>,</w:t>
      </w:r>
      <w:r w:rsidR="000702CD" w:rsidRPr="0016385E">
        <w:t xml:space="preserve"> </w:t>
      </w:r>
      <w:r w:rsidR="000B66A7" w:rsidRPr="0016385E">
        <w:t>with</w:t>
      </w:r>
      <w:r w:rsidR="000702CD" w:rsidRPr="0016385E">
        <w:t xml:space="preserve"> data disaggregated by sex, age, </w:t>
      </w:r>
      <w:r w:rsidR="000B66A7" w:rsidRPr="0016385E">
        <w:t xml:space="preserve">and </w:t>
      </w:r>
      <w:r w:rsidR="000702CD" w:rsidRPr="0016385E">
        <w:t>degree of vulnerability. To complete the national information system, UNDP will s</w:t>
      </w:r>
      <w:r w:rsidR="009E4136" w:rsidRPr="0016385E">
        <w:t>upport</w:t>
      </w:r>
      <w:r w:rsidR="000702CD" w:rsidRPr="0016385E">
        <w:t xml:space="preserve"> the National </w:t>
      </w:r>
      <w:r w:rsidR="00F2155B" w:rsidRPr="0016385E">
        <w:t xml:space="preserve">Statistics </w:t>
      </w:r>
      <w:r w:rsidR="000702CD" w:rsidRPr="0016385E">
        <w:t xml:space="preserve">Institute </w:t>
      </w:r>
      <w:r w:rsidR="004477E7" w:rsidRPr="0016385E">
        <w:t>to</w:t>
      </w:r>
      <w:r w:rsidR="000702CD" w:rsidRPr="0016385E">
        <w:t xml:space="preserve"> </w:t>
      </w:r>
      <w:r w:rsidR="00F2155B">
        <w:t>undertake</w:t>
      </w:r>
      <w:r w:rsidR="000702CD" w:rsidRPr="0016385E">
        <w:t xml:space="preserve"> studie</w:t>
      </w:r>
      <w:r w:rsidR="00435E74" w:rsidRPr="0016385E">
        <w:t>s</w:t>
      </w:r>
      <w:r w:rsidR="000702CD" w:rsidRPr="0016385E">
        <w:t xml:space="preserve"> on specific themes related to its comparative advantages.</w:t>
      </w:r>
    </w:p>
    <w:p w14:paraId="277B1DFC" w14:textId="4D3810F8" w:rsidR="00CE157D" w:rsidRPr="0016385E" w:rsidRDefault="00B501A6" w:rsidP="00B501A6">
      <w:pPr>
        <w:pStyle w:val="ListParagraph"/>
        <w:spacing w:after="120"/>
        <w:ind w:left="1080" w:right="1218"/>
        <w:jc w:val="both"/>
      </w:pPr>
      <w:r>
        <w:t>36.</w:t>
      </w:r>
      <w:r>
        <w:tab/>
      </w:r>
      <w:r w:rsidR="00D3009A" w:rsidRPr="0016385E">
        <w:t>Emphasis will be given to participatory monitoring of activities with beneficiaries</w:t>
      </w:r>
      <w:r w:rsidR="000B66A7" w:rsidRPr="0016385E">
        <w:t xml:space="preserve"> and</w:t>
      </w:r>
      <w:r w:rsidR="00D3009A" w:rsidRPr="0016385E">
        <w:t xml:space="preserve"> decentralized state bodies, for data collection and feedback, completed by field visits. </w:t>
      </w:r>
      <w:r w:rsidR="000B66A7" w:rsidRPr="0016385E">
        <w:t xml:space="preserve">In </w:t>
      </w:r>
      <w:r w:rsidR="00737EC2" w:rsidRPr="0016385E">
        <w:t xml:space="preserve">the </w:t>
      </w:r>
      <w:r w:rsidR="00EC49ED" w:rsidRPr="0016385E">
        <w:rPr>
          <w:shd w:val="clear" w:color="auto" w:fill="FFFFFF"/>
        </w:rPr>
        <w:t>COVID</w:t>
      </w:r>
      <w:r w:rsidR="00EC49ED" w:rsidRPr="0016385E">
        <w:t>-</w:t>
      </w:r>
      <w:r w:rsidR="00737EC2" w:rsidRPr="0016385E">
        <w:t xml:space="preserve">19 </w:t>
      </w:r>
      <w:r w:rsidR="0039413D" w:rsidRPr="0016385E">
        <w:t>context</w:t>
      </w:r>
      <w:r w:rsidR="00737EC2" w:rsidRPr="0016385E">
        <w:t xml:space="preserve">, </w:t>
      </w:r>
      <w:r w:rsidR="00D855B4" w:rsidRPr="0016385E">
        <w:t xml:space="preserve">UNDP will partner with </w:t>
      </w:r>
      <w:r w:rsidR="0039413D" w:rsidRPr="0016385E">
        <w:t>research institutions for knowledge</w:t>
      </w:r>
      <w:r w:rsidR="00F2155B">
        <w:t>-</w:t>
      </w:r>
      <w:r w:rsidR="0039413D" w:rsidRPr="0016385E">
        <w:t xml:space="preserve">building </w:t>
      </w:r>
      <w:r w:rsidR="00582572" w:rsidRPr="0016385E">
        <w:t xml:space="preserve">and </w:t>
      </w:r>
      <w:r w:rsidR="0039413D" w:rsidRPr="0016385E">
        <w:t xml:space="preserve">innovations </w:t>
      </w:r>
      <w:r w:rsidR="00F2155B">
        <w:t>in</w:t>
      </w:r>
      <w:r w:rsidR="00F2155B" w:rsidRPr="0016385E">
        <w:t xml:space="preserve"> </w:t>
      </w:r>
      <w:r w:rsidR="0039413D" w:rsidRPr="0016385E">
        <w:t xml:space="preserve">remote and </w:t>
      </w:r>
      <w:r w:rsidR="00690A71" w:rsidRPr="0016385E">
        <w:t>real-time</w:t>
      </w:r>
      <w:r w:rsidR="0039413D" w:rsidRPr="0016385E">
        <w:t xml:space="preserve"> monitoring. </w:t>
      </w:r>
      <w:r w:rsidR="00F2155B">
        <w:t>M</w:t>
      </w:r>
      <w:r w:rsidR="00CE157D" w:rsidRPr="0016385E">
        <w:t>onitoring will be consolidated through: (</w:t>
      </w:r>
      <w:r w:rsidR="000B66A7" w:rsidRPr="0016385E">
        <w:t>a</w:t>
      </w:r>
      <w:r w:rsidR="00CE157D" w:rsidRPr="0016385E">
        <w:t>)</w:t>
      </w:r>
      <w:r w:rsidR="00F2155B">
        <w:t> </w:t>
      </w:r>
      <w:r w:rsidR="00660BB3" w:rsidRPr="0016385E">
        <w:t>biannual</w:t>
      </w:r>
      <w:r w:rsidR="00CE157D" w:rsidRPr="0016385E">
        <w:t xml:space="preserve"> meetings with Government and implementing partners; (</w:t>
      </w:r>
      <w:r w:rsidR="000B66A7" w:rsidRPr="0016385E">
        <w:t>b</w:t>
      </w:r>
      <w:r w:rsidR="00CE157D" w:rsidRPr="0016385E">
        <w:t xml:space="preserve">) joint field </w:t>
      </w:r>
      <w:r w:rsidR="00E14A9E" w:rsidRPr="0016385E">
        <w:t>visits</w:t>
      </w:r>
      <w:r w:rsidR="00CE157D" w:rsidRPr="0016385E">
        <w:t xml:space="preserve"> to monitor achievements</w:t>
      </w:r>
      <w:r w:rsidR="00E14A9E" w:rsidRPr="0016385E">
        <w:t xml:space="preserve"> and impact on </w:t>
      </w:r>
      <w:r w:rsidR="000B66A7" w:rsidRPr="0016385E">
        <w:t xml:space="preserve">people’s </w:t>
      </w:r>
      <w:r w:rsidR="00E14A9E" w:rsidRPr="0016385E">
        <w:t xml:space="preserve">lives; </w:t>
      </w:r>
      <w:r w:rsidR="00CE157D" w:rsidRPr="0016385E">
        <w:t>(</w:t>
      </w:r>
      <w:r w:rsidR="000B66A7" w:rsidRPr="0016385E">
        <w:t>c</w:t>
      </w:r>
      <w:r w:rsidR="00CE157D" w:rsidRPr="0016385E">
        <w:t>) annual program</w:t>
      </w:r>
      <w:r w:rsidR="000B66A7" w:rsidRPr="0016385E">
        <w:t>me</w:t>
      </w:r>
      <w:r w:rsidR="00CE157D" w:rsidRPr="0016385E">
        <w:t xml:space="preserve"> reviews</w:t>
      </w:r>
      <w:r w:rsidR="000B66A7" w:rsidRPr="0016385E">
        <w:t>;</w:t>
      </w:r>
      <w:r w:rsidR="00CE157D" w:rsidRPr="0016385E">
        <w:t xml:space="preserve"> and (</w:t>
      </w:r>
      <w:r w:rsidR="00C55B79">
        <w:t>d</w:t>
      </w:r>
      <w:r w:rsidR="00CE157D" w:rsidRPr="0016385E">
        <w:t xml:space="preserve">) </w:t>
      </w:r>
      <w:r w:rsidR="000B66A7" w:rsidRPr="0016385E">
        <w:t>r</w:t>
      </w:r>
      <w:r w:rsidR="00E065AF" w:rsidRPr="0016385E">
        <w:t>esult</w:t>
      </w:r>
      <w:r w:rsidR="000B66A7" w:rsidRPr="0016385E">
        <w:t>s</w:t>
      </w:r>
      <w:r w:rsidR="00CE157D" w:rsidRPr="0016385E">
        <w:t xml:space="preserve"> groups at the </w:t>
      </w:r>
      <w:r w:rsidR="000B66A7" w:rsidRPr="00882056">
        <w:t>United </w:t>
      </w:r>
      <w:r w:rsidR="00E43503" w:rsidRPr="00882056">
        <w:t>Nations Sustainable Development Cooperation Framework</w:t>
      </w:r>
      <w:r w:rsidR="00CE157D" w:rsidRPr="0016385E">
        <w:t xml:space="preserve"> level. </w:t>
      </w:r>
      <w:r w:rsidR="00B72F55">
        <w:t>Decentralized</w:t>
      </w:r>
      <w:r w:rsidR="00CE157D" w:rsidRPr="0016385E">
        <w:t xml:space="preserve"> evaluations will be </w:t>
      </w:r>
      <w:r w:rsidR="000B66A7" w:rsidRPr="0016385E">
        <w:t>conducted</w:t>
      </w:r>
      <w:r w:rsidR="00CE157D" w:rsidRPr="0016385E">
        <w:t xml:space="preserve"> in accordance with the appended evaluation plan.</w:t>
      </w:r>
    </w:p>
    <w:p w14:paraId="6333BF91" w14:textId="59BEDDC8" w:rsidR="000702CD" w:rsidRPr="0016385E" w:rsidRDefault="00B501A6" w:rsidP="00B501A6">
      <w:pPr>
        <w:pStyle w:val="ListParagraph"/>
        <w:spacing w:after="120"/>
        <w:ind w:left="1080" w:right="1218"/>
        <w:jc w:val="both"/>
      </w:pPr>
      <w:r>
        <w:t>37.</w:t>
      </w:r>
      <w:r>
        <w:tab/>
      </w:r>
      <w:r w:rsidR="000702CD" w:rsidRPr="0016385E">
        <w:t xml:space="preserve">The UNDP </w:t>
      </w:r>
      <w:r w:rsidR="000B66A7" w:rsidRPr="0016385E">
        <w:t>g</w:t>
      </w:r>
      <w:r w:rsidR="000702CD" w:rsidRPr="0016385E">
        <w:t xml:space="preserve">ender </w:t>
      </w:r>
      <w:r w:rsidR="000B66A7" w:rsidRPr="0016385E">
        <w:t>m</w:t>
      </w:r>
      <w:r w:rsidR="000702CD" w:rsidRPr="0016385E">
        <w:t xml:space="preserve">arker will be used as a planning, implementation and monitoring and evaluation tool to ensure that gender is effectively </w:t>
      </w:r>
      <w:r w:rsidR="007D0564" w:rsidRPr="0016385E">
        <w:t>mainstre</w:t>
      </w:r>
      <w:r w:rsidR="00E27C12" w:rsidRPr="0016385E">
        <w:t>amed</w:t>
      </w:r>
      <w:r w:rsidR="000702CD" w:rsidRPr="0016385E">
        <w:t xml:space="preserve"> in projects. It will also serve as a decision-making tool </w:t>
      </w:r>
      <w:r w:rsidR="00C55B79">
        <w:t xml:space="preserve">in </w:t>
      </w:r>
      <w:r w:rsidR="000702CD" w:rsidRPr="0016385E">
        <w:t>the allocation of resources support</w:t>
      </w:r>
      <w:r w:rsidR="00B226E0" w:rsidRPr="0016385E">
        <w:t>ing</w:t>
      </w:r>
      <w:r w:rsidR="000702CD" w:rsidRPr="0016385E">
        <w:t xml:space="preserve"> initiatives targeting gender</w:t>
      </w:r>
      <w:r w:rsidR="00B53F60" w:rsidRPr="0016385E">
        <w:t>.</w:t>
      </w:r>
    </w:p>
    <w:p w14:paraId="3337DE83" w14:textId="7A8949B1" w:rsidR="000702CD" w:rsidRPr="0016385E" w:rsidRDefault="00B501A6" w:rsidP="00B501A6">
      <w:pPr>
        <w:pStyle w:val="ListParagraph"/>
        <w:spacing w:after="120"/>
        <w:ind w:left="1080" w:right="1218"/>
        <w:jc w:val="both"/>
      </w:pPr>
      <w:r>
        <w:t>38.</w:t>
      </w:r>
      <w:r>
        <w:tab/>
      </w:r>
      <w:r w:rsidR="00B226E0" w:rsidRPr="0016385E">
        <w:t>T</w:t>
      </w:r>
      <w:r w:rsidR="000702CD" w:rsidRPr="0016385E">
        <w:t xml:space="preserve">o strengthen the operationalization of the </w:t>
      </w:r>
      <w:r w:rsidR="00B226E0" w:rsidRPr="0016385E">
        <w:t>monitoring and evaluation</w:t>
      </w:r>
      <w:r w:rsidR="000702CD" w:rsidRPr="0016385E">
        <w:t xml:space="preserve"> system, UNDP will allocate 5 </w:t>
      </w:r>
      <w:r w:rsidR="00EC49ED" w:rsidRPr="0016385E">
        <w:t>per cent</w:t>
      </w:r>
      <w:r w:rsidR="000702CD" w:rsidRPr="0016385E">
        <w:t xml:space="preserve"> of the program</w:t>
      </w:r>
      <w:r w:rsidR="00B226E0" w:rsidRPr="0016385E">
        <w:t>me</w:t>
      </w:r>
      <w:r w:rsidR="000702CD" w:rsidRPr="0016385E">
        <w:t xml:space="preserve"> budget to cover expenses</w:t>
      </w:r>
      <w:r w:rsidR="00EC646E" w:rsidRPr="0016385E">
        <w:t>, including for</w:t>
      </w:r>
      <w:r w:rsidR="000702CD" w:rsidRPr="0016385E">
        <w:t xml:space="preserve"> the collection of data for baseline and periodic surveys.</w:t>
      </w:r>
    </w:p>
    <w:p w14:paraId="76C0C854" w14:textId="07ACF24C" w:rsidR="00250662" w:rsidRPr="0016385E" w:rsidRDefault="00250662" w:rsidP="001F6360">
      <w:pPr>
        <w:pStyle w:val="ListParagraph"/>
        <w:ind w:left="643"/>
        <w:jc w:val="both"/>
      </w:pPr>
    </w:p>
    <w:bookmarkEnd w:id="0"/>
    <w:p w14:paraId="5CD2392C" w14:textId="77777777" w:rsidR="00250662" w:rsidRPr="0016385E" w:rsidRDefault="00250662" w:rsidP="00250662">
      <w:pPr>
        <w:spacing w:after="120"/>
        <w:jc w:val="both"/>
        <w:rPr>
          <w:rFonts w:cs="Calibri"/>
          <w:color w:val="000000"/>
          <w:shd w:val="clear" w:color="auto" w:fill="FFFFFF"/>
        </w:rPr>
        <w:sectPr w:rsidR="00250662" w:rsidRPr="0016385E" w:rsidSect="009B044B">
          <w:headerReference w:type="even" r:id="rId11"/>
          <w:headerReference w:type="default" r:id="rId12"/>
          <w:footerReference w:type="even" r:id="rId13"/>
          <w:footerReference w:type="default" r:id="rId14"/>
          <w:headerReference w:type="first" r:id="rId15"/>
          <w:footnotePr>
            <w:numRestart w:val="eachSect"/>
          </w:footnotePr>
          <w:endnotePr>
            <w:numFmt w:val="decimal"/>
            <w:numStart w:val="7"/>
          </w:endnotePr>
          <w:pgSz w:w="12240" w:h="15840" w:code="1"/>
          <w:pgMar w:top="751" w:right="1191" w:bottom="1440" w:left="1191" w:header="740" w:footer="1191" w:gutter="0"/>
          <w:cols w:space="720"/>
          <w:noEndnote/>
          <w:titlePg/>
          <w:docGrid w:linePitch="272"/>
        </w:sectPr>
      </w:pPr>
    </w:p>
    <w:p w14:paraId="52884528" w14:textId="2980836C" w:rsidR="004206C1" w:rsidRPr="00882056" w:rsidRDefault="004206C1" w:rsidP="004206C1">
      <w:pPr>
        <w:spacing w:after="120"/>
        <w:rPr>
          <w:b/>
          <w:color w:val="000000"/>
        </w:rPr>
      </w:pPr>
      <w:r w:rsidRPr="0016385E">
        <w:rPr>
          <w:b/>
          <w:color w:val="000000"/>
          <w:sz w:val="24"/>
          <w:szCs w:val="24"/>
        </w:rPr>
        <w:lastRenderedPageBreak/>
        <w:t xml:space="preserve">Annex. Results and resources framework for </w:t>
      </w:r>
      <w:r w:rsidR="0078247F" w:rsidRPr="0016385E">
        <w:rPr>
          <w:b/>
          <w:color w:val="000000"/>
          <w:sz w:val="24"/>
          <w:szCs w:val="24"/>
        </w:rPr>
        <w:t>Madagascar</w:t>
      </w:r>
      <w:r w:rsidRPr="0016385E">
        <w:rPr>
          <w:b/>
          <w:sz w:val="24"/>
          <w:szCs w:val="24"/>
        </w:rPr>
        <w:t xml:space="preserve"> </w:t>
      </w:r>
      <w:r w:rsidRPr="0016385E">
        <w:rPr>
          <w:b/>
          <w:color w:val="000000"/>
          <w:sz w:val="24"/>
          <w:szCs w:val="24"/>
        </w:rPr>
        <w:t>(2021-2023)</w:t>
      </w:r>
    </w:p>
    <w:tbl>
      <w:tblPr>
        <w:tblW w:w="5138"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971"/>
        <w:gridCol w:w="2250"/>
        <w:gridCol w:w="5039"/>
        <w:gridCol w:w="1981"/>
        <w:gridCol w:w="1348"/>
      </w:tblGrid>
      <w:tr w:rsidR="003F4379" w:rsidRPr="0016385E" w14:paraId="1DD2009C" w14:textId="77777777" w:rsidTr="002D535B">
        <w:tc>
          <w:tcPr>
            <w:tcW w:w="5000" w:type="pct"/>
            <w:gridSpan w:val="5"/>
            <w:shd w:val="clear" w:color="auto" w:fill="D9E2F3" w:themeFill="accent1" w:themeFillTint="33"/>
            <w:tcMar>
              <w:top w:w="72" w:type="dxa"/>
              <w:left w:w="144" w:type="dxa"/>
              <w:bottom w:w="72" w:type="dxa"/>
              <w:right w:w="144" w:type="dxa"/>
            </w:tcMar>
          </w:tcPr>
          <w:p w14:paraId="038AA3E0" w14:textId="6B69C378" w:rsidR="003F4379" w:rsidRPr="0016385E" w:rsidRDefault="007B4C84" w:rsidP="00177A8E">
            <w:pPr>
              <w:rPr>
                <w:b/>
                <w:sz w:val="18"/>
                <w:szCs w:val="18"/>
                <w:lang w:eastAsia="fr-FR"/>
              </w:rPr>
            </w:pPr>
            <w:r w:rsidRPr="0016385E">
              <w:rPr>
                <w:b/>
                <w:bCs/>
                <w:color w:val="000000"/>
                <w:sz w:val="18"/>
                <w:szCs w:val="18"/>
              </w:rPr>
              <w:t>National priority: Madagascar Emergence Plan</w:t>
            </w:r>
          </w:p>
          <w:p w14:paraId="1D31E2AE" w14:textId="60701475" w:rsidR="00BF0EFD" w:rsidRPr="0016385E" w:rsidRDefault="00BF0EFD" w:rsidP="00BF0EFD">
            <w:pPr>
              <w:rPr>
                <w:b/>
                <w:bCs/>
                <w:color w:val="000000"/>
                <w:sz w:val="18"/>
                <w:szCs w:val="18"/>
              </w:rPr>
            </w:pPr>
            <w:r w:rsidRPr="0016385E">
              <w:rPr>
                <w:b/>
                <w:bCs/>
                <w:color w:val="000000"/>
                <w:sz w:val="18"/>
                <w:szCs w:val="18"/>
              </w:rPr>
              <w:t>Commitment</w:t>
            </w:r>
            <w:r w:rsidR="00DE4FDC" w:rsidRPr="0016385E">
              <w:rPr>
                <w:b/>
                <w:bCs/>
                <w:color w:val="000000"/>
                <w:sz w:val="18"/>
                <w:szCs w:val="18"/>
              </w:rPr>
              <w:t>s</w:t>
            </w:r>
            <w:r w:rsidR="00713CD4" w:rsidRPr="0016385E">
              <w:rPr>
                <w:b/>
                <w:bCs/>
                <w:color w:val="000000"/>
                <w:sz w:val="18"/>
                <w:szCs w:val="18"/>
              </w:rPr>
              <w:t>:</w:t>
            </w:r>
            <w:r w:rsidRPr="0016385E">
              <w:rPr>
                <w:b/>
                <w:bCs/>
                <w:color w:val="000000"/>
                <w:sz w:val="18"/>
                <w:szCs w:val="18"/>
              </w:rPr>
              <w:t xml:space="preserve"> N° 1</w:t>
            </w:r>
            <w:r w:rsidR="00713CD4" w:rsidRPr="0016385E">
              <w:rPr>
                <w:b/>
                <w:bCs/>
                <w:color w:val="000000"/>
                <w:sz w:val="18"/>
                <w:szCs w:val="18"/>
              </w:rPr>
              <w:t>.</w:t>
            </w:r>
            <w:r w:rsidRPr="0016385E">
              <w:rPr>
                <w:b/>
                <w:bCs/>
                <w:color w:val="000000"/>
                <w:sz w:val="18"/>
                <w:szCs w:val="18"/>
              </w:rPr>
              <w:t xml:space="preserve"> Peace &amp; Security, Accessible &amp; Independent Justice</w:t>
            </w:r>
            <w:r w:rsidR="00F00594" w:rsidRPr="0016385E">
              <w:rPr>
                <w:b/>
                <w:bCs/>
                <w:color w:val="000000"/>
                <w:sz w:val="18"/>
                <w:szCs w:val="18"/>
              </w:rPr>
              <w:t xml:space="preserve">; </w:t>
            </w:r>
            <w:r w:rsidRPr="0016385E">
              <w:rPr>
                <w:b/>
                <w:bCs/>
                <w:color w:val="000000"/>
                <w:sz w:val="18"/>
                <w:szCs w:val="18"/>
              </w:rPr>
              <w:t>N° 3</w:t>
            </w:r>
            <w:r w:rsidR="00713CD4" w:rsidRPr="0016385E">
              <w:rPr>
                <w:b/>
                <w:bCs/>
                <w:color w:val="000000"/>
                <w:sz w:val="18"/>
                <w:szCs w:val="18"/>
              </w:rPr>
              <w:t>.</w:t>
            </w:r>
            <w:r w:rsidRPr="0016385E">
              <w:rPr>
                <w:b/>
                <w:bCs/>
                <w:color w:val="000000"/>
                <w:sz w:val="18"/>
                <w:szCs w:val="18"/>
              </w:rPr>
              <w:t xml:space="preserve"> </w:t>
            </w:r>
            <w:r w:rsidR="006D3DDB" w:rsidRPr="0016385E">
              <w:rPr>
                <w:b/>
                <w:bCs/>
                <w:color w:val="000000"/>
                <w:sz w:val="18"/>
                <w:szCs w:val="18"/>
              </w:rPr>
              <w:t>F</w:t>
            </w:r>
            <w:r w:rsidRPr="0016385E">
              <w:rPr>
                <w:b/>
                <w:bCs/>
                <w:color w:val="000000"/>
                <w:sz w:val="18"/>
                <w:szCs w:val="18"/>
              </w:rPr>
              <w:t xml:space="preserve">ight against </w:t>
            </w:r>
            <w:r w:rsidR="006D3DDB" w:rsidRPr="0016385E">
              <w:rPr>
                <w:b/>
                <w:bCs/>
                <w:color w:val="000000"/>
                <w:sz w:val="18"/>
                <w:szCs w:val="18"/>
              </w:rPr>
              <w:t>C</w:t>
            </w:r>
            <w:r w:rsidRPr="0016385E">
              <w:rPr>
                <w:b/>
                <w:bCs/>
                <w:color w:val="000000"/>
                <w:sz w:val="18"/>
                <w:szCs w:val="18"/>
              </w:rPr>
              <w:t>orruption</w:t>
            </w:r>
            <w:r w:rsidR="00F00594" w:rsidRPr="0016385E">
              <w:rPr>
                <w:b/>
                <w:bCs/>
                <w:color w:val="000000"/>
                <w:sz w:val="18"/>
                <w:szCs w:val="18"/>
              </w:rPr>
              <w:t xml:space="preserve">; </w:t>
            </w:r>
            <w:r w:rsidRPr="0016385E">
              <w:rPr>
                <w:b/>
                <w:bCs/>
                <w:color w:val="000000"/>
                <w:sz w:val="18"/>
                <w:szCs w:val="18"/>
              </w:rPr>
              <w:t>N° 12</w:t>
            </w:r>
            <w:r w:rsidR="00713CD4" w:rsidRPr="0016385E">
              <w:rPr>
                <w:b/>
                <w:bCs/>
                <w:color w:val="000000"/>
                <w:sz w:val="18"/>
                <w:szCs w:val="18"/>
              </w:rPr>
              <w:t>.</w:t>
            </w:r>
            <w:r w:rsidRPr="0016385E">
              <w:rPr>
                <w:b/>
                <w:bCs/>
                <w:color w:val="000000"/>
                <w:sz w:val="18"/>
                <w:szCs w:val="18"/>
              </w:rPr>
              <w:t xml:space="preserve"> Emerging </w:t>
            </w:r>
            <w:r w:rsidR="006D3DDB" w:rsidRPr="0016385E">
              <w:rPr>
                <w:b/>
                <w:bCs/>
                <w:color w:val="000000"/>
                <w:sz w:val="18"/>
                <w:szCs w:val="18"/>
              </w:rPr>
              <w:t>D</w:t>
            </w:r>
            <w:r w:rsidRPr="0016385E">
              <w:rPr>
                <w:b/>
                <w:bCs/>
                <w:color w:val="000000"/>
                <w:sz w:val="18"/>
                <w:szCs w:val="18"/>
              </w:rPr>
              <w:t>ecentralization</w:t>
            </w:r>
          </w:p>
        </w:tc>
      </w:tr>
      <w:tr w:rsidR="003F4379" w:rsidRPr="0016385E" w14:paraId="46FC1C7C" w14:textId="77777777" w:rsidTr="002D535B">
        <w:tc>
          <w:tcPr>
            <w:tcW w:w="5000" w:type="pct"/>
            <w:gridSpan w:val="5"/>
            <w:shd w:val="clear" w:color="auto" w:fill="D9E2F3" w:themeFill="accent1" w:themeFillTint="33"/>
            <w:tcMar>
              <w:top w:w="72" w:type="dxa"/>
              <w:left w:w="144" w:type="dxa"/>
              <w:bottom w:w="72" w:type="dxa"/>
              <w:right w:w="144" w:type="dxa"/>
            </w:tcMar>
          </w:tcPr>
          <w:p w14:paraId="1C6E1A85" w14:textId="0D78E4E0" w:rsidR="003F4379" w:rsidRPr="0016385E" w:rsidRDefault="00E43503" w:rsidP="00177A8E">
            <w:pPr>
              <w:rPr>
                <w:color w:val="000000"/>
                <w:sz w:val="18"/>
                <w:szCs w:val="18"/>
              </w:rPr>
            </w:pPr>
            <w:r w:rsidRPr="00882056">
              <w:rPr>
                <w:b/>
                <w:bCs/>
                <w:sz w:val="18"/>
                <w:szCs w:val="18"/>
              </w:rPr>
              <w:t xml:space="preserve">United Nations Sustainable Development Cooperation Framework </w:t>
            </w:r>
            <w:r w:rsidRPr="0016385E">
              <w:rPr>
                <w:b/>
                <w:bCs/>
                <w:sz w:val="18"/>
                <w:szCs w:val="18"/>
              </w:rPr>
              <w:t>(</w:t>
            </w:r>
            <w:r w:rsidR="00FB05E1" w:rsidRPr="0016385E">
              <w:rPr>
                <w:b/>
                <w:bCs/>
                <w:color w:val="000000"/>
                <w:sz w:val="18"/>
                <w:szCs w:val="18"/>
              </w:rPr>
              <w:t>UNSDCF</w:t>
            </w:r>
            <w:r w:rsidRPr="0016385E">
              <w:rPr>
                <w:b/>
                <w:bCs/>
                <w:color w:val="000000"/>
                <w:sz w:val="18"/>
                <w:szCs w:val="18"/>
              </w:rPr>
              <w:t>)</w:t>
            </w:r>
            <w:r w:rsidR="00FB05E1" w:rsidRPr="0016385E">
              <w:rPr>
                <w:b/>
                <w:bCs/>
                <w:color w:val="000000"/>
                <w:sz w:val="18"/>
                <w:szCs w:val="18"/>
              </w:rPr>
              <w:t xml:space="preserve"> OUTCOME (1.1) </w:t>
            </w:r>
            <w:r w:rsidR="006D675B" w:rsidRPr="0016385E">
              <w:rPr>
                <w:b/>
                <w:bCs/>
                <w:color w:val="000000"/>
                <w:sz w:val="18"/>
                <w:szCs w:val="18"/>
              </w:rPr>
              <w:t xml:space="preserve">involving </w:t>
            </w:r>
            <w:r w:rsidR="00FB05E1" w:rsidRPr="0016385E">
              <w:rPr>
                <w:b/>
                <w:bCs/>
                <w:color w:val="000000"/>
                <w:sz w:val="18"/>
                <w:szCs w:val="18"/>
              </w:rPr>
              <w:t>UNDP</w:t>
            </w:r>
            <w:r w:rsidRPr="0016385E">
              <w:rPr>
                <w:b/>
                <w:bCs/>
                <w:color w:val="000000"/>
                <w:sz w:val="18"/>
                <w:szCs w:val="18"/>
              </w:rPr>
              <w:t xml:space="preserve"> </w:t>
            </w:r>
            <w:r w:rsidR="00AC0D55" w:rsidRPr="0016385E">
              <w:rPr>
                <w:b/>
                <w:bCs/>
                <w:color w:val="000000"/>
                <w:sz w:val="18"/>
                <w:szCs w:val="18"/>
              </w:rPr>
              <w:t>N°</w:t>
            </w:r>
            <w:r w:rsidR="00AC0D55">
              <w:rPr>
                <w:b/>
                <w:bCs/>
                <w:color w:val="000000"/>
                <w:sz w:val="18"/>
                <w:szCs w:val="18"/>
              </w:rPr>
              <w:t xml:space="preserve"> </w:t>
            </w:r>
            <w:r w:rsidR="00941EB6" w:rsidRPr="0016385E">
              <w:rPr>
                <w:b/>
                <w:bCs/>
                <w:color w:val="000000"/>
                <w:sz w:val="18"/>
                <w:szCs w:val="18"/>
              </w:rPr>
              <w:t>1</w:t>
            </w:r>
            <w:r w:rsidR="003F4379" w:rsidRPr="0016385E">
              <w:rPr>
                <w:b/>
                <w:bCs/>
                <w:color w:val="000000"/>
                <w:sz w:val="18"/>
                <w:szCs w:val="18"/>
              </w:rPr>
              <w:t>:</w:t>
            </w:r>
            <w:r w:rsidR="003F4379" w:rsidRPr="0016385E">
              <w:rPr>
                <w:color w:val="000000"/>
                <w:sz w:val="18"/>
                <w:szCs w:val="18"/>
              </w:rPr>
              <w:t xml:space="preserve"> </w:t>
            </w:r>
            <w:r w:rsidR="00E128FB" w:rsidRPr="0016385E">
              <w:rPr>
                <w:b/>
                <w:bCs/>
                <w:sz w:val="18"/>
                <w:szCs w:val="18"/>
              </w:rPr>
              <w:t>By 2030, national institutions are effective, accountable, transparent and act within a constitutional and legal framework, while complying with the rule of law and respecting human rights, gender equality, environmental sustainability to ensure a foundation of political legitimacy.</w:t>
            </w:r>
          </w:p>
        </w:tc>
      </w:tr>
      <w:tr w:rsidR="003F4379" w:rsidRPr="0016385E" w14:paraId="5FB9F193" w14:textId="77777777" w:rsidTr="002D535B">
        <w:tc>
          <w:tcPr>
            <w:tcW w:w="5000" w:type="pct"/>
            <w:gridSpan w:val="5"/>
            <w:shd w:val="clear" w:color="auto" w:fill="D9E2F3" w:themeFill="accent1" w:themeFillTint="33"/>
            <w:tcMar>
              <w:top w:w="72" w:type="dxa"/>
              <w:left w:w="144" w:type="dxa"/>
              <w:bottom w:w="72" w:type="dxa"/>
              <w:right w:w="144" w:type="dxa"/>
            </w:tcMar>
          </w:tcPr>
          <w:p w14:paraId="50DD956A" w14:textId="2A0C43FE" w:rsidR="003F4379" w:rsidRPr="0016385E" w:rsidRDefault="007B4C84" w:rsidP="00177A8E">
            <w:pPr>
              <w:rPr>
                <w:b/>
                <w:bCs/>
                <w:color w:val="000000"/>
                <w:sz w:val="18"/>
                <w:szCs w:val="18"/>
              </w:rPr>
            </w:pPr>
            <w:r w:rsidRPr="0016385E">
              <w:rPr>
                <w:b/>
                <w:bCs/>
                <w:color w:val="000000"/>
                <w:sz w:val="18"/>
                <w:szCs w:val="18"/>
              </w:rPr>
              <w:t>Related Strategic Plan outcome</w:t>
            </w:r>
            <w:r w:rsidR="003F4379" w:rsidRPr="0016385E">
              <w:rPr>
                <w:b/>
                <w:bCs/>
                <w:color w:val="000000"/>
                <w:sz w:val="18"/>
                <w:szCs w:val="18"/>
              </w:rPr>
              <w:t xml:space="preserve">: </w:t>
            </w:r>
            <w:r w:rsidR="003F4379" w:rsidRPr="00882056">
              <w:rPr>
                <w:b/>
                <w:sz w:val="18"/>
                <w:szCs w:val="18"/>
              </w:rPr>
              <w:t>Outcome 2</w:t>
            </w:r>
            <w:r w:rsidR="00713CD4" w:rsidRPr="0016385E">
              <w:rPr>
                <w:b/>
                <w:sz w:val="18"/>
                <w:szCs w:val="18"/>
              </w:rPr>
              <w:t>.</w:t>
            </w:r>
            <w:r w:rsidR="003F4379" w:rsidRPr="00882056">
              <w:rPr>
                <w:b/>
                <w:sz w:val="18"/>
                <w:szCs w:val="18"/>
              </w:rPr>
              <w:t xml:space="preserve"> Accelerate structural transformations for sustainable development</w:t>
            </w:r>
            <w:r w:rsidR="003F4379" w:rsidRPr="0016385E" w:rsidDel="007E5629">
              <w:rPr>
                <w:b/>
                <w:bCs/>
                <w:sz w:val="18"/>
                <w:szCs w:val="18"/>
              </w:rPr>
              <w:t xml:space="preserve"> </w:t>
            </w:r>
          </w:p>
        </w:tc>
      </w:tr>
      <w:tr w:rsidR="003F4379" w:rsidRPr="0016385E" w14:paraId="2FDED187" w14:textId="77777777" w:rsidTr="00882056">
        <w:tc>
          <w:tcPr>
            <w:tcW w:w="1093" w:type="pct"/>
            <w:shd w:val="clear" w:color="auto" w:fill="D9E2F3" w:themeFill="accent1" w:themeFillTint="33"/>
            <w:tcMar>
              <w:top w:w="72" w:type="dxa"/>
              <w:left w:w="144" w:type="dxa"/>
              <w:bottom w:w="72" w:type="dxa"/>
              <w:right w:w="144" w:type="dxa"/>
            </w:tcMar>
            <w:vAlign w:val="center"/>
          </w:tcPr>
          <w:p w14:paraId="7B758E15" w14:textId="00C7A3F7" w:rsidR="003F4379" w:rsidRPr="0016385E" w:rsidRDefault="007B4C84" w:rsidP="00177A8E">
            <w:pPr>
              <w:jc w:val="center"/>
              <w:rPr>
                <w:color w:val="000000"/>
                <w:sz w:val="18"/>
                <w:szCs w:val="18"/>
              </w:rPr>
            </w:pPr>
            <w:r w:rsidRPr="0016385E">
              <w:rPr>
                <w:b/>
                <w:bCs/>
                <w:color w:val="000000"/>
                <w:sz w:val="18"/>
                <w:szCs w:val="18"/>
              </w:rPr>
              <w:t>Cooperation framework outcome indicator(s), baselines, target(s)</w:t>
            </w:r>
          </w:p>
        </w:tc>
        <w:tc>
          <w:tcPr>
            <w:tcW w:w="828" w:type="pct"/>
            <w:shd w:val="clear" w:color="auto" w:fill="D9E2F3" w:themeFill="accent1" w:themeFillTint="33"/>
            <w:vAlign w:val="center"/>
          </w:tcPr>
          <w:p w14:paraId="67D8BB3B" w14:textId="792AE705" w:rsidR="003F4379" w:rsidRPr="0016385E" w:rsidRDefault="007B4C84" w:rsidP="00177A8E">
            <w:pPr>
              <w:jc w:val="center"/>
              <w:rPr>
                <w:b/>
                <w:color w:val="000000"/>
                <w:sz w:val="18"/>
                <w:szCs w:val="18"/>
              </w:rPr>
            </w:pPr>
            <w:r w:rsidRPr="0016385E">
              <w:rPr>
                <w:b/>
                <w:color w:val="000000"/>
                <w:sz w:val="18"/>
                <w:szCs w:val="18"/>
              </w:rPr>
              <w:t>Data source and frequency of data collection, and responsibilities</w:t>
            </w:r>
          </w:p>
        </w:tc>
        <w:tc>
          <w:tcPr>
            <w:tcW w:w="1854" w:type="pct"/>
            <w:shd w:val="clear" w:color="auto" w:fill="D9E2F3" w:themeFill="accent1" w:themeFillTint="33"/>
            <w:tcMar>
              <w:top w:w="72" w:type="dxa"/>
              <w:left w:w="144" w:type="dxa"/>
              <w:bottom w:w="72" w:type="dxa"/>
              <w:right w:w="144" w:type="dxa"/>
            </w:tcMar>
            <w:vAlign w:val="center"/>
          </w:tcPr>
          <w:p w14:paraId="34562E09" w14:textId="21C232B7" w:rsidR="006A1B1C" w:rsidRPr="0016385E" w:rsidRDefault="007B4C84" w:rsidP="00177A8E">
            <w:pPr>
              <w:jc w:val="center"/>
              <w:rPr>
                <w:b/>
                <w:bCs/>
                <w:color w:val="000000"/>
                <w:sz w:val="18"/>
                <w:szCs w:val="18"/>
              </w:rPr>
            </w:pPr>
            <w:r w:rsidRPr="0016385E">
              <w:rPr>
                <w:b/>
                <w:bCs/>
                <w:color w:val="000000"/>
                <w:sz w:val="18"/>
                <w:szCs w:val="18"/>
              </w:rPr>
              <w:t xml:space="preserve">Indicative country programme outputs </w:t>
            </w:r>
          </w:p>
          <w:p w14:paraId="0093AD2A" w14:textId="6D0509B3" w:rsidR="003F4379" w:rsidRPr="0016385E" w:rsidRDefault="003F4379" w:rsidP="00177A8E">
            <w:pPr>
              <w:jc w:val="center"/>
              <w:rPr>
                <w:color w:val="000000"/>
                <w:sz w:val="18"/>
                <w:szCs w:val="18"/>
              </w:rPr>
            </w:pPr>
            <w:r w:rsidRPr="0016385E">
              <w:rPr>
                <w:b/>
                <w:bCs/>
                <w:i/>
                <w:color w:val="000000"/>
                <w:sz w:val="18"/>
                <w:szCs w:val="18"/>
              </w:rPr>
              <w:t>(including indicators, baselines</w:t>
            </w:r>
            <w:r w:rsidR="007B4C84" w:rsidRPr="0016385E">
              <w:rPr>
                <w:b/>
                <w:bCs/>
                <w:i/>
                <w:color w:val="000000"/>
                <w:sz w:val="18"/>
                <w:szCs w:val="18"/>
              </w:rPr>
              <w:t>,</w:t>
            </w:r>
            <w:r w:rsidRPr="0016385E">
              <w:rPr>
                <w:b/>
                <w:bCs/>
                <w:i/>
                <w:color w:val="000000"/>
                <w:sz w:val="18"/>
                <w:szCs w:val="18"/>
              </w:rPr>
              <w:t xml:space="preserve"> targets)</w:t>
            </w:r>
          </w:p>
        </w:tc>
        <w:tc>
          <w:tcPr>
            <w:tcW w:w="729" w:type="pct"/>
            <w:shd w:val="clear" w:color="auto" w:fill="D9E2F3" w:themeFill="accent1" w:themeFillTint="33"/>
            <w:vAlign w:val="center"/>
          </w:tcPr>
          <w:p w14:paraId="3C66D8DC" w14:textId="7552136E" w:rsidR="003F4379" w:rsidRPr="0016385E" w:rsidRDefault="007B4C84" w:rsidP="00177A8E">
            <w:pPr>
              <w:jc w:val="center"/>
              <w:rPr>
                <w:b/>
                <w:bCs/>
                <w:color w:val="000000"/>
                <w:sz w:val="18"/>
                <w:szCs w:val="18"/>
              </w:rPr>
            </w:pPr>
            <w:r w:rsidRPr="0016385E">
              <w:rPr>
                <w:b/>
                <w:bCs/>
                <w:color w:val="000000"/>
                <w:sz w:val="18"/>
                <w:szCs w:val="18"/>
              </w:rPr>
              <w:t>Major partners / partnerships /</w:t>
            </w:r>
          </w:p>
          <w:p w14:paraId="509A3708" w14:textId="33993413" w:rsidR="003F4379" w:rsidRPr="0016385E" w:rsidRDefault="007B4C84" w:rsidP="00177A8E">
            <w:pPr>
              <w:jc w:val="center"/>
              <w:rPr>
                <w:b/>
                <w:bCs/>
                <w:color w:val="000000"/>
                <w:sz w:val="18"/>
                <w:szCs w:val="18"/>
              </w:rPr>
            </w:pPr>
            <w:r w:rsidRPr="0016385E">
              <w:rPr>
                <w:b/>
                <w:bCs/>
                <w:color w:val="000000"/>
                <w:sz w:val="18"/>
                <w:szCs w:val="18"/>
              </w:rPr>
              <w:t>frameworks</w:t>
            </w:r>
          </w:p>
        </w:tc>
        <w:tc>
          <w:tcPr>
            <w:tcW w:w="496" w:type="pct"/>
            <w:shd w:val="clear" w:color="auto" w:fill="D9E2F3" w:themeFill="accent1" w:themeFillTint="33"/>
            <w:tcMar>
              <w:top w:w="15" w:type="dxa"/>
              <w:left w:w="108" w:type="dxa"/>
              <w:bottom w:w="0" w:type="dxa"/>
              <w:right w:w="108" w:type="dxa"/>
            </w:tcMar>
            <w:vAlign w:val="center"/>
          </w:tcPr>
          <w:p w14:paraId="473DFB4F" w14:textId="774A0093" w:rsidR="003F4379" w:rsidRPr="0016385E" w:rsidRDefault="007B4C84" w:rsidP="00177A8E">
            <w:pPr>
              <w:jc w:val="center"/>
              <w:rPr>
                <w:i/>
                <w:color w:val="0000FF"/>
                <w:sz w:val="18"/>
                <w:szCs w:val="18"/>
              </w:rPr>
            </w:pPr>
            <w:r w:rsidRPr="0016385E">
              <w:rPr>
                <w:b/>
                <w:bCs/>
                <w:color w:val="000000"/>
                <w:sz w:val="18"/>
                <w:szCs w:val="18"/>
              </w:rPr>
              <w:t>Estimated cost by outcome ($)</w:t>
            </w:r>
          </w:p>
        </w:tc>
      </w:tr>
      <w:tr w:rsidR="00F73C9E" w:rsidRPr="0016385E" w14:paraId="14F1CE92" w14:textId="77777777" w:rsidTr="00882056">
        <w:tc>
          <w:tcPr>
            <w:tcW w:w="1093" w:type="pct"/>
            <w:vMerge w:val="restart"/>
            <w:tcMar>
              <w:top w:w="72" w:type="dxa"/>
              <w:left w:w="144" w:type="dxa"/>
              <w:bottom w:w="72" w:type="dxa"/>
              <w:right w:w="144" w:type="dxa"/>
            </w:tcMar>
          </w:tcPr>
          <w:p w14:paraId="6EB8D2CD" w14:textId="176F9DB6" w:rsidR="00F73C9E" w:rsidRPr="0016385E" w:rsidRDefault="00F73C9E" w:rsidP="00933E98">
            <w:pPr>
              <w:rPr>
                <w:b/>
                <w:bCs/>
                <w:sz w:val="18"/>
                <w:szCs w:val="18"/>
              </w:rPr>
            </w:pPr>
            <w:r w:rsidRPr="0016385E">
              <w:rPr>
                <w:b/>
                <w:bCs/>
                <w:sz w:val="18"/>
                <w:szCs w:val="18"/>
              </w:rPr>
              <w:t>Indicator 1.1</w:t>
            </w:r>
            <w:r w:rsidR="007B4C84" w:rsidRPr="0016385E">
              <w:rPr>
                <w:b/>
                <w:bCs/>
                <w:sz w:val="18"/>
                <w:szCs w:val="18"/>
              </w:rPr>
              <w:t>.</w:t>
            </w:r>
            <w:r w:rsidRPr="0016385E">
              <w:rPr>
                <w:sz w:val="18"/>
                <w:szCs w:val="18"/>
              </w:rPr>
              <w:t xml:space="preserve"> </w:t>
            </w:r>
            <w:r w:rsidRPr="0016385E">
              <w:rPr>
                <w:b/>
                <w:bCs/>
                <w:sz w:val="18"/>
                <w:szCs w:val="18"/>
              </w:rPr>
              <w:t>Participation rate in the presidential election</w:t>
            </w:r>
          </w:p>
          <w:p w14:paraId="437BE9A6" w14:textId="77777777" w:rsidR="00F73C9E" w:rsidRPr="0016385E" w:rsidRDefault="00F73C9E" w:rsidP="00933E98">
            <w:pPr>
              <w:rPr>
                <w:sz w:val="18"/>
                <w:szCs w:val="18"/>
              </w:rPr>
            </w:pPr>
            <w:r w:rsidRPr="0016385E">
              <w:rPr>
                <w:sz w:val="18"/>
                <w:szCs w:val="18"/>
              </w:rPr>
              <w:t>Baseline (2018): 1st round: 54.23%</w:t>
            </w:r>
          </w:p>
          <w:p w14:paraId="03BF63CB" w14:textId="77777777" w:rsidR="00F73C9E" w:rsidRPr="0016385E" w:rsidRDefault="00F73C9E" w:rsidP="00933E98">
            <w:pPr>
              <w:rPr>
                <w:sz w:val="18"/>
                <w:szCs w:val="18"/>
              </w:rPr>
            </w:pPr>
            <w:r w:rsidRPr="0016385E">
              <w:rPr>
                <w:sz w:val="18"/>
                <w:szCs w:val="18"/>
              </w:rPr>
              <w:t xml:space="preserve">                            2nd round: 48.09%</w:t>
            </w:r>
          </w:p>
          <w:p w14:paraId="60641818" w14:textId="77777777" w:rsidR="00F73C9E" w:rsidRPr="0016385E" w:rsidRDefault="00F73C9E" w:rsidP="00933E98">
            <w:pPr>
              <w:rPr>
                <w:sz w:val="18"/>
                <w:szCs w:val="18"/>
              </w:rPr>
            </w:pPr>
            <w:r w:rsidRPr="0016385E">
              <w:rPr>
                <w:sz w:val="18"/>
                <w:szCs w:val="18"/>
              </w:rPr>
              <w:t>Target (2023):    1st round: 60%</w:t>
            </w:r>
          </w:p>
          <w:p w14:paraId="7AFD3724" w14:textId="77777777" w:rsidR="00F73C9E" w:rsidRPr="0016385E" w:rsidRDefault="00F73C9E" w:rsidP="00933E98">
            <w:pPr>
              <w:rPr>
                <w:sz w:val="18"/>
                <w:szCs w:val="18"/>
              </w:rPr>
            </w:pPr>
            <w:r w:rsidRPr="0016385E">
              <w:rPr>
                <w:sz w:val="18"/>
                <w:szCs w:val="18"/>
              </w:rPr>
              <w:t xml:space="preserve">                           2nd round: 60%</w:t>
            </w:r>
          </w:p>
          <w:p w14:paraId="636198AB" w14:textId="4B35101F" w:rsidR="00F73C9E" w:rsidRPr="00882056" w:rsidRDefault="00F73C9E" w:rsidP="007D142D">
            <w:pPr>
              <w:rPr>
                <w:sz w:val="18"/>
                <w:szCs w:val="18"/>
              </w:rPr>
            </w:pPr>
          </w:p>
        </w:tc>
        <w:tc>
          <w:tcPr>
            <w:tcW w:w="828" w:type="pct"/>
            <w:vMerge w:val="restart"/>
          </w:tcPr>
          <w:p w14:paraId="1AEBB382" w14:textId="30021CAB" w:rsidR="00F73C9E" w:rsidRPr="0016385E" w:rsidRDefault="00F73C9E" w:rsidP="00890FC5">
            <w:pPr>
              <w:rPr>
                <w:iCs/>
                <w:color w:val="000000"/>
                <w:sz w:val="18"/>
                <w:szCs w:val="18"/>
              </w:rPr>
            </w:pPr>
            <w:r w:rsidRPr="0016385E">
              <w:rPr>
                <w:iCs/>
                <w:color w:val="000000"/>
                <w:sz w:val="18"/>
                <w:szCs w:val="18"/>
              </w:rPr>
              <w:t xml:space="preserve">Independent National Electoral Commission (CENI) </w:t>
            </w:r>
            <w:r w:rsidR="007B4C84" w:rsidRPr="0016385E">
              <w:rPr>
                <w:iCs/>
                <w:color w:val="000000"/>
                <w:sz w:val="18"/>
                <w:szCs w:val="18"/>
              </w:rPr>
              <w:t>r</w:t>
            </w:r>
            <w:r w:rsidRPr="0016385E">
              <w:rPr>
                <w:iCs/>
                <w:color w:val="000000"/>
                <w:sz w:val="18"/>
                <w:szCs w:val="18"/>
              </w:rPr>
              <w:t>eport; next report in 2023</w:t>
            </w:r>
          </w:p>
          <w:p w14:paraId="71F36041" w14:textId="55326341" w:rsidR="00F73C9E" w:rsidRPr="0016385E" w:rsidRDefault="00F73C9E" w:rsidP="007D142D">
            <w:pPr>
              <w:rPr>
                <w:iCs/>
                <w:color w:val="000000"/>
                <w:sz w:val="18"/>
                <w:szCs w:val="18"/>
              </w:rPr>
            </w:pPr>
          </w:p>
        </w:tc>
        <w:tc>
          <w:tcPr>
            <w:tcW w:w="1854" w:type="pct"/>
            <w:vMerge w:val="restart"/>
            <w:tcMar>
              <w:top w:w="72" w:type="dxa"/>
              <w:left w:w="144" w:type="dxa"/>
              <w:bottom w:w="72" w:type="dxa"/>
              <w:right w:w="144" w:type="dxa"/>
            </w:tcMar>
          </w:tcPr>
          <w:p w14:paraId="36890090" w14:textId="3466CAC6" w:rsidR="000E37A4" w:rsidRPr="0016385E" w:rsidRDefault="00F73C9E" w:rsidP="000E37A4">
            <w:pPr>
              <w:rPr>
                <w:b/>
                <w:bCs/>
                <w:color w:val="000000"/>
                <w:sz w:val="18"/>
                <w:szCs w:val="18"/>
              </w:rPr>
            </w:pPr>
            <w:r w:rsidRPr="0016385E">
              <w:rPr>
                <w:b/>
                <w:bCs/>
                <w:color w:val="000000"/>
                <w:sz w:val="18"/>
                <w:szCs w:val="18"/>
              </w:rPr>
              <w:t>Output 1.1</w:t>
            </w:r>
            <w:r w:rsidR="007B4C84" w:rsidRPr="0016385E">
              <w:rPr>
                <w:b/>
                <w:bCs/>
                <w:color w:val="000000"/>
                <w:sz w:val="18"/>
                <w:szCs w:val="18"/>
              </w:rPr>
              <w:t>.</w:t>
            </w:r>
            <w:r w:rsidRPr="0016385E">
              <w:rPr>
                <w:b/>
                <w:bCs/>
                <w:color w:val="000000"/>
                <w:sz w:val="18"/>
                <w:szCs w:val="18"/>
              </w:rPr>
              <w:t xml:space="preserve"> </w:t>
            </w:r>
            <w:r w:rsidR="00C51BA2" w:rsidRPr="0016385E">
              <w:rPr>
                <w:b/>
                <w:bCs/>
                <w:color w:val="000000"/>
                <w:sz w:val="18"/>
                <w:szCs w:val="18"/>
              </w:rPr>
              <w:t xml:space="preserve">Constitutional, </w:t>
            </w:r>
            <w:r w:rsidR="007B4C84" w:rsidRPr="0016385E">
              <w:rPr>
                <w:b/>
                <w:bCs/>
                <w:color w:val="000000"/>
                <w:sz w:val="18"/>
                <w:szCs w:val="18"/>
              </w:rPr>
              <w:t>e</w:t>
            </w:r>
            <w:r w:rsidR="00C51BA2" w:rsidRPr="0016385E">
              <w:rPr>
                <w:b/>
                <w:bCs/>
                <w:color w:val="000000"/>
                <w:sz w:val="18"/>
                <w:szCs w:val="18"/>
              </w:rPr>
              <w:t xml:space="preserve">lectoral, </w:t>
            </w:r>
            <w:r w:rsidR="007B4C84" w:rsidRPr="0016385E">
              <w:rPr>
                <w:b/>
                <w:bCs/>
                <w:color w:val="000000"/>
                <w:sz w:val="18"/>
                <w:szCs w:val="18"/>
              </w:rPr>
              <w:t>p</w:t>
            </w:r>
            <w:r w:rsidR="00C51BA2" w:rsidRPr="0016385E">
              <w:rPr>
                <w:b/>
                <w:bCs/>
                <w:color w:val="000000"/>
                <w:sz w:val="18"/>
                <w:szCs w:val="18"/>
              </w:rPr>
              <w:t xml:space="preserve">arliamentary </w:t>
            </w:r>
            <w:r w:rsidR="000E37A4" w:rsidRPr="0016385E">
              <w:rPr>
                <w:b/>
                <w:bCs/>
                <w:color w:val="000000"/>
                <w:sz w:val="18"/>
                <w:szCs w:val="18"/>
              </w:rPr>
              <w:t>bodies</w:t>
            </w:r>
            <w:r w:rsidR="00C51BA2" w:rsidRPr="0016385E">
              <w:rPr>
                <w:b/>
                <w:bCs/>
                <w:color w:val="000000"/>
                <w:sz w:val="18"/>
                <w:szCs w:val="18"/>
              </w:rPr>
              <w:t xml:space="preserve"> and </w:t>
            </w:r>
            <w:r w:rsidR="007B4C84" w:rsidRPr="0016385E">
              <w:rPr>
                <w:b/>
                <w:bCs/>
                <w:color w:val="000000"/>
                <w:sz w:val="18"/>
                <w:szCs w:val="18"/>
              </w:rPr>
              <w:t>p</w:t>
            </w:r>
            <w:r w:rsidR="00C51BA2" w:rsidRPr="0016385E">
              <w:rPr>
                <w:b/>
                <w:bCs/>
                <w:color w:val="000000"/>
                <w:sz w:val="18"/>
                <w:szCs w:val="18"/>
              </w:rPr>
              <w:t xml:space="preserve">olitical actors, including </w:t>
            </w:r>
            <w:r w:rsidR="007B4C84" w:rsidRPr="0016385E">
              <w:rPr>
                <w:b/>
                <w:bCs/>
                <w:color w:val="000000"/>
                <w:sz w:val="18"/>
                <w:szCs w:val="18"/>
              </w:rPr>
              <w:t>m</w:t>
            </w:r>
            <w:r w:rsidR="00C51BA2" w:rsidRPr="0016385E">
              <w:rPr>
                <w:b/>
                <w:bCs/>
                <w:color w:val="000000"/>
                <w:sz w:val="18"/>
                <w:szCs w:val="18"/>
              </w:rPr>
              <w:t xml:space="preserve">edia and </w:t>
            </w:r>
            <w:r w:rsidR="007B4C84" w:rsidRPr="0016385E">
              <w:rPr>
                <w:b/>
                <w:bCs/>
                <w:color w:val="000000"/>
                <w:sz w:val="18"/>
                <w:szCs w:val="18"/>
              </w:rPr>
              <w:t>c</w:t>
            </w:r>
            <w:r w:rsidR="004F523F" w:rsidRPr="0016385E">
              <w:rPr>
                <w:b/>
                <w:bCs/>
                <w:color w:val="000000"/>
                <w:sz w:val="18"/>
                <w:szCs w:val="18"/>
              </w:rPr>
              <w:t>i</w:t>
            </w:r>
            <w:r w:rsidR="00C51BA2" w:rsidRPr="0016385E">
              <w:rPr>
                <w:b/>
                <w:bCs/>
                <w:color w:val="000000"/>
                <w:sz w:val="18"/>
                <w:szCs w:val="18"/>
              </w:rPr>
              <w:t xml:space="preserve">vil </w:t>
            </w:r>
            <w:r w:rsidR="007B4C84" w:rsidRPr="0016385E">
              <w:rPr>
                <w:b/>
                <w:bCs/>
                <w:color w:val="000000"/>
                <w:sz w:val="18"/>
                <w:szCs w:val="18"/>
              </w:rPr>
              <w:t>s</w:t>
            </w:r>
            <w:r w:rsidR="00C51BA2" w:rsidRPr="0016385E">
              <w:rPr>
                <w:b/>
                <w:bCs/>
                <w:color w:val="000000"/>
                <w:sz w:val="18"/>
                <w:szCs w:val="18"/>
              </w:rPr>
              <w:t>ociety</w:t>
            </w:r>
            <w:r w:rsidR="000E37A4" w:rsidRPr="0016385E">
              <w:rPr>
                <w:b/>
                <w:bCs/>
                <w:color w:val="000000"/>
                <w:sz w:val="18"/>
                <w:szCs w:val="18"/>
              </w:rPr>
              <w:t xml:space="preserve"> enabled</w:t>
            </w:r>
            <w:r w:rsidR="00C51BA2" w:rsidRPr="0016385E">
              <w:rPr>
                <w:b/>
                <w:bCs/>
                <w:color w:val="000000"/>
                <w:sz w:val="18"/>
                <w:szCs w:val="18"/>
              </w:rPr>
              <w:t xml:space="preserve"> to promote </w:t>
            </w:r>
            <w:r w:rsidR="000E37A4" w:rsidRPr="0016385E">
              <w:rPr>
                <w:b/>
                <w:bCs/>
                <w:color w:val="000000"/>
                <w:sz w:val="18"/>
                <w:szCs w:val="18"/>
              </w:rPr>
              <w:t xml:space="preserve">an inclusive, transparent, accountable, and stable </w:t>
            </w:r>
            <w:r w:rsidR="007B4C84" w:rsidRPr="0016385E">
              <w:rPr>
                <w:b/>
                <w:bCs/>
                <w:color w:val="000000"/>
                <w:sz w:val="18"/>
                <w:szCs w:val="18"/>
              </w:rPr>
              <w:t>p</w:t>
            </w:r>
            <w:r w:rsidR="000E37A4" w:rsidRPr="0016385E">
              <w:rPr>
                <w:b/>
                <w:bCs/>
                <w:color w:val="000000"/>
                <w:sz w:val="18"/>
                <w:szCs w:val="18"/>
              </w:rPr>
              <w:t xml:space="preserve">olitical </w:t>
            </w:r>
            <w:r w:rsidR="007B4C84" w:rsidRPr="0016385E">
              <w:rPr>
                <w:b/>
                <w:bCs/>
                <w:color w:val="000000"/>
                <w:sz w:val="18"/>
                <w:szCs w:val="18"/>
              </w:rPr>
              <w:t>s</w:t>
            </w:r>
            <w:r w:rsidR="000E37A4" w:rsidRPr="0016385E">
              <w:rPr>
                <w:b/>
                <w:bCs/>
                <w:color w:val="000000"/>
                <w:sz w:val="18"/>
                <w:szCs w:val="18"/>
              </w:rPr>
              <w:t>ystem.</w:t>
            </w:r>
          </w:p>
          <w:p w14:paraId="31177B3E" w14:textId="44F6342D" w:rsidR="00F73C9E" w:rsidRPr="0016385E" w:rsidRDefault="00F73C9E" w:rsidP="00E90C77">
            <w:pPr>
              <w:rPr>
                <w:color w:val="000000"/>
                <w:sz w:val="18"/>
                <w:szCs w:val="18"/>
              </w:rPr>
            </w:pPr>
            <w:r w:rsidRPr="0016385E">
              <w:rPr>
                <w:b/>
                <w:bCs/>
                <w:color w:val="000000"/>
                <w:sz w:val="18"/>
                <w:szCs w:val="18"/>
              </w:rPr>
              <w:t>Indicator 1.1.</w:t>
            </w:r>
            <w:r w:rsidR="00AA6171" w:rsidRPr="0016385E">
              <w:rPr>
                <w:b/>
                <w:bCs/>
                <w:color w:val="000000"/>
                <w:sz w:val="18"/>
                <w:szCs w:val="18"/>
              </w:rPr>
              <w:t>1</w:t>
            </w:r>
            <w:r w:rsidR="007B4C84" w:rsidRPr="0016385E">
              <w:rPr>
                <w:b/>
                <w:bCs/>
                <w:color w:val="000000"/>
                <w:sz w:val="18"/>
                <w:szCs w:val="18"/>
              </w:rPr>
              <w:t>.</w:t>
            </w:r>
            <w:r w:rsidRPr="0016385E">
              <w:rPr>
                <w:b/>
                <w:bCs/>
                <w:color w:val="000000"/>
                <w:sz w:val="18"/>
                <w:szCs w:val="18"/>
              </w:rPr>
              <w:t xml:space="preserve"> </w:t>
            </w:r>
            <w:r w:rsidR="00ED5A1E" w:rsidRPr="0016385E">
              <w:rPr>
                <w:color w:val="000000"/>
                <w:sz w:val="18"/>
                <w:szCs w:val="18"/>
              </w:rPr>
              <w:t>Exten</w:t>
            </w:r>
            <w:r w:rsidR="000317BC" w:rsidRPr="0016385E">
              <w:rPr>
                <w:color w:val="000000"/>
                <w:sz w:val="18"/>
                <w:szCs w:val="18"/>
              </w:rPr>
              <w:t>t</w:t>
            </w:r>
            <w:r w:rsidR="00ED5A1E" w:rsidRPr="0016385E">
              <w:rPr>
                <w:color w:val="000000"/>
                <w:sz w:val="18"/>
                <w:szCs w:val="18"/>
              </w:rPr>
              <w:t xml:space="preserve"> to which</w:t>
            </w:r>
            <w:r w:rsidR="00385974" w:rsidRPr="0016385E">
              <w:rPr>
                <w:color w:val="000000"/>
                <w:sz w:val="18"/>
                <w:szCs w:val="18"/>
              </w:rPr>
              <w:t xml:space="preserve"> </w:t>
            </w:r>
            <w:r w:rsidR="004C0FC6" w:rsidRPr="0016385E">
              <w:rPr>
                <w:color w:val="000000"/>
                <w:sz w:val="18"/>
                <w:szCs w:val="18"/>
              </w:rPr>
              <w:t>e</w:t>
            </w:r>
            <w:r w:rsidRPr="0016385E">
              <w:rPr>
                <w:color w:val="000000"/>
                <w:sz w:val="18"/>
                <w:szCs w:val="18"/>
              </w:rPr>
              <w:t xml:space="preserve">lectoral </w:t>
            </w:r>
            <w:r w:rsidR="004C0FC6" w:rsidRPr="0016385E">
              <w:rPr>
                <w:color w:val="000000"/>
                <w:sz w:val="18"/>
                <w:szCs w:val="18"/>
              </w:rPr>
              <w:t>m</w:t>
            </w:r>
            <w:r w:rsidRPr="0016385E">
              <w:rPr>
                <w:color w:val="000000"/>
                <w:sz w:val="18"/>
                <w:szCs w:val="18"/>
              </w:rPr>
              <w:t xml:space="preserve">anagement </w:t>
            </w:r>
            <w:r w:rsidR="004C0FC6" w:rsidRPr="0016385E">
              <w:rPr>
                <w:color w:val="000000"/>
                <w:sz w:val="18"/>
                <w:szCs w:val="18"/>
              </w:rPr>
              <w:t>b</w:t>
            </w:r>
            <w:r w:rsidRPr="0016385E">
              <w:rPr>
                <w:color w:val="000000"/>
                <w:sz w:val="18"/>
                <w:szCs w:val="18"/>
              </w:rPr>
              <w:t>odies</w:t>
            </w:r>
            <w:r w:rsidR="00385527" w:rsidRPr="0016385E">
              <w:rPr>
                <w:color w:val="000000"/>
                <w:sz w:val="18"/>
                <w:szCs w:val="18"/>
              </w:rPr>
              <w:t xml:space="preserve"> </w:t>
            </w:r>
            <w:r w:rsidR="00385527" w:rsidRPr="00CC7002">
              <w:rPr>
                <w:sz w:val="18"/>
                <w:szCs w:val="18"/>
              </w:rPr>
              <w:t>(</w:t>
            </w:r>
            <w:r w:rsidR="00D76BA8" w:rsidRPr="00CC7002">
              <w:rPr>
                <w:color w:val="000000"/>
                <w:sz w:val="18"/>
                <w:szCs w:val="18"/>
              </w:rPr>
              <w:t>Independent National Electoral Commission</w:t>
            </w:r>
            <w:r w:rsidR="00CC7002">
              <w:rPr>
                <w:color w:val="000000"/>
                <w:sz w:val="18"/>
                <w:szCs w:val="18"/>
              </w:rPr>
              <w:t xml:space="preserve"> – </w:t>
            </w:r>
            <w:r w:rsidR="00CC7002" w:rsidRPr="0016385E">
              <w:rPr>
                <w:color w:val="000000"/>
                <w:sz w:val="18"/>
                <w:szCs w:val="18"/>
              </w:rPr>
              <w:t>CENI</w:t>
            </w:r>
            <w:r w:rsidR="00385527" w:rsidRPr="0016385E">
              <w:rPr>
                <w:color w:val="000000"/>
                <w:sz w:val="18"/>
                <w:szCs w:val="18"/>
              </w:rPr>
              <w:t>, High Constitutional Court, Funding Control Commission</w:t>
            </w:r>
            <w:r w:rsidR="00171B5E" w:rsidRPr="0016385E">
              <w:rPr>
                <w:color w:val="000000"/>
                <w:sz w:val="18"/>
                <w:szCs w:val="18"/>
              </w:rPr>
              <w:t xml:space="preserve"> </w:t>
            </w:r>
            <w:r w:rsidR="00385527" w:rsidRPr="0016385E">
              <w:rPr>
                <w:color w:val="000000"/>
                <w:sz w:val="18"/>
                <w:szCs w:val="18"/>
              </w:rPr>
              <w:t>o</w:t>
            </w:r>
            <w:r w:rsidR="00171B5E" w:rsidRPr="0016385E">
              <w:rPr>
                <w:color w:val="000000"/>
                <w:sz w:val="18"/>
                <w:szCs w:val="18"/>
              </w:rPr>
              <w:t>n</w:t>
            </w:r>
            <w:r w:rsidR="00385527" w:rsidRPr="0016385E">
              <w:rPr>
                <w:color w:val="000000"/>
                <w:sz w:val="18"/>
                <w:szCs w:val="18"/>
              </w:rPr>
              <w:t xml:space="preserve"> political life)</w:t>
            </w:r>
            <w:r w:rsidRPr="0016385E">
              <w:rPr>
                <w:color w:val="000000"/>
                <w:sz w:val="18"/>
                <w:szCs w:val="18"/>
              </w:rPr>
              <w:t xml:space="preserve"> </w:t>
            </w:r>
            <w:r w:rsidR="00ED5A1E" w:rsidRPr="0016385E">
              <w:rPr>
                <w:color w:val="000000"/>
                <w:sz w:val="18"/>
                <w:szCs w:val="18"/>
              </w:rPr>
              <w:t xml:space="preserve">are </w:t>
            </w:r>
            <w:r w:rsidR="002277EF" w:rsidRPr="0016385E">
              <w:rPr>
                <w:color w:val="000000"/>
                <w:sz w:val="18"/>
                <w:szCs w:val="18"/>
              </w:rPr>
              <w:t>able</w:t>
            </w:r>
            <w:r w:rsidRPr="0016385E">
              <w:rPr>
                <w:color w:val="000000"/>
                <w:sz w:val="18"/>
                <w:szCs w:val="18"/>
              </w:rPr>
              <w:t xml:space="preserve"> to conduct inclusive and credible elections</w:t>
            </w:r>
            <w:r w:rsidR="002277EF" w:rsidRPr="0016385E">
              <w:rPr>
                <w:color w:val="000000"/>
                <w:sz w:val="18"/>
                <w:szCs w:val="18"/>
              </w:rPr>
              <w:t xml:space="preserve"> (Rating: 1</w:t>
            </w:r>
            <w:r w:rsidR="009310DA" w:rsidRPr="0016385E">
              <w:rPr>
                <w:color w:val="000000"/>
                <w:sz w:val="18"/>
                <w:szCs w:val="18"/>
              </w:rPr>
              <w:t>=</w:t>
            </w:r>
            <w:r w:rsidR="00EA1A7B" w:rsidRPr="0016385E">
              <w:rPr>
                <w:color w:val="000000"/>
                <w:sz w:val="18"/>
                <w:szCs w:val="18"/>
              </w:rPr>
              <w:t>weak; 2</w:t>
            </w:r>
            <w:r w:rsidR="009310DA" w:rsidRPr="0016385E">
              <w:rPr>
                <w:color w:val="000000"/>
                <w:sz w:val="18"/>
                <w:szCs w:val="18"/>
              </w:rPr>
              <w:t>=</w:t>
            </w:r>
            <w:r w:rsidR="004C0FC6" w:rsidRPr="0016385E">
              <w:rPr>
                <w:color w:val="000000"/>
                <w:sz w:val="18"/>
                <w:szCs w:val="18"/>
              </w:rPr>
              <w:t>f</w:t>
            </w:r>
            <w:r w:rsidR="00F94F54" w:rsidRPr="0016385E">
              <w:rPr>
                <w:color w:val="000000"/>
                <w:sz w:val="18"/>
                <w:szCs w:val="18"/>
              </w:rPr>
              <w:t xml:space="preserve">airly </w:t>
            </w:r>
            <w:r w:rsidR="004C0FC6" w:rsidRPr="0016385E">
              <w:rPr>
                <w:color w:val="000000"/>
                <w:sz w:val="18"/>
                <w:szCs w:val="18"/>
              </w:rPr>
              <w:t>g</w:t>
            </w:r>
            <w:r w:rsidR="004B5FD9" w:rsidRPr="0016385E">
              <w:rPr>
                <w:color w:val="000000"/>
                <w:sz w:val="18"/>
                <w:szCs w:val="18"/>
              </w:rPr>
              <w:t>ood; 3</w:t>
            </w:r>
            <w:r w:rsidR="009310DA" w:rsidRPr="0016385E">
              <w:rPr>
                <w:color w:val="000000"/>
                <w:sz w:val="18"/>
                <w:szCs w:val="18"/>
              </w:rPr>
              <w:t>=</w:t>
            </w:r>
            <w:r w:rsidR="004C0FC6" w:rsidRPr="0016385E">
              <w:rPr>
                <w:color w:val="000000"/>
                <w:sz w:val="18"/>
                <w:szCs w:val="18"/>
              </w:rPr>
              <w:t>g</w:t>
            </w:r>
            <w:r w:rsidR="004B5FD9" w:rsidRPr="0016385E">
              <w:rPr>
                <w:color w:val="000000"/>
                <w:sz w:val="18"/>
                <w:szCs w:val="18"/>
              </w:rPr>
              <w:t>ood; 4</w:t>
            </w:r>
            <w:r w:rsidR="009310DA" w:rsidRPr="0016385E">
              <w:rPr>
                <w:color w:val="000000"/>
                <w:sz w:val="18"/>
                <w:szCs w:val="18"/>
              </w:rPr>
              <w:t>=</w:t>
            </w:r>
            <w:r w:rsidR="004C0FC6" w:rsidRPr="0016385E">
              <w:rPr>
                <w:color w:val="000000"/>
                <w:sz w:val="18"/>
                <w:szCs w:val="18"/>
              </w:rPr>
              <w:t>very g</w:t>
            </w:r>
            <w:r w:rsidR="00F94F54" w:rsidRPr="0016385E">
              <w:rPr>
                <w:color w:val="000000"/>
                <w:sz w:val="18"/>
                <w:szCs w:val="18"/>
              </w:rPr>
              <w:t>ood; 5</w:t>
            </w:r>
            <w:r w:rsidR="009310DA" w:rsidRPr="0016385E">
              <w:rPr>
                <w:color w:val="000000"/>
                <w:sz w:val="18"/>
                <w:szCs w:val="18"/>
              </w:rPr>
              <w:t>=</w:t>
            </w:r>
            <w:r w:rsidR="004C0FC6" w:rsidRPr="0016385E">
              <w:rPr>
                <w:color w:val="000000"/>
                <w:sz w:val="18"/>
                <w:szCs w:val="18"/>
              </w:rPr>
              <w:t>e</w:t>
            </w:r>
            <w:r w:rsidR="004B5FD9" w:rsidRPr="0016385E">
              <w:rPr>
                <w:color w:val="000000"/>
                <w:sz w:val="18"/>
                <w:szCs w:val="18"/>
              </w:rPr>
              <w:t>xcellent</w:t>
            </w:r>
            <w:r w:rsidR="002675F4" w:rsidRPr="0016385E">
              <w:rPr>
                <w:color w:val="000000"/>
                <w:sz w:val="18"/>
                <w:szCs w:val="18"/>
              </w:rPr>
              <w:t>)</w:t>
            </w:r>
          </w:p>
          <w:p w14:paraId="6CDFD71B" w14:textId="49EC6776" w:rsidR="00F73C9E" w:rsidRPr="0016385E" w:rsidRDefault="00F73C9E" w:rsidP="00E90C77">
            <w:pPr>
              <w:rPr>
                <w:color w:val="000000"/>
                <w:sz w:val="18"/>
                <w:szCs w:val="18"/>
              </w:rPr>
            </w:pPr>
            <w:r w:rsidRPr="0016385E">
              <w:rPr>
                <w:color w:val="000000"/>
                <w:sz w:val="18"/>
                <w:szCs w:val="18"/>
              </w:rPr>
              <w:t>Baseline (2021):</w:t>
            </w:r>
            <w:r w:rsidR="00D966BA" w:rsidRPr="0016385E">
              <w:rPr>
                <w:color w:val="000000"/>
                <w:sz w:val="18"/>
                <w:szCs w:val="18"/>
              </w:rPr>
              <w:t xml:space="preserve"> </w:t>
            </w:r>
            <w:r w:rsidR="004C0FC6" w:rsidRPr="0016385E">
              <w:rPr>
                <w:color w:val="000000"/>
                <w:sz w:val="18"/>
                <w:szCs w:val="18"/>
              </w:rPr>
              <w:t>To be determined (</w:t>
            </w:r>
            <w:r w:rsidR="00235744" w:rsidRPr="0016385E">
              <w:rPr>
                <w:color w:val="000000"/>
                <w:sz w:val="18"/>
                <w:szCs w:val="18"/>
              </w:rPr>
              <w:t>TBD</w:t>
            </w:r>
            <w:r w:rsidR="004C0FC6" w:rsidRPr="0016385E">
              <w:rPr>
                <w:color w:val="000000"/>
                <w:sz w:val="18"/>
                <w:szCs w:val="18"/>
              </w:rPr>
              <w:t>)</w:t>
            </w:r>
          </w:p>
          <w:p w14:paraId="624C21FD" w14:textId="13BBD401" w:rsidR="00F73C9E" w:rsidRPr="0016385E" w:rsidRDefault="00F73C9E" w:rsidP="00E90C77">
            <w:pPr>
              <w:rPr>
                <w:color w:val="000000"/>
                <w:sz w:val="18"/>
                <w:szCs w:val="18"/>
              </w:rPr>
            </w:pPr>
            <w:r w:rsidRPr="0016385E">
              <w:rPr>
                <w:color w:val="000000"/>
                <w:sz w:val="18"/>
                <w:szCs w:val="18"/>
              </w:rPr>
              <w:t>Target (</w:t>
            </w:r>
            <w:r w:rsidR="005F2263" w:rsidRPr="0016385E">
              <w:rPr>
                <w:color w:val="000000"/>
                <w:sz w:val="18"/>
                <w:szCs w:val="18"/>
              </w:rPr>
              <w:t>2023</w:t>
            </w:r>
            <w:r w:rsidRPr="0016385E">
              <w:rPr>
                <w:color w:val="000000"/>
                <w:sz w:val="18"/>
                <w:szCs w:val="18"/>
              </w:rPr>
              <w:t>):</w:t>
            </w:r>
            <w:r w:rsidRPr="0016385E">
              <w:rPr>
                <w:sz w:val="18"/>
                <w:szCs w:val="18"/>
              </w:rPr>
              <w:t xml:space="preserve">  </w:t>
            </w:r>
            <w:r w:rsidR="00235744" w:rsidRPr="0016385E">
              <w:rPr>
                <w:sz w:val="18"/>
                <w:szCs w:val="18"/>
              </w:rPr>
              <w:t>B</w:t>
            </w:r>
            <w:r w:rsidR="00D966BA" w:rsidRPr="0016385E">
              <w:rPr>
                <w:sz w:val="18"/>
                <w:szCs w:val="18"/>
              </w:rPr>
              <w:t>aseline +1</w:t>
            </w:r>
          </w:p>
          <w:p w14:paraId="1DC0D86E" w14:textId="037723CE" w:rsidR="00F73C9E" w:rsidRPr="0016385E" w:rsidRDefault="00F73C9E" w:rsidP="00E90C77">
            <w:pPr>
              <w:rPr>
                <w:b/>
                <w:bCs/>
                <w:color w:val="000000"/>
                <w:sz w:val="18"/>
                <w:szCs w:val="18"/>
              </w:rPr>
            </w:pPr>
            <w:r w:rsidRPr="0016385E">
              <w:rPr>
                <w:i/>
                <w:iCs/>
                <w:color w:val="000000"/>
                <w:sz w:val="18"/>
                <w:szCs w:val="18"/>
              </w:rPr>
              <w:t xml:space="preserve">Data </w:t>
            </w:r>
            <w:r w:rsidR="004C0FC6" w:rsidRPr="0016385E">
              <w:rPr>
                <w:i/>
                <w:iCs/>
                <w:color w:val="000000"/>
                <w:sz w:val="18"/>
                <w:szCs w:val="18"/>
              </w:rPr>
              <w:t>s</w:t>
            </w:r>
            <w:r w:rsidRPr="0016385E">
              <w:rPr>
                <w:i/>
                <w:iCs/>
                <w:color w:val="000000"/>
                <w:sz w:val="18"/>
                <w:szCs w:val="18"/>
              </w:rPr>
              <w:t xml:space="preserve">ource: </w:t>
            </w:r>
            <w:r w:rsidR="006B2A78" w:rsidRPr="0016385E">
              <w:rPr>
                <w:i/>
                <w:iCs/>
                <w:color w:val="000000"/>
                <w:sz w:val="18"/>
                <w:szCs w:val="18"/>
              </w:rPr>
              <w:t>CENI</w:t>
            </w:r>
            <w:r w:rsidRPr="0016385E">
              <w:rPr>
                <w:i/>
                <w:iCs/>
                <w:color w:val="000000"/>
                <w:sz w:val="18"/>
                <w:szCs w:val="18"/>
              </w:rPr>
              <w:t xml:space="preserve"> </w:t>
            </w:r>
            <w:r w:rsidR="004B6635" w:rsidRPr="0016385E">
              <w:rPr>
                <w:i/>
                <w:iCs/>
                <w:color w:val="000000"/>
                <w:sz w:val="18"/>
                <w:szCs w:val="18"/>
              </w:rPr>
              <w:t>r</w:t>
            </w:r>
            <w:r w:rsidRPr="0016385E">
              <w:rPr>
                <w:i/>
                <w:iCs/>
                <w:color w:val="000000"/>
                <w:sz w:val="18"/>
                <w:szCs w:val="18"/>
              </w:rPr>
              <w:t xml:space="preserve">eports; Frequency: </w:t>
            </w:r>
            <w:r w:rsidR="004B6635" w:rsidRPr="0016385E">
              <w:rPr>
                <w:i/>
                <w:iCs/>
                <w:color w:val="000000"/>
                <w:sz w:val="18"/>
                <w:szCs w:val="18"/>
              </w:rPr>
              <w:t>a</w:t>
            </w:r>
            <w:r w:rsidRPr="0016385E">
              <w:rPr>
                <w:i/>
                <w:iCs/>
                <w:color w:val="000000"/>
                <w:sz w:val="18"/>
                <w:szCs w:val="18"/>
              </w:rPr>
              <w:t>nnual</w:t>
            </w:r>
          </w:p>
          <w:p w14:paraId="6F46DC25" w14:textId="18C02EED" w:rsidR="00AD54CD" w:rsidRPr="0016385E" w:rsidRDefault="00F73C9E" w:rsidP="00AD54CD">
            <w:pPr>
              <w:rPr>
                <w:color w:val="000000"/>
                <w:sz w:val="18"/>
                <w:szCs w:val="18"/>
              </w:rPr>
            </w:pPr>
            <w:r w:rsidRPr="0016385E">
              <w:rPr>
                <w:b/>
                <w:bCs/>
                <w:color w:val="000000"/>
                <w:sz w:val="18"/>
                <w:szCs w:val="18"/>
              </w:rPr>
              <w:t>Indicator 1.1.</w:t>
            </w:r>
            <w:r w:rsidR="00F14EDA" w:rsidRPr="0016385E">
              <w:rPr>
                <w:b/>
                <w:bCs/>
                <w:color w:val="000000"/>
                <w:sz w:val="18"/>
                <w:szCs w:val="18"/>
              </w:rPr>
              <w:t>2</w:t>
            </w:r>
            <w:r w:rsidR="00D96C66" w:rsidRPr="0016385E">
              <w:rPr>
                <w:b/>
                <w:bCs/>
                <w:color w:val="000000"/>
                <w:sz w:val="18"/>
                <w:szCs w:val="18"/>
              </w:rPr>
              <w:t>.</w:t>
            </w:r>
            <w:r w:rsidRPr="0016385E">
              <w:rPr>
                <w:b/>
                <w:bCs/>
                <w:color w:val="000000"/>
                <w:sz w:val="18"/>
                <w:szCs w:val="18"/>
              </w:rPr>
              <w:t xml:space="preserve"> </w:t>
            </w:r>
            <w:r w:rsidR="009C78EB" w:rsidRPr="0016385E">
              <w:rPr>
                <w:color w:val="000000"/>
                <w:sz w:val="18"/>
                <w:szCs w:val="18"/>
              </w:rPr>
              <w:t xml:space="preserve">Extent to which </w:t>
            </w:r>
            <w:r w:rsidR="00AD49B1" w:rsidRPr="0016385E">
              <w:rPr>
                <w:color w:val="000000"/>
                <w:sz w:val="18"/>
                <w:szCs w:val="18"/>
              </w:rPr>
              <w:t xml:space="preserve">the </w:t>
            </w:r>
            <w:r w:rsidRPr="0016385E">
              <w:rPr>
                <w:color w:val="000000"/>
                <w:sz w:val="18"/>
                <w:szCs w:val="18"/>
              </w:rPr>
              <w:t xml:space="preserve">parliamentary </w:t>
            </w:r>
            <w:r w:rsidR="009C78EB" w:rsidRPr="0016385E">
              <w:rPr>
                <w:color w:val="000000"/>
                <w:sz w:val="18"/>
                <w:szCs w:val="18"/>
              </w:rPr>
              <w:t xml:space="preserve">Legal Commission </w:t>
            </w:r>
            <w:r w:rsidR="002F7A69" w:rsidRPr="0016385E">
              <w:rPr>
                <w:color w:val="000000"/>
                <w:sz w:val="18"/>
                <w:szCs w:val="18"/>
              </w:rPr>
              <w:t>has</w:t>
            </w:r>
            <w:r w:rsidR="00AD49B1" w:rsidRPr="0016385E">
              <w:rPr>
                <w:color w:val="000000"/>
                <w:sz w:val="18"/>
                <w:szCs w:val="18"/>
              </w:rPr>
              <w:t xml:space="preserve"> </w:t>
            </w:r>
            <w:r w:rsidR="002F7A69" w:rsidRPr="0016385E">
              <w:rPr>
                <w:color w:val="000000"/>
                <w:sz w:val="18"/>
                <w:szCs w:val="18"/>
              </w:rPr>
              <w:t>capacities</w:t>
            </w:r>
            <w:r w:rsidR="00AD49B1" w:rsidRPr="0016385E">
              <w:rPr>
                <w:color w:val="000000"/>
                <w:sz w:val="18"/>
                <w:szCs w:val="18"/>
              </w:rPr>
              <w:t xml:space="preserve"> to</w:t>
            </w:r>
            <w:r w:rsidRPr="0016385E">
              <w:rPr>
                <w:color w:val="000000"/>
                <w:sz w:val="18"/>
                <w:szCs w:val="18"/>
              </w:rPr>
              <w:t xml:space="preserve"> undertake inclusive and accountable law</w:t>
            </w:r>
            <w:r w:rsidR="004C0FC6" w:rsidRPr="0016385E">
              <w:rPr>
                <w:color w:val="000000"/>
                <w:sz w:val="18"/>
                <w:szCs w:val="18"/>
              </w:rPr>
              <w:t>-</w:t>
            </w:r>
            <w:r w:rsidRPr="0016385E">
              <w:rPr>
                <w:color w:val="000000"/>
                <w:sz w:val="18"/>
                <w:szCs w:val="18"/>
              </w:rPr>
              <w:t>making</w:t>
            </w:r>
            <w:r w:rsidR="00A83CB0" w:rsidRPr="0016385E">
              <w:rPr>
                <w:color w:val="000000"/>
                <w:sz w:val="18"/>
                <w:szCs w:val="18"/>
              </w:rPr>
              <w:t xml:space="preserve"> decision</w:t>
            </w:r>
            <w:r w:rsidR="00DA7ECE" w:rsidRPr="0016385E">
              <w:rPr>
                <w:color w:val="000000"/>
                <w:sz w:val="18"/>
                <w:szCs w:val="18"/>
              </w:rPr>
              <w:t>s</w:t>
            </w:r>
            <w:r w:rsidRPr="0016385E">
              <w:rPr>
                <w:color w:val="000000"/>
                <w:sz w:val="18"/>
                <w:szCs w:val="18"/>
              </w:rPr>
              <w:t>.</w:t>
            </w:r>
            <w:r w:rsidR="00AD54CD" w:rsidRPr="0016385E">
              <w:rPr>
                <w:sz w:val="18"/>
                <w:szCs w:val="18"/>
              </w:rPr>
              <w:t xml:space="preserve"> </w:t>
            </w:r>
            <w:r w:rsidR="00AD54CD" w:rsidRPr="0016385E">
              <w:rPr>
                <w:color w:val="000000"/>
                <w:sz w:val="18"/>
                <w:szCs w:val="18"/>
              </w:rPr>
              <w:t>(Rating: 1</w:t>
            </w:r>
            <w:r w:rsidR="009310DA" w:rsidRPr="0016385E">
              <w:rPr>
                <w:color w:val="000000"/>
                <w:sz w:val="18"/>
                <w:szCs w:val="18"/>
              </w:rPr>
              <w:t>=</w:t>
            </w:r>
            <w:r w:rsidR="00AD54CD" w:rsidRPr="0016385E">
              <w:rPr>
                <w:color w:val="000000"/>
                <w:sz w:val="18"/>
                <w:szCs w:val="18"/>
              </w:rPr>
              <w:t xml:space="preserve">weak; </w:t>
            </w:r>
            <w:r w:rsidR="004C0FC6" w:rsidRPr="0016385E">
              <w:rPr>
                <w:color w:val="000000"/>
                <w:sz w:val="18"/>
                <w:szCs w:val="18"/>
              </w:rPr>
              <w:t>2=fairly good; 3=good; 4=very good; 5=excellent)</w:t>
            </w:r>
            <w:r w:rsidR="00AD54CD" w:rsidRPr="0016385E">
              <w:rPr>
                <w:color w:val="000000"/>
                <w:sz w:val="18"/>
                <w:szCs w:val="18"/>
              </w:rPr>
              <w:t>)</w:t>
            </w:r>
          </w:p>
          <w:p w14:paraId="0C78666A" w14:textId="72105325" w:rsidR="00AD54CD" w:rsidRPr="0016385E" w:rsidRDefault="00AD54CD" w:rsidP="00882056">
            <w:pPr>
              <w:tabs>
                <w:tab w:val="left" w:pos="3183"/>
              </w:tabs>
              <w:rPr>
                <w:color w:val="000000"/>
                <w:sz w:val="18"/>
                <w:szCs w:val="18"/>
              </w:rPr>
            </w:pPr>
            <w:r w:rsidRPr="0016385E">
              <w:rPr>
                <w:color w:val="000000"/>
                <w:sz w:val="18"/>
                <w:szCs w:val="18"/>
              </w:rPr>
              <w:t>Baseline (2021):</w:t>
            </w:r>
            <w:r w:rsidR="00203E52" w:rsidRPr="0016385E">
              <w:rPr>
                <w:color w:val="000000"/>
                <w:sz w:val="18"/>
                <w:szCs w:val="18"/>
              </w:rPr>
              <w:t xml:space="preserve"> </w:t>
            </w:r>
            <w:r w:rsidR="004963E8" w:rsidRPr="0016385E">
              <w:rPr>
                <w:color w:val="000000"/>
                <w:sz w:val="18"/>
                <w:szCs w:val="18"/>
              </w:rPr>
              <w:t>TBD</w:t>
            </w:r>
            <w:r w:rsidR="00A364FD" w:rsidRPr="0016385E">
              <w:rPr>
                <w:color w:val="000000"/>
                <w:sz w:val="18"/>
                <w:szCs w:val="18"/>
              </w:rPr>
              <w:tab/>
            </w:r>
          </w:p>
          <w:p w14:paraId="14BC47BF" w14:textId="34EA83A2" w:rsidR="00AD54CD" w:rsidRPr="0016385E" w:rsidRDefault="00AD54CD" w:rsidP="00AD54CD">
            <w:pPr>
              <w:rPr>
                <w:color w:val="000000"/>
                <w:sz w:val="18"/>
                <w:szCs w:val="18"/>
              </w:rPr>
            </w:pPr>
            <w:r w:rsidRPr="0016385E">
              <w:rPr>
                <w:color w:val="000000"/>
                <w:sz w:val="18"/>
                <w:szCs w:val="18"/>
              </w:rPr>
              <w:t>Target (</w:t>
            </w:r>
            <w:r w:rsidR="002F7A69" w:rsidRPr="0016385E">
              <w:rPr>
                <w:color w:val="000000"/>
                <w:sz w:val="18"/>
                <w:szCs w:val="18"/>
              </w:rPr>
              <w:t>2023</w:t>
            </w:r>
            <w:r w:rsidRPr="0016385E">
              <w:rPr>
                <w:color w:val="000000"/>
                <w:sz w:val="18"/>
                <w:szCs w:val="18"/>
              </w:rPr>
              <w:t xml:space="preserve">):  </w:t>
            </w:r>
            <w:r w:rsidR="004963E8" w:rsidRPr="0016385E">
              <w:rPr>
                <w:color w:val="000000"/>
                <w:sz w:val="18"/>
                <w:szCs w:val="18"/>
              </w:rPr>
              <w:t>B</w:t>
            </w:r>
            <w:r w:rsidR="00203E52" w:rsidRPr="0016385E">
              <w:rPr>
                <w:color w:val="000000"/>
                <w:sz w:val="18"/>
                <w:szCs w:val="18"/>
              </w:rPr>
              <w:t>aseline +1</w:t>
            </w:r>
          </w:p>
          <w:p w14:paraId="61427DDE" w14:textId="054B19ED" w:rsidR="00F73C9E" w:rsidRPr="0016385E" w:rsidRDefault="00F73C9E" w:rsidP="00AD54CD">
            <w:pPr>
              <w:rPr>
                <w:b/>
                <w:bCs/>
                <w:color w:val="000000"/>
                <w:sz w:val="18"/>
                <w:szCs w:val="18"/>
              </w:rPr>
            </w:pPr>
            <w:r w:rsidRPr="0016385E">
              <w:rPr>
                <w:i/>
                <w:iCs/>
                <w:color w:val="000000"/>
                <w:sz w:val="18"/>
                <w:szCs w:val="18"/>
              </w:rPr>
              <w:t xml:space="preserve">Data </w:t>
            </w:r>
            <w:r w:rsidR="004C0FC6" w:rsidRPr="0016385E">
              <w:rPr>
                <w:i/>
                <w:iCs/>
                <w:color w:val="000000"/>
                <w:sz w:val="18"/>
                <w:szCs w:val="18"/>
              </w:rPr>
              <w:t>s</w:t>
            </w:r>
            <w:r w:rsidRPr="0016385E">
              <w:rPr>
                <w:i/>
                <w:iCs/>
                <w:color w:val="000000"/>
                <w:sz w:val="18"/>
                <w:szCs w:val="18"/>
              </w:rPr>
              <w:t xml:space="preserve">ource: </w:t>
            </w:r>
            <w:r w:rsidR="0076112A" w:rsidRPr="0016385E">
              <w:rPr>
                <w:i/>
                <w:iCs/>
                <w:color w:val="000000"/>
                <w:sz w:val="18"/>
                <w:szCs w:val="18"/>
              </w:rPr>
              <w:t>Par</w:t>
            </w:r>
            <w:r w:rsidR="00524100" w:rsidRPr="0016385E">
              <w:rPr>
                <w:i/>
                <w:iCs/>
                <w:color w:val="000000"/>
                <w:sz w:val="18"/>
                <w:szCs w:val="18"/>
              </w:rPr>
              <w:t xml:space="preserve">liament </w:t>
            </w:r>
            <w:r w:rsidR="004C0FC6" w:rsidRPr="0016385E">
              <w:rPr>
                <w:i/>
                <w:iCs/>
                <w:color w:val="000000"/>
                <w:sz w:val="18"/>
                <w:szCs w:val="18"/>
              </w:rPr>
              <w:t>r</w:t>
            </w:r>
            <w:r w:rsidR="00524100" w:rsidRPr="0016385E">
              <w:rPr>
                <w:i/>
                <w:iCs/>
                <w:color w:val="000000"/>
                <w:sz w:val="18"/>
                <w:szCs w:val="18"/>
              </w:rPr>
              <w:t>eports; Frequency</w:t>
            </w:r>
            <w:r w:rsidRPr="0016385E">
              <w:rPr>
                <w:i/>
                <w:iCs/>
                <w:color w:val="000000"/>
                <w:sz w:val="18"/>
                <w:szCs w:val="18"/>
              </w:rPr>
              <w:t xml:space="preserve">: </w:t>
            </w:r>
            <w:r w:rsidR="004B6635" w:rsidRPr="0016385E">
              <w:rPr>
                <w:i/>
                <w:iCs/>
                <w:color w:val="000000"/>
                <w:sz w:val="18"/>
                <w:szCs w:val="18"/>
              </w:rPr>
              <w:t>a</w:t>
            </w:r>
            <w:r w:rsidRPr="0016385E">
              <w:rPr>
                <w:i/>
                <w:iCs/>
                <w:color w:val="000000"/>
                <w:sz w:val="18"/>
                <w:szCs w:val="18"/>
              </w:rPr>
              <w:t xml:space="preserve">nnual </w:t>
            </w:r>
          </w:p>
          <w:p w14:paraId="007E8298" w14:textId="0CA55587" w:rsidR="00F73C9E" w:rsidRPr="0016385E" w:rsidRDefault="00F73C9E" w:rsidP="000E28A9">
            <w:pPr>
              <w:rPr>
                <w:color w:val="000000"/>
                <w:sz w:val="18"/>
                <w:szCs w:val="18"/>
              </w:rPr>
            </w:pPr>
            <w:r w:rsidRPr="0016385E">
              <w:rPr>
                <w:b/>
                <w:bCs/>
                <w:color w:val="000000"/>
                <w:sz w:val="18"/>
                <w:szCs w:val="18"/>
              </w:rPr>
              <w:t>Indicator 1.1.</w:t>
            </w:r>
            <w:r w:rsidR="004F523F" w:rsidRPr="0016385E">
              <w:rPr>
                <w:b/>
                <w:bCs/>
                <w:color w:val="000000"/>
                <w:sz w:val="18"/>
                <w:szCs w:val="18"/>
              </w:rPr>
              <w:t>3</w:t>
            </w:r>
            <w:r w:rsidR="00D96C66" w:rsidRPr="0016385E">
              <w:rPr>
                <w:b/>
                <w:bCs/>
                <w:color w:val="000000"/>
                <w:sz w:val="18"/>
                <w:szCs w:val="18"/>
              </w:rPr>
              <w:t>.</w:t>
            </w:r>
            <w:r w:rsidRPr="0016385E">
              <w:rPr>
                <w:b/>
                <w:bCs/>
                <w:color w:val="000000"/>
                <w:sz w:val="18"/>
                <w:szCs w:val="18"/>
              </w:rPr>
              <w:t xml:space="preserve"> </w:t>
            </w:r>
            <w:r w:rsidRPr="0016385E">
              <w:rPr>
                <w:sz w:val="18"/>
                <w:szCs w:val="18"/>
              </w:rPr>
              <w:t xml:space="preserve">Number </w:t>
            </w:r>
            <w:r w:rsidRPr="0016385E">
              <w:rPr>
                <w:color w:val="000000"/>
                <w:sz w:val="18"/>
                <w:szCs w:val="18"/>
              </w:rPr>
              <w:t xml:space="preserve">of </w:t>
            </w:r>
            <w:r w:rsidR="004C0FC6" w:rsidRPr="0016385E">
              <w:rPr>
                <w:color w:val="000000"/>
                <w:sz w:val="18"/>
                <w:szCs w:val="18"/>
              </w:rPr>
              <w:t>m</w:t>
            </w:r>
            <w:r w:rsidRPr="0016385E">
              <w:rPr>
                <w:color w:val="000000"/>
                <w:sz w:val="18"/>
                <w:szCs w:val="18"/>
              </w:rPr>
              <w:t xml:space="preserve">edia and </w:t>
            </w:r>
            <w:r w:rsidR="004C0FC6" w:rsidRPr="0016385E">
              <w:rPr>
                <w:color w:val="000000"/>
                <w:sz w:val="18"/>
                <w:szCs w:val="18"/>
              </w:rPr>
              <w:t>civil society organizations (</w:t>
            </w:r>
            <w:r w:rsidRPr="0016385E">
              <w:rPr>
                <w:color w:val="000000"/>
                <w:sz w:val="18"/>
                <w:szCs w:val="18"/>
              </w:rPr>
              <w:t>CSOs</w:t>
            </w:r>
            <w:r w:rsidR="004C0FC6" w:rsidRPr="0016385E">
              <w:rPr>
                <w:color w:val="000000"/>
                <w:sz w:val="18"/>
                <w:szCs w:val="18"/>
              </w:rPr>
              <w:t>)</w:t>
            </w:r>
            <w:r w:rsidRPr="0016385E">
              <w:rPr>
                <w:color w:val="000000"/>
                <w:sz w:val="18"/>
                <w:szCs w:val="18"/>
              </w:rPr>
              <w:t xml:space="preserve"> participat</w:t>
            </w:r>
            <w:r w:rsidR="004C0FC6" w:rsidRPr="0016385E">
              <w:rPr>
                <w:color w:val="000000"/>
                <w:sz w:val="18"/>
                <w:szCs w:val="18"/>
              </w:rPr>
              <w:t>ing</w:t>
            </w:r>
            <w:r w:rsidRPr="0016385E">
              <w:rPr>
                <w:color w:val="000000"/>
                <w:sz w:val="18"/>
                <w:szCs w:val="18"/>
              </w:rPr>
              <w:t xml:space="preserve"> in law-making process</w:t>
            </w:r>
            <w:r w:rsidR="00801B29" w:rsidRPr="0016385E">
              <w:rPr>
                <w:color w:val="000000"/>
                <w:sz w:val="18"/>
                <w:szCs w:val="18"/>
              </w:rPr>
              <w:t xml:space="preserve"> to </w:t>
            </w:r>
            <w:r w:rsidRPr="0016385E">
              <w:rPr>
                <w:color w:val="000000"/>
                <w:sz w:val="18"/>
                <w:szCs w:val="18"/>
              </w:rPr>
              <w:t xml:space="preserve">promote inclusive, transparent, </w:t>
            </w:r>
            <w:r w:rsidR="007D1EC3" w:rsidRPr="0016385E">
              <w:rPr>
                <w:color w:val="000000"/>
                <w:sz w:val="18"/>
                <w:szCs w:val="18"/>
              </w:rPr>
              <w:t>integrated,</w:t>
            </w:r>
            <w:r w:rsidRPr="0016385E">
              <w:rPr>
                <w:color w:val="000000"/>
                <w:sz w:val="18"/>
                <w:szCs w:val="18"/>
              </w:rPr>
              <w:t xml:space="preserve"> and accountab</w:t>
            </w:r>
            <w:r w:rsidR="004B2490" w:rsidRPr="0016385E">
              <w:rPr>
                <w:color w:val="000000"/>
                <w:sz w:val="18"/>
                <w:szCs w:val="18"/>
              </w:rPr>
              <w:t>le</w:t>
            </w:r>
            <w:r w:rsidRPr="0016385E">
              <w:rPr>
                <w:color w:val="000000"/>
                <w:sz w:val="18"/>
                <w:szCs w:val="18"/>
              </w:rPr>
              <w:t xml:space="preserve"> political system. </w:t>
            </w:r>
          </w:p>
          <w:p w14:paraId="4BDDA960" w14:textId="7E0983B1" w:rsidR="00F73C9E" w:rsidRPr="0016385E" w:rsidRDefault="00F73C9E" w:rsidP="00DA51A7">
            <w:pPr>
              <w:rPr>
                <w:color w:val="000000"/>
                <w:sz w:val="18"/>
                <w:szCs w:val="18"/>
              </w:rPr>
            </w:pPr>
            <w:r w:rsidRPr="0016385E">
              <w:rPr>
                <w:color w:val="000000"/>
                <w:sz w:val="18"/>
                <w:szCs w:val="18"/>
              </w:rPr>
              <w:t>Baseline (2021): Media: 0; CSO</w:t>
            </w:r>
            <w:r w:rsidR="004C0FC6" w:rsidRPr="0016385E">
              <w:rPr>
                <w:color w:val="000000"/>
                <w:sz w:val="18"/>
                <w:szCs w:val="18"/>
              </w:rPr>
              <w:t>s</w:t>
            </w:r>
            <w:r w:rsidRPr="0016385E">
              <w:rPr>
                <w:color w:val="000000"/>
                <w:sz w:val="18"/>
                <w:szCs w:val="18"/>
              </w:rPr>
              <w:t xml:space="preserve">: </w:t>
            </w:r>
            <w:r w:rsidR="00391F8A" w:rsidRPr="0016385E">
              <w:rPr>
                <w:color w:val="000000"/>
                <w:sz w:val="18"/>
                <w:szCs w:val="18"/>
              </w:rPr>
              <w:t>TBD</w:t>
            </w:r>
          </w:p>
          <w:p w14:paraId="11B7ACA8" w14:textId="7D7A03E8" w:rsidR="00F73C9E" w:rsidRPr="0016385E" w:rsidRDefault="00F73C9E" w:rsidP="00DA51A7">
            <w:pPr>
              <w:rPr>
                <w:color w:val="000000"/>
                <w:sz w:val="18"/>
                <w:szCs w:val="18"/>
              </w:rPr>
            </w:pPr>
            <w:r w:rsidRPr="0016385E">
              <w:rPr>
                <w:color w:val="000000"/>
                <w:sz w:val="18"/>
                <w:szCs w:val="18"/>
              </w:rPr>
              <w:t>Target (2023</w:t>
            </w:r>
            <w:r w:rsidR="00F14EDA" w:rsidRPr="0016385E">
              <w:rPr>
                <w:color w:val="000000"/>
                <w:sz w:val="18"/>
                <w:szCs w:val="18"/>
              </w:rPr>
              <w:t>): Baseline +</w:t>
            </w:r>
            <w:r w:rsidRPr="0016385E">
              <w:rPr>
                <w:color w:val="000000"/>
                <w:sz w:val="18"/>
                <w:szCs w:val="18"/>
              </w:rPr>
              <w:t xml:space="preserve"> </w:t>
            </w:r>
            <w:r w:rsidR="009E4A33" w:rsidRPr="0016385E">
              <w:rPr>
                <w:color w:val="000000"/>
                <w:sz w:val="18"/>
                <w:szCs w:val="18"/>
              </w:rPr>
              <w:t>2</w:t>
            </w:r>
            <w:r w:rsidRPr="0016385E">
              <w:rPr>
                <w:color w:val="000000"/>
                <w:sz w:val="18"/>
                <w:szCs w:val="18"/>
              </w:rPr>
              <w:t>0 (</w:t>
            </w:r>
            <w:r w:rsidR="009E4A33" w:rsidRPr="0016385E">
              <w:rPr>
                <w:color w:val="000000"/>
                <w:sz w:val="18"/>
                <w:szCs w:val="18"/>
              </w:rPr>
              <w:t>1</w:t>
            </w:r>
            <w:r w:rsidRPr="0016385E">
              <w:rPr>
                <w:color w:val="000000"/>
                <w:sz w:val="18"/>
                <w:szCs w:val="18"/>
              </w:rPr>
              <w:t xml:space="preserve">0 </w:t>
            </w:r>
            <w:r w:rsidR="004C0FC6" w:rsidRPr="0016385E">
              <w:rPr>
                <w:color w:val="000000"/>
                <w:sz w:val="18"/>
                <w:szCs w:val="18"/>
              </w:rPr>
              <w:t>m</w:t>
            </w:r>
            <w:r w:rsidRPr="0016385E">
              <w:rPr>
                <w:color w:val="000000"/>
                <w:sz w:val="18"/>
                <w:szCs w:val="18"/>
              </w:rPr>
              <w:t xml:space="preserve">edia; </w:t>
            </w:r>
            <w:r w:rsidR="009E4A33" w:rsidRPr="0016385E">
              <w:rPr>
                <w:color w:val="000000"/>
                <w:sz w:val="18"/>
                <w:szCs w:val="18"/>
              </w:rPr>
              <w:t>1</w:t>
            </w:r>
            <w:r w:rsidRPr="0016385E">
              <w:rPr>
                <w:color w:val="000000"/>
                <w:sz w:val="18"/>
                <w:szCs w:val="18"/>
              </w:rPr>
              <w:t>0 CSOs)</w:t>
            </w:r>
          </w:p>
          <w:p w14:paraId="3CC15BC9" w14:textId="67E40298" w:rsidR="00F73C9E" w:rsidRPr="0016385E" w:rsidRDefault="00F73C9E" w:rsidP="00083C79">
            <w:pPr>
              <w:rPr>
                <w:i/>
                <w:iCs/>
                <w:color w:val="000000"/>
                <w:sz w:val="18"/>
                <w:szCs w:val="18"/>
              </w:rPr>
            </w:pPr>
            <w:r w:rsidRPr="0016385E">
              <w:rPr>
                <w:i/>
                <w:iCs/>
                <w:color w:val="000000"/>
                <w:sz w:val="18"/>
                <w:szCs w:val="18"/>
              </w:rPr>
              <w:t xml:space="preserve">Data </w:t>
            </w:r>
            <w:r w:rsidR="004C0FC6" w:rsidRPr="0016385E">
              <w:rPr>
                <w:i/>
                <w:iCs/>
                <w:color w:val="000000"/>
                <w:sz w:val="18"/>
                <w:szCs w:val="18"/>
              </w:rPr>
              <w:t>s</w:t>
            </w:r>
            <w:r w:rsidRPr="0016385E">
              <w:rPr>
                <w:i/>
                <w:iCs/>
                <w:color w:val="000000"/>
                <w:sz w:val="18"/>
                <w:szCs w:val="18"/>
              </w:rPr>
              <w:t xml:space="preserve">ource: </w:t>
            </w:r>
            <w:r w:rsidR="00524100" w:rsidRPr="0016385E">
              <w:rPr>
                <w:i/>
                <w:iCs/>
                <w:color w:val="000000"/>
                <w:sz w:val="18"/>
                <w:szCs w:val="18"/>
              </w:rPr>
              <w:t xml:space="preserve">CSO </w:t>
            </w:r>
            <w:r w:rsidR="004C0FC6" w:rsidRPr="0016385E">
              <w:rPr>
                <w:i/>
                <w:iCs/>
                <w:color w:val="000000"/>
                <w:sz w:val="18"/>
                <w:szCs w:val="18"/>
              </w:rPr>
              <w:t>and</w:t>
            </w:r>
            <w:r w:rsidR="00524100" w:rsidRPr="0016385E">
              <w:rPr>
                <w:i/>
                <w:iCs/>
                <w:color w:val="000000"/>
                <w:sz w:val="18"/>
                <w:szCs w:val="18"/>
              </w:rPr>
              <w:t xml:space="preserve"> </w:t>
            </w:r>
            <w:r w:rsidR="004C0FC6" w:rsidRPr="0016385E">
              <w:rPr>
                <w:i/>
                <w:iCs/>
                <w:color w:val="000000"/>
                <w:sz w:val="18"/>
                <w:szCs w:val="18"/>
              </w:rPr>
              <w:t>m</w:t>
            </w:r>
            <w:r w:rsidR="00524100" w:rsidRPr="0016385E">
              <w:rPr>
                <w:i/>
                <w:iCs/>
                <w:color w:val="000000"/>
                <w:sz w:val="18"/>
                <w:szCs w:val="18"/>
              </w:rPr>
              <w:t>edia</w:t>
            </w:r>
            <w:r w:rsidRPr="0016385E">
              <w:rPr>
                <w:i/>
                <w:iCs/>
                <w:color w:val="000000"/>
                <w:sz w:val="18"/>
                <w:szCs w:val="18"/>
              </w:rPr>
              <w:t xml:space="preserve"> </w:t>
            </w:r>
            <w:r w:rsidR="004C0FC6" w:rsidRPr="0016385E">
              <w:rPr>
                <w:i/>
                <w:iCs/>
                <w:color w:val="000000"/>
                <w:sz w:val="18"/>
                <w:szCs w:val="18"/>
              </w:rPr>
              <w:t>r</w:t>
            </w:r>
            <w:r w:rsidRPr="0016385E">
              <w:rPr>
                <w:i/>
                <w:iCs/>
                <w:color w:val="000000"/>
                <w:sz w:val="18"/>
                <w:szCs w:val="18"/>
              </w:rPr>
              <w:t xml:space="preserve">eports; Frequency: </w:t>
            </w:r>
            <w:r w:rsidR="004B6635" w:rsidRPr="0016385E">
              <w:rPr>
                <w:i/>
                <w:iCs/>
                <w:color w:val="000000"/>
                <w:sz w:val="18"/>
                <w:szCs w:val="18"/>
              </w:rPr>
              <w:t>a</w:t>
            </w:r>
            <w:r w:rsidRPr="0016385E">
              <w:rPr>
                <w:i/>
                <w:iCs/>
                <w:color w:val="000000"/>
                <w:sz w:val="18"/>
                <w:szCs w:val="18"/>
              </w:rPr>
              <w:t>nnual</w:t>
            </w:r>
          </w:p>
        </w:tc>
        <w:tc>
          <w:tcPr>
            <w:tcW w:w="729" w:type="pct"/>
            <w:vMerge w:val="restart"/>
          </w:tcPr>
          <w:p w14:paraId="38E356A8" w14:textId="1EE38213" w:rsidR="00F73C9E" w:rsidRPr="006C0F4D" w:rsidRDefault="00F73C9E" w:rsidP="00177A8E">
            <w:pPr>
              <w:rPr>
                <w:color w:val="000000"/>
                <w:sz w:val="18"/>
                <w:szCs w:val="18"/>
              </w:rPr>
            </w:pPr>
            <w:r w:rsidRPr="0016385E">
              <w:rPr>
                <w:color w:val="000000"/>
                <w:sz w:val="18"/>
                <w:szCs w:val="18"/>
              </w:rPr>
              <w:t>Ministry of the Interior and Decentralization; Ministry of Justice</w:t>
            </w:r>
            <w:r w:rsidR="00D96C66" w:rsidRPr="0016385E">
              <w:rPr>
                <w:color w:val="000000"/>
                <w:sz w:val="18"/>
                <w:szCs w:val="18"/>
              </w:rPr>
              <w:t xml:space="preserve"> (MINJUS)</w:t>
            </w:r>
            <w:r w:rsidRPr="0016385E">
              <w:rPr>
                <w:color w:val="000000"/>
                <w:sz w:val="18"/>
                <w:szCs w:val="18"/>
              </w:rPr>
              <w:t xml:space="preserve">; Ministry of Public Security; CENI, High </w:t>
            </w:r>
            <w:r w:rsidR="00D96C66" w:rsidRPr="0016385E">
              <w:rPr>
                <w:color w:val="000000"/>
                <w:sz w:val="18"/>
                <w:szCs w:val="18"/>
              </w:rPr>
              <w:t>C</w:t>
            </w:r>
            <w:r w:rsidRPr="0016385E">
              <w:rPr>
                <w:color w:val="000000"/>
                <w:sz w:val="18"/>
                <w:szCs w:val="18"/>
              </w:rPr>
              <w:t xml:space="preserve">onstitutional </w:t>
            </w:r>
            <w:r w:rsidR="00D96C66" w:rsidRPr="0016385E">
              <w:rPr>
                <w:color w:val="000000"/>
                <w:sz w:val="18"/>
                <w:szCs w:val="18"/>
              </w:rPr>
              <w:t>C</w:t>
            </w:r>
            <w:r w:rsidRPr="0016385E">
              <w:rPr>
                <w:color w:val="000000"/>
                <w:sz w:val="18"/>
                <w:szCs w:val="18"/>
              </w:rPr>
              <w:t xml:space="preserve">ourt; National Assembly; Senate; </w:t>
            </w:r>
            <w:r w:rsidR="0085765E" w:rsidRPr="00CC7002">
              <w:rPr>
                <w:color w:val="000000"/>
                <w:sz w:val="18"/>
                <w:szCs w:val="18"/>
              </w:rPr>
              <w:t>National Office for Risk and Disaster Management</w:t>
            </w:r>
            <w:r w:rsidRPr="00CC7002">
              <w:rPr>
                <w:color w:val="000000"/>
                <w:sz w:val="18"/>
                <w:szCs w:val="18"/>
              </w:rPr>
              <w:t xml:space="preserve">; </w:t>
            </w:r>
            <w:r w:rsidR="00303AA9" w:rsidRPr="00CC7002">
              <w:rPr>
                <w:color w:val="000000"/>
                <w:sz w:val="18"/>
                <w:szCs w:val="18"/>
              </w:rPr>
              <w:t xml:space="preserve">Independent Anti-Corruption </w:t>
            </w:r>
            <w:r w:rsidR="00810C9D" w:rsidRPr="00CC7002">
              <w:rPr>
                <w:color w:val="000000"/>
                <w:sz w:val="18"/>
                <w:szCs w:val="18"/>
              </w:rPr>
              <w:t>Office</w:t>
            </w:r>
            <w:r w:rsidR="00CC7002" w:rsidRPr="00CC7002">
              <w:rPr>
                <w:color w:val="000000"/>
                <w:sz w:val="18"/>
                <w:szCs w:val="18"/>
              </w:rPr>
              <w:t xml:space="preserve"> </w:t>
            </w:r>
            <w:r w:rsidR="00850671" w:rsidRPr="00CC7002">
              <w:rPr>
                <w:color w:val="000000"/>
                <w:sz w:val="18"/>
                <w:szCs w:val="18"/>
              </w:rPr>
              <w:t>(BIANCO)</w:t>
            </w:r>
            <w:r w:rsidR="00810C9D" w:rsidRPr="00CC7002">
              <w:rPr>
                <w:color w:val="000000"/>
                <w:sz w:val="18"/>
                <w:szCs w:val="18"/>
              </w:rPr>
              <w:t>; Madagascar</w:t>
            </w:r>
            <w:r w:rsidR="006C0F4D" w:rsidRPr="00CC7002">
              <w:rPr>
                <w:color w:val="000000"/>
                <w:sz w:val="18"/>
                <w:szCs w:val="18"/>
              </w:rPr>
              <w:t xml:space="preserve"> financial intelligence service</w:t>
            </w:r>
            <w:r w:rsidR="00CC7002" w:rsidRPr="00CC7002">
              <w:rPr>
                <w:color w:val="000000"/>
                <w:sz w:val="18"/>
                <w:szCs w:val="18"/>
              </w:rPr>
              <w:t xml:space="preserve"> </w:t>
            </w:r>
            <w:r w:rsidR="002F336F" w:rsidRPr="00CC7002">
              <w:rPr>
                <w:color w:val="000000"/>
                <w:sz w:val="18"/>
                <w:szCs w:val="18"/>
              </w:rPr>
              <w:t>(SAMIFIN)</w:t>
            </w:r>
            <w:r w:rsidR="00CB014E" w:rsidRPr="00CC7002">
              <w:rPr>
                <w:color w:val="000000"/>
                <w:sz w:val="18"/>
                <w:szCs w:val="18"/>
              </w:rPr>
              <w:t xml:space="preserve">; </w:t>
            </w:r>
            <w:r w:rsidR="0038113D" w:rsidRPr="00CC7002">
              <w:rPr>
                <w:color w:val="000000"/>
                <w:sz w:val="18"/>
                <w:szCs w:val="18"/>
              </w:rPr>
              <w:t>Integrity Protection Committee</w:t>
            </w:r>
            <w:r w:rsidR="002F336F" w:rsidRPr="00CC7002">
              <w:rPr>
                <w:color w:val="000000"/>
                <w:sz w:val="18"/>
                <w:szCs w:val="18"/>
              </w:rPr>
              <w:t>(CSI)</w:t>
            </w:r>
          </w:p>
          <w:p w14:paraId="7814E6F1" w14:textId="54ECA10A" w:rsidR="00F73C9E" w:rsidRPr="006C0F4D" w:rsidRDefault="00F73C9E" w:rsidP="00177A8E">
            <w:pPr>
              <w:rPr>
                <w:color w:val="000000"/>
                <w:sz w:val="18"/>
                <w:szCs w:val="18"/>
              </w:rPr>
            </w:pPr>
          </w:p>
          <w:p w14:paraId="14EACF48" w14:textId="25D6E77D" w:rsidR="00F73C9E" w:rsidRPr="0016385E" w:rsidRDefault="00D96C66" w:rsidP="00177A8E">
            <w:pPr>
              <w:rPr>
                <w:color w:val="000000"/>
                <w:sz w:val="18"/>
                <w:szCs w:val="18"/>
              </w:rPr>
            </w:pPr>
            <w:r w:rsidRPr="0016385E">
              <w:rPr>
                <w:color w:val="000000"/>
                <w:sz w:val="18"/>
                <w:szCs w:val="18"/>
              </w:rPr>
              <w:t>Office of the United </w:t>
            </w:r>
            <w:r w:rsidRPr="00882056">
              <w:rPr>
                <w:color w:val="000000"/>
                <w:sz w:val="18"/>
                <w:szCs w:val="18"/>
              </w:rPr>
              <w:t>Nations High Commissioner for Human Rights</w:t>
            </w:r>
            <w:r w:rsidRPr="0016385E">
              <w:rPr>
                <w:color w:val="000000"/>
                <w:sz w:val="18"/>
                <w:szCs w:val="18"/>
              </w:rPr>
              <w:t>,</w:t>
            </w:r>
            <w:r w:rsidR="00F73C9E" w:rsidRPr="0016385E">
              <w:rPr>
                <w:color w:val="000000"/>
                <w:sz w:val="18"/>
                <w:szCs w:val="18"/>
              </w:rPr>
              <w:t xml:space="preserve"> UNFPA</w:t>
            </w:r>
            <w:r w:rsidRPr="0016385E">
              <w:rPr>
                <w:color w:val="000000"/>
                <w:sz w:val="18"/>
                <w:szCs w:val="18"/>
              </w:rPr>
              <w:t>,</w:t>
            </w:r>
            <w:r w:rsidR="00F73C9E" w:rsidRPr="0016385E">
              <w:rPr>
                <w:color w:val="000000"/>
                <w:sz w:val="18"/>
                <w:szCs w:val="18"/>
              </w:rPr>
              <w:t xml:space="preserve"> </w:t>
            </w:r>
            <w:r w:rsidR="002C30E4" w:rsidRPr="0016385E">
              <w:rPr>
                <w:color w:val="000000"/>
                <w:sz w:val="18"/>
                <w:szCs w:val="18"/>
              </w:rPr>
              <w:t>UNICEF</w:t>
            </w:r>
            <w:r w:rsidRPr="0016385E">
              <w:rPr>
                <w:color w:val="000000"/>
                <w:sz w:val="18"/>
                <w:szCs w:val="18"/>
              </w:rPr>
              <w:t>;</w:t>
            </w:r>
          </w:p>
          <w:p w14:paraId="592BC636" w14:textId="478364E1" w:rsidR="00F73C9E" w:rsidRPr="0016385E" w:rsidRDefault="00F73C9E" w:rsidP="00177A8E">
            <w:pPr>
              <w:rPr>
                <w:color w:val="000000"/>
                <w:sz w:val="18"/>
                <w:szCs w:val="18"/>
              </w:rPr>
            </w:pPr>
            <w:r w:rsidRPr="0016385E">
              <w:rPr>
                <w:color w:val="000000"/>
                <w:sz w:val="18"/>
                <w:szCs w:val="18"/>
              </w:rPr>
              <w:t>GIZ, W</w:t>
            </w:r>
            <w:r w:rsidR="00D96C66" w:rsidRPr="0016385E">
              <w:rPr>
                <w:color w:val="000000"/>
                <w:sz w:val="18"/>
                <w:szCs w:val="18"/>
              </w:rPr>
              <w:t>orld Bank</w:t>
            </w:r>
            <w:r w:rsidRPr="0016385E">
              <w:rPr>
                <w:color w:val="000000"/>
                <w:sz w:val="18"/>
                <w:szCs w:val="18"/>
              </w:rPr>
              <w:t>, E</w:t>
            </w:r>
            <w:r w:rsidR="00D96C66" w:rsidRPr="0016385E">
              <w:rPr>
                <w:color w:val="000000"/>
                <w:sz w:val="18"/>
                <w:szCs w:val="18"/>
              </w:rPr>
              <w:t>uropean Union</w:t>
            </w:r>
            <w:r w:rsidRPr="0016385E">
              <w:rPr>
                <w:color w:val="000000"/>
                <w:sz w:val="18"/>
                <w:szCs w:val="18"/>
              </w:rPr>
              <w:t>, AfDB</w:t>
            </w:r>
          </w:p>
          <w:p w14:paraId="296D9160" w14:textId="77777777" w:rsidR="00F73C9E" w:rsidRPr="0016385E" w:rsidRDefault="00F73C9E" w:rsidP="00177A8E">
            <w:pPr>
              <w:rPr>
                <w:color w:val="000000"/>
                <w:sz w:val="18"/>
                <w:szCs w:val="18"/>
              </w:rPr>
            </w:pPr>
          </w:p>
          <w:p w14:paraId="6383D47F" w14:textId="77777777" w:rsidR="00F73C9E" w:rsidRPr="0016385E" w:rsidRDefault="00F73C9E" w:rsidP="00177A8E">
            <w:pPr>
              <w:rPr>
                <w:color w:val="000000"/>
                <w:sz w:val="18"/>
                <w:szCs w:val="18"/>
              </w:rPr>
            </w:pPr>
          </w:p>
          <w:p w14:paraId="45C97132" w14:textId="26048249" w:rsidR="00F73C9E" w:rsidRPr="0016385E" w:rsidRDefault="00D96C66" w:rsidP="00177A8E">
            <w:pPr>
              <w:rPr>
                <w:color w:val="000000"/>
                <w:sz w:val="18"/>
                <w:szCs w:val="18"/>
              </w:rPr>
            </w:pPr>
            <w:r w:rsidRPr="0016385E">
              <w:rPr>
                <w:color w:val="000000"/>
                <w:sz w:val="18"/>
                <w:szCs w:val="18"/>
              </w:rPr>
              <w:lastRenderedPageBreak/>
              <w:t>Peacebuilding Fund</w:t>
            </w:r>
            <w:r w:rsidR="00F73C9E" w:rsidRPr="0016385E">
              <w:rPr>
                <w:color w:val="000000"/>
                <w:sz w:val="18"/>
                <w:szCs w:val="18"/>
              </w:rPr>
              <w:t>; Youth and Philanthropy Initiative; Norway</w:t>
            </w:r>
          </w:p>
          <w:p w14:paraId="718126C3" w14:textId="02B8E81A" w:rsidR="00F73C9E" w:rsidRPr="0016385E" w:rsidRDefault="00F73C9E" w:rsidP="00177A8E">
            <w:pPr>
              <w:rPr>
                <w:color w:val="000000"/>
                <w:sz w:val="18"/>
                <w:szCs w:val="18"/>
              </w:rPr>
            </w:pPr>
          </w:p>
          <w:p w14:paraId="0AACD83C" w14:textId="0B91AAD7" w:rsidR="00F73C9E" w:rsidRPr="0016385E" w:rsidRDefault="00F73C9E" w:rsidP="00177A8E">
            <w:pPr>
              <w:rPr>
                <w:color w:val="000000"/>
                <w:sz w:val="18"/>
                <w:szCs w:val="18"/>
              </w:rPr>
            </w:pPr>
            <w:r w:rsidRPr="0016385E">
              <w:rPr>
                <w:color w:val="000000"/>
                <w:sz w:val="18"/>
                <w:szCs w:val="18"/>
              </w:rPr>
              <w:t xml:space="preserve">National Consortium for Citizen Participation; Associations of </w:t>
            </w:r>
            <w:r w:rsidR="00D96C66" w:rsidRPr="0016385E">
              <w:rPr>
                <w:color w:val="000000"/>
                <w:sz w:val="18"/>
                <w:szCs w:val="18"/>
              </w:rPr>
              <w:t>Y</w:t>
            </w:r>
            <w:r w:rsidRPr="0016385E">
              <w:rPr>
                <w:color w:val="000000"/>
                <w:sz w:val="18"/>
                <w:szCs w:val="18"/>
              </w:rPr>
              <w:t xml:space="preserve">oung </w:t>
            </w:r>
            <w:r w:rsidR="00D96C66" w:rsidRPr="0016385E">
              <w:rPr>
                <w:color w:val="000000"/>
                <w:sz w:val="18"/>
                <w:szCs w:val="18"/>
              </w:rPr>
              <w:t>H</w:t>
            </w:r>
            <w:r w:rsidRPr="0016385E">
              <w:rPr>
                <w:color w:val="000000"/>
                <w:sz w:val="18"/>
                <w:szCs w:val="18"/>
              </w:rPr>
              <w:t xml:space="preserve">uman </w:t>
            </w:r>
            <w:r w:rsidR="00D96C66" w:rsidRPr="0016385E">
              <w:rPr>
                <w:color w:val="000000"/>
                <w:sz w:val="18"/>
                <w:szCs w:val="18"/>
              </w:rPr>
              <w:t>R</w:t>
            </w:r>
            <w:r w:rsidRPr="0016385E">
              <w:rPr>
                <w:color w:val="000000"/>
                <w:sz w:val="18"/>
                <w:szCs w:val="18"/>
              </w:rPr>
              <w:t xml:space="preserve">ights </w:t>
            </w:r>
            <w:r w:rsidR="00D96C66" w:rsidRPr="0016385E">
              <w:rPr>
                <w:color w:val="000000"/>
                <w:sz w:val="18"/>
                <w:szCs w:val="18"/>
              </w:rPr>
              <w:t>D</w:t>
            </w:r>
            <w:r w:rsidRPr="0016385E">
              <w:rPr>
                <w:color w:val="000000"/>
                <w:sz w:val="18"/>
                <w:szCs w:val="18"/>
              </w:rPr>
              <w:t xml:space="preserve">efenders; </w:t>
            </w:r>
            <w:r w:rsidR="00034AFD" w:rsidRPr="00CC7002">
              <w:rPr>
                <w:color w:val="000000"/>
                <w:sz w:val="18"/>
                <w:szCs w:val="18"/>
              </w:rPr>
              <w:t>Legal clinics</w:t>
            </w:r>
          </w:p>
          <w:p w14:paraId="60EAF354" w14:textId="06E13F99" w:rsidR="00F73C9E" w:rsidRPr="0016385E" w:rsidRDefault="00F73C9E" w:rsidP="002D535B">
            <w:pPr>
              <w:rPr>
                <w:sz w:val="18"/>
                <w:szCs w:val="18"/>
              </w:rPr>
            </w:pPr>
          </w:p>
        </w:tc>
        <w:tc>
          <w:tcPr>
            <w:tcW w:w="496" w:type="pct"/>
            <w:tcMar>
              <w:top w:w="15" w:type="dxa"/>
              <w:left w:w="108" w:type="dxa"/>
              <w:bottom w:w="0" w:type="dxa"/>
              <w:right w:w="108" w:type="dxa"/>
            </w:tcMar>
          </w:tcPr>
          <w:p w14:paraId="3085B808" w14:textId="78759E10" w:rsidR="00F73C9E" w:rsidRPr="0016385E" w:rsidRDefault="00F73C9E" w:rsidP="00177A8E">
            <w:pPr>
              <w:rPr>
                <w:b/>
                <w:color w:val="000000"/>
                <w:sz w:val="18"/>
                <w:szCs w:val="18"/>
                <w:highlight w:val="yellow"/>
              </w:rPr>
            </w:pPr>
            <w:r w:rsidRPr="0016385E">
              <w:rPr>
                <w:b/>
                <w:color w:val="000000"/>
                <w:sz w:val="18"/>
                <w:szCs w:val="18"/>
              </w:rPr>
              <w:lastRenderedPageBreak/>
              <w:t xml:space="preserve">Regular: </w:t>
            </w:r>
            <w:r w:rsidR="00835832" w:rsidRPr="0016385E">
              <w:rPr>
                <w:b/>
                <w:color w:val="000000"/>
                <w:sz w:val="18"/>
                <w:szCs w:val="18"/>
              </w:rPr>
              <w:t>1</w:t>
            </w:r>
            <w:r w:rsidR="000842F0">
              <w:rPr>
                <w:b/>
                <w:color w:val="000000"/>
                <w:sz w:val="18"/>
                <w:szCs w:val="18"/>
              </w:rPr>
              <w:t>8</w:t>
            </w:r>
            <w:r w:rsidR="00835832" w:rsidRPr="0016385E">
              <w:rPr>
                <w:b/>
                <w:color w:val="000000"/>
                <w:sz w:val="18"/>
                <w:szCs w:val="18"/>
              </w:rPr>
              <w:t>,3</w:t>
            </w:r>
            <w:r w:rsidR="008A39E4">
              <w:rPr>
                <w:b/>
                <w:color w:val="000000"/>
                <w:sz w:val="18"/>
                <w:szCs w:val="18"/>
              </w:rPr>
              <w:t>98</w:t>
            </w:r>
            <w:r w:rsidR="00835832" w:rsidRPr="0016385E">
              <w:rPr>
                <w:b/>
                <w:color w:val="000000"/>
                <w:sz w:val="18"/>
                <w:szCs w:val="18"/>
              </w:rPr>
              <w:t>,000</w:t>
            </w:r>
          </w:p>
        </w:tc>
      </w:tr>
      <w:tr w:rsidR="00F73C9E" w:rsidRPr="0016385E" w14:paraId="1704805C" w14:textId="77777777" w:rsidTr="00882056">
        <w:trPr>
          <w:trHeight w:val="207"/>
        </w:trPr>
        <w:tc>
          <w:tcPr>
            <w:tcW w:w="1093" w:type="pct"/>
            <w:vMerge/>
            <w:tcMar>
              <w:top w:w="72" w:type="dxa"/>
              <w:left w:w="144" w:type="dxa"/>
              <w:bottom w:w="72" w:type="dxa"/>
              <w:right w:w="144" w:type="dxa"/>
            </w:tcMar>
          </w:tcPr>
          <w:p w14:paraId="1B8E6B57" w14:textId="3B954212" w:rsidR="00F73C9E" w:rsidRPr="0016385E" w:rsidRDefault="00F73C9E" w:rsidP="00177A8E">
            <w:pPr>
              <w:rPr>
                <w:i/>
                <w:iCs/>
                <w:color w:val="000000"/>
                <w:sz w:val="18"/>
                <w:szCs w:val="18"/>
              </w:rPr>
            </w:pPr>
          </w:p>
        </w:tc>
        <w:tc>
          <w:tcPr>
            <w:tcW w:w="828" w:type="pct"/>
            <w:vMerge/>
          </w:tcPr>
          <w:p w14:paraId="41B8BA34" w14:textId="77777777" w:rsidR="00F73C9E" w:rsidRPr="0016385E" w:rsidRDefault="00F73C9E" w:rsidP="00177A8E">
            <w:pPr>
              <w:rPr>
                <w:i/>
                <w:iCs/>
                <w:color w:val="000000"/>
                <w:sz w:val="18"/>
                <w:szCs w:val="18"/>
              </w:rPr>
            </w:pPr>
          </w:p>
        </w:tc>
        <w:tc>
          <w:tcPr>
            <w:tcW w:w="1854" w:type="pct"/>
            <w:vMerge/>
            <w:tcMar>
              <w:top w:w="72" w:type="dxa"/>
              <w:left w:w="144" w:type="dxa"/>
              <w:bottom w:w="72" w:type="dxa"/>
              <w:right w:w="144" w:type="dxa"/>
            </w:tcMar>
          </w:tcPr>
          <w:p w14:paraId="66CC2F4F" w14:textId="77777777" w:rsidR="00F73C9E" w:rsidRPr="0016385E" w:rsidRDefault="00F73C9E" w:rsidP="00177A8E">
            <w:pPr>
              <w:rPr>
                <w:i/>
                <w:iCs/>
                <w:color w:val="000000"/>
                <w:sz w:val="18"/>
                <w:szCs w:val="18"/>
              </w:rPr>
            </w:pPr>
          </w:p>
        </w:tc>
        <w:tc>
          <w:tcPr>
            <w:tcW w:w="729" w:type="pct"/>
            <w:vMerge/>
          </w:tcPr>
          <w:p w14:paraId="423FE269" w14:textId="77777777" w:rsidR="00F73C9E" w:rsidRPr="0016385E" w:rsidRDefault="00F73C9E" w:rsidP="00177A8E">
            <w:pPr>
              <w:rPr>
                <w:i/>
                <w:iCs/>
                <w:color w:val="000000"/>
                <w:sz w:val="18"/>
                <w:szCs w:val="18"/>
              </w:rPr>
            </w:pPr>
          </w:p>
        </w:tc>
        <w:tc>
          <w:tcPr>
            <w:tcW w:w="496" w:type="pct"/>
            <w:vMerge w:val="restart"/>
            <w:tcMar>
              <w:top w:w="15" w:type="dxa"/>
              <w:left w:w="108" w:type="dxa"/>
              <w:bottom w:w="0" w:type="dxa"/>
              <w:right w:w="108" w:type="dxa"/>
            </w:tcMar>
          </w:tcPr>
          <w:p w14:paraId="27DDA186" w14:textId="0E204A58" w:rsidR="00F73C9E" w:rsidRPr="0016385E" w:rsidRDefault="00F73C9E" w:rsidP="00177A8E">
            <w:pPr>
              <w:rPr>
                <w:b/>
                <w:color w:val="000000"/>
                <w:sz w:val="18"/>
                <w:szCs w:val="18"/>
              </w:rPr>
            </w:pPr>
            <w:r w:rsidRPr="0016385E">
              <w:rPr>
                <w:b/>
                <w:color w:val="000000"/>
                <w:sz w:val="18"/>
                <w:szCs w:val="18"/>
              </w:rPr>
              <w:t xml:space="preserve">Other: </w:t>
            </w:r>
            <w:r w:rsidR="00C952C3" w:rsidRPr="0016385E">
              <w:rPr>
                <w:b/>
                <w:color w:val="000000"/>
                <w:sz w:val="18"/>
                <w:szCs w:val="18"/>
              </w:rPr>
              <w:t>26,254,021</w:t>
            </w:r>
          </w:p>
          <w:p w14:paraId="7C5D0136" w14:textId="3525DBE1" w:rsidR="00F73C9E" w:rsidRPr="0016385E" w:rsidRDefault="00F73C9E" w:rsidP="007D142D">
            <w:pPr>
              <w:rPr>
                <w:b/>
                <w:color w:val="000000"/>
                <w:sz w:val="18"/>
                <w:szCs w:val="18"/>
                <w:highlight w:val="yellow"/>
              </w:rPr>
            </w:pPr>
          </w:p>
        </w:tc>
      </w:tr>
      <w:tr w:rsidR="00F73C9E" w:rsidRPr="0016385E" w14:paraId="0507E705" w14:textId="77777777" w:rsidTr="00882056">
        <w:tc>
          <w:tcPr>
            <w:tcW w:w="1093" w:type="pct"/>
            <w:tcMar>
              <w:top w:w="72" w:type="dxa"/>
              <w:left w:w="144" w:type="dxa"/>
              <w:bottom w:w="72" w:type="dxa"/>
              <w:right w:w="144" w:type="dxa"/>
            </w:tcMar>
          </w:tcPr>
          <w:p w14:paraId="1A5F21AF" w14:textId="153D8E2A" w:rsidR="00F73C9E" w:rsidRPr="0016385E" w:rsidRDefault="00F73C9E" w:rsidP="00C5717D">
            <w:pPr>
              <w:rPr>
                <w:b/>
                <w:bCs/>
                <w:sz w:val="18"/>
                <w:szCs w:val="18"/>
              </w:rPr>
            </w:pPr>
            <w:r w:rsidRPr="0016385E">
              <w:rPr>
                <w:b/>
                <w:bCs/>
                <w:sz w:val="18"/>
                <w:szCs w:val="18"/>
              </w:rPr>
              <w:t>Indicator 1.2</w:t>
            </w:r>
            <w:r w:rsidR="00D96C66" w:rsidRPr="0016385E">
              <w:rPr>
                <w:b/>
                <w:bCs/>
                <w:sz w:val="18"/>
                <w:szCs w:val="18"/>
              </w:rPr>
              <w:t>.</w:t>
            </w:r>
            <w:r w:rsidRPr="0016385E">
              <w:rPr>
                <w:b/>
                <w:bCs/>
                <w:sz w:val="18"/>
                <w:szCs w:val="18"/>
              </w:rPr>
              <w:t xml:space="preserve"> Percentage of the population </w:t>
            </w:r>
            <w:r w:rsidR="002F3504" w:rsidRPr="0016385E">
              <w:rPr>
                <w:b/>
                <w:bCs/>
                <w:sz w:val="18"/>
                <w:szCs w:val="18"/>
              </w:rPr>
              <w:t xml:space="preserve">in the </w:t>
            </w:r>
            <w:r w:rsidR="00E108CB" w:rsidRPr="0016385E">
              <w:rPr>
                <w:b/>
                <w:bCs/>
                <w:sz w:val="18"/>
                <w:szCs w:val="18"/>
              </w:rPr>
              <w:t>intervention area</w:t>
            </w:r>
            <w:r w:rsidR="00BA298F" w:rsidRPr="0016385E">
              <w:rPr>
                <w:b/>
                <w:bCs/>
                <w:sz w:val="18"/>
                <w:szCs w:val="18"/>
              </w:rPr>
              <w:t>s</w:t>
            </w:r>
            <w:r w:rsidR="00E108CB" w:rsidRPr="0016385E">
              <w:rPr>
                <w:b/>
                <w:bCs/>
                <w:sz w:val="18"/>
                <w:szCs w:val="18"/>
              </w:rPr>
              <w:t xml:space="preserve"> </w:t>
            </w:r>
            <w:r w:rsidRPr="0016385E">
              <w:rPr>
                <w:b/>
                <w:bCs/>
                <w:sz w:val="18"/>
                <w:szCs w:val="18"/>
              </w:rPr>
              <w:t xml:space="preserve">expressing confidence in the </w:t>
            </w:r>
            <w:r w:rsidR="00D96C66" w:rsidRPr="0016385E">
              <w:rPr>
                <w:b/>
                <w:bCs/>
                <w:sz w:val="18"/>
                <w:szCs w:val="18"/>
              </w:rPr>
              <w:t>j</w:t>
            </w:r>
            <w:r w:rsidRPr="0016385E">
              <w:rPr>
                <w:b/>
                <w:bCs/>
                <w:sz w:val="18"/>
                <w:szCs w:val="18"/>
              </w:rPr>
              <w:t>ustice system</w:t>
            </w:r>
          </w:p>
          <w:p w14:paraId="4E9BFCDB" w14:textId="28C1B5D5" w:rsidR="00F73C9E" w:rsidRPr="0016385E" w:rsidRDefault="00F73C9E" w:rsidP="00C5717D">
            <w:pPr>
              <w:rPr>
                <w:sz w:val="18"/>
                <w:szCs w:val="18"/>
              </w:rPr>
            </w:pPr>
            <w:r w:rsidRPr="0016385E">
              <w:rPr>
                <w:sz w:val="18"/>
                <w:szCs w:val="18"/>
              </w:rPr>
              <w:lastRenderedPageBreak/>
              <w:t xml:space="preserve">Baseline (2021): </w:t>
            </w:r>
            <w:r w:rsidR="00D77128" w:rsidRPr="0016385E">
              <w:rPr>
                <w:sz w:val="18"/>
                <w:szCs w:val="18"/>
              </w:rPr>
              <w:t>TBD</w:t>
            </w:r>
          </w:p>
          <w:p w14:paraId="514045EF" w14:textId="53B82A5C" w:rsidR="00F73C9E" w:rsidRPr="0016385E" w:rsidRDefault="00F73C9E" w:rsidP="00C5717D">
            <w:pPr>
              <w:rPr>
                <w:sz w:val="18"/>
                <w:szCs w:val="18"/>
              </w:rPr>
            </w:pPr>
            <w:r w:rsidRPr="0016385E">
              <w:rPr>
                <w:sz w:val="18"/>
                <w:szCs w:val="18"/>
              </w:rPr>
              <w:t xml:space="preserve">Target (2023): </w:t>
            </w:r>
            <w:r w:rsidR="00D77128" w:rsidRPr="0016385E">
              <w:rPr>
                <w:sz w:val="18"/>
                <w:szCs w:val="18"/>
              </w:rPr>
              <w:t>Baseline + 10</w:t>
            </w:r>
            <w:r w:rsidR="0068225F" w:rsidRPr="0016385E">
              <w:rPr>
                <w:sz w:val="18"/>
                <w:szCs w:val="18"/>
              </w:rPr>
              <w:t>%</w:t>
            </w:r>
          </w:p>
          <w:p w14:paraId="4687BDB6" w14:textId="77777777" w:rsidR="00F73C9E" w:rsidRPr="0016385E" w:rsidRDefault="00F73C9E" w:rsidP="00177A8E">
            <w:pPr>
              <w:rPr>
                <w:i/>
                <w:iCs/>
                <w:color w:val="000000"/>
                <w:sz w:val="18"/>
                <w:szCs w:val="18"/>
              </w:rPr>
            </w:pPr>
          </w:p>
          <w:p w14:paraId="0883A4C8" w14:textId="77777777" w:rsidR="00B17A1F" w:rsidRPr="0016385E" w:rsidRDefault="00B17A1F" w:rsidP="00177A8E">
            <w:pPr>
              <w:rPr>
                <w:i/>
                <w:iCs/>
                <w:color w:val="000000"/>
                <w:sz w:val="18"/>
                <w:szCs w:val="18"/>
              </w:rPr>
            </w:pPr>
          </w:p>
          <w:p w14:paraId="0B25630B" w14:textId="77777777" w:rsidR="00B17A1F" w:rsidRPr="0016385E" w:rsidRDefault="00B17A1F" w:rsidP="00177A8E">
            <w:pPr>
              <w:rPr>
                <w:i/>
                <w:iCs/>
                <w:color w:val="000000"/>
                <w:sz w:val="18"/>
                <w:szCs w:val="18"/>
              </w:rPr>
            </w:pPr>
          </w:p>
          <w:p w14:paraId="4910F737" w14:textId="77777777" w:rsidR="00B17A1F" w:rsidRPr="0016385E" w:rsidRDefault="00B17A1F" w:rsidP="00177A8E">
            <w:pPr>
              <w:rPr>
                <w:i/>
                <w:iCs/>
                <w:color w:val="000000"/>
                <w:sz w:val="18"/>
                <w:szCs w:val="18"/>
              </w:rPr>
            </w:pPr>
          </w:p>
          <w:p w14:paraId="3F0F696E" w14:textId="77777777" w:rsidR="00B17A1F" w:rsidRPr="0016385E" w:rsidRDefault="00B17A1F" w:rsidP="00177A8E">
            <w:pPr>
              <w:rPr>
                <w:i/>
                <w:iCs/>
                <w:color w:val="000000"/>
                <w:sz w:val="18"/>
                <w:szCs w:val="18"/>
              </w:rPr>
            </w:pPr>
          </w:p>
          <w:p w14:paraId="0907680C" w14:textId="77777777" w:rsidR="00B17A1F" w:rsidRPr="0016385E" w:rsidRDefault="00B17A1F" w:rsidP="00177A8E">
            <w:pPr>
              <w:rPr>
                <w:i/>
                <w:iCs/>
                <w:color w:val="000000"/>
                <w:sz w:val="18"/>
                <w:szCs w:val="18"/>
              </w:rPr>
            </w:pPr>
          </w:p>
          <w:p w14:paraId="3C25F6F3" w14:textId="77777777" w:rsidR="00B17A1F" w:rsidRPr="0016385E" w:rsidRDefault="00B17A1F" w:rsidP="00177A8E">
            <w:pPr>
              <w:rPr>
                <w:i/>
                <w:iCs/>
                <w:color w:val="000000"/>
                <w:sz w:val="18"/>
                <w:szCs w:val="18"/>
              </w:rPr>
            </w:pPr>
          </w:p>
          <w:p w14:paraId="60E79288" w14:textId="75839EB2" w:rsidR="00B17A1F" w:rsidRPr="00882056" w:rsidRDefault="00B17A1F" w:rsidP="00B17A1F">
            <w:pPr>
              <w:rPr>
                <w:b/>
                <w:bCs/>
                <w:color w:val="000000"/>
                <w:sz w:val="18"/>
                <w:szCs w:val="18"/>
              </w:rPr>
            </w:pPr>
            <w:r w:rsidRPr="00882056">
              <w:rPr>
                <w:b/>
                <w:bCs/>
                <w:color w:val="000000"/>
                <w:sz w:val="18"/>
                <w:szCs w:val="18"/>
              </w:rPr>
              <w:t>Indicator 1.3</w:t>
            </w:r>
            <w:r w:rsidR="00D96C66" w:rsidRPr="00882056">
              <w:rPr>
                <w:b/>
                <w:bCs/>
                <w:color w:val="000000"/>
                <w:sz w:val="18"/>
                <w:szCs w:val="18"/>
              </w:rPr>
              <w:t>.</w:t>
            </w:r>
            <w:r w:rsidRPr="00882056">
              <w:rPr>
                <w:b/>
                <w:bCs/>
                <w:color w:val="000000"/>
                <w:sz w:val="18"/>
                <w:szCs w:val="18"/>
              </w:rPr>
              <w:t xml:space="preserve"> Corruption Perception Index</w:t>
            </w:r>
            <w:r w:rsidRPr="00882056">
              <w:rPr>
                <w:b/>
                <w:bCs/>
                <w:color w:val="000000"/>
                <w:sz w:val="18"/>
                <w:szCs w:val="18"/>
                <w:highlight w:val="yellow"/>
              </w:rPr>
              <w:t xml:space="preserve"> </w:t>
            </w:r>
          </w:p>
          <w:p w14:paraId="2EED67B7" w14:textId="77777777" w:rsidR="00B17A1F" w:rsidRPr="0016385E" w:rsidRDefault="00B17A1F" w:rsidP="00B17A1F">
            <w:pPr>
              <w:rPr>
                <w:color w:val="000000"/>
                <w:sz w:val="18"/>
                <w:szCs w:val="18"/>
              </w:rPr>
            </w:pPr>
            <w:r w:rsidRPr="0016385E">
              <w:rPr>
                <w:b/>
                <w:bCs/>
                <w:color w:val="000000"/>
                <w:sz w:val="18"/>
                <w:szCs w:val="18"/>
              </w:rPr>
              <w:t>Baseline (2020):</w:t>
            </w:r>
            <w:r w:rsidRPr="0016385E">
              <w:rPr>
                <w:color w:val="000000"/>
                <w:sz w:val="18"/>
                <w:szCs w:val="18"/>
              </w:rPr>
              <w:t xml:space="preserve"> Score 25/100</w:t>
            </w:r>
          </w:p>
          <w:p w14:paraId="64B09811" w14:textId="35718D4B" w:rsidR="00B17A1F" w:rsidRPr="0016385E" w:rsidRDefault="00B17A1F" w:rsidP="00B17A1F">
            <w:pPr>
              <w:rPr>
                <w:color w:val="000000"/>
                <w:sz w:val="18"/>
                <w:szCs w:val="18"/>
              </w:rPr>
            </w:pPr>
            <w:r w:rsidRPr="0016385E">
              <w:rPr>
                <w:b/>
                <w:bCs/>
                <w:color w:val="000000"/>
                <w:sz w:val="18"/>
                <w:szCs w:val="18"/>
              </w:rPr>
              <w:t>Target (2023):</w:t>
            </w:r>
            <w:r w:rsidRPr="0016385E">
              <w:rPr>
                <w:color w:val="000000"/>
                <w:sz w:val="18"/>
                <w:szCs w:val="18"/>
              </w:rPr>
              <w:t xml:space="preserve"> Score 25/100</w:t>
            </w:r>
          </w:p>
          <w:p w14:paraId="4CEB9857" w14:textId="5C888116" w:rsidR="00B17A1F" w:rsidRPr="0016385E" w:rsidRDefault="00B17A1F" w:rsidP="00177A8E">
            <w:pPr>
              <w:rPr>
                <w:i/>
                <w:iCs/>
                <w:color w:val="000000"/>
                <w:sz w:val="18"/>
                <w:szCs w:val="18"/>
              </w:rPr>
            </w:pPr>
          </w:p>
        </w:tc>
        <w:tc>
          <w:tcPr>
            <w:tcW w:w="828" w:type="pct"/>
          </w:tcPr>
          <w:p w14:paraId="6158B943" w14:textId="2DCC2405" w:rsidR="00F73C9E" w:rsidRPr="0016385E" w:rsidRDefault="00F73C9E" w:rsidP="00C5717D">
            <w:pPr>
              <w:rPr>
                <w:iCs/>
                <w:color w:val="000000"/>
                <w:sz w:val="18"/>
                <w:szCs w:val="18"/>
              </w:rPr>
            </w:pPr>
            <w:r w:rsidRPr="0016385E">
              <w:rPr>
                <w:iCs/>
                <w:color w:val="000000"/>
                <w:sz w:val="18"/>
                <w:szCs w:val="18"/>
              </w:rPr>
              <w:lastRenderedPageBreak/>
              <w:t xml:space="preserve">Ministry of Justice (MINJUS) </w:t>
            </w:r>
            <w:r w:rsidR="00D96C66" w:rsidRPr="0016385E">
              <w:rPr>
                <w:iCs/>
                <w:color w:val="000000"/>
                <w:sz w:val="18"/>
                <w:szCs w:val="18"/>
              </w:rPr>
              <w:t>r</w:t>
            </w:r>
            <w:r w:rsidRPr="0016385E">
              <w:rPr>
                <w:iCs/>
                <w:color w:val="000000"/>
                <w:sz w:val="18"/>
                <w:szCs w:val="18"/>
              </w:rPr>
              <w:t xml:space="preserve">eports; </w:t>
            </w:r>
            <w:r w:rsidR="004B6635" w:rsidRPr="0016385E">
              <w:rPr>
                <w:iCs/>
                <w:color w:val="000000"/>
                <w:sz w:val="18"/>
                <w:szCs w:val="18"/>
              </w:rPr>
              <w:t>a</w:t>
            </w:r>
            <w:r w:rsidRPr="0016385E">
              <w:rPr>
                <w:iCs/>
                <w:color w:val="000000"/>
                <w:sz w:val="18"/>
                <w:szCs w:val="18"/>
              </w:rPr>
              <w:t>nnual</w:t>
            </w:r>
          </w:p>
          <w:p w14:paraId="0271CB10" w14:textId="6287E446" w:rsidR="00E65BF8" w:rsidRPr="0016385E" w:rsidRDefault="00E65BF8" w:rsidP="00C5717D">
            <w:pPr>
              <w:rPr>
                <w:iCs/>
                <w:color w:val="000000"/>
                <w:sz w:val="18"/>
                <w:szCs w:val="18"/>
              </w:rPr>
            </w:pPr>
          </w:p>
          <w:p w14:paraId="124D4BDE" w14:textId="3A64467C" w:rsidR="00E65BF8" w:rsidRPr="0016385E" w:rsidRDefault="00E65BF8" w:rsidP="00C5717D">
            <w:pPr>
              <w:rPr>
                <w:iCs/>
                <w:color w:val="000000"/>
                <w:sz w:val="18"/>
                <w:szCs w:val="18"/>
              </w:rPr>
            </w:pPr>
          </w:p>
          <w:p w14:paraId="33F0DDC9" w14:textId="3A794096" w:rsidR="00E65BF8" w:rsidRPr="0016385E" w:rsidRDefault="00E65BF8" w:rsidP="00C5717D">
            <w:pPr>
              <w:rPr>
                <w:iCs/>
                <w:color w:val="000000"/>
                <w:sz w:val="18"/>
                <w:szCs w:val="18"/>
              </w:rPr>
            </w:pPr>
          </w:p>
          <w:p w14:paraId="58AF88CB" w14:textId="611FA677" w:rsidR="00E65BF8" w:rsidRPr="0016385E" w:rsidRDefault="00E65BF8" w:rsidP="00C5717D">
            <w:pPr>
              <w:rPr>
                <w:iCs/>
                <w:color w:val="000000"/>
                <w:sz w:val="18"/>
                <w:szCs w:val="18"/>
              </w:rPr>
            </w:pPr>
          </w:p>
          <w:p w14:paraId="16421174" w14:textId="7FA44A08" w:rsidR="00E65BF8" w:rsidRPr="0016385E" w:rsidRDefault="00E65BF8" w:rsidP="00C5717D">
            <w:pPr>
              <w:rPr>
                <w:iCs/>
                <w:color w:val="000000"/>
                <w:sz w:val="18"/>
                <w:szCs w:val="18"/>
              </w:rPr>
            </w:pPr>
          </w:p>
          <w:p w14:paraId="5CB90C44" w14:textId="4218742E" w:rsidR="00E65BF8" w:rsidRPr="0016385E" w:rsidRDefault="00E65BF8" w:rsidP="00C5717D">
            <w:pPr>
              <w:rPr>
                <w:iCs/>
                <w:color w:val="000000"/>
                <w:sz w:val="18"/>
                <w:szCs w:val="18"/>
              </w:rPr>
            </w:pPr>
          </w:p>
          <w:p w14:paraId="3F2DDCA2" w14:textId="5D75F71C" w:rsidR="00E65BF8" w:rsidRPr="0016385E" w:rsidRDefault="00E65BF8" w:rsidP="00C5717D">
            <w:pPr>
              <w:rPr>
                <w:iCs/>
                <w:color w:val="000000"/>
                <w:sz w:val="18"/>
                <w:szCs w:val="18"/>
              </w:rPr>
            </w:pPr>
          </w:p>
          <w:p w14:paraId="1195D939" w14:textId="3CBB1056" w:rsidR="00E65BF8" w:rsidRPr="0016385E" w:rsidRDefault="00E65BF8" w:rsidP="00C5717D">
            <w:pPr>
              <w:rPr>
                <w:iCs/>
                <w:color w:val="000000"/>
                <w:sz w:val="18"/>
                <w:szCs w:val="18"/>
              </w:rPr>
            </w:pPr>
          </w:p>
          <w:p w14:paraId="6F6E88A8" w14:textId="7E7D97ED" w:rsidR="00E65BF8" w:rsidRPr="0016385E" w:rsidRDefault="00E65BF8" w:rsidP="00C5717D">
            <w:pPr>
              <w:rPr>
                <w:iCs/>
                <w:color w:val="000000"/>
                <w:sz w:val="18"/>
                <w:szCs w:val="18"/>
              </w:rPr>
            </w:pPr>
          </w:p>
          <w:p w14:paraId="333A6BE4" w14:textId="6349C8FE" w:rsidR="00E65BF8" w:rsidRPr="0016385E" w:rsidRDefault="00E65BF8" w:rsidP="00C5717D">
            <w:pPr>
              <w:rPr>
                <w:iCs/>
                <w:color w:val="000000"/>
                <w:sz w:val="18"/>
                <w:szCs w:val="18"/>
              </w:rPr>
            </w:pPr>
          </w:p>
          <w:p w14:paraId="20B096D6" w14:textId="31974C10" w:rsidR="00E65BF8" w:rsidRPr="0016385E" w:rsidRDefault="00E65BF8" w:rsidP="00C5717D">
            <w:pPr>
              <w:rPr>
                <w:iCs/>
                <w:color w:val="000000"/>
                <w:sz w:val="18"/>
                <w:szCs w:val="18"/>
              </w:rPr>
            </w:pPr>
          </w:p>
          <w:p w14:paraId="05402E2E" w14:textId="0B8E8E1D" w:rsidR="00F73C9E" w:rsidRPr="0016385E" w:rsidRDefault="00E65BF8" w:rsidP="00177A8E">
            <w:pPr>
              <w:rPr>
                <w:iCs/>
                <w:color w:val="000000"/>
                <w:sz w:val="18"/>
                <w:szCs w:val="18"/>
              </w:rPr>
            </w:pPr>
            <w:r w:rsidRPr="0016385E">
              <w:rPr>
                <w:iCs/>
                <w:color w:val="000000"/>
                <w:sz w:val="18"/>
                <w:szCs w:val="18"/>
              </w:rPr>
              <w:t xml:space="preserve">Transparency International </w:t>
            </w:r>
            <w:r w:rsidR="00D96C66" w:rsidRPr="0016385E">
              <w:rPr>
                <w:iCs/>
                <w:color w:val="000000"/>
                <w:sz w:val="18"/>
                <w:szCs w:val="18"/>
              </w:rPr>
              <w:t>r</w:t>
            </w:r>
            <w:r w:rsidRPr="0016385E">
              <w:rPr>
                <w:iCs/>
                <w:color w:val="000000"/>
                <w:sz w:val="18"/>
                <w:szCs w:val="18"/>
              </w:rPr>
              <w:t>eport; Annual</w:t>
            </w:r>
          </w:p>
        </w:tc>
        <w:tc>
          <w:tcPr>
            <w:tcW w:w="1854" w:type="pct"/>
            <w:tcMar>
              <w:top w:w="72" w:type="dxa"/>
              <w:left w:w="144" w:type="dxa"/>
              <w:bottom w:w="72" w:type="dxa"/>
              <w:right w:w="144" w:type="dxa"/>
            </w:tcMar>
          </w:tcPr>
          <w:p w14:paraId="60565B8A" w14:textId="76EEAE25" w:rsidR="0072282A" w:rsidRPr="0016385E" w:rsidRDefault="00F73C9E" w:rsidP="00083C79">
            <w:pPr>
              <w:rPr>
                <w:b/>
                <w:bCs/>
                <w:color w:val="000000"/>
                <w:sz w:val="18"/>
                <w:szCs w:val="18"/>
              </w:rPr>
            </w:pPr>
            <w:r w:rsidRPr="0016385E">
              <w:rPr>
                <w:b/>
                <w:bCs/>
                <w:color w:val="000000"/>
                <w:sz w:val="18"/>
                <w:szCs w:val="18"/>
              </w:rPr>
              <w:lastRenderedPageBreak/>
              <w:t>Output 1.2</w:t>
            </w:r>
            <w:r w:rsidR="00D96C66" w:rsidRPr="0016385E">
              <w:rPr>
                <w:b/>
                <w:bCs/>
                <w:color w:val="000000"/>
                <w:sz w:val="18"/>
                <w:szCs w:val="18"/>
              </w:rPr>
              <w:t>.</w:t>
            </w:r>
            <w:r w:rsidRPr="0016385E">
              <w:rPr>
                <w:b/>
                <w:bCs/>
                <w:color w:val="000000"/>
                <w:sz w:val="18"/>
                <w:szCs w:val="18"/>
              </w:rPr>
              <w:t xml:space="preserve"> Actors of the judicial system are more able to expand access to justice</w:t>
            </w:r>
            <w:r w:rsidR="008669C5" w:rsidRPr="0016385E">
              <w:rPr>
                <w:b/>
                <w:bCs/>
                <w:color w:val="000000"/>
                <w:sz w:val="18"/>
                <w:szCs w:val="18"/>
              </w:rPr>
              <w:t xml:space="preserve">, promote rule of law </w:t>
            </w:r>
            <w:r w:rsidRPr="0016385E">
              <w:rPr>
                <w:b/>
                <w:bCs/>
                <w:color w:val="000000"/>
                <w:sz w:val="18"/>
                <w:szCs w:val="18"/>
              </w:rPr>
              <w:t xml:space="preserve">and </w:t>
            </w:r>
            <w:r w:rsidR="00BE1A29" w:rsidRPr="0016385E">
              <w:rPr>
                <w:b/>
                <w:bCs/>
                <w:color w:val="000000"/>
                <w:sz w:val="18"/>
                <w:szCs w:val="18"/>
              </w:rPr>
              <w:t xml:space="preserve">combat </w:t>
            </w:r>
            <w:r w:rsidR="001C5A8A" w:rsidRPr="0016385E">
              <w:rPr>
                <w:b/>
                <w:bCs/>
                <w:color w:val="000000"/>
                <w:sz w:val="18"/>
                <w:szCs w:val="18"/>
              </w:rPr>
              <w:t xml:space="preserve">corruption </w:t>
            </w:r>
            <w:r w:rsidR="00BE1A29" w:rsidRPr="0016385E">
              <w:rPr>
                <w:b/>
                <w:bCs/>
                <w:color w:val="000000"/>
                <w:sz w:val="18"/>
                <w:szCs w:val="18"/>
              </w:rPr>
              <w:t xml:space="preserve">and </w:t>
            </w:r>
            <w:r w:rsidR="00D00FA7" w:rsidRPr="0016385E">
              <w:rPr>
                <w:b/>
                <w:bCs/>
                <w:color w:val="000000"/>
                <w:sz w:val="18"/>
                <w:szCs w:val="18"/>
              </w:rPr>
              <w:t>inequalit</w:t>
            </w:r>
            <w:r w:rsidR="008B500E" w:rsidRPr="0016385E">
              <w:rPr>
                <w:b/>
                <w:bCs/>
                <w:color w:val="000000"/>
                <w:sz w:val="18"/>
                <w:szCs w:val="18"/>
              </w:rPr>
              <w:t>ies</w:t>
            </w:r>
            <w:r w:rsidRPr="0016385E">
              <w:rPr>
                <w:b/>
                <w:bCs/>
                <w:color w:val="000000"/>
                <w:sz w:val="18"/>
                <w:szCs w:val="18"/>
              </w:rPr>
              <w:t>, with a focus on women and marginalized group</w:t>
            </w:r>
            <w:r w:rsidR="00DE27EF" w:rsidRPr="0016385E">
              <w:rPr>
                <w:b/>
                <w:bCs/>
                <w:color w:val="000000"/>
                <w:sz w:val="18"/>
                <w:szCs w:val="18"/>
              </w:rPr>
              <w:t>s</w:t>
            </w:r>
          </w:p>
          <w:p w14:paraId="55583EE9" w14:textId="1F73E390" w:rsidR="00F73C9E" w:rsidRPr="00882056" w:rsidRDefault="00F73C9E" w:rsidP="00083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8"/>
                <w:szCs w:val="18"/>
              </w:rPr>
            </w:pPr>
            <w:r w:rsidRPr="00882056">
              <w:rPr>
                <w:b/>
                <w:sz w:val="18"/>
                <w:szCs w:val="18"/>
              </w:rPr>
              <w:lastRenderedPageBreak/>
              <w:t>Indicator 1.</w:t>
            </w:r>
            <w:r w:rsidR="008A4BAC" w:rsidRPr="00882056">
              <w:rPr>
                <w:b/>
                <w:sz w:val="18"/>
                <w:szCs w:val="18"/>
              </w:rPr>
              <w:t>2</w:t>
            </w:r>
            <w:r w:rsidRPr="00882056">
              <w:rPr>
                <w:b/>
                <w:sz w:val="18"/>
                <w:szCs w:val="18"/>
              </w:rPr>
              <w:t>.1</w:t>
            </w:r>
            <w:r w:rsidR="004B6635" w:rsidRPr="00882056">
              <w:rPr>
                <w:b/>
                <w:sz w:val="18"/>
                <w:szCs w:val="18"/>
              </w:rPr>
              <w:t>.</w:t>
            </w:r>
            <w:r w:rsidRPr="00882056">
              <w:rPr>
                <w:sz w:val="18"/>
                <w:szCs w:val="18"/>
              </w:rPr>
              <w:t xml:space="preserve"> Number of </w:t>
            </w:r>
            <w:r w:rsidR="00D96C66" w:rsidRPr="00882056">
              <w:rPr>
                <w:sz w:val="18"/>
                <w:szCs w:val="18"/>
              </w:rPr>
              <w:t>judicial system a</w:t>
            </w:r>
            <w:r w:rsidRPr="00882056">
              <w:rPr>
                <w:sz w:val="18"/>
                <w:szCs w:val="18"/>
              </w:rPr>
              <w:t>ctors</w:t>
            </w:r>
            <w:r w:rsidR="00B144AA" w:rsidRPr="00882056">
              <w:rPr>
                <w:sz w:val="18"/>
                <w:szCs w:val="18"/>
              </w:rPr>
              <w:t xml:space="preserve"> (formal </w:t>
            </w:r>
            <w:r w:rsidR="004B6635" w:rsidRPr="00882056">
              <w:rPr>
                <w:sz w:val="18"/>
                <w:szCs w:val="18"/>
              </w:rPr>
              <w:t xml:space="preserve">and </w:t>
            </w:r>
            <w:r w:rsidR="00B144AA" w:rsidRPr="00882056">
              <w:rPr>
                <w:sz w:val="18"/>
                <w:szCs w:val="18"/>
              </w:rPr>
              <w:t xml:space="preserve">informal) </w:t>
            </w:r>
            <w:r w:rsidRPr="00882056">
              <w:rPr>
                <w:sz w:val="18"/>
                <w:szCs w:val="18"/>
              </w:rPr>
              <w:t>with adequate technical and operational capacities for quality service delivery and implementation of the rule of law</w:t>
            </w:r>
          </w:p>
          <w:p w14:paraId="7FF3226F" w14:textId="2DA59B90" w:rsidR="00F73C9E" w:rsidRPr="0016385E" w:rsidRDefault="00F73C9E" w:rsidP="00083C79">
            <w:pPr>
              <w:rPr>
                <w:color w:val="000000"/>
                <w:sz w:val="18"/>
                <w:szCs w:val="18"/>
              </w:rPr>
            </w:pPr>
            <w:r w:rsidRPr="0016385E">
              <w:rPr>
                <w:color w:val="000000"/>
                <w:sz w:val="18"/>
                <w:szCs w:val="18"/>
              </w:rPr>
              <w:t>Baseline (2021):</w:t>
            </w:r>
            <w:r w:rsidRPr="0016385E">
              <w:rPr>
                <w:sz w:val="18"/>
                <w:szCs w:val="18"/>
              </w:rPr>
              <w:t xml:space="preserve"> 3 (</w:t>
            </w:r>
            <w:r w:rsidRPr="0016385E">
              <w:rPr>
                <w:color w:val="000000"/>
                <w:sz w:val="18"/>
                <w:szCs w:val="18"/>
              </w:rPr>
              <w:t xml:space="preserve">Supreme Court; </w:t>
            </w:r>
            <w:r w:rsidR="00384ED4" w:rsidRPr="0016385E">
              <w:rPr>
                <w:color w:val="000000"/>
                <w:sz w:val="18"/>
                <w:szCs w:val="18"/>
              </w:rPr>
              <w:t xml:space="preserve">First </w:t>
            </w:r>
            <w:r w:rsidR="004B6635" w:rsidRPr="0016385E">
              <w:rPr>
                <w:color w:val="000000"/>
                <w:sz w:val="18"/>
                <w:szCs w:val="18"/>
              </w:rPr>
              <w:t>I</w:t>
            </w:r>
            <w:r w:rsidR="00384ED4" w:rsidRPr="0016385E">
              <w:rPr>
                <w:color w:val="000000"/>
                <w:sz w:val="18"/>
                <w:szCs w:val="18"/>
              </w:rPr>
              <w:t xml:space="preserve">nstance </w:t>
            </w:r>
            <w:r w:rsidRPr="0016385E">
              <w:rPr>
                <w:color w:val="000000"/>
                <w:sz w:val="18"/>
                <w:szCs w:val="18"/>
              </w:rPr>
              <w:t xml:space="preserve">Court; </w:t>
            </w:r>
            <w:r w:rsidR="004B6635" w:rsidRPr="0016385E">
              <w:rPr>
                <w:color w:val="000000"/>
                <w:sz w:val="18"/>
                <w:szCs w:val="18"/>
              </w:rPr>
              <w:t>l</w:t>
            </w:r>
            <w:r w:rsidRPr="0016385E">
              <w:rPr>
                <w:color w:val="000000"/>
                <w:sz w:val="18"/>
                <w:szCs w:val="18"/>
              </w:rPr>
              <w:t>egal clinics)</w:t>
            </w:r>
          </w:p>
          <w:p w14:paraId="2D7D03DF" w14:textId="182A3C2F" w:rsidR="00F73C9E" w:rsidRPr="0016385E" w:rsidRDefault="00F73C9E" w:rsidP="00083C79">
            <w:pPr>
              <w:rPr>
                <w:color w:val="000000"/>
                <w:sz w:val="18"/>
                <w:szCs w:val="18"/>
              </w:rPr>
            </w:pPr>
            <w:r w:rsidRPr="0016385E">
              <w:rPr>
                <w:color w:val="000000"/>
                <w:sz w:val="18"/>
                <w:szCs w:val="18"/>
              </w:rPr>
              <w:t>Target (2023): 5</w:t>
            </w:r>
            <w:r w:rsidRPr="0016385E">
              <w:rPr>
                <w:sz w:val="18"/>
                <w:szCs w:val="18"/>
              </w:rPr>
              <w:t xml:space="preserve"> (</w:t>
            </w:r>
            <w:r w:rsidR="004B6635" w:rsidRPr="0016385E">
              <w:rPr>
                <w:sz w:val="18"/>
                <w:szCs w:val="18"/>
              </w:rPr>
              <w:t>b</w:t>
            </w:r>
            <w:r w:rsidRPr="0016385E">
              <w:rPr>
                <w:sz w:val="18"/>
                <w:szCs w:val="18"/>
              </w:rPr>
              <w:t>aseline + 2 [</w:t>
            </w:r>
            <w:r w:rsidRPr="0016385E">
              <w:rPr>
                <w:color w:val="000000"/>
                <w:sz w:val="18"/>
                <w:szCs w:val="18"/>
              </w:rPr>
              <w:t xml:space="preserve">Superior </w:t>
            </w:r>
            <w:r w:rsidR="004B6635" w:rsidRPr="0016385E">
              <w:rPr>
                <w:color w:val="000000"/>
                <w:sz w:val="18"/>
                <w:szCs w:val="18"/>
              </w:rPr>
              <w:t>M</w:t>
            </w:r>
            <w:r w:rsidRPr="0016385E">
              <w:rPr>
                <w:color w:val="000000"/>
                <w:sz w:val="18"/>
                <w:szCs w:val="18"/>
              </w:rPr>
              <w:t>agistrate</w:t>
            </w:r>
            <w:r w:rsidR="004B6635" w:rsidRPr="0016385E">
              <w:rPr>
                <w:color w:val="000000"/>
                <w:sz w:val="18"/>
                <w:szCs w:val="18"/>
              </w:rPr>
              <w:t>s</w:t>
            </w:r>
            <w:r w:rsidRPr="0016385E">
              <w:rPr>
                <w:color w:val="000000"/>
                <w:sz w:val="18"/>
                <w:szCs w:val="18"/>
              </w:rPr>
              <w:t xml:space="preserve"> </w:t>
            </w:r>
            <w:r w:rsidR="004B6635" w:rsidRPr="0016385E">
              <w:rPr>
                <w:color w:val="000000"/>
                <w:sz w:val="18"/>
                <w:szCs w:val="18"/>
              </w:rPr>
              <w:t>C</w:t>
            </w:r>
            <w:r w:rsidRPr="0016385E">
              <w:rPr>
                <w:color w:val="000000"/>
                <w:sz w:val="18"/>
                <w:szCs w:val="18"/>
              </w:rPr>
              <w:t>oun</w:t>
            </w:r>
            <w:r w:rsidR="00EC29FA" w:rsidRPr="0016385E">
              <w:rPr>
                <w:color w:val="000000"/>
                <w:sz w:val="18"/>
                <w:szCs w:val="18"/>
              </w:rPr>
              <w:t>cil</w:t>
            </w:r>
            <w:r w:rsidRPr="0016385E">
              <w:rPr>
                <w:color w:val="000000"/>
                <w:sz w:val="18"/>
                <w:szCs w:val="18"/>
              </w:rPr>
              <w:t xml:space="preserve">; </w:t>
            </w:r>
            <w:r w:rsidR="008D1108" w:rsidRPr="0016385E">
              <w:rPr>
                <w:color w:val="000000"/>
                <w:sz w:val="18"/>
                <w:szCs w:val="18"/>
              </w:rPr>
              <w:t>Appeal</w:t>
            </w:r>
            <w:r w:rsidR="004B6635" w:rsidRPr="0016385E">
              <w:rPr>
                <w:color w:val="000000"/>
                <w:sz w:val="18"/>
                <w:szCs w:val="18"/>
              </w:rPr>
              <w:t>s</w:t>
            </w:r>
            <w:r w:rsidR="008D1108" w:rsidRPr="0016385E">
              <w:rPr>
                <w:color w:val="000000"/>
                <w:sz w:val="18"/>
                <w:szCs w:val="18"/>
              </w:rPr>
              <w:t xml:space="preserve"> </w:t>
            </w:r>
            <w:r w:rsidRPr="0016385E">
              <w:rPr>
                <w:color w:val="000000"/>
                <w:sz w:val="18"/>
                <w:szCs w:val="18"/>
              </w:rPr>
              <w:t>Cou</w:t>
            </w:r>
            <w:r w:rsidR="008D1108" w:rsidRPr="0016385E">
              <w:rPr>
                <w:color w:val="000000"/>
                <w:sz w:val="18"/>
                <w:szCs w:val="18"/>
              </w:rPr>
              <w:t>rt</w:t>
            </w:r>
            <w:r w:rsidRPr="0016385E">
              <w:rPr>
                <w:color w:val="000000"/>
                <w:sz w:val="18"/>
                <w:szCs w:val="18"/>
              </w:rPr>
              <w:t>])</w:t>
            </w:r>
          </w:p>
          <w:p w14:paraId="300A4C1E" w14:textId="260A4C71" w:rsidR="00F73C9E" w:rsidRPr="0016385E" w:rsidRDefault="00F73C9E" w:rsidP="00083C79">
            <w:pPr>
              <w:rPr>
                <w:i/>
                <w:iCs/>
                <w:color w:val="000000"/>
                <w:sz w:val="18"/>
                <w:szCs w:val="18"/>
              </w:rPr>
            </w:pPr>
            <w:r w:rsidRPr="0016385E">
              <w:rPr>
                <w:i/>
                <w:iCs/>
                <w:color w:val="000000"/>
                <w:sz w:val="18"/>
                <w:szCs w:val="18"/>
              </w:rPr>
              <w:t xml:space="preserve">Data </w:t>
            </w:r>
            <w:r w:rsidR="004B6635" w:rsidRPr="0016385E">
              <w:rPr>
                <w:i/>
                <w:iCs/>
                <w:color w:val="000000"/>
                <w:sz w:val="18"/>
                <w:szCs w:val="18"/>
              </w:rPr>
              <w:t>s</w:t>
            </w:r>
            <w:r w:rsidRPr="0016385E">
              <w:rPr>
                <w:i/>
                <w:iCs/>
                <w:color w:val="000000"/>
                <w:sz w:val="18"/>
                <w:szCs w:val="18"/>
              </w:rPr>
              <w:t xml:space="preserve">ource: MINJUS and </w:t>
            </w:r>
            <w:r w:rsidR="004B6635" w:rsidRPr="0016385E">
              <w:rPr>
                <w:i/>
                <w:iCs/>
                <w:color w:val="000000"/>
                <w:sz w:val="18"/>
                <w:szCs w:val="18"/>
              </w:rPr>
              <w:t>l</w:t>
            </w:r>
            <w:r w:rsidRPr="0016385E">
              <w:rPr>
                <w:i/>
                <w:iCs/>
                <w:color w:val="000000"/>
                <w:sz w:val="18"/>
                <w:szCs w:val="18"/>
              </w:rPr>
              <w:t xml:space="preserve">egal </w:t>
            </w:r>
            <w:r w:rsidR="004B6635" w:rsidRPr="0016385E">
              <w:rPr>
                <w:i/>
                <w:iCs/>
                <w:color w:val="000000"/>
                <w:sz w:val="18"/>
                <w:szCs w:val="18"/>
              </w:rPr>
              <w:t>c</w:t>
            </w:r>
            <w:r w:rsidRPr="0016385E">
              <w:rPr>
                <w:i/>
                <w:iCs/>
                <w:color w:val="000000"/>
                <w:sz w:val="18"/>
                <w:szCs w:val="18"/>
              </w:rPr>
              <w:t xml:space="preserve">linics </w:t>
            </w:r>
            <w:r w:rsidR="004B6635" w:rsidRPr="0016385E">
              <w:rPr>
                <w:i/>
                <w:iCs/>
                <w:color w:val="000000"/>
                <w:sz w:val="18"/>
                <w:szCs w:val="18"/>
              </w:rPr>
              <w:t>r</w:t>
            </w:r>
            <w:r w:rsidRPr="0016385E">
              <w:rPr>
                <w:i/>
                <w:iCs/>
                <w:color w:val="000000"/>
                <w:sz w:val="18"/>
                <w:szCs w:val="18"/>
              </w:rPr>
              <w:t xml:space="preserve">eports; Frequency: </w:t>
            </w:r>
            <w:r w:rsidR="004B6635" w:rsidRPr="0016385E">
              <w:rPr>
                <w:i/>
                <w:iCs/>
                <w:color w:val="000000"/>
                <w:sz w:val="18"/>
                <w:szCs w:val="18"/>
              </w:rPr>
              <w:t>a</w:t>
            </w:r>
            <w:r w:rsidRPr="0016385E">
              <w:rPr>
                <w:i/>
                <w:iCs/>
                <w:color w:val="000000"/>
                <w:sz w:val="18"/>
                <w:szCs w:val="18"/>
              </w:rPr>
              <w:t>nnual</w:t>
            </w:r>
          </w:p>
          <w:p w14:paraId="56B03379" w14:textId="61946F49" w:rsidR="00F73C9E" w:rsidRPr="00882056" w:rsidRDefault="00F73C9E" w:rsidP="00083C79">
            <w:pPr>
              <w:suppressAutoHyphens/>
              <w:autoSpaceDN w:val="0"/>
              <w:textAlignment w:val="baseline"/>
              <w:rPr>
                <w:sz w:val="18"/>
                <w:szCs w:val="18"/>
              </w:rPr>
            </w:pPr>
            <w:r w:rsidRPr="00882056">
              <w:rPr>
                <w:b/>
                <w:bCs/>
                <w:sz w:val="18"/>
                <w:szCs w:val="18"/>
              </w:rPr>
              <w:t>Indicator 1.</w:t>
            </w:r>
            <w:r w:rsidR="008A4BAC" w:rsidRPr="00882056">
              <w:rPr>
                <w:b/>
                <w:bCs/>
                <w:sz w:val="18"/>
                <w:szCs w:val="18"/>
              </w:rPr>
              <w:t>2</w:t>
            </w:r>
            <w:r w:rsidRPr="00882056">
              <w:rPr>
                <w:b/>
                <w:bCs/>
                <w:sz w:val="18"/>
                <w:szCs w:val="18"/>
              </w:rPr>
              <w:t>.2</w:t>
            </w:r>
            <w:r w:rsidR="004B6635" w:rsidRPr="00882056">
              <w:rPr>
                <w:b/>
                <w:bCs/>
                <w:sz w:val="18"/>
                <w:szCs w:val="18"/>
              </w:rPr>
              <w:t>.</w:t>
            </w:r>
            <w:r w:rsidRPr="00882056">
              <w:rPr>
                <w:sz w:val="18"/>
                <w:szCs w:val="18"/>
              </w:rPr>
              <w:t xml:space="preserve"> Number of </w:t>
            </w:r>
            <w:r w:rsidR="008A4BAC" w:rsidRPr="00882056">
              <w:rPr>
                <w:sz w:val="18"/>
                <w:szCs w:val="18"/>
              </w:rPr>
              <w:t xml:space="preserve">new </w:t>
            </w:r>
            <w:r w:rsidRPr="00882056">
              <w:rPr>
                <w:sz w:val="18"/>
                <w:szCs w:val="18"/>
              </w:rPr>
              <w:t xml:space="preserve">people (disaggregated by sex and marginalized groups) </w:t>
            </w:r>
            <w:r w:rsidR="008D1108" w:rsidRPr="00882056">
              <w:rPr>
                <w:sz w:val="18"/>
                <w:szCs w:val="18"/>
              </w:rPr>
              <w:t>having</w:t>
            </w:r>
            <w:r w:rsidR="00095A11" w:rsidRPr="00882056">
              <w:rPr>
                <w:sz w:val="18"/>
                <w:szCs w:val="18"/>
              </w:rPr>
              <w:t xml:space="preserve"> </w:t>
            </w:r>
            <w:r w:rsidRPr="00882056">
              <w:rPr>
                <w:sz w:val="18"/>
                <w:szCs w:val="18"/>
              </w:rPr>
              <w:t xml:space="preserve">access to justice </w:t>
            </w:r>
            <w:r w:rsidR="00703E6C" w:rsidRPr="00882056">
              <w:rPr>
                <w:sz w:val="18"/>
                <w:szCs w:val="18"/>
              </w:rPr>
              <w:t>with</w:t>
            </w:r>
            <w:r w:rsidR="00095A11" w:rsidRPr="00882056">
              <w:rPr>
                <w:sz w:val="18"/>
                <w:szCs w:val="18"/>
              </w:rPr>
              <w:t xml:space="preserve"> UNDP</w:t>
            </w:r>
            <w:r w:rsidR="008754EC" w:rsidRPr="00882056">
              <w:rPr>
                <w:sz w:val="18"/>
                <w:szCs w:val="18"/>
              </w:rPr>
              <w:t xml:space="preserve"> support </w:t>
            </w:r>
            <w:r w:rsidRPr="00882056">
              <w:rPr>
                <w:sz w:val="18"/>
                <w:szCs w:val="18"/>
              </w:rPr>
              <w:t xml:space="preserve">through formal and informal </w:t>
            </w:r>
            <w:r w:rsidR="00C8046C" w:rsidRPr="00882056">
              <w:rPr>
                <w:sz w:val="18"/>
                <w:szCs w:val="18"/>
              </w:rPr>
              <w:t>systems</w:t>
            </w:r>
          </w:p>
          <w:p w14:paraId="3AA3F6FC" w14:textId="5E6F5B02" w:rsidR="00F73C9E" w:rsidRPr="00882056" w:rsidRDefault="00F73C9E" w:rsidP="00083C79">
            <w:pPr>
              <w:suppressAutoHyphens/>
              <w:autoSpaceDN w:val="0"/>
              <w:textAlignment w:val="baseline"/>
              <w:rPr>
                <w:sz w:val="18"/>
                <w:szCs w:val="18"/>
              </w:rPr>
            </w:pPr>
            <w:r w:rsidRPr="00882056">
              <w:rPr>
                <w:sz w:val="18"/>
                <w:szCs w:val="18"/>
              </w:rPr>
              <w:t>Baseline (202</w:t>
            </w:r>
            <w:r w:rsidR="00F52EEA" w:rsidRPr="00882056">
              <w:rPr>
                <w:sz w:val="18"/>
                <w:szCs w:val="18"/>
              </w:rPr>
              <w:t>1</w:t>
            </w:r>
            <w:r w:rsidRPr="00882056">
              <w:rPr>
                <w:sz w:val="18"/>
                <w:szCs w:val="18"/>
              </w:rPr>
              <w:t>):</w:t>
            </w:r>
            <w:r w:rsidR="00147B76" w:rsidRPr="00882056">
              <w:rPr>
                <w:sz w:val="18"/>
                <w:szCs w:val="18"/>
              </w:rPr>
              <w:t xml:space="preserve"> </w:t>
            </w:r>
            <w:r w:rsidR="004B6635" w:rsidRPr="00882056">
              <w:rPr>
                <w:sz w:val="18"/>
                <w:szCs w:val="18"/>
              </w:rPr>
              <w:t>f</w:t>
            </w:r>
            <w:r w:rsidRPr="00882056">
              <w:rPr>
                <w:sz w:val="18"/>
                <w:szCs w:val="18"/>
              </w:rPr>
              <w:t>ormal: 0</w:t>
            </w:r>
            <w:r w:rsidR="00147B76" w:rsidRPr="00882056">
              <w:rPr>
                <w:sz w:val="18"/>
                <w:szCs w:val="18"/>
              </w:rPr>
              <w:t xml:space="preserve">; </w:t>
            </w:r>
            <w:r w:rsidR="004B6635" w:rsidRPr="00882056">
              <w:rPr>
                <w:sz w:val="18"/>
                <w:szCs w:val="18"/>
              </w:rPr>
              <w:t>i</w:t>
            </w:r>
            <w:r w:rsidRPr="00882056">
              <w:rPr>
                <w:sz w:val="18"/>
                <w:szCs w:val="18"/>
              </w:rPr>
              <w:t xml:space="preserve">nformal: 0 </w:t>
            </w:r>
          </w:p>
          <w:p w14:paraId="29C5B643" w14:textId="748197E3" w:rsidR="00F73C9E" w:rsidRDefault="00F73C9E" w:rsidP="00147B76">
            <w:pPr>
              <w:suppressAutoHyphens/>
              <w:autoSpaceDN w:val="0"/>
              <w:textAlignment w:val="baseline"/>
              <w:rPr>
                <w:sz w:val="18"/>
                <w:szCs w:val="18"/>
              </w:rPr>
            </w:pPr>
            <w:r w:rsidRPr="00882056">
              <w:rPr>
                <w:sz w:val="18"/>
                <w:szCs w:val="18"/>
              </w:rPr>
              <w:t>Target (2023):</w:t>
            </w:r>
            <w:r w:rsidR="00147B76" w:rsidRPr="00882056">
              <w:rPr>
                <w:sz w:val="18"/>
                <w:szCs w:val="18"/>
              </w:rPr>
              <w:t xml:space="preserve"> </w:t>
            </w:r>
            <w:r w:rsidR="004B6635" w:rsidRPr="00882056">
              <w:rPr>
                <w:sz w:val="18"/>
                <w:szCs w:val="18"/>
              </w:rPr>
              <w:t>f</w:t>
            </w:r>
            <w:r w:rsidRPr="00882056">
              <w:rPr>
                <w:sz w:val="18"/>
                <w:szCs w:val="18"/>
              </w:rPr>
              <w:t xml:space="preserve">ormal: </w:t>
            </w:r>
            <w:r w:rsidR="00FE0002" w:rsidRPr="00882056">
              <w:rPr>
                <w:sz w:val="18"/>
                <w:szCs w:val="18"/>
              </w:rPr>
              <w:t>4</w:t>
            </w:r>
            <w:r w:rsidRPr="00882056">
              <w:rPr>
                <w:sz w:val="18"/>
                <w:szCs w:val="18"/>
              </w:rPr>
              <w:t xml:space="preserve">0,000 (55% women; 20% </w:t>
            </w:r>
            <w:r w:rsidR="004B6635" w:rsidRPr="00882056">
              <w:rPr>
                <w:sz w:val="18"/>
                <w:szCs w:val="18"/>
              </w:rPr>
              <w:t xml:space="preserve">people living with a disability – </w:t>
            </w:r>
            <w:r w:rsidRPr="00882056">
              <w:rPr>
                <w:sz w:val="18"/>
                <w:szCs w:val="18"/>
              </w:rPr>
              <w:t>PLWD)</w:t>
            </w:r>
            <w:r w:rsidR="00147B76" w:rsidRPr="00882056">
              <w:rPr>
                <w:sz w:val="18"/>
                <w:szCs w:val="18"/>
              </w:rPr>
              <w:t xml:space="preserve">; </w:t>
            </w:r>
            <w:r w:rsidR="004B6635" w:rsidRPr="00882056">
              <w:rPr>
                <w:sz w:val="18"/>
                <w:szCs w:val="18"/>
              </w:rPr>
              <w:t>i</w:t>
            </w:r>
            <w:r w:rsidRPr="00882056">
              <w:rPr>
                <w:sz w:val="18"/>
                <w:szCs w:val="18"/>
              </w:rPr>
              <w:t xml:space="preserve">nformal: </w:t>
            </w:r>
            <w:r w:rsidR="004F55A5" w:rsidRPr="00882056">
              <w:rPr>
                <w:sz w:val="18"/>
                <w:szCs w:val="18"/>
              </w:rPr>
              <w:t>1</w:t>
            </w:r>
            <w:r w:rsidRPr="00882056">
              <w:rPr>
                <w:sz w:val="18"/>
                <w:szCs w:val="18"/>
              </w:rPr>
              <w:t>0,000 (55% women; 20%</w:t>
            </w:r>
            <w:r w:rsidR="004B6635" w:rsidRPr="00882056">
              <w:rPr>
                <w:sz w:val="18"/>
                <w:szCs w:val="18"/>
              </w:rPr>
              <w:t xml:space="preserve"> </w:t>
            </w:r>
            <w:r w:rsidRPr="00882056">
              <w:rPr>
                <w:sz w:val="18"/>
                <w:szCs w:val="18"/>
              </w:rPr>
              <w:t>PLWD)</w:t>
            </w:r>
          </w:p>
          <w:p w14:paraId="2AACD661" w14:textId="07296DF0" w:rsidR="00046288" w:rsidRPr="00C707C1" w:rsidRDefault="00046288" w:rsidP="00C707C1">
            <w:pPr>
              <w:rPr>
                <w:i/>
                <w:iCs/>
                <w:color w:val="000000"/>
                <w:sz w:val="18"/>
                <w:szCs w:val="18"/>
              </w:rPr>
            </w:pPr>
            <w:r w:rsidRPr="0016385E">
              <w:rPr>
                <w:i/>
                <w:iCs/>
                <w:color w:val="000000"/>
                <w:sz w:val="18"/>
                <w:szCs w:val="18"/>
              </w:rPr>
              <w:t>Data source: MINJUS reports; Frequency: annual</w:t>
            </w:r>
          </w:p>
          <w:p w14:paraId="78858085" w14:textId="76D771D9" w:rsidR="002B515E" w:rsidRPr="005E1127" w:rsidRDefault="00BA04DB" w:rsidP="002B515E">
            <w:pPr>
              <w:rPr>
                <w:color w:val="000000"/>
                <w:sz w:val="18"/>
                <w:szCs w:val="18"/>
              </w:rPr>
            </w:pPr>
            <w:r w:rsidRPr="00882056">
              <w:rPr>
                <w:b/>
                <w:bCs/>
                <w:sz w:val="18"/>
                <w:szCs w:val="18"/>
              </w:rPr>
              <w:t>Indicator 1.</w:t>
            </w:r>
            <w:r w:rsidR="005917F1" w:rsidRPr="00882056">
              <w:rPr>
                <w:b/>
                <w:bCs/>
                <w:sz w:val="18"/>
                <w:szCs w:val="18"/>
              </w:rPr>
              <w:t>2</w:t>
            </w:r>
            <w:r w:rsidR="00D54257" w:rsidRPr="00882056">
              <w:rPr>
                <w:b/>
                <w:bCs/>
                <w:sz w:val="18"/>
                <w:szCs w:val="18"/>
              </w:rPr>
              <w:t>.3</w:t>
            </w:r>
            <w:r w:rsidR="004B6635" w:rsidRPr="00882056">
              <w:rPr>
                <w:b/>
                <w:bCs/>
                <w:sz w:val="18"/>
                <w:szCs w:val="18"/>
              </w:rPr>
              <w:t>.</w:t>
            </w:r>
            <w:r w:rsidR="00D54257" w:rsidRPr="00882056">
              <w:rPr>
                <w:b/>
                <w:bCs/>
                <w:sz w:val="18"/>
                <w:szCs w:val="18"/>
              </w:rPr>
              <w:t xml:space="preserve"> </w:t>
            </w:r>
            <w:r w:rsidR="00D54257" w:rsidRPr="00882056">
              <w:rPr>
                <w:sz w:val="18"/>
                <w:szCs w:val="18"/>
              </w:rPr>
              <w:t>Exten</w:t>
            </w:r>
            <w:r w:rsidR="000317BC" w:rsidRPr="00882056">
              <w:rPr>
                <w:sz w:val="18"/>
                <w:szCs w:val="18"/>
              </w:rPr>
              <w:t>t</w:t>
            </w:r>
            <w:r w:rsidR="00D54257" w:rsidRPr="00882056">
              <w:rPr>
                <w:sz w:val="18"/>
                <w:szCs w:val="18"/>
              </w:rPr>
              <w:t xml:space="preserve"> to which </w:t>
            </w:r>
            <w:r w:rsidR="00017902">
              <w:rPr>
                <w:sz w:val="18"/>
                <w:szCs w:val="18"/>
              </w:rPr>
              <w:t>i</w:t>
            </w:r>
            <w:r w:rsidR="008A0A2F" w:rsidRPr="00882056">
              <w:rPr>
                <w:sz w:val="18"/>
                <w:szCs w:val="18"/>
              </w:rPr>
              <w:t>nstitutions (</w:t>
            </w:r>
            <w:r w:rsidR="002F336F" w:rsidRPr="00017902">
              <w:rPr>
                <w:color w:val="000000"/>
                <w:sz w:val="18"/>
                <w:szCs w:val="18"/>
              </w:rPr>
              <w:t>BIANCO</w:t>
            </w:r>
            <w:r w:rsidR="00810C9D" w:rsidRPr="00017902">
              <w:rPr>
                <w:color w:val="000000"/>
                <w:sz w:val="18"/>
                <w:szCs w:val="18"/>
              </w:rPr>
              <w:t xml:space="preserve">; </w:t>
            </w:r>
            <w:r w:rsidR="002F336F" w:rsidRPr="00017902">
              <w:rPr>
                <w:color w:val="000000"/>
                <w:sz w:val="18"/>
                <w:szCs w:val="18"/>
              </w:rPr>
              <w:t>SAMIFIN</w:t>
            </w:r>
            <w:r w:rsidR="00810C9D" w:rsidRPr="00017902">
              <w:rPr>
                <w:color w:val="000000"/>
                <w:sz w:val="18"/>
                <w:szCs w:val="18"/>
              </w:rPr>
              <w:t xml:space="preserve">; </w:t>
            </w:r>
            <w:r w:rsidR="002F336F" w:rsidRPr="00017902">
              <w:rPr>
                <w:color w:val="000000"/>
                <w:sz w:val="18"/>
                <w:szCs w:val="18"/>
              </w:rPr>
              <w:t>CSI</w:t>
            </w:r>
            <w:r w:rsidR="005E1127" w:rsidRPr="00017902">
              <w:rPr>
                <w:color w:val="000000"/>
                <w:sz w:val="18"/>
                <w:szCs w:val="18"/>
              </w:rPr>
              <w:t>;</w:t>
            </w:r>
            <w:r w:rsidR="005E1127" w:rsidRPr="00017902">
              <w:t xml:space="preserve"> </w:t>
            </w:r>
            <w:r w:rsidR="00017902" w:rsidRPr="00017902">
              <w:rPr>
                <w:color w:val="000000"/>
                <w:sz w:val="18"/>
                <w:szCs w:val="18"/>
              </w:rPr>
              <w:t>Pôle A</w:t>
            </w:r>
            <w:r w:rsidR="005E1127" w:rsidRPr="00017902">
              <w:rPr>
                <w:color w:val="000000"/>
                <w:sz w:val="18"/>
                <w:szCs w:val="18"/>
              </w:rPr>
              <w:t>nti-corruption;</w:t>
            </w:r>
            <w:r w:rsidR="0050146E" w:rsidRPr="00017902">
              <w:rPr>
                <w:color w:val="000000"/>
                <w:sz w:val="18"/>
                <w:szCs w:val="18"/>
              </w:rPr>
              <w:t xml:space="preserve"> </w:t>
            </w:r>
            <w:r w:rsidR="004B6635" w:rsidRPr="00017902">
              <w:rPr>
                <w:sz w:val="18"/>
                <w:szCs w:val="18"/>
              </w:rPr>
              <w:t>I</w:t>
            </w:r>
            <w:r w:rsidR="00C2050A" w:rsidRPr="00882056">
              <w:rPr>
                <w:sz w:val="18"/>
                <w:szCs w:val="18"/>
              </w:rPr>
              <w:t xml:space="preserve">llicit </w:t>
            </w:r>
            <w:r w:rsidR="004B6635" w:rsidRPr="00882056">
              <w:rPr>
                <w:sz w:val="18"/>
                <w:szCs w:val="18"/>
              </w:rPr>
              <w:t>A</w:t>
            </w:r>
            <w:r w:rsidR="00C2050A" w:rsidRPr="00882056">
              <w:rPr>
                <w:sz w:val="18"/>
                <w:szCs w:val="18"/>
              </w:rPr>
              <w:t xml:space="preserve">sset </w:t>
            </w:r>
            <w:r w:rsidR="004B6635" w:rsidRPr="00882056">
              <w:rPr>
                <w:sz w:val="18"/>
                <w:szCs w:val="18"/>
              </w:rPr>
              <w:t>R</w:t>
            </w:r>
            <w:r w:rsidR="00C2050A" w:rsidRPr="00882056">
              <w:rPr>
                <w:sz w:val="18"/>
                <w:szCs w:val="18"/>
              </w:rPr>
              <w:t xml:space="preserve">ecovery </w:t>
            </w:r>
            <w:r w:rsidR="004B6635" w:rsidRPr="00882056">
              <w:rPr>
                <w:sz w:val="18"/>
                <w:szCs w:val="18"/>
              </w:rPr>
              <w:t>A</w:t>
            </w:r>
            <w:r w:rsidR="00C2050A" w:rsidRPr="00882056">
              <w:rPr>
                <w:sz w:val="18"/>
                <w:szCs w:val="18"/>
              </w:rPr>
              <w:t>gency</w:t>
            </w:r>
            <w:r w:rsidR="0092435E" w:rsidRPr="00882056">
              <w:rPr>
                <w:sz w:val="18"/>
                <w:szCs w:val="18"/>
              </w:rPr>
              <w:t>)</w:t>
            </w:r>
            <w:r w:rsidR="008A0A2F" w:rsidRPr="00882056">
              <w:rPr>
                <w:sz w:val="18"/>
                <w:szCs w:val="18"/>
              </w:rPr>
              <w:t xml:space="preserve"> </w:t>
            </w:r>
            <w:r w:rsidR="004B6635" w:rsidRPr="00882056">
              <w:rPr>
                <w:sz w:val="18"/>
                <w:szCs w:val="18"/>
              </w:rPr>
              <w:t xml:space="preserve">and </w:t>
            </w:r>
            <w:r w:rsidR="008A0A2F" w:rsidRPr="00882056">
              <w:rPr>
                <w:sz w:val="18"/>
                <w:szCs w:val="18"/>
              </w:rPr>
              <w:t>CSO</w:t>
            </w:r>
            <w:r w:rsidR="004B6635" w:rsidRPr="00882056">
              <w:rPr>
                <w:sz w:val="18"/>
                <w:szCs w:val="18"/>
              </w:rPr>
              <w:t>s</w:t>
            </w:r>
            <w:r w:rsidR="008A0A2F" w:rsidRPr="00882056">
              <w:rPr>
                <w:sz w:val="18"/>
                <w:szCs w:val="18"/>
              </w:rPr>
              <w:t xml:space="preserve"> (Transparency International</w:t>
            </w:r>
            <w:r w:rsidR="00B714C7" w:rsidRPr="00882056">
              <w:rPr>
                <w:sz w:val="18"/>
                <w:szCs w:val="18"/>
              </w:rPr>
              <w:t xml:space="preserve"> </w:t>
            </w:r>
            <w:r w:rsidR="004B6635" w:rsidRPr="00882056">
              <w:rPr>
                <w:sz w:val="18"/>
                <w:szCs w:val="18"/>
              </w:rPr>
              <w:t xml:space="preserve">and </w:t>
            </w:r>
            <w:r w:rsidR="00017902">
              <w:rPr>
                <w:sz w:val="18"/>
                <w:szCs w:val="18"/>
              </w:rPr>
              <w:t>five</w:t>
            </w:r>
            <w:r w:rsidR="00D45334" w:rsidRPr="00882056">
              <w:rPr>
                <w:sz w:val="18"/>
                <w:szCs w:val="18"/>
              </w:rPr>
              <w:t xml:space="preserve"> </w:t>
            </w:r>
            <w:r w:rsidR="00BF0B95" w:rsidRPr="00882056">
              <w:rPr>
                <w:sz w:val="18"/>
                <w:szCs w:val="18"/>
              </w:rPr>
              <w:t>others</w:t>
            </w:r>
            <w:r w:rsidR="008A0A2F" w:rsidRPr="00882056">
              <w:rPr>
                <w:sz w:val="18"/>
                <w:szCs w:val="18"/>
              </w:rPr>
              <w:t>)</w:t>
            </w:r>
            <w:r w:rsidR="00D45334" w:rsidRPr="00882056">
              <w:rPr>
                <w:sz w:val="18"/>
                <w:szCs w:val="18"/>
              </w:rPr>
              <w:t xml:space="preserve"> are able </w:t>
            </w:r>
            <w:r w:rsidR="00083C99" w:rsidRPr="00882056">
              <w:rPr>
                <w:sz w:val="18"/>
                <w:szCs w:val="18"/>
              </w:rPr>
              <w:t xml:space="preserve">to promote </w:t>
            </w:r>
            <w:r w:rsidR="00563EDF" w:rsidRPr="00882056">
              <w:rPr>
                <w:sz w:val="18"/>
                <w:szCs w:val="18"/>
              </w:rPr>
              <w:t>enforce</w:t>
            </w:r>
            <w:r w:rsidR="00083C99" w:rsidRPr="00882056">
              <w:rPr>
                <w:sz w:val="18"/>
                <w:szCs w:val="18"/>
              </w:rPr>
              <w:t>ment of</w:t>
            </w:r>
            <w:r w:rsidR="00563EDF" w:rsidRPr="00882056">
              <w:rPr>
                <w:sz w:val="18"/>
                <w:szCs w:val="18"/>
              </w:rPr>
              <w:t xml:space="preserve"> </w:t>
            </w:r>
            <w:r w:rsidR="005546C8" w:rsidRPr="00882056">
              <w:rPr>
                <w:sz w:val="18"/>
                <w:szCs w:val="18"/>
              </w:rPr>
              <w:t>ant</w:t>
            </w:r>
            <w:r w:rsidR="00827815" w:rsidRPr="00882056">
              <w:rPr>
                <w:sz w:val="18"/>
                <w:szCs w:val="18"/>
              </w:rPr>
              <w:t>i</w:t>
            </w:r>
            <w:r w:rsidR="005546C8" w:rsidRPr="00882056">
              <w:rPr>
                <w:sz w:val="18"/>
                <w:szCs w:val="18"/>
              </w:rPr>
              <w:t>-corruption measures</w:t>
            </w:r>
            <w:r w:rsidR="002B515E" w:rsidRPr="00882056">
              <w:rPr>
                <w:sz w:val="18"/>
                <w:szCs w:val="18"/>
              </w:rPr>
              <w:t xml:space="preserve"> (Rating: 1</w:t>
            </w:r>
            <w:r w:rsidR="004E279F" w:rsidRPr="00882056">
              <w:rPr>
                <w:sz w:val="18"/>
                <w:szCs w:val="18"/>
              </w:rPr>
              <w:t>=</w:t>
            </w:r>
            <w:r w:rsidR="002B515E" w:rsidRPr="00882056">
              <w:rPr>
                <w:sz w:val="18"/>
                <w:szCs w:val="18"/>
              </w:rPr>
              <w:t xml:space="preserve">weak; </w:t>
            </w:r>
            <w:r w:rsidR="004B6635" w:rsidRPr="0016385E">
              <w:rPr>
                <w:color w:val="000000"/>
                <w:sz w:val="18"/>
                <w:szCs w:val="18"/>
              </w:rPr>
              <w:t>2=fairly good; 3=good; 4=very good; 5=excellent</w:t>
            </w:r>
            <w:r w:rsidR="002B515E" w:rsidRPr="00882056">
              <w:rPr>
                <w:sz w:val="18"/>
                <w:szCs w:val="18"/>
              </w:rPr>
              <w:t>)</w:t>
            </w:r>
          </w:p>
          <w:p w14:paraId="34A07018" w14:textId="54737EB7" w:rsidR="002B515E" w:rsidRPr="00882056" w:rsidRDefault="002B515E" w:rsidP="002B515E">
            <w:pPr>
              <w:rPr>
                <w:sz w:val="18"/>
                <w:szCs w:val="18"/>
              </w:rPr>
            </w:pPr>
            <w:r w:rsidRPr="00882056">
              <w:rPr>
                <w:sz w:val="18"/>
                <w:szCs w:val="18"/>
              </w:rPr>
              <w:t>Baseline (2021):</w:t>
            </w:r>
            <w:r w:rsidR="00517268" w:rsidRPr="00882056">
              <w:rPr>
                <w:sz w:val="18"/>
                <w:szCs w:val="18"/>
              </w:rPr>
              <w:t xml:space="preserve"> </w:t>
            </w:r>
            <w:r w:rsidR="00D77B8E" w:rsidRPr="00882056">
              <w:rPr>
                <w:sz w:val="18"/>
                <w:szCs w:val="18"/>
              </w:rPr>
              <w:t>TBD</w:t>
            </w:r>
          </w:p>
          <w:p w14:paraId="26FF8687" w14:textId="08AA0DC4" w:rsidR="0092435E" w:rsidRPr="00882056" w:rsidRDefault="002B515E" w:rsidP="002B515E">
            <w:pPr>
              <w:rPr>
                <w:sz w:val="18"/>
                <w:szCs w:val="18"/>
              </w:rPr>
            </w:pPr>
            <w:r w:rsidRPr="00882056">
              <w:rPr>
                <w:sz w:val="18"/>
                <w:szCs w:val="18"/>
              </w:rPr>
              <w:t>Target (</w:t>
            </w:r>
            <w:r w:rsidR="00B72C53" w:rsidRPr="00882056">
              <w:rPr>
                <w:sz w:val="18"/>
                <w:szCs w:val="18"/>
              </w:rPr>
              <w:t>2023</w:t>
            </w:r>
            <w:r w:rsidRPr="00882056">
              <w:rPr>
                <w:sz w:val="18"/>
                <w:szCs w:val="18"/>
              </w:rPr>
              <w:t xml:space="preserve">):  </w:t>
            </w:r>
            <w:r w:rsidR="00D77B8E" w:rsidRPr="00882056">
              <w:rPr>
                <w:sz w:val="18"/>
                <w:szCs w:val="18"/>
              </w:rPr>
              <w:t>B</w:t>
            </w:r>
            <w:r w:rsidR="00517268" w:rsidRPr="00882056">
              <w:rPr>
                <w:sz w:val="18"/>
                <w:szCs w:val="18"/>
              </w:rPr>
              <w:t>aseline +</w:t>
            </w:r>
            <w:r w:rsidR="00AA1245" w:rsidRPr="00882056">
              <w:rPr>
                <w:sz w:val="18"/>
                <w:szCs w:val="18"/>
              </w:rPr>
              <w:t xml:space="preserve"> 1</w:t>
            </w:r>
          </w:p>
          <w:p w14:paraId="0A3855C2" w14:textId="7CAEBB13" w:rsidR="00BA04DB" w:rsidRPr="0016385E" w:rsidRDefault="00F86CA4" w:rsidP="00083C79">
            <w:pPr>
              <w:rPr>
                <w:color w:val="000000"/>
                <w:sz w:val="18"/>
                <w:szCs w:val="18"/>
              </w:rPr>
            </w:pPr>
            <w:r w:rsidRPr="0016385E">
              <w:rPr>
                <w:i/>
                <w:iCs/>
                <w:color w:val="000000"/>
                <w:sz w:val="18"/>
                <w:szCs w:val="18"/>
              </w:rPr>
              <w:t xml:space="preserve">Data </w:t>
            </w:r>
            <w:r w:rsidR="004B6635" w:rsidRPr="0016385E">
              <w:rPr>
                <w:i/>
                <w:iCs/>
                <w:color w:val="000000"/>
                <w:sz w:val="18"/>
                <w:szCs w:val="18"/>
              </w:rPr>
              <w:t>s</w:t>
            </w:r>
            <w:r w:rsidRPr="0016385E">
              <w:rPr>
                <w:i/>
                <w:iCs/>
                <w:color w:val="000000"/>
                <w:sz w:val="18"/>
                <w:szCs w:val="18"/>
              </w:rPr>
              <w:t xml:space="preserve">ource: </w:t>
            </w:r>
            <w:r w:rsidR="00D248C3" w:rsidRPr="0016385E">
              <w:rPr>
                <w:i/>
                <w:iCs/>
                <w:color w:val="000000"/>
                <w:sz w:val="18"/>
                <w:szCs w:val="18"/>
              </w:rPr>
              <w:t xml:space="preserve">CSO </w:t>
            </w:r>
            <w:r w:rsidR="004B6635" w:rsidRPr="0016385E">
              <w:rPr>
                <w:i/>
                <w:iCs/>
                <w:color w:val="000000"/>
                <w:sz w:val="18"/>
                <w:szCs w:val="18"/>
              </w:rPr>
              <w:t>r</w:t>
            </w:r>
            <w:r w:rsidRPr="0016385E">
              <w:rPr>
                <w:i/>
                <w:iCs/>
                <w:color w:val="000000"/>
                <w:sz w:val="18"/>
                <w:szCs w:val="18"/>
              </w:rPr>
              <w:t>eports; Frequency: Annual</w:t>
            </w:r>
          </w:p>
        </w:tc>
        <w:tc>
          <w:tcPr>
            <w:tcW w:w="729" w:type="pct"/>
            <w:vMerge/>
          </w:tcPr>
          <w:p w14:paraId="2E3EAC0D" w14:textId="77777777" w:rsidR="00F73C9E" w:rsidRPr="0016385E" w:rsidRDefault="00F73C9E" w:rsidP="00177A8E">
            <w:pPr>
              <w:rPr>
                <w:i/>
                <w:iCs/>
                <w:color w:val="000000"/>
                <w:sz w:val="18"/>
                <w:szCs w:val="18"/>
              </w:rPr>
            </w:pPr>
          </w:p>
        </w:tc>
        <w:tc>
          <w:tcPr>
            <w:tcW w:w="496" w:type="pct"/>
            <w:vMerge/>
            <w:tcMar>
              <w:top w:w="15" w:type="dxa"/>
              <w:left w:w="108" w:type="dxa"/>
              <w:bottom w:w="0" w:type="dxa"/>
              <w:right w:w="108" w:type="dxa"/>
            </w:tcMar>
          </w:tcPr>
          <w:p w14:paraId="355B2785" w14:textId="77777777" w:rsidR="00F73C9E" w:rsidRPr="0016385E" w:rsidRDefault="00F73C9E" w:rsidP="00177A8E">
            <w:pPr>
              <w:rPr>
                <w:b/>
                <w:color w:val="000000"/>
                <w:sz w:val="18"/>
                <w:szCs w:val="18"/>
              </w:rPr>
            </w:pPr>
          </w:p>
        </w:tc>
      </w:tr>
      <w:tr w:rsidR="00F73C9E" w:rsidRPr="0016385E" w14:paraId="29C0F7B8" w14:textId="77777777" w:rsidTr="00882056">
        <w:tc>
          <w:tcPr>
            <w:tcW w:w="1093" w:type="pct"/>
            <w:tcMar>
              <w:top w:w="72" w:type="dxa"/>
              <w:left w:w="144" w:type="dxa"/>
              <w:bottom w:w="72" w:type="dxa"/>
              <w:right w:w="144" w:type="dxa"/>
            </w:tcMar>
          </w:tcPr>
          <w:p w14:paraId="49B077E2" w14:textId="1E93D274" w:rsidR="00F73C9E" w:rsidRPr="0016385E" w:rsidRDefault="00F73C9E" w:rsidP="00DB68D4">
            <w:pPr>
              <w:rPr>
                <w:b/>
                <w:bCs/>
                <w:sz w:val="18"/>
                <w:szCs w:val="18"/>
              </w:rPr>
            </w:pPr>
            <w:r w:rsidRPr="0016385E">
              <w:rPr>
                <w:b/>
                <w:bCs/>
                <w:sz w:val="18"/>
                <w:szCs w:val="18"/>
              </w:rPr>
              <w:t>Indicator 1.4</w:t>
            </w:r>
            <w:r w:rsidR="004B6635" w:rsidRPr="0016385E">
              <w:rPr>
                <w:b/>
                <w:bCs/>
                <w:sz w:val="18"/>
                <w:szCs w:val="18"/>
              </w:rPr>
              <w:t>.</w:t>
            </w:r>
            <w:r w:rsidRPr="0016385E">
              <w:rPr>
                <w:b/>
                <w:bCs/>
                <w:sz w:val="18"/>
                <w:szCs w:val="18"/>
              </w:rPr>
              <w:t xml:space="preserve"> </w:t>
            </w:r>
            <w:r w:rsidR="005F0D21" w:rsidRPr="0016385E">
              <w:rPr>
                <w:b/>
                <w:bCs/>
                <w:sz w:val="18"/>
                <w:szCs w:val="18"/>
              </w:rPr>
              <w:t>L</w:t>
            </w:r>
            <w:r w:rsidRPr="0016385E">
              <w:rPr>
                <w:b/>
                <w:bCs/>
                <w:sz w:val="18"/>
                <w:szCs w:val="18"/>
              </w:rPr>
              <w:t>ocal Governance Index in the intervention areas (Rat</w:t>
            </w:r>
            <w:r w:rsidR="009035AF" w:rsidRPr="0016385E">
              <w:rPr>
                <w:b/>
                <w:bCs/>
                <w:sz w:val="18"/>
                <w:szCs w:val="18"/>
              </w:rPr>
              <w:t>ing</w:t>
            </w:r>
            <w:r w:rsidRPr="0016385E">
              <w:rPr>
                <w:b/>
                <w:bCs/>
                <w:sz w:val="18"/>
                <w:szCs w:val="18"/>
              </w:rPr>
              <w:t>: 0 to 10p</w:t>
            </w:r>
            <w:r w:rsidR="005F0D21" w:rsidRPr="0016385E">
              <w:rPr>
                <w:b/>
                <w:bCs/>
                <w:sz w:val="18"/>
                <w:szCs w:val="18"/>
              </w:rPr>
              <w:t>oin</w:t>
            </w:r>
            <w:r w:rsidRPr="0016385E">
              <w:rPr>
                <w:b/>
                <w:bCs/>
                <w:sz w:val="18"/>
                <w:szCs w:val="18"/>
              </w:rPr>
              <w:t>ts)</w:t>
            </w:r>
          </w:p>
          <w:p w14:paraId="11F3FD35" w14:textId="25809CD4" w:rsidR="00F73C9E" w:rsidRPr="0016385E" w:rsidRDefault="00F73C9E" w:rsidP="00DB68D4">
            <w:pPr>
              <w:rPr>
                <w:sz w:val="18"/>
                <w:szCs w:val="18"/>
              </w:rPr>
            </w:pPr>
            <w:r w:rsidRPr="0016385E">
              <w:rPr>
                <w:sz w:val="18"/>
                <w:szCs w:val="18"/>
              </w:rPr>
              <w:t xml:space="preserve">Baseline (2021): </w:t>
            </w:r>
            <w:r w:rsidR="005F0D21" w:rsidRPr="0016385E">
              <w:rPr>
                <w:sz w:val="18"/>
                <w:szCs w:val="18"/>
              </w:rPr>
              <w:t>TBD</w:t>
            </w:r>
          </w:p>
          <w:p w14:paraId="5845A781" w14:textId="1C655A18" w:rsidR="00F73C9E" w:rsidRPr="0016385E" w:rsidRDefault="00F73C9E" w:rsidP="00DB68D4">
            <w:pPr>
              <w:rPr>
                <w:sz w:val="18"/>
                <w:szCs w:val="18"/>
              </w:rPr>
            </w:pPr>
            <w:r w:rsidRPr="0016385E">
              <w:rPr>
                <w:sz w:val="18"/>
                <w:szCs w:val="18"/>
              </w:rPr>
              <w:t>Target (2023): Baseline + 2p</w:t>
            </w:r>
            <w:r w:rsidR="005F0D21" w:rsidRPr="0016385E">
              <w:rPr>
                <w:sz w:val="18"/>
                <w:szCs w:val="18"/>
              </w:rPr>
              <w:t>oin</w:t>
            </w:r>
            <w:r w:rsidRPr="0016385E">
              <w:rPr>
                <w:sz w:val="18"/>
                <w:szCs w:val="18"/>
              </w:rPr>
              <w:t>ts</w:t>
            </w:r>
          </w:p>
          <w:p w14:paraId="5C694D23" w14:textId="77777777" w:rsidR="00F73C9E" w:rsidRPr="0016385E" w:rsidRDefault="00F73C9E" w:rsidP="00177A8E">
            <w:pPr>
              <w:rPr>
                <w:i/>
                <w:iCs/>
                <w:color w:val="000000"/>
                <w:sz w:val="18"/>
                <w:szCs w:val="18"/>
              </w:rPr>
            </w:pPr>
          </w:p>
        </w:tc>
        <w:tc>
          <w:tcPr>
            <w:tcW w:w="828" w:type="pct"/>
          </w:tcPr>
          <w:p w14:paraId="16400114" w14:textId="41FE9765" w:rsidR="00F73C9E" w:rsidRPr="0016385E" w:rsidRDefault="00F73C9E" w:rsidP="00DB68D4">
            <w:pPr>
              <w:rPr>
                <w:iCs/>
                <w:color w:val="000000"/>
                <w:sz w:val="18"/>
                <w:szCs w:val="18"/>
              </w:rPr>
            </w:pPr>
            <w:r w:rsidRPr="0016385E">
              <w:rPr>
                <w:iCs/>
                <w:color w:val="000000"/>
                <w:sz w:val="18"/>
                <w:szCs w:val="18"/>
              </w:rPr>
              <w:t xml:space="preserve">Ministry of the Interior and Decentralization (MID) </w:t>
            </w:r>
            <w:r w:rsidR="004B6635" w:rsidRPr="0016385E">
              <w:rPr>
                <w:iCs/>
                <w:color w:val="000000"/>
                <w:sz w:val="18"/>
                <w:szCs w:val="18"/>
              </w:rPr>
              <w:t>r</w:t>
            </w:r>
            <w:r w:rsidRPr="0016385E">
              <w:rPr>
                <w:iCs/>
                <w:color w:val="000000"/>
                <w:sz w:val="18"/>
                <w:szCs w:val="18"/>
              </w:rPr>
              <w:t xml:space="preserve">eports; </w:t>
            </w:r>
            <w:r w:rsidR="004B6635" w:rsidRPr="0016385E">
              <w:rPr>
                <w:iCs/>
                <w:color w:val="000000"/>
                <w:sz w:val="18"/>
                <w:szCs w:val="18"/>
              </w:rPr>
              <w:t>a</w:t>
            </w:r>
            <w:r w:rsidRPr="0016385E">
              <w:rPr>
                <w:iCs/>
                <w:color w:val="000000"/>
                <w:sz w:val="18"/>
                <w:szCs w:val="18"/>
              </w:rPr>
              <w:t>nnual</w:t>
            </w:r>
          </w:p>
          <w:p w14:paraId="1A7E521F" w14:textId="77777777" w:rsidR="00744409" w:rsidRPr="0016385E" w:rsidRDefault="00744409" w:rsidP="00DB68D4">
            <w:pPr>
              <w:rPr>
                <w:iCs/>
                <w:color w:val="000000"/>
                <w:sz w:val="18"/>
                <w:szCs w:val="18"/>
              </w:rPr>
            </w:pPr>
          </w:p>
          <w:p w14:paraId="4EC12AF4" w14:textId="5E2E0002" w:rsidR="00F73C9E" w:rsidRPr="0016385E" w:rsidRDefault="00F73C9E" w:rsidP="00177A8E">
            <w:pPr>
              <w:rPr>
                <w:i/>
                <w:iCs/>
                <w:color w:val="000000"/>
                <w:sz w:val="18"/>
                <w:szCs w:val="18"/>
              </w:rPr>
            </w:pPr>
          </w:p>
        </w:tc>
        <w:tc>
          <w:tcPr>
            <w:tcW w:w="1854" w:type="pct"/>
            <w:tcMar>
              <w:top w:w="72" w:type="dxa"/>
              <w:left w:w="144" w:type="dxa"/>
              <w:bottom w:w="72" w:type="dxa"/>
              <w:right w:w="144" w:type="dxa"/>
            </w:tcMar>
          </w:tcPr>
          <w:p w14:paraId="7931860B" w14:textId="316FAFFE" w:rsidR="00F73C9E" w:rsidRPr="0016385E" w:rsidRDefault="00F73C9E" w:rsidP="00490FB7">
            <w:pPr>
              <w:rPr>
                <w:b/>
                <w:bCs/>
                <w:color w:val="000000"/>
                <w:sz w:val="18"/>
                <w:szCs w:val="18"/>
              </w:rPr>
            </w:pPr>
            <w:r w:rsidRPr="0016385E">
              <w:rPr>
                <w:b/>
                <w:bCs/>
                <w:color w:val="000000"/>
                <w:sz w:val="18"/>
                <w:szCs w:val="18"/>
              </w:rPr>
              <w:t>Output 1.</w:t>
            </w:r>
            <w:r w:rsidR="00E75714" w:rsidRPr="0016385E">
              <w:rPr>
                <w:b/>
                <w:bCs/>
                <w:color w:val="000000"/>
                <w:sz w:val="18"/>
                <w:szCs w:val="18"/>
              </w:rPr>
              <w:t>3</w:t>
            </w:r>
            <w:r w:rsidR="004B6635" w:rsidRPr="0016385E">
              <w:rPr>
                <w:b/>
                <w:bCs/>
                <w:color w:val="000000"/>
                <w:sz w:val="18"/>
                <w:szCs w:val="18"/>
              </w:rPr>
              <w:t>.</w:t>
            </w:r>
            <w:r w:rsidRPr="0016385E">
              <w:rPr>
                <w:b/>
                <w:bCs/>
                <w:color w:val="000000"/>
                <w:sz w:val="18"/>
                <w:szCs w:val="18"/>
              </w:rPr>
              <w:t xml:space="preserve"> Institutions </w:t>
            </w:r>
            <w:r w:rsidR="00966707" w:rsidRPr="0016385E">
              <w:rPr>
                <w:b/>
                <w:bCs/>
                <w:color w:val="000000"/>
                <w:sz w:val="18"/>
                <w:szCs w:val="18"/>
              </w:rPr>
              <w:t xml:space="preserve">at </w:t>
            </w:r>
            <w:r w:rsidR="004B6635" w:rsidRPr="0016385E">
              <w:rPr>
                <w:b/>
                <w:bCs/>
                <w:color w:val="000000"/>
                <w:sz w:val="18"/>
                <w:szCs w:val="18"/>
              </w:rPr>
              <w:t>n</w:t>
            </w:r>
            <w:r w:rsidR="006B1368" w:rsidRPr="0016385E">
              <w:rPr>
                <w:b/>
                <w:bCs/>
                <w:color w:val="000000"/>
                <w:sz w:val="18"/>
                <w:szCs w:val="18"/>
              </w:rPr>
              <w:t xml:space="preserve">ational </w:t>
            </w:r>
            <w:r w:rsidRPr="0016385E">
              <w:rPr>
                <w:b/>
                <w:bCs/>
                <w:color w:val="000000"/>
                <w:sz w:val="18"/>
                <w:szCs w:val="18"/>
              </w:rPr>
              <w:t xml:space="preserve">and </w:t>
            </w:r>
            <w:r w:rsidR="004B6635" w:rsidRPr="0016385E">
              <w:rPr>
                <w:b/>
                <w:bCs/>
                <w:color w:val="000000"/>
                <w:sz w:val="18"/>
                <w:szCs w:val="18"/>
              </w:rPr>
              <w:t>d</w:t>
            </w:r>
            <w:r w:rsidRPr="0016385E">
              <w:rPr>
                <w:b/>
                <w:bCs/>
                <w:color w:val="000000"/>
                <w:sz w:val="18"/>
                <w:szCs w:val="18"/>
              </w:rPr>
              <w:t xml:space="preserve">ecentralized </w:t>
            </w:r>
            <w:r w:rsidR="00883126" w:rsidRPr="0016385E">
              <w:rPr>
                <w:b/>
                <w:bCs/>
                <w:color w:val="000000"/>
                <w:sz w:val="18"/>
                <w:szCs w:val="18"/>
              </w:rPr>
              <w:t>l</w:t>
            </w:r>
            <w:r w:rsidR="006B1368" w:rsidRPr="0016385E">
              <w:rPr>
                <w:b/>
                <w:bCs/>
                <w:color w:val="000000"/>
                <w:sz w:val="18"/>
                <w:szCs w:val="18"/>
              </w:rPr>
              <w:t>evel</w:t>
            </w:r>
            <w:r w:rsidR="00605742" w:rsidRPr="0016385E">
              <w:rPr>
                <w:b/>
                <w:bCs/>
                <w:color w:val="000000"/>
                <w:sz w:val="18"/>
                <w:szCs w:val="18"/>
              </w:rPr>
              <w:t>s</w:t>
            </w:r>
            <w:r w:rsidR="0041492F" w:rsidRPr="0016385E">
              <w:rPr>
                <w:b/>
                <w:bCs/>
                <w:color w:val="000000"/>
                <w:sz w:val="18"/>
                <w:szCs w:val="18"/>
              </w:rPr>
              <w:t xml:space="preserve"> </w:t>
            </w:r>
            <w:r w:rsidRPr="0016385E">
              <w:rPr>
                <w:b/>
                <w:bCs/>
                <w:color w:val="000000"/>
                <w:sz w:val="18"/>
                <w:szCs w:val="18"/>
              </w:rPr>
              <w:t xml:space="preserve">have </w:t>
            </w:r>
            <w:r w:rsidR="00ED7A7E" w:rsidRPr="0016385E">
              <w:rPr>
                <w:b/>
                <w:bCs/>
                <w:color w:val="000000"/>
                <w:sz w:val="18"/>
                <w:szCs w:val="18"/>
              </w:rPr>
              <w:t>necessary</w:t>
            </w:r>
            <w:r w:rsidRPr="0016385E">
              <w:rPr>
                <w:b/>
                <w:bCs/>
                <w:color w:val="000000"/>
                <w:sz w:val="18"/>
                <w:szCs w:val="18"/>
              </w:rPr>
              <w:t xml:space="preserve"> skills and tools, including digital (e-governance), to effectively plan, implement, </w:t>
            </w:r>
            <w:r w:rsidR="00FB2342" w:rsidRPr="0016385E">
              <w:rPr>
                <w:b/>
                <w:bCs/>
                <w:color w:val="000000"/>
                <w:sz w:val="18"/>
                <w:szCs w:val="18"/>
              </w:rPr>
              <w:t>monitor,</w:t>
            </w:r>
            <w:r w:rsidRPr="0016385E">
              <w:rPr>
                <w:b/>
                <w:bCs/>
                <w:color w:val="000000"/>
                <w:sz w:val="18"/>
                <w:szCs w:val="18"/>
              </w:rPr>
              <w:t xml:space="preserve"> and evaluate public policies, and mobili</w:t>
            </w:r>
            <w:r w:rsidR="004B6635" w:rsidRPr="0016385E">
              <w:rPr>
                <w:b/>
                <w:bCs/>
                <w:color w:val="000000"/>
                <w:sz w:val="18"/>
                <w:szCs w:val="18"/>
              </w:rPr>
              <w:t>z</w:t>
            </w:r>
            <w:r w:rsidRPr="0016385E">
              <w:rPr>
                <w:b/>
                <w:bCs/>
                <w:color w:val="000000"/>
                <w:sz w:val="18"/>
                <w:szCs w:val="18"/>
              </w:rPr>
              <w:t xml:space="preserve">e financial resources for improved </w:t>
            </w:r>
            <w:r w:rsidR="00E40F42" w:rsidRPr="0016385E">
              <w:rPr>
                <w:b/>
                <w:bCs/>
                <w:color w:val="000000"/>
                <w:sz w:val="18"/>
                <w:szCs w:val="18"/>
              </w:rPr>
              <w:t xml:space="preserve">basic </w:t>
            </w:r>
            <w:r w:rsidRPr="0016385E">
              <w:rPr>
                <w:b/>
                <w:bCs/>
                <w:color w:val="000000"/>
                <w:sz w:val="18"/>
                <w:szCs w:val="18"/>
              </w:rPr>
              <w:t>public service delivery.</w:t>
            </w:r>
          </w:p>
          <w:p w14:paraId="6FDF2D78" w14:textId="24BF7014" w:rsidR="00EC6651" w:rsidRPr="0016385E" w:rsidRDefault="00F73C9E" w:rsidP="00490FB7">
            <w:pPr>
              <w:rPr>
                <w:color w:val="000000"/>
                <w:sz w:val="18"/>
                <w:szCs w:val="18"/>
              </w:rPr>
            </w:pPr>
            <w:r w:rsidRPr="0016385E">
              <w:rPr>
                <w:b/>
                <w:bCs/>
                <w:color w:val="000000"/>
                <w:sz w:val="18"/>
                <w:szCs w:val="18"/>
              </w:rPr>
              <w:t>Indicator 1.</w:t>
            </w:r>
            <w:r w:rsidR="00E75714" w:rsidRPr="0016385E">
              <w:rPr>
                <w:b/>
                <w:bCs/>
                <w:color w:val="000000"/>
                <w:sz w:val="18"/>
                <w:szCs w:val="18"/>
              </w:rPr>
              <w:t>3</w:t>
            </w:r>
            <w:r w:rsidRPr="0016385E">
              <w:rPr>
                <w:b/>
                <w:bCs/>
                <w:color w:val="000000"/>
                <w:sz w:val="18"/>
                <w:szCs w:val="18"/>
              </w:rPr>
              <w:t xml:space="preserve">.1: </w:t>
            </w:r>
            <w:r w:rsidR="00EC6651" w:rsidRPr="0016385E">
              <w:rPr>
                <w:color w:val="000000"/>
                <w:sz w:val="18"/>
                <w:szCs w:val="18"/>
              </w:rPr>
              <w:t>Extent to which</w:t>
            </w:r>
            <w:r w:rsidR="00871800" w:rsidRPr="0016385E">
              <w:rPr>
                <w:color w:val="000000"/>
                <w:sz w:val="18"/>
                <w:szCs w:val="18"/>
              </w:rPr>
              <w:t xml:space="preserve"> </w:t>
            </w:r>
            <w:r w:rsidR="0049086B" w:rsidRPr="0016385E">
              <w:rPr>
                <w:color w:val="000000"/>
                <w:sz w:val="18"/>
                <w:szCs w:val="18"/>
              </w:rPr>
              <w:t>decentra</w:t>
            </w:r>
            <w:r w:rsidR="0010022E" w:rsidRPr="0016385E">
              <w:rPr>
                <w:color w:val="000000"/>
                <w:sz w:val="18"/>
                <w:szCs w:val="18"/>
              </w:rPr>
              <w:t>lization</w:t>
            </w:r>
            <w:r w:rsidR="00676A51" w:rsidRPr="0016385E">
              <w:rPr>
                <w:color w:val="000000"/>
                <w:sz w:val="18"/>
                <w:szCs w:val="18"/>
              </w:rPr>
              <w:t xml:space="preserve"> </w:t>
            </w:r>
            <w:r w:rsidR="00EC6651" w:rsidRPr="0016385E">
              <w:rPr>
                <w:color w:val="000000"/>
                <w:sz w:val="18"/>
                <w:szCs w:val="18"/>
              </w:rPr>
              <w:t>frameworks</w:t>
            </w:r>
            <w:r w:rsidR="0065046E" w:rsidRPr="0016385E">
              <w:rPr>
                <w:color w:val="000000"/>
                <w:sz w:val="18"/>
                <w:szCs w:val="18"/>
              </w:rPr>
              <w:t xml:space="preserve"> (Policy Letter</w:t>
            </w:r>
            <w:r w:rsidR="00476B81" w:rsidRPr="0016385E">
              <w:rPr>
                <w:color w:val="000000"/>
                <w:sz w:val="18"/>
                <w:szCs w:val="18"/>
              </w:rPr>
              <w:t xml:space="preserve"> on Decen</w:t>
            </w:r>
            <w:r w:rsidR="001712EF" w:rsidRPr="0016385E">
              <w:rPr>
                <w:color w:val="000000"/>
                <w:sz w:val="18"/>
                <w:szCs w:val="18"/>
              </w:rPr>
              <w:t>tralization</w:t>
            </w:r>
            <w:r w:rsidR="0065046E" w:rsidRPr="0016385E">
              <w:rPr>
                <w:color w:val="000000"/>
                <w:sz w:val="18"/>
                <w:szCs w:val="18"/>
              </w:rPr>
              <w:t xml:space="preserve">; </w:t>
            </w:r>
            <w:r w:rsidR="00E03A2A" w:rsidRPr="0016385E">
              <w:rPr>
                <w:color w:val="000000"/>
                <w:sz w:val="18"/>
                <w:szCs w:val="18"/>
              </w:rPr>
              <w:t>National Program</w:t>
            </w:r>
            <w:r w:rsidR="004B6635" w:rsidRPr="0016385E">
              <w:rPr>
                <w:color w:val="000000"/>
                <w:sz w:val="18"/>
                <w:szCs w:val="18"/>
              </w:rPr>
              <w:t>me</w:t>
            </w:r>
            <w:r w:rsidR="00E03A2A" w:rsidRPr="0016385E">
              <w:rPr>
                <w:color w:val="000000"/>
                <w:sz w:val="18"/>
                <w:szCs w:val="18"/>
              </w:rPr>
              <w:t xml:space="preserve"> for Decentralization and Territorialization of Public Policies</w:t>
            </w:r>
            <w:r w:rsidR="0065046E" w:rsidRPr="0016385E">
              <w:rPr>
                <w:color w:val="000000"/>
                <w:sz w:val="18"/>
                <w:szCs w:val="18"/>
              </w:rPr>
              <w:t>)</w:t>
            </w:r>
            <w:r w:rsidR="007D258E" w:rsidRPr="0016385E">
              <w:rPr>
                <w:color w:val="000000"/>
                <w:sz w:val="18"/>
                <w:szCs w:val="18"/>
              </w:rPr>
              <w:t xml:space="preserve"> </w:t>
            </w:r>
            <w:r w:rsidR="00EC6651" w:rsidRPr="0016385E">
              <w:rPr>
                <w:color w:val="000000"/>
                <w:sz w:val="18"/>
                <w:szCs w:val="18"/>
              </w:rPr>
              <w:t xml:space="preserve">are </w:t>
            </w:r>
            <w:r w:rsidR="009A05A9" w:rsidRPr="0016385E">
              <w:rPr>
                <w:color w:val="000000"/>
                <w:sz w:val="18"/>
                <w:szCs w:val="18"/>
              </w:rPr>
              <w:t>updated</w:t>
            </w:r>
            <w:r w:rsidR="00E6163A" w:rsidRPr="0016385E">
              <w:rPr>
                <w:color w:val="000000"/>
                <w:sz w:val="18"/>
                <w:szCs w:val="18"/>
              </w:rPr>
              <w:t xml:space="preserve">, approved, </w:t>
            </w:r>
            <w:r w:rsidR="005C0C3F" w:rsidRPr="0016385E">
              <w:rPr>
                <w:color w:val="000000"/>
                <w:sz w:val="18"/>
                <w:szCs w:val="18"/>
              </w:rPr>
              <w:t>and</w:t>
            </w:r>
            <w:r w:rsidR="00EC6651" w:rsidRPr="0016385E">
              <w:rPr>
                <w:color w:val="000000"/>
                <w:sz w:val="18"/>
                <w:szCs w:val="18"/>
              </w:rPr>
              <w:t xml:space="preserve"> implemented</w:t>
            </w:r>
            <w:r w:rsidR="00776733" w:rsidRPr="0016385E">
              <w:rPr>
                <w:color w:val="000000"/>
                <w:sz w:val="18"/>
                <w:szCs w:val="18"/>
              </w:rPr>
              <w:t xml:space="preserve"> </w:t>
            </w:r>
            <w:r w:rsidR="00816AB8" w:rsidRPr="0016385E">
              <w:rPr>
                <w:color w:val="000000"/>
                <w:sz w:val="18"/>
                <w:szCs w:val="18"/>
              </w:rPr>
              <w:t xml:space="preserve">(Rating: </w:t>
            </w:r>
            <w:r w:rsidR="009035E0" w:rsidRPr="0016385E">
              <w:rPr>
                <w:color w:val="000000"/>
                <w:sz w:val="18"/>
                <w:szCs w:val="18"/>
              </w:rPr>
              <w:t xml:space="preserve"> </w:t>
            </w:r>
            <w:r w:rsidR="003D280A" w:rsidRPr="0016385E">
              <w:rPr>
                <w:color w:val="000000"/>
                <w:sz w:val="18"/>
                <w:szCs w:val="18"/>
              </w:rPr>
              <w:t>0</w:t>
            </w:r>
            <w:r w:rsidR="00AB0B38" w:rsidRPr="0016385E">
              <w:rPr>
                <w:color w:val="000000"/>
                <w:sz w:val="18"/>
                <w:szCs w:val="18"/>
              </w:rPr>
              <w:t xml:space="preserve">= none; </w:t>
            </w:r>
            <w:r w:rsidR="0002675A" w:rsidRPr="0016385E">
              <w:rPr>
                <w:color w:val="000000"/>
                <w:sz w:val="18"/>
                <w:szCs w:val="18"/>
              </w:rPr>
              <w:t>1</w:t>
            </w:r>
            <w:r w:rsidR="00816AB8" w:rsidRPr="0016385E">
              <w:rPr>
                <w:color w:val="000000"/>
                <w:sz w:val="18"/>
                <w:szCs w:val="18"/>
              </w:rPr>
              <w:t>=</w:t>
            </w:r>
            <w:r w:rsidR="009035E0" w:rsidRPr="0016385E">
              <w:rPr>
                <w:color w:val="000000"/>
                <w:sz w:val="18"/>
                <w:szCs w:val="18"/>
              </w:rPr>
              <w:t xml:space="preserve"> </w:t>
            </w:r>
            <w:r w:rsidR="00554AEB" w:rsidRPr="0016385E">
              <w:rPr>
                <w:color w:val="000000"/>
                <w:sz w:val="18"/>
                <w:szCs w:val="18"/>
              </w:rPr>
              <w:t>updated</w:t>
            </w:r>
            <w:r w:rsidR="009035E0" w:rsidRPr="0016385E">
              <w:rPr>
                <w:color w:val="000000"/>
                <w:sz w:val="18"/>
                <w:szCs w:val="18"/>
              </w:rPr>
              <w:t xml:space="preserve"> incorporating gender</w:t>
            </w:r>
            <w:r w:rsidR="00BC5E15" w:rsidRPr="0016385E">
              <w:rPr>
                <w:color w:val="000000"/>
                <w:sz w:val="18"/>
                <w:szCs w:val="18"/>
              </w:rPr>
              <w:t xml:space="preserve"> </w:t>
            </w:r>
            <w:r w:rsidR="004B6635" w:rsidRPr="0016385E">
              <w:rPr>
                <w:color w:val="000000"/>
                <w:sz w:val="18"/>
                <w:szCs w:val="18"/>
              </w:rPr>
              <w:t>and</w:t>
            </w:r>
            <w:r w:rsidR="00BC5E15" w:rsidRPr="0016385E">
              <w:rPr>
                <w:color w:val="000000"/>
                <w:sz w:val="18"/>
                <w:szCs w:val="18"/>
              </w:rPr>
              <w:t xml:space="preserve"> basic needs</w:t>
            </w:r>
            <w:r w:rsidR="009035E0" w:rsidRPr="0016385E">
              <w:rPr>
                <w:color w:val="000000"/>
                <w:sz w:val="18"/>
                <w:szCs w:val="18"/>
              </w:rPr>
              <w:t xml:space="preserve"> dimensions; 2</w:t>
            </w:r>
            <w:r w:rsidR="00816AB8" w:rsidRPr="0016385E">
              <w:rPr>
                <w:color w:val="000000"/>
                <w:sz w:val="18"/>
                <w:szCs w:val="18"/>
              </w:rPr>
              <w:t xml:space="preserve">= </w:t>
            </w:r>
            <w:r w:rsidR="00AF5985" w:rsidRPr="0016385E">
              <w:rPr>
                <w:color w:val="000000"/>
                <w:sz w:val="18"/>
                <w:szCs w:val="18"/>
              </w:rPr>
              <w:t>a</w:t>
            </w:r>
            <w:r w:rsidR="00CC5299" w:rsidRPr="0016385E">
              <w:rPr>
                <w:color w:val="000000"/>
                <w:sz w:val="18"/>
                <w:szCs w:val="18"/>
              </w:rPr>
              <w:t>pproved</w:t>
            </w:r>
            <w:r w:rsidR="009035E0" w:rsidRPr="0016385E">
              <w:rPr>
                <w:color w:val="000000"/>
                <w:sz w:val="18"/>
                <w:szCs w:val="18"/>
              </w:rPr>
              <w:t>; 3</w:t>
            </w:r>
            <w:r w:rsidR="00816AB8" w:rsidRPr="0016385E">
              <w:rPr>
                <w:color w:val="000000"/>
                <w:sz w:val="18"/>
                <w:szCs w:val="18"/>
              </w:rPr>
              <w:t xml:space="preserve">= </w:t>
            </w:r>
            <w:r w:rsidR="005C0C3F" w:rsidRPr="0016385E">
              <w:rPr>
                <w:color w:val="000000"/>
                <w:sz w:val="18"/>
                <w:szCs w:val="18"/>
              </w:rPr>
              <w:t>i</w:t>
            </w:r>
            <w:r w:rsidR="00CC5299" w:rsidRPr="0016385E">
              <w:rPr>
                <w:color w:val="000000"/>
                <w:sz w:val="18"/>
                <w:szCs w:val="18"/>
              </w:rPr>
              <w:t>mplemented</w:t>
            </w:r>
            <w:r w:rsidR="00816AB8" w:rsidRPr="0016385E">
              <w:rPr>
                <w:color w:val="000000"/>
                <w:sz w:val="18"/>
                <w:szCs w:val="18"/>
              </w:rPr>
              <w:t>)</w:t>
            </w:r>
          </w:p>
          <w:p w14:paraId="3FBC5F05" w14:textId="2076094A" w:rsidR="00816AB8" w:rsidRPr="0016385E" w:rsidRDefault="00816AB8" w:rsidP="00490FB7">
            <w:pPr>
              <w:rPr>
                <w:color w:val="000000"/>
                <w:sz w:val="18"/>
                <w:szCs w:val="18"/>
              </w:rPr>
            </w:pPr>
            <w:r w:rsidRPr="0016385E">
              <w:rPr>
                <w:color w:val="000000"/>
                <w:sz w:val="18"/>
                <w:szCs w:val="18"/>
              </w:rPr>
              <w:t>Baseline (</w:t>
            </w:r>
            <w:r w:rsidR="005A58A8" w:rsidRPr="0016385E">
              <w:rPr>
                <w:color w:val="000000"/>
                <w:sz w:val="18"/>
                <w:szCs w:val="18"/>
              </w:rPr>
              <w:t>2021):</w:t>
            </w:r>
            <w:r w:rsidR="00E6163A" w:rsidRPr="0016385E">
              <w:rPr>
                <w:color w:val="000000"/>
                <w:sz w:val="18"/>
                <w:szCs w:val="18"/>
              </w:rPr>
              <w:t>0</w:t>
            </w:r>
          </w:p>
          <w:p w14:paraId="1F66B432" w14:textId="1BD77001" w:rsidR="005A58A8" w:rsidRPr="0016385E" w:rsidRDefault="005A58A8" w:rsidP="00490FB7">
            <w:pPr>
              <w:rPr>
                <w:color w:val="000000"/>
                <w:sz w:val="18"/>
                <w:szCs w:val="18"/>
              </w:rPr>
            </w:pPr>
            <w:r w:rsidRPr="0016385E">
              <w:rPr>
                <w:color w:val="000000"/>
                <w:sz w:val="18"/>
                <w:szCs w:val="18"/>
              </w:rPr>
              <w:t xml:space="preserve">Target (2023): </w:t>
            </w:r>
            <w:r w:rsidR="0065046E" w:rsidRPr="0016385E">
              <w:rPr>
                <w:color w:val="000000"/>
                <w:sz w:val="18"/>
                <w:szCs w:val="18"/>
              </w:rPr>
              <w:t>3</w:t>
            </w:r>
          </w:p>
          <w:p w14:paraId="0F0D0F57" w14:textId="64B1D1E2" w:rsidR="00F73C9E" w:rsidRPr="0016385E" w:rsidRDefault="00F73C9E" w:rsidP="00490FB7">
            <w:pPr>
              <w:rPr>
                <w:i/>
                <w:iCs/>
                <w:color w:val="000000"/>
                <w:sz w:val="18"/>
                <w:szCs w:val="18"/>
              </w:rPr>
            </w:pPr>
            <w:r w:rsidRPr="0016385E">
              <w:rPr>
                <w:i/>
                <w:iCs/>
                <w:color w:val="000000"/>
                <w:sz w:val="18"/>
                <w:szCs w:val="18"/>
              </w:rPr>
              <w:t xml:space="preserve">Data </w:t>
            </w:r>
            <w:r w:rsidR="004B6635" w:rsidRPr="0016385E">
              <w:rPr>
                <w:i/>
                <w:iCs/>
                <w:color w:val="000000"/>
                <w:sz w:val="18"/>
                <w:szCs w:val="18"/>
              </w:rPr>
              <w:t>s</w:t>
            </w:r>
            <w:r w:rsidRPr="0016385E">
              <w:rPr>
                <w:i/>
                <w:iCs/>
                <w:color w:val="000000"/>
                <w:sz w:val="18"/>
                <w:szCs w:val="18"/>
              </w:rPr>
              <w:t>ource: MID</w:t>
            </w:r>
            <w:r w:rsidR="009E7690" w:rsidRPr="0016385E">
              <w:rPr>
                <w:i/>
                <w:iCs/>
                <w:color w:val="000000"/>
                <w:sz w:val="18"/>
                <w:szCs w:val="18"/>
              </w:rPr>
              <w:t xml:space="preserve"> </w:t>
            </w:r>
            <w:r w:rsidR="004B6635" w:rsidRPr="0016385E">
              <w:rPr>
                <w:i/>
                <w:iCs/>
                <w:color w:val="000000"/>
                <w:sz w:val="18"/>
                <w:szCs w:val="18"/>
              </w:rPr>
              <w:t>r</w:t>
            </w:r>
            <w:r w:rsidRPr="0016385E">
              <w:rPr>
                <w:i/>
                <w:iCs/>
                <w:color w:val="000000"/>
                <w:sz w:val="18"/>
                <w:szCs w:val="18"/>
              </w:rPr>
              <w:t xml:space="preserve">eports; Frequency: </w:t>
            </w:r>
            <w:r w:rsidR="004B6635" w:rsidRPr="0016385E">
              <w:rPr>
                <w:i/>
                <w:iCs/>
                <w:color w:val="000000"/>
                <w:sz w:val="18"/>
                <w:szCs w:val="18"/>
              </w:rPr>
              <w:t>a</w:t>
            </w:r>
            <w:r w:rsidRPr="0016385E">
              <w:rPr>
                <w:i/>
                <w:iCs/>
                <w:color w:val="000000"/>
                <w:sz w:val="18"/>
                <w:szCs w:val="18"/>
              </w:rPr>
              <w:t>nnual</w:t>
            </w:r>
          </w:p>
          <w:p w14:paraId="299E04E5" w14:textId="2419DB2B" w:rsidR="00471039" w:rsidRPr="0016385E" w:rsidRDefault="00C3739D" w:rsidP="00490FB7">
            <w:pPr>
              <w:rPr>
                <w:color w:val="000000"/>
                <w:sz w:val="18"/>
                <w:szCs w:val="18"/>
              </w:rPr>
            </w:pPr>
            <w:r w:rsidRPr="0016385E">
              <w:rPr>
                <w:b/>
                <w:bCs/>
                <w:color w:val="000000"/>
                <w:sz w:val="18"/>
                <w:szCs w:val="18"/>
              </w:rPr>
              <w:t>Indicator 1.</w:t>
            </w:r>
            <w:r w:rsidR="00E75714" w:rsidRPr="0016385E">
              <w:rPr>
                <w:b/>
                <w:bCs/>
                <w:color w:val="000000"/>
                <w:sz w:val="18"/>
                <w:szCs w:val="18"/>
              </w:rPr>
              <w:t>3</w:t>
            </w:r>
            <w:r w:rsidRPr="0016385E">
              <w:rPr>
                <w:b/>
                <w:bCs/>
                <w:color w:val="000000"/>
                <w:sz w:val="18"/>
                <w:szCs w:val="18"/>
              </w:rPr>
              <w:t>.2</w:t>
            </w:r>
            <w:r w:rsidR="004B6635" w:rsidRPr="0016385E">
              <w:rPr>
                <w:b/>
                <w:bCs/>
                <w:color w:val="000000"/>
                <w:sz w:val="18"/>
                <w:szCs w:val="18"/>
              </w:rPr>
              <w:t>.</w:t>
            </w:r>
            <w:r w:rsidRPr="0016385E">
              <w:rPr>
                <w:color w:val="000000"/>
                <w:sz w:val="18"/>
                <w:szCs w:val="18"/>
              </w:rPr>
              <w:t xml:space="preserve"> Number </w:t>
            </w:r>
            <w:r w:rsidR="00AD72C5" w:rsidRPr="0016385E">
              <w:rPr>
                <w:color w:val="000000"/>
                <w:sz w:val="18"/>
                <w:szCs w:val="18"/>
              </w:rPr>
              <w:t xml:space="preserve">of </w:t>
            </w:r>
            <w:r w:rsidR="00BE3F3E" w:rsidRPr="0016385E">
              <w:rPr>
                <w:color w:val="000000"/>
                <w:sz w:val="18"/>
                <w:szCs w:val="18"/>
              </w:rPr>
              <w:t xml:space="preserve">new </w:t>
            </w:r>
            <w:r w:rsidR="004B6635" w:rsidRPr="0016385E">
              <w:rPr>
                <w:color w:val="000000"/>
                <w:sz w:val="18"/>
                <w:szCs w:val="18"/>
              </w:rPr>
              <w:t>i</w:t>
            </w:r>
            <w:r w:rsidRPr="0016385E">
              <w:rPr>
                <w:color w:val="000000"/>
                <w:sz w:val="18"/>
                <w:szCs w:val="18"/>
              </w:rPr>
              <w:t xml:space="preserve">nstitutions at national and </w:t>
            </w:r>
            <w:r w:rsidR="002B0757" w:rsidRPr="0016385E">
              <w:rPr>
                <w:color w:val="000000"/>
                <w:sz w:val="18"/>
                <w:szCs w:val="18"/>
              </w:rPr>
              <w:t xml:space="preserve">decentralized </w:t>
            </w:r>
            <w:r w:rsidRPr="0016385E">
              <w:rPr>
                <w:color w:val="000000"/>
                <w:sz w:val="18"/>
                <w:szCs w:val="18"/>
              </w:rPr>
              <w:t xml:space="preserve">levels with innovative tools (including digital) and skills </w:t>
            </w:r>
            <w:r w:rsidR="0004119D" w:rsidRPr="0016385E">
              <w:rPr>
                <w:color w:val="000000"/>
                <w:sz w:val="18"/>
                <w:szCs w:val="18"/>
              </w:rPr>
              <w:t xml:space="preserve">to effectively plan, monitor, and evaluate public policies, </w:t>
            </w:r>
            <w:r w:rsidR="0004119D" w:rsidRPr="0016385E">
              <w:rPr>
                <w:color w:val="000000"/>
                <w:sz w:val="18"/>
                <w:szCs w:val="18"/>
              </w:rPr>
              <w:lastRenderedPageBreak/>
              <w:t>and mobili</w:t>
            </w:r>
            <w:r w:rsidR="004B6635" w:rsidRPr="0016385E">
              <w:rPr>
                <w:color w:val="000000"/>
                <w:sz w:val="18"/>
                <w:szCs w:val="18"/>
              </w:rPr>
              <w:t>z</w:t>
            </w:r>
            <w:r w:rsidR="0004119D" w:rsidRPr="0016385E">
              <w:rPr>
                <w:color w:val="000000"/>
                <w:sz w:val="18"/>
                <w:szCs w:val="18"/>
              </w:rPr>
              <w:t xml:space="preserve">e financial resources </w:t>
            </w:r>
            <w:r w:rsidRPr="0016385E">
              <w:rPr>
                <w:color w:val="000000"/>
                <w:sz w:val="18"/>
                <w:szCs w:val="18"/>
              </w:rPr>
              <w:t xml:space="preserve">for improved </w:t>
            </w:r>
            <w:r w:rsidR="007E0FE1" w:rsidRPr="0016385E">
              <w:rPr>
                <w:color w:val="000000"/>
                <w:sz w:val="18"/>
                <w:szCs w:val="18"/>
              </w:rPr>
              <w:t xml:space="preserve">public </w:t>
            </w:r>
            <w:r w:rsidRPr="0016385E">
              <w:rPr>
                <w:color w:val="000000"/>
                <w:sz w:val="18"/>
                <w:szCs w:val="18"/>
              </w:rPr>
              <w:t>service delivery.</w:t>
            </w:r>
          </w:p>
          <w:p w14:paraId="2D83ECF9" w14:textId="77777777" w:rsidR="00F73C9E" w:rsidRPr="0016385E" w:rsidRDefault="00F73C9E" w:rsidP="00490FB7">
            <w:pPr>
              <w:rPr>
                <w:color w:val="000000"/>
                <w:sz w:val="18"/>
                <w:szCs w:val="18"/>
              </w:rPr>
            </w:pPr>
            <w:r w:rsidRPr="0016385E">
              <w:rPr>
                <w:color w:val="000000"/>
                <w:sz w:val="18"/>
                <w:szCs w:val="18"/>
              </w:rPr>
              <w:t>Baseline (2021): 0</w:t>
            </w:r>
          </w:p>
          <w:p w14:paraId="3926E97B" w14:textId="55E08A25" w:rsidR="00F73C9E" w:rsidRPr="0016385E" w:rsidRDefault="00F73C9E" w:rsidP="00490FB7">
            <w:pPr>
              <w:rPr>
                <w:color w:val="000000"/>
                <w:sz w:val="18"/>
                <w:szCs w:val="18"/>
              </w:rPr>
            </w:pPr>
            <w:r w:rsidRPr="0016385E">
              <w:rPr>
                <w:color w:val="000000"/>
                <w:sz w:val="18"/>
                <w:szCs w:val="18"/>
              </w:rPr>
              <w:t>Target (2023): 5 (</w:t>
            </w:r>
            <w:r w:rsidR="00110313" w:rsidRPr="00110313">
              <w:rPr>
                <w:color w:val="000000"/>
                <w:sz w:val="18"/>
                <w:szCs w:val="18"/>
              </w:rPr>
              <w:t>General Directorate of Decentralization</w:t>
            </w:r>
            <w:r w:rsidRPr="0016385E">
              <w:rPr>
                <w:color w:val="000000"/>
                <w:sz w:val="18"/>
                <w:szCs w:val="18"/>
              </w:rPr>
              <w:t>; National Institute for Decentralization and Local Development; Local Development Fund; General Coordination of Projects and Partnership</w:t>
            </w:r>
            <w:r w:rsidR="002227B7" w:rsidRPr="0016385E">
              <w:rPr>
                <w:color w:val="000000"/>
                <w:sz w:val="18"/>
                <w:szCs w:val="18"/>
              </w:rPr>
              <w:t xml:space="preserve">; Parliamentary </w:t>
            </w:r>
            <w:r w:rsidR="00FA7ED8" w:rsidRPr="0016385E">
              <w:rPr>
                <w:color w:val="000000"/>
                <w:sz w:val="18"/>
                <w:szCs w:val="18"/>
              </w:rPr>
              <w:t xml:space="preserve">Commission on </w:t>
            </w:r>
            <w:r w:rsidR="00DA4ECD" w:rsidRPr="0016385E">
              <w:rPr>
                <w:color w:val="000000"/>
                <w:sz w:val="18"/>
                <w:szCs w:val="18"/>
              </w:rPr>
              <w:t>p</w:t>
            </w:r>
            <w:r w:rsidR="002227B7" w:rsidRPr="0016385E">
              <w:rPr>
                <w:color w:val="000000"/>
                <w:sz w:val="18"/>
                <w:szCs w:val="18"/>
              </w:rPr>
              <w:t>ublic policy evaluation</w:t>
            </w:r>
            <w:r w:rsidRPr="0016385E">
              <w:rPr>
                <w:color w:val="000000"/>
                <w:sz w:val="18"/>
                <w:szCs w:val="18"/>
              </w:rPr>
              <w:t>)</w:t>
            </w:r>
          </w:p>
          <w:p w14:paraId="24D7EDC9" w14:textId="46D55C75" w:rsidR="00F73C9E" w:rsidRPr="0016385E" w:rsidRDefault="00F73C9E" w:rsidP="00490FB7">
            <w:pPr>
              <w:rPr>
                <w:i/>
                <w:iCs/>
                <w:color w:val="000000"/>
                <w:sz w:val="18"/>
                <w:szCs w:val="18"/>
              </w:rPr>
            </w:pPr>
            <w:r w:rsidRPr="0016385E">
              <w:rPr>
                <w:i/>
                <w:iCs/>
                <w:color w:val="000000"/>
                <w:sz w:val="18"/>
                <w:szCs w:val="18"/>
              </w:rPr>
              <w:t xml:space="preserve">Data </w:t>
            </w:r>
            <w:r w:rsidR="00171B5E" w:rsidRPr="0016385E">
              <w:rPr>
                <w:i/>
                <w:iCs/>
                <w:color w:val="000000"/>
                <w:sz w:val="18"/>
                <w:szCs w:val="18"/>
              </w:rPr>
              <w:t>s</w:t>
            </w:r>
            <w:r w:rsidRPr="0016385E">
              <w:rPr>
                <w:i/>
                <w:iCs/>
                <w:color w:val="000000"/>
                <w:sz w:val="18"/>
                <w:szCs w:val="18"/>
              </w:rPr>
              <w:t>ource: MID</w:t>
            </w:r>
            <w:r w:rsidR="005E5C79" w:rsidRPr="0016385E">
              <w:rPr>
                <w:i/>
                <w:iCs/>
                <w:color w:val="000000"/>
                <w:sz w:val="18"/>
                <w:szCs w:val="18"/>
              </w:rPr>
              <w:t xml:space="preserve"> </w:t>
            </w:r>
            <w:r w:rsidR="00171B5E" w:rsidRPr="0016385E">
              <w:rPr>
                <w:i/>
                <w:iCs/>
                <w:color w:val="000000"/>
                <w:sz w:val="18"/>
                <w:szCs w:val="18"/>
              </w:rPr>
              <w:t xml:space="preserve">and </w:t>
            </w:r>
            <w:r w:rsidR="00DA4ECD" w:rsidRPr="0016385E">
              <w:rPr>
                <w:i/>
                <w:iCs/>
                <w:color w:val="000000"/>
                <w:sz w:val="18"/>
                <w:szCs w:val="18"/>
              </w:rPr>
              <w:t>Parliament</w:t>
            </w:r>
            <w:r w:rsidRPr="0016385E">
              <w:rPr>
                <w:i/>
                <w:iCs/>
                <w:color w:val="000000"/>
                <w:sz w:val="18"/>
                <w:szCs w:val="18"/>
              </w:rPr>
              <w:t xml:space="preserve"> </w:t>
            </w:r>
            <w:r w:rsidR="00171B5E" w:rsidRPr="0016385E">
              <w:rPr>
                <w:i/>
                <w:iCs/>
                <w:color w:val="000000"/>
                <w:sz w:val="18"/>
                <w:szCs w:val="18"/>
              </w:rPr>
              <w:t>r</w:t>
            </w:r>
            <w:r w:rsidRPr="0016385E">
              <w:rPr>
                <w:i/>
                <w:iCs/>
                <w:color w:val="000000"/>
                <w:sz w:val="18"/>
                <w:szCs w:val="18"/>
              </w:rPr>
              <w:t xml:space="preserve">eports; Frequency: </w:t>
            </w:r>
            <w:r w:rsidR="00171B5E" w:rsidRPr="0016385E">
              <w:rPr>
                <w:i/>
                <w:iCs/>
                <w:color w:val="000000"/>
                <w:sz w:val="18"/>
                <w:szCs w:val="18"/>
              </w:rPr>
              <w:t>a</w:t>
            </w:r>
            <w:r w:rsidRPr="0016385E">
              <w:rPr>
                <w:i/>
                <w:iCs/>
                <w:color w:val="000000"/>
                <w:sz w:val="18"/>
                <w:szCs w:val="18"/>
              </w:rPr>
              <w:t>nnual</w:t>
            </w:r>
          </w:p>
          <w:p w14:paraId="27019D29" w14:textId="0248DF6E" w:rsidR="00F14925" w:rsidRPr="0016385E" w:rsidRDefault="00383DED" w:rsidP="00F14925">
            <w:pPr>
              <w:rPr>
                <w:sz w:val="18"/>
                <w:szCs w:val="18"/>
              </w:rPr>
            </w:pPr>
            <w:r w:rsidRPr="0016385E">
              <w:rPr>
                <w:b/>
                <w:bCs/>
                <w:sz w:val="18"/>
                <w:szCs w:val="18"/>
              </w:rPr>
              <w:t>Indicator 1.</w:t>
            </w:r>
            <w:r w:rsidR="00E75714" w:rsidRPr="0016385E">
              <w:rPr>
                <w:b/>
                <w:bCs/>
                <w:sz w:val="18"/>
                <w:szCs w:val="18"/>
              </w:rPr>
              <w:t>3</w:t>
            </w:r>
            <w:r w:rsidRPr="0016385E">
              <w:rPr>
                <w:b/>
                <w:bCs/>
                <w:sz w:val="18"/>
                <w:szCs w:val="18"/>
              </w:rPr>
              <w:t>.3</w:t>
            </w:r>
            <w:r w:rsidR="00171B5E" w:rsidRPr="0016385E">
              <w:rPr>
                <w:b/>
                <w:bCs/>
                <w:sz w:val="18"/>
                <w:szCs w:val="18"/>
              </w:rPr>
              <w:t>.</w:t>
            </w:r>
            <w:r w:rsidRPr="0016385E">
              <w:rPr>
                <w:b/>
                <w:bCs/>
                <w:sz w:val="18"/>
                <w:szCs w:val="18"/>
              </w:rPr>
              <w:t xml:space="preserve"> </w:t>
            </w:r>
            <w:r w:rsidR="00F14925" w:rsidRPr="0016385E">
              <w:rPr>
                <w:sz w:val="18"/>
                <w:szCs w:val="18"/>
              </w:rPr>
              <w:t xml:space="preserve">Number of </w:t>
            </w:r>
            <w:r w:rsidR="00DC252B" w:rsidRPr="0016385E">
              <w:rPr>
                <w:sz w:val="18"/>
                <w:szCs w:val="18"/>
              </w:rPr>
              <w:t xml:space="preserve">new </w:t>
            </w:r>
            <w:r w:rsidR="00F14925" w:rsidRPr="0016385E">
              <w:rPr>
                <w:sz w:val="18"/>
                <w:szCs w:val="18"/>
              </w:rPr>
              <w:t xml:space="preserve">people in the </w:t>
            </w:r>
            <w:r w:rsidR="00BF5611" w:rsidRPr="0016385E">
              <w:rPr>
                <w:sz w:val="18"/>
                <w:szCs w:val="18"/>
              </w:rPr>
              <w:t>intervention areas</w:t>
            </w:r>
            <w:r w:rsidR="00F14925" w:rsidRPr="0016385E">
              <w:rPr>
                <w:sz w:val="18"/>
                <w:szCs w:val="18"/>
              </w:rPr>
              <w:t xml:space="preserve"> with access to improved public services (land certificate, civil servant status, civil status), disaggregated by sex. </w:t>
            </w:r>
          </w:p>
          <w:p w14:paraId="35CA8530" w14:textId="40B03A28" w:rsidR="00F14925" w:rsidRPr="00882056" w:rsidRDefault="00F14925" w:rsidP="00F14925">
            <w:pPr>
              <w:rPr>
                <w:sz w:val="18"/>
                <w:szCs w:val="18"/>
              </w:rPr>
            </w:pPr>
            <w:r w:rsidRPr="00882056">
              <w:rPr>
                <w:sz w:val="18"/>
                <w:szCs w:val="18"/>
              </w:rPr>
              <w:t xml:space="preserve">Baseline (2021): </w:t>
            </w:r>
            <w:r w:rsidRPr="0016385E">
              <w:rPr>
                <w:sz w:val="18"/>
                <w:szCs w:val="18"/>
              </w:rPr>
              <w:t xml:space="preserve">Land </w:t>
            </w:r>
            <w:r w:rsidR="00171B5E" w:rsidRPr="0016385E">
              <w:rPr>
                <w:sz w:val="18"/>
                <w:szCs w:val="18"/>
              </w:rPr>
              <w:t>c</w:t>
            </w:r>
            <w:r w:rsidRPr="0016385E">
              <w:rPr>
                <w:sz w:val="18"/>
                <w:szCs w:val="18"/>
              </w:rPr>
              <w:t xml:space="preserve">ertificate: </w:t>
            </w:r>
            <w:r w:rsidR="00C136CF" w:rsidRPr="0016385E">
              <w:rPr>
                <w:sz w:val="18"/>
                <w:szCs w:val="18"/>
              </w:rPr>
              <w:t>0</w:t>
            </w:r>
            <w:r w:rsidR="002E7A9E" w:rsidRPr="0016385E">
              <w:rPr>
                <w:sz w:val="18"/>
                <w:szCs w:val="18"/>
              </w:rPr>
              <w:t xml:space="preserve">; </w:t>
            </w:r>
            <w:r w:rsidRPr="0016385E">
              <w:rPr>
                <w:sz w:val="18"/>
                <w:szCs w:val="18"/>
              </w:rPr>
              <w:t xml:space="preserve">Civil servant status: </w:t>
            </w:r>
            <w:r w:rsidR="00C136CF" w:rsidRPr="0016385E">
              <w:rPr>
                <w:sz w:val="18"/>
                <w:szCs w:val="18"/>
              </w:rPr>
              <w:t>0</w:t>
            </w:r>
          </w:p>
          <w:p w14:paraId="35644D84" w14:textId="654D888D" w:rsidR="00F14925" w:rsidRPr="0016385E" w:rsidRDefault="00F14925" w:rsidP="00F14925">
            <w:pPr>
              <w:rPr>
                <w:sz w:val="18"/>
                <w:szCs w:val="18"/>
              </w:rPr>
            </w:pPr>
            <w:r w:rsidRPr="0016385E">
              <w:rPr>
                <w:sz w:val="18"/>
                <w:szCs w:val="18"/>
              </w:rPr>
              <w:t xml:space="preserve">Civil </w:t>
            </w:r>
            <w:r w:rsidR="00171B5E" w:rsidRPr="0016385E">
              <w:rPr>
                <w:sz w:val="18"/>
                <w:szCs w:val="18"/>
              </w:rPr>
              <w:t>s</w:t>
            </w:r>
            <w:r w:rsidRPr="0016385E">
              <w:rPr>
                <w:sz w:val="18"/>
                <w:szCs w:val="18"/>
              </w:rPr>
              <w:t xml:space="preserve">tatus: </w:t>
            </w:r>
            <w:r w:rsidR="00171B5E" w:rsidRPr="0016385E">
              <w:rPr>
                <w:sz w:val="18"/>
                <w:szCs w:val="18"/>
              </w:rPr>
              <w:t>(</w:t>
            </w:r>
            <w:r w:rsidR="00EF7C6C" w:rsidRPr="0016385E">
              <w:rPr>
                <w:sz w:val="18"/>
                <w:szCs w:val="18"/>
              </w:rPr>
              <w:t xml:space="preserve">a) Birth </w:t>
            </w:r>
            <w:r w:rsidR="00171B5E" w:rsidRPr="0016385E">
              <w:rPr>
                <w:sz w:val="18"/>
                <w:szCs w:val="18"/>
              </w:rPr>
              <w:t>c</w:t>
            </w:r>
            <w:r w:rsidR="00EF7C6C" w:rsidRPr="0016385E">
              <w:rPr>
                <w:sz w:val="18"/>
                <w:szCs w:val="18"/>
              </w:rPr>
              <w:t>ertificate: 0</w:t>
            </w:r>
          </w:p>
          <w:p w14:paraId="3F128AFD" w14:textId="6A3D564B" w:rsidR="00EF7C6C" w:rsidRPr="0016385E" w:rsidRDefault="00CE7E5F" w:rsidP="00F14925">
            <w:pPr>
              <w:rPr>
                <w:sz w:val="18"/>
                <w:szCs w:val="18"/>
              </w:rPr>
            </w:pPr>
            <w:r w:rsidRPr="0016385E">
              <w:rPr>
                <w:sz w:val="18"/>
                <w:szCs w:val="18"/>
              </w:rPr>
              <w:t xml:space="preserve">                    </w:t>
            </w:r>
            <w:r w:rsidR="00110313" w:rsidRPr="0016385E">
              <w:rPr>
                <w:sz w:val="18"/>
                <w:szCs w:val="18"/>
              </w:rPr>
              <w:t>(b</w:t>
            </w:r>
            <w:r w:rsidRPr="0016385E">
              <w:rPr>
                <w:sz w:val="18"/>
                <w:szCs w:val="18"/>
              </w:rPr>
              <w:t>) I</w:t>
            </w:r>
            <w:r w:rsidR="00171B5E" w:rsidRPr="0016385E">
              <w:rPr>
                <w:sz w:val="18"/>
                <w:szCs w:val="18"/>
              </w:rPr>
              <w:t>dentity</w:t>
            </w:r>
            <w:r w:rsidRPr="0016385E">
              <w:rPr>
                <w:sz w:val="18"/>
                <w:szCs w:val="18"/>
              </w:rPr>
              <w:t xml:space="preserve"> </w:t>
            </w:r>
            <w:r w:rsidR="00171B5E" w:rsidRPr="0016385E">
              <w:rPr>
                <w:sz w:val="18"/>
                <w:szCs w:val="18"/>
              </w:rPr>
              <w:t>c</w:t>
            </w:r>
            <w:r w:rsidRPr="0016385E">
              <w:rPr>
                <w:sz w:val="18"/>
                <w:szCs w:val="18"/>
              </w:rPr>
              <w:t>ard: 0</w:t>
            </w:r>
          </w:p>
          <w:p w14:paraId="2205C90B" w14:textId="126E8B60" w:rsidR="00F14925" w:rsidRPr="0016385E" w:rsidRDefault="00F14925" w:rsidP="00F14925">
            <w:pPr>
              <w:rPr>
                <w:sz w:val="18"/>
                <w:szCs w:val="18"/>
              </w:rPr>
            </w:pPr>
            <w:r w:rsidRPr="0016385E">
              <w:rPr>
                <w:sz w:val="18"/>
                <w:szCs w:val="18"/>
              </w:rPr>
              <w:t xml:space="preserve">Target (2023): Land </w:t>
            </w:r>
            <w:r w:rsidR="00171B5E" w:rsidRPr="0016385E">
              <w:rPr>
                <w:sz w:val="18"/>
                <w:szCs w:val="18"/>
              </w:rPr>
              <w:t>c</w:t>
            </w:r>
            <w:r w:rsidRPr="0016385E">
              <w:rPr>
                <w:sz w:val="18"/>
                <w:szCs w:val="18"/>
              </w:rPr>
              <w:t>ertificate: 3,500 (40% women)</w:t>
            </w:r>
            <w:r w:rsidR="002E7A9E" w:rsidRPr="0016385E">
              <w:rPr>
                <w:sz w:val="18"/>
                <w:szCs w:val="18"/>
              </w:rPr>
              <w:t xml:space="preserve">; </w:t>
            </w:r>
            <w:r w:rsidRPr="0016385E">
              <w:rPr>
                <w:sz w:val="18"/>
                <w:szCs w:val="18"/>
              </w:rPr>
              <w:t>Civil servant status: 22,000 (30% Women)</w:t>
            </w:r>
          </w:p>
          <w:p w14:paraId="52FE79F8" w14:textId="35E5B007" w:rsidR="00F14925" w:rsidRPr="0016385E" w:rsidRDefault="00F14925" w:rsidP="00F14925">
            <w:pPr>
              <w:rPr>
                <w:sz w:val="18"/>
                <w:szCs w:val="18"/>
              </w:rPr>
            </w:pPr>
            <w:r w:rsidRPr="0016385E">
              <w:rPr>
                <w:sz w:val="18"/>
                <w:szCs w:val="18"/>
              </w:rPr>
              <w:t xml:space="preserve">Civil </w:t>
            </w:r>
            <w:r w:rsidR="00171B5E" w:rsidRPr="0016385E">
              <w:rPr>
                <w:sz w:val="18"/>
                <w:szCs w:val="18"/>
              </w:rPr>
              <w:t>s</w:t>
            </w:r>
            <w:r w:rsidRPr="0016385E">
              <w:rPr>
                <w:sz w:val="18"/>
                <w:szCs w:val="18"/>
              </w:rPr>
              <w:t xml:space="preserve">tatus: </w:t>
            </w:r>
            <w:r w:rsidR="00171B5E" w:rsidRPr="0016385E">
              <w:rPr>
                <w:sz w:val="18"/>
                <w:szCs w:val="18"/>
              </w:rPr>
              <w:t>(</w:t>
            </w:r>
            <w:r w:rsidRPr="0016385E">
              <w:rPr>
                <w:sz w:val="18"/>
                <w:szCs w:val="18"/>
              </w:rPr>
              <w:t xml:space="preserve">a) 25 registrations/1000 inhabitants/year. </w:t>
            </w:r>
          </w:p>
          <w:p w14:paraId="558FA09A" w14:textId="7B338580" w:rsidR="00F14925" w:rsidRPr="0016385E" w:rsidRDefault="00AD5BB3" w:rsidP="00490FB7">
            <w:pPr>
              <w:rPr>
                <w:sz w:val="18"/>
                <w:szCs w:val="18"/>
              </w:rPr>
            </w:pPr>
            <w:r w:rsidRPr="0016385E">
              <w:rPr>
                <w:sz w:val="18"/>
                <w:szCs w:val="18"/>
              </w:rPr>
              <w:t xml:space="preserve">                     </w:t>
            </w:r>
            <w:r w:rsidR="00171B5E" w:rsidRPr="0016385E">
              <w:rPr>
                <w:sz w:val="18"/>
                <w:szCs w:val="18"/>
              </w:rPr>
              <w:t>(</w:t>
            </w:r>
            <w:r w:rsidR="00F14925" w:rsidRPr="0016385E">
              <w:rPr>
                <w:sz w:val="18"/>
                <w:szCs w:val="18"/>
              </w:rPr>
              <w:t>b) 400,000</w:t>
            </w:r>
            <w:r w:rsidR="00206D84" w:rsidRPr="0016385E">
              <w:rPr>
                <w:sz w:val="18"/>
                <w:szCs w:val="18"/>
              </w:rPr>
              <w:t xml:space="preserve"> (60% women)</w:t>
            </w:r>
          </w:p>
          <w:p w14:paraId="409C6681" w14:textId="7E2A899F" w:rsidR="00E55D37" w:rsidRPr="0016385E" w:rsidRDefault="00E55D37" w:rsidP="00E55D37">
            <w:pPr>
              <w:rPr>
                <w:i/>
                <w:iCs/>
                <w:color w:val="000000"/>
                <w:sz w:val="18"/>
                <w:szCs w:val="18"/>
              </w:rPr>
            </w:pPr>
            <w:r w:rsidRPr="0016385E">
              <w:rPr>
                <w:i/>
                <w:iCs/>
                <w:color w:val="000000"/>
                <w:sz w:val="18"/>
                <w:szCs w:val="18"/>
              </w:rPr>
              <w:t xml:space="preserve">Data </w:t>
            </w:r>
            <w:r w:rsidR="00171B5E" w:rsidRPr="0016385E">
              <w:rPr>
                <w:i/>
                <w:iCs/>
                <w:color w:val="000000"/>
                <w:sz w:val="18"/>
                <w:szCs w:val="18"/>
              </w:rPr>
              <w:t>s</w:t>
            </w:r>
            <w:r w:rsidRPr="0016385E">
              <w:rPr>
                <w:i/>
                <w:iCs/>
                <w:color w:val="000000"/>
                <w:sz w:val="18"/>
                <w:szCs w:val="18"/>
              </w:rPr>
              <w:t xml:space="preserve">ource: </w:t>
            </w:r>
            <w:r w:rsidR="002F4397">
              <w:rPr>
                <w:i/>
                <w:iCs/>
                <w:color w:val="000000"/>
                <w:sz w:val="18"/>
                <w:szCs w:val="18"/>
              </w:rPr>
              <w:t>D</w:t>
            </w:r>
            <w:r w:rsidR="009D44E1" w:rsidRPr="009D44E1">
              <w:rPr>
                <w:i/>
                <w:iCs/>
                <w:color w:val="000000"/>
                <w:sz w:val="18"/>
                <w:szCs w:val="18"/>
              </w:rPr>
              <w:t xml:space="preserve">ecentralized </w:t>
            </w:r>
            <w:r w:rsidR="002F4397">
              <w:rPr>
                <w:i/>
                <w:iCs/>
                <w:color w:val="000000"/>
                <w:sz w:val="18"/>
                <w:szCs w:val="18"/>
              </w:rPr>
              <w:t>S</w:t>
            </w:r>
            <w:r w:rsidR="009D44E1" w:rsidRPr="009D44E1">
              <w:rPr>
                <w:i/>
                <w:iCs/>
                <w:color w:val="000000"/>
                <w:sz w:val="18"/>
                <w:szCs w:val="18"/>
              </w:rPr>
              <w:t>ervices</w:t>
            </w:r>
            <w:r w:rsidR="00BB6429" w:rsidRPr="0016385E">
              <w:rPr>
                <w:i/>
                <w:iCs/>
                <w:color w:val="000000"/>
                <w:sz w:val="18"/>
                <w:szCs w:val="18"/>
              </w:rPr>
              <w:t xml:space="preserve"> </w:t>
            </w:r>
            <w:r w:rsidR="00171B5E" w:rsidRPr="0016385E">
              <w:rPr>
                <w:i/>
                <w:iCs/>
                <w:color w:val="000000"/>
                <w:sz w:val="18"/>
                <w:szCs w:val="18"/>
              </w:rPr>
              <w:t>r</w:t>
            </w:r>
            <w:r w:rsidRPr="0016385E">
              <w:rPr>
                <w:i/>
                <w:iCs/>
                <w:color w:val="000000"/>
                <w:sz w:val="18"/>
                <w:szCs w:val="18"/>
              </w:rPr>
              <w:t xml:space="preserve">eports; Frequency: </w:t>
            </w:r>
            <w:r w:rsidR="00171B5E" w:rsidRPr="0016385E">
              <w:rPr>
                <w:i/>
                <w:iCs/>
                <w:color w:val="000000"/>
                <w:sz w:val="18"/>
                <w:szCs w:val="18"/>
              </w:rPr>
              <w:t>a</w:t>
            </w:r>
            <w:r w:rsidRPr="0016385E">
              <w:rPr>
                <w:i/>
                <w:iCs/>
                <w:color w:val="000000"/>
                <w:sz w:val="18"/>
                <w:szCs w:val="18"/>
              </w:rPr>
              <w:t>nnual</w:t>
            </w:r>
          </w:p>
          <w:p w14:paraId="0A0E9569" w14:textId="197805FD" w:rsidR="00F73C9E" w:rsidRPr="0016385E" w:rsidRDefault="00F73C9E" w:rsidP="00A82BD6">
            <w:pPr>
              <w:rPr>
                <w:b/>
                <w:bCs/>
                <w:color w:val="000000"/>
                <w:sz w:val="18"/>
                <w:szCs w:val="18"/>
              </w:rPr>
            </w:pPr>
            <w:r w:rsidRPr="0016385E">
              <w:rPr>
                <w:b/>
                <w:bCs/>
                <w:sz w:val="18"/>
                <w:szCs w:val="18"/>
              </w:rPr>
              <w:t>Indicator 1.</w:t>
            </w:r>
            <w:r w:rsidR="00E75714" w:rsidRPr="0016385E">
              <w:rPr>
                <w:b/>
                <w:bCs/>
                <w:sz w:val="18"/>
                <w:szCs w:val="18"/>
              </w:rPr>
              <w:t>3</w:t>
            </w:r>
            <w:r w:rsidRPr="0016385E">
              <w:rPr>
                <w:b/>
                <w:bCs/>
                <w:sz w:val="18"/>
                <w:szCs w:val="18"/>
              </w:rPr>
              <w:t>.</w:t>
            </w:r>
            <w:r w:rsidR="00A2646E" w:rsidRPr="0016385E">
              <w:rPr>
                <w:b/>
                <w:bCs/>
                <w:sz w:val="18"/>
                <w:szCs w:val="18"/>
              </w:rPr>
              <w:t>4</w:t>
            </w:r>
            <w:r w:rsidR="00171B5E" w:rsidRPr="0016385E">
              <w:rPr>
                <w:b/>
                <w:bCs/>
                <w:sz w:val="18"/>
                <w:szCs w:val="18"/>
              </w:rPr>
              <w:t>.</w:t>
            </w:r>
            <w:r w:rsidRPr="0016385E">
              <w:rPr>
                <w:sz w:val="18"/>
                <w:szCs w:val="18"/>
              </w:rPr>
              <w:t xml:space="preserve"> Number of new </w:t>
            </w:r>
            <w:r w:rsidR="00171B5E" w:rsidRPr="0016385E">
              <w:rPr>
                <w:sz w:val="18"/>
                <w:szCs w:val="18"/>
              </w:rPr>
              <w:t>r</w:t>
            </w:r>
            <w:r w:rsidRPr="0016385E">
              <w:rPr>
                <w:sz w:val="18"/>
                <w:szCs w:val="18"/>
              </w:rPr>
              <w:t>eports measur</w:t>
            </w:r>
            <w:r w:rsidR="00171B5E" w:rsidRPr="0016385E">
              <w:rPr>
                <w:sz w:val="18"/>
                <w:szCs w:val="18"/>
              </w:rPr>
              <w:t>ing</w:t>
            </w:r>
            <w:r w:rsidRPr="0016385E">
              <w:rPr>
                <w:sz w:val="18"/>
                <w:szCs w:val="18"/>
              </w:rPr>
              <w:t xml:space="preserve"> national accountability on socioeconomic progress </w:t>
            </w:r>
            <w:r w:rsidR="00BB6429" w:rsidRPr="0016385E">
              <w:rPr>
                <w:sz w:val="18"/>
                <w:szCs w:val="18"/>
              </w:rPr>
              <w:t>available.</w:t>
            </w:r>
          </w:p>
          <w:p w14:paraId="6C869FE7" w14:textId="2C8A6B04" w:rsidR="00F73C9E" w:rsidRPr="0016385E" w:rsidRDefault="00F73C9E" w:rsidP="00A82BD6">
            <w:pPr>
              <w:rPr>
                <w:sz w:val="18"/>
                <w:szCs w:val="18"/>
              </w:rPr>
            </w:pPr>
            <w:r w:rsidRPr="0016385E">
              <w:rPr>
                <w:color w:val="000000"/>
                <w:sz w:val="18"/>
                <w:szCs w:val="18"/>
              </w:rPr>
              <w:t>Baseline (2021):0</w:t>
            </w:r>
          </w:p>
          <w:p w14:paraId="03B15B0E" w14:textId="62AE05C1" w:rsidR="00F73C9E" w:rsidRPr="00017902" w:rsidRDefault="00F73C9E" w:rsidP="00A82BD6">
            <w:pPr>
              <w:rPr>
                <w:color w:val="000000"/>
                <w:sz w:val="18"/>
                <w:szCs w:val="18"/>
              </w:rPr>
            </w:pPr>
            <w:r w:rsidRPr="0016385E">
              <w:rPr>
                <w:color w:val="000000"/>
                <w:sz w:val="18"/>
                <w:szCs w:val="18"/>
              </w:rPr>
              <w:t xml:space="preserve">Target (2023): </w:t>
            </w:r>
            <w:r w:rsidR="00111F44" w:rsidRPr="0016385E">
              <w:rPr>
                <w:color w:val="000000"/>
                <w:sz w:val="18"/>
                <w:szCs w:val="18"/>
              </w:rPr>
              <w:t>5</w:t>
            </w:r>
            <w:r w:rsidRPr="0016385E">
              <w:rPr>
                <w:color w:val="000000"/>
                <w:sz w:val="18"/>
                <w:szCs w:val="18"/>
              </w:rPr>
              <w:t xml:space="preserve"> (</w:t>
            </w:r>
            <w:r w:rsidR="00171B5E" w:rsidRPr="0016385E">
              <w:rPr>
                <w:sz w:val="18"/>
                <w:szCs w:val="18"/>
              </w:rPr>
              <w:t xml:space="preserve">National </w:t>
            </w:r>
            <w:r w:rsidR="00171B5E" w:rsidRPr="00017902">
              <w:rPr>
                <w:sz w:val="18"/>
                <w:szCs w:val="18"/>
              </w:rPr>
              <w:t>Human Development Report</w:t>
            </w:r>
            <w:r w:rsidRPr="00017902">
              <w:rPr>
                <w:sz w:val="18"/>
                <w:szCs w:val="18"/>
              </w:rPr>
              <w:t>; S</w:t>
            </w:r>
            <w:r w:rsidR="00171B5E" w:rsidRPr="00017902">
              <w:rPr>
                <w:sz w:val="18"/>
                <w:szCs w:val="18"/>
              </w:rPr>
              <w:t>ustainable Development Goals</w:t>
            </w:r>
            <w:r w:rsidRPr="00017902">
              <w:rPr>
                <w:sz w:val="18"/>
                <w:szCs w:val="18"/>
              </w:rPr>
              <w:t>; S</w:t>
            </w:r>
            <w:r w:rsidR="00017902" w:rsidRPr="00017902">
              <w:rPr>
                <w:sz w:val="18"/>
                <w:szCs w:val="18"/>
              </w:rPr>
              <w:t>outh-S</w:t>
            </w:r>
            <w:r w:rsidR="009D44E1" w:rsidRPr="00017902">
              <w:rPr>
                <w:sz w:val="18"/>
                <w:szCs w:val="18"/>
              </w:rPr>
              <w:t xml:space="preserve">outh </w:t>
            </w:r>
            <w:r w:rsidR="00017902" w:rsidRPr="00017902">
              <w:rPr>
                <w:sz w:val="18"/>
                <w:szCs w:val="18"/>
              </w:rPr>
              <w:t>cooperation; s</w:t>
            </w:r>
            <w:r w:rsidR="00A4256D" w:rsidRPr="00017902">
              <w:rPr>
                <w:sz w:val="18"/>
                <w:szCs w:val="18"/>
              </w:rPr>
              <w:t>ocio</w:t>
            </w:r>
            <w:r w:rsidR="00C00BF9" w:rsidRPr="00017902">
              <w:rPr>
                <w:sz w:val="18"/>
                <w:szCs w:val="18"/>
              </w:rPr>
              <w:t xml:space="preserve">-economic impact assessment; </w:t>
            </w:r>
            <w:r w:rsidR="00017902" w:rsidRPr="00017902">
              <w:rPr>
                <w:sz w:val="18"/>
                <w:szCs w:val="18"/>
              </w:rPr>
              <w:t>d</w:t>
            </w:r>
            <w:r w:rsidR="00D37B63" w:rsidRPr="00017902">
              <w:rPr>
                <w:sz w:val="18"/>
                <w:szCs w:val="18"/>
              </w:rPr>
              <w:t>evelopment financ</w:t>
            </w:r>
            <w:r w:rsidR="003C3534" w:rsidRPr="00017902">
              <w:rPr>
                <w:sz w:val="18"/>
                <w:szCs w:val="18"/>
              </w:rPr>
              <w:t>ial</w:t>
            </w:r>
            <w:r w:rsidR="00D37B63" w:rsidRPr="00017902">
              <w:rPr>
                <w:sz w:val="18"/>
                <w:szCs w:val="18"/>
              </w:rPr>
              <w:t xml:space="preserve"> assessment)</w:t>
            </w:r>
          </w:p>
          <w:p w14:paraId="6399BA6A" w14:textId="32E517DE" w:rsidR="00F73C9E" w:rsidRPr="0016385E" w:rsidRDefault="00F73C9E" w:rsidP="00177A8E">
            <w:pPr>
              <w:rPr>
                <w:b/>
                <w:bCs/>
                <w:color w:val="000000"/>
                <w:sz w:val="18"/>
                <w:szCs w:val="18"/>
              </w:rPr>
            </w:pPr>
            <w:r w:rsidRPr="00017902">
              <w:rPr>
                <w:i/>
                <w:iCs/>
                <w:color w:val="000000"/>
                <w:sz w:val="18"/>
                <w:szCs w:val="18"/>
              </w:rPr>
              <w:t xml:space="preserve">Data </w:t>
            </w:r>
            <w:r w:rsidR="007466EC" w:rsidRPr="00017902">
              <w:rPr>
                <w:i/>
                <w:iCs/>
                <w:color w:val="000000"/>
                <w:sz w:val="18"/>
                <w:szCs w:val="18"/>
              </w:rPr>
              <w:t>s</w:t>
            </w:r>
            <w:r w:rsidRPr="00017902">
              <w:rPr>
                <w:i/>
                <w:iCs/>
                <w:color w:val="000000"/>
                <w:sz w:val="18"/>
                <w:szCs w:val="18"/>
              </w:rPr>
              <w:t xml:space="preserve">ource: </w:t>
            </w:r>
            <w:r w:rsidR="007466EC" w:rsidRPr="00017902">
              <w:rPr>
                <w:i/>
                <w:iCs/>
                <w:color w:val="000000"/>
                <w:sz w:val="18"/>
                <w:szCs w:val="18"/>
              </w:rPr>
              <w:t>Ministry of Economy and Finance (</w:t>
            </w:r>
            <w:r w:rsidRPr="0016385E">
              <w:rPr>
                <w:i/>
                <w:iCs/>
                <w:color w:val="000000"/>
                <w:sz w:val="18"/>
                <w:szCs w:val="18"/>
              </w:rPr>
              <w:t>MEF</w:t>
            </w:r>
            <w:r w:rsidR="007466EC" w:rsidRPr="0016385E">
              <w:rPr>
                <w:i/>
                <w:iCs/>
                <w:color w:val="000000"/>
                <w:sz w:val="18"/>
                <w:szCs w:val="18"/>
              </w:rPr>
              <w:t>)</w:t>
            </w:r>
            <w:r w:rsidRPr="0016385E">
              <w:rPr>
                <w:i/>
                <w:iCs/>
                <w:color w:val="000000"/>
                <w:sz w:val="18"/>
                <w:szCs w:val="18"/>
              </w:rPr>
              <w:t xml:space="preserve"> </w:t>
            </w:r>
            <w:r w:rsidR="007466EC" w:rsidRPr="0016385E">
              <w:rPr>
                <w:i/>
                <w:iCs/>
                <w:color w:val="000000"/>
                <w:sz w:val="18"/>
                <w:szCs w:val="18"/>
              </w:rPr>
              <w:t>r</w:t>
            </w:r>
            <w:r w:rsidRPr="0016385E">
              <w:rPr>
                <w:i/>
                <w:iCs/>
                <w:color w:val="000000"/>
                <w:sz w:val="18"/>
                <w:szCs w:val="18"/>
              </w:rPr>
              <w:t xml:space="preserve">eports; Frequency: </w:t>
            </w:r>
            <w:r w:rsidR="007466EC" w:rsidRPr="0016385E">
              <w:rPr>
                <w:i/>
                <w:iCs/>
                <w:color w:val="000000"/>
                <w:sz w:val="18"/>
                <w:szCs w:val="18"/>
              </w:rPr>
              <w:t>a</w:t>
            </w:r>
            <w:r w:rsidRPr="0016385E">
              <w:rPr>
                <w:i/>
                <w:iCs/>
                <w:color w:val="000000"/>
                <w:sz w:val="18"/>
                <w:szCs w:val="18"/>
              </w:rPr>
              <w:t>nnual</w:t>
            </w:r>
          </w:p>
        </w:tc>
        <w:tc>
          <w:tcPr>
            <w:tcW w:w="729" w:type="pct"/>
            <w:vMerge/>
          </w:tcPr>
          <w:p w14:paraId="1B91644E" w14:textId="77777777" w:rsidR="00F73C9E" w:rsidRPr="0016385E" w:rsidRDefault="00F73C9E" w:rsidP="00177A8E">
            <w:pPr>
              <w:rPr>
                <w:i/>
                <w:iCs/>
                <w:color w:val="000000"/>
                <w:sz w:val="18"/>
                <w:szCs w:val="18"/>
              </w:rPr>
            </w:pPr>
          </w:p>
        </w:tc>
        <w:tc>
          <w:tcPr>
            <w:tcW w:w="496" w:type="pct"/>
            <w:vMerge/>
            <w:tcMar>
              <w:top w:w="15" w:type="dxa"/>
              <w:left w:w="108" w:type="dxa"/>
              <w:bottom w:w="0" w:type="dxa"/>
              <w:right w:w="108" w:type="dxa"/>
            </w:tcMar>
          </w:tcPr>
          <w:p w14:paraId="33C1B81D" w14:textId="77777777" w:rsidR="00F73C9E" w:rsidRPr="0016385E" w:rsidRDefault="00F73C9E" w:rsidP="00177A8E">
            <w:pPr>
              <w:rPr>
                <w:b/>
                <w:color w:val="000000"/>
                <w:sz w:val="18"/>
                <w:szCs w:val="18"/>
              </w:rPr>
            </w:pPr>
          </w:p>
        </w:tc>
      </w:tr>
      <w:tr w:rsidR="00F73C9E" w:rsidRPr="0016385E" w14:paraId="318BE015" w14:textId="77777777" w:rsidTr="00882056">
        <w:tc>
          <w:tcPr>
            <w:tcW w:w="1093" w:type="pct"/>
            <w:tcMar>
              <w:top w:w="72" w:type="dxa"/>
              <w:left w:w="144" w:type="dxa"/>
              <w:bottom w:w="72" w:type="dxa"/>
              <w:right w:w="144" w:type="dxa"/>
            </w:tcMar>
          </w:tcPr>
          <w:p w14:paraId="7BFB50CC" w14:textId="535453C8" w:rsidR="00F73C9E" w:rsidRPr="00882056" w:rsidRDefault="00F73C9E" w:rsidP="00490FB7">
            <w:pPr>
              <w:rPr>
                <w:b/>
                <w:bCs/>
                <w:sz w:val="18"/>
                <w:szCs w:val="18"/>
              </w:rPr>
            </w:pPr>
            <w:r w:rsidRPr="00882056">
              <w:rPr>
                <w:b/>
                <w:bCs/>
                <w:sz w:val="18"/>
                <w:szCs w:val="18"/>
              </w:rPr>
              <w:t>Indicator 1.5</w:t>
            </w:r>
            <w:r w:rsidR="00171B5E" w:rsidRPr="00882056">
              <w:rPr>
                <w:b/>
                <w:bCs/>
                <w:sz w:val="18"/>
                <w:szCs w:val="18"/>
              </w:rPr>
              <w:t>.</w:t>
            </w:r>
            <w:r w:rsidRPr="00882056">
              <w:rPr>
                <w:b/>
                <w:bCs/>
                <w:sz w:val="18"/>
                <w:szCs w:val="18"/>
              </w:rPr>
              <w:t xml:space="preserve"> Proportion of environmental crimes/offenses treated and sanctioned </w:t>
            </w:r>
            <w:r w:rsidR="009A47AA" w:rsidRPr="00882056">
              <w:rPr>
                <w:b/>
                <w:bCs/>
                <w:sz w:val="18"/>
                <w:szCs w:val="18"/>
              </w:rPr>
              <w:t xml:space="preserve">in line with regulatory </w:t>
            </w:r>
            <w:r w:rsidRPr="00882056">
              <w:rPr>
                <w:b/>
                <w:bCs/>
                <w:sz w:val="18"/>
                <w:szCs w:val="18"/>
              </w:rPr>
              <w:t>texts (trafficking in protected species, pollution, corruption, grabbing of natural resources, forest fires and land clearing) compared to crimes/offenses reported</w:t>
            </w:r>
          </w:p>
          <w:p w14:paraId="7357A348" w14:textId="4F903354" w:rsidR="00F73C9E" w:rsidRPr="00882056" w:rsidRDefault="00F73C9E" w:rsidP="00490FB7">
            <w:pPr>
              <w:rPr>
                <w:sz w:val="18"/>
                <w:szCs w:val="18"/>
              </w:rPr>
            </w:pPr>
            <w:r w:rsidRPr="00882056">
              <w:rPr>
                <w:sz w:val="18"/>
                <w:szCs w:val="18"/>
              </w:rPr>
              <w:t>Baseline (202</w:t>
            </w:r>
            <w:r w:rsidR="005269B0" w:rsidRPr="00882056">
              <w:rPr>
                <w:sz w:val="18"/>
                <w:szCs w:val="18"/>
              </w:rPr>
              <w:t>1</w:t>
            </w:r>
            <w:r w:rsidRPr="00882056">
              <w:rPr>
                <w:sz w:val="18"/>
                <w:szCs w:val="18"/>
              </w:rPr>
              <w:t xml:space="preserve">): </w:t>
            </w:r>
            <w:r w:rsidR="005269B0" w:rsidRPr="00882056">
              <w:rPr>
                <w:sz w:val="18"/>
                <w:szCs w:val="18"/>
              </w:rPr>
              <w:t>TBD</w:t>
            </w:r>
          </w:p>
          <w:p w14:paraId="0420070F" w14:textId="0B8F4C43" w:rsidR="00F73C9E" w:rsidRPr="00882056" w:rsidRDefault="00F73C9E" w:rsidP="00490FB7">
            <w:pPr>
              <w:rPr>
                <w:sz w:val="18"/>
                <w:szCs w:val="18"/>
              </w:rPr>
            </w:pPr>
            <w:r w:rsidRPr="00882056">
              <w:rPr>
                <w:sz w:val="18"/>
                <w:szCs w:val="18"/>
              </w:rPr>
              <w:t>Target (2023): Baseline +</w:t>
            </w:r>
            <w:r w:rsidR="001D797D" w:rsidRPr="00882056">
              <w:rPr>
                <w:sz w:val="18"/>
                <w:szCs w:val="18"/>
              </w:rPr>
              <w:t>25</w:t>
            </w:r>
            <w:r w:rsidRPr="00882056">
              <w:rPr>
                <w:sz w:val="18"/>
                <w:szCs w:val="18"/>
              </w:rPr>
              <w:t>%</w:t>
            </w:r>
          </w:p>
          <w:p w14:paraId="0CEA2F37" w14:textId="77777777" w:rsidR="00F73C9E" w:rsidRPr="00882056" w:rsidRDefault="00F73C9E" w:rsidP="007D142D">
            <w:pPr>
              <w:rPr>
                <w:i/>
                <w:iCs/>
                <w:color w:val="000000"/>
                <w:sz w:val="18"/>
                <w:szCs w:val="18"/>
              </w:rPr>
            </w:pPr>
          </w:p>
        </w:tc>
        <w:tc>
          <w:tcPr>
            <w:tcW w:w="828" w:type="pct"/>
          </w:tcPr>
          <w:p w14:paraId="0F21F9AB" w14:textId="77777777" w:rsidR="00F73C9E" w:rsidRPr="0016385E" w:rsidRDefault="00F73C9E" w:rsidP="00177A8E">
            <w:pPr>
              <w:rPr>
                <w:i/>
                <w:iCs/>
                <w:color w:val="000000"/>
                <w:sz w:val="18"/>
                <w:szCs w:val="18"/>
              </w:rPr>
            </w:pPr>
          </w:p>
        </w:tc>
        <w:tc>
          <w:tcPr>
            <w:tcW w:w="1854" w:type="pct"/>
            <w:tcMar>
              <w:top w:w="72" w:type="dxa"/>
              <w:left w:w="144" w:type="dxa"/>
              <w:bottom w:w="72" w:type="dxa"/>
              <w:right w:w="144" w:type="dxa"/>
            </w:tcMar>
          </w:tcPr>
          <w:p w14:paraId="64F01684" w14:textId="6EAB6561" w:rsidR="004C77D3" w:rsidRPr="0016385E" w:rsidRDefault="00F73C9E" w:rsidP="00490FB7">
            <w:pPr>
              <w:rPr>
                <w:b/>
                <w:bCs/>
                <w:color w:val="000000"/>
                <w:sz w:val="18"/>
                <w:szCs w:val="18"/>
              </w:rPr>
            </w:pPr>
            <w:r w:rsidRPr="0016385E">
              <w:rPr>
                <w:b/>
                <w:bCs/>
                <w:color w:val="000000"/>
                <w:sz w:val="18"/>
                <w:szCs w:val="18"/>
              </w:rPr>
              <w:t>Output 1.</w:t>
            </w:r>
            <w:r w:rsidR="00E75714" w:rsidRPr="0016385E">
              <w:rPr>
                <w:b/>
                <w:bCs/>
                <w:color w:val="000000"/>
                <w:sz w:val="18"/>
                <w:szCs w:val="18"/>
              </w:rPr>
              <w:t>4</w:t>
            </w:r>
            <w:r w:rsidR="00A364FD" w:rsidRPr="0016385E">
              <w:rPr>
                <w:b/>
                <w:bCs/>
                <w:color w:val="000000"/>
                <w:sz w:val="18"/>
                <w:szCs w:val="18"/>
              </w:rPr>
              <w:t>.</w:t>
            </w:r>
            <w:r w:rsidR="00DF47D9" w:rsidRPr="0016385E">
              <w:rPr>
                <w:b/>
                <w:bCs/>
                <w:color w:val="000000"/>
                <w:sz w:val="18"/>
                <w:szCs w:val="18"/>
              </w:rPr>
              <w:t xml:space="preserve"> </w:t>
            </w:r>
            <w:r w:rsidR="0077649A" w:rsidRPr="0016385E">
              <w:rPr>
                <w:b/>
                <w:bCs/>
                <w:color w:val="000000"/>
                <w:sz w:val="18"/>
                <w:szCs w:val="18"/>
              </w:rPr>
              <w:t xml:space="preserve">Key </w:t>
            </w:r>
            <w:r w:rsidR="00A364FD" w:rsidRPr="0016385E">
              <w:rPr>
                <w:b/>
                <w:bCs/>
                <w:color w:val="000000"/>
                <w:sz w:val="18"/>
                <w:szCs w:val="18"/>
              </w:rPr>
              <w:t>a</w:t>
            </w:r>
            <w:r w:rsidR="00DF47D9" w:rsidRPr="0016385E">
              <w:rPr>
                <w:b/>
                <w:bCs/>
                <w:color w:val="000000"/>
                <w:sz w:val="18"/>
                <w:szCs w:val="18"/>
              </w:rPr>
              <w:t xml:space="preserve">ctors in the justice and security system, CSOs and communities have increased capacities to apply and enforce the </w:t>
            </w:r>
            <w:r w:rsidR="00545AFA" w:rsidRPr="0016385E">
              <w:rPr>
                <w:b/>
                <w:bCs/>
                <w:color w:val="000000"/>
                <w:sz w:val="18"/>
                <w:szCs w:val="18"/>
              </w:rPr>
              <w:t>law</w:t>
            </w:r>
            <w:r w:rsidR="00DF47D9" w:rsidRPr="0016385E">
              <w:rPr>
                <w:b/>
                <w:bCs/>
                <w:color w:val="000000"/>
                <w:sz w:val="18"/>
                <w:szCs w:val="18"/>
              </w:rPr>
              <w:t xml:space="preserve"> for the sustainable management of natural resources and the environment</w:t>
            </w:r>
          </w:p>
          <w:p w14:paraId="3DBB6618" w14:textId="52B1DD25" w:rsidR="004C77D3" w:rsidRPr="0016385E" w:rsidRDefault="0077649A" w:rsidP="00490FB7">
            <w:pPr>
              <w:rPr>
                <w:color w:val="000000"/>
                <w:sz w:val="18"/>
                <w:szCs w:val="18"/>
              </w:rPr>
            </w:pPr>
            <w:r w:rsidRPr="0016385E">
              <w:rPr>
                <w:b/>
                <w:bCs/>
                <w:color w:val="000000"/>
                <w:sz w:val="18"/>
                <w:szCs w:val="18"/>
              </w:rPr>
              <w:t>Indicator 1.</w:t>
            </w:r>
            <w:r w:rsidR="00E75714" w:rsidRPr="0016385E">
              <w:rPr>
                <w:b/>
                <w:bCs/>
                <w:color w:val="000000"/>
                <w:sz w:val="18"/>
                <w:szCs w:val="18"/>
              </w:rPr>
              <w:t>4</w:t>
            </w:r>
            <w:r w:rsidRPr="0016385E">
              <w:rPr>
                <w:b/>
                <w:bCs/>
                <w:color w:val="000000"/>
                <w:sz w:val="18"/>
                <w:szCs w:val="18"/>
              </w:rPr>
              <w:t>.1</w:t>
            </w:r>
            <w:r w:rsidR="00A364FD" w:rsidRPr="0016385E">
              <w:rPr>
                <w:b/>
                <w:bCs/>
                <w:color w:val="000000"/>
                <w:sz w:val="18"/>
                <w:szCs w:val="18"/>
              </w:rPr>
              <w:t>.</w:t>
            </w:r>
            <w:r w:rsidRPr="0016385E">
              <w:rPr>
                <w:b/>
                <w:bCs/>
                <w:color w:val="000000"/>
                <w:sz w:val="18"/>
                <w:szCs w:val="18"/>
              </w:rPr>
              <w:t xml:space="preserve"> </w:t>
            </w:r>
            <w:r w:rsidR="00A53141" w:rsidRPr="0016385E">
              <w:rPr>
                <w:color w:val="000000"/>
                <w:sz w:val="18"/>
                <w:szCs w:val="18"/>
              </w:rPr>
              <w:t>Number of regulatory texts on climate</w:t>
            </w:r>
            <w:r w:rsidR="00027BDD" w:rsidRPr="0016385E">
              <w:rPr>
                <w:color w:val="000000"/>
                <w:sz w:val="18"/>
                <w:szCs w:val="18"/>
              </w:rPr>
              <w:t xml:space="preserve"> change and dis</w:t>
            </w:r>
            <w:r w:rsidR="00821B67" w:rsidRPr="0016385E">
              <w:rPr>
                <w:color w:val="000000"/>
                <w:sz w:val="18"/>
                <w:szCs w:val="18"/>
              </w:rPr>
              <w:t>aster risk</w:t>
            </w:r>
            <w:r w:rsidR="00A53141" w:rsidRPr="0016385E">
              <w:rPr>
                <w:color w:val="000000"/>
                <w:sz w:val="18"/>
                <w:szCs w:val="18"/>
              </w:rPr>
              <w:t xml:space="preserve"> management</w:t>
            </w:r>
            <w:r w:rsidR="00774576" w:rsidRPr="0016385E">
              <w:rPr>
                <w:color w:val="000000"/>
                <w:sz w:val="18"/>
                <w:szCs w:val="18"/>
              </w:rPr>
              <w:t xml:space="preserve"> updated</w:t>
            </w:r>
          </w:p>
          <w:p w14:paraId="298909C9" w14:textId="77777777" w:rsidR="000F2273" w:rsidRPr="0016385E" w:rsidRDefault="000F2273" w:rsidP="000F2273">
            <w:pPr>
              <w:rPr>
                <w:color w:val="000000"/>
                <w:sz w:val="18"/>
                <w:szCs w:val="18"/>
              </w:rPr>
            </w:pPr>
            <w:r w:rsidRPr="0016385E">
              <w:rPr>
                <w:color w:val="000000"/>
                <w:sz w:val="18"/>
                <w:szCs w:val="18"/>
              </w:rPr>
              <w:t>Baseline (2021):0</w:t>
            </w:r>
          </w:p>
          <w:p w14:paraId="09491EFE" w14:textId="05D6BD53" w:rsidR="000F2273" w:rsidRPr="0016385E" w:rsidRDefault="000F2273" w:rsidP="000F2273">
            <w:pPr>
              <w:rPr>
                <w:color w:val="000000"/>
                <w:sz w:val="18"/>
                <w:szCs w:val="18"/>
              </w:rPr>
            </w:pPr>
            <w:r w:rsidRPr="0016385E">
              <w:rPr>
                <w:color w:val="000000"/>
                <w:sz w:val="18"/>
                <w:szCs w:val="18"/>
              </w:rPr>
              <w:t>Target (2023):</w:t>
            </w:r>
            <w:r w:rsidR="00127361" w:rsidRPr="0016385E">
              <w:rPr>
                <w:color w:val="000000"/>
                <w:sz w:val="18"/>
                <w:szCs w:val="18"/>
              </w:rPr>
              <w:t>1</w:t>
            </w:r>
            <w:r w:rsidRPr="0016385E">
              <w:rPr>
                <w:color w:val="000000"/>
                <w:sz w:val="18"/>
                <w:szCs w:val="18"/>
              </w:rPr>
              <w:t xml:space="preserve"> (Water Code implementation decrees integrating climate change and disaster risk management)</w:t>
            </w:r>
          </w:p>
          <w:p w14:paraId="5536A7E0" w14:textId="098B2821" w:rsidR="000F2273" w:rsidRPr="0016385E" w:rsidRDefault="000F2273" w:rsidP="000F2273">
            <w:pPr>
              <w:rPr>
                <w:i/>
                <w:iCs/>
                <w:color w:val="000000"/>
                <w:sz w:val="18"/>
                <w:szCs w:val="18"/>
              </w:rPr>
            </w:pPr>
            <w:r w:rsidRPr="0016385E">
              <w:rPr>
                <w:i/>
                <w:iCs/>
                <w:color w:val="000000"/>
                <w:sz w:val="18"/>
                <w:szCs w:val="18"/>
              </w:rPr>
              <w:t>Data source:</w:t>
            </w:r>
            <w:r w:rsidRPr="0016385E">
              <w:rPr>
                <w:sz w:val="18"/>
                <w:szCs w:val="18"/>
              </w:rPr>
              <w:t xml:space="preserve"> </w:t>
            </w:r>
            <w:r w:rsidRPr="0016385E">
              <w:rPr>
                <w:i/>
                <w:iCs/>
                <w:color w:val="000000"/>
                <w:sz w:val="18"/>
                <w:szCs w:val="18"/>
              </w:rPr>
              <w:t xml:space="preserve">Ministry of Water, Sanitation </w:t>
            </w:r>
            <w:r w:rsidR="00A364FD" w:rsidRPr="0016385E">
              <w:rPr>
                <w:i/>
                <w:iCs/>
                <w:color w:val="000000"/>
                <w:sz w:val="18"/>
                <w:szCs w:val="18"/>
              </w:rPr>
              <w:t>and</w:t>
            </w:r>
            <w:r w:rsidRPr="0016385E">
              <w:rPr>
                <w:i/>
                <w:iCs/>
                <w:color w:val="000000"/>
                <w:sz w:val="18"/>
                <w:szCs w:val="18"/>
              </w:rPr>
              <w:t xml:space="preserve"> Hygiene</w:t>
            </w:r>
            <w:r w:rsidR="0091002A">
              <w:rPr>
                <w:i/>
                <w:iCs/>
                <w:color w:val="000000"/>
                <w:sz w:val="18"/>
                <w:szCs w:val="18"/>
              </w:rPr>
              <w:t xml:space="preserve"> reports</w:t>
            </w:r>
            <w:r w:rsidRPr="0016385E">
              <w:rPr>
                <w:i/>
                <w:iCs/>
                <w:color w:val="000000"/>
                <w:sz w:val="18"/>
                <w:szCs w:val="18"/>
              </w:rPr>
              <w:t xml:space="preserve">; Frequency: </w:t>
            </w:r>
            <w:r w:rsidR="00A364FD" w:rsidRPr="0016385E">
              <w:rPr>
                <w:i/>
                <w:iCs/>
                <w:color w:val="000000"/>
                <w:sz w:val="18"/>
                <w:szCs w:val="18"/>
              </w:rPr>
              <w:t>a</w:t>
            </w:r>
            <w:r w:rsidRPr="0016385E">
              <w:rPr>
                <w:i/>
                <w:iCs/>
                <w:color w:val="000000"/>
                <w:sz w:val="18"/>
                <w:szCs w:val="18"/>
              </w:rPr>
              <w:t>nnual</w:t>
            </w:r>
          </w:p>
          <w:p w14:paraId="40962C28" w14:textId="404CBAAA" w:rsidR="002F7A69" w:rsidRPr="0016385E" w:rsidRDefault="00556887" w:rsidP="002F7A69">
            <w:pPr>
              <w:rPr>
                <w:color w:val="000000"/>
                <w:sz w:val="18"/>
                <w:szCs w:val="18"/>
              </w:rPr>
            </w:pPr>
            <w:r w:rsidRPr="0016385E">
              <w:rPr>
                <w:b/>
                <w:bCs/>
                <w:color w:val="000000"/>
                <w:sz w:val="18"/>
                <w:szCs w:val="18"/>
              </w:rPr>
              <w:t xml:space="preserve">Indicator </w:t>
            </w:r>
            <w:r w:rsidR="00E94C0E" w:rsidRPr="0016385E">
              <w:rPr>
                <w:b/>
                <w:bCs/>
                <w:color w:val="000000"/>
                <w:sz w:val="18"/>
                <w:szCs w:val="18"/>
              </w:rPr>
              <w:t>1.</w:t>
            </w:r>
            <w:r w:rsidR="00E75714" w:rsidRPr="0016385E">
              <w:rPr>
                <w:b/>
                <w:bCs/>
                <w:color w:val="000000"/>
                <w:sz w:val="18"/>
                <w:szCs w:val="18"/>
              </w:rPr>
              <w:t>4</w:t>
            </w:r>
            <w:r w:rsidR="00C510A3" w:rsidRPr="0016385E">
              <w:rPr>
                <w:b/>
                <w:bCs/>
                <w:color w:val="000000"/>
                <w:sz w:val="18"/>
                <w:szCs w:val="18"/>
              </w:rPr>
              <w:t>.</w:t>
            </w:r>
            <w:r w:rsidR="00F053B5" w:rsidRPr="0016385E">
              <w:rPr>
                <w:b/>
                <w:bCs/>
                <w:color w:val="000000"/>
                <w:sz w:val="18"/>
                <w:szCs w:val="18"/>
              </w:rPr>
              <w:t>2</w:t>
            </w:r>
            <w:r w:rsidR="00A364FD" w:rsidRPr="0016385E">
              <w:rPr>
                <w:b/>
                <w:bCs/>
                <w:color w:val="000000"/>
                <w:sz w:val="18"/>
                <w:szCs w:val="18"/>
              </w:rPr>
              <w:t>.</w:t>
            </w:r>
            <w:r w:rsidR="00C510A3" w:rsidRPr="0016385E">
              <w:rPr>
                <w:color w:val="000000"/>
                <w:sz w:val="18"/>
                <w:szCs w:val="18"/>
              </w:rPr>
              <w:t xml:space="preserve"> </w:t>
            </w:r>
            <w:r w:rsidR="00174A81" w:rsidRPr="0016385E">
              <w:rPr>
                <w:color w:val="000000"/>
                <w:sz w:val="18"/>
                <w:szCs w:val="18"/>
              </w:rPr>
              <w:t xml:space="preserve">Extent to which </w:t>
            </w:r>
            <w:r w:rsidR="00A4171F" w:rsidRPr="0016385E">
              <w:rPr>
                <w:color w:val="000000"/>
                <w:sz w:val="18"/>
                <w:szCs w:val="18"/>
              </w:rPr>
              <w:t xml:space="preserve">new </w:t>
            </w:r>
            <w:r w:rsidR="00174A81" w:rsidRPr="0016385E">
              <w:rPr>
                <w:color w:val="000000"/>
                <w:sz w:val="18"/>
                <w:szCs w:val="18"/>
              </w:rPr>
              <w:t xml:space="preserve">key </w:t>
            </w:r>
            <w:r w:rsidR="00A364FD" w:rsidRPr="0016385E">
              <w:rPr>
                <w:color w:val="000000"/>
                <w:sz w:val="18"/>
                <w:szCs w:val="18"/>
              </w:rPr>
              <w:t>a</w:t>
            </w:r>
            <w:r w:rsidR="00174A81" w:rsidRPr="0016385E">
              <w:rPr>
                <w:color w:val="000000"/>
                <w:sz w:val="18"/>
                <w:szCs w:val="18"/>
              </w:rPr>
              <w:t xml:space="preserve">ctors (Justice, </w:t>
            </w:r>
            <w:r w:rsidR="00D164E6" w:rsidRPr="0016385E">
              <w:rPr>
                <w:color w:val="000000"/>
                <w:sz w:val="18"/>
                <w:szCs w:val="18"/>
              </w:rPr>
              <w:t>D</w:t>
            </w:r>
            <w:r w:rsidR="00174A81" w:rsidRPr="0016385E">
              <w:rPr>
                <w:color w:val="000000"/>
                <w:sz w:val="18"/>
                <w:szCs w:val="18"/>
              </w:rPr>
              <w:t xml:space="preserve">efence Force, CSOs, </w:t>
            </w:r>
            <w:r w:rsidR="00A364FD" w:rsidRPr="0016385E">
              <w:rPr>
                <w:color w:val="000000"/>
                <w:sz w:val="18"/>
                <w:szCs w:val="18"/>
              </w:rPr>
              <w:t>c</w:t>
            </w:r>
            <w:r w:rsidR="00174A81" w:rsidRPr="0016385E">
              <w:rPr>
                <w:color w:val="000000"/>
                <w:sz w:val="18"/>
                <w:szCs w:val="18"/>
              </w:rPr>
              <w:t>ommunities)</w:t>
            </w:r>
            <w:r w:rsidR="003458D8" w:rsidRPr="0016385E">
              <w:rPr>
                <w:color w:val="000000"/>
                <w:sz w:val="18"/>
                <w:szCs w:val="18"/>
              </w:rPr>
              <w:t xml:space="preserve"> have capacities </w:t>
            </w:r>
            <w:r w:rsidR="00C74572" w:rsidRPr="0016385E">
              <w:rPr>
                <w:color w:val="000000"/>
                <w:sz w:val="18"/>
                <w:szCs w:val="18"/>
              </w:rPr>
              <w:t xml:space="preserve">strengthened </w:t>
            </w:r>
            <w:r w:rsidR="003458D8" w:rsidRPr="0016385E">
              <w:rPr>
                <w:color w:val="000000"/>
                <w:sz w:val="18"/>
                <w:szCs w:val="18"/>
              </w:rPr>
              <w:t>on environmental regulatory texts</w:t>
            </w:r>
            <w:r w:rsidR="00A364FD" w:rsidRPr="0016385E">
              <w:rPr>
                <w:color w:val="000000"/>
                <w:sz w:val="18"/>
                <w:szCs w:val="18"/>
              </w:rPr>
              <w:t xml:space="preserve"> </w:t>
            </w:r>
            <w:r w:rsidR="003458D8" w:rsidRPr="0016385E">
              <w:rPr>
                <w:color w:val="000000"/>
                <w:sz w:val="18"/>
                <w:szCs w:val="18"/>
              </w:rPr>
              <w:t>and law enforcement</w:t>
            </w:r>
            <w:r w:rsidR="002F7A69" w:rsidRPr="0016385E">
              <w:rPr>
                <w:color w:val="000000"/>
                <w:sz w:val="18"/>
                <w:szCs w:val="18"/>
              </w:rPr>
              <w:t xml:space="preserve"> (Rating: 1=weak; </w:t>
            </w:r>
            <w:r w:rsidR="00A364FD" w:rsidRPr="0016385E">
              <w:rPr>
                <w:color w:val="000000"/>
                <w:sz w:val="18"/>
                <w:szCs w:val="18"/>
              </w:rPr>
              <w:t>2=fairly good; 3=good; 4=very good; 5=excellent</w:t>
            </w:r>
            <w:r w:rsidR="002F7A69" w:rsidRPr="0016385E">
              <w:rPr>
                <w:color w:val="000000"/>
                <w:sz w:val="18"/>
                <w:szCs w:val="18"/>
              </w:rPr>
              <w:t>).</w:t>
            </w:r>
          </w:p>
          <w:p w14:paraId="5C28D8DD" w14:textId="5BD82B94" w:rsidR="002F7A69" w:rsidRPr="0016385E" w:rsidRDefault="002F7A69" w:rsidP="002F7A69">
            <w:pPr>
              <w:rPr>
                <w:color w:val="000000"/>
                <w:sz w:val="18"/>
                <w:szCs w:val="18"/>
              </w:rPr>
            </w:pPr>
            <w:r w:rsidRPr="0016385E">
              <w:rPr>
                <w:color w:val="000000"/>
                <w:sz w:val="18"/>
                <w:szCs w:val="18"/>
              </w:rPr>
              <w:lastRenderedPageBreak/>
              <w:t xml:space="preserve">Baseline (2021): </w:t>
            </w:r>
            <w:r w:rsidR="00C74572" w:rsidRPr="0016385E">
              <w:rPr>
                <w:color w:val="000000"/>
                <w:sz w:val="18"/>
                <w:szCs w:val="18"/>
              </w:rPr>
              <w:t>TBD</w:t>
            </w:r>
          </w:p>
          <w:p w14:paraId="729CF8D0" w14:textId="5AA1D57C" w:rsidR="000B4C69" w:rsidRPr="0016385E" w:rsidRDefault="002F7A69" w:rsidP="000B4C69">
            <w:pPr>
              <w:rPr>
                <w:color w:val="000000"/>
                <w:sz w:val="18"/>
                <w:szCs w:val="18"/>
              </w:rPr>
            </w:pPr>
            <w:r w:rsidRPr="0016385E">
              <w:rPr>
                <w:color w:val="000000"/>
                <w:sz w:val="18"/>
                <w:szCs w:val="18"/>
              </w:rPr>
              <w:t xml:space="preserve">Target (2023): </w:t>
            </w:r>
            <w:r w:rsidR="00C74572" w:rsidRPr="0016385E">
              <w:rPr>
                <w:color w:val="000000"/>
                <w:sz w:val="18"/>
                <w:szCs w:val="18"/>
              </w:rPr>
              <w:t>B</w:t>
            </w:r>
            <w:r w:rsidRPr="0016385E">
              <w:rPr>
                <w:color w:val="000000"/>
                <w:sz w:val="18"/>
                <w:szCs w:val="18"/>
              </w:rPr>
              <w:t>aseline +1</w:t>
            </w:r>
          </w:p>
          <w:p w14:paraId="2573E0CD" w14:textId="1D636269" w:rsidR="000D7AD3" w:rsidRPr="0016385E" w:rsidRDefault="000B4C69" w:rsidP="00174A81">
            <w:pPr>
              <w:rPr>
                <w:color w:val="000000"/>
                <w:sz w:val="18"/>
                <w:szCs w:val="18"/>
              </w:rPr>
            </w:pPr>
            <w:r w:rsidRPr="0016385E">
              <w:rPr>
                <w:i/>
                <w:iCs/>
                <w:color w:val="000000"/>
                <w:sz w:val="18"/>
                <w:szCs w:val="18"/>
              </w:rPr>
              <w:t xml:space="preserve">Data </w:t>
            </w:r>
            <w:r w:rsidR="00922987" w:rsidRPr="0016385E">
              <w:rPr>
                <w:i/>
                <w:iCs/>
                <w:color w:val="000000"/>
                <w:sz w:val="18"/>
                <w:szCs w:val="18"/>
              </w:rPr>
              <w:t>s</w:t>
            </w:r>
            <w:r w:rsidRPr="0016385E">
              <w:rPr>
                <w:i/>
                <w:iCs/>
                <w:color w:val="000000"/>
                <w:sz w:val="18"/>
                <w:szCs w:val="18"/>
              </w:rPr>
              <w:t xml:space="preserve">ource: MEDD </w:t>
            </w:r>
            <w:r w:rsidR="00922987" w:rsidRPr="0016385E">
              <w:rPr>
                <w:i/>
                <w:iCs/>
                <w:color w:val="000000"/>
                <w:sz w:val="18"/>
                <w:szCs w:val="18"/>
              </w:rPr>
              <w:t>r</w:t>
            </w:r>
            <w:r w:rsidRPr="0016385E">
              <w:rPr>
                <w:i/>
                <w:iCs/>
                <w:color w:val="000000"/>
                <w:sz w:val="18"/>
                <w:szCs w:val="18"/>
              </w:rPr>
              <w:t xml:space="preserve">eports; Frequency: </w:t>
            </w:r>
            <w:r w:rsidR="00922987" w:rsidRPr="0016385E">
              <w:rPr>
                <w:i/>
                <w:iCs/>
                <w:color w:val="000000"/>
                <w:sz w:val="18"/>
                <w:szCs w:val="18"/>
              </w:rPr>
              <w:t>a</w:t>
            </w:r>
            <w:r w:rsidRPr="0016385E">
              <w:rPr>
                <w:i/>
                <w:iCs/>
                <w:color w:val="000000"/>
                <w:sz w:val="18"/>
                <w:szCs w:val="18"/>
              </w:rPr>
              <w:t>nnual</w:t>
            </w:r>
          </w:p>
        </w:tc>
        <w:tc>
          <w:tcPr>
            <w:tcW w:w="729" w:type="pct"/>
            <w:vMerge/>
          </w:tcPr>
          <w:p w14:paraId="6983DD7B" w14:textId="77777777" w:rsidR="00F73C9E" w:rsidRPr="0016385E" w:rsidRDefault="00F73C9E" w:rsidP="00177A8E">
            <w:pPr>
              <w:rPr>
                <w:i/>
                <w:iCs/>
                <w:color w:val="000000"/>
                <w:sz w:val="18"/>
                <w:szCs w:val="18"/>
              </w:rPr>
            </w:pPr>
          </w:p>
        </w:tc>
        <w:tc>
          <w:tcPr>
            <w:tcW w:w="496" w:type="pct"/>
            <w:vMerge/>
            <w:tcMar>
              <w:top w:w="15" w:type="dxa"/>
              <w:left w:w="108" w:type="dxa"/>
              <w:bottom w:w="0" w:type="dxa"/>
              <w:right w:w="108" w:type="dxa"/>
            </w:tcMar>
          </w:tcPr>
          <w:p w14:paraId="02D49CB1" w14:textId="77777777" w:rsidR="00F73C9E" w:rsidRPr="0016385E" w:rsidRDefault="00F73C9E" w:rsidP="00177A8E">
            <w:pPr>
              <w:rPr>
                <w:b/>
                <w:color w:val="000000"/>
                <w:sz w:val="18"/>
                <w:szCs w:val="18"/>
              </w:rPr>
            </w:pPr>
          </w:p>
        </w:tc>
      </w:tr>
      <w:tr w:rsidR="00AC58F6" w:rsidRPr="0016385E" w14:paraId="191306F0" w14:textId="77777777" w:rsidTr="002D535B">
        <w:tc>
          <w:tcPr>
            <w:tcW w:w="5000" w:type="pct"/>
            <w:gridSpan w:val="5"/>
            <w:shd w:val="clear" w:color="auto" w:fill="D9E2F3" w:themeFill="accent1" w:themeFillTint="33"/>
            <w:tcMar>
              <w:top w:w="72" w:type="dxa"/>
              <w:left w:w="144" w:type="dxa"/>
              <w:bottom w:w="72" w:type="dxa"/>
              <w:right w:w="144" w:type="dxa"/>
            </w:tcMar>
          </w:tcPr>
          <w:p w14:paraId="0647A7DB" w14:textId="42F5AEC4" w:rsidR="00A212AC" w:rsidRPr="0016385E" w:rsidRDefault="00713CD4" w:rsidP="00177A8E">
            <w:pPr>
              <w:rPr>
                <w:b/>
                <w:bCs/>
                <w:color w:val="000000"/>
                <w:sz w:val="18"/>
                <w:szCs w:val="18"/>
              </w:rPr>
            </w:pPr>
            <w:r w:rsidRPr="0016385E">
              <w:rPr>
                <w:b/>
                <w:bCs/>
                <w:color w:val="000000"/>
                <w:sz w:val="18"/>
                <w:szCs w:val="18"/>
              </w:rPr>
              <w:t>National priority: Madagascar Emergence Plan</w:t>
            </w:r>
          </w:p>
          <w:p w14:paraId="2C1ABEB6" w14:textId="2D3FF3E3" w:rsidR="00AC58F6" w:rsidRPr="0016385E" w:rsidRDefault="00D62C45" w:rsidP="00713CD4">
            <w:pPr>
              <w:rPr>
                <w:b/>
                <w:bCs/>
                <w:color w:val="000000"/>
                <w:sz w:val="18"/>
                <w:szCs w:val="18"/>
              </w:rPr>
            </w:pPr>
            <w:r w:rsidRPr="0016385E">
              <w:rPr>
                <w:b/>
                <w:bCs/>
                <w:color w:val="000000"/>
                <w:sz w:val="18"/>
                <w:szCs w:val="18"/>
              </w:rPr>
              <w:t>Commitment</w:t>
            </w:r>
            <w:r w:rsidR="00DE1DCE" w:rsidRPr="0016385E">
              <w:rPr>
                <w:b/>
                <w:bCs/>
                <w:color w:val="000000"/>
                <w:sz w:val="18"/>
                <w:szCs w:val="18"/>
              </w:rPr>
              <w:t>s</w:t>
            </w:r>
            <w:r w:rsidR="00713CD4" w:rsidRPr="0016385E">
              <w:rPr>
                <w:b/>
                <w:bCs/>
                <w:color w:val="000000"/>
                <w:sz w:val="18"/>
                <w:szCs w:val="18"/>
              </w:rPr>
              <w:t>:</w:t>
            </w:r>
            <w:r w:rsidR="00D12D07" w:rsidRPr="0016385E">
              <w:rPr>
                <w:b/>
                <w:bCs/>
                <w:color w:val="000000"/>
                <w:sz w:val="18"/>
                <w:szCs w:val="18"/>
              </w:rPr>
              <w:t xml:space="preserve"> </w:t>
            </w:r>
            <w:r w:rsidR="00DE1DCE" w:rsidRPr="0016385E">
              <w:rPr>
                <w:b/>
                <w:bCs/>
                <w:color w:val="000000"/>
                <w:sz w:val="18"/>
                <w:szCs w:val="18"/>
              </w:rPr>
              <w:t>N°</w:t>
            </w:r>
            <w:r w:rsidR="00713CD4" w:rsidRPr="0016385E">
              <w:rPr>
                <w:b/>
                <w:bCs/>
                <w:color w:val="000000"/>
                <w:sz w:val="18"/>
                <w:szCs w:val="18"/>
              </w:rPr>
              <w:t xml:space="preserve"> </w:t>
            </w:r>
            <w:r w:rsidRPr="0016385E">
              <w:rPr>
                <w:b/>
                <w:bCs/>
                <w:color w:val="000000"/>
                <w:sz w:val="18"/>
                <w:szCs w:val="18"/>
              </w:rPr>
              <w:t>6</w:t>
            </w:r>
            <w:r w:rsidR="00713CD4" w:rsidRPr="0016385E">
              <w:rPr>
                <w:b/>
                <w:bCs/>
                <w:color w:val="000000"/>
                <w:sz w:val="18"/>
                <w:szCs w:val="18"/>
              </w:rPr>
              <w:t>.</w:t>
            </w:r>
            <w:r w:rsidRPr="0016385E">
              <w:rPr>
                <w:b/>
                <w:bCs/>
                <w:color w:val="000000"/>
                <w:sz w:val="18"/>
                <w:szCs w:val="18"/>
              </w:rPr>
              <w:t xml:space="preserve"> Decent employment for </w:t>
            </w:r>
            <w:r w:rsidR="00713CD4" w:rsidRPr="0016385E">
              <w:rPr>
                <w:b/>
                <w:bCs/>
                <w:color w:val="000000"/>
                <w:sz w:val="18"/>
                <w:szCs w:val="18"/>
              </w:rPr>
              <w:t>a</w:t>
            </w:r>
            <w:r w:rsidR="00941EB6" w:rsidRPr="0016385E">
              <w:rPr>
                <w:b/>
                <w:bCs/>
                <w:color w:val="000000"/>
                <w:sz w:val="18"/>
                <w:szCs w:val="18"/>
              </w:rPr>
              <w:t>ll;</w:t>
            </w:r>
            <w:r w:rsidR="00F00594" w:rsidRPr="0016385E">
              <w:rPr>
                <w:b/>
                <w:bCs/>
                <w:color w:val="000000"/>
                <w:sz w:val="18"/>
                <w:szCs w:val="18"/>
              </w:rPr>
              <w:t xml:space="preserve"> </w:t>
            </w:r>
            <w:r w:rsidR="00A212AC" w:rsidRPr="0016385E">
              <w:rPr>
                <w:b/>
                <w:sz w:val="18"/>
                <w:szCs w:val="18"/>
                <w:lang w:eastAsia="fr-FR"/>
              </w:rPr>
              <w:t>N</w:t>
            </w:r>
            <w:r w:rsidR="00DE1DCE" w:rsidRPr="0016385E">
              <w:rPr>
                <w:b/>
                <w:sz w:val="18"/>
                <w:szCs w:val="18"/>
                <w:lang w:eastAsia="fr-FR"/>
              </w:rPr>
              <w:t>°</w:t>
            </w:r>
            <w:r w:rsidR="00713CD4" w:rsidRPr="0016385E">
              <w:rPr>
                <w:b/>
                <w:sz w:val="18"/>
                <w:szCs w:val="18"/>
                <w:lang w:eastAsia="fr-FR"/>
              </w:rPr>
              <w:t xml:space="preserve"> </w:t>
            </w:r>
            <w:r w:rsidR="00A212AC" w:rsidRPr="0016385E">
              <w:rPr>
                <w:b/>
                <w:sz w:val="18"/>
                <w:szCs w:val="18"/>
                <w:lang w:eastAsia="fr-FR"/>
              </w:rPr>
              <w:t>10</w:t>
            </w:r>
            <w:r w:rsidR="00713CD4" w:rsidRPr="0016385E">
              <w:rPr>
                <w:b/>
                <w:sz w:val="18"/>
                <w:szCs w:val="18"/>
                <w:lang w:eastAsia="fr-FR"/>
              </w:rPr>
              <w:t>.</w:t>
            </w:r>
            <w:r w:rsidR="00A212AC" w:rsidRPr="0016385E">
              <w:rPr>
                <w:b/>
                <w:sz w:val="18"/>
                <w:szCs w:val="18"/>
                <w:lang w:eastAsia="fr-FR"/>
              </w:rPr>
              <w:t xml:space="preserve"> Green </w:t>
            </w:r>
            <w:r w:rsidR="00713CD4" w:rsidRPr="0016385E">
              <w:rPr>
                <w:b/>
                <w:sz w:val="18"/>
                <w:szCs w:val="18"/>
                <w:lang w:eastAsia="fr-FR"/>
              </w:rPr>
              <w:t>and b</w:t>
            </w:r>
            <w:r w:rsidR="00A212AC" w:rsidRPr="0016385E">
              <w:rPr>
                <w:b/>
                <w:sz w:val="18"/>
                <w:szCs w:val="18"/>
                <w:lang w:eastAsia="fr-FR"/>
              </w:rPr>
              <w:t xml:space="preserve">lue </w:t>
            </w:r>
            <w:r w:rsidR="00713CD4" w:rsidRPr="0016385E">
              <w:rPr>
                <w:b/>
                <w:sz w:val="18"/>
                <w:szCs w:val="18"/>
                <w:lang w:eastAsia="fr-FR"/>
              </w:rPr>
              <w:t>e</w:t>
            </w:r>
            <w:r w:rsidR="00A212AC" w:rsidRPr="0016385E">
              <w:rPr>
                <w:b/>
                <w:sz w:val="18"/>
                <w:szCs w:val="18"/>
                <w:lang w:eastAsia="fr-FR"/>
              </w:rPr>
              <w:t>conomy</w:t>
            </w:r>
          </w:p>
        </w:tc>
      </w:tr>
      <w:tr w:rsidR="00AC58F6" w:rsidRPr="0016385E" w14:paraId="6DCEFC80" w14:textId="77777777" w:rsidTr="002D535B">
        <w:tc>
          <w:tcPr>
            <w:tcW w:w="5000" w:type="pct"/>
            <w:gridSpan w:val="5"/>
            <w:shd w:val="clear" w:color="auto" w:fill="D9E2F3" w:themeFill="accent1" w:themeFillTint="33"/>
            <w:tcMar>
              <w:top w:w="72" w:type="dxa"/>
              <w:left w:w="144" w:type="dxa"/>
              <w:bottom w:w="72" w:type="dxa"/>
              <w:right w:w="144" w:type="dxa"/>
            </w:tcMar>
          </w:tcPr>
          <w:p w14:paraId="09FDEF38" w14:textId="0FDBC7B1" w:rsidR="00AC58F6" w:rsidRPr="0016385E" w:rsidRDefault="00941EB6" w:rsidP="00177A8E">
            <w:pPr>
              <w:rPr>
                <w:color w:val="000000"/>
                <w:sz w:val="18"/>
                <w:szCs w:val="18"/>
              </w:rPr>
            </w:pPr>
            <w:r w:rsidRPr="0016385E">
              <w:rPr>
                <w:b/>
                <w:bCs/>
                <w:color w:val="000000"/>
                <w:sz w:val="18"/>
                <w:szCs w:val="18"/>
              </w:rPr>
              <w:t xml:space="preserve">UNSDCF </w:t>
            </w:r>
            <w:r w:rsidR="0040738A" w:rsidRPr="0016385E">
              <w:rPr>
                <w:b/>
                <w:bCs/>
                <w:color w:val="000000"/>
                <w:sz w:val="18"/>
                <w:szCs w:val="18"/>
              </w:rPr>
              <w:t>OUTCOME</w:t>
            </w:r>
            <w:r w:rsidR="00713CD4" w:rsidRPr="0016385E">
              <w:rPr>
                <w:b/>
                <w:bCs/>
                <w:color w:val="000000"/>
                <w:sz w:val="18"/>
                <w:szCs w:val="18"/>
              </w:rPr>
              <w:t xml:space="preserve"> (3.3) involving </w:t>
            </w:r>
            <w:r w:rsidRPr="0016385E">
              <w:rPr>
                <w:b/>
                <w:bCs/>
                <w:color w:val="000000"/>
                <w:sz w:val="18"/>
                <w:szCs w:val="18"/>
              </w:rPr>
              <w:t xml:space="preserve">UNDP </w:t>
            </w:r>
            <w:r w:rsidR="00AC0D55" w:rsidRPr="0016385E">
              <w:rPr>
                <w:b/>
                <w:bCs/>
                <w:color w:val="000000"/>
                <w:sz w:val="18"/>
                <w:szCs w:val="18"/>
              </w:rPr>
              <w:t>N°</w:t>
            </w:r>
            <w:r w:rsidR="00AC0D55">
              <w:rPr>
                <w:b/>
                <w:bCs/>
                <w:color w:val="000000"/>
                <w:sz w:val="18"/>
                <w:szCs w:val="18"/>
              </w:rPr>
              <w:t xml:space="preserve"> </w:t>
            </w:r>
            <w:r w:rsidRPr="0016385E">
              <w:rPr>
                <w:b/>
                <w:bCs/>
                <w:color w:val="000000"/>
                <w:sz w:val="18"/>
                <w:szCs w:val="18"/>
              </w:rPr>
              <w:t>2</w:t>
            </w:r>
            <w:r w:rsidR="00713CD4" w:rsidRPr="0016385E">
              <w:rPr>
                <w:b/>
                <w:bCs/>
                <w:color w:val="000000"/>
                <w:sz w:val="18"/>
                <w:szCs w:val="18"/>
              </w:rPr>
              <w:t>.</w:t>
            </w:r>
            <w:r w:rsidR="00AC58F6" w:rsidRPr="0016385E">
              <w:rPr>
                <w:color w:val="000000"/>
                <w:sz w:val="18"/>
                <w:szCs w:val="18"/>
              </w:rPr>
              <w:t xml:space="preserve"> </w:t>
            </w:r>
            <w:r w:rsidR="00F1498C" w:rsidRPr="0016385E">
              <w:rPr>
                <w:b/>
                <w:bCs/>
                <w:sz w:val="18"/>
                <w:szCs w:val="18"/>
              </w:rPr>
              <w:t xml:space="preserve">By 2030, young people’s access to decent, productive, </w:t>
            </w:r>
            <w:r w:rsidR="00D36E19" w:rsidRPr="0016385E">
              <w:rPr>
                <w:b/>
                <w:bCs/>
                <w:sz w:val="18"/>
                <w:szCs w:val="18"/>
              </w:rPr>
              <w:t>sustainable,</w:t>
            </w:r>
            <w:r w:rsidR="00F1498C" w:rsidRPr="0016385E">
              <w:rPr>
                <w:b/>
                <w:bCs/>
                <w:sz w:val="18"/>
                <w:szCs w:val="18"/>
              </w:rPr>
              <w:t xml:space="preserve"> and resilient jobs is promoted through the development of entrepreneurship and the implementation of measures to accelerate the transition from the informal to the formal economy.</w:t>
            </w:r>
          </w:p>
        </w:tc>
      </w:tr>
      <w:tr w:rsidR="00AC58F6" w:rsidRPr="0016385E" w14:paraId="463F941A" w14:textId="77777777" w:rsidTr="002D535B">
        <w:tc>
          <w:tcPr>
            <w:tcW w:w="5000" w:type="pct"/>
            <w:gridSpan w:val="5"/>
            <w:shd w:val="clear" w:color="auto" w:fill="D9E2F3" w:themeFill="accent1" w:themeFillTint="33"/>
            <w:tcMar>
              <w:top w:w="72" w:type="dxa"/>
              <w:left w:w="144" w:type="dxa"/>
              <w:bottom w:w="72" w:type="dxa"/>
              <w:right w:w="144" w:type="dxa"/>
            </w:tcMar>
          </w:tcPr>
          <w:p w14:paraId="38B9AD71" w14:textId="1FC7FAC9" w:rsidR="00AC58F6" w:rsidRPr="0016385E" w:rsidRDefault="00713CD4" w:rsidP="00713CD4">
            <w:pPr>
              <w:rPr>
                <w:b/>
                <w:bCs/>
                <w:color w:val="000000"/>
                <w:sz w:val="18"/>
                <w:szCs w:val="18"/>
              </w:rPr>
            </w:pPr>
            <w:r w:rsidRPr="0016385E">
              <w:rPr>
                <w:b/>
                <w:bCs/>
                <w:color w:val="000000"/>
                <w:sz w:val="18"/>
                <w:szCs w:val="18"/>
              </w:rPr>
              <w:t>Related Strategic Plan outcome</w:t>
            </w:r>
            <w:r w:rsidR="00AC58F6" w:rsidRPr="0016385E">
              <w:rPr>
                <w:b/>
                <w:bCs/>
                <w:color w:val="000000"/>
                <w:sz w:val="18"/>
                <w:szCs w:val="18"/>
              </w:rPr>
              <w:t xml:space="preserve">: </w:t>
            </w:r>
            <w:r w:rsidR="00AC58F6" w:rsidRPr="00882056">
              <w:rPr>
                <w:b/>
                <w:sz w:val="18"/>
                <w:szCs w:val="18"/>
              </w:rPr>
              <w:t>Outcome 1</w:t>
            </w:r>
            <w:r w:rsidRPr="0016385E">
              <w:rPr>
                <w:b/>
                <w:sz w:val="18"/>
                <w:szCs w:val="18"/>
              </w:rPr>
              <w:t>.</w:t>
            </w:r>
            <w:r w:rsidR="00AC58F6" w:rsidRPr="00882056">
              <w:rPr>
                <w:b/>
                <w:sz w:val="18"/>
                <w:szCs w:val="18"/>
              </w:rPr>
              <w:t xml:space="preserve"> Advance poverty eradication in all its forms and dimensions</w:t>
            </w:r>
          </w:p>
        </w:tc>
      </w:tr>
      <w:tr w:rsidR="00D07553" w:rsidRPr="0016385E" w14:paraId="783A8133" w14:textId="77777777" w:rsidTr="00882056">
        <w:tc>
          <w:tcPr>
            <w:tcW w:w="1093" w:type="pct"/>
            <w:vMerge w:val="restart"/>
            <w:tcMar>
              <w:top w:w="72" w:type="dxa"/>
              <w:left w:w="144" w:type="dxa"/>
              <w:bottom w:w="72" w:type="dxa"/>
              <w:right w:w="144" w:type="dxa"/>
            </w:tcMar>
          </w:tcPr>
          <w:p w14:paraId="0AFE1788" w14:textId="574CCC16" w:rsidR="00D07553" w:rsidRPr="0016385E" w:rsidRDefault="00D07553" w:rsidP="00736666">
            <w:pPr>
              <w:pStyle w:val="Body"/>
              <w:rPr>
                <w:b/>
                <w:bCs/>
                <w:sz w:val="18"/>
                <w:szCs w:val="18"/>
                <w:lang w:val="en-GB"/>
              </w:rPr>
            </w:pPr>
            <w:bookmarkStart w:id="4" w:name="_Hlk64384940"/>
            <w:r w:rsidRPr="00882056">
              <w:rPr>
                <w:b/>
                <w:iCs/>
                <w:sz w:val="18"/>
                <w:szCs w:val="18"/>
                <w:lang w:val="en-GB"/>
              </w:rPr>
              <w:t>Indicator 2.1</w:t>
            </w:r>
            <w:r w:rsidR="00BA2C66" w:rsidRPr="00882056">
              <w:rPr>
                <w:b/>
                <w:iCs/>
                <w:sz w:val="18"/>
                <w:szCs w:val="18"/>
                <w:lang w:val="en-GB"/>
              </w:rPr>
              <w:t>.</w:t>
            </w:r>
            <w:r w:rsidRPr="00882056">
              <w:rPr>
                <w:bCs/>
                <w:iCs/>
                <w:sz w:val="18"/>
                <w:szCs w:val="18"/>
                <w:lang w:val="en-GB"/>
              </w:rPr>
              <w:t xml:space="preserve"> </w:t>
            </w:r>
            <w:r w:rsidRPr="0016385E">
              <w:rPr>
                <w:b/>
                <w:bCs/>
                <w:sz w:val="18"/>
                <w:szCs w:val="18"/>
                <w:lang w:val="en-GB"/>
              </w:rPr>
              <w:t xml:space="preserve">Percentage of </w:t>
            </w:r>
            <w:r w:rsidR="00BA2C66" w:rsidRPr="0016385E">
              <w:rPr>
                <w:b/>
                <w:bCs/>
                <w:sz w:val="18"/>
                <w:szCs w:val="18"/>
                <w:lang w:val="en-GB"/>
              </w:rPr>
              <w:t>e</w:t>
            </w:r>
            <w:r w:rsidRPr="0016385E">
              <w:rPr>
                <w:b/>
                <w:bCs/>
                <w:sz w:val="18"/>
                <w:szCs w:val="18"/>
                <w:lang w:val="en-GB"/>
              </w:rPr>
              <w:t xml:space="preserve">ntrepreneurs in the domain of </w:t>
            </w:r>
            <w:r w:rsidR="00BA2C66" w:rsidRPr="0016385E">
              <w:rPr>
                <w:b/>
                <w:bCs/>
                <w:sz w:val="18"/>
                <w:szCs w:val="18"/>
                <w:lang w:val="en-GB"/>
              </w:rPr>
              <w:t>g</w:t>
            </w:r>
            <w:r w:rsidRPr="0016385E">
              <w:rPr>
                <w:b/>
                <w:bCs/>
                <w:sz w:val="18"/>
                <w:szCs w:val="18"/>
                <w:lang w:val="en-GB"/>
              </w:rPr>
              <w:t xml:space="preserve">reen and </w:t>
            </w:r>
            <w:r w:rsidR="00BA2C66" w:rsidRPr="0016385E">
              <w:rPr>
                <w:b/>
                <w:bCs/>
                <w:sz w:val="18"/>
                <w:szCs w:val="18"/>
                <w:lang w:val="en-GB"/>
              </w:rPr>
              <w:t>b</w:t>
            </w:r>
            <w:r w:rsidRPr="0016385E">
              <w:rPr>
                <w:b/>
                <w:bCs/>
                <w:sz w:val="18"/>
                <w:szCs w:val="18"/>
                <w:lang w:val="en-GB"/>
              </w:rPr>
              <w:t xml:space="preserve">lue </w:t>
            </w:r>
            <w:r w:rsidR="00BA2C66" w:rsidRPr="0016385E">
              <w:rPr>
                <w:b/>
                <w:bCs/>
                <w:sz w:val="18"/>
                <w:szCs w:val="18"/>
                <w:lang w:val="en-GB"/>
              </w:rPr>
              <w:t>e</w:t>
            </w:r>
            <w:r w:rsidRPr="0016385E">
              <w:rPr>
                <w:b/>
                <w:bCs/>
                <w:sz w:val="18"/>
                <w:szCs w:val="18"/>
                <w:lang w:val="en-GB"/>
              </w:rPr>
              <w:t>conomy (disaggregated by sex and age)</w:t>
            </w:r>
            <w:r w:rsidRPr="00882056">
              <w:rPr>
                <w:b/>
                <w:bCs/>
                <w:sz w:val="18"/>
                <w:szCs w:val="18"/>
                <w:lang w:val="en-GB"/>
              </w:rPr>
              <w:t xml:space="preserve"> </w:t>
            </w:r>
          </w:p>
          <w:p w14:paraId="33A70044" w14:textId="383E43C8" w:rsidR="00D07553" w:rsidRPr="0016385E" w:rsidRDefault="00D07553" w:rsidP="00736666">
            <w:pPr>
              <w:pStyle w:val="Body"/>
              <w:rPr>
                <w:b/>
                <w:bCs/>
                <w:sz w:val="18"/>
                <w:szCs w:val="18"/>
                <w:lang w:val="en-GB"/>
              </w:rPr>
            </w:pPr>
            <w:r w:rsidRPr="0016385E">
              <w:rPr>
                <w:b/>
                <w:bCs/>
                <w:sz w:val="18"/>
                <w:szCs w:val="18"/>
                <w:lang w:val="en-GB"/>
              </w:rPr>
              <w:t xml:space="preserve">Green </w:t>
            </w:r>
            <w:r w:rsidR="00BA2C66" w:rsidRPr="0016385E">
              <w:rPr>
                <w:b/>
                <w:bCs/>
                <w:sz w:val="18"/>
                <w:szCs w:val="18"/>
                <w:lang w:val="en-GB"/>
              </w:rPr>
              <w:t>e</w:t>
            </w:r>
            <w:r w:rsidRPr="0016385E">
              <w:rPr>
                <w:b/>
                <w:bCs/>
                <w:sz w:val="18"/>
                <w:szCs w:val="18"/>
                <w:lang w:val="en-GB"/>
              </w:rPr>
              <w:t>conomy</w:t>
            </w:r>
          </w:p>
          <w:p w14:paraId="6CD5F6F6" w14:textId="194CD2AE" w:rsidR="00D07553" w:rsidRPr="0016385E" w:rsidRDefault="00D07553" w:rsidP="00736666">
            <w:pPr>
              <w:pStyle w:val="Body"/>
              <w:rPr>
                <w:sz w:val="18"/>
                <w:szCs w:val="18"/>
                <w:lang w:val="en-GB"/>
              </w:rPr>
            </w:pPr>
            <w:r w:rsidRPr="0016385E">
              <w:rPr>
                <w:sz w:val="18"/>
                <w:szCs w:val="18"/>
                <w:lang w:val="en-GB"/>
              </w:rPr>
              <w:t>Baseline (</w:t>
            </w:r>
            <w:r w:rsidR="001E485B" w:rsidRPr="0016385E">
              <w:rPr>
                <w:sz w:val="18"/>
                <w:szCs w:val="18"/>
                <w:lang w:val="en-GB"/>
              </w:rPr>
              <w:t>2021</w:t>
            </w:r>
            <w:r w:rsidRPr="0016385E">
              <w:rPr>
                <w:sz w:val="18"/>
                <w:szCs w:val="18"/>
                <w:lang w:val="en-GB"/>
              </w:rPr>
              <w:t xml:space="preserve">): </w:t>
            </w:r>
            <w:r w:rsidR="001E485B" w:rsidRPr="0016385E">
              <w:rPr>
                <w:sz w:val="18"/>
                <w:szCs w:val="18"/>
                <w:lang w:val="en-GB"/>
              </w:rPr>
              <w:t>TBD</w:t>
            </w:r>
          </w:p>
          <w:p w14:paraId="0D548107" w14:textId="47BB16B0" w:rsidR="00D07553" w:rsidRPr="0016385E" w:rsidRDefault="00D07553" w:rsidP="00736666">
            <w:pPr>
              <w:pStyle w:val="Body"/>
              <w:rPr>
                <w:sz w:val="18"/>
                <w:szCs w:val="18"/>
                <w:lang w:val="en-GB"/>
              </w:rPr>
            </w:pPr>
            <w:r w:rsidRPr="0016385E">
              <w:rPr>
                <w:sz w:val="18"/>
                <w:szCs w:val="18"/>
                <w:lang w:val="en-GB"/>
              </w:rPr>
              <w:t>Women (xx%); Men (xx%); Youth</w:t>
            </w:r>
            <w:r w:rsidR="00BA2C66" w:rsidRPr="0016385E">
              <w:rPr>
                <w:sz w:val="18"/>
                <w:szCs w:val="18"/>
                <w:lang w:val="en-GB"/>
              </w:rPr>
              <w:t> </w:t>
            </w:r>
            <w:r w:rsidRPr="0016385E">
              <w:rPr>
                <w:sz w:val="18"/>
                <w:szCs w:val="18"/>
                <w:lang w:val="en-GB"/>
              </w:rPr>
              <w:t>15-34 (xx%)</w:t>
            </w:r>
          </w:p>
          <w:p w14:paraId="5B26A6A9" w14:textId="1057A12D" w:rsidR="00D07553" w:rsidRPr="0016385E" w:rsidRDefault="00D07553" w:rsidP="00736666">
            <w:pPr>
              <w:pStyle w:val="Body"/>
              <w:rPr>
                <w:sz w:val="18"/>
                <w:szCs w:val="18"/>
                <w:lang w:val="en-GB"/>
              </w:rPr>
            </w:pPr>
            <w:r w:rsidRPr="0016385E">
              <w:rPr>
                <w:sz w:val="18"/>
                <w:szCs w:val="18"/>
                <w:lang w:val="en-GB"/>
              </w:rPr>
              <w:t>Target (2023):</w:t>
            </w:r>
          </w:p>
          <w:p w14:paraId="04D38740" w14:textId="393F6F57" w:rsidR="00D07553" w:rsidRPr="0016385E" w:rsidRDefault="00D07553" w:rsidP="003334D3">
            <w:pPr>
              <w:pStyle w:val="Body"/>
              <w:rPr>
                <w:sz w:val="18"/>
                <w:szCs w:val="18"/>
                <w:lang w:val="en-GB"/>
              </w:rPr>
            </w:pPr>
            <w:r w:rsidRPr="0016385E">
              <w:rPr>
                <w:sz w:val="18"/>
                <w:szCs w:val="18"/>
                <w:lang w:val="en-GB"/>
              </w:rPr>
              <w:t>Women (</w:t>
            </w:r>
            <w:r w:rsidR="003F2AF2" w:rsidRPr="0016385E">
              <w:rPr>
                <w:sz w:val="18"/>
                <w:szCs w:val="18"/>
                <w:lang w:val="en-GB"/>
              </w:rPr>
              <w:t>B+</w:t>
            </w:r>
            <w:r w:rsidR="00BD7044" w:rsidRPr="0016385E">
              <w:rPr>
                <w:sz w:val="18"/>
                <w:szCs w:val="18"/>
                <w:lang w:val="en-GB"/>
              </w:rPr>
              <w:t>5</w:t>
            </w:r>
            <w:r w:rsidRPr="0016385E">
              <w:rPr>
                <w:sz w:val="18"/>
                <w:szCs w:val="18"/>
                <w:lang w:val="en-GB"/>
              </w:rPr>
              <w:t>%); Men (</w:t>
            </w:r>
            <w:r w:rsidR="00122EA0" w:rsidRPr="0016385E">
              <w:rPr>
                <w:sz w:val="18"/>
                <w:szCs w:val="18"/>
                <w:lang w:val="en-GB"/>
              </w:rPr>
              <w:t>B+</w:t>
            </w:r>
            <w:r w:rsidR="00BD7044" w:rsidRPr="0016385E">
              <w:rPr>
                <w:sz w:val="18"/>
                <w:szCs w:val="18"/>
                <w:lang w:val="en-GB"/>
              </w:rPr>
              <w:t>10</w:t>
            </w:r>
            <w:r w:rsidRPr="0016385E">
              <w:rPr>
                <w:sz w:val="18"/>
                <w:szCs w:val="18"/>
                <w:lang w:val="en-GB"/>
              </w:rPr>
              <w:t>%); Youth 15-34 (</w:t>
            </w:r>
            <w:r w:rsidR="00122EA0" w:rsidRPr="0016385E">
              <w:rPr>
                <w:sz w:val="18"/>
                <w:szCs w:val="18"/>
                <w:lang w:val="en-GB"/>
              </w:rPr>
              <w:t>B+</w:t>
            </w:r>
            <w:r w:rsidR="00BD7044" w:rsidRPr="0016385E">
              <w:rPr>
                <w:sz w:val="18"/>
                <w:szCs w:val="18"/>
                <w:lang w:val="en-GB"/>
              </w:rPr>
              <w:t>7</w:t>
            </w:r>
            <w:r w:rsidRPr="0016385E">
              <w:rPr>
                <w:sz w:val="18"/>
                <w:szCs w:val="18"/>
                <w:lang w:val="en-GB"/>
              </w:rPr>
              <w:t>%)</w:t>
            </w:r>
          </w:p>
          <w:p w14:paraId="0CCEF066" w14:textId="6F623F44" w:rsidR="00D07553" w:rsidRPr="0016385E" w:rsidRDefault="00D07553" w:rsidP="00736666">
            <w:pPr>
              <w:pStyle w:val="Body"/>
              <w:rPr>
                <w:b/>
                <w:bCs/>
                <w:sz w:val="18"/>
                <w:szCs w:val="18"/>
                <w:lang w:val="en-GB"/>
              </w:rPr>
            </w:pPr>
            <w:r w:rsidRPr="0016385E">
              <w:rPr>
                <w:b/>
                <w:bCs/>
                <w:sz w:val="18"/>
                <w:szCs w:val="18"/>
                <w:lang w:val="en-GB"/>
              </w:rPr>
              <w:t xml:space="preserve">Blue </w:t>
            </w:r>
            <w:r w:rsidR="00BA2C66" w:rsidRPr="0016385E">
              <w:rPr>
                <w:b/>
                <w:bCs/>
                <w:sz w:val="18"/>
                <w:szCs w:val="18"/>
                <w:lang w:val="en-GB"/>
              </w:rPr>
              <w:t>e</w:t>
            </w:r>
            <w:r w:rsidRPr="0016385E">
              <w:rPr>
                <w:b/>
                <w:bCs/>
                <w:sz w:val="18"/>
                <w:szCs w:val="18"/>
                <w:lang w:val="en-GB"/>
              </w:rPr>
              <w:t>conomy</w:t>
            </w:r>
          </w:p>
          <w:p w14:paraId="1A382F80" w14:textId="5872655C" w:rsidR="00D07553" w:rsidRPr="0016385E" w:rsidRDefault="00D07553" w:rsidP="00992EA8">
            <w:pPr>
              <w:pStyle w:val="Body"/>
              <w:rPr>
                <w:sz w:val="18"/>
                <w:szCs w:val="18"/>
                <w:lang w:val="en-GB"/>
              </w:rPr>
            </w:pPr>
            <w:r w:rsidRPr="0016385E">
              <w:rPr>
                <w:sz w:val="18"/>
                <w:szCs w:val="18"/>
                <w:lang w:val="en-GB"/>
              </w:rPr>
              <w:t>Baseline (</w:t>
            </w:r>
            <w:r w:rsidR="00D02307" w:rsidRPr="0016385E">
              <w:rPr>
                <w:sz w:val="18"/>
                <w:szCs w:val="18"/>
                <w:lang w:val="en-GB"/>
              </w:rPr>
              <w:t>2021</w:t>
            </w:r>
            <w:r w:rsidRPr="0016385E">
              <w:rPr>
                <w:sz w:val="18"/>
                <w:szCs w:val="18"/>
                <w:lang w:val="en-GB"/>
              </w:rPr>
              <w:t xml:space="preserve">): </w:t>
            </w:r>
            <w:r w:rsidR="00296639" w:rsidRPr="0016385E">
              <w:rPr>
                <w:sz w:val="18"/>
                <w:szCs w:val="18"/>
                <w:lang w:val="en-GB"/>
              </w:rPr>
              <w:t>TBD</w:t>
            </w:r>
          </w:p>
          <w:p w14:paraId="78830648" w14:textId="27221209" w:rsidR="00D07553" w:rsidRPr="0016385E" w:rsidRDefault="00D07553" w:rsidP="00992EA8">
            <w:pPr>
              <w:pStyle w:val="Body"/>
              <w:rPr>
                <w:sz w:val="18"/>
                <w:szCs w:val="18"/>
                <w:lang w:val="en-GB"/>
              </w:rPr>
            </w:pPr>
            <w:r w:rsidRPr="0016385E">
              <w:rPr>
                <w:sz w:val="18"/>
                <w:szCs w:val="18"/>
                <w:lang w:val="en-GB"/>
              </w:rPr>
              <w:t>Women (xx%); Men (xx%); Youth</w:t>
            </w:r>
            <w:r w:rsidR="00BA2C66" w:rsidRPr="0016385E">
              <w:rPr>
                <w:sz w:val="18"/>
                <w:szCs w:val="18"/>
                <w:lang w:val="en-GB"/>
              </w:rPr>
              <w:t> </w:t>
            </w:r>
            <w:r w:rsidRPr="0016385E">
              <w:rPr>
                <w:sz w:val="18"/>
                <w:szCs w:val="18"/>
                <w:lang w:val="en-GB"/>
              </w:rPr>
              <w:t>15-34 (xx%)</w:t>
            </w:r>
          </w:p>
          <w:p w14:paraId="5594EE9E" w14:textId="77777777" w:rsidR="00D07553" w:rsidRPr="0016385E" w:rsidRDefault="00D07553" w:rsidP="00992EA8">
            <w:pPr>
              <w:pStyle w:val="Body"/>
              <w:rPr>
                <w:sz w:val="18"/>
                <w:szCs w:val="18"/>
                <w:lang w:val="en-GB"/>
              </w:rPr>
            </w:pPr>
            <w:r w:rsidRPr="0016385E">
              <w:rPr>
                <w:sz w:val="18"/>
                <w:szCs w:val="18"/>
                <w:lang w:val="en-GB"/>
              </w:rPr>
              <w:t>Target (2023):</w:t>
            </w:r>
          </w:p>
          <w:p w14:paraId="4D9303FB" w14:textId="09322E67" w:rsidR="00D07553" w:rsidRPr="0016385E" w:rsidRDefault="00D07553" w:rsidP="00992EA8">
            <w:pPr>
              <w:pStyle w:val="Body"/>
              <w:rPr>
                <w:sz w:val="18"/>
                <w:szCs w:val="18"/>
                <w:lang w:val="en-GB"/>
              </w:rPr>
            </w:pPr>
            <w:r w:rsidRPr="0016385E">
              <w:rPr>
                <w:sz w:val="18"/>
                <w:szCs w:val="18"/>
                <w:lang w:val="en-GB"/>
              </w:rPr>
              <w:t>Women (</w:t>
            </w:r>
            <w:r w:rsidR="007C5C6E" w:rsidRPr="0016385E">
              <w:rPr>
                <w:sz w:val="18"/>
                <w:szCs w:val="18"/>
                <w:lang w:val="en-GB"/>
              </w:rPr>
              <w:t>B+2</w:t>
            </w:r>
            <w:r w:rsidRPr="0016385E">
              <w:rPr>
                <w:sz w:val="18"/>
                <w:szCs w:val="18"/>
                <w:lang w:val="en-GB"/>
              </w:rPr>
              <w:t>%); Men (</w:t>
            </w:r>
            <w:r w:rsidR="007C5C6E" w:rsidRPr="0016385E">
              <w:rPr>
                <w:sz w:val="18"/>
                <w:szCs w:val="18"/>
                <w:lang w:val="en-GB"/>
              </w:rPr>
              <w:t>B+5</w:t>
            </w:r>
            <w:r w:rsidRPr="0016385E">
              <w:rPr>
                <w:sz w:val="18"/>
                <w:szCs w:val="18"/>
                <w:lang w:val="en-GB"/>
              </w:rPr>
              <w:t>%); Youth 15-34 (</w:t>
            </w:r>
            <w:r w:rsidR="007C5C6E" w:rsidRPr="0016385E">
              <w:rPr>
                <w:sz w:val="18"/>
                <w:szCs w:val="18"/>
                <w:lang w:val="en-GB"/>
              </w:rPr>
              <w:t>B+3</w:t>
            </w:r>
            <w:r w:rsidRPr="0016385E">
              <w:rPr>
                <w:sz w:val="18"/>
                <w:szCs w:val="18"/>
                <w:lang w:val="en-GB"/>
              </w:rPr>
              <w:t>%)</w:t>
            </w:r>
          </w:p>
          <w:p w14:paraId="60B767EC" w14:textId="4F4BB8D7" w:rsidR="00D07553" w:rsidRPr="0016385E" w:rsidRDefault="00D07553" w:rsidP="00736666">
            <w:pPr>
              <w:pStyle w:val="Body"/>
              <w:rPr>
                <w:sz w:val="18"/>
                <w:szCs w:val="18"/>
                <w:lang w:val="en-GB"/>
              </w:rPr>
            </w:pPr>
          </w:p>
          <w:p w14:paraId="26FEE47A" w14:textId="1B8FE407" w:rsidR="00D07553" w:rsidRPr="0016385E" w:rsidRDefault="00D07553" w:rsidP="00736666">
            <w:pPr>
              <w:pStyle w:val="Body"/>
              <w:rPr>
                <w:sz w:val="18"/>
                <w:szCs w:val="18"/>
                <w:lang w:val="en-GB"/>
              </w:rPr>
            </w:pPr>
          </w:p>
          <w:p w14:paraId="7A2BB3DC" w14:textId="77777777" w:rsidR="00D07553" w:rsidRPr="0016385E" w:rsidRDefault="00D07553" w:rsidP="00736666">
            <w:pPr>
              <w:pStyle w:val="Body"/>
              <w:rPr>
                <w:sz w:val="18"/>
                <w:szCs w:val="18"/>
                <w:lang w:val="en-GB"/>
              </w:rPr>
            </w:pPr>
          </w:p>
          <w:p w14:paraId="3381B0A1" w14:textId="77777777" w:rsidR="00D07553" w:rsidRPr="0016385E" w:rsidRDefault="00D07553" w:rsidP="00526169">
            <w:pPr>
              <w:pStyle w:val="Body"/>
              <w:rPr>
                <w:b/>
                <w:bCs/>
                <w:sz w:val="18"/>
                <w:szCs w:val="18"/>
                <w:lang w:val="en-GB"/>
              </w:rPr>
            </w:pPr>
          </w:p>
          <w:p w14:paraId="72C0DD32" w14:textId="77777777" w:rsidR="00D07553" w:rsidRPr="0016385E" w:rsidRDefault="00D07553" w:rsidP="00526169">
            <w:pPr>
              <w:pStyle w:val="Body"/>
              <w:rPr>
                <w:b/>
                <w:bCs/>
                <w:sz w:val="18"/>
                <w:szCs w:val="18"/>
                <w:lang w:val="en-GB"/>
              </w:rPr>
            </w:pPr>
          </w:p>
          <w:p w14:paraId="4981BF86" w14:textId="611AA056" w:rsidR="00D07553" w:rsidRPr="0016385E" w:rsidRDefault="00D07553" w:rsidP="00526169">
            <w:pPr>
              <w:pStyle w:val="Body"/>
              <w:rPr>
                <w:b/>
                <w:bCs/>
                <w:sz w:val="18"/>
                <w:szCs w:val="18"/>
                <w:lang w:val="en-GB"/>
              </w:rPr>
            </w:pPr>
            <w:r w:rsidRPr="0016385E">
              <w:rPr>
                <w:b/>
                <w:bCs/>
                <w:sz w:val="18"/>
                <w:szCs w:val="18"/>
                <w:lang w:val="en-GB"/>
              </w:rPr>
              <w:t>Indicator 2.2</w:t>
            </w:r>
            <w:r w:rsidR="00BA2C66" w:rsidRPr="0016385E">
              <w:rPr>
                <w:b/>
                <w:bCs/>
                <w:sz w:val="18"/>
                <w:szCs w:val="18"/>
                <w:lang w:val="en-GB"/>
              </w:rPr>
              <w:t>.</w:t>
            </w:r>
            <w:r w:rsidRPr="0016385E">
              <w:rPr>
                <w:b/>
                <w:bCs/>
                <w:sz w:val="18"/>
                <w:szCs w:val="18"/>
                <w:lang w:val="en-GB"/>
              </w:rPr>
              <w:t xml:space="preserve"> Youth unemployment rate</w:t>
            </w:r>
          </w:p>
          <w:p w14:paraId="4ED0EC66" w14:textId="0B2C33C0" w:rsidR="00D07553" w:rsidRPr="0016385E" w:rsidRDefault="00D07553" w:rsidP="00526169">
            <w:pPr>
              <w:pStyle w:val="Body"/>
              <w:rPr>
                <w:sz w:val="18"/>
                <w:szCs w:val="18"/>
                <w:lang w:val="en-GB"/>
              </w:rPr>
            </w:pPr>
            <w:r w:rsidRPr="0016385E">
              <w:rPr>
                <w:sz w:val="18"/>
                <w:szCs w:val="18"/>
                <w:lang w:val="en-GB"/>
              </w:rPr>
              <w:t>Baseline (2015): 3.4%</w:t>
            </w:r>
          </w:p>
          <w:p w14:paraId="39C9F36A" w14:textId="35547CAD" w:rsidR="00D07553" w:rsidRPr="0016385E" w:rsidRDefault="00D07553" w:rsidP="00526169">
            <w:pPr>
              <w:pStyle w:val="Body"/>
              <w:rPr>
                <w:sz w:val="18"/>
                <w:szCs w:val="18"/>
                <w:lang w:val="en-GB"/>
              </w:rPr>
            </w:pPr>
            <w:r w:rsidRPr="0016385E">
              <w:rPr>
                <w:sz w:val="18"/>
                <w:szCs w:val="18"/>
                <w:lang w:val="en-GB"/>
              </w:rPr>
              <w:t>Target (2023): 3%</w:t>
            </w:r>
          </w:p>
          <w:p w14:paraId="5A16BAF4" w14:textId="77777777" w:rsidR="00D07553" w:rsidRPr="0016385E" w:rsidRDefault="00D07553" w:rsidP="00526169">
            <w:pPr>
              <w:pStyle w:val="Body"/>
              <w:rPr>
                <w:b/>
                <w:bCs/>
                <w:sz w:val="18"/>
                <w:szCs w:val="18"/>
                <w:lang w:val="en-GB"/>
              </w:rPr>
            </w:pPr>
          </w:p>
          <w:p w14:paraId="5A926195" w14:textId="77777777" w:rsidR="00D07553" w:rsidRPr="0016385E" w:rsidRDefault="00D07553" w:rsidP="00526169">
            <w:pPr>
              <w:pStyle w:val="Body"/>
              <w:rPr>
                <w:b/>
                <w:bCs/>
                <w:sz w:val="18"/>
                <w:szCs w:val="18"/>
                <w:lang w:val="en-GB"/>
              </w:rPr>
            </w:pPr>
          </w:p>
          <w:p w14:paraId="4006DD2D" w14:textId="77777777" w:rsidR="00D07553" w:rsidRPr="0016385E" w:rsidRDefault="00D07553" w:rsidP="00526169">
            <w:pPr>
              <w:pStyle w:val="Body"/>
              <w:rPr>
                <w:b/>
                <w:bCs/>
                <w:sz w:val="18"/>
                <w:szCs w:val="18"/>
                <w:lang w:val="en-GB"/>
              </w:rPr>
            </w:pPr>
          </w:p>
          <w:p w14:paraId="72E04631" w14:textId="5B0C7F49" w:rsidR="00D07553" w:rsidRPr="0016385E" w:rsidRDefault="00D07553" w:rsidP="00526169">
            <w:pPr>
              <w:pStyle w:val="Body"/>
              <w:rPr>
                <w:b/>
                <w:bCs/>
                <w:sz w:val="18"/>
                <w:szCs w:val="18"/>
                <w:lang w:val="en-GB"/>
              </w:rPr>
            </w:pPr>
            <w:r w:rsidRPr="0016385E">
              <w:rPr>
                <w:b/>
                <w:bCs/>
                <w:sz w:val="18"/>
                <w:szCs w:val="18"/>
                <w:lang w:val="en-GB"/>
              </w:rPr>
              <w:t>Indicator 2.3</w:t>
            </w:r>
            <w:r w:rsidR="00BA2C66" w:rsidRPr="0016385E">
              <w:rPr>
                <w:b/>
                <w:bCs/>
                <w:sz w:val="18"/>
                <w:szCs w:val="18"/>
                <w:lang w:val="en-GB"/>
              </w:rPr>
              <w:t>.</w:t>
            </w:r>
            <w:r w:rsidRPr="0016385E">
              <w:rPr>
                <w:b/>
                <w:bCs/>
                <w:sz w:val="18"/>
                <w:szCs w:val="18"/>
                <w:lang w:val="en-GB"/>
              </w:rPr>
              <w:t xml:space="preserve"> </w:t>
            </w:r>
            <w:r w:rsidR="00892FF9" w:rsidRPr="0016385E">
              <w:rPr>
                <w:b/>
                <w:bCs/>
                <w:sz w:val="18"/>
                <w:szCs w:val="18"/>
                <w:lang w:val="en-GB"/>
              </w:rPr>
              <w:t>M</w:t>
            </w:r>
            <w:r w:rsidR="00C267AC" w:rsidRPr="0016385E">
              <w:rPr>
                <w:b/>
                <w:bCs/>
                <w:sz w:val="18"/>
                <w:szCs w:val="18"/>
                <w:lang w:val="en-GB"/>
              </w:rPr>
              <w:t xml:space="preserve">ultidimensional poverty rate </w:t>
            </w:r>
          </w:p>
          <w:p w14:paraId="72C7EE41" w14:textId="15A9EDB3" w:rsidR="00D07553" w:rsidRPr="0016385E" w:rsidRDefault="00D07553" w:rsidP="00526169">
            <w:pPr>
              <w:pStyle w:val="Body"/>
              <w:rPr>
                <w:sz w:val="18"/>
                <w:szCs w:val="18"/>
                <w:lang w:val="en-GB"/>
              </w:rPr>
            </w:pPr>
            <w:r w:rsidRPr="0016385E">
              <w:rPr>
                <w:sz w:val="18"/>
                <w:szCs w:val="18"/>
                <w:lang w:val="en-GB"/>
              </w:rPr>
              <w:t xml:space="preserve">Baseline (2018): 70.3% </w:t>
            </w:r>
          </w:p>
          <w:p w14:paraId="7B0C1CA9" w14:textId="68BA9C40" w:rsidR="00D07553" w:rsidRPr="0016385E" w:rsidRDefault="00D07553" w:rsidP="00526169">
            <w:pPr>
              <w:pStyle w:val="Body"/>
              <w:rPr>
                <w:sz w:val="18"/>
                <w:szCs w:val="18"/>
                <w:lang w:val="en-GB"/>
              </w:rPr>
            </w:pPr>
            <w:r w:rsidRPr="0016385E">
              <w:rPr>
                <w:sz w:val="18"/>
                <w:szCs w:val="18"/>
                <w:lang w:val="en-GB"/>
              </w:rPr>
              <w:lastRenderedPageBreak/>
              <w:t>Target (2023):</w:t>
            </w:r>
            <w:r w:rsidR="00FE2490" w:rsidRPr="0016385E">
              <w:rPr>
                <w:sz w:val="18"/>
                <w:szCs w:val="18"/>
                <w:lang w:val="en-GB"/>
              </w:rPr>
              <w:t xml:space="preserve"> </w:t>
            </w:r>
            <w:r w:rsidR="007C03F4" w:rsidRPr="0016385E">
              <w:rPr>
                <w:sz w:val="18"/>
                <w:szCs w:val="18"/>
                <w:lang w:val="en-GB"/>
              </w:rPr>
              <w:t>69%</w:t>
            </w:r>
          </w:p>
          <w:p w14:paraId="2120C988" w14:textId="24E6C9A1" w:rsidR="00D07553" w:rsidRPr="00882056" w:rsidRDefault="00D07553" w:rsidP="00133C73">
            <w:pPr>
              <w:pStyle w:val="Body"/>
              <w:rPr>
                <w:bCs/>
                <w:iCs/>
                <w:sz w:val="18"/>
                <w:szCs w:val="18"/>
                <w:lang w:val="en-GB"/>
              </w:rPr>
            </w:pPr>
          </w:p>
        </w:tc>
        <w:tc>
          <w:tcPr>
            <w:tcW w:w="828" w:type="pct"/>
            <w:vMerge w:val="restart"/>
          </w:tcPr>
          <w:p w14:paraId="0C244D5E" w14:textId="71A13BDA" w:rsidR="00D07553" w:rsidRPr="0016385E" w:rsidRDefault="00D07553" w:rsidP="005A5FB8">
            <w:pPr>
              <w:rPr>
                <w:sz w:val="18"/>
                <w:szCs w:val="18"/>
              </w:rPr>
            </w:pPr>
            <w:r w:rsidRPr="0016385E">
              <w:rPr>
                <w:sz w:val="18"/>
                <w:szCs w:val="18"/>
              </w:rPr>
              <w:lastRenderedPageBreak/>
              <w:t xml:space="preserve">Ministry of Industry, Trade and Handicrafts (MICA) </w:t>
            </w:r>
            <w:r w:rsidR="00BA2C66" w:rsidRPr="0016385E">
              <w:rPr>
                <w:sz w:val="18"/>
                <w:szCs w:val="18"/>
              </w:rPr>
              <w:t>r</w:t>
            </w:r>
            <w:r w:rsidRPr="0016385E">
              <w:rPr>
                <w:sz w:val="18"/>
                <w:szCs w:val="18"/>
              </w:rPr>
              <w:t>eports</w:t>
            </w:r>
            <w:r w:rsidR="0031137E" w:rsidRPr="0016385E">
              <w:rPr>
                <w:sz w:val="18"/>
                <w:szCs w:val="18"/>
              </w:rPr>
              <w:t xml:space="preserve">, </w:t>
            </w:r>
            <w:r w:rsidR="00BA2C66" w:rsidRPr="0016385E">
              <w:rPr>
                <w:sz w:val="18"/>
                <w:szCs w:val="18"/>
              </w:rPr>
              <w:t>a</w:t>
            </w:r>
            <w:r w:rsidR="0031137E" w:rsidRPr="0016385E">
              <w:rPr>
                <w:sz w:val="18"/>
                <w:szCs w:val="18"/>
              </w:rPr>
              <w:t>nnual</w:t>
            </w:r>
          </w:p>
          <w:p w14:paraId="085FBFA6" w14:textId="77777777" w:rsidR="00D07553" w:rsidRPr="0016385E" w:rsidRDefault="00D07553" w:rsidP="00F5671B">
            <w:pPr>
              <w:rPr>
                <w:b/>
                <w:bCs/>
                <w:i/>
                <w:color w:val="000000"/>
                <w:sz w:val="18"/>
                <w:szCs w:val="18"/>
              </w:rPr>
            </w:pPr>
          </w:p>
          <w:p w14:paraId="504BE2E5" w14:textId="77777777" w:rsidR="00D07553" w:rsidRPr="0016385E" w:rsidRDefault="00D07553" w:rsidP="00377484">
            <w:pPr>
              <w:rPr>
                <w:sz w:val="18"/>
                <w:szCs w:val="18"/>
              </w:rPr>
            </w:pPr>
          </w:p>
          <w:p w14:paraId="2DBE7606" w14:textId="77777777" w:rsidR="00D07553" w:rsidRPr="0016385E" w:rsidRDefault="00D07553" w:rsidP="00377484">
            <w:pPr>
              <w:rPr>
                <w:sz w:val="18"/>
                <w:szCs w:val="18"/>
              </w:rPr>
            </w:pPr>
          </w:p>
          <w:p w14:paraId="09ED463C" w14:textId="77777777" w:rsidR="00D07553" w:rsidRPr="0016385E" w:rsidRDefault="00D07553" w:rsidP="00377484">
            <w:pPr>
              <w:rPr>
                <w:sz w:val="18"/>
                <w:szCs w:val="18"/>
              </w:rPr>
            </w:pPr>
          </w:p>
          <w:p w14:paraId="5D918295" w14:textId="77777777" w:rsidR="00D07553" w:rsidRPr="0016385E" w:rsidRDefault="00D07553" w:rsidP="00377484">
            <w:pPr>
              <w:rPr>
                <w:sz w:val="18"/>
                <w:szCs w:val="18"/>
              </w:rPr>
            </w:pPr>
          </w:p>
          <w:p w14:paraId="1275E00B" w14:textId="77777777" w:rsidR="00D07553" w:rsidRPr="0016385E" w:rsidRDefault="00D07553" w:rsidP="00377484">
            <w:pPr>
              <w:rPr>
                <w:sz w:val="18"/>
                <w:szCs w:val="18"/>
              </w:rPr>
            </w:pPr>
          </w:p>
          <w:p w14:paraId="6B5E2A74" w14:textId="4E3CFEAE" w:rsidR="00D07553" w:rsidRPr="0016385E" w:rsidRDefault="00D07553" w:rsidP="00377484">
            <w:pPr>
              <w:rPr>
                <w:sz w:val="18"/>
                <w:szCs w:val="18"/>
              </w:rPr>
            </w:pPr>
            <w:r w:rsidRPr="0016385E">
              <w:rPr>
                <w:sz w:val="18"/>
                <w:szCs w:val="18"/>
              </w:rPr>
              <w:t xml:space="preserve">MEF </w:t>
            </w:r>
            <w:r w:rsidR="00171B5E" w:rsidRPr="0016385E">
              <w:rPr>
                <w:sz w:val="18"/>
                <w:szCs w:val="18"/>
              </w:rPr>
              <w:t>r</w:t>
            </w:r>
            <w:r w:rsidRPr="0016385E">
              <w:rPr>
                <w:sz w:val="18"/>
                <w:szCs w:val="18"/>
              </w:rPr>
              <w:t xml:space="preserve">eport; </w:t>
            </w:r>
            <w:r w:rsidR="00171B5E" w:rsidRPr="0016385E">
              <w:rPr>
                <w:sz w:val="18"/>
                <w:szCs w:val="18"/>
              </w:rPr>
              <w:t>a</w:t>
            </w:r>
            <w:r w:rsidRPr="0016385E">
              <w:rPr>
                <w:sz w:val="18"/>
                <w:szCs w:val="18"/>
              </w:rPr>
              <w:t>nnual</w:t>
            </w:r>
          </w:p>
          <w:p w14:paraId="168F8E51" w14:textId="77777777" w:rsidR="00D07553" w:rsidRPr="0016385E" w:rsidRDefault="00D07553" w:rsidP="00377484">
            <w:pPr>
              <w:rPr>
                <w:sz w:val="18"/>
                <w:szCs w:val="18"/>
              </w:rPr>
            </w:pPr>
          </w:p>
          <w:p w14:paraId="17929018" w14:textId="77777777" w:rsidR="00B90980" w:rsidRPr="0016385E" w:rsidRDefault="00B90980" w:rsidP="00377484">
            <w:pPr>
              <w:rPr>
                <w:sz w:val="18"/>
                <w:szCs w:val="18"/>
              </w:rPr>
            </w:pPr>
          </w:p>
          <w:p w14:paraId="04AA794F" w14:textId="77777777" w:rsidR="00B90980" w:rsidRPr="0016385E" w:rsidRDefault="00B90980" w:rsidP="00377484">
            <w:pPr>
              <w:rPr>
                <w:sz w:val="18"/>
                <w:szCs w:val="18"/>
              </w:rPr>
            </w:pPr>
          </w:p>
          <w:p w14:paraId="656DDE96" w14:textId="77777777" w:rsidR="00B90980" w:rsidRPr="0016385E" w:rsidRDefault="00B90980" w:rsidP="00377484">
            <w:pPr>
              <w:rPr>
                <w:sz w:val="18"/>
                <w:szCs w:val="18"/>
              </w:rPr>
            </w:pPr>
          </w:p>
          <w:p w14:paraId="14A9C580" w14:textId="77777777" w:rsidR="00B90980" w:rsidRPr="0016385E" w:rsidRDefault="00B90980" w:rsidP="00377484">
            <w:pPr>
              <w:rPr>
                <w:sz w:val="18"/>
                <w:szCs w:val="18"/>
              </w:rPr>
            </w:pPr>
          </w:p>
          <w:p w14:paraId="3E2E585E" w14:textId="77777777" w:rsidR="00B90980" w:rsidRPr="0016385E" w:rsidRDefault="00B90980" w:rsidP="00377484">
            <w:pPr>
              <w:rPr>
                <w:sz w:val="18"/>
                <w:szCs w:val="18"/>
              </w:rPr>
            </w:pPr>
          </w:p>
          <w:p w14:paraId="267A1372" w14:textId="77777777" w:rsidR="00B90980" w:rsidRPr="0016385E" w:rsidRDefault="00B90980" w:rsidP="00377484">
            <w:pPr>
              <w:rPr>
                <w:sz w:val="18"/>
                <w:szCs w:val="18"/>
              </w:rPr>
            </w:pPr>
          </w:p>
          <w:p w14:paraId="6414C98D" w14:textId="77777777" w:rsidR="00B90980" w:rsidRPr="0016385E" w:rsidRDefault="00B90980" w:rsidP="00377484">
            <w:pPr>
              <w:rPr>
                <w:sz w:val="18"/>
                <w:szCs w:val="18"/>
              </w:rPr>
            </w:pPr>
          </w:p>
          <w:p w14:paraId="1332BE89" w14:textId="77777777" w:rsidR="00231BA2" w:rsidRPr="0016385E" w:rsidRDefault="00231BA2" w:rsidP="00377484">
            <w:pPr>
              <w:rPr>
                <w:sz w:val="18"/>
                <w:szCs w:val="18"/>
              </w:rPr>
            </w:pPr>
          </w:p>
          <w:p w14:paraId="324105F4" w14:textId="77777777" w:rsidR="00231BA2" w:rsidRPr="0016385E" w:rsidRDefault="00231BA2" w:rsidP="00377484">
            <w:pPr>
              <w:rPr>
                <w:sz w:val="18"/>
                <w:szCs w:val="18"/>
              </w:rPr>
            </w:pPr>
          </w:p>
          <w:p w14:paraId="00EEC1FC" w14:textId="77777777" w:rsidR="00231BA2" w:rsidRPr="0016385E" w:rsidRDefault="00231BA2" w:rsidP="00377484">
            <w:pPr>
              <w:rPr>
                <w:sz w:val="18"/>
                <w:szCs w:val="18"/>
              </w:rPr>
            </w:pPr>
          </w:p>
          <w:p w14:paraId="1C537BBD" w14:textId="5A7AEFAD" w:rsidR="00D07553" w:rsidRPr="0016385E" w:rsidRDefault="00D07553" w:rsidP="00377484">
            <w:pPr>
              <w:rPr>
                <w:sz w:val="18"/>
                <w:szCs w:val="18"/>
              </w:rPr>
            </w:pPr>
            <w:r w:rsidRPr="0016385E">
              <w:rPr>
                <w:sz w:val="18"/>
                <w:szCs w:val="18"/>
              </w:rPr>
              <w:t>Survey on poverty and extreme poverty</w:t>
            </w:r>
            <w:r w:rsidR="00B41F25" w:rsidRPr="0016385E">
              <w:rPr>
                <w:sz w:val="18"/>
                <w:szCs w:val="18"/>
              </w:rPr>
              <w:t>, National Statistics Institute</w:t>
            </w:r>
            <w:r w:rsidRPr="0016385E">
              <w:rPr>
                <w:sz w:val="18"/>
                <w:szCs w:val="18"/>
              </w:rPr>
              <w:t xml:space="preserve"> (INSTAT), next survey in 2021</w:t>
            </w:r>
          </w:p>
          <w:p w14:paraId="49BED1FC" w14:textId="77777777" w:rsidR="00D07553" w:rsidRPr="0016385E" w:rsidRDefault="00D07553" w:rsidP="00377484">
            <w:pPr>
              <w:rPr>
                <w:sz w:val="18"/>
                <w:szCs w:val="18"/>
              </w:rPr>
            </w:pPr>
          </w:p>
          <w:p w14:paraId="17A75F85" w14:textId="77777777" w:rsidR="00B90980" w:rsidRPr="0016385E" w:rsidRDefault="00B90980" w:rsidP="00133C73">
            <w:pPr>
              <w:rPr>
                <w:sz w:val="18"/>
                <w:szCs w:val="18"/>
              </w:rPr>
            </w:pPr>
          </w:p>
          <w:p w14:paraId="533608E2" w14:textId="77777777" w:rsidR="00B90980" w:rsidRPr="0016385E" w:rsidRDefault="00B90980" w:rsidP="00133C73">
            <w:pPr>
              <w:rPr>
                <w:sz w:val="18"/>
                <w:szCs w:val="18"/>
              </w:rPr>
            </w:pPr>
          </w:p>
          <w:p w14:paraId="1B1238F3" w14:textId="77777777" w:rsidR="00B90980" w:rsidRPr="0016385E" w:rsidRDefault="00B90980" w:rsidP="00133C73">
            <w:pPr>
              <w:rPr>
                <w:sz w:val="18"/>
                <w:szCs w:val="18"/>
              </w:rPr>
            </w:pPr>
          </w:p>
          <w:p w14:paraId="464258C3" w14:textId="77777777" w:rsidR="00B90980" w:rsidRPr="0016385E" w:rsidRDefault="00B90980" w:rsidP="00133C73">
            <w:pPr>
              <w:rPr>
                <w:sz w:val="18"/>
                <w:szCs w:val="18"/>
              </w:rPr>
            </w:pPr>
          </w:p>
          <w:p w14:paraId="07806BFD" w14:textId="77777777" w:rsidR="00B90980" w:rsidRPr="0016385E" w:rsidRDefault="00B90980" w:rsidP="00133C73">
            <w:pPr>
              <w:rPr>
                <w:sz w:val="18"/>
                <w:szCs w:val="18"/>
              </w:rPr>
            </w:pPr>
          </w:p>
          <w:p w14:paraId="6D77CE3B" w14:textId="2C14AE3B" w:rsidR="00D07553" w:rsidRPr="0016385E" w:rsidRDefault="00D07553" w:rsidP="00BA2C66">
            <w:pPr>
              <w:rPr>
                <w:sz w:val="18"/>
                <w:szCs w:val="18"/>
              </w:rPr>
            </w:pPr>
            <w:r w:rsidRPr="0016385E">
              <w:rPr>
                <w:sz w:val="18"/>
                <w:szCs w:val="18"/>
              </w:rPr>
              <w:t>Employment survey</w:t>
            </w:r>
            <w:r w:rsidR="00B41F25" w:rsidRPr="0016385E">
              <w:rPr>
                <w:sz w:val="18"/>
                <w:szCs w:val="18"/>
              </w:rPr>
              <w:t xml:space="preserve">, </w:t>
            </w:r>
            <w:r w:rsidRPr="0016385E">
              <w:rPr>
                <w:sz w:val="18"/>
                <w:szCs w:val="18"/>
              </w:rPr>
              <w:t>INSTAT</w:t>
            </w:r>
            <w:r w:rsidR="00BA2C66" w:rsidRPr="0016385E">
              <w:rPr>
                <w:sz w:val="18"/>
                <w:szCs w:val="18"/>
              </w:rPr>
              <w:t xml:space="preserve"> </w:t>
            </w:r>
          </w:p>
        </w:tc>
        <w:tc>
          <w:tcPr>
            <w:tcW w:w="1854" w:type="pct"/>
            <w:vMerge w:val="restart"/>
            <w:tcMar>
              <w:top w:w="72" w:type="dxa"/>
              <w:left w:w="144" w:type="dxa"/>
              <w:bottom w:w="72" w:type="dxa"/>
              <w:right w:w="144" w:type="dxa"/>
            </w:tcMar>
          </w:tcPr>
          <w:p w14:paraId="2F1658A1" w14:textId="1C4FE95F" w:rsidR="00D07553" w:rsidRPr="0016385E" w:rsidRDefault="00D07553" w:rsidP="00177A8E">
            <w:pPr>
              <w:rPr>
                <w:b/>
                <w:bCs/>
                <w:color w:val="000000"/>
                <w:sz w:val="18"/>
                <w:szCs w:val="18"/>
              </w:rPr>
            </w:pPr>
            <w:r w:rsidRPr="0016385E">
              <w:rPr>
                <w:b/>
                <w:bCs/>
                <w:color w:val="000000"/>
                <w:sz w:val="18"/>
                <w:szCs w:val="18"/>
              </w:rPr>
              <w:t>Output 2.1</w:t>
            </w:r>
            <w:r w:rsidR="00BA2C66" w:rsidRPr="0016385E">
              <w:rPr>
                <w:b/>
                <w:bCs/>
                <w:color w:val="000000"/>
                <w:sz w:val="18"/>
                <w:szCs w:val="18"/>
              </w:rPr>
              <w:t>.</w:t>
            </w:r>
            <w:r w:rsidRPr="0016385E">
              <w:rPr>
                <w:b/>
                <w:bCs/>
                <w:color w:val="000000"/>
                <w:sz w:val="18"/>
                <w:szCs w:val="18"/>
              </w:rPr>
              <w:t xml:space="preserve"> Innovative measures in place to increase women</w:t>
            </w:r>
            <w:r w:rsidR="007A0992" w:rsidRPr="0016385E">
              <w:rPr>
                <w:b/>
                <w:bCs/>
                <w:color w:val="000000"/>
                <w:sz w:val="18"/>
                <w:szCs w:val="18"/>
              </w:rPr>
              <w:t>’s</w:t>
            </w:r>
            <w:r w:rsidRPr="0016385E">
              <w:rPr>
                <w:b/>
                <w:bCs/>
                <w:color w:val="000000"/>
                <w:sz w:val="18"/>
                <w:szCs w:val="18"/>
              </w:rPr>
              <w:t xml:space="preserve"> and youth empowerment and participation in econom</w:t>
            </w:r>
            <w:r w:rsidR="001465D8" w:rsidRPr="0016385E">
              <w:rPr>
                <w:b/>
                <w:bCs/>
                <w:color w:val="000000"/>
                <w:sz w:val="18"/>
                <w:szCs w:val="18"/>
              </w:rPr>
              <w:t>ic</w:t>
            </w:r>
            <w:r w:rsidRPr="0016385E">
              <w:rPr>
                <w:b/>
                <w:bCs/>
                <w:color w:val="000000"/>
                <w:sz w:val="18"/>
                <w:szCs w:val="18"/>
              </w:rPr>
              <w:t xml:space="preserve"> development processes in the green and blue economy</w:t>
            </w:r>
            <w:r w:rsidR="007A0992" w:rsidRPr="0016385E">
              <w:rPr>
                <w:b/>
                <w:bCs/>
                <w:color w:val="000000"/>
                <w:sz w:val="18"/>
                <w:szCs w:val="18"/>
              </w:rPr>
              <w:t xml:space="preserve"> sector</w:t>
            </w:r>
          </w:p>
          <w:p w14:paraId="40674982" w14:textId="40B89117" w:rsidR="00D07553" w:rsidRPr="00882056" w:rsidRDefault="00D07553" w:rsidP="005A6E02">
            <w:pPr>
              <w:rPr>
                <w:bCs/>
                <w:sz w:val="18"/>
                <w:szCs w:val="18"/>
              </w:rPr>
            </w:pPr>
            <w:r w:rsidRPr="00882056">
              <w:rPr>
                <w:b/>
                <w:sz w:val="18"/>
                <w:szCs w:val="18"/>
              </w:rPr>
              <w:t>Indicator 2.1.1</w:t>
            </w:r>
            <w:r w:rsidR="007A0992" w:rsidRPr="00882056">
              <w:rPr>
                <w:b/>
                <w:sz w:val="18"/>
                <w:szCs w:val="18"/>
              </w:rPr>
              <w:t>.</w:t>
            </w:r>
            <w:r w:rsidRPr="00882056">
              <w:rPr>
                <w:b/>
                <w:sz w:val="18"/>
                <w:szCs w:val="18"/>
              </w:rPr>
              <w:t xml:space="preserve"> </w:t>
            </w:r>
            <w:r w:rsidRPr="00882056">
              <w:rPr>
                <w:bCs/>
                <w:sz w:val="18"/>
                <w:szCs w:val="18"/>
              </w:rPr>
              <w:t>Number of innovative</w:t>
            </w:r>
            <w:r w:rsidR="00B4714B" w:rsidRPr="00882056">
              <w:rPr>
                <w:bCs/>
                <w:sz w:val="18"/>
                <w:szCs w:val="18"/>
              </w:rPr>
              <w:t xml:space="preserve"> </w:t>
            </w:r>
            <w:r w:rsidRPr="00882056">
              <w:rPr>
                <w:bCs/>
                <w:sz w:val="18"/>
                <w:szCs w:val="18"/>
              </w:rPr>
              <w:t xml:space="preserve">incubators led by women and youth in the sector of green and blue economy supported </w:t>
            </w:r>
          </w:p>
          <w:p w14:paraId="7D3AA5CF" w14:textId="19724C22" w:rsidR="00D07553" w:rsidRPr="0016385E" w:rsidRDefault="00D07553" w:rsidP="005A6E02">
            <w:pPr>
              <w:rPr>
                <w:color w:val="000000"/>
                <w:sz w:val="18"/>
                <w:szCs w:val="18"/>
              </w:rPr>
            </w:pPr>
            <w:r w:rsidRPr="0016385E">
              <w:rPr>
                <w:color w:val="000000"/>
                <w:sz w:val="18"/>
                <w:szCs w:val="18"/>
              </w:rPr>
              <w:t>Baseline (2020):30</w:t>
            </w:r>
          </w:p>
          <w:p w14:paraId="4DF7F055" w14:textId="7DABB8CA" w:rsidR="00D07553" w:rsidRPr="0016385E" w:rsidRDefault="00D07553" w:rsidP="005A6E02">
            <w:pPr>
              <w:rPr>
                <w:color w:val="000000"/>
                <w:sz w:val="18"/>
                <w:szCs w:val="18"/>
              </w:rPr>
            </w:pPr>
            <w:r w:rsidRPr="0016385E">
              <w:rPr>
                <w:color w:val="000000"/>
                <w:sz w:val="18"/>
                <w:szCs w:val="18"/>
              </w:rPr>
              <w:t>Target (2023):</w:t>
            </w:r>
            <w:r w:rsidR="00725574" w:rsidRPr="0016385E">
              <w:rPr>
                <w:color w:val="000000"/>
                <w:sz w:val="18"/>
                <w:szCs w:val="18"/>
              </w:rPr>
              <w:t>130</w:t>
            </w:r>
          </w:p>
          <w:p w14:paraId="53EB744E" w14:textId="4B3481FF" w:rsidR="00D07553" w:rsidRPr="0016385E" w:rsidRDefault="00D07553" w:rsidP="001D6E3E">
            <w:pPr>
              <w:rPr>
                <w:b/>
                <w:bCs/>
                <w:color w:val="000000"/>
                <w:sz w:val="18"/>
                <w:szCs w:val="18"/>
              </w:rPr>
            </w:pPr>
            <w:r w:rsidRPr="0016385E">
              <w:rPr>
                <w:i/>
                <w:iCs/>
                <w:color w:val="000000"/>
                <w:sz w:val="18"/>
                <w:szCs w:val="18"/>
              </w:rPr>
              <w:t xml:space="preserve">Data </w:t>
            </w:r>
            <w:r w:rsidR="007A0992" w:rsidRPr="0016385E">
              <w:rPr>
                <w:i/>
                <w:iCs/>
                <w:color w:val="000000"/>
                <w:sz w:val="18"/>
                <w:szCs w:val="18"/>
              </w:rPr>
              <w:t>s</w:t>
            </w:r>
            <w:r w:rsidRPr="0016385E">
              <w:rPr>
                <w:i/>
                <w:iCs/>
                <w:color w:val="000000"/>
                <w:sz w:val="18"/>
                <w:szCs w:val="18"/>
              </w:rPr>
              <w:t xml:space="preserve">ource: MEF </w:t>
            </w:r>
            <w:r w:rsidR="007A0992" w:rsidRPr="0016385E">
              <w:rPr>
                <w:i/>
                <w:iCs/>
                <w:color w:val="000000"/>
                <w:sz w:val="18"/>
                <w:szCs w:val="18"/>
              </w:rPr>
              <w:t>r</w:t>
            </w:r>
            <w:r w:rsidRPr="0016385E">
              <w:rPr>
                <w:i/>
                <w:iCs/>
                <w:color w:val="000000"/>
                <w:sz w:val="18"/>
                <w:szCs w:val="18"/>
              </w:rPr>
              <w:t xml:space="preserve">eports; Frequency: </w:t>
            </w:r>
            <w:r w:rsidR="007A0992" w:rsidRPr="0016385E">
              <w:rPr>
                <w:i/>
                <w:iCs/>
                <w:color w:val="000000"/>
                <w:sz w:val="18"/>
                <w:szCs w:val="18"/>
              </w:rPr>
              <w:t>a</w:t>
            </w:r>
            <w:r w:rsidRPr="0016385E">
              <w:rPr>
                <w:i/>
                <w:iCs/>
                <w:color w:val="000000"/>
                <w:sz w:val="18"/>
                <w:szCs w:val="18"/>
              </w:rPr>
              <w:t>nnual</w:t>
            </w:r>
          </w:p>
          <w:p w14:paraId="35AE79D0" w14:textId="21D81818" w:rsidR="00D07553" w:rsidRPr="00882056" w:rsidRDefault="00D07553" w:rsidP="00242947">
            <w:pPr>
              <w:rPr>
                <w:i/>
                <w:iCs/>
                <w:color w:val="000000"/>
                <w:sz w:val="18"/>
                <w:szCs w:val="18"/>
              </w:rPr>
            </w:pPr>
            <w:r w:rsidRPr="0016385E">
              <w:rPr>
                <w:b/>
                <w:bCs/>
                <w:color w:val="000000"/>
                <w:sz w:val="18"/>
                <w:szCs w:val="18"/>
              </w:rPr>
              <w:t>Indicator 2.1.2</w:t>
            </w:r>
            <w:r w:rsidR="007A0992" w:rsidRPr="0016385E">
              <w:rPr>
                <w:b/>
                <w:bCs/>
                <w:color w:val="000000"/>
                <w:sz w:val="18"/>
                <w:szCs w:val="18"/>
              </w:rPr>
              <w:t>.</w:t>
            </w:r>
            <w:r w:rsidRPr="0016385E">
              <w:rPr>
                <w:color w:val="000000"/>
                <w:sz w:val="18"/>
                <w:szCs w:val="18"/>
              </w:rPr>
              <w:t xml:space="preserve"> </w:t>
            </w:r>
            <w:r w:rsidR="004C3104" w:rsidRPr="0016385E">
              <w:rPr>
                <w:color w:val="000000"/>
                <w:sz w:val="18"/>
                <w:szCs w:val="18"/>
              </w:rPr>
              <w:t xml:space="preserve">Number of </w:t>
            </w:r>
            <w:r w:rsidR="007A0992" w:rsidRPr="00882056">
              <w:rPr>
                <w:bCs/>
                <w:color w:val="000000"/>
                <w:sz w:val="18"/>
                <w:szCs w:val="18"/>
              </w:rPr>
              <w:t>f</w:t>
            </w:r>
            <w:r w:rsidRPr="00882056">
              <w:rPr>
                <w:bCs/>
                <w:color w:val="000000"/>
                <w:sz w:val="18"/>
                <w:szCs w:val="18"/>
              </w:rPr>
              <w:t xml:space="preserve">inancial </w:t>
            </w:r>
            <w:r w:rsidR="00E75CAC" w:rsidRPr="00882056">
              <w:rPr>
                <w:bCs/>
                <w:color w:val="000000"/>
                <w:sz w:val="18"/>
                <w:szCs w:val="18"/>
              </w:rPr>
              <w:t xml:space="preserve">de-risking </w:t>
            </w:r>
            <w:r w:rsidRPr="00882056">
              <w:rPr>
                <w:bCs/>
                <w:color w:val="000000"/>
                <w:sz w:val="18"/>
                <w:szCs w:val="18"/>
              </w:rPr>
              <w:t>instrument</w:t>
            </w:r>
            <w:r w:rsidR="007A0992" w:rsidRPr="00882056">
              <w:rPr>
                <w:bCs/>
                <w:color w:val="000000"/>
                <w:sz w:val="18"/>
                <w:szCs w:val="18"/>
              </w:rPr>
              <w:t>s</w:t>
            </w:r>
            <w:r w:rsidRPr="00882056">
              <w:rPr>
                <w:bCs/>
                <w:color w:val="000000"/>
                <w:sz w:val="18"/>
                <w:szCs w:val="18"/>
              </w:rPr>
              <w:t xml:space="preserve"> in place benefiting women and youth entrepreneurs.</w:t>
            </w:r>
          </w:p>
          <w:p w14:paraId="12FA9D40" w14:textId="0BD2D5DE" w:rsidR="00D07553" w:rsidRPr="00882056" w:rsidRDefault="00D07553" w:rsidP="00297D59">
            <w:pPr>
              <w:rPr>
                <w:color w:val="000000"/>
                <w:sz w:val="18"/>
                <w:szCs w:val="18"/>
              </w:rPr>
            </w:pPr>
            <w:r w:rsidRPr="00882056">
              <w:rPr>
                <w:color w:val="000000"/>
                <w:sz w:val="18"/>
                <w:szCs w:val="18"/>
              </w:rPr>
              <w:t>Baseline (2021): 0</w:t>
            </w:r>
          </w:p>
          <w:p w14:paraId="336F6748" w14:textId="2A1C7E41" w:rsidR="00D07553" w:rsidRPr="0016385E" w:rsidRDefault="00D07553" w:rsidP="00297D59">
            <w:pPr>
              <w:rPr>
                <w:color w:val="000000"/>
                <w:sz w:val="18"/>
                <w:szCs w:val="18"/>
              </w:rPr>
            </w:pPr>
            <w:r w:rsidRPr="0016385E">
              <w:rPr>
                <w:color w:val="000000"/>
                <w:sz w:val="18"/>
                <w:szCs w:val="18"/>
              </w:rPr>
              <w:t>Target (2023): 1</w:t>
            </w:r>
          </w:p>
          <w:p w14:paraId="640853A7" w14:textId="4242D1A9" w:rsidR="00D07553" w:rsidRPr="0016385E" w:rsidRDefault="00D07553" w:rsidP="000131D6">
            <w:pPr>
              <w:rPr>
                <w:b/>
                <w:bCs/>
                <w:color w:val="000000"/>
                <w:sz w:val="18"/>
                <w:szCs w:val="18"/>
              </w:rPr>
            </w:pPr>
            <w:r w:rsidRPr="0016385E">
              <w:rPr>
                <w:i/>
                <w:iCs/>
                <w:color w:val="000000"/>
                <w:sz w:val="18"/>
                <w:szCs w:val="18"/>
              </w:rPr>
              <w:t xml:space="preserve">Data </w:t>
            </w:r>
            <w:r w:rsidR="007A0992" w:rsidRPr="0016385E">
              <w:rPr>
                <w:i/>
                <w:iCs/>
                <w:color w:val="000000"/>
                <w:sz w:val="18"/>
                <w:szCs w:val="18"/>
              </w:rPr>
              <w:t>s</w:t>
            </w:r>
            <w:r w:rsidRPr="0016385E">
              <w:rPr>
                <w:i/>
                <w:iCs/>
                <w:color w:val="000000"/>
                <w:sz w:val="18"/>
                <w:szCs w:val="18"/>
              </w:rPr>
              <w:t xml:space="preserve">ource: MEF </w:t>
            </w:r>
            <w:r w:rsidR="007A0992" w:rsidRPr="0016385E">
              <w:rPr>
                <w:i/>
                <w:iCs/>
                <w:color w:val="000000"/>
                <w:sz w:val="18"/>
                <w:szCs w:val="18"/>
              </w:rPr>
              <w:t>r</w:t>
            </w:r>
            <w:r w:rsidRPr="0016385E">
              <w:rPr>
                <w:i/>
                <w:iCs/>
                <w:color w:val="000000"/>
                <w:sz w:val="18"/>
                <w:szCs w:val="18"/>
              </w:rPr>
              <w:t xml:space="preserve">eports; Frequency: </w:t>
            </w:r>
            <w:r w:rsidR="007A0992" w:rsidRPr="0016385E">
              <w:rPr>
                <w:i/>
                <w:iCs/>
                <w:color w:val="000000"/>
                <w:sz w:val="18"/>
                <w:szCs w:val="18"/>
              </w:rPr>
              <w:t>a</w:t>
            </w:r>
            <w:r w:rsidRPr="0016385E">
              <w:rPr>
                <w:i/>
                <w:iCs/>
                <w:color w:val="000000"/>
                <w:sz w:val="18"/>
                <w:szCs w:val="18"/>
              </w:rPr>
              <w:t>nnual</w:t>
            </w:r>
          </w:p>
          <w:p w14:paraId="77E67CD0" w14:textId="6C25DC21" w:rsidR="00D07553" w:rsidRPr="0016385E" w:rsidRDefault="00D07553" w:rsidP="00882760">
            <w:pPr>
              <w:rPr>
                <w:sz w:val="18"/>
                <w:szCs w:val="18"/>
              </w:rPr>
            </w:pPr>
            <w:r w:rsidRPr="0016385E">
              <w:rPr>
                <w:b/>
                <w:bCs/>
                <w:color w:val="000000"/>
                <w:sz w:val="18"/>
                <w:szCs w:val="18"/>
              </w:rPr>
              <w:t>Indicator 2.1.3</w:t>
            </w:r>
            <w:r w:rsidR="007A0992" w:rsidRPr="0016385E">
              <w:rPr>
                <w:b/>
                <w:bCs/>
                <w:color w:val="000000"/>
                <w:sz w:val="18"/>
                <w:szCs w:val="18"/>
              </w:rPr>
              <w:t>.</w:t>
            </w:r>
            <w:r w:rsidRPr="0016385E">
              <w:rPr>
                <w:b/>
                <w:color w:val="000000"/>
                <w:sz w:val="18"/>
                <w:szCs w:val="18"/>
              </w:rPr>
              <w:t xml:space="preserve"> </w:t>
            </w:r>
            <w:r w:rsidRPr="0016385E">
              <w:rPr>
                <w:color w:val="000000"/>
                <w:sz w:val="18"/>
                <w:szCs w:val="18"/>
              </w:rPr>
              <w:t>Number of new households benefiting from livelihoods and cash transfers through social protection scheme to encourage transition to green and blue job</w:t>
            </w:r>
            <w:r w:rsidR="007A0992" w:rsidRPr="0016385E">
              <w:rPr>
                <w:color w:val="000000"/>
                <w:sz w:val="18"/>
                <w:szCs w:val="18"/>
              </w:rPr>
              <w:t>s</w:t>
            </w:r>
            <w:r w:rsidR="00660C09" w:rsidRPr="0016385E">
              <w:rPr>
                <w:color w:val="000000"/>
                <w:sz w:val="18"/>
                <w:szCs w:val="18"/>
              </w:rPr>
              <w:t xml:space="preserve"> whil</w:t>
            </w:r>
            <w:r w:rsidR="007A0992" w:rsidRPr="0016385E">
              <w:rPr>
                <w:color w:val="000000"/>
                <w:sz w:val="18"/>
                <w:szCs w:val="18"/>
              </w:rPr>
              <w:t>e</w:t>
            </w:r>
            <w:r w:rsidR="00660C09" w:rsidRPr="0016385E">
              <w:rPr>
                <w:color w:val="000000"/>
                <w:sz w:val="18"/>
                <w:szCs w:val="18"/>
              </w:rPr>
              <w:t xml:space="preserve"> </w:t>
            </w:r>
            <w:r w:rsidR="000670BB" w:rsidRPr="0016385E">
              <w:rPr>
                <w:color w:val="000000"/>
                <w:sz w:val="18"/>
                <w:szCs w:val="18"/>
              </w:rPr>
              <w:t>discourag</w:t>
            </w:r>
            <w:r w:rsidR="00660C09" w:rsidRPr="0016385E">
              <w:rPr>
                <w:color w:val="000000"/>
                <w:sz w:val="18"/>
                <w:szCs w:val="18"/>
              </w:rPr>
              <w:t>ing</w:t>
            </w:r>
            <w:r w:rsidR="000670BB" w:rsidRPr="0016385E">
              <w:rPr>
                <w:color w:val="000000"/>
                <w:sz w:val="18"/>
                <w:szCs w:val="18"/>
              </w:rPr>
              <w:t xml:space="preserve"> harmful environmental practices</w:t>
            </w:r>
          </w:p>
          <w:p w14:paraId="4A451AD9" w14:textId="62BDF439" w:rsidR="00D07553" w:rsidRPr="0016385E" w:rsidRDefault="00D07553" w:rsidP="001A150F">
            <w:pPr>
              <w:rPr>
                <w:color w:val="000000"/>
                <w:sz w:val="18"/>
                <w:szCs w:val="18"/>
              </w:rPr>
            </w:pPr>
            <w:r w:rsidRPr="0016385E">
              <w:rPr>
                <w:color w:val="000000"/>
                <w:sz w:val="18"/>
                <w:szCs w:val="18"/>
              </w:rPr>
              <w:t>Baseline (2021):</w:t>
            </w:r>
            <w:r w:rsidR="007A0992" w:rsidRPr="0016385E">
              <w:rPr>
                <w:color w:val="000000"/>
                <w:sz w:val="18"/>
                <w:szCs w:val="18"/>
              </w:rPr>
              <w:t xml:space="preserve"> </w:t>
            </w:r>
            <w:r w:rsidRPr="0016385E">
              <w:rPr>
                <w:color w:val="000000"/>
                <w:sz w:val="18"/>
                <w:szCs w:val="18"/>
              </w:rPr>
              <w:t>0</w:t>
            </w:r>
          </w:p>
          <w:p w14:paraId="5823C0B6" w14:textId="2C4F289E" w:rsidR="00D07553" w:rsidRPr="0016385E" w:rsidRDefault="00D07553" w:rsidP="001A150F">
            <w:pPr>
              <w:rPr>
                <w:color w:val="000000"/>
                <w:sz w:val="18"/>
                <w:szCs w:val="18"/>
              </w:rPr>
            </w:pPr>
            <w:r w:rsidRPr="0016385E">
              <w:rPr>
                <w:color w:val="000000"/>
                <w:sz w:val="18"/>
                <w:szCs w:val="18"/>
              </w:rPr>
              <w:t>Target (2023):</w:t>
            </w:r>
            <w:r w:rsidR="007A0992" w:rsidRPr="0016385E">
              <w:rPr>
                <w:color w:val="000000"/>
                <w:sz w:val="18"/>
                <w:szCs w:val="18"/>
              </w:rPr>
              <w:t xml:space="preserve"> </w:t>
            </w:r>
            <w:r w:rsidR="0052710E" w:rsidRPr="0016385E">
              <w:rPr>
                <w:color w:val="000000"/>
                <w:sz w:val="18"/>
                <w:szCs w:val="18"/>
              </w:rPr>
              <w:t>2</w:t>
            </w:r>
            <w:r w:rsidRPr="0016385E">
              <w:rPr>
                <w:color w:val="000000"/>
                <w:sz w:val="18"/>
                <w:szCs w:val="18"/>
              </w:rPr>
              <w:t>,000 (50% women-headed)</w:t>
            </w:r>
          </w:p>
          <w:p w14:paraId="6A2AD921" w14:textId="0F0D153F" w:rsidR="00D07553" w:rsidRPr="0016385E" w:rsidRDefault="00D07553" w:rsidP="00650FBD">
            <w:pPr>
              <w:rPr>
                <w:i/>
                <w:iCs/>
                <w:color w:val="000000"/>
                <w:sz w:val="18"/>
                <w:szCs w:val="18"/>
              </w:rPr>
            </w:pPr>
            <w:r w:rsidRPr="0016385E">
              <w:rPr>
                <w:i/>
                <w:iCs/>
                <w:color w:val="000000"/>
                <w:sz w:val="18"/>
                <w:szCs w:val="18"/>
              </w:rPr>
              <w:t xml:space="preserve">Data </w:t>
            </w:r>
            <w:r w:rsidR="007A0992" w:rsidRPr="0016385E">
              <w:rPr>
                <w:i/>
                <w:iCs/>
                <w:color w:val="000000"/>
                <w:sz w:val="18"/>
                <w:szCs w:val="18"/>
              </w:rPr>
              <w:t>s</w:t>
            </w:r>
            <w:r w:rsidRPr="0016385E">
              <w:rPr>
                <w:i/>
                <w:iCs/>
                <w:color w:val="000000"/>
                <w:sz w:val="18"/>
                <w:szCs w:val="18"/>
              </w:rPr>
              <w:t xml:space="preserve">ource: MEF </w:t>
            </w:r>
            <w:r w:rsidR="007A0992" w:rsidRPr="0016385E">
              <w:rPr>
                <w:i/>
                <w:iCs/>
                <w:color w:val="000000"/>
                <w:sz w:val="18"/>
                <w:szCs w:val="18"/>
              </w:rPr>
              <w:t>r</w:t>
            </w:r>
            <w:r w:rsidRPr="0016385E">
              <w:rPr>
                <w:i/>
                <w:iCs/>
                <w:color w:val="000000"/>
                <w:sz w:val="18"/>
                <w:szCs w:val="18"/>
              </w:rPr>
              <w:t xml:space="preserve">eports; Frequency: </w:t>
            </w:r>
            <w:r w:rsidR="007A0992" w:rsidRPr="0016385E">
              <w:rPr>
                <w:i/>
                <w:iCs/>
                <w:color w:val="000000"/>
                <w:sz w:val="18"/>
                <w:szCs w:val="18"/>
              </w:rPr>
              <w:t>a</w:t>
            </w:r>
            <w:r w:rsidRPr="0016385E">
              <w:rPr>
                <w:i/>
                <w:iCs/>
                <w:color w:val="000000"/>
                <w:sz w:val="18"/>
                <w:szCs w:val="18"/>
              </w:rPr>
              <w:t>nnual</w:t>
            </w:r>
          </w:p>
        </w:tc>
        <w:tc>
          <w:tcPr>
            <w:tcW w:w="729" w:type="pct"/>
            <w:vMerge w:val="restart"/>
          </w:tcPr>
          <w:p w14:paraId="5186F3B4" w14:textId="77777777" w:rsidR="007A0992" w:rsidRPr="0016385E" w:rsidRDefault="007A0992" w:rsidP="001A2F1E">
            <w:pPr>
              <w:rPr>
                <w:sz w:val="18"/>
                <w:szCs w:val="18"/>
              </w:rPr>
            </w:pPr>
          </w:p>
          <w:p w14:paraId="41402F96" w14:textId="77777777" w:rsidR="007A0992" w:rsidRPr="0016385E" w:rsidRDefault="007A0992" w:rsidP="001A2F1E">
            <w:pPr>
              <w:rPr>
                <w:sz w:val="18"/>
                <w:szCs w:val="18"/>
              </w:rPr>
            </w:pPr>
          </w:p>
          <w:p w14:paraId="566E563F" w14:textId="77777777" w:rsidR="007A0992" w:rsidRPr="0016385E" w:rsidRDefault="007A0992" w:rsidP="001A2F1E">
            <w:pPr>
              <w:rPr>
                <w:sz w:val="18"/>
                <w:szCs w:val="18"/>
              </w:rPr>
            </w:pPr>
          </w:p>
          <w:p w14:paraId="6B9268E9" w14:textId="5FA359B3" w:rsidR="00D07553" w:rsidRPr="0016385E" w:rsidRDefault="00D07553" w:rsidP="001A2F1E">
            <w:pPr>
              <w:rPr>
                <w:sz w:val="18"/>
                <w:szCs w:val="18"/>
              </w:rPr>
            </w:pPr>
            <w:r w:rsidRPr="0016385E">
              <w:rPr>
                <w:sz w:val="18"/>
                <w:szCs w:val="18"/>
              </w:rPr>
              <w:t>MEF</w:t>
            </w:r>
          </w:p>
          <w:p w14:paraId="5FC71E54" w14:textId="77777777" w:rsidR="009153B0" w:rsidRPr="0016385E" w:rsidRDefault="009153B0" w:rsidP="001A2F1E">
            <w:pPr>
              <w:rPr>
                <w:sz w:val="18"/>
                <w:szCs w:val="18"/>
              </w:rPr>
            </w:pPr>
          </w:p>
          <w:p w14:paraId="6F73023E" w14:textId="18B50205" w:rsidR="00D07553" w:rsidRPr="00882056" w:rsidRDefault="00D07553" w:rsidP="00714C12">
            <w:pPr>
              <w:rPr>
                <w:sz w:val="18"/>
                <w:szCs w:val="18"/>
              </w:rPr>
            </w:pPr>
            <w:r w:rsidRPr="0016385E">
              <w:rPr>
                <w:sz w:val="18"/>
                <w:szCs w:val="18"/>
              </w:rPr>
              <w:t>MICA</w:t>
            </w:r>
          </w:p>
          <w:p w14:paraId="758C13D9" w14:textId="77777777" w:rsidR="00D07553" w:rsidRPr="0016385E" w:rsidRDefault="00D07553" w:rsidP="00F5671B">
            <w:pPr>
              <w:rPr>
                <w:sz w:val="18"/>
                <w:szCs w:val="18"/>
              </w:rPr>
            </w:pPr>
          </w:p>
          <w:p w14:paraId="38BEB1C1" w14:textId="7F9EC592" w:rsidR="00D07553" w:rsidRPr="00882056" w:rsidRDefault="00D07553" w:rsidP="00177A8E">
            <w:pPr>
              <w:rPr>
                <w:sz w:val="18"/>
                <w:szCs w:val="18"/>
              </w:rPr>
            </w:pPr>
            <w:r w:rsidRPr="00882056">
              <w:rPr>
                <w:sz w:val="18"/>
                <w:szCs w:val="18"/>
              </w:rPr>
              <w:t>Ministry of Livestock Agriculture and Fisheries</w:t>
            </w:r>
          </w:p>
          <w:p w14:paraId="15906DC0" w14:textId="77777777" w:rsidR="00D07553" w:rsidRPr="00882056" w:rsidRDefault="00D07553" w:rsidP="00177A8E">
            <w:pPr>
              <w:rPr>
                <w:sz w:val="18"/>
                <w:szCs w:val="18"/>
              </w:rPr>
            </w:pPr>
          </w:p>
          <w:p w14:paraId="02EEDD33" w14:textId="6439E622" w:rsidR="00D07553" w:rsidRPr="00882056" w:rsidRDefault="00D07553" w:rsidP="00177A8E">
            <w:pPr>
              <w:rPr>
                <w:sz w:val="18"/>
                <w:szCs w:val="18"/>
              </w:rPr>
            </w:pPr>
            <w:r w:rsidRPr="00882056">
              <w:rPr>
                <w:sz w:val="18"/>
                <w:szCs w:val="18"/>
              </w:rPr>
              <w:t>FAO; ILO</w:t>
            </w:r>
          </w:p>
          <w:p w14:paraId="35A3A1C1" w14:textId="61814413" w:rsidR="00D07553" w:rsidRPr="00882056" w:rsidRDefault="00D07553" w:rsidP="00177A8E">
            <w:pPr>
              <w:rPr>
                <w:sz w:val="18"/>
                <w:szCs w:val="18"/>
              </w:rPr>
            </w:pPr>
          </w:p>
          <w:p w14:paraId="371D7A60" w14:textId="731B330F" w:rsidR="00D07553" w:rsidRPr="00882056" w:rsidRDefault="00D07553" w:rsidP="00177A8E">
            <w:pPr>
              <w:rPr>
                <w:sz w:val="18"/>
                <w:szCs w:val="18"/>
              </w:rPr>
            </w:pPr>
            <w:r w:rsidRPr="00882056">
              <w:rPr>
                <w:sz w:val="18"/>
                <w:szCs w:val="18"/>
              </w:rPr>
              <w:t>U</w:t>
            </w:r>
            <w:r w:rsidR="007A0992" w:rsidRPr="00882056">
              <w:rPr>
                <w:sz w:val="18"/>
                <w:szCs w:val="18"/>
              </w:rPr>
              <w:t>nited States</w:t>
            </w:r>
            <w:r w:rsidRPr="00882056">
              <w:rPr>
                <w:sz w:val="18"/>
                <w:szCs w:val="18"/>
              </w:rPr>
              <w:t xml:space="preserve"> Department of Labo</w:t>
            </w:r>
            <w:r w:rsidR="007A0992" w:rsidRPr="00882056">
              <w:rPr>
                <w:sz w:val="18"/>
                <w:szCs w:val="18"/>
              </w:rPr>
              <w:t>u</w:t>
            </w:r>
            <w:r w:rsidRPr="00882056">
              <w:rPr>
                <w:sz w:val="18"/>
                <w:szCs w:val="18"/>
              </w:rPr>
              <w:t>r</w:t>
            </w:r>
          </w:p>
          <w:p w14:paraId="7F947C47" w14:textId="77777777" w:rsidR="00D07553" w:rsidRPr="00882056" w:rsidRDefault="00D07553" w:rsidP="00177A8E">
            <w:pPr>
              <w:rPr>
                <w:sz w:val="18"/>
                <w:szCs w:val="18"/>
              </w:rPr>
            </w:pPr>
          </w:p>
          <w:p w14:paraId="4CE4423F" w14:textId="33BE556B" w:rsidR="00D07553" w:rsidRPr="00882056" w:rsidRDefault="00D07553" w:rsidP="00177A8E">
            <w:pPr>
              <w:rPr>
                <w:sz w:val="18"/>
                <w:szCs w:val="18"/>
              </w:rPr>
            </w:pPr>
            <w:r w:rsidRPr="00882056">
              <w:rPr>
                <w:sz w:val="18"/>
                <w:szCs w:val="18"/>
              </w:rPr>
              <w:t xml:space="preserve">Group of Women Entrepreneurs, Group of Exporters of </w:t>
            </w:r>
            <w:r w:rsidR="007A0992" w:rsidRPr="00882056">
              <w:rPr>
                <w:sz w:val="18"/>
                <w:szCs w:val="18"/>
              </w:rPr>
              <w:t>E</w:t>
            </w:r>
            <w:r w:rsidRPr="00882056">
              <w:rPr>
                <w:sz w:val="18"/>
                <w:szCs w:val="18"/>
              </w:rPr>
              <w:t xml:space="preserve">ssential </w:t>
            </w:r>
            <w:r w:rsidR="007A0992" w:rsidRPr="00882056">
              <w:rPr>
                <w:sz w:val="18"/>
                <w:szCs w:val="18"/>
              </w:rPr>
              <w:t>O</w:t>
            </w:r>
            <w:r w:rsidRPr="00882056">
              <w:rPr>
                <w:sz w:val="18"/>
                <w:szCs w:val="18"/>
              </w:rPr>
              <w:t xml:space="preserve">ils </w:t>
            </w:r>
          </w:p>
          <w:p w14:paraId="43582A1D" w14:textId="28547FB1" w:rsidR="00D07553" w:rsidRPr="00882056" w:rsidRDefault="00D07553" w:rsidP="00177A8E">
            <w:pPr>
              <w:rPr>
                <w:sz w:val="18"/>
                <w:szCs w:val="18"/>
                <w:highlight w:val="yellow"/>
              </w:rPr>
            </w:pPr>
          </w:p>
          <w:p w14:paraId="0167B198" w14:textId="08F8B540" w:rsidR="00D07553" w:rsidRPr="00882056" w:rsidRDefault="00D07553" w:rsidP="00AE7D08">
            <w:pPr>
              <w:rPr>
                <w:sz w:val="18"/>
                <w:szCs w:val="18"/>
                <w:highlight w:val="yellow"/>
              </w:rPr>
            </w:pPr>
            <w:r w:rsidRPr="00882056">
              <w:rPr>
                <w:sz w:val="18"/>
                <w:szCs w:val="18"/>
              </w:rPr>
              <w:t xml:space="preserve">Civil Society Organization for Extractive Industries </w:t>
            </w:r>
          </w:p>
          <w:p w14:paraId="0AF4FDB1" w14:textId="77777777" w:rsidR="00D07553" w:rsidRPr="00882056" w:rsidRDefault="00D07553" w:rsidP="00177A8E">
            <w:pPr>
              <w:rPr>
                <w:i/>
                <w:iCs/>
                <w:color w:val="000000"/>
                <w:sz w:val="18"/>
                <w:szCs w:val="18"/>
              </w:rPr>
            </w:pPr>
          </w:p>
          <w:p w14:paraId="08DB68C2" w14:textId="77777777" w:rsidR="00D07553" w:rsidRPr="00882056" w:rsidRDefault="00D07553" w:rsidP="00177A8E">
            <w:pPr>
              <w:rPr>
                <w:i/>
                <w:iCs/>
                <w:color w:val="000000"/>
                <w:sz w:val="18"/>
                <w:szCs w:val="18"/>
              </w:rPr>
            </w:pPr>
          </w:p>
          <w:p w14:paraId="587CDC64" w14:textId="77777777" w:rsidR="00B41F25" w:rsidRPr="0016385E" w:rsidRDefault="00D07553" w:rsidP="00177A8E">
            <w:pPr>
              <w:rPr>
                <w:color w:val="000000"/>
                <w:sz w:val="18"/>
                <w:szCs w:val="18"/>
              </w:rPr>
            </w:pPr>
            <w:r w:rsidRPr="0016385E">
              <w:rPr>
                <w:color w:val="000000"/>
                <w:sz w:val="18"/>
                <w:szCs w:val="18"/>
              </w:rPr>
              <w:t>University of Antananarivo, Higher School of Agronomic Sciences,</w:t>
            </w:r>
          </w:p>
          <w:p w14:paraId="08D8A507" w14:textId="27DFB5A0" w:rsidR="00D07553" w:rsidRPr="0016385E" w:rsidRDefault="00B41F25" w:rsidP="00177A8E">
            <w:pPr>
              <w:rPr>
                <w:color w:val="000000"/>
                <w:sz w:val="18"/>
                <w:szCs w:val="18"/>
              </w:rPr>
            </w:pPr>
            <w:r w:rsidRPr="00882056">
              <w:rPr>
                <w:color w:val="000000"/>
                <w:sz w:val="18"/>
                <w:szCs w:val="18"/>
              </w:rPr>
              <w:t>International Union for Conservation of Nature</w:t>
            </w:r>
            <w:r w:rsidRPr="0016385E">
              <w:rPr>
                <w:color w:val="000000"/>
                <w:sz w:val="18"/>
                <w:szCs w:val="18"/>
              </w:rPr>
              <w:t xml:space="preserve"> (</w:t>
            </w:r>
            <w:r w:rsidR="00D07553" w:rsidRPr="0016385E">
              <w:rPr>
                <w:color w:val="000000"/>
                <w:sz w:val="18"/>
                <w:szCs w:val="18"/>
              </w:rPr>
              <w:t>IUCN</w:t>
            </w:r>
            <w:r w:rsidRPr="0016385E">
              <w:rPr>
                <w:color w:val="000000"/>
                <w:sz w:val="18"/>
                <w:szCs w:val="18"/>
              </w:rPr>
              <w:t>)</w:t>
            </w:r>
          </w:p>
        </w:tc>
        <w:tc>
          <w:tcPr>
            <w:tcW w:w="496" w:type="pct"/>
            <w:tcMar>
              <w:top w:w="15" w:type="dxa"/>
              <w:left w:w="108" w:type="dxa"/>
              <w:bottom w:w="0" w:type="dxa"/>
              <w:right w:w="108" w:type="dxa"/>
            </w:tcMar>
          </w:tcPr>
          <w:p w14:paraId="7A3FAF71" w14:textId="19451C3E" w:rsidR="00D07553" w:rsidRPr="0016385E" w:rsidRDefault="00D07553" w:rsidP="00177A8E">
            <w:pPr>
              <w:rPr>
                <w:b/>
                <w:color w:val="000000"/>
                <w:sz w:val="18"/>
                <w:szCs w:val="18"/>
              </w:rPr>
            </w:pPr>
            <w:r w:rsidRPr="0016385E">
              <w:rPr>
                <w:b/>
                <w:color w:val="000000"/>
                <w:sz w:val="18"/>
                <w:szCs w:val="18"/>
              </w:rPr>
              <w:t xml:space="preserve">Regular: </w:t>
            </w:r>
            <w:r w:rsidR="008A39E4">
              <w:rPr>
                <w:b/>
                <w:color w:val="000000"/>
                <w:sz w:val="18"/>
                <w:szCs w:val="18"/>
              </w:rPr>
              <w:t>14</w:t>
            </w:r>
            <w:r w:rsidR="007D76F1" w:rsidRPr="0016385E">
              <w:rPr>
                <w:b/>
                <w:color w:val="000000"/>
                <w:sz w:val="18"/>
                <w:szCs w:val="18"/>
              </w:rPr>
              <w:t>,80</w:t>
            </w:r>
            <w:r w:rsidR="008A39E4">
              <w:rPr>
                <w:b/>
                <w:color w:val="000000"/>
                <w:sz w:val="18"/>
                <w:szCs w:val="18"/>
              </w:rPr>
              <w:t>3</w:t>
            </w:r>
            <w:r w:rsidR="007D76F1" w:rsidRPr="0016385E">
              <w:rPr>
                <w:b/>
                <w:color w:val="000000"/>
                <w:sz w:val="18"/>
                <w:szCs w:val="18"/>
              </w:rPr>
              <w:t>,000</w:t>
            </w:r>
          </w:p>
        </w:tc>
      </w:tr>
      <w:tr w:rsidR="00D07553" w:rsidRPr="0016385E" w14:paraId="69CD43C6" w14:textId="77777777" w:rsidTr="00882056">
        <w:trPr>
          <w:trHeight w:val="207"/>
        </w:trPr>
        <w:tc>
          <w:tcPr>
            <w:tcW w:w="1093" w:type="pct"/>
            <w:vMerge/>
            <w:tcMar>
              <w:top w:w="72" w:type="dxa"/>
              <w:left w:w="144" w:type="dxa"/>
              <w:bottom w:w="72" w:type="dxa"/>
              <w:right w:w="144" w:type="dxa"/>
            </w:tcMar>
          </w:tcPr>
          <w:p w14:paraId="777B8B2B" w14:textId="77777777" w:rsidR="00D07553" w:rsidRPr="0016385E" w:rsidRDefault="00D07553" w:rsidP="00177A8E">
            <w:pPr>
              <w:rPr>
                <w:i/>
                <w:iCs/>
                <w:color w:val="000000"/>
                <w:sz w:val="18"/>
                <w:szCs w:val="18"/>
              </w:rPr>
            </w:pPr>
          </w:p>
        </w:tc>
        <w:tc>
          <w:tcPr>
            <w:tcW w:w="828" w:type="pct"/>
            <w:vMerge/>
          </w:tcPr>
          <w:p w14:paraId="5996E462" w14:textId="77777777" w:rsidR="00D07553" w:rsidRPr="0016385E" w:rsidRDefault="00D07553" w:rsidP="00177A8E">
            <w:pPr>
              <w:rPr>
                <w:i/>
                <w:iCs/>
                <w:color w:val="000000"/>
                <w:sz w:val="18"/>
                <w:szCs w:val="18"/>
              </w:rPr>
            </w:pPr>
          </w:p>
        </w:tc>
        <w:tc>
          <w:tcPr>
            <w:tcW w:w="1854" w:type="pct"/>
            <w:vMerge/>
            <w:tcMar>
              <w:top w:w="72" w:type="dxa"/>
              <w:left w:w="144" w:type="dxa"/>
              <w:bottom w:w="72" w:type="dxa"/>
              <w:right w:w="144" w:type="dxa"/>
            </w:tcMar>
          </w:tcPr>
          <w:p w14:paraId="0CC475DF" w14:textId="77777777" w:rsidR="00D07553" w:rsidRPr="0016385E" w:rsidRDefault="00D07553" w:rsidP="00177A8E">
            <w:pPr>
              <w:rPr>
                <w:i/>
                <w:iCs/>
                <w:color w:val="000000"/>
                <w:sz w:val="18"/>
                <w:szCs w:val="18"/>
              </w:rPr>
            </w:pPr>
          </w:p>
        </w:tc>
        <w:tc>
          <w:tcPr>
            <w:tcW w:w="729" w:type="pct"/>
            <w:vMerge/>
          </w:tcPr>
          <w:p w14:paraId="67EA9F8F" w14:textId="77777777" w:rsidR="00D07553" w:rsidRPr="0016385E" w:rsidRDefault="00D07553" w:rsidP="00177A8E">
            <w:pPr>
              <w:rPr>
                <w:i/>
                <w:iCs/>
                <w:color w:val="000000"/>
                <w:sz w:val="18"/>
                <w:szCs w:val="18"/>
              </w:rPr>
            </w:pPr>
          </w:p>
        </w:tc>
        <w:tc>
          <w:tcPr>
            <w:tcW w:w="496" w:type="pct"/>
            <w:vMerge w:val="restart"/>
            <w:tcMar>
              <w:top w:w="15" w:type="dxa"/>
              <w:left w:w="108" w:type="dxa"/>
              <w:bottom w:w="0" w:type="dxa"/>
              <w:right w:w="108" w:type="dxa"/>
            </w:tcMar>
          </w:tcPr>
          <w:p w14:paraId="2EF82FF4" w14:textId="213CBE9F" w:rsidR="00D07553" w:rsidRPr="0016385E" w:rsidRDefault="00D07553" w:rsidP="00177A8E">
            <w:pPr>
              <w:rPr>
                <w:b/>
                <w:color w:val="000000"/>
                <w:sz w:val="18"/>
                <w:szCs w:val="18"/>
              </w:rPr>
            </w:pPr>
            <w:r w:rsidRPr="0016385E">
              <w:rPr>
                <w:b/>
                <w:color w:val="000000"/>
                <w:sz w:val="18"/>
                <w:szCs w:val="18"/>
              </w:rPr>
              <w:t xml:space="preserve">Other: </w:t>
            </w:r>
            <w:r w:rsidR="002554DD" w:rsidRPr="0016385E">
              <w:rPr>
                <w:b/>
                <w:color w:val="000000"/>
                <w:sz w:val="18"/>
                <w:szCs w:val="18"/>
              </w:rPr>
              <w:t>5,</w:t>
            </w:r>
            <w:r w:rsidR="00D6084D" w:rsidRPr="0016385E">
              <w:rPr>
                <w:b/>
                <w:color w:val="000000"/>
                <w:sz w:val="18"/>
                <w:szCs w:val="18"/>
              </w:rPr>
              <w:t>859,000</w:t>
            </w:r>
          </w:p>
          <w:p w14:paraId="025478EA" w14:textId="77777777" w:rsidR="00D07553" w:rsidRPr="0016385E" w:rsidRDefault="00D07553" w:rsidP="00177A8E">
            <w:pPr>
              <w:rPr>
                <w:b/>
                <w:color w:val="000000"/>
                <w:sz w:val="18"/>
                <w:szCs w:val="18"/>
              </w:rPr>
            </w:pPr>
          </w:p>
          <w:p w14:paraId="7DAF513E" w14:textId="77777777" w:rsidR="00D07553" w:rsidRPr="0016385E" w:rsidRDefault="00D07553" w:rsidP="00177A8E">
            <w:pPr>
              <w:rPr>
                <w:i/>
                <w:iCs/>
                <w:color w:val="000000"/>
                <w:sz w:val="18"/>
                <w:szCs w:val="18"/>
              </w:rPr>
            </w:pPr>
          </w:p>
          <w:p w14:paraId="49CCA61F" w14:textId="77777777" w:rsidR="00D07553" w:rsidRPr="0016385E" w:rsidRDefault="00D07553" w:rsidP="00177A8E">
            <w:pPr>
              <w:rPr>
                <w:i/>
                <w:iCs/>
                <w:color w:val="000000"/>
                <w:sz w:val="18"/>
                <w:szCs w:val="18"/>
              </w:rPr>
            </w:pPr>
          </w:p>
          <w:p w14:paraId="4B0DC1B6" w14:textId="44CDC78E" w:rsidR="00D07553" w:rsidRPr="0016385E" w:rsidRDefault="00D07553" w:rsidP="00001572">
            <w:pPr>
              <w:rPr>
                <w:b/>
                <w:color w:val="000000"/>
                <w:sz w:val="18"/>
                <w:szCs w:val="18"/>
              </w:rPr>
            </w:pPr>
          </w:p>
        </w:tc>
      </w:tr>
      <w:tr w:rsidR="00D07553" w:rsidRPr="0016385E" w14:paraId="4E217058" w14:textId="77777777" w:rsidTr="00882056">
        <w:tc>
          <w:tcPr>
            <w:tcW w:w="1093" w:type="pct"/>
            <w:vMerge/>
            <w:tcMar>
              <w:top w:w="72" w:type="dxa"/>
              <w:left w:w="144" w:type="dxa"/>
              <w:bottom w:w="72" w:type="dxa"/>
              <w:right w:w="144" w:type="dxa"/>
            </w:tcMar>
          </w:tcPr>
          <w:p w14:paraId="14825596" w14:textId="77777777" w:rsidR="00D07553" w:rsidRPr="0016385E" w:rsidRDefault="00D07553" w:rsidP="00177A8E">
            <w:pPr>
              <w:rPr>
                <w:i/>
                <w:iCs/>
                <w:color w:val="000000"/>
                <w:sz w:val="18"/>
                <w:szCs w:val="18"/>
              </w:rPr>
            </w:pPr>
          </w:p>
        </w:tc>
        <w:tc>
          <w:tcPr>
            <w:tcW w:w="828" w:type="pct"/>
            <w:vMerge/>
          </w:tcPr>
          <w:p w14:paraId="671A1483" w14:textId="77777777" w:rsidR="00D07553" w:rsidRPr="0016385E" w:rsidRDefault="00D07553" w:rsidP="00177A8E">
            <w:pPr>
              <w:rPr>
                <w:i/>
                <w:iCs/>
                <w:color w:val="000000"/>
                <w:sz w:val="18"/>
                <w:szCs w:val="18"/>
              </w:rPr>
            </w:pPr>
          </w:p>
        </w:tc>
        <w:tc>
          <w:tcPr>
            <w:tcW w:w="1854" w:type="pct"/>
            <w:tcMar>
              <w:top w:w="72" w:type="dxa"/>
              <w:left w:w="144" w:type="dxa"/>
              <w:bottom w:w="72" w:type="dxa"/>
              <w:right w:w="144" w:type="dxa"/>
            </w:tcMar>
          </w:tcPr>
          <w:p w14:paraId="2A9659CE" w14:textId="59695809" w:rsidR="00B21463" w:rsidRPr="0016385E" w:rsidRDefault="00D07553" w:rsidP="000B27AA">
            <w:pPr>
              <w:rPr>
                <w:b/>
                <w:bCs/>
                <w:color w:val="000000"/>
                <w:sz w:val="18"/>
                <w:szCs w:val="18"/>
              </w:rPr>
            </w:pPr>
            <w:r w:rsidRPr="0016385E">
              <w:rPr>
                <w:b/>
                <w:bCs/>
                <w:iCs/>
                <w:sz w:val="18"/>
                <w:szCs w:val="18"/>
              </w:rPr>
              <w:t>Output 2.2</w:t>
            </w:r>
            <w:r w:rsidR="007A0992" w:rsidRPr="0016385E">
              <w:rPr>
                <w:b/>
                <w:bCs/>
                <w:iCs/>
                <w:sz w:val="18"/>
                <w:szCs w:val="18"/>
              </w:rPr>
              <w:t>.</w:t>
            </w:r>
            <w:r w:rsidRPr="0016385E">
              <w:rPr>
                <w:b/>
                <w:bCs/>
                <w:iCs/>
                <w:sz w:val="18"/>
                <w:szCs w:val="18"/>
              </w:rPr>
              <w:t xml:space="preserve"> </w:t>
            </w:r>
            <w:r w:rsidR="00B21463" w:rsidRPr="0016385E">
              <w:rPr>
                <w:b/>
                <w:bCs/>
                <w:color w:val="000000"/>
                <w:sz w:val="18"/>
                <w:szCs w:val="18"/>
              </w:rPr>
              <w:t>Inclusive and sustainable solutions adopted in the intervention areas to increase access to renewable energy</w:t>
            </w:r>
            <w:r w:rsidR="00311E0D" w:rsidRPr="0016385E">
              <w:rPr>
                <w:b/>
                <w:bCs/>
                <w:color w:val="000000"/>
                <w:sz w:val="18"/>
                <w:szCs w:val="18"/>
              </w:rPr>
              <w:t>.</w:t>
            </w:r>
            <w:r w:rsidR="00B21463" w:rsidRPr="0016385E">
              <w:rPr>
                <w:b/>
                <w:bCs/>
                <w:color w:val="000000"/>
                <w:sz w:val="18"/>
                <w:szCs w:val="18"/>
              </w:rPr>
              <w:t xml:space="preserve"> </w:t>
            </w:r>
          </w:p>
          <w:p w14:paraId="65F9F41C" w14:textId="396326EA" w:rsidR="000B27AA" w:rsidRPr="0016385E" w:rsidRDefault="000B27AA" w:rsidP="000B27AA">
            <w:pPr>
              <w:rPr>
                <w:color w:val="000000"/>
                <w:sz w:val="18"/>
                <w:szCs w:val="18"/>
              </w:rPr>
            </w:pPr>
            <w:r w:rsidRPr="0016385E">
              <w:rPr>
                <w:b/>
                <w:bCs/>
                <w:color w:val="000000"/>
                <w:sz w:val="18"/>
                <w:szCs w:val="18"/>
              </w:rPr>
              <w:t>Indicator 2.3.1</w:t>
            </w:r>
            <w:r w:rsidR="007A0992" w:rsidRPr="0016385E">
              <w:rPr>
                <w:b/>
                <w:bCs/>
                <w:color w:val="000000"/>
                <w:sz w:val="18"/>
                <w:szCs w:val="18"/>
              </w:rPr>
              <w:t>.</w:t>
            </w:r>
            <w:r w:rsidRPr="0016385E">
              <w:rPr>
                <w:b/>
                <w:bCs/>
                <w:color w:val="000000"/>
                <w:sz w:val="18"/>
                <w:szCs w:val="18"/>
              </w:rPr>
              <w:t xml:space="preserve"> </w:t>
            </w:r>
            <w:r w:rsidRPr="0016385E">
              <w:rPr>
                <w:color w:val="000000"/>
                <w:sz w:val="18"/>
                <w:szCs w:val="18"/>
              </w:rPr>
              <w:t xml:space="preserve">Number of new households benefiting from innovative clean, affordable, and sustainable energy </w:t>
            </w:r>
          </w:p>
          <w:p w14:paraId="4116B33C" w14:textId="77777777" w:rsidR="000B27AA" w:rsidRPr="0016385E" w:rsidRDefault="000B27AA" w:rsidP="000B27AA">
            <w:pPr>
              <w:rPr>
                <w:color w:val="000000"/>
                <w:sz w:val="18"/>
                <w:szCs w:val="18"/>
              </w:rPr>
            </w:pPr>
            <w:r w:rsidRPr="0016385E">
              <w:rPr>
                <w:color w:val="000000"/>
                <w:sz w:val="18"/>
                <w:szCs w:val="18"/>
              </w:rPr>
              <w:t>Baseline (2021):0</w:t>
            </w:r>
          </w:p>
          <w:p w14:paraId="1EE6CF34" w14:textId="622BE618" w:rsidR="000B27AA" w:rsidRPr="0016385E" w:rsidRDefault="000B27AA" w:rsidP="000B27AA">
            <w:pPr>
              <w:rPr>
                <w:color w:val="000000"/>
                <w:sz w:val="18"/>
                <w:szCs w:val="18"/>
              </w:rPr>
            </w:pPr>
            <w:r w:rsidRPr="0016385E">
              <w:rPr>
                <w:color w:val="000000"/>
                <w:sz w:val="18"/>
                <w:szCs w:val="18"/>
              </w:rPr>
              <w:t xml:space="preserve">Target (2023): </w:t>
            </w:r>
            <w:r w:rsidR="00D345D0" w:rsidRPr="0016385E">
              <w:rPr>
                <w:color w:val="000000"/>
                <w:sz w:val="18"/>
                <w:szCs w:val="18"/>
              </w:rPr>
              <w:t>4,850</w:t>
            </w:r>
            <w:r w:rsidR="00E14CE8" w:rsidRPr="0016385E">
              <w:rPr>
                <w:color w:val="000000"/>
                <w:sz w:val="18"/>
                <w:szCs w:val="18"/>
              </w:rPr>
              <w:t xml:space="preserve"> </w:t>
            </w:r>
            <w:r w:rsidRPr="0016385E">
              <w:rPr>
                <w:color w:val="000000"/>
                <w:sz w:val="18"/>
                <w:szCs w:val="18"/>
              </w:rPr>
              <w:t>(</w:t>
            </w:r>
            <w:r w:rsidR="00601396" w:rsidRPr="0016385E">
              <w:rPr>
                <w:color w:val="000000"/>
                <w:sz w:val="18"/>
                <w:szCs w:val="18"/>
              </w:rPr>
              <w:t>30</w:t>
            </w:r>
            <w:r w:rsidRPr="0016385E">
              <w:rPr>
                <w:color w:val="000000"/>
                <w:sz w:val="18"/>
                <w:szCs w:val="18"/>
              </w:rPr>
              <w:t>% women-headed)</w:t>
            </w:r>
          </w:p>
          <w:p w14:paraId="17A7BF88" w14:textId="6B6B2CB8" w:rsidR="000B27AA" w:rsidRPr="0016385E" w:rsidRDefault="000B27AA" w:rsidP="000B27AA">
            <w:pPr>
              <w:suppressAutoHyphens/>
              <w:autoSpaceDN w:val="0"/>
              <w:textAlignment w:val="baseline"/>
              <w:rPr>
                <w:i/>
                <w:iCs/>
                <w:color w:val="000000"/>
                <w:sz w:val="18"/>
                <w:szCs w:val="18"/>
              </w:rPr>
            </w:pPr>
            <w:r w:rsidRPr="0016385E">
              <w:rPr>
                <w:i/>
                <w:iCs/>
                <w:color w:val="000000"/>
                <w:sz w:val="18"/>
                <w:szCs w:val="18"/>
              </w:rPr>
              <w:t xml:space="preserve">Data </w:t>
            </w:r>
            <w:r w:rsidR="007A0992" w:rsidRPr="0016385E">
              <w:rPr>
                <w:i/>
                <w:iCs/>
                <w:color w:val="000000"/>
                <w:sz w:val="18"/>
                <w:szCs w:val="18"/>
              </w:rPr>
              <w:t>s</w:t>
            </w:r>
            <w:r w:rsidRPr="0016385E">
              <w:rPr>
                <w:i/>
                <w:iCs/>
                <w:color w:val="000000"/>
                <w:sz w:val="18"/>
                <w:szCs w:val="18"/>
              </w:rPr>
              <w:t xml:space="preserve">ource: MICA </w:t>
            </w:r>
            <w:r w:rsidR="007A0992" w:rsidRPr="0016385E">
              <w:rPr>
                <w:i/>
                <w:iCs/>
                <w:color w:val="000000"/>
                <w:sz w:val="18"/>
                <w:szCs w:val="18"/>
              </w:rPr>
              <w:t>r</w:t>
            </w:r>
            <w:r w:rsidRPr="0016385E">
              <w:rPr>
                <w:i/>
                <w:iCs/>
                <w:color w:val="000000"/>
                <w:sz w:val="18"/>
                <w:szCs w:val="18"/>
              </w:rPr>
              <w:t xml:space="preserve">eports; Frequency: </w:t>
            </w:r>
            <w:r w:rsidR="007A0992" w:rsidRPr="0016385E">
              <w:rPr>
                <w:i/>
                <w:iCs/>
                <w:color w:val="000000"/>
                <w:sz w:val="18"/>
                <w:szCs w:val="18"/>
              </w:rPr>
              <w:t>a</w:t>
            </w:r>
            <w:r w:rsidRPr="0016385E">
              <w:rPr>
                <w:i/>
                <w:iCs/>
                <w:color w:val="000000"/>
                <w:sz w:val="18"/>
                <w:szCs w:val="18"/>
              </w:rPr>
              <w:t>nnual</w:t>
            </w:r>
          </w:p>
          <w:p w14:paraId="196B7C61" w14:textId="228AF57B" w:rsidR="000B27AA" w:rsidRPr="0016385E" w:rsidRDefault="000B27AA" w:rsidP="000B27AA">
            <w:pPr>
              <w:rPr>
                <w:sz w:val="18"/>
                <w:szCs w:val="18"/>
              </w:rPr>
            </w:pPr>
            <w:r w:rsidRPr="0016385E">
              <w:rPr>
                <w:b/>
                <w:bCs/>
                <w:sz w:val="18"/>
                <w:szCs w:val="18"/>
              </w:rPr>
              <w:t>Indicator 2.3.2</w:t>
            </w:r>
            <w:r w:rsidR="007A0992" w:rsidRPr="0016385E">
              <w:rPr>
                <w:b/>
                <w:bCs/>
                <w:sz w:val="18"/>
                <w:szCs w:val="18"/>
              </w:rPr>
              <w:t>.</w:t>
            </w:r>
            <w:r w:rsidRPr="0016385E">
              <w:rPr>
                <w:b/>
                <w:bCs/>
                <w:sz w:val="18"/>
                <w:szCs w:val="18"/>
              </w:rPr>
              <w:t xml:space="preserve"> </w:t>
            </w:r>
            <w:r w:rsidRPr="0016385E">
              <w:rPr>
                <w:sz w:val="18"/>
                <w:szCs w:val="18"/>
              </w:rPr>
              <w:t xml:space="preserve">Number of small-scale businesses </w:t>
            </w:r>
            <w:r w:rsidR="00B41F25" w:rsidRPr="0016385E">
              <w:rPr>
                <w:sz w:val="18"/>
                <w:szCs w:val="18"/>
              </w:rPr>
              <w:t xml:space="preserve">set up </w:t>
            </w:r>
            <w:r w:rsidRPr="0016385E">
              <w:rPr>
                <w:sz w:val="18"/>
                <w:szCs w:val="18"/>
              </w:rPr>
              <w:t>using new source</w:t>
            </w:r>
            <w:r w:rsidR="00B41F25" w:rsidRPr="0016385E">
              <w:rPr>
                <w:sz w:val="18"/>
                <w:szCs w:val="18"/>
              </w:rPr>
              <w:t>s</w:t>
            </w:r>
            <w:r w:rsidRPr="0016385E">
              <w:rPr>
                <w:sz w:val="18"/>
                <w:szCs w:val="18"/>
              </w:rPr>
              <w:t xml:space="preserve"> of renewable energy</w:t>
            </w:r>
            <w:r w:rsidR="00182823" w:rsidRPr="0016385E">
              <w:rPr>
                <w:sz w:val="18"/>
                <w:szCs w:val="18"/>
              </w:rPr>
              <w:t>.</w:t>
            </w:r>
          </w:p>
          <w:p w14:paraId="4B8F6303" w14:textId="77777777" w:rsidR="000B27AA" w:rsidRPr="0016385E" w:rsidRDefault="000B27AA" w:rsidP="000B27AA">
            <w:pPr>
              <w:rPr>
                <w:color w:val="000000"/>
                <w:sz w:val="18"/>
                <w:szCs w:val="18"/>
              </w:rPr>
            </w:pPr>
            <w:r w:rsidRPr="0016385E">
              <w:rPr>
                <w:color w:val="000000"/>
                <w:sz w:val="18"/>
                <w:szCs w:val="18"/>
              </w:rPr>
              <w:t>Baseline (2021):0</w:t>
            </w:r>
          </w:p>
          <w:p w14:paraId="56D658C2" w14:textId="53AB3368" w:rsidR="000B27AA" w:rsidRPr="0016385E" w:rsidRDefault="000B27AA" w:rsidP="000B27AA">
            <w:pPr>
              <w:rPr>
                <w:color w:val="000000"/>
                <w:sz w:val="18"/>
                <w:szCs w:val="18"/>
              </w:rPr>
            </w:pPr>
            <w:r w:rsidRPr="0016385E">
              <w:rPr>
                <w:color w:val="000000"/>
                <w:sz w:val="18"/>
                <w:szCs w:val="18"/>
              </w:rPr>
              <w:t xml:space="preserve">Target (2023): </w:t>
            </w:r>
            <w:r w:rsidR="00264575" w:rsidRPr="0016385E">
              <w:rPr>
                <w:color w:val="000000"/>
                <w:sz w:val="18"/>
                <w:szCs w:val="18"/>
              </w:rPr>
              <w:t>200</w:t>
            </w:r>
            <w:r w:rsidR="00DE69B5" w:rsidRPr="0016385E">
              <w:rPr>
                <w:color w:val="000000"/>
                <w:sz w:val="18"/>
                <w:szCs w:val="18"/>
              </w:rPr>
              <w:t xml:space="preserve"> (</w:t>
            </w:r>
            <w:r w:rsidR="004D628A" w:rsidRPr="0016385E">
              <w:rPr>
                <w:color w:val="000000"/>
                <w:sz w:val="18"/>
                <w:szCs w:val="18"/>
              </w:rPr>
              <w:t>30</w:t>
            </w:r>
            <w:r w:rsidR="00264575" w:rsidRPr="0016385E">
              <w:rPr>
                <w:color w:val="000000"/>
                <w:sz w:val="18"/>
                <w:szCs w:val="18"/>
              </w:rPr>
              <w:t>%</w:t>
            </w:r>
            <w:r w:rsidR="00DE69B5" w:rsidRPr="0016385E">
              <w:rPr>
                <w:color w:val="000000"/>
                <w:sz w:val="18"/>
                <w:szCs w:val="18"/>
              </w:rPr>
              <w:t xml:space="preserve"> </w:t>
            </w:r>
            <w:r w:rsidR="002D1F12" w:rsidRPr="0016385E">
              <w:rPr>
                <w:color w:val="000000"/>
                <w:sz w:val="18"/>
                <w:szCs w:val="18"/>
              </w:rPr>
              <w:t xml:space="preserve">women; </w:t>
            </w:r>
            <w:r w:rsidR="004D628A" w:rsidRPr="0016385E">
              <w:rPr>
                <w:color w:val="000000"/>
                <w:sz w:val="18"/>
                <w:szCs w:val="18"/>
              </w:rPr>
              <w:t>50</w:t>
            </w:r>
            <w:r w:rsidR="008626A6" w:rsidRPr="0016385E">
              <w:rPr>
                <w:color w:val="000000"/>
                <w:sz w:val="18"/>
                <w:szCs w:val="18"/>
              </w:rPr>
              <w:t xml:space="preserve">% </w:t>
            </w:r>
            <w:r w:rsidR="002D1F12" w:rsidRPr="0016385E">
              <w:rPr>
                <w:color w:val="000000"/>
                <w:sz w:val="18"/>
                <w:szCs w:val="18"/>
              </w:rPr>
              <w:t>youth)</w:t>
            </w:r>
          </w:p>
          <w:p w14:paraId="1A31578E" w14:textId="42E66C52" w:rsidR="00D07553" w:rsidRPr="0016385E" w:rsidRDefault="000B27AA" w:rsidP="00177A8E">
            <w:pPr>
              <w:rPr>
                <w:i/>
                <w:iCs/>
                <w:color w:val="000000"/>
                <w:sz w:val="18"/>
                <w:szCs w:val="18"/>
              </w:rPr>
            </w:pPr>
            <w:r w:rsidRPr="0016385E">
              <w:rPr>
                <w:i/>
                <w:iCs/>
                <w:color w:val="000000"/>
                <w:sz w:val="18"/>
                <w:szCs w:val="18"/>
              </w:rPr>
              <w:t xml:space="preserve">Data </w:t>
            </w:r>
            <w:r w:rsidR="00B41F25" w:rsidRPr="0016385E">
              <w:rPr>
                <w:i/>
                <w:iCs/>
                <w:color w:val="000000"/>
                <w:sz w:val="18"/>
                <w:szCs w:val="18"/>
              </w:rPr>
              <w:t>s</w:t>
            </w:r>
            <w:r w:rsidRPr="0016385E">
              <w:rPr>
                <w:i/>
                <w:iCs/>
                <w:color w:val="000000"/>
                <w:sz w:val="18"/>
                <w:szCs w:val="18"/>
              </w:rPr>
              <w:t xml:space="preserve">ource: MICA </w:t>
            </w:r>
            <w:r w:rsidR="00B41F25" w:rsidRPr="0016385E">
              <w:rPr>
                <w:i/>
                <w:iCs/>
                <w:color w:val="000000"/>
                <w:sz w:val="18"/>
                <w:szCs w:val="18"/>
              </w:rPr>
              <w:t>r</w:t>
            </w:r>
            <w:r w:rsidRPr="0016385E">
              <w:rPr>
                <w:i/>
                <w:iCs/>
                <w:color w:val="000000"/>
                <w:sz w:val="18"/>
                <w:szCs w:val="18"/>
              </w:rPr>
              <w:t xml:space="preserve">eports; Frequency: </w:t>
            </w:r>
            <w:r w:rsidR="00B41F25" w:rsidRPr="0016385E">
              <w:rPr>
                <w:i/>
                <w:iCs/>
                <w:color w:val="000000"/>
                <w:sz w:val="18"/>
                <w:szCs w:val="18"/>
              </w:rPr>
              <w:t>a</w:t>
            </w:r>
            <w:r w:rsidRPr="0016385E">
              <w:rPr>
                <w:i/>
                <w:iCs/>
                <w:color w:val="000000"/>
                <w:sz w:val="18"/>
                <w:szCs w:val="18"/>
              </w:rPr>
              <w:t>nnual</w:t>
            </w:r>
          </w:p>
          <w:p w14:paraId="71F8905D" w14:textId="77777777" w:rsidR="007A0992" w:rsidRPr="0016385E" w:rsidRDefault="007A0992" w:rsidP="00177A8E">
            <w:pPr>
              <w:rPr>
                <w:i/>
                <w:iCs/>
                <w:color w:val="000000"/>
                <w:sz w:val="18"/>
                <w:szCs w:val="18"/>
              </w:rPr>
            </w:pPr>
          </w:p>
          <w:p w14:paraId="6E91C831" w14:textId="6F6A9C21" w:rsidR="007A0992" w:rsidRPr="0016385E" w:rsidRDefault="007A0992" w:rsidP="00177A8E">
            <w:pPr>
              <w:rPr>
                <w:b/>
                <w:bCs/>
                <w:iCs/>
                <w:sz w:val="18"/>
                <w:szCs w:val="18"/>
              </w:rPr>
            </w:pPr>
          </w:p>
        </w:tc>
        <w:tc>
          <w:tcPr>
            <w:tcW w:w="729" w:type="pct"/>
            <w:vMerge/>
          </w:tcPr>
          <w:p w14:paraId="69BA0180" w14:textId="77777777" w:rsidR="00D07553" w:rsidRPr="0016385E" w:rsidRDefault="00D07553" w:rsidP="00177A8E">
            <w:pPr>
              <w:rPr>
                <w:i/>
                <w:iCs/>
                <w:color w:val="000000"/>
                <w:sz w:val="18"/>
                <w:szCs w:val="18"/>
              </w:rPr>
            </w:pPr>
          </w:p>
        </w:tc>
        <w:tc>
          <w:tcPr>
            <w:tcW w:w="496" w:type="pct"/>
            <w:vMerge/>
            <w:tcMar>
              <w:top w:w="15" w:type="dxa"/>
              <w:left w:w="108" w:type="dxa"/>
              <w:bottom w:w="0" w:type="dxa"/>
              <w:right w:w="108" w:type="dxa"/>
            </w:tcMar>
          </w:tcPr>
          <w:p w14:paraId="1FD87587" w14:textId="77777777" w:rsidR="00D07553" w:rsidRPr="0016385E" w:rsidRDefault="00D07553" w:rsidP="00177A8E">
            <w:pPr>
              <w:rPr>
                <w:b/>
                <w:color w:val="000000"/>
                <w:sz w:val="18"/>
                <w:szCs w:val="18"/>
              </w:rPr>
            </w:pPr>
          </w:p>
        </w:tc>
      </w:tr>
      <w:tr w:rsidR="00D07553" w:rsidRPr="0016385E" w14:paraId="349DBF10" w14:textId="77777777" w:rsidTr="00882056">
        <w:tc>
          <w:tcPr>
            <w:tcW w:w="1093" w:type="pct"/>
            <w:vMerge/>
            <w:tcMar>
              <w:top w:w="72" w:type="dxa"/>
              <w:left w:w="144" w:type="dxa"/>
              <w:bottom w:w="72" w:type="dxa"/>
              <w:right w:w="144" w:type="dxa"/>
            </w:tcMar>
          </w:tcPr>
          <w:p w14:paraId="2DB03DEF" w14:textId="77777777" w:rsidR="00D07553" w:rsidRPr="0016385E" w:rsidRDefault="00D07553" w:rsidP="00177A8E">
            <w:pPr>
              <w:rPr>
                <w:i/>
                <w:iCs/>
                <w:color w:val="000000"/>
                <w:sz w:val="18"/>
                <w:szCs w:val="18"/>
              </w:rPr>
            </w:pPr>
          </w:p>
        </w:tc>
        <w:tc>
          <w:tcPr>
            <w:tcW w:w="828" w:type="pct"/>
            <w:vMerge/>
          </w:tcPr>
          <w:p w14:paraId="5D44CC78" w14:textId="77777777" w:rsidR="00D07553" w:rsidRPr="0016385E" w:rsidRDefault="00D07553" w:rsidP="00177A8E">
            <w:pPr>
              <w:rPr>
                <w:i/>
                <w:iCs/>
                <w:color w:val="000000"/>
                <w:sz w:val="18"/>
                <w:szCs w:val="18"/>
              </w:rPr>
            </w:pPr>
          </w:p>
        </w:tc>
        <w:tc>
          <w:tcPr>
            <w:tcW w:w="1854" w:type="pct"/>
            <w:tcMar>
              <w:top w:w="72" w:type="dxa"/>
              <w:left w:w="144" w:type="dxa"/>
              <w:bottom w:w="72" w:type="dxa"/>
              <w:right w:w="144" w:type="dxa"/>
            </w:tcMar>
          </w:tcPr>
          <w:p w14:paraId="128BFFAB" w14:textId="5667C7A5" w:rsidR="000B27AA" w:rsidRPr="0016385E" w:rsidRDefault="00D07553" w:rsidP="000B27AA">
            <w:pPr>
              <w:rPr>
                <w:b/>
                <w:bCs/>
                <w:iCs/>
                <w:color w:val="000000"/>
                <w:sz w:val="18"/>
                <w:szCs w:val="18"/>
              </w:rPr>
            </w:pPr>
            <w:r w:rsidRPr="0016385E">
              <w:rPr>
                <w:b/>
                <w:bCs/>
                <w:iCs/>
                <w:sz w:val="18"/>
                <w:szCs w:val="18"/>
              </w:rPr>
              <w:t>Output 2.3</w:t>
            </w:r>
            <w:r w:rsidR="00B41F25" w:rsidRPr="0016385E">
              <w:rPr>
                <w:b/>
                <w:bCs/>
                <w:iCs/>
                <w:sz w:val="18"/>
                <w:szCs w:val="18"/>
              </w:rPr>
              <w:t>.</w:t>
            </w:r>
            <w:r w:rsidRPr="0016385E">
              <w:rPr>
                <w:b/>
                <w:bCs/>
                <w:iCs/>
                <w:sz w:val="18"/>
                <w:szCs w:val="18"/>
              </w:rPr>
              <w:t xml:space="preserve"> </w:t>
            </w:r>
            <w:r w:rsidR="000B27AA" w:rsidRPr="0016385E">
              <w:rPr>
                <w:b/>
                <w:bCs/>
                <w:iCs/>
                <w:color w:val="000000"/>
                <w:sz w:val="18"/>
                <w:szCs w:val="18"/>
              </w:rPr>
              <w:t xml:space="preserve">Measures in place to facilitate sustainable business opportunities for </w:t>
            </w:r>
            <w:r w:rsidR="00B41F25" w:rsidRPr="0016385E">
              <w:rPr>
                <w:b/>
                <w:bCs/>
                <w:iCs/>
                <w:color w:val="000000"/>
                <w:sz w:val="18"/>
                <w:szCs w:val="18"/>
              </w:rPr>
              <w:t>i</w:t>
            </w:r>
            <w:r w:rsidR="008E4161" w:rsidRPr="0016385E">
              <w:rPr>
                <w:b/>
                <w:bCs/>
                <w:iCs/>
                <w:color w:val="000000"/>
                <w:sz w:val="18"/>
                <w:szCs w:val="18"/>
              </w:rPr>
              <w:t>ndividuals</w:t>
            </w:r>
            <w:r w:rsidR="000B27AA" w:rsidRPr="0016385E">
              <w:rPr>
                <w:b/>
                <w:bCs/>
                <w:iCs/>
                <w:color w:val="000000"/>
                <w:sz w:val="18"/>
                <w:szCs w:val="18"/>
              </w:rPr>
              <w:t xml:space="preserve"> and </w:t>
            </w:r>
            <w:r w:rsidR="00B41F25" w:rsidRPr="0016385E">
              <w:rPr>
                <w:b/>
                <w:bCs/>
                <w:iCs/>
                <w:color w:val="000000"/>
                <w:sz w:val="18"/>
                <w:szCs w:val="18"/>
              </w:rPr>
              <w:t>m</w:t>
            </w:r>
            <w:r w:rsidR="000B27AA" w:rsidRPr="0016385E">
              <w:rPr>
                <w:b/>
                <w:bCs/>
                <w:iCs/>
                <w:color w:val="000000"/>
                <w:sz w:val="18"/>
                <w:szCs w:val="18"/>
              </w:rPr>
              <w:t xml:space="preserve">icro, </w:t>
            </w:r>
            <w:r w:rsidR="00B41F25" w:rsidRPr="0016385E">
              <w:rPr>
                <w:b/>
                <w:bCs/>
                <w:iCs/>
                <w:color w:val="000000"/>
                <w:sz w:val="18"/>
                <w:szCs w:val="18"/>
              </w:rPr>
              <w:t>s</w:t>
            </w:r>
            <w:r w:rsidR="000B27AA" w:rsidRPr="0016385E">
              <w:rPr>
                <w:b/>
                <w:bCs/>
                <w:iCs/>
                <w:color w:val="000000"/>
                <w:sz w:val="18"/>
                <w:szCs w:val="18"/>
              </w:rPr>
              <w:t xml:space="preserve">mall and </w:t>
            </w:r>
            <w:r w:rsidR="00B41F25" w:rsidRPr="0016385E">
              <w:rPr>
                <w:b/>
                <w:bCs/>
                <w:iCs/>
                <w:color w:val="000000"/>
                <w:sz w:val="18"/>
                <w:szCs w:val="18"/>
              </w:rPr>
              <w:t>m</w:t>
            </w:r>
            <w:r w:rsidR="000B27AA" w:rsidRPr="0016385E">
              <w:rPr>
                <w:b/>
                <w:bCs/>
                <w:iCs/>
                <w:color w:val="000000"/>
                <w:sz w:val="18"/>
                <w:szCs w:val="18"/>
              </w:rPr>
              <w:t xml:space="preserve">edium-sized </w:t>
            </w:r>
            <w:r w:rsidR="00B41F25" w:rsidRPr="0016385E">
              <w:rPr>
                <w:b/>
                <w:bCs/>
                <w:iCs/>
                <w:color w:val="000000"/>
                <w:sz w:val="18"/>
                <w:szCs w:val="18"/>
              </w:rPr>
              <w:t>e</w:t>
            </w:r>
            <w:r w:rsidR="000B27AA" w:rsidRPr="0016385E">
              <w:rPr>
                <w:b/>
                <w:bCs/>
                <w:iCs/>
                <w:color w:val="000000"/>
                <w:sz w:val="18"/>
                <w:szCs w:val="18"/>
              </w:rPr>
              <w:t>nterprises (MSMEs)</w:t>
            </w:r>
          </w:p>
          <w:p w14:paraId="1FDC0F66" w14:textId="1E253615" w:rsidR="000B27AA" w:rsidRPr="0016385E" w:rsidRDefault="000B27AA" w:rsidP="000B27AA">
            <w:pPr>
              <w:suppressAutoHyphens/>
              <w:autoSpaceDN w:val="0"/>
              <w:textAlignment w:val="baseline"/>
              <w:rPr>
                <w:iCs/>
                <w:sz w:val="18"/>
                <w:szCs w:val="18"/>
              </w:rPr>
            </w:pPr>
            <w:r w:rsidRPr="0016385E">
              <w:rPr>
                <w:b/>
                <w:bCs/>
                <w:iCs/>
                <w:sz w:val="18"/>
                <w:szCs w:val="18"/>
              </w:rPr>
              <w:t>Indicator 2.2.1</w:t>
            </w:r>
            <w:r w:rsidR="00B41F25" w:rsidRPr="0016385E">
              <w:rPr>
                <w:b/>
                <w:bCs/>
                <w:iCs/>
                <w:sz w:val="18"/>
                <w:szCs w:val="18"/>
              </w:rPr>
              <w:t>.</w:t>
            </w:r>
            <w:r w:rsidRPr="0016385E">
              <w:rPr>
                <w:b/>
                <w:bCs/>
                <w:iCs/>
                <w:sz w:val="18"/>
                <w:szCs w:val="18"/>
              </w:rPr>
              <w:t xml:space="preserve"> </w:t>
            </w:r>
            <w:r w:rsidRPr="0016385E">
              <w:rPr>
                <w:iCs/>
                <w:sz w:val="18"/>
                <w:szCs w:val="18"/>
              </w:rPr>
              <w:t xml:space="preserve">Number of </w:t>
            </w:r>
            <w:r w:rsidR="00B41F25" w:rsidRPr="0016385E">
              <w:rPr>
                <w:iCs/>
                <w:sz w:val="18"/>
                <w:szCs w:val="18"/>
              </w:rPr>
              <w:t>i</w:t>
            </w:r>
            <w:r w:rsidR="00612D08" w:rsidRPr="0016385E">
              <w:rPr>
                <w:iCs/>
                <w:sz w:val="18"/>
                <w:szCs w:val="18"/>
              </w:rPr>
              <w:t>ndividuals</w:t>
            </w:r>
            <w:r w:rsidRPr="0016385E">
              <w:rPr>
                <w:iCs/>
                <w:sz w:val="18"/>
                <w:szCs w:val="18"/>
              </w:rPr>
              <w:t xml:space="preserve"> and MSMEs targeting women and youth developed in strategic value chains</w:t>
            </w:r>
          </w:p>
          <w:p w14:paraId="58479272" w14:textId="77777777" w:rsidR="000B27AA" w:rsidRPr="0016385E" w:rsidRDefault="000B27AA" w:rsidP="000B27AA">
            <w:pPr>
              <w:rPr>
                <w:color w:val="000000"/>
                <w:sz w:val="18"/>
                <w:szCs w:val="18"/>
              </w:rPr>
            </w:pPr>
            <w:r w:rsidRPr="0016385E">
              <w:rPr>
                <w:color w:val="000000"/>
                <w:sz w:val="18"/>
                <w:szCs w:val="18"/>
              </w:rPr>
              <w:t>Baseline (2021):0</w:t>
            </w:r>
          </w:p>
          <w:p w14:paraId="4CCA09D0" w14:textId="595AEE03" w:rsidR="000B27AA" w:rsidRPr="0016385E" w:rsidRDefault="000B27AA" w:rsidP="000B27AA">
            <w:pPr>
              <w:rPr>
                <w:color w:val="000000"/>
                <w:sz w:val="18"/>
                <w:szCs w:val="18"/>
              </w:rPr>
            </w:pPr>
            <w:r w:rsidRPr="0016385E">
              <w:rPr>
                <w:color w:val="000000"/>
                <w:sz w:val="18"/>
                <w:szCs w:val="18"/>
              </w:rPr>
              <w:t xml:space="preserve">Target (2023): </w:t>
            </w:r>
            <w:r w:rsidR="00DB09FB" w:rsidRPr="0016385E">
              <w:rPr>
                <w:color w:val="000000"/>
                <w:sz w:val="18"/>
                <w:szCs w:val="18"/>
              </w:rPr>
              <w:t>100</w:t>
            </w:r>
          </w:p>
          <w:p w14:paraId="7DE747B3" w14:textId="168EB6B2" w:rsidR="000B27AA" w:rsidRPr="0016385E" w:rsidRDefault="000B27AA" w:rsidP="000B27AA">
            <w:pPr>
              <w:rPr>
                <w:b/>
                <w:bCs/>
                <w:color w:val="000000"/>
                <w:sz w:val="18"/>
                <w:szCs w:val="18"/>
              </w:rPr>
            </w:pPr>
            <w:r w:rsidRPr="0016385E">
              <w:rPr>
                <w:i/>
                <w:iCs/>
                <w:color w:val="000000"/>
                <w:sz w:val="18"/>
                <w:szCs w:val="18"/>
              </w:rPr>
              <w:t xml:space="preserve">Data </w:t>
            </w:r>
            <w:r w:rsidR="00B41F25" w:rsidRPr="0016385E">
              <w:rPr>
                <w:i/>
                <w:iCs/>
                <w:color w:val="000000"/>
                <w:sz w:val="18"/>
                <w:szCs w:val="18"/>
              </w:rPr>
              <w:t>s</w:t>
            </w:r>
            <w:r w:rsidRPr="0016385E">
              <w:rPr>
                <w:i/>
                <w:iCs/>
                <w:color w:val="000000"/>
                <w:sz w:val="18"/>
                <w:szCs w:val="18"/>
              </w:rPr>
              <w:t xml:space="preserve">ource: MICA </w:t>
            </w:r>
            <w:r w:rsidR="00B41F25" w:rsidRPr="0016385E">
              <w:rPr>
                <w:i/>
                <w:iCs/>
                <w:color w:val="000000"/>
                <w:sz w:val="18"/>
                <w:szCs w:val="18"/>
              </w:rPr>
              <w:t>r</w:t>
            </w:r>
            <w:r w:rsidRPr="0016385E">
              <w:rPr>
                <w:i/>
                <w:iCs/>
                <w:color w:val="000000"/>
                <w:sz w:val="18"/>
                <w:szCs w:val="18"/>
              </w:rPr>
              <w:t xml:space="preserve">eports; Frequency: </w:t>
            </w:r>
            <w:r w:rsidR="00B41F25" w:rsidRPr="0016385E">
              <w:rPr>
                <w:i/>
                <w:iCs/>
                <w:color w:val="000000"/>
                <w:sz w:val="18"/>
                <w:szCs w:val="18"/>
              </w:rPr>
              <w:t>a</w:t>
            </w:r>
            <w:r w:rsidRPr="0016385E">
              <w:rPr>
                <w:i/>
                <w:iCs/>
                <w:color w:val="000000"/>
                <w:sz w:val="18"/>
                <w:szCs w:val="18"/>
              </w:rPr>
              <w:t>nnual</w:t>
            </w:r>
          </w:p>
          <w:p w14:paraId="2CB6A7BF" w14:textId="7C039151" w:rsidR="000B27AA" w:rsidRPr="0016385E" w:rsidRDefault="000B27AA" w:rsidP="000B27AA">
            <w:pPr>
              <w:suppressAutoHyphens/>
              <w:autoSpaceDN w:val="0"/>
              <w:textAlignment w:val="baseline"/>
              <w:rPr>
                <w:b/>
                <w:bCs/>
                <w:color w:val="000000"/>
                <w:sz w:val="18"/>
                <w:szCs w:val="18"/>
              </w:rPr>
            </w:pPr>
            <w:r w:rsidRPr="0016385E">
              <w:rPr>
                <w:b/>
                <w:bCs/>
                <w:iCs/>
                <w:sz w:val="18"/>
                <w:szCs w:val="18"/>
              </w:rPr>
              <w:t>Indicator 2.2.2</w:t>
            </w:r>
            <w:r w:rsidR="00B41F25" w:rsidRPr="0016385E">
              <w:rPr>
                <w:b/>
                <w:bCs/>
                <w:iCs/>
                <w:sz w:val="18"/>
                <w:szCs w:val="18"/>
              </w:rPr>
              <w:t>.</w:t>
            </w:r>
            <w:r w:rsidRPr="0016385E">
              <w:rPr>
                <w:b/>
                <w:bCs/>
                <w:iCs/>
                <w:sz w:val="18"/>
                <w:szCs w:val="18"/>
              </w:rPr>
              <w:t xml:space="preserve"> </w:t>
            </w:r>
            <w:r w:rsidRPr="00882056">
              <w:rPr>
                <w:iCs/>
                <w:sz w:val="18"/>
                <w:szCs w:val="18"/>
              </w:rPr>
              <w:t>Number of sustainable businesses formalized</w:t>
            </w:r>
          </w:p>
          <w:p w14:paraId="764E1ED4" w14:textId="77777777" w:rsidR="000B27AA" w:rsidRPr="0016385E" w:rsidRDefault="000B27AA" w:rsidP="000B27AA">
            <w:pPr>
              <w:rPr>
                <w:color w:val="000000"/>
                <w:sz w:val="18"/>
                <w:szCs w:val="18"/>
              </w:rPr>
            </w:pPr>
            <w:r w:rsidRPr="0016385E">
              <w:rPr>
                <w:color w:val="000000"/>
                <w:sz w:val="18"/>
                <w:szCs w:val="18"/>
              </w:rPr>
              <w:t>Baseline (2021):0</w:t>
            </w:r>
          </w:p>
          <w:p w14:paraId="2E01A00E" w14:textId="15FE17F3" w:rsidR="000B27AA" w:rsidRPr="0016385E" w:rsidRDefault="000B27AA" w:rsidP="000B27AA">
            <w:pPr>
              <w:rPr>
                <w:color w:val="000000"/>
                <w:sz w:val="18"/>
                <w:szCs w:val="18"/>
              </w:rPr>
            </w:pPr>
            <w:r w:rsidRPr="0016385E">
              <w:rPr>
                <w:color w:val="000000"/>
                <w:sz w:val="18"/>
                <w:szCs w:val="18"/>
              </w:rPr>
              <w:t xml:space="preserve">Target (2023): </w:t>
            </w:r>
            <w:r w:rsidR="002E47B9" w:rsidRPr="0016385E">
              <w:rPr>
                <w:color w:val="000000"/>
                <w:sz w:val="18"/>
                <w:szCs w:val="18"/>
              </w:rPr>
              <w:t>75</w:t>
            </w:r>
          </w:p>
          <w:p w14:paraId="3364FED9" w14:textId="70CCC5F3" w:rsidR="00D07553" w:rsidRPr="0016385E" w:rsidRDefault="000B27AA" w:rsidP="00530A61">
            <w:pPr>
              <w:suppressAutoHyphens/>
              <w:autoSpaceDN w:val="0"/>
              <w:textAlignment w:val="baseline"/>
              <w:rPr>
                <w:i/>
                <w:iCs/>
                <w:color w:val="000000"/>
                <w:sz w:val="18"/>
                <w:szCs w:val="18"/>
              </w:rPr>
            </w:pPr>
            <w:r w:rsidRPr="0016385E">
              <w:rPr>
                <w:i/>
                <w:iCs/>
                <w:color w:val="000000"/>
                <w:sz w:val="18"/>
                <w:szCs w:val="18"/>
              </w:rPr>
              <w:t xml:space="preserve">Data </w:t>
            </w:r>
            <w:r w:rsidR="00B41F25" w:rsidRPr="0016385E">
              <w:rPr>
                <w:i/>
                <w:iCs/>
                <w:color w:val="000000"/>
                <w:sz w:val="18"/>
                <w:szCs w:val="18"/>
              </w:rPr>
              <w:t>s</w:t>
            </w:r>
            <w:r w:rsidRPr="0016385E">
              <w:rPr>
                <w:i/>
                <w:iCs/>
                <w:color w:val="000000"/>
                <w:sz w:val="18"/>
                <w:szCs w:val="18"/>
              </w:rPr>
              <w:t xml:space="preserve">ource: MICA </w:t>
            </w:r>
            <w:r w:rsidR="00B41F25" w:rsidRPr="0016385E">
              <w:rPr>
                <w:i/>
                <w:iCs/>
                <w:color w:val="000000"/>
                <w:sz w:val="18"/>
                <w:szCs w:val="18"/>
              </w:rPr>
              <w:t>r</w:t>
            </w:r>
            <w:r w:rsidRPr="0016385E">
              <w:rPr>
                <w:i/>
                <w:iCs/>
                <w:color w:val="000000"/>
                <w:sz w:val="18"/>
                <w:szCs w:val="18"/>
              </w:rPr>
              <w:t xml:space="preserve">eports; Frequency: </w:t>
            </w:r>
            <w:r w:rsidR="00B41F25" w:rsidRPr="0016385E">
              <w:rPr>
                <w:i/>
                <w:iCs/>
                <w:color w:val="000000"/>
                <w:sz w:val="18"/>
                <w:szCs w:val="18"/>
              </w:rPr>
              <w:t>a</w:t>
            </w:r>
            <w:r w:rsidRPr="0016385E">
              <w:rPr>
                <w:i/>
                <w:iCs/>
                <w:color w:val="000000"/>
                <w:sz w:val="18"/>
                <w:szCs w:val="18"/>
              </w:rPr>
              <w:t>nnual</w:t>
            </w:r>
          </w:p>
        </w:tc>
        <w:tc>
          <w:tcPr>
            <w:tcW w:w="729" w:type="pct"/>
            <w:vMerge/>
          </w:tcPr>
          <w:p w14:paraId="449189D9" w14:textId="77777777" w:rsidR="00D07553" w:rsidRPr="0016385E" w:rsidRDefault="00D07553" w:rsidP="00177A8E">
            <w:pPr>
              <w:rPr>
                <w:i/>
                <w:iCs/>
                <w:color w:val="000000"/>
                <w:sz w:val="18"/>
                <w:szCs w:val="18"/>
              </w:rPr>
            </w:pPr>
          </w:p>
        </w:tc>
        <w:tc>
          <w:tcPr>
            <w:tcW w:w="496" w:type="pct"/>
            <w:vMerge/>
            <w:tcMar>
              <w:top w:w="15" w:type="dxa"/>
              <w:left w:w="108" w:type="dxa"/>
              <w:bottom w:w="0" w:type="dxa"/>
              <w:right w:w="108" w:type="dxa"/>
            </w:tcMar>
          </w:tcPr>
          <w:p w14:paraId="1E621A75" w14:textId="77777777" w:rsidR="00D07553" w:rsidRPr="0016385E" w:rsidRDefault="00D07553" w:rsidP="00177A8E">
            <w:pPr>
              <w:rPr>
                <w:b/>
                <w:color w:val="000000"/>
                <w:sz w:val="18"/>
                <w:szCs w:val="18"/>
              </w:rPr>
            </w:pPr>
          </w:p>
        </w:tc>
      </w:tr>
      <w:bookmarkEnd w:id="4"/>
      <w:tr w:rsidR="00A52D4F" w:rsidRPr="0016385E" w14:paraId="1B834920" w14:textId="77777777" w:rsidTr="002D535B">
        <w:tc>
          <w:tcPr>
            <w:tcW w:w="5000" w:type="pct"/>
            <w:gridSpan w:val="5"/>
            <w:shd w:val="clear" w:color="auto" w:fill="D9E2F3" w:themeFill="accent1" w:themeFillTint="33"/>
            <w:tcMar>
              <w:top w:w="72" w:type="dxa"/>
              <w:left w:w="144" w:type="dxa"/>
              <w:bottom w:w="72" w:type="dxa"/>
              <w:right w:w="144" w:type="dxa"/>
            </w:tcMar>
          </w:tcPr>
          <w:p w14:paraId="1A0F997E" w14:textId="736E5A76" w:rsidR="00A52D4F" w:rsidRPr="0016385E" w:rsidRDefault="00B41F25" w:rsidP="00A52D4F">
            <w:pPr>
              <w:rPr>
                <w:b/>
                <w:bCs/>
                <w:color w:val="000000"/>
                <w:sz w:val="18"/>
                <w:szCs w:val="18"/>
              </w:rPr>
            </w:pPr>
            <w:r w:rsidRPr="0016385E">
              <w:rPr>
                <w:b/>
                <w:bCs/>
                <w:color w:val="000000"/>
                <w:sz w:val="18"/>
                <w:szCs w:val="18"/>
              </w:rPr>
              <w:t>National priority: Madagascar Emergence Plan</w:t>
            </w:r>
          </w:p>
          <w:p w14:paraId="14B2696D" w14:textId="0F302E96" w:rsidR="00A52D4F" w:rsidRPr="0016385E" w:rsidRDefault="00A52D4F" w:rsidP="00A52D4F">
            <w:pPr>
              <w:rPr>
                <w:b/>
                <w:color w:val="000000"/>
                <w:sz w:val="18"/>
                <w:szCs w:val="18"/>
              </w:rPr>
            </w:pPr>
            <w:r w:rsidRPr="0016385E">
              <w:rPr>
                <w:b/>
                <w:sz w:val="18"/>
                <w:szCs w:val="18"/>
                <w:lang w:eastAsia="fr-FR"/>
              </w:rPr>
              <w:t>Commitment N° 10</w:t>
            </w:r>
            <w:r w:rsidR="00B41F25" w:rsidRPr="0016385E">
              <w:rPr>
                <w:b/>
                <w:sz w:val="18"/>
                <w:szCs w:val="18"/>
                <w:lang w:eastAsia="fr-FR"/>
              </w:rPr>
              <w:t>.</w:t>
            </w:r>
            <w:r w:rsidRPr="0016385E">
              <w:rPr>
                <w:b/>
                <w:sz w:val="18"/>
                <w:szCs w:val="18"/>
                <w:lang w:eastAsia="fr-FR"/>
              </w:rPr>
              <w:t xml:space="preserve"> Conservation of natural resources; </w:t>
            </w:r>
            <w:r w:rsidR="00B41F25" w:rsidRPr="0016385E">
              <w:rPr>
                <w:b/>
                <w:sz w:val="18"/>
                <w:szCs w:val="18"/>
                <w:lang w:eastAsia="fr-FR"/>
              </w:rPr>
              <w:t>c</w:t>
            </w:r>
            <w:r w:rsidRPr="0016385E">
              <w:rPr>
                <w:b/>
                <w:sz w:val="18"/>
                <w:szCs w:val="18"/>
                <w:lang w:eastAsia="fr-FR"/>
              </w:rPr>
              <w:t xml:space="preserve">limate resilience; </w:t>
            </w:r>
            <w:r w:rsidR="00B41F25" w:rsidRPr="0016385E">
              <w:rPr>
                <w:b/>
                <w:sz w:val="18"/>
                <w:szCs w:val="18"/>
                <w:lang w:eastAsia="fr-FR"/>
              </w:rPr>
              <w:t>m</w:t>
            </w:r>
            <w:r w:rsidRPr="0016385E">
              <w:rPr>
                <w:b/>
                <w:sz w:val="18"/>
                <w:szCs w:val="18"/>
                <w:lang w:eastAsia="fr-FR"/>
              </w:rPr>
              <w:t>assive reforestation</w:t>
            </w:r>
            <w:r w:rsidRPr="0016385E">
              <w:rPr>
                <w:sz w:val="18"/>
                <w:szCs w:val="18"/>
              </w:rPr>
              <w:t xml:space="preserve"> </w:t>
            </w:r>
          </w:p>
        </w:tc>
      </w:tr>
      <w:tr w:rsidR="00A52D4F" w:rsidRPr="0016385E" w14:paraId="00FF962A" w14:textId="77777777" w:rsidTr="002D535B">
        <w:tc>
          <w:tcPr>
            <w:tcW w:w="5000" w:type="pct"/>
            <w:gridSpan w:val="5"/>
            <w:shd w:val="clear" w:color="auto" w:fill="D9E2F3" w:themeFill="accent1" w:themeFillTint="33"/>
            <w:tcMar>
              <w:top w:w="72" w:type="dxa"/>
              <w:left w:w="144" w:type="dxa"/>
              <w:bottom w:w="72" w:type="dxa"/>
              <w:right w:w="144" w:type="dxa"/>
            </w:tcMar>
          </w:tcPr>
          <w:p w14:paraId="4D02D704" w14:textId="3C30EBF8" w:rsidR="00A52D4F" w:rsidRPr="0016385E" w:rsidRDefault="00691393" w:rsidP="00A52D4F">
            <w:pPr>
              <w:rPr>
                <w:b/>
                <w:bCs/>
                <w:color w:val="000000"/>
                <w:sz w:val="18"/>
                <w:szCs w:val="18"/>
              </w:rPr>
            </w:pPr>
            <w:r w:rsidRPr="0016385E">
              <w:rPr>
                <w:b/>
                <w:bCs/>
                <w:color w:val="000000"/>
                <w:sz w:val="18"/>
                <w:szCs w:val="18"/>
              </w:rPr>
              <w:t xml:space="preserve">UNSDCF </w:t>
            </w:r>
            <w:r w:rsidR="0040738A" w:rsidRPr="0016385E">
              <w:rPr>
                <w:b/>
                <w:bCs/>
                <w:color w:val="000000"/>
                <w:sz w:val="18"/>
                <w:szCs w:val="18"/>
              </w:rPr>
              <w:t>OUTCOME</w:t>
            </w:r>
            <w:r w:rsidR="00B41F25" w:rsidRPr="0016385E">
              <w:rPr>
                <w:b/>
                <w:bCs/>
                <w:color w:val="000000"/>
                <w:sz w:val="18"/>
                <w:szCs w:val="18"/>
              </w:rPr>
              <w:t xml:space="preserve"> (4.2) involving </w:t>
            </w:r>
            <w:r w:rsidRPr="0016385E">
              <w:rPr>
                <w:b/>
                <w:bCs/>
                <w:color w:val="000000"/>
                <w:sz w:val="18"/>
                <w:szCs w:val="18"/>
              </w:rPr>
              <w:t xml:space="preserve">UNDP </w:t>
            </w:r>
            <w:r w:rsidR="00AC0D55" w:rsidRPr="0016385E">
              <w:rPr>
                <w:b/>
                <w:bCs/>
                <w:color w:val="000000"/>
                <w:sz w:val="18"/>
                <w:szCs w:val="18"/>
              </w:rPr>
              <w:t>N°</w:t>
            </w:r>
            <w:r w:rsidR="00AC0D55">
              <w:rPr>
                <w:b/>
                <w:bCs/>
                <w:color w:val="000000"/>
                <w:sz w:val="18"/>
                <w:szCs w:val="18"/>
              </w:rPr>
              <w:t xml:space="preserve"> </w:t>
            </w:r>
            <w:r w:rsidRPr="0016385E">
              <w:rPr>
                <w:b/>
                <w:bCs/>
                <w:color w:val="000000"/>
                <w:sz w:val="18"/>
                <w:szCs w:val="18"/>
              </w:rPr>
              <w:t>3</w:t>
            </w:r>
            <w:r w:rsidR="00B41F25" w:rsidRPr="0016385E">
              <w:rPr>
                <w:b/>
                <w:bCs/>
                <w:color w:val="000000"/>
                <w:sz w:val="18"/>
                <w:szCs w:val="18"/>
              </w:rPr>
              <w:t>.</w:t>
            </w:r>
            <w:r w:rsidRPr="0016385E">
              <w:rPr>
                <w:b/>
                <w:bCs/>
                <w:color w:val="000000"/>
                <w:sz w:val="18"/>
                <w:szCs w:val="18"/>
              </w:rPr>
              <w:t xml:space="preserve"> By 2030, </w:t>
            </w:r>
            <w:r w:rsidR="00B41F25" w:rsidRPr="0016385E">
              <w:rPr>
                <w:b/>
                <w:bCs/>
                <w:color w:val="000000"/>
                <w:sz w:val="18"/>
                <w:szCs w:val="18"/>
              </w:rPr>
              <w:t>a</w:t>
            </w:r>
            <w:r w:rsidRPr="0016385E">
              <w:rPr>
                <w:b/>
                <w:bCs/>
                <w:color w:val="000000"/>
                <w:sz w:val="18"/>
                <w:szCs w:val="18"/>
              </w:rPr>
              <w:t>ctors at different levels effectively apply measures to conserve, preserve and enhance biodiversity and natural capital so that the environment and natural resources are pillars of economic growth, sustainable development and improved living conditions for populations.</w:t>
            </w:r>
          </w:p>
        </w:tc>
      </w:tr>
      <w:tr w:rsidR="00A52D4F" w:rsidRPr="0016385E" w14:paraId="73C7C8E2" w14:textId="77777777" w:rsidTr="002D535B">
        <w:tc>
          <w:tcPr>
            <w:tcW w:w="5000" w:type="pct"/>
            <w:gridSpan w:val="5"/>
            <w:shd w:val="clear" w:color="auto" w:fill="D9E2F3" w:themeFill="accent1" w:themeFillTint="33"/>
            <w:tcMar>
              <w:top w:w="72" w:type="dxa"/>
              <w:left w:w="144" w:type="dxa"/>
              <w:bottom w:w="72" w:type="dxa"/>
              <w:right w:w="144" w:type="dxa"/>
            </w:tcMar>
          </w:tcPr>
          <w:p w14:paraId="28738BD2" w14:textId="1E9443DA" w:rsidR="00A52D4F" w:rsidRPr="0016385E" w:rsidRDefault="00B41F25" w:rsidP="00B41F25">
            <w:pPr>
              <w:rPr>
                <w:b/>
                <w:bCs/>
                <w:color w:val="000000"/>
                <w:sz w:val="18"/>
                <w:szCs w:val="18"/>
              </w:rPr>
            </w:pPr>
            <w:r w:rsidRPr="0016385E">
              <w:rPr>
                <w:b/>
                <w:bCs/>
                <w:color w:val="000000"/>
                <w:sz w:val="18"/>
                <w:szCs w:val="18"/>
              </w:rPr>
              <w:t>Related Strategic Plan outcome</w:t>
            </w:r>
            <w:r w:rsidR="00A52D4F" w:rsidRPr="0016385E">
              <w:rPr>
                <w:b/>
                <w:bCs/>
                <w:color w:val="000000"/>
                <w:sz w:val="18"/>
                <w:szCs w:val="18"/>
              </w:rPr>
              <w:t xml:space="preserve">: </w:t>
            </w:r>
            <w:r w:rsidR="00A52D4F" w:rsidRPr="00882056">
              <w:rPr>
                <w:b/>
                <w:sz w:val="18"/>
                <w:szCs w:val="18"/>
              </w:rPr>
              <w:t>Outcome 3</w:t>
            </w:r>
            <w:r w:rsidRPr="0016385E">
              <w:rPr>
                <w:b/>
                <w:sz w:val="18"/>
                <w:szCs w:val="18"/>
              </w:rPr>
              <w:t>.</w:t>
            </w:r>
            <w:r w:rsidR="00A52D4F" w:rsidRPr="00882056">
              <w:rPr>
                <w:b/>
                <w:sz w:val="18"/>
                <w:szCs w:val="18"/>
              </w:rPr>
              <w:t xml:space="preserve"> Strengthen resilience to shocks and crises</w:t>
            </w:r>
          </w:p>
        </w:tc>
      </w:tr>
      <w:tr w:rsidR="00BB279A" w:rsidRPr="0016385E" w14:paraId="676B6634" w14:textId="77777777" w:rsidTr="00882056">
        <w:tc>
          <w:tcPr>
            <w:tcW w:w="1093" w:type="pct"/>
            <w:vMerge w:val="restart"/>
            <w:tcMar>
              <w:top w:w="72" w:type="dxa"/>
              <w:left w:w="144" w:type="dxa"/>
              <w:bottom w:w="72" w:type="dxa"/>
              <w:right w:w="144" w:type="dxa"/>
            </w:tcMar>
          </w:tcPr>
          <w:p w14:paraId="35734C68" w14:textId="5F063662" w:rsidR="00BB279A" w:rsidRPr="00017902" w:rsidRDefault="00BB279A" w:rsidP="00006AF5">
            <w:pPr>
              <w:rPr>
                <w:b/>
                <w:bCs/>
                <w:sz w:val="18"/>
                <w:szCs w:val="18"/>
              </w:rPr>
            </w:pPr>
            <w:r w:rsidRPr="00882056">
              <w:rPr>
                <w:b/>
                <w:bCs/>
                <w:sz w:val="18"/>
                <w:szCs w:val="18"/>
              </w:rPr>
              <w:t>Indicator 3.1</w:t>
            </w:r>
            <w:r w:rsidR="00B41F25" w:rsidRPr="00882056">
              <w:rPr>
                <w:b/>
                <w:bCs/>
                <w:sz w:val="18"/>
                <w:szCs w:val="18"/>
              </w:rPr>
              <w:t>.</w:t>
            </w:r>
            <w:r w:rsidRPr="00882056">
              <w:rPr>
                <w:b/>
                <w:bCs/>
                <w:sz w:val="18"/>
                <w:szCs w:val="18"/>
              </w:rPr>
              <w:t xml:space="preserve"> Size of </w:t>
            </w:r>
            <w:r w:rsidR="00B41F25" w:rsidRPr="00882056">
              <w:rPr>
                <w:b/>
                <w:bCs/>
                <w:sz w:val="18"/>
                <w:szCs w:val="18"/>
              </w:rPr>
              <w:t>p</w:t>
            </w:r>
            <w:r w:rsidRPr="00882056">
              <w:rPr>
                <w:b/>
                <w:bCs/>
                <w:sz w:val="18"/>
                <w:szCs w:val="18"/>
              </w:rPr>
              <w:t xml:space="preserve">rotected </w:t>
            </w:r>
            <w:r w:rsidR="00B41F25" w:rsidRPr="00017902">
              <w:rPr>
                <w:b/>
                <w:bCs/>
                <w:sz w:val="18"/>
                <w:szCs w:val="18"/>
              </w:rPr>
              <w:t>a</w:t>
            </w:r>
            <w:r w:rsidRPr="00017902">
              <w:rPr>
                <w:b/>
                <w:bCs/>
                <w:sz w:val="18"/>
                <w:szCs w:val="18"/>
              </w:rPr>
              <w:t>reas sheltering important sites for the conservation of land-based biodiversity (</w:t>
            </w:r>
            <w:r w:rsidR="00481F6B" w:rsidRPr="00017902">
              <w:rPr>
                <w:b/>
                <w:bCs/>
                <w:sz w:val="18"/>
                <w:szCs w:val="18"/>
              </w:rPr>
              <w:t>Integral Nature Reserve</w:t>
            </w:r>
            <w:r w:rsidRPr="00017902">
              <w:rPr>
                <w:b/>
                <w:bCs/>
                <w:sz w:val="18"/>
                <w:szCs w:val="18"/>
              </w:rPr>
              <w:t xml:space="preserve">, </w:t>
            </w:r>
            <w:r w:rsidR="007900ED" w:rsidRPr="00017902">
              <w:rPr>
                <w:b/>
                <w:bCs/>
                <w:sz w:val="18"/>
                <w:szCs w:val="18"/>
              </w:rPr>
              <w:t>Natural Park</w:t>
            </w:r>
            <w:r w:rsidRPr="00017902">
              <w:rPr>
                <w:b/>
                <w:bCs/>
                <w:sz w:val="18"/>
                <w:szCs w:val="18"/>
              </w:rPr>
              <w:t xml:space="preserve">, </w:t>
            </w:r>
            <w:r w:rsidR="00B525C8" w:rsidRPr="00017902">
              <w:rPr>
                <w:b/>
                <w:bCs/>
                <w:sz w:val="18"/>
                <w:szCs w:val="18"/>
              </w:rPr>
              <w:t>Special reserve</w:t>
            </w:r>
            <w:r w:rsidRPr="00017902">
              <w:rPr>
                <w:b/>
                <w:bCs/>
                <w:sz w:val="18"/>
                <w:szCs w:val="18"/>
              </w:rPr>
              <w:t xml:space="preserve">, </w:t>
            </w:r>
            <w:r w:rsidR="007930E0" w:rsidRPr="00017902">
              <w:rPr>
                <w:b/>
                <w:bCs/>
                <w:sz w:val="18"/>
                <w:szCs w:val="18"/>
              </w:rPr>
              <w:t>Harmonious Protected Landscape</w:t>
            </w:r>
            <w:r w:rsidRPr="00017902">
              <w:rPr>
                <w:b/>
                <w:bCs/>
                <w:sz w:val="18"/>
                <w:szCs w:val="18"/>
              </w:rPr>
              <w:t>, World Heritage sites)</w:t>
            </w:r>
          </w:p>
          <w:p w14:paraId="64EB40F0" w14:textId="4D0562CF" w:rsidR="00BB279A" w:rsidRPr="00882056" w:rsidRDefault="00BB279A" w:rsidP="00006AF5">
            <w:pPr>
              <w:rPr>
                <w:sz w:val="18"/>
                <w:szCs w:val="18"/>
              </w:rPr>
            </w:pPr>
            <w:r w:rsidRPr="00017902">
              <w:rPr>
                <w:sz w:val="18"/>
                <w:szCs w:val="18"/>
              </w:rPr>
              <w:t>Baseline (2018): 6,092</w:t>
            </w:r>
            <w:r w:rsidRPr="00882056">
              <w:rPr>
                <w:sz w:val="18"/>
                <w:szCs w:val="18"/>
              </w:rPr>
              <w:t>,221 ha</w:t>
            </w:r>
          </w:p>
          <w:p w14:paraId="30272A21" w14:textId="6D8985B8" w:rsidR="00BB279A" w:rsidRPr="00882056" w:rsidRDefault="00BB279A" w:rsidP="00006AF5">
            <w:pPr>
              <w:rPr>
                <w:sz w:val="18"/>
                <w:szCs w:val="18"/>
              </w:rPr>
            </w:pPr>
            <w:r w:rsidRPr="00882056">
              <w:rPr>
                <w:sz w:val="18"/>
                <w:szCs w:val="18"/>
              </w:rPr>
              <w:t xml:space="preserve">Target (2023): </w:t>
            </w:r>
            <w:r w:rsidR="008A4850" w:rsidRPr="00882056">
              <w:rPr>
                <w:sz w:val="18"/>
                <w:szCs w:val="18"/>
              </w:rPr>
              <w:t>8</w:t>
            </w:r>
            <w:r w:rsidR="003C2E93" w:rsidRPr="00882056">
              <w:rPr>
                <w:sz w:val="18"/>
                <w:szCs w:val="18"/>
              </w:rPr>
              <w:t>,000,000 ha</w:t>
            </w:r>
          </w:p>
          <w:p w14:paraId="68FA0270" w14:textId="5A3C710E" w:rsidR="00BB279A" w:rsidRPr="00882056" w:rsidRDefault="00BB279A" w:rsidP="00006AF5">
            <w:pPr>
              <w:rPr>
                <w:sz w:val="18"/>
                <w:szCs w:val="18"/>
              </w:rPr>
            </w:pPr>
          </w:p>
          <w:p w14:paraId="5BCA1547" w14:textId="729F33E9" w:rsidR="00BB279A" w:rsidRPr="00882056" w:rsidRDefault="00BB279A" w:rsidP="00006AF5">
            <w:pPr>
              <w:rPr>
                <w:sz w:val="18"/>
                <w:szCs w:val="18"/>
              </w:rPr>
            </w:pPr>
          </w:p>
          <w:p w14:paraId="609759CB" w14:textId="295CAD2B" w:rsidR="00BB279A" w:rsidRPr="00882056" w:rsidRDefault="00BB279A" w:rsidP="00006AF5">
            <w:pPr>
              <w:rPr>
                <w:sz w:val="18"/>
                <w:szCs w:val="18"/>
              </w:rPr>
            </w:pPr>
          </w:p>
          <w:p w14:paraId="636C1E17" w14:textId="45CB3F88" w:rsidR="00BB279A" w:rsidRPr="00882056" w:rsidRDefault="00BB279A" w:rsidP="00006AF5">
            <w:pPr>
              <w:rPr>
                <w:sz w:val="18"/>
                <w:szCs w:val="18"/>
              </w:rPr>
            </w:pPr>
          </w:p>
          <w:p w14:paraId="215122D1" w14:textId="40B180AC" w:rsidR="00BB279A" w:rsidRPr="00882056" w:rsidRDefault="00BB279A" w:rsidP="00006AF5">
            <w:pPr>
              <w:rPr>
                <w:sz w:val="18"/>
                <w:szCs w:val="18"/>
              </w:rPr>
            </w:pPr>
          </w:p>
          <w:p w14:paraId="74A20AAB" w14:textId="07802734" w:rsidR="00BB279A" w:rsidRPr="00882056" w:rsidRDefault="00BB279A" w:rsidP="00006AF5">
            <w:pPr>
              <w:rPr>
                <w:sz w:val="18"/>
                <w:szCs w:val="18"/>
              </w:rPr>
            </w:pPr>
          </w:p>
          <w:p w14:paraId="5A6CAAB7" w14:textId="15DE0A7F" w:rsidR="00BB279A" w:rsidRPr="00882056" w:rsidRDefault="00BB279A" w:rsidP="00006AF5">
            <w:pPr>
              <w:rPr>
                <w:sz w:val="18"/>
                <w:szCs w:val="18"/>
              </w:rPr>
            </w:pPr>
          </w:p>
          <w:p w14:paraId="02455FB7" w14:textId="3A759E16" w:rsidR="00BB279A" w:rsidRPr="00882056" w:rsidRDefault="00BB279A" w:rsidP="00006AF5">
            <w:pPr>
              <w:rPr>
                <w:sz w:val="18"/>
                <w:szCs w:val="18"/>
              </w:rPr>
            </w:pPr>
          </w:p>
          <w:p w14:paraId="4D3E8B15" w14:textId="736A9458" w:rsidR="00BB279A" w:rsidRPr="00882056" w:rsidRDefault="00BB279A" w:rsidP="00006AF5">
            <w:pPr>
              <w:rPr>
                <w:sz w:val="18"/>
                <w:szCs w:val="18"/>
              </w:rPr>
            </w:pPr>
          </w:p>
          <w:p w14:paraId="5AC9ED80" w14:textId="0FA93952" w:rsidR="00BB279A" w:rsidRPr="00882056" w:rsidRDefault="00BB279A" w:rsidP="00006AF5">
            <w:pPr>
              <w:rPr>
                <w:sz w:val="18"/>
                <w:szCs w:val="18"/>
              </w:rPr>
            </w:pPr>
          </w:p>
          <w:p w14:paraId="6A08AEE4" w14:textId="6A2A5231" w:rsidR="00BB279A" w:rsidRPr="00882056" w:rsidRDefault="00BB279A" w:rsidP="00006AF5">
            <w:pPr>
              <w:rPr>
                <w:sz w:val="18"/>
                <w:szCs w:val="18"/>
              </w:rPr>
            </w:pPr>
          </w:p>
          <w:p w14:paraId="74A01B2F" w14:textId="3D3FBDCE" w:rsidR="00BB279A" w:rsidRPr="00882056" w:rsidRDefault="00BB279A" w:rsidP="00006AF5">
            <w:pPr>
              <w:rPr>
                <w:sz w:val="18"/>
                <w:szCs w:val="18"/>
              </w:rPr>
            </w:pPr>
          </w:p>
          <w:p w14:paraId="516158AF" w14:textId="1E940B0A" w:rsidR="00BB279A" w:rsidRPr="00882056" w:rsidRDefault="00BB279A" w:rsidP="00006AF5">
            <w:pPr>
              <w:rPr>
                <w:sz w:val="18"/>
                <w:szCs w:val="18"/>
              </w:rPr>
            </w:pPr>
          </w:p>
          <w:p w14:paraId="307853D4" w14:textId="1334B3A6" w:rsidR="00BB279A" w:rsidRPr="00882056" w:rsidRDefault="00BB279A" w:rsidP="00006AF5">
            <w:pPr>
              <w:rPr>
                <w:sz w:val="18"/>
                <w:szCs w:val="18"/>
              </w:rPr>
            </w:pPr>
          </w:p>
          <w:p w14:paraId="67DCB3A8" w14:textId="18E51165" w:rsidR="00BB279A" w:rsidRPr="00882056" w:rsidRDefault="00BB279A" w:rsidP="00006AF5">
            <w:pPr>
              <w:rPr>
                <w:sz w:val="18"/>
                <w:szCs w:val="18"/>
              </w:rPr>
            </w:pPr>
          </w:p>
          <w:p w14:paraId="26D90F9B" w14:textId="703884D2" w:rsidR="00BB279A" w:rsidRPr="00882056" w:rsidRDefault="00BB279A" w:rsidP="00006AF5">
            <w:pPr>
              <w:rPr>
                <w:sz w:val="18"/>
                <w:szCs w:val="18"/>
              </w:rPr>
            </w:pPr>
          </w:p>
          <w:p w14:paraId="434C727C" w14:textId="66D0E52C" w:rsidR="00BB279A" w:rsidRPr="00882056" w:rsidRDefault="00BB279A" w:rsidP="00006AF5">
            <w:pPr>
              <w:rPr>
                <w:sz w:val="18"/>
                <w:szCs w:val="18"/>
              </w:rPr>
            </w:pPr>
          </w:p>
          <w:p w14:paraId="76F4B8ED" w14:textId="2567442D" w:rsidR="00BB279A" w:rsidRPr="00882056" w:rsidRDefault="00BB279A" w:rsidP="00006AF5">
            <w:pPr>
              <w:rPr>
                <w:sz w:val="18"/>
                <w:szCs w:val="18"/>
              </w:rPr>
            </w:pPr>
          </w:p>
          <w:p w14:paraId="05AF315E" w14:textId="2D058D69" w:rsidR="00BB279A" w:rsidRPr="00882056" w:rsidRDefault="00BB279A" w:rsidP="00006AF5">
            <w:pPr>
              <w:rPr>
                <w:sz w:val="18"/>
                <w:szCs w:val="18"/>
              </w:rPr>
            </w:pPr>
          </w:p>
          <w:p w14:paraId="490EB9B4" w14:textId="54F70FF2" w:rsidR="00BB279A" w:rsidRPr="00882056" w:rsidRDefault="00BB279A" w:rsidP="00006AF5">
            <w:pPr>
              <w:rPr>
                <w:sz w:val="18"/>
                <w:szCs w:val="18"/>
              </w:rPr>
            </w:pPr>
          </w:p>
          <w:p w14:paraId="252BA3C9" w14:textId="77777777" w:rsidR="00BB279A" w:rsidRPr="00882056" w:rsidRDefault="00BB279A" w:rsidP="00006AF5">
            <w:pPr>
              <w:rPr>
                <w:sz w:val="18"/>
                <w:szCs w:val="18"/>
              </w:rPr>
            </w:pPr>
          </w:p>
          <w:p w14:paraId="3D1D9CCE" w14:textId="77777777" w:rsidR="00BB279A" w:rsidRPr="00882056" w:rsidRDefault="00BB279A" w:rsidP="0083268B">
            <w:pPr>
              <w:rPr>
                <w:b/>
                <w:bCs/>
                <w:sz w:val="18"/>
                <w:szCs w:val="18"/>
              </w:rPr>
            </w:pPr>
          </w:p>
          <w:p w14:paraId="34A7284E" w14:textId="77777777" w:rsidR="00BB279A" w:rsidRPr="00882056" w:rsidRDefault="00BB279A" w:rsidP="0083268B">
            <w:pPr>
              <w:rPr>
                <w:b/>
                <w:bCs/>
                <w:sz w:val="18"/>
                <w:szCs w:val="18"/>
              </w:rPr>
            </w:pPr>
          </w:p>
          <w:p w14:paraId="3835AD76" w14:textId="02E2F9DD" w:rsidR="00BB279A" w:rsidRPr="00882056" w:rsidRDefault="00BB279A" w:rsidP="0083268B">
            <w:pPr>
              <w:rPr>
                <w:b/>
                <w:bCs/>
                <w:sz w:val="18"/>
                <w:szCs w:val="18"/>
              </w:rPr>
            </w:pPr>
            <w:r w:rsidRPr="00882056">
              <w:rPr>
                <w:b/>
                <w:bCs/>
                <w:sz w:val="18"/>
                <w:szCs w:val="18"/>
              </w:rPr>
              <w:t>Indicator 3.2</w:t>
            </w:r>
            <w:r w:rsidR="00507B71" w:rsidRPr="00882056">
              <w:rPr>
                <w:b/>
                <w:bCs/>
                <w:sz w:val="18"/>
                <w:szCs w:val="18"/>
              </w:rPr>
              <w:t>.</w:t>
            </w:r>
            <w:r w:rsidRPr="00882056">
              <w:rPr>
                <w:b/>
                <w:bCs/>
                <w:sz w:val="18"/>
                <w:szCs w:val="18"/>
              </w:rPr>
              <w:t xml:space="preserve"> Proportion of agricultural areas </w:t>
            </w:r>
            <w:r w:rsidR="000E576D" w:rsidRPr="00882056">
              <w:rPr>
                <w:b/>
                <w:bCs/>
                <w:sz w:val="18"/>
                <w:szCs w:val="18"/>
              </w:rPr>
              <w:t xml:space="preserve">in targeted localities </w:t>
            </w:r>
            <w:r w:rsidRPr="00882056">
              <w:rPr>
                <w:b/>
                <w:bCs/>
                <w:sz w:val="18"/>
                <w:szCs w:val="18"/>
              </w:rPr>
              <w:t>used productively and sustainably</w:t>
            </w:r>
          </w:p>
          <w:p w14:paraId="7E4C69F2" w14:textId="3A7C01F1" w:rsidR="00BB279A" w:rsidRPr="00882056" w:rsidRDefault="00BB279A" w:rsidP="0083268B">
            <w:pPr>
              <w:rPr>
                <w:sz w:val="18"/>
                <w:szCs w:val="18"/>
              </w:rPr>
            </w:pPr>
            <w:r w:rsidRPr="00882056">
              <w:rPr>
                <w:sz w:val="18"/>
                <w:szCs w:val="18"/>
              </w:rPr>
              <w:t>Baseline (2021): TBD</w:t>
            </w:r>
          </w:p>
          <w:p w14:paraId="5317C997" w14:textId="75187EDC" w:rsidR="00BB279A" w:rsidRPr="00882056" w:rsidRDefault="00BB279A" w:rsidP="00175E6E">
            <w:pPr>
              <w:rPr>
                <w:sz w:val="18"/>
                <w:szCs w:val="18"/>
              </w:rPr>
            </w:pPr>
            <w:r w:rsidRPr="00882056">
              <w:rPr>
                <w:sz w:val="18"/>
                <w:szCs w:val="18"/>
              </w:rPr>
              <w:t>Target (2023): Baseline +6%</w:t>
            </w:r>
          </w:p>
        </w:tc>
        <w:tc>
          <w:tcPr>
            <w:tcW w:w="828" w:type="pct"/>
            <w:vMerge w:val="restart"/>
          </w:tcPr>
          <w:p w14:paraId="42877F80" w14:textId="01CEFD23" w:rsidR="00BB279A" w:rsidRPr="0016385E" w:rsidRDefault="00BB279A" w:rsidP="00A52D4F">
            <w:pPr>
              <w:rPr>
                <w:sz w:val="18"/>
                <w:szCs w:val="18"/>
              </w:rPr>
            </w:pPr>
            <w:r w:rsidRPr="0016385E">
              <w:rPr>
                <w:sz w:val="18"/>
                <w:szCs w:val="18"/>
              </w:rPr>
              <w:lastRenderedPageBreak/>
              <w:t xml:space="preserve">MEDD </w:t>
            </w:r>
            <w:r w:rsidR="00922987" w:rsidRPr="0016385E">
              <w:rPr>
                <w:sz w:val="18"/>
                <w:szCs w:val="18"/>
              </w:rPr>
              <w:t>r</w:t>
            </w:r>
            <w:r w:rsidRPr="0016385E">
              <w:rPr>
                <w:sz w:val="18"/>
                <w:szCs w:val="18"/>
              </w:rPr>
              <w:t xml:space="preserve">eport; </w:t>
            </w:r>
            <w:r w:rsidR="00922987" w:rsidRPr="0016385E">
              <w:rPr>
                <w:sz w:val="18"/>
                <w:szCs w:val="18"/>
              </w:rPr>
              <w:t>a</w:t>
            </w:r>
            <w:r w:rsidRPr="0016385E">
              <w:rPr>
                <w:sz w:val="18"/>
                <w:szCs w:val="18"/>
              </w:rPr>
              <w:t>nnual</w:t>
            </w:r>
          </w:p>
          <w:p w14:paraId="63332A5D" w14:textId="77777777" w:rsidR="00BB279A" w:rsidRPr="0016385E" w:rsidRDefault="00BB279A" w:rsidP="00A52D4F">
            <w:pPr>
              <w:rPr>
                <w:sz w:val="18"/>
                <w:szCs w:val="18"/>
              </w:rPr>
            </w:pPr>
          </w:p>
          <w:p w14:paraId="6F566E9A" w14:textId="77777777" w:rsidR="00BB279A" w:rsidRPr="0016385E" w:rsidRDefault="00BB279A" w:rsidP="00A52D4F">
            <w:pPr>
              <w:rPr>
                <w:sz w:val="18"/>
                <w:szCs w:val="18"/>
              </w:rPr>
            </w:pPr>
          </w:p>
          <w:p w14:paraId="61DDF9A9" w14:textId="140D0AD2" w:rsidR="00BB279A" w:rsidRPr="0016385E" w:rsidRDefault="00BB279A" w:rsidP="00A52D4F">
            <w:pPr>
              <w:rPr>
                <w:sz w:val="18"/>
                <w:szCs w:val="18"/>
              </w:rPr>
            </w:pPr>
            <w:r w:rsidRPr="0016385E">
              <w:rPr>
                <w:sz w:val="18"/>
                <w:szCs w:val="18"/>
              </w:rPr>
              <w:t>Survey on poverty and extreme poverty</w:t>
            </w:r>
            <w:r w:rsidR="00507B71" w:rsidRPr="0016385E">
              <w:rPr>
                <w:sz w:val="18"/>
                <w:szCs w:val="18"/>
              </w:rPr>
              <w:t>,</w:t>
            </w:r>
            <w:r w:rsidRPr="0016385E">
              <w:rPr>
                <w:sz w:val="18"/>
                <w:szCs w:val="18"/>
              </w:rPr>
              <w:t xml:space="preserve"> </w:t>
            </w:r>
            <w:r w:rsidR="00507B71" w:rsidRPr="0016385E">
              <w:rPr>
                <w:sz w:val="18"/>
                <w:szCs w:val="18"/>
              </w:rPr>
              <w:t>I</w:t>
            </w:r>
            <w:r w:rsidRPr="0016385E">
              <w:rPr>
                <w:sz w:val="18"/>
                <w:szCs w:val="18"/>
              </w:rPr>
              <w:t xml:space="preserve">NSTAT </w:t>
            </w:r>
          </w:p>
          <w:p w14:paraId="1BBFC201" w14:textId="77777777" w:rsidR="00BB279A" w:rsidRPr="0016385E" w:rsidRDefault="00BB279A" w:rsidP="00A52D4F">
            <w:pPr>
              <w:rPr>
                <w:sz w:val="18"/>
                <w:szCs w:val="18"/>
              </w:rPr>
            </w:pPr>
          </w:p>
          <w:p w14:paraId="529D7CB2" w14:textId="77777777" w:rsidR="00BB279A" w:rsidRPr="0016385E" w:rsidRDefault="00BB279A" w:rsidP="009E5482">
            <w:pPr>
              <w:rPr>
                <w:sz w:val="18"/>
                <w:szCs w:val="18"/>
              </w:rPr>
            </w:pPr>
          </w:p>
        </w:tc>
        <w:tc>
          <w:tcPr>
            <w:tcW w:w="1854" w:type="pct"/>
            <w:vMerge w:val="restart"/>
            <w:tcMar>
              <w:top w:w="72" w:type="dxa"/>
              <w:left w:w="144" w:type="dxa"/>
              <w:bottom w:w="72" w:type="dxa"/>
              <w:right w:w="144" w:type="dxa"/>
            </w:tcMar>
          </w:tcPr>
          <w:p w14:paraId="42BFA8B7" w14:textId="33DF07D8" w:rsidR="00BB279A" w:rsidRPr="0016385E" w:rsidRDefault="00BB279A" w:rsidP="004B7D1E">
            <w:pPr>
              <w:rPr>
                <w:b/>
                <w:bCs/>
                <w:color w:val="000000"/>
                <w:sz w:val="18"/>
                <w:szCs w:val="18"/>
              </w:rPr>
            </w:pPr>
            <w:r w:rsidRPr="0016385E">
              <w:rPr>
                <w:b/>
                <w:bCs/>
                <w:color w:val="000000"/>
                <w:sz w:val="18"/>
                <w:szCs w:val="18"/>
              </w:rPr>
              <w:t>Output 3.1</w:t>
            </w:r>
            <w:r w:rsidR="00507B71" w:rsidRPr="0016385E">
              <w:rPr>
                <w:b/>
                <w:bCs/>
                <w:color w:val="000000"/>
                <w:sz w:val="18"/>
                <w:szCs w:val="18"/>
              </w:rPr>
              <w:t>.</w:t>
            </w:r>
            <w:r w:rsidRPr="0016385E">
              <w:rPr>
                <w:b/>
                <w:bCs/>
                <w:color w:val="000000"/>
                <w:sz w:val="18"/>
                <w:szCs w:val="18"/>
              </w:rPr>
              <w:t xml:space="preserve"> Solutions scaled up for sustainable management of landscapes, including land-based and marine protected areas, labelled areas, wetlands, watersheds,</w:t>
            </w:r>
            <w:r w:rsidR="004B1570" w:rsidRPr="0016385E">
              <w:rPr>
                <w:b/>
                <w:bCs/>
                <w:color w:val="000000"/>
                <w:sz w:val="18"/>
                <w:szCs w:val="18"/>
              </w:rPr>
              <w:t xml:space="preserve"> through</w:t>
            </w:r>
            <w:r w:rsidRPr="0016385E">
              <w:rPr>
                <w:b/>
                <w:bCs/>
                <w:color w:val="000000"/>
                <w:sz w:val="18"/>
                <w:szCs w:val="18"/>
              </w:rPr>
              <w:t xml:space="preserve"> reforestation and prevention of wildland fire</w:t>
            </w:r>
          </w:p>
          <w:p w14:paraId="787A7FEC" w14:textId="75DEE882" w:rsidR="00BB279A" w:rsidRPr="0016385E" w:rsidRDefault="00BB279A" w:rsidP="004B7D1E">
            <w:pPr>
              <w:rPr>
                <w:color w:val="000000"/>
                <w:sz w:val="18"/>
                <w:szCs w:val="18"/>
              </w:rPr>
            </w:pPr>
            <w:r w:rsidRPr="0016385E">
              <w:rPr>
                <w:b/>
                <w:bCs/>
                <w:color w:val="000000"/>
                <w:sz w:val="18"/>
                <w:szCs w:val="18"/>
              </w:rPr>
              <w:t>Indicator 3.1.1</w:t>
            </w:r>
            <w:r w:rsidR="00507B71" w:rsidRPr="0016385E">
              <w:rPr>
                <w:b/>
                <w:bCs/>
                <w:color w:val="000000"/>
                <w:sz w:val="18"/>
                <w:szCs w:val="18"/>
              </w:rPr>
              <w:t>.</w:t>
            </w:r>
            <w:r w:rsidRPr="0016385E">
              <w:rPr>
                <w:b/>
                <w:bCs/>
                <w:color w:val="000000"/>
                <w:sz w:val="18"/>
                <w:szCs w:val="18"/>
              </w:rPr>
              <w:t xml:space="preserve"> </w:t>
            </w:r>
            <w:r w:rsidRPr="0016385E">
              <w:rPr>
                <w:color w:val="000000"/>
                <w:sz w:val="18"/>
                <w:szCs w:val="18"/>
              </w:rPr>
              <w:t xml:space="preserve">Number of new </w:t>
            </w:r>
            <w:r w:rsidR="00507B71" w:rsidRPr="0016385E">
              <w:rPr>
                <w:color w:val="000000"/>
                <w:sz w:val="18"/>
                <w:szCs w:val="18"/>
              </w:rPr>
              <w:t>c</w:t>
            </w:r>
            <w:r w:rsidRPr="0016385E">
              <w:rPr>
                <w:color w:val="000000"/>
                <w:sz w:val="18"/>
                <w:szCs w:val="18"/>
              </w:rPr>
              <w:t xml:space="preserve">ommunity-managed </w:t>
            </w:r>
            <w:r w:rsidR="00507B71" w:rsidRPr="0016385E">
              <w:rPr>
                <w:color w:val="000000"/>
                <w:sz w:val="18"/>
                <w:szCs w:val="18"/>
              </w:rPr>
              <w:t>p</w:t>
            </w:r>
            <w:r w:rsidRPr="0016385E">
              <w:rPr>
                <w:color w:val="000000"/>
                <w:sz w:val="18"/>
                <w:szCs w:val="18"/>
              </w:rPr>
              <w:t xml:space="preserve">rotected </w:t>
            </w:r>
            <w:r w:rsidR="00507B71" w:rsidRPr="0016385E">
              <w:rPr>
                <w:color w:val="000000"/>
                <w:sz w:val="18"/>
                <w:szCs w:val="18"/>
              </w:rPr>
              <w:t>a</w:t>
            </w:r>
            <w:r w:rsidRPr="0016385E">
              <w:rPr>
                <w:color w:val="000000"/>
                <w:sz w:val="18"/>
                <w:szCs w:val="18"/>
              </w:rPr>
              <w:t>reas created</w:t>
            </w:r>
          </w:p>
          <w:p w14:paraId="57D97016" w14:textId="7CC02CFB" w:rsidR="00BB279A" w:rsidRPr="0016385E" w:rsidRDefault="00BB279A" w:rsidP="00A17D56">
            <w:pPr>
              <w:rPr>
                <w:color w:val="000000"/>
                <w:sz w:val="18"/>
                <w:szCs w:val="18"/>
              </w:rPr>
            </w:pPr>
            <w:r w:rsidRPr="0016385E">
              <w:rPr>
                <w:color w:val="000000"/>
                <w:sz w:val="18"/>
                <w:szCs w:val="18"/>
              </w:rPr>
              <w:t>Baseline (2021):</w:t>
            </w:r>
            <w:r w:rsidRPr="0016385E">
              <w:rPr>
                <w:sz w:val="18"/>
                <w:szCs w:val="18"/>
              </w:rPr>
              <w:t xml:space="preserve"> </w:t>
            </w:r>
            <w:r w:rsidRPr="0016385E">
              <w:rPr>
                <w:color w:val="000000"/>
                <w:sz w:val="18"/>
                <w:szCs w:val="18"/>
              </w:rPr>
              <w:t xml:space="preserve">7 </w:t>
            </w:r>
            <w:r w:rsidR="001E5AC6" w:rsidRPr="00882056">
              <w:rPr>
                <w:color w:val="000000"/>
                <w:sz w:val="18"/>
                <w:szCs w:val="18"/>
              </w:rPr>
              <w:t>community-managed protected areas</w:t>
            </w:r>
            <w:r w:rsidR="001E5AC6" w:rsidRPr="0016385E" w:rsidDel="001E5AC6">
              <w:rPr>
                <w:color w:val="000000"/>
                <w:sz w:val="18"/>
                <w:szCs w:val="18"/>
              </w:rPr>
              <w:t xml:space="preserve"> </w:t>
            </w:r>
            <w:r w:rsidR="001E5AC6" w:rsidRPr="0016385E">
              <w:rPr>
                <w:color w:val="000000"/>
                <w:sz w:val="18"/>
                <w:szCs w:val="18"/>
              </w:rPr>
              <w:t>(CPAs)</w:t>
            </w:r>
            <w:r w:rsidRPr="0016385E">
              <w:rPr>
                <w:color w:val="000000"/>
                <w:sz w:val="18"/>
                <w:szCs w:val="18"/>
              </w:rPr>
              <w:t xml:space="preserve"> at the creation stage</w:t>
            </w:r>
          </w:p>
          <w:p w14:paraId="4BADE378" w14:textId="1C5EA7BD" w:rsidR="00BB279A" w:rsidRPr="0016385E" w:rsidRDefault="00BB279A" w:rsidP="00A17D56">
            <w:pPr>
              <w:rPr>
                <w:color w:val="000000"/>
                <w:sz w:val="18"/>
                <w:szCs w:val="18"/>
              </w:rPr>
            </w:pPr>
            <w:r w:rsidRPr="0016385E">
              <w:rPr>
                <w:color w:val="000000"/>
                <w:sz w:val="18"/>
                <w:szCs w:val="18"/>
              </w:rPr>
              <w:t>Target (2023): 7 CPAs fully created</w:t>
            </w:r>
          </w:p>
          <w:p w14:paraId="68FC4683" w14:textId="291B55E8" w:rsidR="00BB279A" w:rsidRPr="0016385E" w:rsidRDefault="00BB279A" w:rsidP="00A17D56">
            <w:pPr>
              <w:rPr>
                <w:b/>
                <w:bCs/>
                <w:color w:val="000000"/>
                <w:sz w:val="18"/>
                <w:szCs w:val="18"/>
              </w:rPr>
            </w:pPr>
            <w:r w:rsidRPr="0016385E">
              <w:rPr>
                <w:i/>
                <w:iCs/>
                <w:color w:val="000000"/>
                <w:sz w:val="18"/>
                <w:szCs w:val="18"/>
              </w:rPr>
              <w:t xml:space="preserve">Data </w:t>
            </w:r>
            <w:r w:rsidR="00507B71" w:rsidRPr="0016385E">
              <w:rPr>
                <w:i/>
                <w:iCs/>
                <w:color w:val="000000"/>
                <w:sz w:val="18"/>
                <w:szCs w:val="18"/>
              </w:rPr>
              <w:t>s</w:t>
            </w:r>
            <w:r w:rsidRPr="0016385E">
              <w:rPr>
                <w:i/>
                <w:iCs/>
                <w:color w:val="000000"/>
                <w:sz w:val="18"/>
                <w:szCs w:val="18"/>
              </w:rPr>
              <w:t xml:space="preserve">ource: MEDD </w:t>
            </w:r>
            <w:r w:rsidR="00507B71" w:rsidRPr="0016385E">
              <w:rPr>
                <w:i/>
                <w:iCs/>
                <w:color w:val="000000"/>
                <w:sz w:val="18"/>
                <w:szCs w:val="18"/>
              </w:rPr>
              <w:t>r</w:t>
            </w:r>
            <w:r w:rsidRPr="0016385E">
              <w:rPr>
                <w:i/>
                <w:iCs/>
                <w:color w:val="000000"/>
                <w:sz w:val="18"/>
                <w:szCs w:val="18"/>
              </w:rPr>
              <w:t xml:space="preserve">eports; Frequency: </w:t>
            </w:r>
            <w:r w:rsidR="00507B71" w:rsidRPr="0016385E">
              <w:rPr>
                <w:i/>
                <w:iCs/>
                <w:color w:val="000000"/>
                <w:sz w:val="18"/>
                <w:szCs w:val="18"/>
              </w:rPr>
              <w:t>a</w:t>
            </w:r>
            <w:r w:rsidRPr="0016385E">
              <w:rPr>
                <w:i/>
                <w:iCs/>
                <w:color w:val="000000"/>
                <w:sz w:val="18"/>
                <w:szCs w:val="18"/>
              </w:rPr>
              <w:t>nnual</w:t>
            </w:r>
          </w:p>
          <w:p w14:paraId="4DB85FC7" w14:textId="6B64C14E" w:rsidR="00BB279A" w:rsidRPr="0016385E" w:rsidRDefault="00BB279A" w:rsidP="00A52D4F">
            <w:pPr>
              <w:rPr>
                <w:color w:val="000000"/>
                <w:sz w:val="18"/>
                <w:szCs w:val="18"/>
              </w:rPr>
            </w:pPr>
            <w:r w:rsidRPr="0016385E">
              <w:rPr>
                <w:b/>
                <w:bCs/>
                <w:color w:val="000000"/>
                <w:sz w:val="18"/>
                <w:szCs w:val="18"/>
              </w:rPr>
              <w:t>Indicator 3.1.2</w:t>
            </w:r>
            <w:r w:rsidR="00507B71" w:rsidRPr="0016385E">
              <w:rPr>
                <w:b/>
                <w:bCs/>
                <w:color w:val="000000"/>
                <w:sz w:val="18"/>
                <w:szCs w:val="18"/>
              </w:rPr>
              <w:t>.</w:t>
            </w:r>
            <w:r w:rsidRPr="0016385E">
              <w:rPr>
                <w:color w:val="000000"/>
                <w:sz w:val="18"/>
                <w:szCs w:val="18"/>
              </w:rPr>
              <w:t xml:space="preserve"> Number of land-based </w:t>
            </w:r>
            <w:r w:rsidR="00507B71" w:rsidRPr="0016385E">
              <w:rPr>
                <w:color w:val="000000"/>
                <w:sz w:val="18"/>
                <w:szCs w:val="18"/>
              </w:rPr>
              <w:t>C</w:t>
            </w:r>
            <w:r w:rsidRPr="0016385E">
              <w:rPr>
                <w:color w:val="000000"/>
                <w:sz w:val="18"/>
                <w:szCs w:val="18"/>
              </w:rPr>
              <w:t>PAs effectively managed (referenc</w:t>
            </w:r>
            <w:r w:rsidR="00507B71" w:rsidRPr="0016385E">
              <w:rPr>
                <w:color w:val="000000"/>
                <w:sz w:val="18"/>
                <w:szCs w:val="18"/>
              </w:rPr>
              <w:t>ing</w:t>
            </w:r>
            <w:r w:rsidRPr="0016385E">
              <w:rPr>
                <w:color w:val="000000"/>
                <w:sz w:val="18"/>
                <w:szCs w:val="18"/>
              </w:rPr>
              <w:t xml:space="preserve"> METT management effectiveness assessment tool)</w:t>
            </w:r>
          </w:p>
          <w:p w14:paraId="28BB3E35" w14:textId="53E707AC" w:rsidR="00BB279A" w:rsidRPr="0016385E" w:rsidRDefault="00BB279A" w:rsidP="006876EB">
            <w:pPr>
              <w:rPr>
                <w:color w:val="000000"/>
                <w:sz w:val="18"/>
                <w:szCs w:val="18"/>
              </w:rPr>
            </w:pPr>
            <w:r w:rsidRPr="0016385E">
              <w:rPr>
                <w:color w:val="000000"/>
                <w:sz w:val="18"/>
                <w:szCs w:val="18"/>
              </w:rPr>
              <w:t>Baseline (2021):0</w:t>
            </w:r>
          </w:p>
          <w:p w14:paraId="324E42A2" w14:textId="1DD43DB1" w:rsidR="00BB279A" w:rsidRPr="0016385E" w:rsidRDefault="00BB279A" w:rsidP="006876EB">
            <w:pPr>
              <w:rPr>
                <w:color w:val="000000"/>
                <w:sz w:val="18"/>
                <w:szCs w:val="18"/>
              </w:rPr>
            </w:pPr>
            <w:r w:rsidRPr="0016385E">
              <w:rPr>
                <w:color w:val="000000"/>
                <w:sz w:val="18"/>
                <w:szCs w:val="18"/>
              </w:rPr>
              <w:t>Target (2023): TBD</w:t>
            </w:r>
          </w:p>
          <w:p w14:paraId="7F5F1059" w14:textId="231C9BFA" w:rsidR="00BB279A" w:rsidRPr="0016385E" w:rsidRDefault="00BB279A" w:rsidP="006876EB">
            <w:pPr>
              <w:rPr>
                <w:i/>
                <w:iCs/>
                <w:color w:val="000000"/>
                <w:sz w:val="18"/>
                <w:szCs w:val="18"/>
              </w:rPr>
            </w:pPr>
            <w:r w:rsidRPr="0016385E">
              <w:rPr>
                <w:i/>
                <w:iCs/>
                <w:color w:val="000000"/>
                <w:sz w:val="18"/>
                <w:szCs w:val="18"/>
              </w:rPr>
              <w:t xml:space="preserve">Data </w:t>
            </w:r>
            <w:r w:rsidR="00507B71" w:rsidRPr="0016385E">
              <w:rPr>
                <w:i/>
                <w:iCs/>
                <w:color w:val="000000"/>
                <w:sz w:val="18"/>
                <w:szCs w:val="18"/>
              </w:rPr>
              <w:t>s</w:t>
            </w:r>
            <w:r w:rsidRPr="0016385E">
              <w:rPr>
                <w:i/>
                <w:iCs/>
                <w:color w:val="000000"/>
                <w:sz w:val="18"/>
                <w:szCs w:val="18"/>
              </w:rPr>
              <w:t xml:space="preserve">ource: MEDD </w:t>
            </w:r>
            <w:r w:rsidR="00507B71" w:rsidRPr="0016385E">
              <w:rPr>
                <w:i/>
                <w:iCs/>
                <w:color w:val="000000"/>
                <w:sz w:val="18"/>
                <w:szCs w:val="18"/>
              </w:rPr>
              <w:t>r</w:t>
            </w:r>
            <w:r w:rsidRPr="0016385E">
              <w:rPr>
                <w:i/>
                <w:iCs/>
                <w:color w:val="000000"/>
                <w:sz w:val="18"/>
                <w:szCs w:val="18"/>
              </w:rPr>
              <w:t xml:space="preserve">eports; Frequency: </w:t>
            </w:r>
            <w:r w:rsidR="00507B71" w:rsidRPr="0016385E">
              <w:rPr>
                <w:i/>
                <w:iCs/>
                <w:color w:val="000000"/>
                <w:sz w:val="18"/>
                <w:szCs w:val="18"/>
              </w:rPr>
              <w:t>a</w:t>
            </w:r>
            <w:r w:rsidRPr="0016385E">
              <w:rPr>
                <w:i/>
                <w:iCs/>
                <w:color w:val="000000"/>
                <w:sz w:val="18"/>
                <w:szCs w:val="18"/>
              </w:rPr>
              <w:t>nnual</w:t>
            </w:r>
          </w:p>
          <w:p w14:paraId="4F291A1D" w14:textId="1B98830A" w:rsidR="00BB279A" w:rsidRPr="0016385E" w:rsidRDefault="00BB279A" w:rsidP="00A52D4F">
            <w:pPr>
              <w:suppressAutoHyphens/>
              <w:autoSpaceDN w:val="0"/>
              <w:textAlignment w:val="baseline"/>
              <w:rPr>
                <w:b/>
                <w:bCs/>
                <w:iCs/>
                <w:sz w:val="18"/>
                <w:szCs w:val="18"/>
              </w:rPr>
            </w:pPr>
            <w:r w:rsidRPr="0016385E">
              <w:rPr>
                <w:b/>
                <w:bCs/>
                <w:iCs/>
                <w:sz w:val="18"/>
                <w:szCs w:val="18"/>
              </w:rPr>
              <w:t>Indicator 3.1.3</w:t>
            </w:r>
            <w:r w:rsidR="00507B71" w:rsidRPr="0016385E">
              <w:rPr>
                <w:b/>
                <w:bCs/>
                <w:iCs/>
                <w:sz w:val="18"/>
                <w:szCs w:val="18"/>
              </w:rPr>
              <w:t>.</w:t>
            </w:r>
            <w:r w:rsidRPr="0016385E">
              <w:rPr>
                <w:b/>
                <w:bCs/>
                <w:iCs/>
                <w:sz w:val="18"/>
                <w:szCs w:val="18"/>
              </w:rPr>
              <w:t xml:space="preserve"> </w:t>
            </w:r>
            <w:r w:rsidRPr="0016385E">
              <w:rPr>
                <w:iCs/>
                <w:sz w:val="18"/>
                <w:szCs w:val="18"/>
              </w:rPr>
              <w:t>National reforestation and fire management strategy developed</w:t>
            </w:r>
          </w:p>
          <w:p w14:paraId="70C12CC8" w14:textId="6A9779E8" w:rsidR="00BB279A" w:rsidRPr="0016385E" w:rsidRDefault="00BB279A" w:rsidP="0000461A">
            <w:pPr>
              <w:rPr>
                <w:color w:val="000000"/>
                <w:sz w:val="18"/>
                <w:szCs w:val="18"/>
              </w:rPr>
            </w:pPr>
            <w:r w:rsidRPr="0016385E">
              <w:rPr>
                <w:color w:val="000000"/>
                <w:sz w:val="18"/>
                <w:szCs w:val="18"/>
              </w:rPr>
              <w:t>Baseline (2021): No</w:t>
            </w:r>
          </w:p>
          <w:p w14:paraId="3DDFEAD2" w14:textId="0BAF30B1" w:rsidR="00BB279A" w:rsidRPr="0016385E" w:rsidRDefault="00BB279A" w:rsidP="0000461A">
            <w:pPr>
              <w:rPr>
                <w:color w:val="000000"/>
                <w:sz w:val="18"/>
                <w:szCs w:val="18"/>
              </w:rPr>
            </w:pPr>
            <w:r w:rsidRPr="0016385E">
              <w:rPr>
                <w:color w:val="000000"/>
                <w:sz w:val="18"/>
                <w:szCs w:val="18"/>
              </w:rPr>
              <w:t>Target (2023): Yes</w:t>
            </w:r>
          </w:p>
          <w:p w14:paraId="52403EFF" w14:textId="354FB472" w:rsidR="00BB279A" w:rsidRPr="0016385E" w:rsidRDefault="00BB279A" w:rsidP="0000461A">
            <w:pPr>
              <w:rPr>
                <w:b/>
                <w:bCs/>
                <w:color w:val="000000"/>
                <w:sz w:val="18"/>
                <w:szCs w:val="18"/>
              </w:rPr>
            </w:pPr>
            <w:r w:rsidRPr="0016385E">
              <w:rPr>
                <w:i/>
                <w:iCs/>
                <w:color w:val="000000"/>
                <w:sz w:val="18"/>
                <w:szCs w:val="18"/>
              </w:rPr>
              <w:t xml:space="preserve">Data </w:t>
            </w:r>
            <w:r w:rsidR="00507B71" w:rsidRPr="0016385E">
              <w:rPr>
                <w:i/>
                <w:iCs/>
                <w:color w:val="000000"/>
                <w:sz w:val="18"/>
                <w:szCs w:val="18"/>
              </w:rPr>
              <w:t>s</w:t>
            </w:r>
            <w:r w:rsidRPr="0016385E">
              <w:rPr>
                <w:i/>
                <w:iCs/>
                <w:color w:val="000000"/>
                <w:sz w:val="18"/>
                <w:szCs w:val="18"/>
              </w:rPr>
              <w:t xml:space="preserve">ource: MEDD </w:t>
            </w:r>
            <w:r w:rsidR="00507B71" w:rsidRPr="0016385E">
              <w:rPr>
                <w:i/>
                <w:iCs/>
                <w:color w:val="000000"/>
                <w:sz w:val="18"/>
                <w:szCs w:val="18"/>
              </w:rPr>
              <w:t>r</w:t>
            </w:r>
            <w:r w:rsidRPr="0016385E">
              <w:rPr>
                <w:i/>
                <w:iCs/>
                <w:color w:val="000000"/>
                <w:sz w:val="18"/>
                <w:szCs w:val="18"/>
              </w:rPr>
              <w:t xml:space="preserve">eports; Frequency: </w:t>
            </w:r>
            <w:r w:rsidR="00507B71" w:rsidRPr="0016385E">
              <w:rPr>
                <w:i/>
                <w:iCs/>
                <w:color w:val="000000"/>
                <w:sz w:val="18"/>
                <w:szCs w:val="18"/>
              </w:rPr>
              <w:t>a</w:t>
            </w:r>
            <w:r w:rsidRPr="0016385E">
              <w:rPr>
                <w:i/>
                <w:iCs/>
                <w:color w:val="000000"/>
                <w:sz w:val="18"/>
                <w:szCs w:val="18"/>
              </w:rPr>
              <w:t>nnual</w:t>
            </w:r>
          </w:p>
          <w:p w14:paraId="629FAFA8" w14:textId="642E0A33" w:rsidR="00BB279A" w:rsidRPr="0016385E" w:rsidRDefault="00BB279A" w:rsidP="00A52D4F">
            <w:pPr>
              <w:suppressAutoHyphens/>
              <w:autoSpaceDN w:val="0"/>
              <w:textAlignment w:val="baseline"/>
              <w:rPr>
                <w:iCs/>
                <w:sz w:val="18"/>
                <w:szCs w:val="18"/>
              </w:rPr>
            </w:pPr>
            <w:r w:rsidRPr="0016385E">
              <w:rPr>
                <w:b/>
                <w:bCs/>
                <w:iCs/>
                <w:sz w:val="18"/>
                <w:szCs w:val="18"/>
              </w:rPr>
              <w:lastRenderedPageBreak/>
              <w:t>Indicator 3.1.4</w:t>
            </w:r>
            <w:r w:rsidR="00171356" w:rsidRPr="0016385E">
              <w:rPr>
                <w:b/>
                <w:bCs/>
                <w:iCs/>
                <w:sz w:val="18"/>
                <w:szCs w:val="18"/>
              </w:rPr>
              <w:t>.</w:t>
            </w:r>
            <w:r w:rsidRPr="0016385E">
              <w:rPr>
                <w:b/>
                <w:bCs/>
                <w:iCs/>
                <w:sz w:val="18"/>
                <w:szCs w:val="18"/>
              </w:rPr>
              <w:t xml:space="preserve"> </w:t>
            </w:r>
            <w:r w:rsidRPr="0016385E">
              <w:rPr>
                <w:iCs/>
                <w:sz w:val="18"/>
                <w:szCs w:val="18"/>
              </w:rPr>
              <w:t xml:space="preserve">Number of regions </w:t>
            </w:r>
            <w:r w:rsidR="001B3F69" w:rsidRPr="0016385E">
              <w:rPr>
                <w:iCs/>
                <w:sz w:val="18"/>
                <w:szCs w:val="18"/>
              </w:rPr>
              <w:t>that</w:t>
            </w:r>
            <w:r w:rsidRPr="0016385E">
              <w:rPr>
                <w:iCs/>
                <w:sz w:val="18"/>
                <w:szCs w:val="18"/>
              </w:rPr>
              <w:t xml:space="preserve"> have developed, implemented, and monitored their reforestation and fire management plans</w:t>
            </w:r>
          </w:p>
          <w:p w14:paraId="13EDECE7" w14:textId="56FC7A77" w:rsidR="00BB279A" w:rsidRPr="0016385E" w:rsidRDefault="00BB279A" w:rsidP="005136C1">
            <w:pPr>
              <w:rPr>
                <w:color w:val="000000"/>
                <w:sz w:val="18"/>
                <w:szCs w:val="18"/>
              </w:rPr>
            </w:pPr>
            <w:r w:rsidRPr="0016385E">
              <w:rPr>
                <w:color w:val="000000"/>
                <w:sz w:val="18"/>
                <w:szCs w:val="18"/>
              </w:rPr>
              <w:t>Baseline (2021): 0</w:t>
            </w:r>
            <w:r w:rsidR="00017902">
              <w:rPr>
                <w:color w:val="000000"/>
                <w:sz w:val="18"/>
                <w:szCs w:val="18"/>
              </w:rPr>
              <w:t xml:space="preserve">; </w:t>
            </w:r>
            <w:r w:rsidRPr="0016385E">
              <w:rPr>
                <w:color w:val="000000"/>
                <w:sz w:val="18"/>
                <w:szCs w:val="18"/>
              </w:rPr>
              <w:t>Target (2023): 2</w:t>
            </w:r>
          </w:p>
          <w:p w14:paraId="328BA7CF" w14:textId="2B3DF592" w:rsidR="00BB279A" w:rsidRPr="0016385E" w:rsidRDefault="00BB279A" w:rsidP="00F30955">
            <w:pPr>
              <w:rPr>
                <w:i/>
                <w:iCs/>
                <w:color w:val="000000"/>
                <w:sz w:val="18"/>
                <w:szCs w:val="18"/>
              </w:rPr>
            </w:pPr>
            <w:r w:rsidRPr="0016385E">
              <w:rPr>
                <w:i/>
                <w:iCs/>
                <w:color w:val="000000"/>
                <w:sz w:val="18"/>
                <w:szCs w:val="18"/>
              </w:rPr>
              <w:t xml:space="preserve">Data </w:t>
            </w:r>
            <w:r w:rsidR="00171356" w:rsidRPr="0016385E">
              <w:rPr>
                <w:i/>
                <w:iCs/>
                <w:color w:val="000000"/>
                <w:sz w:val="18"/>
                <w:szCs w:val="18"/>
              </w:rPr>
              <w:t>s</w:t>
            </w:r>
            <w:r w:rsidRPr="0016385E">
              <w:rPr>
                <w:i/>
                <w:iCs/>
                <w:color w:val="000000"/>
                <w:sz w:val="18"/>
                <w:szCs w:val="18"/>
              </w:rPr>
              <w:t xml:space="preserve">ource: </w:t>
            </w:r>
            <w:r w:rsidR="00285727">
              <w:rPr>
                <w:i/>
                <w:iCs/>
                <w:color w:val="000000"/>
                <w:sz w:val="18"/>
                <w:szCs w:val="18"/>
              </w:rPr>
              <w:t>Regional Di</w:t>
            </w:r>
            <w:r w:rsidR="00DA3F93">
              <w:rPr>
                <w:i/>
                <w:iCs/>
                <w:color w:val="000000"/>
                <w:sz w:val="18"/>
                <w:szCs w:val="18"/>
              </w:rPr>
              <w:t>rectorate</w:t>
            </w:r>
            <w:r w:rsidR="00770240" w:rsidRPr="0016385E">
              <w:rPr>
                <w:i/>
                <w:iCs/>
                <w:color w:val="000000"/>
                <w:sz w:val="18"/>
                <w:szCs w:val="18"/>
              </w:rPr>
              <w:t xml:space="preserve"> of Environment and Sustainable Development (</w:t>
            </w:r>
            <w:r w:rsidRPr="0016385E">
              <w:rPr>
                <w:i/>
                <w:iCs/>
                <w:color w:val="000000"/>
                <w:sz w:val="18"/>
                <w:szCs w:val="18"/>
              </w:rPr>
              <w:t>DREDD</w:t>
            </w:r>
            <w:r w:rsidR="00770240" w:rsidRPr="0016385E">
              <w:rPr>
                <w:i/>
                <w:iCs/>
                <w:color w:val="000000"/>
                <w:sz w:val="18"/>
                <w:szCs w:val="18"/>
              </w:rPr>
              <w:t>)</w:t>
            </w:r>
            <w:r w:rsidRPr="0016385E">
              <w:rPr>
                <w:i/>
                <w:iCs/>
                <w:color w:val="000000"/>
                <w:sz w:val="18"/>
                <w:szCs w:val="18"/>
              </w:rPr>
              <w:t xml:space="preserve"> </w:t>
            </w:r>
            <w:r w:rsidR="00171356" w:rsidRPr="0016385E">
              <w:rPr>
                <w:i/>
                <w:iCs/>
                <w:color w:val="000000"/>
                <w:sz w:val="18"/>
                <w:szCs w:val="18"/>
              </w:rPr>
              <w:t>r</w:t>
            </w:r>
            <w:r w:rsidRPr="0016385E">
              <w:rPr>
                <w:i/>
                <w:iCs/>
                <w:color w:val="000000"/>
                <w:sz w:val="18"/>
                <w:szCs w:val="18"/>
              </w:rPr>
              <w:t xml:space="preserve">eports; Frequency: </w:t>
            </w:r>
            <w:r w:rsidR="00171356" w:rsidRPr="0016385E">
              <w:rPr>
                <w:i/>
                <w:iCs/>
                <w:color w:val="000000"/>
                <w:sz w:val="18"/>
                <w:szCs w:val="18"/>
              </w:rPr>
              <w:t>a</w:t>
            </w:r>
            <w:r w:rsidRPr="0016385E">
              <w:rPr>
                <w:i/>
                <w:iCs/>
                <w:color w:val="000000"/>
                <w:sz w:val="18"/>
                <w:szCs w:val="18"/>
              </w:rPr>
              <w:t>nnual</w:t>
            </w:r>
          </w:p>
          <w:p w14:paraId="130B65B2" w14:textId="0531F92C" w:rsidR="00BB279A" w:rsidRPr="00882056" w:rsidRDefault="00BB279A" w:rsidP="005109C7">
            <w:pPr>
              <w:rPr>
                <w:b/>
                <w:bCs/>
                <w:color w:val="000000"/>
                <w:sz w:val="18"/>
                <w:szCs w:val="18"/>
              </w:rPr>
            </w:pPr>
            <w:r w:rsidRPr="0016385E">
              <w:rPr>
                <w:b/>
                <w:bCs/>
                <w:color w:val="000000"/>
                <w:sz w:val="18"/>
                <w:szCs w:val="18"/>
              </w:rPr>
              <w:t>Indicator 3.1.5</w:t>
            </w:r>
            <w:r w:rsidR="00171356" w:rsidRPr="0016385E">
              <w:rPr>
                <w:b/>
                <w:bCs/>
                <w:color w:val="000000"/>
                <w:sz w:val="18"/>
                <w:szCs w:val="18"/>
              </w:rPr>
              <w:t>.</w:t>
            </w:r>
            <w:r w:rsidRPr="0016385E">
              <w:rPr>
                <w:color w:val="000000"/>
                <w:sz w:val="18"/>
                <w:szCs w:val="18"/>
              </w:rPr>
              <w:t xml:space="preserve"> </w:t>
            </w:r>
            <w:r w:rsidRPr="00882056">
              <w:rPr>
                <w:color w:val="000000"/>
                <w:sz w:val="18"/>
                <w:szCs w:val="18"/>
              </w:rPr>
              <w:t>Number of targeted institutions and CSO</w:t>
            </w:r>
            <w:r w:rsidR="00171356" w:rsidRPr="00882056">
              <w:rPr>
                <w:color w:val="000000"/>
                <w:sz w:val="18"/>
                <w:szCs w:val="18"/>
              </w:rPr>
              <w:t>s</w:t>
            </w:r>
            <w:r w:rsidRPr="00882056">
              <w:rPr>
                <w:color w:val="000000"/>
                <w:sz w:val="18"/>
                <w:szCs w:val="18"/>
              </w:rPr>
              <w:t xml:space="preserve"> with necessary skills to apply </w:t>
            </w:r>
            <w:r w:rsidR="00847588" w:rsidRPr="00882056">
              <w:rPr>
                <w:color w:val="000000"/>
                <w:sz w:val="18"/>
                <w:szCs w:val="18"/>
              </w:rPr>
              <w:t xml:space="preserve">the </w:t>
            </w:r>
            <w:r w:rsidRPr="00882056">
              <w:rPr>
                <w:color w:val="000000"/>
                <w:sz w:val="18"/>
                <w:szCs w:val="18"/>
              </w:rPr>
              <w:t>Law Enforcement/Spatial Monitoring and Reporting Tool</w:t>
            </w:r>
            <w:r w:rsidR="00770240" w:rsidRPr="00882056">
              <w:rPr>
                <w:color w:val="000000"/>
                <w:sz w:val="18"/>
                <w:szCs w:val="18"/>
              </w:rPr>
              <w:t>s</w:t>
            </w:r>
            <w:r w:rsidRPr="00882056">
              <w:rPr>
                <w:color w:val="000000"/>
                <w:sz w:val="18"/>
                <w:szCs w:val="18"/>
              </w:rPr>
              <w:t xml:space="preserve"> for </w:t>
            </w:r>
            <w:r w:rsidR="00847588" w:rsidRPr="00882056">
              <w:rPr>
                <w:color w:val="000000"/>
                <w:sz w:val="18"/>
                <w:szCs w:val="18"/>
              </w:rPr>
              <w:t xml:space="preserve">CPA </w:t>
            </w:r>
            <w:r w:rsidRPr="00882056">
              <w:rPr>
                <w:color w:val="000000"/>
                <w:sz w:val="18"/>
                <w:szCs w:val="18"/>
              </w:rPr>
              <w:t>management</w:t>
            </w:r>
          </w:p>
          <w:p w14:paraId="37490D2B" w14:textId="77777777" w:rsidR="00BB279A" w:rsidRPr="0016385E" w:rsidRDefault="00BB279A" w:rsidP="005109C7">
            <w:pPr>
              <w:rPr>
                <w:color w:val="000000"/>
                <w:sz w:val="18"/>
                <w:szCs w:val="18"/>
              </w:rPr>
            </w:pPr>
            <w:r w:rsidRPr="0016385E">
              <w:rPr>
                <w:color w:val="000000"/>
                <w:sz w:val="18"/>
                <w:szCs w:val="18"/>
              </w:rPr>
              <w:t>Baseline (2021):0</w:t>
            </w:r>
          </w:p>
          <w:p w14:paraId="088B0A9C" w14:textId="7CC5F853" w:rsidR="00BB279A" w:rsidRPr="0016385E" w:rsidRDefault="00BB279A" w:rsidP="005109C7">
            <w:pPr>
              <w:rPr>
                <w:color w:val="000000"/>
                <w:sz w:val="18"/>
                <w:szCs w:val="18"/>
              </w:rPr>
            </w:pPr>
            <w:r w:rsidRPr="0016385E">
              <w:rPr>
                <w:color w:val="000000"/>
                <w:sz w:val="18"/>
                <w:szCs w:val="18"/>
              </w:rPr>
              <w:t>Target (2021):10 (1</w:t>
            </w:r>
            <w:r w:rsidR="00770240" w:rsidRPr="0016385E">
              <w:rPr>
                <w:color w:val="000000"/>
                <w:sz w:val="18"/>
                <w:szCs w:val="18"/>
              </w:rPr>
              <w:t xml:space="preserve"> </w:t>
            </w:r>
            <w:r w:rsidRPr="0016385E">
              <w:rPr>
                <w:color w:val="000000"/>
                <w:sz w:val="18"/>
                <w:szCs w:val="18"/>
              </w:rPr>
              <w:t>DREDD; 9 CSO</w:t>
            </w:r>
            <w:r w:rsidR="00770240" w:rsidRPr="0016385E">
              <w:rPr>
                <w:color w:val="000000"/>
                <w:sz w:val="18"/>
                <w:szCs w:val="18"/>
              </w:rPr>
              <w:t>s</w:t>
            </w:r>
            <w:r w:rsidRPr="0016385E">
              <w:rPr>
                <w:color w:val="000000"/>
                <w:sz w:val="18"/>
                <w:szCs w:val="18"/>
              </w:rPr>
              <w:t>)</w:t>
            </w:r>
          </w:p>
          <w:p w14:paraId="7EC5A681" w14:textId="195D7A74" w:rsidR="00BB279A" w:rsidRPr="00882056" w:rsidRDefault="00BB279A" w:rsidP="00F30955">
            <w:pPr>
              <w:rPr>
                <w:i/>
                <w:iCs/>
                <w:color w:val="000000"/>
                <w:sz w:val="18"/>
                <w:szCs w:val="18"/>
              </w:rPr>
            </w:pPr>
            <w:r w:rsidRPr="00882056">
              <w:rPr>
                <w:i/>
                <w:iCs/>
                <w:color w:val="000000"/>
                <w:sz w:val="18"/>
                <w:szCs w:val="18"/>
              </w:rPr>
              <w:t xml:space="preserve">Data source: DREDD </w:t>
            </w:r>
            <w:r w:rsidR="00770240" w:rsidRPr="00882056">
              <w:rPr>
                <w:i/>
                <w:iCs/>
                <w:color w:val="000000"/>
                <w:sz w:val="18"/>
                <w:szCs w:val="18"/>
              </w:rPr>
              <w:t>r</w:t>
            </w:r>
            <w:r w:rsidRPr="00882056">
              <w:rPr>
                <w:i/>
                <w:iCs/>
                <w:color w:val="000000"/>
                <w:sz w:val="18"/>
                <w:szCs w:val="18"/>
              </w:rPr>
              <w:t xml:space="preserve">eports; Frequency: </w:t>
            </w:r>
            <w:r w:rsidR="00770240" w:rsidRPr="00882056">
              <w:rPr>
                <w:i/>
                <w:iCs/>
                <w:color w:val="000000"/>
                <w:sz w:val="18"/>
                <w:szCs w:val="18"/>
              </w:rPr>
              <w:t>a</w:t>
            </w:r>
            <w:r w:rsidRPr="00882056">
              <w:rPr>
                <w:i/>
                <w:iCs/>
                <w:color w:val="000000"/>
                <w:sz w:val="18"/>
                <w:szCs w:val="18"/>
              </w:rPr>
              <w:t>nnual</w:t>
            </w:r>
          </w:p>
        </w:tc>
        <w:tc>
          <w:tcPr>
            <w:tcW w:w="729" w:type="pct"/>
            <w:vMerge w:val="restart"/>
          </w:tcPr>
          <w:p w14:paraId="16434041" w14:textId="086F8B06" w:rsidR="00BB279A" w:rsidRPr="0016385E" w:rsidRDefault="00BB279A" w:rsidP="00A52D4F">
            <w:pPr>
              <w:rPr>
                <w:sz w:val="18"/>
                <w:szCs w:val="18"/>
              </w:rPr>
            </w:pPr>
            <w:r w:rsidRPr="0016385E">
              <w:rPr>
                <w:sz w:val="18"/>
                <w:szCs w:val="18"/>
              </w:rPr>
              <w:lastRenderedPageBreak/>
              <w:t>MEDD</w:t>
            </w:r>
          </w:p>
          <w:p w14:paraId="3E81A750" w14:textId="77777777" w:rsidR="00BB279A" w:rsidRPr="0016385E" w:rsidRDefault="00BB279A" w:rsidP="00A52D4F">
            <w:pPr>
              <w:rPr>
                <w:sz w:val="18"/>
                <w:szCs w:val="18"/>
              </w:rPr>
            </w:pPr>
          </w:p>
          <w:p w14:paraId="2BB236EF" w14:textId="0EFC825B" w:rsidR="00BB279A" w:rsidRPr="00882056" w:rsidRDefault="00BB279A" w:rsidP="00A52D4F">
            <w:pPr>
              <w:rPr>
                <w:sz w:val="18"/>
                <w:szCs w:val="18"/>
              </w:rPr>
            </w:pPr>
            <w:r w:rsidRPr="00882056">
              <w:rPr>
                <w:sz w:val="18"/>
                <w:szCs w:val="18"/>
              </w:rPr>
              <w:t>Ministry of Livestock Agriculture and Fisheries</w:t>
            </w:r>
          </w:p>
          <w:p w14:paraId="08218BD1" w14:textId="77777777" w:rsidR="00BB279A" w:rsidRPr="00882056" w:rsidRDefault="00BB279A" w:rsidP="00A52D4F">
            <w:pPr>
              <w:rPr>
                <w:sz w:val="18"/>
                <w:szCs w:val="18"/>
              </w:rPr>
            </w:pPr>
          </w:p>
          <w:p w14:paraId="6EF23657" w14:textId="77777777" w:rsidR="00BB279A" w:rsidRPr="00882056" w:rsidRDefault="00BB279A" w:rsidP="00A52D4F">
            <w:pPr>
              <w:rPr>
                <w:sz w:val="18"/>
                <w:szCs w:val="18"/>
              </w:rPr>
            </w:pPr>
            <w:r w:rsidRPr="00882056">
              <w:rPr>
                <w:sz w:val="18"/>
                <w:szCs w:val="18"/>
              </w:rPr>
              <w:t>Ministry of Transport Tourism and Meteorology</w:t>
            </w:r>
          </w:p>
          <w:p w14:paraId="084AFA20" w14:textId="77777777" w:rsidR="00BB279A" w:rsidRPr="00882056" w:rsidRDefault="00BB279A" w:rsidP="00A52D4F">
            <w:pPr>
              <w:rPr>
                <w:sz w:val="18"/>
                <w:szCs w:val="18"/>
              </w:rPr>
            </w:pPr>
          </w:p>
          <w:p w14:paraId="3F6A4D48" w14:textId="755495C6" w:rsidR="00BB279A" w:rsidRPr="00882056" w:rsidRDefault="00BB279A" w:rsidP="00A52D4F">
            <w:pPr>
              <w:rPr>
                <w:sz w:val="18"/>
                <w:szCs w:val="18"/>
              </w:rPr>
            </w:pPr>
            <w:r w:rsidRPr="00882056">
              <w:rPr>
                <w:sz w:val="18"/>
                <w:szCs w:val="18"/>
              </w:rPr>
              <w:t>UNESCO; FAO</w:t>
            </w:r>
          </w:p>
          <w:p w14:paraId="6C238AB6" w14:textId="77777777" w:rsidR="00BB279A" w:rsidRPr="00882056" w:rsidRDefault="00BB279A" w:rsidP="00A52D4F">
            <w:pPr>
              <w:rPr>
                <w:sz w:val="18"/>
                <w:szCs w:val="18"/>
              </w:rPr>
            </w:pPr>
          </w:p>
          <w:p w14:paraId="2A8D53DE" w14:textId="3A35276B" w:rsidR="00BB279A" w:rsidRPr="00882056" w:rsidRDefault="00BB279A" w:rsidP="00A52D4F">
            <w:pPr>
              <w:rPr>
                <w:sz w:val="18"/>
                <w:szCs w:val="18"/>
              </w:rPr>
            </w:pPr>
            <w:r w:rsidRPr="00882056">
              <w:rPr>
                <w:sz w:val="18"/>
                <w:szCs w:val="18"/>
              </w:rPr>
              <w:t xml:space="preserve">GEF; </w:t>
            </w:r>
            <w:r w:rsidR="00DE4714" w:rsidRPr="00882056">
              <w:rPr>
                <w:sz w:val="18"/>
                <w:szCs w:val="18"/>
              </w:rPr>
              <w:t>GCF</w:t>
            </w:r>
            <w:r w:rsidRPr="00882056">
              <w:rPr>
                <w:sz w:val="18"/>
                <w:szCs w:val="18"/>
              </w:rPr>
              <w:t xml:space="preserve"> </w:t>
            </w:r>
          </w:p>
          <w:p w14:paraId="0AD726EC" w14:textId="77777777" w:rsidR="00BB279A" w:rsidRPr="00882056" w:rsidRDefault="00BB279A" w:rsidP="00A52D4F">
            <w:pPr>
              <w:rPr>
                <w:sz w:val="18"/>
                <w:szCs w:val="18"/>
              </w:rPr>
            </w:pPr>
          </w:p>
          <w:p w14:paraId="7AFCD2D8" w14:textId="2435FD3A" w:rsidR="00BB279A" w:rsidRPr="00882056" w:rsidRDefault="00BB279A" w:rsidP="00A52D4F">
            <w:pPr>
              <w:rPr>
                <w:sz w:val="18"/>
                <w:szCs w:val="18"/>
              </w:rPr>
            </w:pPr>
            <w:r w:rsidRPr="00882056">
              <w:rPr>
                <w:sz w:val="18"/>
                <w:szCs w:val="18"/>
              </w:rPr>
              <w:t>Aquatic Service</w:t>
            </w:r>
          </w:p>
          <w:p w14:paraId="5031A1A1" w14:textId="77777777" w:rsidR="00BB279A" w:rsidRPr="00882056" w:rsidRDefault="00BB279A" w:rsidP="00A52D4F">
            <w:pPr>
              <w:rPr>
                <w:sz w:val="18"/>
                <w:szCs w:val="18"/>
                <w:highlight w:val="yellow"/>
              </w:rPr>
            </w:pPr>
          </w:p>
          <w:p w14:paraId="1B126C64" w14:textId="64486BA9" w:rsidR="00BB279A" w:rsidRPr="00882056" w:rsidRDefault="00BB279A" w:rsidP="00A52D4F">
            <w:pPr>
              <w:rPr>
                <w:sz w:val="18"/>
                <w:szCs w:val="18"/>
              </w:rPr>
            </w:pPr>
            <w:r w:rsidRPr="00882056">
              <w:rPr>
                <w:sz w:val="18"/>
                <w:szCs w:val="18"/>
              </w:rPr>
              <w:t>W</w:t>
            </w:r>
            <w:r w:rsidR="00507B71" w:rsidRPr="00882056">
              <w:rPr>
                <w:sz w:val="18"/>
                <w:szCs w:val="18"/>
              </w:rPr>
              <w:t xml:space="preserve">orld </w:t>
            </w:r>
            <w:r w:rsidRPr="00882056">
              <w:rPr>
                <w:sz w:val="18"/>
                <w:szCs w:val="18"/>
              </w:rPr>
              <w:t>W</w:t>
            </w:r>
            <w:r w:rsidR="00507B71" w:rsidRPr="00882056">
              <w:rPr>
                <w:sz w:val="18"/>
                <w:szCs w:val="18"/>
              </w:rPr>
              <w:t xml:space="preserve">ildlife </w:t>
            </w:r>
            <w:r w:rsidRPr="00882056">
              <w:rPr>
                <w:sz w:val="18"/>
                <w:szCs w:val="18"/>
              </w:rPr>
              <w:t>F</w:t>
            </w:r>
            <w:r w:rsidR="00507B71" w:rsidRPr="00882056">
              <w:rPr>
                <w:sz w:val="18"/>
                <w:szCs w:val="18"/>
              </w:rPr>
              <w:t>und</w:t>
            </w:r>
            <w:r w:rsidRPr="00882056">
              <w:rPr>
                <w:sz w:val="18"/>
                <w:szCs w:val="18"/>
              </w:rPr>
              <w:t xml:space="preserve"> Madagascar, </w:t>
            </w:r>
          </w:p>
          <w:p w14:paraId="2CD4F612" w14:textId="46406D3E" w:rsidR="00BB279A" w:rsidRPr="00882056" w:rsidRDefault="00BB279A" w:rsidP="00A52D4F">
            <w:pPr>
              <w:rPr>
                <w:sz w:val="18"/>
                <w:szCs w:val="18"/>
              </w:rPr>
            </w:pPr>
            <w:r w:rsidRPr="00882056">
              <w:rPr>
                <w:sz w:val="18"/>
                <w:szCs w:val="18"/>
              </w:rPr>
              <w:t xml:space="preserve">National Coalition for Environmental Advocacy </w:t>
            </w:r>
          </w:p>
          <w:p w14:paraId="552FB267" w14:textId="77777777" w:rsidR="00BB279A" w:rsidRPr="00882056" w:rsidRDefault="00BB279A" w:rsidP="00A52D4F">
            <w:pPr>
              <w:rPr>
                <w:i/>
                <w:iCs/>
                <w:color w:val="000000"/>
                <w:sz w:val="18"/>
                <w:szCs w:val="18"/>
              </w:rPr>
            </w:pPr>
          </w:p>
          <w:p w14:paraId="72B93AF6" w14:textId="77777777" w:rsidR="00507B71" w:rsidRPr="00882056" w:rsidRDefault="00507B71" w:rsidP="00A52D4F">
            <w:pPr>
              <w:rPr>
                <w:i/>
                <w:iCs/>
                <w:color w:val="000000"/>
                <w:sz w:val="18"/>
                <w:szCs w:val="18"/>
              </w:rPr>
            </w:pPr>
          </w:p>
          <w:p w14:paraId="762329BE" w14:textId="30ABAED4" w:rsidR="00171356" w:rsidRPr="0016385E" w:rsidRDefault="00BB279A" w:rsidP="00A52D4F">
            <w:pPr>
              <w:rPr>
                <w:color w:val="000000"/>
                <w:sz w:val="18"/>
                <w:szCs w:val="18"/>
              </w:rPr>
            </w:pPr>
            <w:r w:rsidRPr="0016385E">
              <w:rPr>
                <w:color w:val="000000"/>
                <w:sz w:val="18"/>
                <w:szCs w:val="18"/>
              </w:rPr>
              <w:lastRenderedPageBreak/>
              <w:t xml:space="preserve">University of Antananarivo, Higher School of Agronomic Sciences </w:t>
            </w:r>
          </w:p>
          <w:p w14:paraId="7F91AE00" w14:textId="3E05504A" w:rsidR="00BB279A" w:rsidRPr="0016385E" w:rsidRDefault="00BB279A" w:rsidP="00A52D4F">
            <w:pPr>
              <w:rPr>
                <w:sz w:val="18"/>
                <w:szCs w:val="18"/>
              </w:rPr>
            </w:pPr>
            <w:r w:rsidRPr="0016385E">
              <w:rPr>
                <w:color w:val="000000"/>
                <w:sz w:val="18"/>
                <w:szCs w:val="18"/>
              </w:rPr>
              <w:t>IUCN</w:t>
            </w:r>
          </w:p>
        </w:tc>
        <w:tc>
          <w:tcPr>
            <w:tcW w:w="496" w:type="pct"/>
            <w:tcMar>
              <w:top w:w="15" w:type="dxa"/>
              <w:left w:w="108" w:type="dxa"/>
              <w:bottom w:w="0" w:type="dxa"/>
              <w:right w:w="108" w:type="dxa"/>
            </w:tcMar>
          </w:tcPr>
          <w:p w14:paraId="18E011DE" w14:textId="77777777" w:rsidR="00BB279A" w:rsidRPr="0016385E" w:rsidRDefault="00BB279A" w:rsidP="00A52D4F">
            <w:pPr>
              <w:rPr>
                <w:b/>
                <w:color w:val="000000"/>
                <w:sz w:val="18"/>
                <w:szCs w:val="18"/>
              </w:rPr>
            </w:pPr>
            <w:r w:rsidRPr="0016385E">
              <w:rPr>
                <w:b/>
                <w:color w:val="000000"/>
                <w:sz w:val="18"/>
                <w:szCs w:val="18"/>
              </w:rPr>
              <w:lastRenderedPageBreak/>
              <w:t xml:space="preserve">Regular: </w:t>
            </w:r>
          </w:p>
          <w:p w14:paraId="12CD420B" w14:textId="266F9E2B" w:rsidR="00D6084D" w:rsidRPr="0016385E" w:rsidRDefault="008A39E4" w:rsidP="00A52D4F">
            <w:pPr>
              <w:rPr>
                <w:b/>
                <w:color w:val="000000"/>
                <w:sz w:val="18"/>
                <w:szCs w:val="18"/>
              </w:rPr>
            </w:pPr>
            <w:r>
              <w:rPr>
                <w:b/>
                <w:color w:val="000000"/>
                <w:sz w:val="18"/>
                <w:szCs w:val="18"/>
              </w:rPr>
              <w:t>9</w:t>
            </w:r>
            <w:r w:rsidR="00EE7533" w:rsidRPr="0016385E">
              <w:rPr>
                <w:b/>
                <w:color w:val="000000"/>
                <w:sz w:val="18"/>
                <w:szCs w:val="18"/>
              </w:rPr>
              <w:t>,</w:t>
            </w:r>
            <w:r>
              <w:rPr>
                <w:b/>
                <w:color w:val="000000"/>
                <w:sz w:val="18"/>
                <w:szCs w:val="18"/>
              </w:rPr>
              <w:t>060</w:t>
            </w:r>
            <w:r w:rsidR="00EE7533" w:rsidRPr="0016385E">
              <w:rPr>
                <w:b/>
                <w:color w:val="000000"/>
                <w:sz w:val="18"/>
                <w:szCs w:val="18"/>
              </w:rPr>
              <w:t>,000</w:t>
            </w:r>
          </w:p>
        </w:tc>
      </w:tr>
      <w:tr w:rsidR="00BB279A" w:rsidRPr="0016385E" w14:paraId="73279BED" w14:textId="77777777" w:rsidTr="00882056">
        <w:trPr>
          <w:trHeight w:val="207"/>
        </w:trPr>
        <w:tc>
          <w:tcPr>
            <w:tcW w:w="1093" w:type="pct"/>
            <w:vMerge/>
            <w:tcMar>
              <w:top w:w="72" w:type="dxa"/>
              <w:left w:w="144" w:type="dxa"/>
              <w:bottom w:w="72" w:type="dxa"/>
              <w:right w:w="144" w:type="dxa"/>
            </w:tcMar>
          </w:tcPr>
          <w:p w14:paraId="4F2AAB7E" w14:textId="77777777" w:rsidR="00BB279A" w:rsidRPr="0016385E" w:rsidRDefault="00BB279A" w:rsidP="00A52D4F">
            <w:pPr>
              <w:pStyle w:val="Body"/>
              <w:rPr>
                <w:sz w:val="18"/>
                <w:szCs w:val="18"/>
                <w:lang w:val="en-GB"/>
              </w:rPr>
            </w:pPr>
          </w:p>
        </w:tc>
        <w:tc>
          <w:tcPr>
            <w:tcW w:w="828" w:type="pct"/>
            <w:vMerge/>
          </w:tcPr>
          <w:p w14:paraId="3301E7E0" w14:textId="77777777" w:rsidR="00BB279A" w:rsidRPr="0016385E" w:rsidRDefault="00BB279A" w:rsidP="00A52D4F">
            <w:pPr>
              <w:rPr>
                <w:sz w:val="18"/>
                <w:szCs w:val="18"/>
              </w:rPr>
            </w:pPr>
          </w:p>
        </w:tc>
        <w:tc>
          <w:tcPr>
            <w:tcW w:w="1854" w:type="pct"/>
            <w:vMerge/>
            <w:tcMar>
              <w:top w:w="72" w:type="dxa"/>
              <w:left w:w="144" w:type="dxa"/>
              <w:bottom w:w="72" w:type="dxa"/>
              <w:right w:w="144" w:type="dxa"/>
            </w:tcMar>
          </w:tcPr>
          <w:p w14:paraId="6B2953D0" w14:textId="77777777" w:rsidR="00BB279A" w:rsidRPr="0016385E" w:rsidRDefault="00BB279A" w:rsidP="004B7D1E">
            <w:pPr>
              <w:rPr>
                <w:b/>
                <w:bCs/>
                <w:color w:val="000000"/>
                <w:sz w:val="18"/>
                <w:szCs w:val="18"/>
              </w:rPr>
            </w:pPr>
          </w:p>
        </w:tc>
        <w:tc>
          <w:tcPr>
            <w:tcW w:w="729" w:type="pct"/>
            <w:vMerge/>
          </w:tcPr>
          <w:p w14:paraId="2B8151CB" w14:textId="77777777" w:rsidR="00BB279A" w:rsidRPr="0016385E" w:rsidRDefault="00BB279A" w:rsidP="00A52D4F">
            <w:pPr>
              <w:rPr>
                <w:sz w:val="18"/>
                <w:szCs w:val="18"/>
              </w:rPr>
            </w:pPr>
          </w:p>
        </w:tc>
        <w:tc>
          <w:tcPr>
            <w:tcW w:w="496" w:type="pct"/>
            <w:vMerge w:val="restart"/>
            <w:tcMar>
              <w:top w:w="15" w:type="dxa"/>
              <w:left w:w="108" w:type="dxa"/>
              <w:bottom w:w="0" w:type="dxa"/>
              <w:right w:w="108" w:type="dxa"/>
            </w:tcMar>
          </w:tcPr>
          <w:p w14:paraId="52368EBD" w14:textId="419344C7" w:rsidR="00BB279A" w:rsidRPr="0016385E" w:rsidRDefault="00BB279A" w:rsidP="00D8139F">
            <w:pPr>
              <w:rPr>
                <w:b/>
                <w:color w:val="000000"/>
                <w:sz w:val="18"/>
                <w:szCs w:val="18"/>
              </w:rPr>
            </w:pPr>
            <w:r w:rsidRPr="0016385E">
              <w:rPr>
                <w:b/>
                <w:color w:val="000000"/>
                <w:sz w:val="18"/>
                <w:szCs w:val="18"/>
              </w:rPr>
              <w:t xml:space="preserve">Other: </w:t>
            </w:r>
          </w:p>
          <w:p w14:paraId="49C25FD5" w14:textId="30C619F3" w:rsidR="00EE7533" w:rsidRPr="0016385E" w:rsidRDefault="00A73CDD" w:rsidP="00D8139F">
            <w:pPr>
              <w:rPr>
                <w:b/>
                <w:color w:val="000000"/>
                <w:sz w:val="18"/>
                <w:szCs w:val="18"/>
              </w:rPr>
            </w:pPr>
            <w:r w:rsidRPr="0016385E">
              <w:rPr>
                <w:b/>
                <w:color w:val="000000"/>
                <w:sz w:val="18"/>
                <w:szCs w:val="18"/>
              </w:rPr>
              <w:t>3,988,000</w:t>
            </w:r>
          </w:p>
          <w:p w14:paraId="1B2B9CB5" w14:textId="77777777" w:rsidR="00BB279A" w:rsidRPr="0016385E" w:rsidRDefault="00BB279A" w:rsidP="00A52D4F">
            <w:pPr>
              <w:rPr>
                <w:b/>
                <w:color w:val="000000"/>
                <w:sz w:val="18"/>
                <w:szCs w:val="18"/>
              </w:rPr>
            </w:pPr>
          </w:p>
        </w:tc>
      </w:tr>
      <w:tr w:rsidR="00BB279A" w:rsidRPr="0016385E" w14:paraId="6FF52AEB" w14:textId="77777777" w:rsidTr="00882056">
        <w:tc>
          <w:tcPr>
            <w:tcW w:w="1093" w:type="pct"/>
            <w:vMerge/>
            <w:tcMar>
              <w:top w:w="72" w:type="dxa"/>
              <w:left w:w="144" w:type="dxa"/>
              <w:bottom w:w="72" w:type="dxa"/>
              <w:right w:w="144" w:type="dxa"/>
            </w:tcMar>
          </w:tcPr>
          <w:p w14:paraId="1B5DB9D4" w14:textId="77777777" w:rsidR="00BB279A" w:rsidRPr="0016385E" w:rsidRDefault="00BB279A" w:rsidP="00A52D4F">
            <w:pPr>
              <w:pStyle w:val="Body"/>
              <w:rPr>
                <w:sz w:val="18"/>
                <w:szCs w:val="18"/>
                <w:lang w:val="en-GB"/>
              </w:rPr>
            </w:pPr>
          </w:p>
        </w:tc>
        <w:tc>
          <w:tcPr>
            <w:tcW w:w="828" w:type="pct"/>
            <w:vMerge/>
          </w:tcPr>
          <w:p w14:paraId="75AEB26F" w14:textId="77777777" w:rsidR="00BB279A" w:rsidRPr="0016385E" w:rsidRDefault="00BB279A" w:rsidP="00A52D4F">
            <w:pPr>
              <w:rPr>
                <w:sz w:val="18"/>
                <w:szCs w:val="18"/>
              </w:rPr>
            </w:pPr>
          </w:p>
        </w:tc>
        <w:tc>
          <w:tcPr>
            <w:tcW w:w="1854" w:type="pct"/>
            <w:tcMar>
              <w:top w:w="72" w:type="dxa"/>
              <w:left w:w="144" w:type="dxa"/>
              <w:bottom w:w="72" w:type="dxa"/>
              <w:right w:w="144" w:type="dxa"/>
            </w:tcMar>
          </w:tcPr>
          <w:p w14:paraId="41D287F5" w14:textId="654ACF14" w:rsidR="00BB279A" w:rsidRPr="0016385E" w:rsidRDefault="00BB279A" w:rsidP="00EE7D7A">
            <w:pPr>
              <w:rPr>
                <w:b/>
                <w:bCs/>
                <w:color w:val="000000"/>
                <w:sz w:val="18"/>
                <w:szCs w:val="18"/>
              </w:rPr>
            </w:pPr>
            <w:r w:rsidRPr="0016385E">
              <w:rPr>
                <w:b/>
                <w:bCs/>
                <w:iCs/>
                <w:sz w:val="18"/>
                <w:szCs w:val="18"/>
              </w:rPr>
              <w:t>Output 3.2: Targeted communities supported to access land, capital, water</w:t>
            </w:r>
            <w:r w:rsidR="00770240" w:rsidRPr="0016385E">
              <w:rPr>
                <w:b/>
                <w:bCs/>
                <w:iCs/>
                <w:sz w:val="18"/>
                <w:szCs w:val="18"/>
              </w:rPr>
              <w:t>;</w:t>
            </w:r>
            <w:r w:rsidRPr="0016385E">
              <w:rPr>
                <w:b/>
                <w:bCs/>
                <w:iCs/>
                <w:sz w:val="18"/>
                <w:szCs w:val="18"/>
              </w:rPr>
              <w:t xml:space="preserve"> and to sustainably manage natural resources</w:t>
            </w:r>
          </w:p>
          <w:p w14:paraId="0018EEAD" w14:textId="0021DC42" w:rsidR="00BB279A" w:rsidRPr="00882056" w:rsidRDefault="00BB279A" w:rsidP="00EE7D7A">
            <w:pPr>
              <w:suppressAutoHyphens/>
              <w:autoSpaceDN w:val="0"/>
              <w:textAlignment w:val="baseline"/>
              <w:rPr>
                <w:iCs/>
                <w:sz w:val="18"/>
                <w:szCs w:val="18"/>
              </w:rPr>
            </w:pPr>
            <w:r w:rsidRPr="00882056">
              <w:rPr>
                <w:b/>
                <w:sz w:val="18"/>
                <w:szCs w:val="18"/>
              </w:rPr>
              <w:t>Indicator 3.2.1</w:t>
            </w:r>
            <w:r w:rsidR="00770240" w:rsidRPr="00882056">
              <w:rPr>
                <w:b/>
                <w:sz w:val="18"/>
                <w:szCs w:val="18"/>
              </w:rPr>
              <w:t>.</w:t>
            </w:r>
            <w:r w:rsidRPr="00882056">
              <w:rPr>
                <w:b/>
                <w:sz w:val="18"/>
                <w:szCs w:val="18"/>
              </w:rPr>
              <w:t xml:space="preserve"> </w:t>
            </w:r>
            <w:r w:rsidRPr="00882056">
              <w:rPr>
                <w:iCs/>
                <w:sz w:val="18"/>
                <w:szCs w:val="18"/>
              </w:rPr>
              <w:t>Number of new CBOs applying good environmental practices for alternative economic activities</w:t>
            </w:r>
          </w:p>
          <w:p w14:paraId="2A7496F0" w14:textId="77777777" w:rsidR="00BB279A" w:rsidRPr="0016385E" w:rsidRDefault="00BB279A" w:rsidP="00EE7D7A">
            <w:pPr>
              <w:rPr>
                <w:color w:val="000000"/>
                <w:sz w:val="18"/>
                <w:szCs w:val="18"/>
              </w:rPr>
            </w:pPr>
            <w:r w:rsidRPr="0016385E">
              <w:rPr>
                <w:color w:val="000000"/>
                <w:sz w:val="18"/>
                <w:szCs w:val="18"/>
              </w:rPr>
              <w:t>Baseline (2021):0</w:t>
            </w:r>
          </w:p>
          <w:p w14:paraId="55CF4596" w14:textId="77777777" w:rsidR="00BB279A" w:rsidRPr="0016385E" w:rsidRDefault="00BB279A" w:rsidP="00EE7D7A">
            <w:pPr>
              <w:rPr>
                <w:color w:val="000000"/>
                <w:sz w:val="18"/>
                <w:szCs w:val="18"/>
              </w:rPr>
            </w:pPr>
            <w:r w:rsidRPr="0016385E">
              <w:rPr>
                <w:color w:val="000000"/>
                <w:sz w:val="18"/>
                <w:szCs w:val="18"/>
              </w:rPr>
              <w:t>Target (2023): 30</w:t>
            </w:r>
          </w:p>
          <w:p w14:paraId="0BAD6183" w14:textId="173470D0" w:rsidR="00BB279A" w:rsidRPr="0016385E" w:rsidRDefault="00BB279A" w:rsidP="00EE7D7A">
            <w:pPr>
              <w:rPr>
                <w:b/>
                <w:bCs/>
                <w:color w:val="000000"/>
                <w:sz w:val="18"/>
                <w:szCs w:val="18"/>
              </w:rPr>
            </w:pPr>
            <w:r w:rsidRPr="0016385E">
              <w:rPr>
                <w:i/>
                <w:iCs/>
                <w:color w:val="000000"/>
                <w:sz w:val="18"/>
                <w:szCs w:val="18"/>
              </w:rPr>
              <w:t xml:space="preserve">Data </w:t>
            </w:r>
            <w:r w:rsidR="00770240" w:rsidRPr="0016385E">
              <w:rPr>
                <w:i/>
                <w:iCs/>
                <w:color w:val="000000"/>
                <w:sz w:val="18"/>
                <w:szCs w:val="18"/>
              </w:rPr>
              <w:t>s</w:t>
            </w:r>
            <w:r w:rsidRPr="0016385E">
              <w:rPr>
                <w:i/>
                <w:iCs/>
                <w:color w:val="000000"/>
                <w:sz w:val="18"/>
                <w:szCs w:val="18"/>
              </w:rPr>
              <w:t xml:space="preserve">ource: MEDD </w:t>
            </w:r>
            <w:r w:rsidR="00770240" w:rsidRPr="0016385E">
              <w:rPr>
                <w:i/>
                <w:iCs/>
                <w:color w:val="000000"/>
                <w:sz w:val="18"/>
                <w:szCs w:val="18"/>
              </w:rPr>
              <w:t>r</w:t>
            </w:r>
            <w:r w:rsidRPr="0016385E">
              <w:rPr>
                <w:i/>
                <w:iCs/>
                <w:color w:val="000000"/>
                <w:sz w:val="18"/>
                <w:szCs w:val="18"/>
              </w:rPr>
              <w:t xml:space="preserve">eports; Frequency: </w:t>
            </w:r>
            <w:r w:rsidR="00770240" w:rsidRPr="0016385E">
              <w:rPr>
                <w:i/>
                <w:iCs/>
                <w:color w:val="000000"/>
                <w:sz w:val="18"/>
                <w:szCs w:val="18"/>
              </w:rPr>
              <w:t>a</w:t>
            </w:r>
            <w:r w:rsidRPr="0016385E">
              <w:rPr>
                <w:i/>
                <w:iCs/>
                <w:color w:val="000000"/>
                <w:sz w:val="18"/>
                <w:szCs w:val="18"/>
              </w:rPr>
              <w:t>nnual</w:t>
            </w:r>
          </w:p>
          <w:p w14:paraId="1582A626" w14:textId="51D88991" w:rsidR="00BB279A" w:rsidRPr="00882056" w:rsidRDefault="00BB279A" w:rsidP="00EE7D7A">
            <w:pPr>
              <w:suppressAutoHyphens/>
              <w:autoSpaceDN w:val="0"/>
              <w:textAlignment w:val="baseline"/>
              <w:rPr>
                <w:bCs/>
                <w:sz w:val="18"/>
                <w:szCs w:val="18"/>
              </w:rPr>
            </w:pPr>
            <w:r w:rsidRPr="0016385E">
              <w:rPr>
                <w:b/>
                <w:bCs/>
                <w:iCs/>
                <w:sz w:val="18"/>
                <w:szCs w:val="18"/>
              </w:rPr>
              <w:t>Indicator 3.2.2</w:t>
            </w:r>
            <w:r w:rsidR="00770240" w:rsidRPr="0016385E">
              <w:rPr>
                <w:b/>
                <w:bCs/>
                <w:iCs/>
                <w:sz w:val="18"/>
                <w:szCs w:val="18"/>
              </w:rPr>
              <w:t>.</w:t>
            </w:r>
            <w:r w:rsidRPr="0016385E">
              <w:rPr>
                <w:b/>
                <w:bCs/>
                <w:iCs/>
                <w:sz w:val="18"/>
                <w:szCs w:val="18"/>
              </w:rPr>
              <w:t xml:space="preserve"> </w:t>
            </w:r>
            <w:r w:rsidRPr="00882056">
              <w:rPr>
                <w:bCs/>
                <w:sz w:val="18"/>
                <w:szCs w:val="18"/>
              </w:rPr>
              <w:t>Number of new households having access to means of production (land, capital, labo</w:t>
            </w:r>
            <w:r w:rsidR="00770240" w:rsidRPr="00882056">
              <w:rPr>
                <w:bCs/>
                <w:sz w:val="18"/>
                <w:szCs w:val="18"/>
              </w:rPr>
              <w:t>u</w:t>
            </w:r>
            <w:r w:rsidRPr="00882056">
              <w:rPr>
                <w:bCs/>
                <w:sz w:val="18"/>
                <w:szCs w:val="18"/>
              </w:rPr>
              <w:t xml:space="preserve">r) </w:t>
            </w:r>
          </w:p>
          <w:p w14:paraId="502CC530" w14:textId="77777777" w:rsidR="00BB279A" w:rsidRPr="0016385E" w:rsidRDefault="00BB279A" w:rsidP="00EE7D7A">
            <w:pPr>
              <w:rPr>
                <w:color w:val="000000"/>
                <w:sz w:val="18"/>
                <w:szCs w:val="18"/>
              </w:rPr>
            </w:pPr>
            <w:r w:rsidRPr="0016385E">
              <w:rPr>
                <w:color w:val="000000"/>
                <w:sz w:val="18"/>
                <w:szCs w:val="18"/>
              </w:rPr>
              <w:t>Baseline (2021):0</w:t>
            </w:r>
          </w:p>
          <w:p w14:paraId="6095A3EB" w14:textId="77777777" w:rsidR="00BB279A" w:rsidRPr="0016385E" w:rsidRDefault="00BB279A" w:rsidP="00EE7D7A">
            <w:pPr>
              <w:rPr>
                <w:color w:val="000000"/>
                <w:sz w:val="18"/>
                <w:szCs w:val="18"/>
              </w:rPr>
            </w:pPr>
            <w:r w:rsidRPr="0016385E">
              <w:rPr>
                <w:color w:val="000000"/>
                <w:sz w:val="18"/>
                <w:szCs w:val="18"/>
              </w:rPr>
              <w:t>Target (2023):3,000 (50% women-headed)</w:t>
            </w:r>
          </w:p>
          <w:p w14:paraId="4A0043E9" w14:textId="0BA2F7FF" w:rsidR="00BB279A" w:rsidRPr="0016385E" w:rsidRDefault="00BB279A" w:rsidP="004B7D1E">
            <w:pPr>
              <w:rPr>
                <w:i/>
                <w:iCs/>
                <w:color w:val="000000"/>
                <w:sz w:val="18"/>
                <w:szCs w:val="18"/>
              </w:rPr>
            </w:pPr>
            <w:r w:rsidRPr="0016385E">
              <w:rPr>
                <w:i/>
                <w:iCs/>
                <w:color w:val="000000"/>
                <w:sz w:val="18"/>
                <w:szCs w:val="18"/>
              </w:rPr>
              <w:t xml:space="preserve">Data </w:t>
            </w:r>
            <w:r w:rsidR="00770240" w:rsidRPr="0016385E">
              <w:rPr>
                <w:i/>
                <w:iCs/>
                <w:color w:val="000000"/>
                <w:sz w:val="18"/>
                <w:szCs w:val="18"/>
              </w:rPr>
              <w:t>s</w:t>
            </w:r>
            <w:r w:rsidRPr="0016385E">
              <w:rPr>
                <w:i/>
                <w:iCs/>
                <w:color w:val="000000"/>
                <w:sz w:val="18"/>
                <w:szCs w:val="18"/>
              </w:rPr>
              <w:t xml:space="preserve">ource: MEDD </w:t>
            </w:r>
            <w:r w:rsidR="00770240" w:rsidRPr="0016385E">
              <w:rPr>
                <w:i/>
                <w:iCs/>
                <w:color w:val="000000"/>
                <w:sz w:val="18"/>
                <w:szCs w:val="18"/>
              </w:rPr>
              <w:t>r</w:t>
            </w:r>
            <w:r w:rsidRPr="0016385E">
              <w:rPr>
                <w:i/>
                <w:iCs/>
                <w:color w:val="000000"/>
                <w:sz w:val="18"/>
                <w:szCs w:val="18"/>
              </w:rPr>
              <w:t xml:space="preserve">eports; Frequency: </w:t>
            </w:r>
            <w:r w:rsidR="00770240" w:rsidRPr="0016385E">
              <w:rPr>
                <w:i/>
                <w:iCs/>
                <w:color w:val="000000"/>
                <w:sz w:val="18"/>
                <w:szCs w:val="18"/>
              </w:rPr>
              <w:t>a</w:t>
            </w:r>
            <w:r w:rsidRPr="0016385E">
              <w:rPr>
                <w:i/>
                <w:iCs/>
                <w:color w:val="000000"/>
                <w:sz w:val="18"/>
                <w:szCs w:val="18"/>
              </w:rPr>
              <w:t>nnual</w:t>
            </w:r>
          </w:p>
        </w:tc>
        <w:tc>
          <w:tcPr>
            <w:tcW w:w="729" w:type="pct"/>
            <w:vMerge/>
          </w:tcPr>
          <w:p w14:paraId="073A1797" w14:textId="77777777" w:rsidR="00BB279A" w:rsidRPr="0016385E" w:rsidRDefault="00BB279A" w:rsidP="00A52D4F">
            <w:pPr>
              <w:rPr>
                <w:sz w:val="18"/>
                <w:szCs w:val="18"/>
              </w:rPr>
            </w:pPr>
          </w:p>
        </w:tc>
        <w:tc>
          <w:tcPr>
            <w:tcW w:w="496" w:type="pct"/>
            <w:vMerge/>
            <w:tcMar>
              <w:top w:w="15" w:type="dxa"/>
              <w:left w:w="108" w:type="dxa"/>
              <w:bottom w:w="0" w:type="dxa"/>
              <w:right w:w="108" w:type="dxa"/>
            </w:tcMar>
          </w:tcPr>
          <w:p w14:paraId="5AA7BC71" w14:textId="77777777" w:rsidR="00BB279A" w:rsidRPr="0016385E" w:rsidRDefault="00BB279A" w:rsidP="00D8139F">
            <w:pPr>
              <w:rPr>
                <w:b/>
                <w:color w:val="000000"/>
                <w:sz w:val="18"/>
                <w:szCs w:val="18"/>
              </w:rPr>
            </w:pPr>
          </w:p>
        </w:tc>
      </w:tr>
      <w:tr w:rsidR="00BB279A" w:rsidRPr="0016385E" w14:paraId="12226795" w14:textId="77777777" w:rsidTr="00882056">
        <w:tc>
          <w:tcPr>
            <w:tcW w:w="1093" w:type="pct"/>
            <w:vMerge/>
            <w:tcMar>
              <w:top w:w="72" w:type="dxa"/>
              <w:left w:w="144" w:type="dxa"/>
              <w:bottom w:w="72" w:type="dxa"/>
              <w:right w:w="144" w:type="dxa"/>
            </w:tcMar>
          </w:tcPr>
          <w:p w14:paraId="2003FFED" w14:textId="77777777" w:rsidR="00BB279A" w:rsidRPr="0016385E" w:rsidRDefault="00BB279A" w:rsidP="0083268B">
            <w:pPr>
              <w:rPr>
                <w:sz w:val="18"/>
                <w:szCs w:val="18"/>
              </w:rPr>
            </w:pPr>
          </w:p>
        </w:tc>
        <w:tc>
          <w:tcPr>
            <w:tcW w:w="828" w:type="pct"/>
            <w:vMerge/>
          </w:tcPr>
          <w:p w14:paraId="547DD780" w14:textId="77777777" w:rsidR="00BB279A" w:rsidRPr="0016385E" w:rsidRDefault="00BB279A" w:rsidP="00A52D4F">
            <w:pPr>
              <w:rPr>
                <w:sz w:val="18"/>
                <w:szCs w:val="18"/>
              </w:rPr>
            </w:pPr>
          </w:p>
        </w:tc>
        <w:tc>
          <w:tcPr>
            <w:tcW w:w="1854" w:type="pct"/>
            <w:tcMar>
              <w:top w:w="72" w:type="dxa"/>
              <w:left w:w="144" w:type="dxa"/>
              <w:bottom w:w="72" w:type="dxa"/>
              <w:right w:w="144" w:type="dxa"/>
            </w:tcMar>
          </w:tcPr>
          <w:p w14:paraId="7E636CFA" w14:textId="1FAC000B" w:rsidR="00BB279A" w:rsidRPr="0016385E" w:rsidRDefault="00BB279A" w:rsidP="00EE7D7A">
            <w:pPr>
              <w:rPr>
                <w:b/>
                <w:bCs/>
                <w:color w:val="000000"/>
                <w:sz w:val="18"/>
                <w:szCs w:val="18"/>
              </w:rPr>
            </w:pPr>
            <w:bookmarkStart w:id="5" w:name="_Hlk68534022"/>
            <w:r w:rsidRPr="0016385E">
              <w:rPr>
                <w:b/>
                <w:bCs/>
                <w:iCs/>
                <w:sz w:val="18"/>
                <w:szCs w:val="18"/>
              </w:rPr>
              <w:t>Output 3.3</w:t>
            </w:r>
            <w:r w:rsidR="00770240" w:rsidRPr="0016385E">
              <w:rPr>
                <w:b/>
                <w:bCs/>
                <w:iCs/>
                <w:sz w:val="18"/>
                <w:szCs w:val="18"/>
              </w:rPr>
              <w:t>.</w:t>
            </w:r>
            <w:r w:rsidRPr="0016385E">
              <w:rPr>
                <w:b/>
                <w:bCs/>
                <w:iCs/>
                <w:sz w:val="18"/>
                <w:szCs w:val="18"/>
              </w:rPr>
              <w:t xml:space="preserve"> </w:t>
            </w:r>
            <w:r w:rsidRPr="0016385E">
              <w:rPr>
                <w:b/>
                <w:bCs/>
                <w:color w:val="000000"/>
                <w:sz w:val="18"/>
                <w:szCs w:val="18"/>
              </w:rPr>
              <w:t xml:space="preserve">Capacities of </w:t>
            </w:r>
            <w:r w:rsidR="00770240" w:rsidRPr="0016385E">
              <w:rPr>
                <w:b/>
                <w:bCs/>
                <w:color w:val="000000"/>
                <w:sz w:val="18"/>
                <w:szCs w:val="18"/>
              </w:rPr>
              <w:t>n</w:t>
            </w:r>
            <w:r w:rsidRPr="0016385E">
              <w:rPr>
                <w:b/>
                <w:bCs/>
                <w:color w:val="000000"/>
                <w:sz w:val="18"/>
                <w:szCs w:val="18"/>
              </w:rPr>
              <w:t xml:space="preserve">ational and </w:t>
            </w:r>
            <w:r w:rsidR="00770240" w:rsidRPr="0016385E">
              <w:rPr>
                <w:b/>
                <w:bCs/>
                <w:color w:val="000000"/>
                <w:sz w:val="18"/>
                <w:szCs w:val="18"/>
              </w:rPr>
              <w:t>l</w:t>
            </w:r>
            <w:r w:rsidRPr="0016385E">
              <w:rPr>
                <w:b/>
                <w:bCs/>
                <w:color w:val="000000"/>
                <w:sz w:val="18"/>
                <w:szCs w:val="18"/>
              </w:rPr>
              <w:t xml:space="preserve">ocal </w:t>
            </w:r>
            <w:r w:rsidR="00770240" w:rsidRPr="0016385E">
              <w:rPr>
                <w:b/>
                <w:bCs/>
                <w:color w:val="000000"/>
                <w:sz w:val="18"/>
                <w:szCs w:val="18"/>
              </w:rPr>
              <w:t>i</w:t>
            </w:r>
            <w:r w:rsidRPr="0016385E">
              <w:rPr>
                <w:b/>
                <w:bCs/>
                <w:color w:val="000000"/>
                <w:sz w:val="18"/>
                <w:szCs w:val="18"/>
              </w:rPr>
              <w:t>nstitutions strengthened to cope with climate change and disaster risks</w:t>
            </w:r>
            <w:r w:rsidR="00BD72E1" w:rsidRPr="0016385E">
              <w:rPr>
                <w:b/>
                <w:bCs/>
                <w:color w:val="000000"/>
                <w:sz w:val="18"/>
                <w:szCs w:val="18"/>
              </w:rPr>
              <w:t>.</w:t>
            </w:r>
            <w:r w:rsidRPr="0016385E">
              <w:rPr>
                <w:b/>
                <w:bCs/>
                <w:color w:val="000000"/>
                <w:sz w:val="18"/>
                <w:szCs w:val="18"/>
              </w:rPr>
              <w:t xml:space="preserve">  </w:t>
            </w:r>
          </w:p>
          <w:p w14:paraId="6A0C30E7" w14:textId="1E49DAA3" w:rsidR="00BB279A" w:rsidRPr="00882056" w:rsidRDefault="00BB279A" w:rsidP="00EE7D7A">
            <w:pPr>
              <w:rPr>
                <w:color w:val="000000"/>
                <w:sz w:val="18"/>
                <w:szCs w:val="18"/>
                <w:highlight w:val="yellow"/>
              </w:rPr>
            </w:pPr>
            <w:r w:rsidRPr="0016385E">
              <w:rPr>
                <w:b/>
                <w:bCs/>
                <w:color w:val="000000"/>
                <w:sz w:val="18"/>
                <w:szCs w:val="18"/>
              </w:rPr>
              <w:t>Indicator 3.3.1</w:t>
            </w:r>
            <w:r w:rsidR="00770240" w:rsidRPr="0016385E">
              <w:rPr>
                <w:b/>
                <w:bCs/>
                <w:color w:val="000000"/>
                <w:sz w:val="18"/>
                <w:szCs w:val="18"/>
              </w:rPr>
              <w:t>.</w:t>
            </w:r>
            <w:r w:rsidRPr="0016385E">
              <w:rPr>
                <w:b/>
                <w:bCs/>
                <w:color w:val="000000"/>
                <w:sz w:val="18"/>
                <w:szCs w:val="18"/>
              </w:rPr>
              <w:t xml:space="preserve"> </w:t>
            </w:r>
            <w:r w:rsidRPr="00882056">
              <w:rPr>
                <w:color w:val="000000"/>
                <w:sz w:val="18"/>
                <w:szCs w:val="18"/>
              </w:rPr>
              <w:t xml:space="preserve">Number </w:t>
            </w:r>
            <w:r w:rsidR="00E2351D" w:rsidRPr="00882056">
              <w:rPr>
                <w:color w:val="000000"/>
                <w:sz w:val="18"/>
                <w:szCs w:val="18"/>
              </w:rPr>
              <w:t xml:space="preserve">of </w:t>
            </w:r>
            <w:r w:rsidRPr="00882056">
              <w:rPr>
                <w:color w:val="000000"/>
                <w:sz w:val="18"/>
                <w:szCs w:val="18"/>
              </w:rPr>
              <w:t>tools/</w:t>
            </w:r>
            <w:r w:rsidR="00770240" w:rsidRPr="00882056">
              <w:rPr>
                <w:color w:val="000000"/>
                <w:sz w:val="18"/>
                <w:szCs w:val="18"/>
              </w:rPr>
              <w:t>s</w:t>
            </w:r>
            <w:r w:rsidRPr="00882056">
              <w:rPr>
                <w:color w:val="000000"/>
                <w:sz w:val="18"/>
                <w:szCs w:val="18"/>
              </w:rPr>
              <w:t>trategies integrating inter-sectoral consistency on environmental, climate and disaster management developed</w:t>
            </w:r>
            <w:r w:rsidR="00770240" w:rsidRPr="00882056">
              <w:rPr>
                <w:color w:val="000000"/>
                <w:sz w:val="18"/>
                <w:szCs w:val="18"/>
              </w:rPr>
              <w:t xml:space="preserve"> or </w:t>
            </w:r>
            <w:r w:rsidRPr="00882056">
              <w:rPr>
                <w:color w:val="000000"/>
                <w:sz w:val="18"/>
                <w:szCs w:val="18"/>
              </w:rPr>
              <w:t>updated</w:t>
            </w:r>
          </w:p>
          <w:p w14:paraId="28940C77" w14:textId="3841B282" w:rsidR="00BB279A" w:rsidRPr="0016385E" w:rsidRDefault="00BB279A" w:rsidP="00EE7D7A">
            <w:pPr>
              <w:rPr>
                <w:color w:val="000000"/>
                <w:sz w:val="18"/>
                <w:szCs w:val="18"/>
              </w:rPr>
            </w:pPr>
            <w:r w:rsidRPr="0016385E">
              <w:rPr>
                <w:color w:val="000000"/>
                <w:sz w:val="18"/>
                <w:szCs w:val="18"/>
              </w:rPr>
              <w:t>Baseline (2020):</w:t>
            </w:r>
            <w:r w:rsidRPr="0016385E">
              <w:rPr>
                <w:sz w:val="18"/>
                <w:szCs w:val="18"/>
              </w:rPr>
              <w:t xml:space="preserve"> 4 </w:t>
            </w:r>
            <w:r w:rsidRPr="00017902">
              <w:rPr>
                <w:sz w:val="18"/>
                <w:szCs w:val="18"/>
              </w:rPr>
              <w:t>(</w:t>
            </w:r>
            <w:r w:rsidR="008148FA" w:rsidRPr="00017902">
              <w:rPr>
                <w:color w:val="000000"/>
                <w:sz w:val="18"/>
                <w:szCs w:val="18"/>
              </w:rPr>
              <w:t>national</w:t>
            </w:r>
            <w:r w:rsidR="00017902" w:rsidRPr="00017902">
              <w:rPr>
                <w:color w:val="000000"/>
                <w:sz w:val="18"/>
                <w:szCs w:val="18"/>
              </w:rPr>
              <w:t>ly</w:t>
            </w:r>
            <w:r w:rsidR="008148FA" w:rsidRPr="00017902">
              <w:rPr>
                <w:color w:val="000000"/>
                <w:sz w:val="18"/>
                <w:szCs w:val="18"/>
              </w:rPr>
              <w:t xml:space="preserve"> determined contribution</w:t>
            </w:r>
            <w:r w:rsidRPr="00017902">
              <w:rPr>
                <w:color w:val="000000"/>
                <w:sz w:val="18"/>
                <w:szCs w:val="18"/>
              </w:rPr>
              <w:t xml:space="preserve">, </w:t>
            </w:r>
            <w:r w:rsidR="00F93EAD" w:rsidRPr="00F93EAD">
              <w:rPr>
                <w:color w:val="000000"/>
                <w:sz w:val="18"/>
                <w:szCs w:val="18"/>
              </w:rPr>
              <w:t xml:space="preserve">National </w:t>
            </w:r>
            <w:r w:rsidR="00017902" w:rsidRPr="00F93EAD">
              <w:rPr>
                <w:color w:val="000000"/>
                <w:sz w:val="18"/>
                <w:szCs w:val="18"/>
              </w:rPr>
              <w:t xml:space="preserve">risk and disaster management </w:t>
            </w:r>
            <w:r w:rsidR="00017902" w:rsidRPr="00017902">
              <w:rPr>
                <w:color w:val="000000"/>
                <w:sz w:val="18"/>
                <w:szCs w:val="18"/>
              </w:rPr>
              <w:t xml:space="preserve">policy and </w:t>
            </w:r>
            <w:r w:rsidR="00C4710E" w:rsidRPr="00017902">
              <w:rPr>
                <w:color w:val="000000"/>
                <w:sz w:val="18"/>
                <w:szCs w:val="18"/>
              </w:rPr>
              <w:t>strategy</w:t>
            </w:r>
            <w:r w:rsidRPr="00017902">
              <w:rPr>
                <w:color w:val="000000"/>
                <w:sz w:val="18"/>
                <w:szCs w:val="18"/>
              </w:rPr>
              <w:t xml:space="preserve">, </w:t>
            </w:r>
            <w:r w:rsidR="00017902" w:rsidRPr="00017902">
              <w:rPr>
                <w:color w:val="000000"/>
                <w:sz w:val="18"/>
                <w:szCs w:val="18"/>
              </w:rPr>
              <w:t xml:space="preserve"> sectoral</w:t>
            </w:r>
            <w:r w:rsidR="00017902" w:rsidRPr="0016385E">
              <w:rPr>
                <w:color w:val="000000"/>
                <w:sz w:val="18"/>
                <w:szCs w:val="18"/>
              </w:rPr>
              <w:t xml:space="preserve"> vulnerability</w:t>
            </w:r>
            <w:r w:rsidR="00017902">
              <w:rPr>
                <w:color w:val="000000"/>
                <w:sz w:val="18"/>
                <w:szCs w:val="18"/>
              </w:rPr>
              <w:t xml:space="preserve"> of four regions’</w:t>
            </w:r>
            <w:r w:rsidRPr="0016385E">
              <w:rPr>
                <w:color w:val="000000"/>
                <w:sz w:val="18"/>
                <w:szCs w:val="18"/>
              </w:rPr>
              <w:t>)</w:t>
            </w:r>
          </w:p>
          <w:p w14:paraId="52AEED19" w14:textId="6F3AF77F" w:rsidR="00BB279A" w:rsidRPr="0016385E" w:rsidRDefault="00BB279A" w:rsidP="00EE7D7A">
            <w:pPr>
              <w:rPr>
                <w:color w:val="000000"/>
                <w:sz w:val="18"/>
                <w:szCs w:val="18"/>
              </w:rPr>
            </w:pPr>
            <w:r w:rsidRPr="0016385E">
              <w:rPr>
                <w:color w:val="000000"/>
                <w:sz w:val="18"/>
                <w:szCs w:val="18"/>
              </w:rPr>
              <w:t>Target (2023): 9 (Baseline + CDN</w:t>
            </w:r>
            <w:r w:rsidR="00B94833" w:rsidRPr="0016385E">
              <w:rPr>
                <w:color w:val="000000"/>
                <w:sz w:val="18"/>
                <w:szCs w:val="18"/>
              </w:rPr>
              <w:t xml:space="preserve"> updated</w:t>
            </w:r>
            <w:r w:rsidRPr="0016385E">
              <w:rPr>
                <w:color w:val="000000"/>
                <w:sz w:val="18"/>
                <w:szCs w:val="18"/>
              </w:rPr>
              <w:t>; PNGRC</w:t>
            </w:r>
            <w:r w:rsidR="00B94833" w:rsidRPr="0016385E">
              <w:rPr>
                <w:color w:val="000000"/>
                <w:sz w:val="18"/>
                <w:szCs w:val="18"/>
              </w:rPr>
              <w:t xml:space="preserve"> updated</w:t>
            </w:r>
            <w:r w:rsidRPr="0016385E">
              <w:rPr>
                <w:color w:val="000000"/>
                <w:sz w:val="18"/>
                <w:szCs w:val="18"/>
              </w:rPr>
              <w:t xml:space="preserve">; national meteorological policy integrating climate change; tools </w:t>
            </w:r>
            <w:r w:rsidR="00FF33AD" w:rsidRPr="0016385E">
              <w:rPr>
                <w:color w:val="000000"/>
                <w:sz w:val="18"/>
                <w:szCs w:val="18"/>
              </w:rPr>
              <w:t>to integrate</w:t>
            </w:r>
            <w:r w:rsidRPr="0016385E">
              <w:rPr>
                <w:color w:val="000000"/>
                <w:sz w:val="18"/>
                <w:szCs w:val="18"/>
              </w:rPr>
              <w:t xml:space="preserve"> the Rio conventions and sustainable development; </w:t>
            </w:r>
            <w:r w:rsidR="00770240" w:rsidRPr="0016385E">
              <w:rPr>
                <w:color w:val="000000"/>
                <w:sz w:val="18"/>
                <w:szCs w:val="18"/>
              </w:rPr>
              <w:t>b</w:t>
            </w:r>
            <w:r w:rsidRPr="0016385E">
              <w:rPr>
                <w:color w:val="000000"/>
                <w:sz w:val="18"/>
                <w:szCs w:val="18"/>
              </w:rPr>
              <w:t>iodiversity financing plan</w:t>
            </w:r>
            <w:r w:rsidR="005B282F" w:rsidRPr="0016385E">
              <w:rPr>
                <w:color w:val="000000"/>
                <w:sz w:val="18"/>
                <w:szCs w:val="18"/>
              </w:rPr>
              <w:t>)</w:t>
            </w:r>
          </w:p>
          <w:p w14:paraId="1BCAB6F2" w14:textId="4BCBECD5" w:rsidR="00BB279A" w:rsidRPr="0016385E" w:rsidRDefault="00BB279A" w:rsidP="00EE7D7A">
            <w:pPr>
              <w:rPr>
                <w:b/>
                <w:bCs/>
                <w:color w:val="000000"/>
                <w:sz w:val="18"/>
                <w:szCs w:val="18"/>
              </w:rPr>
            </w:pPr>
            <w:r w:rsidRPr="0016385E">
              <w:rPr>
                <w:i/>
                <w:iCs/>
                <w:color w:val="000000"/>
                <w:sz w:val="18"/>
                <w:szCs w:val="18"/>
              </w:rPr>
              <w:t xml:space="preserve">Data </w:t>
            </w:r>
            <w:r w:rsidR="00770240" w:rsidRPr="0016385E">
              <w:rPr>
                <w:i/>
                <w:iCs/>
                <w:color w:val="000000"/>
                <w:sz w:val="18"/>
                <w:szCs w:val="18"/>
              </w:rPr>
              <w:t>s</w:t>
            </w:r>
            <w:r w:rsidRPr="0016385E">
              <w:rPr>
                <w:i/>
                <w:iCs/>
                <w:color w:val="000000"/>
                <w:sz w:val="18"/>
                <w:szCs w:val="18"/>
              </w:rPr>
              <w:t xml:space="preserve">ource: MEDD </w:t>
            </w:r>
            <w:r w:rsidR="00770240" w:rsidRPr="0016385E">
              <w:rPr>
                <w:i/>
                <w:iCs/>
                <w:color w:val="000000"/>
                <w:sz w:val="18"/>
                <w:szCs w:val="18"/>
              </w:rPr>
              <w:t>r</w:t>
            </w:r>
            <w:r w:rsidRPr="0016385E">
              <w:rPr>
                <w:i/>
                <w:iCs/>
                <w:color w:val="000000"/>
                <w:sz w:val="18"/>
                <w:szCs w:val="18"/>
              </w:rPr>
              <w:t xml:space="preserve">eports; Frequency: </w:t>
            </w:r>
            <w:r w:rsidR="00770240" w:rsidRPr="0016385E">
              <w:rPr>
                <w:i/>
                <w:iCs/>
                <w:color w:val="000000"/>
                <w:sz w:val="18"/>
                <w:szCs w:val="18"/>
              </w:rPr>
              <w:t>a</w:t>
            </w:r>
            <w:r w:rsidRPr="0016385E">
              <w:rPr>
                <w:i/>
                <w:iCs/>
                <w:color w:val="000000"/>
                <w:sz w:val="18"/>
                <w:szCs w:val="18"/>
              </w:rPr>
              <w:t>nnual</w:t>
            </w:r>
          </w:p>
          <w:p w14:paraId="543ECB27" w14:textId="390CA7A5" w:rsidR="00BB279A" w:rsidRPr="00882056" w:rsidRDefault="00BB279A" w:rsidP="00A01817">
            <w:pPr>
              <w:pStyle w:val="CommentText"/>
              <w:rPr>
                <w:sz w:val="18"/>
                <w:szCs w:val="18"/>
              </w:rPr>
            </w:pPr>
            <w:r w:rsidRPr="0016385E">
              <w:rPr>
                <w:b/>
                <w:bCs/>
                <w:sz w:val="18"/>
                <w:szCs w:val="18"/>
              </w:rPr>
              <w:t xml:space="preserve">Indicator 3.3.2: </w:t>
            </w:r>
            <w:r w:rsidRPr="00882056">
              <w:rPr>
                <w:sz w:val="18"/>
                <w:szCs w:val="18"/>
              </w:rPr>
              <w:t xml:space="preserve">Number of instruments for </w:t>
            </w:r>
            <w:r w:rsidR="00770240" w:rsidRPr="00882056">
              <w:rPr>
                <w:sz w:val="18"/>
                <w:szCs w:val="18"/>
              </w:rPr>
              <w:t>m</w:t>
            </w:r>
            <w:r w:rsidRPr="00882056">
              <w:rPr>
                <w:sz w:val="18"/>
                <w:szCs w:val="18"/>
              </w:rPr>
              <w:t xml:space="preserve">ulti-hazards and </w:t>
            </w:r>
            <w:r w:rsidR="005F0889" w:rsidRPr="00882056">
              <w:rPr>
                <w:sz w:val="18"/>
                <w:szCs w:val="18"/>
              </w:rPr>
              <w:t xml:space="preserve">people </w:t>
            </w:r>
            <w:r w:rsidR="005F0889" w:rsidRPr="00017902">
              <w:rPr>
                <w:sz w:val="18"/>
                <w:szCs w:val="18"/>
              </w:rPr>
              <w:t>centred</w:t>
            </w:r>
            <w:r w:rsidRPr="00017902">
              <w:rPr>
                <w:sz w:val="18"/>
                <w:szCs w:val="18"/>
              </w:rPr>
              <w:t xml:space="preserve"> </w:t>
            </w:r>
            <w:r w:rsidR="00017902" w:rsidRPr="00017902">
              <w:rPr>
                <w:sz w:val="18"/>
                <w:szCs w:val="18"/>
              </w:rPr>
              <w:t>e</w:t>
            </w:r>
            <w:r w:rsidR="00A64E5C" w:rsidRPr="00017902">
              <w:rPr>
                <w:sz w:val="18"/>
                <w:szCs w:val="18"/>
              </w:rPr>
              <w:t>arly warning system</w:t>
            </w:r>
            <w:r w:rsidRPr="00017902">
              <w:rPr>
                <w:sz w:val="18"/>
                <w:szCs w:val="18"/>
              </w:rPr>
              <w:t xml:space="preserve"> in place</w:t>
            </w:r>
            <w:r w:rsidRPr="00882056">
              <w:rPr>
                <w:sz w:val="18"/>
                <w:szCs w:val="18"/>
              </w:rPr>
              <w:t>.</w:t>
            </w:r>
          </w:p>
          <w:p w14:paraId="082E84A5" w14:textId="4D90DAC9" w:rsidR="00BB279A" w:rsidRPr="0016385E" w:rsidRDefault="00BB279A" w:rsidP="00E15C61">
            <w:pPr>
              <w:rPr>
                <w:color w:val="000000"/>
                <w:sz w:val="18"/>
                <w:szCs w:val="18"/>
              </w:rPr>
            </w:pPr>
            <w:r w:rsidRPr="0016385E">
              <w:rPr>
                <w:color w:val="000000"/>
                <w:sz w:val="18"/>
                <w:szCs w:val="18"/>
              </w:rPr>
              <w:t>Baseline (2021):0</w:t>
            </w:r>
            <w:r w:rsidR="00017902">
              <w:rPr>
                <w:color w:val="000000"/>
                <w:sz w:val="18"/>
                <w:szCs w:val="18"/>
              </w:rPr>
              <w:t xml:space="preserve">; </w:t>
            </w:r>
            <w:r w:rsidRPr="0016385E">
              <w:rPr>
                <w:color w:val="000000"/>
                <w:sz w:val="18"/>
                <w:szCs w:val="18"/>
              </w:rPr>
              <w:t>Target (2023):1</w:t>
            </w:r>
          </w:p>
          <w:p w14:paraId="7AC13060" w14:textId="1BDAF71E" w:rsidR="00BB279A" w:rsidRPr="00882056" w:rsidRDefault="00BB279A" w:rsidP="00017902">
            <w:pPr>
              <w:rPr>
                <w:i/>
                <w:iCs/>
                <w:color w:val="000000"/>
                <w:sz w:val="18"/>
                <w:szCs w:val="18"/>
              </w:rPr>
            </w:pPr>
            <w:r w:rsidRPr="00882056">
              <w:rPr>
                <w:i/>
                <w:iCs/>
                <w:color w:val="000000"/>
                <w:sz w:val="18"/>
                <w:szCs w:val="18"/>
              </w:rPr>
              <w:t xml:space="preserve">Data source: </w:t>
            </w:r>
            <w:r w:rsidR="00017902">
              <w:rPr>
                <w:i/>
                <w:iCs/>
                <w:color w:val="000000"/>
                <w:sz w:val="18"/>
                <w:szCs w:val="18"/>
              </w:rPr>
              <w:t>Dept.</w:t>
            </w:r>
            <w:r w:rsidR="00E02841">
              <w:rPr>
                <w:i/>
                <w:iCs/>
                <w:color w:val="000000"/>
                <w:sz w:val="18"/>
                <w:szCs w:val="18"/>
              </w:rPr>
              <w:t xml:space="preserve"> of Risk and D</w:t>
            </w:r>
            <w:r w:rsidR="00017902">
              <w:rPr>
                <w:i/>
                <w:iCs/>
                <w:color w:val="000000"/>
                <w:sz w:val="18"/>
                <w:szCs w:val="18"/>
              </w:rPr>
              <w:t>isas</w:t>
            </w:r>
            <w:r w:rsidR="00E02841">
              <w:rPr>
                <w:i/>
                <w:iCs/>
                <w:color w:val="000000"/>
                <w:sz w:val="18"/>
                <w:szCs w:val="18"/>
              </w:rPr>
              <w:t>ter M</w:t>
            </w:r>
            <w:r w:rsidR="00017902">
              <w:rPr>
                <w:i/>
                <w:iCs/>
                <w:color w:val="000000"/>
                <w:sz w:val="18"/>
                <w:szCs w:val="18"/>
              </w:rPr>
              <w:t xml:space="preserve">anagement </w:t>
            </w:r>
            <w:r w:rsidR="00770240" w:rsidRPr="00882056">
              <w:rPr>
                <w:i/>
                <w:iCs/>
                <w:color w:val="000000"/>
                <w:sz w:val="18"/>
                <w:szCs w:val="18"/>
              </w:rPr>
              <w:t>r</w:t>
            </w:r>
            <w:r w:rsidRPr="00882056">
              <w:rPr>
                <w:i/>
                <w:iCs/>
                <w:color w:val="000000"/>
                <w:sz w:val="18"/>
                <w:szCs w:val="18"/>
              </w:rPr>
              <w:t xml:space="preserve">eports; Frequency: </w:t>
            </w:r>
            <w:r w:rsidR="00D8608D" w:rsidRPr="00882056">
              <w:rPr>
                <w:i/>
                <w:iCs/>
                <w:color w:val="000000"/>
                <w:sz w:val="18"/>
                <w:szCs w:val="18"/>
              </w:rPr>
              <w:t>a</w:t>
            </w:r>
            <w:r w:rsidRPr="00882056">
              <w:rPr>
                <w:i/>
                <w:iCs/>
                <w:color w:val="000000"/>
                <w:sz w:val="18"/>
                <w:szCs w:val="18"/>
              </w:rPr>
              <w:t>nnual</w:t>
            </w:r>
            <w:bookmarkEnd w:id="5"/>
          </w:p>
        </w:tc>
        <w:tc>
          <w:tcPr>
            <w:tcW w:w="729" w:type="pct"/>
            <w:vMerge/>
          </w:tcPr>
          <w:p w14:paraId="6069BBC6" w14:textId="77777777" w:rsidR="00BB279A" w:rsidRPr="0016385E" w:rsidRDefault="00BB279A" w:rsidP="00A52D4F">
            <w:pPr>
              <w:rPr>
                <w:sz w:val="18"/>
                <w:szCs w:val="18"/>
              </w:rPr>
            </w:pPr>
          </w:p>
        </w:tc>
        <w:tc>
          <w:tcPr>
            <w:tcW w:w="496" w:type="pct"/>
            <w:vMerge/>
            <w:tcMar>
              <w:top w:w="15" w:type="dxa"/>
              <w:left w:w="108" w:type="dxa"/>
              <w:bottom w:w="0" w:type="dxa"/>
              <w:right w:w="108" w:type="dxa"/>
            </w:tcMar>
          </w:tcPr>
          <w:p w14:paraId="53558028" w14:textId="77777777" w:rsidR="00BB279A" w:rsidRPr="0016385E" w:rsidRDefault="00BB279A" w:rsidP="00D8139F">
            <w:pPr>
              <w:rPr>
                <w:b/>
                <w:color w:val="000000"/>
                <w:sz w:val="18"/>
                <w:szCs w:val="18"/>
              </w:rPr>
            </w:pPr>
          </w:p>
        </w:tc>
      </w:tr>
    </w:tbl>
    <w:p w14:paraId="160A3260" w14:textId="3BC0EB43" w:rsidR="00250662" w:rsidRPr="0016385E" w:rsidRDefault="002D535B" w:rsidP="002D535B">
      <w:pPr>
        <w:jc w:val="center"/>
      </w:pPr>
      <w:r w:rsidRPr="00882056">
        <w:rPr>
          <w:noProof/>
          <w:color w:val="00000A"/>
          <w:lang w:val="en-US"/>
        </w:rPr>
        <w:drawing>
          <wp:inline distT="0" distB="0" distL="0" distR="0" wp14:anchorId="730E3371" wp14:editId="5321569B">
            <wp:extent cx="920750" cy="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0750" cy="6350"/>
                    </a:xfrm>
                    <a:prstGeom prst="rect">
                      <a:avLst/>
                    </a:prstGeom>
                    <a:noFill/>
                  </pic:spPr>
                </pic:pic>
              </a:graphicData>
            </a:graphic>
          </wp:inline>
        </w:drawing>
      </w:r>
    </w:p>
    <w:sectPr w:rsidR="00250662" w:rsidRPr="0016385E" w:rsidSect="009B044B">
      <w:headerReference w:type="even" r:id="rId17"/>
      <w:headerReference w:type="default" r:id="rId18"/>
      <w:footerReference w:type="even" r:id="rId19"/>
      <w:footerReference w:type="default" r:id="rId20"/>
      <w:headerReference w:type="first" r:id="rId21"/>
      <w:footerReference w:type="first" r:id="rId22"/>
      <w:footnotePr>
        <w:numRestart w:val="eachSect"/>
      </w:footnotePr>
      <w:endnotePr>
        <w:numFmt w:val="decimal"/>
        <w:numStart w:val="7"/>
      </w:endnotePr>
      <w:pgSz w:w="15840" w:h="12240" w:orient="landscape" w:code="1"/>
      <w:pgMar w:top="661" w:right="1166" w:bottom="0" w:left="1440" w:header="578" w:footer="103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F94AC" w14:textId="77777777" w:rsidR="00C47153" w:rsidRDefault="00C47153" w:rsidP="00250662">
      <w:r>
        <w:separator/>
      </w:r>
    </w:p>
  </w:endnote>
  <w:endnote w:type="continuationSeparator" w:id="0">
    <w:p w14:paraId="6F0AF730" w14:textId="77777777" w:rsidR="00C47153" w:rsidRDefault="00C47153" w:rsidP="0025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94977"/>
      <w:docPartObj>
        <w:docPartGallery w:val="Page Numbers (Bottom of Page)"/>
        <w:docPartUnique/>
      </w:docPartObj>
    </w:sdtPr>
    <w:sdtEndPr>
      <w:rPr>
        <w:noProof/>
        <w:sz w:val="17"/>
        <w:szCs w:val="17"/>
      </w:rPr>
    </w:sdtEndPr>
    <w:sdtContent>
      <w:p w14:paraId="09277E5A" w14:textId="77777777" w:rsidR="00CC7002" w:rsidRPr="009929CB" w:rsidRDefault="00CC7002" w:rsidP="004206C1">
        <w:pPr>
          <w:pStyle w:val="Footer"/>
          <w:ind w:firstLine="81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sidR="002F24AC">
          <w:rPr>
            <w:b/>
            <w:noProof/>
            <w:sz w:val="17"/>
            <w:szCs w:val="17"/>
          </w:rPr>
          <w:t>8</w:t>
        </w:r>
        <w:r w:rsidRPr="009929CB">
          <w:rPr>
            <w:b/>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9310"/>
      <w:docPartObj>
        <w:docPartGallery w:val="Page Numbers (Bottom of Page)"/>
        <w:docPartUnique/>
      </w:docPartObj>
    </w:sdtPr>
    <w:sdtEndPr>
      <w:rPr>
        <w:b/>
        <w:bCs/>
        <w:noProof/>
        <w:sz w:val="17"/>
        <w:szCs w:val="17"/>
      </w:rPr>
    </w:sdtEndPr>
    <w:sdtContent>
      <w:p w14:paraId="311DA364" w14:textId="77777777" w:rsidR="00CC7002" w:rsidRPr="00EC2D12" w:rsidRDefault="00CC7002" w:rsidP="004206C1">
        <w:pPr>
          <w:pStyle w:val="Footer"/>
          <w:ind w:right="1038"/>
          <w:jc w:val="right"/>
          <w:rPr>
            <w:b/>
            <w:bCs/>
            <w:sz w:val="17"/>
            <w:szCs w:val="17"/>
          </w:rPr>
        </w:pPr>
        <w:r w:rsidRPr="00EC2D12">
          <w:rPr>
            <w:b/>
            <w:bCs/>
            <w:sz w:val="17"/>
            <w:szCs w:val="17"/>
          </w:rPr>
          <w:fldChar w:fldCharType="begin"/>
        </w:r>
        <w:r w:rsidRPr="00EC2D12">
          <w:rPr>
            <w:b/>
            <w:bCs/>
            <w:sz w:val="17"/>
            <w:szCs w:val="17"/>
          </w:rPr>
          <w:instrText xml:space="preserve"> PAGE   \* MERGEFORMAT </w:instrText>
        </w:r>
        <w:r w:rsidRPr="00EC2D12">
          <w:rPr>
            <w:b/>
            <w:bCs/>
            <w:sz w:val="17"/>
            <w:szCs w:val="17"/>
          </w:rPr>
          <w:fldChar w:fldCharType="separate"/>
        </w:r>
        <w:r w:rsidR="002F24AC">
          <w:rPr>
            <w:b/>
            <w:bCs/>
            <w:noProof/>
            <w:sz w:val="17"/>
            <w:szCs w:val="17"/>
          </w:rPr>
          <w:t>7</w:t>
        </w:r>
        <w:r w:rsidRPr="00EC2D12">
          <w:rPr>
            <w:b/>
            <w:bCs/>
            <w:noProof/>
            <w:sz w:val="17"/>
            <w:szCs w:val="1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470"/>
      <w:docPartObj>
        <w:docPartGallery w:val="Page Numbers (Bottom of Page)"/>
        <w:docPartUnique/>
      </w:docPartObj>
    </w:sdtPr>
    <w:sdtEndPr>
      <w:rPr>
        <w:noProof/>
        <w:sz w:val="17"/>
        <w:szCs w:val="17"/>
      </w:rPr>
    </w:sdtEndPr>
    <w:sdtContent>
      <w:p w14:paraId="07FE68CF" w14:textId="77777777" w:rsidR="00CC7002" w:rsidRPr="009929CB" w:rsidRDefault="00CC7002" w:rsidP="009B044B">
        <w:pPr>
          <w:pStyle w:val="Footer"/>
          <w:ind w:hanging="270"/>
          <w:rPr>
            <w:sz w:val="17"/>
            <w:szCs w:val="17"/>
          </w:rPr>
        </w:pPr>
        <w:r w:rsidRPr="009929CB">
          <w:rPr>
            <w:b/>
            <w:sz w:val="17"/>
            <w:szCs w:val="17"/>
          </w:rPr>
          <w:fldChar w:fldCharType="begin"/>
        </w:r>
        <w:r w:rsidRPr="009929CB">
          <w:rPr>
            <w:b/>
            <w:sz w:val="17"/>
            <w:szCs w:val="17"/>
          </w:rPr>
          <w:instrText xml:space="preserve"> PAGE   \* MERGEFORMAT </w:instrText>
        </w:r>
        <w:r w:rsidRPr="009929CB">
          <w:rPr>
            <w:b/>
            <w:sz w:val="17"/>
            <w:szCs w:val="17"/>
          </w:rPr>
          <w:fldChar w:fldCharType="separate"/>
        </w:r>
        <w:r w:rsidR="002F24AC">
          <w:rPr>
            <w:b/>
            <w:noProof/>
            <w:sz w:val="17"/>
            <w:szCs w:val="17"/>
          </w:rPr>
          <w:t>14</w:t>
        </w:r>
        <w:r w:rsidRPr="009929CB">
          <w:rPr>
            <w:b/>
            <w:noProof/>
            <w:sz w:val="17"/>
            <w:szCs w:val="17"/>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650261"/>
      <w:docPartObj>
        <w:docPartGallery w:val="Page Numbers (Bottom of Page)"/>
        <w:docPartUnique/>
      </w:docPartObj>
    </w:sdtPr>
    <w:sdtEndPr>
      <w:rPr>
        <w:b/>
        <w:bCs/>
        <w:color w:val="7F7F7F"/>
        <w:spacing w:val="60"/>
        <w:sz w:val="17"/>
        <w:szCs w:val="17"/>
      </w:rPr>
    </w:sdtEndPr>
    <w:sdtContent>
      <w:p w14:paraId="4FED08B4" w14:textId="77777777" w:rsidR="00CC7002" w:rsidRPr="009929CB" w:rsidRDefault="00CC7002" w:rsidP="00250662">
        <w:pPr>
          <w:pStyle w:val="Footer"/>
          <w:pBdr>
            <w:top w:val="single" w:sz="4" w:space="0" w:color="D9D9D9"/>
          </w:pBdr>
          <w:jc w:val="right"/>
          <w:rPr>
            <w:b/>
            <w:bCs/>
            <w:sz w:val="17"/>
            <w:szCs w:val="17"/>
          </w:rPr>
        </w:pPr>
        <w:r w:rsidRPr="009929CB">
          <w:rPr>
            <w:b/>
            <w:bCs/>
            <w:sz w:val="17"/>
            <w:szCs w:val="17"/>
          </w:rPr>
          <w:fldChar w:fldCharType="begin"/>
        </w:r>
        <w:r w:rsidRPr="009929CB">
          <w:rPr>
            <w:b/>
            <w:bCs/>
            <w:sz w:val="17"/>
            <w:szCs w:val="17"/>
          </w:rPr>
          <w:instrText xml:space="preserve"> PAGE   \* MERGEFORMAT </w:instrText>
        </w:r>
        <w:r w:rsidRPr="009929CB">
          <w:rPr>
            <w:b/>
            <w:bCs/>
            <w:sz w:val="17"/>
            <w:szCs w:val="17"/>
          </w:rPr>
          <w:fldChar w:fldCharType="separate"/>
        </w:r>
        <w:r w:rsidR="002F24AC">
          <w:rPr>
            <w:b/>
            <w:bCs/>
            <w:noProof/>
            <w:sz w:val="17"/>
            <w:szCs w:val="17"/>
          </w:rPr>
          <w:t>13</w:t>
        </w:r>
        <w:r w:rsidRPr="009929CB">
          <w:rPr>
            <w:b/>
            <w:bCs/>
            <w:noProof/>
            <w:sz w:val="17"/>
            <w:szCs w:val="17"/>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172455"/>
      <w:docPartObj>
        <w:docPartGallery w:val="Page Numbers (Bottom of Page)"/>
        <w:docPartUnique/>
      </w:docPartObj>
    </w:sdtPr>
    <w:sdtEndPr>
      <w:rPr>
        <w:b/>
        <w:bCs/>
        <w:noProof/>
        <w:sz w:val="17"/>
        <w:szCs w:val="17"/>
      </w:rPr>
    </w:sdtEndPr>
    <w:sdtContent>
      <w:p w14:paraId="56E22374" w14:textId="28302158" w:rsidR="00CC7002" w:rsidRPr="009B044B" w:rsidRDefault="00CC7002" w:rsidP="009B044B">
        <w:pPr>
          <w:pStyle w:val="Footer"/>
          <w:jc w:val="right"/>
          <w:rPr>
            <w:b/>
            <w:bCs/>
            <w:sz w:val="17"/>
            <w:szCs w:val="17"/>
          </w:rPr>
        </w:pPr>
        <w:r w:rsidRPr="009B044B">
          <w:rPr>
            <w:b/>
            <w:bCs/>
            <w:sz w:val="17"/>
            <w:szCs w:val="17"/>
          </w:rPr>
          <w:fldChar w:fldCharType="begin"/>
        </w:r>
        <w:r w:rsidRPr="009B044B">
          <w:rPr>
            <w:b/>
            <w:bCs/>
            <w:sz w:val="17"/>
            <w:szCs w:val="17"/>
          </w:rPr>
          <w:instrText xml:space="preserve"> PAGE   \* MERGEFORMAT </w:instrText>
        </w:r>
        <w:r w:rsidRPr="009B044B">
          <w:rPr>
            <w:b/>
            <w:bCs/>
            <w:sz w:val="17"/>
            <w:szCs w:val="17"/>
          </w:rPr>
          <w:fldChar w:fldCharType="separate"/>
        </w:r>
        <w:r w:rsidR="002F24AC">
          <w:rPr>
            <w:b/>
            <w:bCs/>
            <w:noProof/>
            <w:sz w:val="17"/>
            <w:szCs w:val="17"/>
          </w:rPr>
          <w:t>9</w:t>
        </w:r>
        <w:r w:rsidRPr="009B044B">
          <w:rPr>
            <w:b/>
            <w:bCs/>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23495" w14:textId="77777777" w:rsidR="00C47153" w:rsidRDefault="00C47153" w:rsidP="00250662">
      <w:r>
        <w:separator/>
      </w:r>
    </w:p>
  </w:footnote>
  <w:footnote w:type="continuationSeparator" w:id="0">
    <w:p w14:paraId="5050D4D9" w14:textId="77777777" w:rsidR="00C47153" w:rsidRDefault="00C47153" w:rsidP="00250662">
      <w:r>
        <w:continuationSeparator/>
      </w:r>
    </w:p>
  </w:footnote>
  <w:footnote w:id="1">
    <w:p w14:paraId="5381C8AB" w14:textId="46A2C2DC" w:rsidR="00CC7002" w:rsidRPr="00882056" w:rsidRDefault="00CC7002" w:rsidP="002201AB">
      <w:pPr>
        <w:pStyle w:val="FootnoteText"/>
        <w:rPr>
          <w:rFonts w:ascii="Times New Roman" w:hAnsi="Times New Roman"/>
          <w:sz w:val="16"/>
          <w:szCs w:val="16"/>
        </w:rPr>
      </w:pPr>
      <w:r w:rsidRPr="00882056">
        <w:rPr>
          <w:rStyle w:val="FootnoteReference"/>
          <w:rFonts w:ascii="Times New Roman" w:hAnsi="Times New Roman"/>
          <w:sz w:val="18"/>
          <w:szCs w:val="18"/>
        </w:rPr>
        <w:footnoteRef/>
      </w:r>
      <w:r w:rsidRPr="0016385E">
        <w:rPr>
          <w:rFonts w:ascii="Times New Roman" w:hAnsi="Times New Roman"/>
          <w:sz w:val="16"/>
          <w:szCs w:val="16"/>
        </w:rPr>
        <w:t xml:space="preserve"> Madagascar overview, World Bank (updated 22 Oct 2019)</w:t>
      </w:r>
    </w:p>
  </w:footnote>
  <w:footnote w:id="2">
    <w:p w14:paraId="48C16998" w14:textId="27F73D8C"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Economic outlook in Madagascar, AfDB, 2019</w:t>
      </w:r>
    </w:p>
  </w:footnote>
  <w:footnote w:id="3">
    <w:p w14:paraId="204FD2A9" w14:textId="77777777" w:rsidR="00CC7002" w:rsidRPr="00882056" w:rsidRDefault="00CC7002" w:rsidP="00630223">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Madagascar economic update: Setting a course for recovery, World Bank, December 2020</w:t>
      </w:r>
    </w:p>
  </w:footnote>
  <w:footnote w:id="4">
    <w:p w14:paraId="473423AD" w14:textId="61F7434F"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Including people with disabilities; lesbian, gay, transgender and bisexual people</w:t>
      </w:r>
      <w:r>
        <w:rPr>
          <w:rFonts w:ascii="Times New Roman" w:hAnsi="Times New Roman"/>
          <w:sz w:val="16"/>
          <w:szCs w:val="16"/>
        </w:rPr>
        <w:t>; and people living with HIV</w:t>
      </w:r>
    </w:p>
  </w:footnote>
  <w:footnote w:id="5">
    <w:p w14:paraId="133F21CA" w14:textId="503AFD89"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882056">
        <w:rPr>
          <w:rFonts w:ascii="Times New Roman" w:hAnsi="Times New Roman"/>
          <w:sz w:val="16"/>
          <w:szCs w:val="16"/>
        </w:rPr>
        <w:t>Common country analysis report, April 2020</w:t>
      </w:r>
    </w:p>
  </w:footnote>
  <w:footnote w:id="6">
    <w:p w14:paraId="1F3D87BB" w14:textId="75E7EE7E" w:rsidR="00CC7002" w:rsidRPr="0016385E" w:rsidRDefault="00CC7002" w:rsidP="000E03D7">
      <w:pPr>
        <w:jc w:val="both"/>
        <w:rPr>
          <w:sz w:val="16"/>
          <w:szCs w:val="16"/>
        </w:rPr>
      </w:pPr>
      <w:r w:rsidRPr="00882056">
        <w:rPr>
          <w:rStyle w:val="FootnoteReference"/>
          <w:sz w:val="18"/>
          <w:szCs w:val="18"/>
        </w:rPr>
        <w:footnoteRef/>
      </w:r>
      <w:r w:rsidRPr="00882056">
        <w:rPr>
          <w:rStyle w:val="FootnoteReference"/>
          <w:sz w:val="18"/>
          <w:szCs w:val="18"/>
        </w:rPr>
        <w:t xml:space="preserve"> </w:t>
      </w:r>
      <w:r w:rsidRPr="0016385E">
        <w:rPr>
          <w:sz w:val="16"/>
          <w:szCs w:val="16"/>
        </w:rPr>
        <w:t>SP1: Enhance good governance, the rule of law and security; SP2: Ensure human capital development and exploitation of the demographic dividend;</w:t>
      </w:r>
    </w:p>
    <w:p w14:paraId="6FC6A0F6" w14:textId="051F0EFF" w:rsidR="00CC7002" w:rsidRPr="0016385E" w:rsidRDefault="00CC7002" w:rsidP="000E03D7">
      <w:pPr>
        <w:jc w:val="both"/>
      </w:pPr>
      <w:r w:rsidRPr="0016385E">
        <w:rPr>
          <w:sz w:val="16"/>
          <w:szCs w:val="16"/>
        </w:rPr>
        <w:t>SP3: Trigger work productivity and the creation of productive jobs for decent incomes and a competitive economy; SP4 Enhance sustainable, resilient, and inclusive environmental management.</w:t>
      </w:r>
    </w:p>
  </w:footnote>
  <w:footnote w:id="7">
    <w:p w14:paraId="39FEDA55" w14:textId="5856CD72"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882056">
        <w:rPr>
          <w:rFonts w:ascii="Times New Roman" w:hAnsi="Times New Roman"/>
          <w:sz w:val="16"/>
          <w:szCs w:val="16"/>
        </w:rPr>
        <w:t>Challenges analysed with more emphasis in the common country analysis report, 2020.</w:t>
      </w:r>
    </w:p>
  </w:footnote>
  <w:footnote w:id="8">
    <w:p w14:paraId="0FE2D357" w14:textId="4B6CC3A0" w:rsidR="00CC7002" w:rsidRPr="00882056" w:rsidRDefault="00CC7002">
      <w:pPr>
        <w:pStyle w:val="FootnoteText"/>
      </w:pPr>
      <w:r w:rsidRPr="00882056">
        <w:rPr>
          <w:rStyle w:val="FootnoteReference"/>
          <w:rFonts w:ascii="Times New Roman" w:hAnsi="Times New Roman"/>
          <w:sz w:val="18"/>
          <w:szCs w:val="18"/>
        </w:rPr>
        <w:footnoteRef/>
      </w:r>
      <w:r w:rsidRPr="00882056">
        <w:rPr>
          <w:sz w:val="14"/>
          <w:szCs w:val="14"/>
        </w:rPr>
        <w:t xml:space="preserve"> </w:t>
      </w:r>
      <w:r w:rsidRPr="00882056">
        <w:rPr>
          <w:rFonts w:ascii="Times New Roman" w:hAnsi="Times New Roman"/>
          <w:sz w:val="16"/>
          <w:szCs w:val="16"/>
        </w:rPr>
        <w:t>Common country analysis report, April 2020</w:t>
      </w:r>
    </w:p>
  </w:footnote>
  <w:footnote w:id="9">
    <w:p w14:paraId="2BBD1F44" w14:textId="30A4F9F6" w:rsidR="00CC7002" w:rsidRPr="0086148F" w:rsidRDefault="00CC7002">
      <w:pPr>
        <w:pStyle w:val="FootnoteText"/>
        <w:rPr>
          <w:lang w:val="en-US"/>
        </w:rPr>
      </w:pPr>
      <w:r w:rsidRPr="00882056">
        <w:rPr>
          <w:rStyle w:val="FootnoteReference"/>
          <w:rFonts w:ascii="Times New Roman" w:hAnsi="Times New Roman"/>
          <w:sz w:val="18"/>
          <w:szCs w:val="18"/>
        </w:rPr>
        <w:footnoteRef/>
      </w:r>
      <w:r w:rsidRPr="0086148F">
        <w:rPr>
          <w:rStyle w:val="FootnoteReference"/>
          <w:rFonts w:ascii="Times New Roman" w:hAnsi="Times New Roman"/>
          <w:sz w:val="18"/>
          <w:szCs w:val="18"/>
          <w:lang w:val="en-US"/>
        </w:rPr>
        <w:t xml:space="preserve"> </w:t>
      </w:r>
      <w:r w:rsidRPr="0086148F">
        <w:rPr>
          <w:rFonts w:ascii="Times New Roman" w:hAnsi="Times New Roman"/>
          <w:sz w:val="16"/>
          <w:szCs w:val="16"/>
          <w:lang w:val="en-US"/>
        </w:rPr>
        <w:t xml:space="preserve">Gender analysis report, </w:t>
      </w:r>
      <w:r w:rsidRPr="00CC7002">
        <w:rPr>
          <w:rFonts w:ascii="Times New Roman" w:hAnsi="Times New Roman"/>
          <w:sz w:val="16"/>
          <w:szCs w:val="16"/>
          <w:lang w:val="en-US"/>
        </w:rPr>
        <w:t>‘Improving adaptation and resilience capacities due to climate change’ project,</w:t>
      </w:r>
      <w:r w:rsidRPr="0086148F">
        <w:rPr>
          <w:rFonts w:ascii="Times New Roman" w:hAnsi="Times New Roman"/>
          <w:sz w:val="16"/>
          <w:szCs w:val="16"/>
          <w:lang w:val="en-US"/>
        </w:rPr>
        <w:t xml:space="preserve"> October 2020</w:t>
      </w:r>
    </w:p>
  </w:footnote>
  <w:footnote w:id="10">
    <w:p w14:paraId="6C60E611" w14:textId="083AB1CA"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Such as cyclones, droughts, and floods</w:t>
      </w:r>
    </w:p>
  </w:footnote>
  <w:footnote w:id="11">
    <w:p w14:paraId="4059B6C8" w14:textId="664596EB"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More than 10 million voters, including 46 per cent women and 42 per cent youth</w:t>
      </w:r>
    </w:p>
  </w:footnote>
  <w:footnote w:id="12">
    <w:p w14:paraId="0D9B70AB" w14:textId="2D5F5824"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sz w:val="18"/>
          <w:szCs w:val="18"/>
        </w:rPr>
        <w:t xml:space="preserve"> </w:t>
      </w:r>
      <w:r w:rsidRPr="0016385E">
        <w:rPr>
          <w:rFonts w:ascii="Times New Roman" w:hAnsi="Times New Roman"/>
          <w:sz w:val="16"/>
          <w:szCs w:val="16"/>
        </w:rPr>
        <w:t>National anti-corruption strategy, promulgation of the Law on anti-corruption poles</w:t>
      </w:r>
      <w:r>
        <w:rPr>
          <w:rFonts w:ascii="Times New Roman" w:hAnsi="Times New Roman"/>
          <w:sz w:val="16"/>
          <w:szCs w:val="16"/>
        </w:rPr>
        <w:t>.</w:t>
      </w:r>
    </w:p>
  </w:footnote>
  <w:footnote w:id="13">
    <w:p w14:paraId="54008765" w14:textId="03FDED28" w:rsidR="00CC7002" w:rsidRPr="0016385E" w:rsidRDefault="00CC7002">
      <w:pPr>
        <w:pStyle w:val="FootnoteText"/>
      </w:pPr>
      <w:r w:rsidRPr="00882056">
        <w:rPr>
          <w:rStyle w:val="FootnoteReference"/>
          <w:rFonts w:ascii="Times New Roman" w:hAnsi="Times New Roman"/>
          <w:sz w:val="18"/>
          <w:szCs w:val="18"/>
        </w:rPr>
        <w:footnoteRef/>
      </w:r>
      <w:r w:rsidRPr="00882056">
        <w:rPr>
          <w:rFonts w:ascii="Times New Roman" w:hAnsi="Times New Roman"/>
          <w:sz w:val="18"/>
          <w:szCs w:val="18"/>
        </w:rPr>
        <w:t xml:space="preserve"> </w:t>
      </w:r>
      <w:r w:rsidRPr="0016385E">
        <w:rPr>
          <w:rFonts w:ascii="Times New Roman" w:hAnsi="Times New Roman"/>
          <w:sz w:val="16"/>
          <w:szCs w:val="16"/>
        </w:rPr>
        <w:t>Aspirations 1, 3 and 6 of Agenda 2063</w:t>
      </w:r>
    </w:p>
  </w:footnote>
  <w:footnote w:id="14">
    <w:p w14:paraId="7BCC75CF" w14:textId="2A15A8A2"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On peace and security, anti- corruption, public administration performance, and autonomy and responsibilities of decentralized bodies</w:t>
      </w:r>
    </w:p>
  </w:footnote>
  <w:footnote w:id="15">
    <w:p w14:paraId="0D24A98A" w14:textId="509F120C"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On decent employment, industrialization, and empowerment of women and youth</w:t>
      </w:r>
    </w:p>
  </w:footnote>
  <w:footnote w:id="16">
    <w:p w14:paraId="35FD523B" w14:textId="28F1362A"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16385E">
        <w:rPr>
          <w:rFonts w:ascii="Times New Roman" w:hAnsi="Times New Roman"/>
          <w:sz w:val="16"/>
          <w:szCs w:val="16"/>
        </w:rPr>
        <w:t>On natural resource conservation, green and blue economy, mining management, and water for all</w:t>
      </w:r>
    </w:p>
  </w:footnote>
  <w:footnote w:id="17">
    <w:p w14:paraId="07660E63" w14:textId="705609DF" w:rsidR="00CC7002" w:rsidRPr="0016385E" w:rsidRDefault="00CC7002">
      <w:pPr>
        <w:pStyle w:val="FootnoteText"/>
        <w:rPr>
          <w:rFonts w:ascii="Times New Roman" w:hAnsi="Times New Roman"/>
          <w:sz w:val="16"/>
          <w:szCs w:val="16"/>
        </w:rPr>
      </w:pPr>
    </w:p>
  </w:footnote>
  <w:footnote w:id="18">
    <w:p w14:paraId="076AC95B" w14:textId="0862C5C9" w:rsidR="00CC7002" w:rsidRPr="0016385E" w:rsidRDefault="00CC7002">
      <w:pPr>
        <w:pStyle w:val="FootnoteText"/>
      </w:pPr>
      <w:r w:rsidRPr="00882056">
        <w:rPr>
          <w:rStyle w:val="FootnoteReference"/>
          <w:rFonts w:ascii="Times New Roman" w:hAnsi="Times New Roman"/>
          <w:sz w:val="18"/>
          <w:szCs w:val="18"/>
        </w:rPr>
        <w:footnoteRef/>
      </w:r>
      <w:r w:rsidRPr="00882056">
        <w:rPr>
          <w:rStyle w:val="FootnoteReference"/>
          <w:rFonts w:ascii="Times New Roman" w:hAnsi="Times New Roman"/>
          <w:sz w:val="18"/>
          <w:szCs w:val="18"/>
        </w:rPr>
        <w:t xml:space="preserve"> </w:t>
      </w:r>
      <w:r w:rsidRPr="00882056">
        <w:rPr>
          <w:rFonts w:ascii="Times New Roman" w:hAnsi="Times New Roman"/>
          <w:sz w:val="16"/>
          <w:szCs w:val="16"/>
          <w:lang w:eastAsia="fr-FR"/>
        </w:rPr>
        <w:t>The Paris Declaration on Aid Effectiveness, the Accra Agenda for Action, and the Busan Partnership for Effective Development Cooperation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5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612"/>
    </w:tblGrid>
    <w:tr w:rsidR="00CC7002" w:rsidRPr="004206C1" w14:paraId="7F6AD228" w14:textId="77777777" w:rsidTr="00EC49ED">
      <w:trPr>
        <w:trHeight w:hRule="exact" w:val="864"/>
      </w:trPr>
      <w:tc>
        <w:tcPr>
          <w:tcW w:w="4838" w:type="dxa"/>
          <w:shd w:val="clear" w:color="auto" w:fill="auto"/>
          <w:vAlign w:val="bottom"/>
        </w:tcPr>
        <w:p w14:paraId="16420590" w14:textId="2857A5AF" w:rsidR="00CC7002" w:rsidRPr="004206C1" w:rsidRDefault="00CC7002" w:rsidP="004206C1">
          <w:pPr>
            <w:tabs>
              <w:tab w:val="center" w:pos="4320"/>
              <w:tab w:val="right" w:pos="8640"/>
            </w:tabs>
            <w:spacing w:after="80"/>
            <w:rPr>
              <w:rFonts w:eastAsia="Calibri"/>
              <w:b/>
              <w:noProof/>
              <w:sz w:val="17"/>
              <w:lang w:val="en-US"/>
            </w:rPr>
          </w:pPr>
          <w:r w:rsidRPr="004206C1">
            <w:rPr>
              <w:rFonts w:eastAsia="Calibri"/>
              <w:b/>
              <w:noProof/>
              <w:sz w:val="17"/>
              <w:lang w:val="en-US"/>
            </w:rPr>
            <w:t>DP/DCP/</w:t>
          </w:r>
          <w:r>
            <w:rPr>
              <w:rFonts w:eastAsia="Calibri"/>
              <w:b/>
              <w:noProof/>
              <w:sz w:val="17"/>
              <w:lang w:val="en-US"/>
            </w:rPr>
            <w:t>MDG</w:t>
          </w:r>
          <w:r w:rsidRPr="004206C1">
            <w:rPr>
              <w:rFonts w:eastAsia="Calibri"/>
              <w:b/>
              <w:noProof/>
              <w:sz w:val="17"/>
              <w:lang w:val="en-US"/>
            </w:rPr>
            <w:t>/</w:t>
          </w:r>
          <w:r>
            <w:rPr>
              <w:rFonts w:eastAsia="Calibri"/>
              <w:b/>
              <w:noProof/>
              <w:sz w:val="17"/>
              <w:lang w:val="en-US"/>
            </w:rPr>
            <w:t>4</w:t>
          </w:r>
        </w:p>
      </w:tc>
      <w:tc>
        <w:tcPr>
          <w:tcW w:w="4612" w:type="dxa"/>
          <w:shd w:val="clear" w:color="auto" w:fill="auto"/>
          <w:vAlign w:val="bottom"/>
        </w:tcPr>
        <w:p w14:paraId="7DDC16FD" w14:textId="77777777" w:rsidR="00CC7002" w:rsidRPr="004206C1" w:rsidRDefault="00CC7002" w:rsidP="004206C1">
          <w:pPr>
            <w:tabs>
              <w:tab w:val="center" w:pos="4320"/>
              <w:tab w:val="right" w:pos="8640"/>
            </w:tabs>
            <w:rPr>
              <w:rFonts w:eastAsia="Calibri"/>
              <w:noProof/>
              <w:sz w:val="17"/>
              <w:lang w:val="en-US"/>
            </w:rPr>
          </w:pPr>
        </w:p>
      </w:tc>
    </w:tr>
  </w:tbl>
  <w:p w14:paraId="1E29621C" w14:textId="2650108B" w:rsidR="00CC7002" w:rsidRPr="004206C1" w:rsidRDefault="00CC7002">
    <w:pPr>
      <w:pStyle w:val="Header"/>
      <w:rPr>
        <w:sz w:val="6"/>
        <w:szCs w:val="6"/>
      </w:rPr>
    </w:pPr>
    <w:r>
      <w:rPr>
        <w:noProof/>
        <w:lang w:val="en-US" w:eastAsia="en-US"/>
      </w:rPr>
      <mc:AlternateContent>
        <mc:Choice Requires="wps">
          <w:drawing>
            <wp:anchor distT="0" distB="0" distL="114300" distR="114300" simplePos="0" relativeHeight="251673088" behindDoc="1" locked="0" layoutInCell="0" allowOverlap="1" wp14:anchorId="10CB3490" wp14:editId="68474BFA">
              <wp:simplePos x="0" y="0"/>
              <wp:positionH relativeFrom="margin">
                <wp:align>center</wp:align>
              </wp:positionH>
              <wp:positionV relativeFrom="margin">
                <wp:align>center</wp:align>
              </wp:positionV>
              <wp:extent cx="8187055" cy="106045"/>
              <wp:effectExtent l="0" t="2590800" r="0" b="27044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C33FCAF"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CB3490" id="_x0000_t202" coordsize="21600,21600" o:spt="202" path="m,l,21600r21600,l21600,xe">
              <v:stroke joinstyle="miter"/>
              <v:path gradientshapeok="t" o:connecttype="rect"/>
            </v:shapetype>
            <v:shape id="Text Box 16" o:spid="_x0000_s1026" type="#_x0000_t202" style="position:absolute;margin-left:0;margin-top:0;width:644.65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" o:allowincell="f" filled="f" stroked="f">
              <o:lock v:ext="edit" shapetype="t"/>
              <v:textbox style="mso-fit-shape-to-text:t">
                <w:txbxContent>
                  <w:p w14:paraId="0C33FCAF"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9776" behindDoc="1" locked="0" layoutInCell="0" allowOverlap="1" wp14:anchorId="4DCEEF73" wp14:editId="49611548">
              <wp:simplePos x="0" y="0"/>
              <wp:positionH relativeFrom="margin">
                <wp:align>center</wp:align>
              </wp:positionH>
              <wp:positionV relativeFrom="margin">
                <wp:align>center</wp:align>
              </wp:positionV>
              <wp:extent cx="8187055" cy="106045"/>
              <wp:effectExtent l="0" t="2590800" r="0" b="27044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69CDA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CEEF73" id="Text Box 11" o:spid="_x0000_s1027" type="#_x0000_t202" style="position:absolute;margin-left:0;margin-top:0;width:644.65pt;height:8.3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" o:allowincell="f" filled="f" stroked="f">
              <o:lock v:ext="edit" shapetype="t"/>
              <v:textbox style="mso-fit-shape-to-text:t">
                <w:txbxContent>
                  <w:p w14:paraId="2569CDA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42368" behindDoc="1" locked="0" layoutInCell="0" allowOverlap="1" wp14:anchorId="3B6E76AB" wp14:editId="6AD5E4BB">
              <wp:simplePos x="0" y="0"/>
              <wp:positionH relativeFrom="margin">
                <wp:align>center</wp:align>
              </wp:positionH>
              <wp:positionV relativeFrom="margin">
                <wp:align>center</wp:align>
              </wp:positionV>
              <wp:extent cx="8187055" cy="106045"/>
              <wp:effectExtent l="0" t="2590800" r="0" b="27044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D561A5A"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6E76AB" id="Text Box 4" o:spid="_x0000_s1028" type="#_x0000_t202" style="position:absolute;margin-left:0;margin-top:0;width:644.65pt;height:8.35pt;rotation:-45;z-index:-251674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B+ExjwBwIAAPADAAAOAAAA&#10;AAAAAAAAAAAAAC4CAABkcnMvZTJvRG9jLnhtbFBLAQItABQABgAIAAAAIQD7NRWK2wAAAAUBAAAP&#10;AAAAAAAAAAAAAAAAAGEEAABkcnMvZG93bnJldi54bWxQSwUGAAAAAAQABADzAAAAaQUAAAAA&#10;" o:allowincell="f" filled="f" stroked="f">
              <o:lock v:ext="edit" shapetype="t"/>
              <v:textbox style="mso-fit-shape-to-text:t">
                <w:txbxContent>
                  <w:p w14:paraId="7D561A5A"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0" w:type="dxa"/>
      <w:tblInd w:w="90"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4792"/>
    </w:tblGrid>
    <w:tr w:rsidR="00CC7002" w:rsidRPr="004206C1" w14:paraId="638B757F" w14:textId="77777777" w:rsidTr="004206C1">
      <w:trPr>
        <w:trHeight w:hRule="exact" w:val="864"/>
      </w:trPr>
      <w:tc>
        <w:tcPr>
          <w:tcW w:w="4838" w:type="dxa"/>
          <w:shd w:val="clear" w:color="auto" w:fill="auto"/>
          <w:vAlign w:val="bottom"/>
        </w:tcPr>
        <w:p w14:paraId="0E602FA5" w14:textId="77777777" w:rsidR="00CC7002" w:rsidRPr="004206C1" w:rsidRDefault="00CC7002" w:rsidP="004206C1">
          <w:pPr>
            <w:tabs>
              <w:tab w:val="center" w:pos="4320"/>
              <w:tab w:val="right" w:pos="8640"/>
            </w:tabs>
            <w:rPr>
              <w:rFonts w:eastAsia="Calibri"/>
              <w:noProof/>
              <w:sz w:val="17"/>
              <w:lang w:val="en-US"/>
            </w:rPr>
          </w:pPr>
        </w:p>
      </w:tc>
      <w:tc>
        <w:tcPr>
          <w:tcW w:w="4792" w:type="dxa"/>
          <w:shd w:val="clear" w:color="auto" w:fill="auto"/>
          <w:vAlign w:val="bottom"/>
        </w:tcPr>
        <w:p w14:paraId="1B108358" w14:textId="61AD838E" w:rsidR="00CC7002" w:rsidRPr="004206C1" w:rsidRDefault="00CC7002" w:rsidP="004206C1">
          <w:pPr>
            <w:tabs>
              <w:tab w:val="center" w:pos="4320"/>
              <w:tab w:val="right" w:pos="8640"/>
            </w:tabs>
            <w:spacing w:after="80"/>
            <w:jc w:val="right"/>
            <w:rPr>
              <w:rFonts w:eastAsia="Calibri"/>
              <w:b/>
              <w:noProof/>
              <w:sz w:val="17"/>
              <w:lang w:val="en-US"/>
            </w:rPr>
          </w:pPr>
          <w:r w:rsidRPr="004206C1">
            <w:rPr>
              <w:rFonts w:eastAsia="Calibri"/>
              <w:b/>
              <w:noProof/>
              <w:sz w:val="17"/>
              <w:lang w:val="en-US"/>
            </w:rPr>
            <w:t>DP/DCP/M</w:t>
          </w:r>
          <w:r>
            <w:rPr>
              <w:rFonts w:eastAsia="Calibri"/>
              <w:b/>
              <w:noProof/>
              <w:sz w:val="17"/>
              <w:lang w:val="en-US"/>
            </w:rPr>
            <w:t>DG</w:t>
          </w:r>
          <w:r w:rsidRPr="004206C1">
            <w:rPr>
              <w:rFonts w:eastAsia="Calibri"/>
              <w:b/>
              <w:noProof/>
              <w:sz w:val="17"/>
              <w:lang w:val="en-US"/>
            </w:rPr>
            <w:t>/</w:t>
          </w:r>
          <w:r>
            <w:rPr>
              <w:rFonts w:eastAsia="Calibri"/>
              <w:b/>
              <w:noProof/>
              <w:sz w:val="17"/>
              <w:lang w:val="en-US"/>
            </w:rPr>
            <w:t>4</w:t>
          </w:r>
          <w:r w:rsidRPr="004206C1">
            <w:rPr>
              <w:rFonts w:eastAsia="Calibri"/>
              <w:b/>
              <w:noProof/>
              <w:sz w:val="17"/>
              <w:lang w:val="en-US"/>
            </w:rPr>
            <w:fldChar w:fldCharType="begin"/>
          </w:r>
          <w:r w:rsidRPr="004206C1">
            <w:rPr>
              <w:rFonts w:eastAsia="Calibri"/>
              <w:b/>
              <w:noProof/>
              <w:sz w:val="17"/>
              <w:lang w:val="en-US"/>
            </w:rPr>
            <w:instrText xml:space="preserve"> DOCVARIABLE "sss1" \* MERGEFORMAT </w:instrText>
          </w:r>
          <w:r w:rsidRPr="004206C1">
            <w:rPr>
              <w:rFonts w:eastAsia="Calibri"/>
              <w:b/>
              <w:noProof/>
              <w:sz w:val="17"/>
              <w:lang w:val="en-US"/>
            </w:rPr>
            <w:fldChar w:fldCharType="end"/>
          </w:r>
        </w:p>
      </w:tc>
    </w:tr>
  </w:tbl>
  <w:p w14:paraId="37359105" w14:textId="2021523D" w:rsidR="00CC7002" w:rsidRPr="004206C1" w:rsidRDefault="00CC7002" w:rsidP="004206C1">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C7002" w:rsidRPr="00C53E56" w14:paraId="687E5D8B" w14:textId="77777777" w:rsidTr="00C53E56">
      <w:trPr>
        <w:trHeight w:hRule="exact" w:val="864"/>
      </w:trPr>
      <w:tc>
        <w:tcPr>
          <w:tcW w:w="1267" w:type="dxa"/>
          <w:tcBorders>
            <w:bottom w:val="single" w:sz="4" w:space="0" w:color="auto"/>
          </w:tcBorders>
          <w:shd w:val="clear" w:color="auto" w:fill="auto"/>
          <w:vAlign w:val="bottom"/>
        </w:tcPr>
        <w:p w14:paraId="096AC711" w14:textId="77777777" w:rsidR="00CC7002" w:rsidRPr="00C53E56" w:rsidRDefault="00CC7002" w:rsidP="00C53E56">
          <w:pPr>
            <w:tabs>
              <w:tab w:val="center" w:pos="4320"/>
              <w:tab w:val="right" w:pos="8640"/>
            </w:tabs>
            <w:spacing w:after="120"/>
            <w:ind w:left="-450"/>
            <w:rPr>
              <w:rFonts w:eastAsia="Calibri"/>
              <w:noProof/>
              <w:sz w:val="17"/>
              <w:lang w:val="en-US"/>
            </w:rPr>
          </w:pPr>
        </w:p>
      </w:tc>
      <w:tc>
        <w:tcPr>
          <w:tcW w:w="1872" w:type="dxa"/>
          <w:tcBorders>
            <w:bottom w:val="single" w:sz="4" w:space="0" w:color="auto"/>
          </w:tcBorders>
          <w:shd w:val="clear" w:color="auto" w:fill="auto"/>
          <w:vAlign w:val="bottom"/>
        </w:tcPr>
        <w:p w14:paraId="6063924B" w14:textId="77777777" w:rsidR="00CC7002" w:rsidRPr="00C53E56" w:rsidRDefault="00CC7002" w:rsidP="00C53E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rFonts w:eastAsia="Calibri"/>
              <w:spacing w:val="2"/>
              <w:w w:val="96"/>
              <w:kern w:val="14"/>
              <w:sz w:val="28"/>
            </w:rPr>
          </w:pPr>
          <w:r w:rsidRPr="00C53E56">
            <w:rPr>
              <w:rFonts w:eastAsia="Calibri"/>
              <w:spacing w:val="2"/>
              <w:w w:val="96"/>
              <w:kern w:val="14"/>
              <w:sz w:val="28"/>
            </w:rPr>
            <w:t>United Nations</w:t>
          </w:r>
        </w:p>
      </w:tc>
      <w:tc>
        <w:tcPr>
          <w:tcW w:w="245" w:type="dxa"/>
          <w:tcBorders>
            <w:bottom w:val="single" w:sz="4" w:space="0" w:color="auto"/>
          </w:tcBorders>
          <w:shd w:val="clear" w:color="auto" w:fill="auto"/>
          <w:vAlign w:val="bottom"/>
        </w:tcPr>
        <w:p w14:paraId="66F02D26" w14:textId="77777777" w:rsidR="00CC7002" w:rsidRPr="00C53E56" w:rsidRDefault="00CC7002" w:rsidP="00C53E56">
          <w:pPr>
            <w:tabs>
              <w:tab w:val="center" w:pos="4320"/>
              <w:tab w:val="right" w:pos="8640"/>
            </w:tabs>
            <w:spacing w:after="120"/>
            <w:rPr>
              <w:rFonts w:eastAsia="Calibri"/>
              <w:noProof/>
              <w:sz w:val="17"/>
              <w:lang w:val="en-US"/>
            </w:rPr>
          </w:pPr>
        </w:p>
      </w:tc>
      <w:tc>
        <w:tcPr>
          <w:tcW w:w="6523" w:type="dxa"/>
          <w:gridSpan w:val="4"/>
          <w:tcBorders>
            <w:bottom w:val="single" w:sz="4" w:space="0" w:color="auto"/>
          </w:tcBorders>
          <w:shd w:val="clear" w:color="auto" w:fill="auto"/>
          <w:vAlign w:val="bottom"/>
        </w:tcPr>
        <w:p w14:paraId="2700E5D8" w14:textId="75F8439B" w:rsidR="00CC7002" w:rsidRPr="00C53E56" w:rsidRDefault="00CC7002" w:rsidP="00C53E56">
          <w:pPr>
            <w:suppressAutoHyphens/>
            <w:spacing w:after="80"/>
            <w:jc w:val="right"/>
            <w:rPr>
              <w:rFonts w:eastAsia="Calibri"/>
              <w:spacing w:val="4"/>
              <w:w w:val="103"/>
              <w:kern w:val="14"/>
              <w:position w:val="-4"/>
            </w:rPr>
          </w:pPr>
          <w:r w:rsidRPr="00C53E56">
            <w:rPr>
              <w:rFonts w:eastAsia="Calibri"/>
              <w:spacing w:val="4"/>
              <w:w w:val="103"/>
              <w:kern w:val="14"/>
              <w:position w:val="-4"/>
              <w:sz w:val="40"/>
            </w:rPr>
            <w:t>DP</w:t>
          </w:r>
          <w:r w:rsidRPr="00C53E56">
            <w:rPr>
              <w:rFonts w:eastAsia="Calibri"/>
              <w:spacing w:val="4"/>
              <w:w w:val="103"/>
              <w:kern w:val="14"/>
              <w:position w:val="-4"/>
            </w:rPr>
            <w:t>/DCP/M</w:t>
          </w:r>
          <w:r>
            <w:rPr>
              <w:rFonts w:eastAsia="Calibri"/>
              <w:spacing w:val="4"/>
              <w:w w:val="103"/>
              <w:kern w:val="14"/>
              <w:position w:val="-4"/>
            </w:rPr>
            <w:t>DG</w:t>
          </w:r>
          <w:r w:rsidRPr="00C53E56">
            <w:rPr>
              <w:rFonts w:eastAsia="Calibri"/>
              <w:spacing w:val="4"/>
              <w:w w:val="103"/>
              <w:kern w:val="14"/>
              <w:position w:val="-4"/>
            </w:rPr>
            <w:t>/</w:t>
          </w:r>
          <w:r>
            <w:rPr>
              <w:rFonts w:eastAsia="Calibri"/>
              <w:spacing w:val="4"/>
              <w:w w:val="103"/>
              <w:kern w:val="14"/>
              <w:position w:val="-4"/>
            </w:rPr>
            <w:t>4</w:t>
          </w:r>
        </w:p>
      </w:tc>
    </w:tr>
    <w:tr w:rsidR="00CC7002" w:rsidRPr="00C53E56" w14:paraId="608391D0" w14:textId="77777777" w:rsidTr="00C53E56">
      <w:trPr>
        <w:gridAfter w:val="1"/>
        <w:wAfter w:w="28" w:type="dxa"/>
        <w:trHeight w:hRule="exact" w:val="2880"/>
      </w:trPr>
      <w:tc>
        <w:tcPr>
          <w:tcW w:w="1267" w:type="dxa"/>
          <w:tcBorders>
            <w:top w:val="single" w:sz="4" w:space="0" w:color="auto"/>
            <w:bottom w:val="single" w:sz="12" w:space="0" w:color="auto"/>
          </w:tcBorders>
          <w:shd w:val="clear" w:color="auto" w:fill="auto"/>
        </w:tcPr>
        <w:p w14:paraId="52D781AD" w14:textId="77777777" w:rsidR="00CC7002" w:rsidRPr="00C53E56" w:rsidRDefault="00CC7002" w:rsidP="00C53E56">
          <w:pPr>
            <w:tabs>
              <w:tab w:val="center" w:pos="4320"/>
              <w:tab w:val="right" w:pos="8640"/>
            </w:tabs>
            <w:spacing w:before="120"/>
            <w:jc w:val="center"/>
            <w:rPr>
              <w:rFonts w:eastAsia="Calibri"/>
              <w:noProof/>
              <w:sz w:val="17"/>
              <w:lang w:val="en-US"/>
            </w:rPr>
          </w:pPr>
          <w:r w:rsidRPr="00C53E56">
            <w:rPr>
              <w:rFonts w:eastAsia="Calibri"/>
              <w:noProof/>
              <w:sz w:val="17"/>
              <w:lang w:val="en-US"/>
            </w:rPr>
            <w:t xml:space="preserve"> </w:t>
          </w:r>
          <w:r w:rsidRPr="00C53E56">
            <w:rPr>
              <w:rFonts w:eastAsia="Calibri"/>
              <w:noProof/>
              <w:sz w:val="17"/>
              <w:lang w:val="en-US"/>
            </w:rPr>
            <w:drawing>
              <wp:inline distT="0" distB="0" distL="0" distR="0" wp14:anchorId="327DBACB" wp14:editId="1C73DC9C">
                <wp:extent cx="713232" cy="59710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30969E11" w14:textId="77777777" w:rsidR="00CC7002" w:rsidRPr="00C53E56" w:rsidRDefault="00CC7002" w:rsidP="00C53E5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line="330" w:lineRule="exact"/>
            <w:outlineLvl w:val="0"/>
            <w:rPr>
              <w:rFonts w:eastAsia="Calibri"/>
              <w:b/>
              <w:spacing w:val="-4"/>
              <w:w w:val="98"/>
              <w:kern w:val="14"/>
              <w:sz w:val="34"/>
            </w:rPr>
          </w:pPr>
          <w:r w:rsidRPr="00C53E56">
            <w:rPr>
              <w:rFonts w:eastAsia="Calibri"/>
              <w:b/>
              <w:spacing w:val="-4"/>
              <w:w w:val="98"/>
              <w:kern w:val="14"/>
              <w:sz w:val="34"/>
            </w:rPr>
            <w:t>Executive Board of the</w:t>
          </w:r>
          <w:r w:rsidRPr="00C53E56">
            <w:rPr>
              <w:rFonts w:eastAsia="Calibri"/>
              <w:b/>
              <w:spacing w:val="-4"/>
              <w:w w:val="98"/>
              <w:kern w:val="14"/>
              <w:sz w:val="34"/>
            </w:rPr>
            <w:br/>
            <w:t>United Nations Development</w:t>
          </w:r>
          <w:r w:rsidRPr="00C53E56">
            <w:rPr>
              <w:rFonts w:eastAsia="Calibri"/>
              <w:b/>
              <w:spacing w:val="-4"/>
              <w:w w:val="98"/>
              <w:kern w:val="14"/>
              <w:sz w:val="34"/>
            </w:rPr>
            <w:br/>
            <w:t>Programme, the United Nations</w:t>
          </w:r>
          <w:r w:rsidRPr="00C53E56">
            <w:rPr>
              <w:rFonts w:eastAsia="Calibri"/>
              <w:b/>
              <w:spacing w:val="-4"/>
              <w:w w:val="98"/>
              <w:kern w:val="14"/>
              <w:sz w:val="34"/>
            </w:rPr>
            <w:br/>
            <w:t xml:space="preserve">Population Fund and the </w:t>
          </w:r>
          <w:r w:rsidRPr="00C53E56">
            <w:rPr>
              <w:rFonts w:eastAsia="Calibri"/>
              <w:b/>
              <w:spacing w:val="-4"/>
              <w:w w:val="98"/>
              <w:kern w:val="14"/>
              <w:sz w:val="34"/>
            </w:rPr>
            <w:br/>
            <w:t>United Nations Office for</w:t>
          </w:r>
          <w:r w:rsidRPr="00C53E56">
            <w:rPr>
              <w:rFonts w:eastAsia="Calibri"/>
              <w:b/>
              <w:spacing w:val="-4"/>
              <w:w w:val="98"/>
              <w:kern w:val="14"/>
              <w:sz w:val="34"/>
            </w:rPr>
            <w:br/>
            <w:t>Project Services</w:t>
          </w:r>
        </w:p>
      </w:tc>
      <w:tc>
        <w:tcPr>
          <w:tcW w:w="245" w:type="dxa"/>
          <w:tcBorders>
            <w:top w:val="single" w:sz="4" w:space="0" w:color="auto"/>
            <w:bottom w:val="single" w:sz="12" w:space="0" w:color="auto"/>
          </w:tcBorders>
          <w:shd w:val="clear" w:color="auto" w:fill="auto"/>
        </w:tcPr>
        <w:p w14:paraId="1D3AD250" w14:textId="77777777" w:rsidR="00CC7002" w:rsidRPr="00C53E56" w:rsidRDefault="00CC7002" w:rsidP="00C53E56">
          <w:pPr>
            <w:tabs>
              <w:tab w:val="center" w:pos="4320"/>
              <w:tab w:val="right" w:pos="8640"/>
            </w:tabs>
            <w:spacing w:before="109"/>
            <w:rPr>
              <w:rFonts w:eastAsia="Calibri"/>
              <w:noProof/>
              <w:sz w:val="17"/>
              <w:lang w:val="en-US"/>
            </w:rPr>
          </w:pPr>
        </w:p>
      </w:tc>
      <w:tc>
        <w:tcPr>
          <w:tcW w:w="3140" w:type="dxa"/>
          <w:tcBorders>
            <w:top w:val="single" w:sz="4" w:space="0" w:color="auto"/>
            <w:bottom w:val="single" w:sz="12" w:space="0" w:color="auto"/>
          </w:tcBorders>
          <w:shd w:val="clear" w:color="auto" w:fill="auto"/>
        </w:tcPr>
        <w:p w14:paraId="74A2FC42" w14:textId="77777777" w:rsidR="00CC7002" w:rsidRPr="00C53E56" w:rsidRDefault="00CC7002" w:rsidP="00C53E56">
          <w:pPr>
            <w:spacing w:before="240"/>
            <w:rPr>
              <w:rFonts w:eastAsia="Calibri"/>
              <w:color w:val="010000"/>
              <w:spacing w:val="4"/>
              <w:w w:val="103"/>
              <w:kern w:val="14"/>
            </w:rPr>
          </w:pPr>
          <w:r w:rsidRPr="00C53E56">
            <w:rPr>
              <w:rFonts w:eastAsia="Calibri"/>
              <w:color w:val="010000"/>
              <w:spacing w:val="4"/>
              <w:w w:val="103"/>
              <w:kern w:val="14"/>
            </w:rPr>
            <w:t>Distr.: General</w:t>
          </w:r>
        </w:p>
        <w:p w14:paraId="2BB46ED5" w14:textId="6990D238" w:rsidR="00CC7002" w:rsidRPr="00C53E56" w:rsidRDefault="00C82F54" w:rsidP="00C53E56">
          <w:pPr>
            <w:rPr>
              <w:rFonts w:eastAsia="Calibri"/>
              <w:color w:val="010000"/>
              <w:spacing w:val="4"/>
              <w:w w:val="103"/>
              <w:kern w:val="14"/>
            </w:rPr>
          </w:pPr>
          <w:r>
            <w:rPr>
              <w:rFonts w:eastAsia="Calibri"/>
              <w:color w:val="010000"/>
              <w:spacing w:val="4"/>
              <w:w w:val="103"/>
              <w:kern w:val="14"/>
            </w:rPr>
            <w:t xml:space="preserve">2 </w:t>
          </w:r>
          <w:r w:rsidR="00CC7002" w:rsidRPr="00C53E56">
            <w:rPr>
              <w:rFonts w:eastAsia="Calibri"/>
              <w:color w:val="010000"/>
              <w:spacing w:val="4"/>
              <w:w w:val="103"/>
              <w:kern w:val="14"/>
            </w:rPr>
            <w:t>Ju</w:t>
          </w:r>
          <w:r>
            <w:rPr>
              <w:rFonts w:eastAsia="Calibri"/>
              <w:color w:val="010000"/>
              <w:spacing w:val="4"/>
              <w:w w:val="103"/>
              <w:kern w:val="14"/>
            </w:rPr>
            <w:t>ly</w:t>
          </w:r>
          <w:r w:rsidR="00CC7002" w:rsidRPr="00C53E56">
            <w:rPr>
              <w:rFonts w:eastAsia="Calibri"/>
              <w:color w:val="010000"/>
              <w:spacing w:val="4"/>
              <w:w w:val="103"/>
              <w:kern w:val="14"/>
            </w:rPr>
            <w:t xml:space="preserve"> 2021</w:t>
          </w:r>
        </w:p>
        <w:p w14:paraId="440CA8C9" w14:textId="77777777" w:rsidR="00CC7002" w:rsidRPr="00C53E56" w:rsidRDefault="00CC7002" w:rsidP="00C53E56">
          <w:pPr>
            <w:suppressAutoHyphens/>
            <w:spacing w:line="240" w:lineRule="exact"/>
            <w:rPr>
              <w:rFonts w:eastAsia="Calibri"/>
              <w:spacing w:val="4"/>
              <w:w w:val="103"/>
              <w:kern w:val="14"/>
            </w:rPr>
          </w:pPr>
        </w:p>
        <w:p w14:paraId="34B404D5" w14:textId="77777777" w:rsidR="00CC7002" w:rsidRPr="00C53E56" w:rsidRDefault="00CC7002" w:rsidP="00C53E56">
          <w:pPr>
            <w:rPr>
              <w:rFonts w:eastAsia="Calibri"/>
              <w:color w:val="010000"/>
              <w:spacing w:val="4"/>
              <w:w w:val="103"/>
              <w:kern w:val="14"/>
            </w:rPr>
          </w:pPr>
          <w:r w:rsidRPr="00C53E56">
            <w:rPr>
              <w:rFonts w:eastAsia="Calibri"/>
              <w:color w:val="010000"/>
              <w:spacing w:val="4"/>
              <w:w w:val="103"/>
              <w:kern w:val="14"/>
            </w:rPr>
            <w:t>Original: English</w:t>
          </w:r>
        </w:p>
        <w:p w14:paraId="792A22BC" w14:textId="77777777" w:rsidR="00CC7002" w:rsidRPr="00C53E56" w:rsidRDefault="00CC7002" w:rsidP="00C53E56">
          <w:pPr>
            <w:suppressAutoHyphens/>
            <w:spacing w:line="240" w:lineRule="exact"/>
            <w:rPr>
              <w:rFonts w:eastAsia="Calibri"/>
              <w:spacing w:val="4"/>
              <w:w w:val="103"/>
              <w:kern w:val="14"/>
            </w:rPr>
          </w:pPr>
        </w:p>
      </w:tc>
    </w:tr>
  </w:tbl>
  <w:p w14:paraId="1FC645F6" w14:textId="77777777" w:rsidR="00CC7002" w:rsidRPr="00C53E56" w:rsidRDefault="00CC7002">
    <w:pPr>
      <w:pStyle w:val="Header"/>
      <w:rPr>
        <w:sz w:val="6"/>
        <w:szCs w:val="6"/>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590" w:type="dxa"/>
      <w:tblInd w:w="-360" w:type="dxa"/>
      <w:tblBorders>
        <w:bottom w:val="single" w:sz="2" w:space="0" w:color="000000"/>
      </w:tblBorders>
      <w:tblLayout w:type="fixed"/>
      <w:tblCellMar>
        <w:left w:w="0" w:type="dxa"/>
        <w:right w:w="0" w:type="dxa"/>
      </w:tblCellMar>
      <w:tblLook w:val="0000" w:firstRow="0" w:lastRow="0" w:firstColumn="0" w:lastColumn="0" w:noHBand="0" w:noVBand="0"/>
    </w:tblPr>
    <w:tblGrid>
      <w:gridCol w:w="5198"/>
      <w:gridCol w:w="8392"/>
    </w:tblGrid>
    <w:tr w:rsidR="00CC7002" w:rsidRPr="004206C1" w14:paraId="52F8385A" w14:textId="77777777" w:rsidTr="009B044B">
      <w:trPr>
        <w:trHeight w:hRule="exact" w:val="864"/>
      </w:trPr>
      <w:tc>
        <w:tcPr>
          <w:tcW w:w="5198" w:type="dxa"/>
          <w:shd w:val="clear" w:color="auto" w:fill="auto"/>
          <w:vAlign w:val="bottom"/>
        </w:tcPr>
        <w:p w14:paraId="7AF18597" w14:textId="77777777" w:rsidR="00CC7002" w:rsidRPr="004206C1" w:rsidRDefault="00CC7002" w:rsidP="004206C1">
          <w:pPr>
            <w:tabs>
              <w:tab w:val="center" w:pos="4320"/>
              <w:tab w:val="right" w:pos="8640"/>
            </w:tabs>
            <w:spacing w:after="80"/>
            <w:rPr>
              <w:rFonts w:eastAsia="Calibri"/>
              <w:b/>
              <w:noProof/>
              <w:sz w:val="17"/>
              <w:lang w:val="en-US"/>
            </w:rPr>
          </w:pPr>
          <w:r w:rsidRPr="004206C1">
            <w:rPr>
              <w:rFonts w:eastAsia="Calibri"/>
              <w:b/>
              <w:noProof/>
              <w:sz w:val="17"/>
              <w:lang w:val="en-US"/>
            </w:rPr>
            <w:t>DP/DCP/</w:t>
          </w:r>
          <w:r>
            <w:rPr>
              <w:rFonts w:eastAsia="Calibri"/>
              <w:b/>
              <w:noProof/>
              <w:sz w:val="17"/>
              <w:lang w:val="en-US"/>
            </w:rPr>
            <w:t>MDG</w:t>
          </w:r>
          <w:r w:rsidRPr="004206C1">
            <w:rPr>
              <w:rFonts w:eastAsia="Calibri"/>
              <w:b/>
              <w:noProof/>
              <w:sz w:val="17"/>
              <w:lang w:val="en-US"/>
            </w:rPr>
            <w:t>/</w:t>
          </w:r>
          <w:r>
            <w:rPr>
              <w:rFonts w:eastAsia="Calibri"/>
              <w:b/>
              <w:noProof/>
              <w:sz w:val="17"/>
              <w:lang w:val="en-US"/>
            </w:rPr>
            <w:t>4</w:t>
          </w:r>
        </w:p>
      </w:tc>
      <w:tc>
        <w:tcPr>
          <w:tcW w:w="8392" w:type="dxa"/>
          <w:shd w:val="clear" w:color="auto" w:fill="auto"/>
          <w:vAlign w:val="bottom"/>
        </w:tcPr>
        <w:p w14:paraId="1E9EF3B5" w14:textId="77777777" w:rsidR="00CC7002" w:rsidRPr="004206C1" w:rsidRDefault="00CC7002" w:rsidP="004206C1">
          <w:pPr>
            <w:tabs>
              <w:tab w:val="center" w:pos="4320"/>
              <w:tab w:val="right" w:pos="8640"/>
            </w:tabs>
            <w:rPr>
              <w:rFonts w:eastAsia="Calibri"/>
              <w:noProof/>
              <w:sz w:val="17"/>
              <w:lang w:val="en-US"/>
            </w:rPr>
          </w:pPr>
        </w:p>
      </w:tc>
    </w:tr>
  </w:tbl>
  <w:p w14:paraId="1796A71F" w14:textId="77777777" w:rsidR="00CC7002" w:rsidRPr="004206C1" w:rsidRDefault="00CC7002">
    <w:pPr>
      <w:pStyle w:val="Header"/>
      <w:rPr>
        <w:sz w:val="6"/>
        <w:szCs w:val="6"/>
      </w:rPr>
    </w:pPr>
    <w:r>
      <w:rPr>
        <w:noProof/>
        <w:lang w:val="en-US" w:eastAsia="en-US"/>
      </w:rPr>
      <mc:AlternateContent>
        <mc:Choice Requires="wps">
          <w:drawing>
            <wp:anchor distT="0" distB="0" distL="114300" distR="114300" simplePos="0" relativeHeight="251679232" behindDoc="1" locked="0" layoutInCell="0" allowOverlap="1" wp14:anchorId="0995FC40" wp14:editId="59FAC843">
              <wp:simplePos x="0" y="0"/>
              <wp:positionH relativeFrom="margin">
                <wp:align>center</wp:align>
              </wp:positionH>
              <wp:positionV relativeFrom="margin">
                <wp:align>center</wp:align>
              </wp:positionV>
              <wp:extent cx="8187055" cy="106045"/>
              <wp:effectExtent l="0" t="2590800" r="0" b="27044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580C12E"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95FC40" id="_x0000_t202" coordsize="21600,21600" o:spt="202" path="m,l,21600r21600,l21600,xe">
              <v:stroke joinstyle="miter"/>
              <v:path gradientshapeok="t" o:connecttype="rect"/>
            </v:shapetype>
            <v:shape id="Text Box 6" o:spid="_x0000_s1029" type="#_x0000_t202" style="position:absolute;margin-left:0;margin-top:0;width:644.65pt;height:8.35pt;rotation:-45;z-index:-251637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AqZ3QoGAgAA8AMAAA4AAAAA&#10;AAAAAAAAAAAALgIAAGRycy9lMm9Eb2MueG1sUEsBAi0AFAAGAAgAAAAhAPs1FYrbAAAABQEAAA8A&#10;AAAAAAAAAAAAAAAAYAQAAGRycy9kb3ducmV2LnhtbFBLBQYAAAAABAAEAPMAAABoBQAAAAA=&#10;" o:allowincell="f" filled="f" stroked="f">
              <o:lock v:ext="edit" shapetype="t"/>
              <v:textbox style="mso-fit-shape-to-text:t">
                <w:txbxContent>
                  <w:p w14:paraId="7580C12E"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77184" behindDoc="1" locked="0" layoutInCell="0" allowOverlap="1" wp14:anchorId="04E1A835" wp14:editId="5FFEA203">
              <wp:simplePos x="0" y="0"/>
              <wp:positionH relativeFrom="margin">
                <wp:align>center</wp:align>
              </wp:positionH>
              <wp:positionV relativeFrom="margin">
                <wp:align>center</wp:align>
              </wp:positionV>
              <wp:extent cx="8187055" cy="106045"/>
              <wp:effectExtent l="0" t="2590800" r="0" b="27044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677FFDB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E1A835" id="Text Box 7" o:spid="_x0000_s1030" type="#_x0000_t202" style="position:absolute;margin-left:0;margin-top:0;width:644.65pt;height:8.35pt;rotation:-45;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DXY2gcBwIAAPADAAAOAAAA&#10;AAAAAAAAAAAAAC4CAABkcnMvZTJvRG9jLnhtbFBLAQItABQABgAIAAAAIQD7NRWK2wAAAAUBAAAP&#10;AAAAAAAAAAAAAAAAAGEEAABkcnMvZG93bnJldi54bWxQSwUGAAAAAAQABADzAAAAaQUAAAAA&#10;" o:allowincell="f" filled="f" stroked="f">
              <o:lock v:ext="edit" shapetype="t"/>
              <v:textbox style="mso-fit-shape-to-text:t">
                <w:txbxContent>
                  <w:p w14:paraId="677FFDB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75136" behindDoc="1" locked="0" layoutInCell="0" allowOverlap="1" wp14:anchorId="469A4619" wp14:editId="27801456">
              <wp:simplePos x="0" y="0"/>
              <wp:positionH relativeFrom="margin">
                <wp:align>center</wp:align>
              </wp:positionH>
              <wp:positionV relativeFrom="margin">
                <wp:align>center</wp:align>
              </wp:positionV>
              <wp:extent cx="8187055" cy="106045"/>
              <wp:effectExtent l="0" t="2590800" r="0" b="27044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43546FF"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9A4619" id="Text Box 9" o:spid="_x0000_s1031" type="#_x0000_t202" style="position:absolute;margin-left:0;margin-top:0;width:644.65pt;height:8.35pt;rotation:-45;z-index:-2516413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" o:allowincell="f" filled="f" stroked="f">
              <o:lock v:ext="edit" shapetype="t"/>
              <v:textbox style="mso-fit-shape-to-text:t">
                <w:txbxContent>
                  <w:p w14:paraId="343546FF"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485" w:type="dxa"/>
      <w:tblInd w:w="-25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647"/>
    </w:tblGrid>
    <w:tr w:rsidR="00CC7002" w:rsidRPr="00F87B47" w14:paraId="130FAFEE" w14:textId="77777777" w:rsidTr="002D535B">
      <w:trPr>
        <w:trHeight w:hRule="exact" w:val="864"/>
      </w:trPr>
      <w:tc>
        <w:tcPr>
          <w:tcW w:w="4838" w:type="dxa"/>
          <w:tcBorders>
            <w:bottom w:val="single" w:sz="4" w:space="0" w:color="auto"/>
          </w:tcBorders>
          <w:vAlign w:val="bottom"/>
        </w:tcPr>
        <w:p w14:paraId="2194CD89" w14:textId="77777777" w:rsidR="00CC7002" w:rsidRPr="00F87B47" w:rsidRDefault="00CC7002" w:rsidP="00250662">
          <w:pPr>
            <w:widowControl w:val="0"/>
            <w:tabs>
              <w:tab w:val="center" w:pos="4320"/>
              <w:tab w:val="right" w:pos="8640"/>
            </w:tabs>
            <w:spacing w:after="80"/>
            <w:rPr>
              <w:b/>
              <w:sz w:val="17"/>
              <w:szCs w:val="17"/>
            </w:rPr>
          </w:pPr>
        </w:p>
      </w:tc>
      <w:tc>
        <w:tcPr>
          <w:tcW w:w="8647" w:type="dxa"/>
          <w:tcBorders>
            <w:bottom w:val="single" w:sz="4" w:space="0" w:color="auto"/>
          </w:tcBorders>
          <w:vAlign w:val="bottom"/>
        </w:tcPr>
        <w:p w14:paraId="649DC15B" w14:textId="3ACB8E31" w:rsidR="00CC7002" w:rsidRPr="00F87B47" w:rsidRDefault="00CC7002" w:rsidP="00250662">
          <w:pPr>
            <w:widowControl w:val="0"/>
            <w:tabs>
              <w:tab w:val="center" w:pos="4320"/>
              <w:tab w:val="right" w:pos="8640"/>
            </w:tabs>
            <w:spacing w:after="60"/>
            <w:jc w:val="right"/>
            <w:rPr>
              <w:sz w:val="17"/>
              <w:szCs w:val="17"/>
            </w:rPr>
          </w:pPr>
          <w:r w:rsidRPr="00F87B47">
            <w:rPr>
              <w:b/>
              <w:sz w:val="17"/>
              <w:szCs w:val="17"/>
            </w:rPr>
            <w:t>DP/DCP/</w:t>
          </w:r>
          <w:r>
            <w:rPr>
              <w:b/>
              <w:sz w:val="17"/>
              <w:szCs w:val="17"/>
            </w:rPr>
            <w:t>MDG</w:t>
          </w:r>
          <w:r w:rsidRPr="00F87B47">
            <w:rPr>
              <w:b/>
              <w:sz w:val="17"/>
              <w:szCs w:val="17"/>
            </w:rPr>
            <w:t>/</w:t>
          </w:r>
          <w:r>
            <w:rPr>
              <w:b/>
              <w:sz w:val="17"/>
              <w:szCs w:val="17"/>
            </w:rPr>
            <w:t>4</w:t>
          </w:r>
        </w:p>
      </w:tc>
    </w:tr>
  </w:tbl>
  <w:p w14:paraId="5BDCF834" w14:textId="77777777" w:rsidR="00CC7002" w:rsidRDefault="00CC7002">
    <w:pPr>
      <w:pStyle w:val="Header"/>
    </w:pPr>
    <w:r>
      <w:rPr>
        <w:noProof/>
        <w:lang w:val="en-US" w:eastAsia="en-US"/>
      </w:rPr>
      <mc:AlternateContent>
        <mc:Choice Requires="wps">
          <w:drawing>
            <wp:anchor distT="0" distB="0" distL="114300" distR="114300" simplePos="0" relativeHeight="251663872" behindDoc="1" locked="0" layoutInCell="0" allowOverlap="1" wp14:anchorId="4CA6F3FA" wp14:editId="3BEAA6DF">
              <wp:simplePos x="0" y="0"/>
              <wp:positionH relativeFrom="margin">
                <wp:align>center</wp:align>
              </wp:positionH>
              <wp:positionV relativeFrom="margin">
                <wp:align>center</wp:align>
              </wp:positionV>
              <wp:extent cx="8187055" cy="106045"/>
              <wp:effectExtent l="0" t="2590800" r="0" b="27044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E7766CA"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6F3FA" id="_x0000_t202" coordsize="21600,21600" o:spt="202" path="m,l,21600r21600,l21600,xe">
              <v:stroke joinstyle="miter"/>
              <v:path gradientshapeok="t" o:connecttype="rect"/>
            </v:shapetype>
            <v:shape id="Text Box 18" o:spid="_x0000_s1032" type="#_x0000_t202" style="position:absolute;margin-left:0;margin-top:0;width:644.65pt;height:8.3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DlbFWJ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4E7766CA"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1584" behindDoc="1" locked="0" layoutInCell="0" allowOverlap="1" wp14:anchorId="341085D0" wp14:editId="78EA5D5E">
              <wp:simplePos x="0" y="0"/>
              <wp:positionH relativeFrom="margin">
                <wp:align>center</wp:align>
              </wp:positionH>
              <wp:positionV relativeFrom="margin">
                <wp:align>center</wp:align>
              </wp:positionV>
              <wp:extent cx="8187055" cy="106045"/>
              <wp:effectExtent l="0" t="2590800" r="0" b="27044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EC53A1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1085D0" id="Text Box 13" o:spid="_x0000_s1033" type="#_x0000_t202" style="position:absolute;margin-left:0;margin-top:0;width:644.65pt;height:8.3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Bb32I+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3EC53A17"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47488" behindDoc="1" locked="0" layoutInCell="0" allowOverlap="1" wp14:anchorId="520CD310" wp14:editId="5109E6A7">
              <wp:simplePos x="0" y="0"/>
              <wp:positionH relativeFrom="margin">
                <wp:align>center</wp:align>
              </wp:positionH>
              <wp:positionV relativeFrom="margin">
                <wp:align>center</wp:align>
              </wp:positionV>
              <wp:extent cx="8187055" cy="106045"/>
              <wp:effectExtent l="0" t="2590800" r="0" b="270446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7CEC080"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CD310" id="Text Box 25" o:spid="_x0000_s1034" type="#_x0000_t202" style="position:absolute;margin-left:0;margin-top:0;width:644.65pt;height:8.35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DOM3D6BwIAAPIDAAAOAAAA&#10;AAAAAAAAAAAAAC4CAABkcnMvZTJvRG9jLnhtbFBLAQItABQABgAIAAAAIQD7NRWK2wAAAAUBAAAP&#10;AAAAAAAAAAAAAAAAAGEEAABkcnMvZG93bnJldi54bWxQSwUGAAAAAAQABADzAAAAaQUAAAAA&#10;" o:allowincell="f" filled="f" stroked="f">
              <o:lock v:ext="edit" shapetype="t"/>
              <v:textbox style="mso-fit-shape-to-text:t">
                <w:txbxContent>
                  <w:p w14:paraId="07CEC080"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80" w:type="dxa"/>
      <w:tblInd w:w="-450" w:type="dxa"/>
      <w:tblBorders>
        <w:bottom w:val="single" w:sz="4" w:space="0" w:color="auto"/>
      </w:tblBorders>
      <w:tblLayout w:type="fixed"/>
      <w:tblCellMar>
        <w:left w:w="0" w:type="dxa"/>
        <w:right w:w="0" w:type="dxa"/>
      </w:tblCellMar>
      <w:tblLook w:val="0000" w:firstRow="0" w:lastRow="0" w:firstColumn="0" w:lastColumn="0" w:noHBand="0" w:noVBand="0"/>
    </w:tblPr>
    <w:tblGrid>
      <w:gridCol w:w="5033"/>
      <w:gridCol w:w="8647"/>
    </w:tblGrid>
    <w:tr w:rsidR="00CC7002" w:rsidRPr="00F87B47" w14:paraId="37B65EAB" w14:textId="77777777" w:rsidTr="002D535B">
      <w:trPr>
        <w:trHeight w:hRule="exact" w:val="864"/>
      </w:trPr>
      <w:tc>
        <w:tcPr>
          <w:tcW w:w="5033" w:type="dxa"/>
          <w:tcBorders>
            <w:bottom w:val="single" w:sz="4" w:space="0" w:color="auto"/>
          </w:tcBorders>
          <w:vAlign w:val="bottom"/>
        </w:tcPr>
        <w:p w14:paraId="1D972D6E" w14:textId="4BA27008" w:rsidR="00CC7002" w:rsidRPr="00F87B47" w:rsidRDefault="00CC7002" w:rsidP="00250662">
          <w:pPr>
            <w:widowControl w:val="0"/>
            <w:tabs>
              <w:tab w:val="center" w:pos="4320"/>
              <w:tab w:val="right" w:pos="8640"/>
            </w:tabs>
            <w:spacing w:after="80"/>
            <w:rPr>
              <w:b/>
              <w:sz w:val="17"/>
              <w:szCs w:val="17"/>
            </w:rPr>
          </w:pPr>
        </w:p>
      </w:tc>
      <w:tc>
        <w:tcPr>
          <w:tcW w:w="8647" w:type="dxa"/>
          <w:tcBorders>
            <w:bottom w:val="single" w:sz="4" w:space="0" w:color="auto"/>
          </w:tcBorders>
          <w:vAlign w:val="bottom"/>
        </w:tcPr>
        <w:p w14:paraId="4BB69D1E" w14:textId="31B0D16D" w:rsidR="00CC7002" w:rsidRPr="00F87B47" w:rsidRDefault="00CC7002" w:rsidP="00250662">
          <w:pPr>
            <w:widowControl w:val="0"/>
            <w:tabs>
              <w:tab w:val="center" w:pos="4320"/>
              <w:tab w:val="right" w:pos="8640"/>
            </w:tabs>
            <w:spacing w:after="60"/>
            <w:jc w:val="right"/>
            <w:rPr>
              <w:sz w:val="17"/>
              <w:szCs w:val="17"/>
            </w:rPr>
          </w:pPr>
          <w:r w:rsidRPr="00F87B47">
            <w:rPr>
              <w:b/>
              <w:sz w:val="17"/>
              <w:szCs w:val="17"/>
            </w:rPr>
            <w:t>DP/DCP/</w:t>
          </w:r>
          <w:r>
            <w:rPr>
              <w:b/>
              <w:sz w:val="17"/>
              <w:szCs w:val="17"/>
            </w:rPr>
            <w:t>MDG</w:t>
          </w:r>
          <w:r w:rsidRPr="00F87B47">
            <w:rPr>
              <w:b/>
              <w:sz w:val="17"/>
              <w:szCs w:val="17"/>
            </w:rPr>
            <w:t>/</w:t>
          </w:r>
          <w:r>
            <w:rPr>
              <w:b/>
              <w:sz w:val="17"/>
              <w:szCs w:val="17"/>
            </w:rPr>
            <w:t>4</w:t>
          </w:r>
        </w:p>
      </w:tc>
    </w:tr>
  </w:tbl>
  <w:p w14:paraId="6A5A86A2" w14:textId="77777777" w:rsidR="00CC7002" w:rsidRDefault="00CC7002">
    <w:pPr>
      <w:pStyle w:val="Header"/>
    </w:pPr>
    <w:r>
      <w:rPr>
        <w:noProof/>
        <w:lang w:val="en-US" w:eastAsia="en-US"/>
      </w:rPr>
      <mc:AlternateContent>
        <mc:Choice Requires="wps">
          <w:drawing>
            <wp:anchor distT="0" distB="0" distL="114300" distR="114300" simplePos="0" relativeHeight="251668992" behindDoc="1" locked="0" layoutInCell="0" allowOverlap="1" wp14:anchorId="03E26658" wp14:editId="1F7CF0FF">
              <wp:simplePos x="0" y="0"/>
              <wp:positionH relativeFrom="margin">
                <wp:align>center</wp:align>
              </wp:positionH>
              <wp:positionV relativeFrom="margin">
                <wp:align>center</wp:align>
              </wp:positionV>
              <wp:extent cx="8187055" cy="106045"/>
              <wp:effectExtent l="0" t="2590800" r="0" b="27044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7C5D409"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E26658" id="_x0000_t202" coordsize="21600,21600" o:spt="202" path="m,l,21600r21600,l21600,xe">
              <v:stroke joinstyle="miter"/>
              <v:path gradientshapeok="t" o:connecttype="rect"/>
            </v:shapetype>
            <v:shape id="Text Box 19" o:spid="_x0000_s1035" type="#_x0000_t202" style="position:absolute;margin-left:0;margin-top:0;width:644.65pt;height:8.3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AEm0oIGAgAA8gMAAA4AAAAA&#10;AAAAAAAAAAAALgIAAGRycy9lMm9Eb2MueG1sUEsBAi0AFAAGAAgAAAAhAPs1FYrbAAAABQEAAA8A&#10;AAAAAAAAAAAAAAAAYAQAAGRycy9kb3ducmV2LnhtbFBLBQYAAAAABAAEAPMAAABoBQAAAAA=&#10;" o:allowincell="f" filled="f" stroked="f">
              <o:lock v:ext="edit" shapetype="t"/>
              <v:textbox style="mso-fit-shape-to-text:t">
                <w:txbxContent>
                  <w:p w14:paraId="37C5D409"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6704" behindDoc="1" locked="0" layoutInCell="0" allowOverlap="1" wp14:anchorId="173634DD" wp14:editId="1596CE0A">
              <wp:simplePos x="0" y="0"/>
              <wp:positionH relativeFrom="margin">
                <wp:align>center</wp:align>
              </wp:positionH>
              <wp:positionV relativeFrom="margin">
                <wp:align>center</wp:align>
              </wp:positionV>
              <wp:extent cx="8187055" cy="106045"/>
              <wp:effectExtent l="0" t="2590800" r="0" b="27044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0BAF00DC"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3634DD" id="Text Box 14" o:spid="_x0000_s1036" type="#_x0000_t202" style="position:absolute;margin-left:0;margin-top:0;width:644.65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" o:allowincell="f" filled="f" stroked="f">
              <o:lock v:ext="edit" shapetype="t"/>
              <v:textbox style="mso-fit-shape-to-text:t">
                <w:txbxContent>
                  <w:p w14:paraId="0BAF00DC"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39296" behindDoc="1" locked="0" layoutInCell="0" allowOverlap="1" wp14:anchorId="556B219C" wp14:editId="09F53E8F">
              <wp:simplePos x="0" y="0"/>
              <wp:positionH relativeFrom="margin">
                <wp:align>center</wp:align>
              </wp:positionH>
              <wp:positionV relativeFrom="margin">
                <wp:align>center</wp:align>
              </wp:positionV>
              <wp:extent cx="8187055" cy="106045"/>
              <wp:effectExtent l="0" t="2590800" r="0" b="27044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187055" cy="10604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2DDC9D2"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6B219C" id="Text Box 23" o:spid="_x0000_s1037" type="#_x0000_t202" style="position:absolute;margin-left:0;margin-top:0;width:644.65pt;height:8.35pt;rotation:-45;z-index:-251677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" o:allowincell="f" filled="f" stroked="f">
              <o:lock v:ext="edit" shapetype="t"/>
              <v:textbox style="mso-fit-shape-to-text:t">
                <w:txbxContent>
                  <w:p w14:paraId="22DDC9D2" w14:textId="77777777" w:rsidR="00CC7002" w:rsidRDefault="00CC7002" w:rsidP="00250662">
                    <w:pPr>
                      <w:jc w:val="center"/>
                      <w:rPr>
                        <w:sz w:val="24"/>
                        <w:szCs w:val="24"/>
                      </w:rPr>
                    </w:pPr>
                    <w:r>
                      <w:rPr>
                        <w:color w:val="C0C0C0"/>
                        <w:sz w:val="2"/>
                        <w:szCs w:val="2"/>
                        <w14:textFill>
                          <w14:solidFill>
                            <w14:srgbClr w14:val="C0C0C0">
                              <w14:alpha w14:val="50000"/>
                            </w14:srgbClr>
                          </w14:solidFill>
                        </w14:textFill>
                      </w:rPr>
                      <w:t>Draft: Not for circulation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902D5"/>
    <w:multiLevelType w:val="hybridMultilevel"/>
    <w:tmpl w:val="18F82064"/>
    <w:lvl w:ilvl="0" w:tplc="8FEE463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420DAA"/>
    <w:multiLevelType w:val="hybridMultilevel"/>
    <w:tmpl w:val="A4D03A16"/>
    <w:lvl w:ilvl="0" w:tplc="C9F435EE">
      <w:start w:val="1"/>
      <w:numFmt w:val="lowerLetter"/>
      <w:lvlText w:val="%1)"/>
      <w:lvlJc w:val="left"/>
      <w:pPr>
        <w:ind w:left="515" w:hanging="257"/>
      </w:pPr>
      <w:rPr>
        <w:rFonts w:ascii="Times New Roman" w:eastAsia="Times New Roman" w:hAnsi="Times New Roman" w:cs="Times New Roman" w:hint="default"/>
        <w:w w:val="99"/>
        <w:sz w:val="20"/>
        <w:szCs w:val="20"/>
        <w:lang w:val="en-US" w:eastAsia="en-US" w:bidi="en-US"/>
      </w:rPr>
    </w:lvl>
    <w:lvl w:ilvl="1" w:tplc="74FA1E40">
      <w:numFmt w:val="bullet"/>
      <w:lvlText w:val="•"/>
      <w:lvlJc w:val="left"/>
      <w:pPr>
        <w:ind w:left="777" w:hanging="257"/>
      </w:pPr>
      <w:rPr>
        <w:rFonts w:hint="default"/>
        <w:lang w:val="en-US" w:eastAsia="en-US" w:bidi="en-US"/>
      </w:rPr>
    </w:lvl>
    <w:lvl w:ilvl="2" w:tplc="039E2CCA">
      <w:numFmt w:val="bullet"/>
      <w:lvlText w:val="•"/>
      <w:lvlJc w:val="left"/>
      <w:pPr>
        <w:ind w:left="1035" w:hanging="257"/>
      </w:pPr>
      <w:rPr>
        <w:rFonts w:hint="default"/>
        <w:lang w:val="en-US" w:eastAsia="en-US" w:bidi="en-US"/>
      </w:rPr>
    </w:lvl>
    <w:lvl w:ilvl="3" w:tplc="C2B65168">
      <w:numFmt w:val="bullet"/>
      <w:lvlText w:val="•"/>
      <w:lvlJc w:val="left"/>
      <w:pPr>
        <w:ind w:left="1292" w:hanging="257"/>
      </w:pPr>
      <w:rPr>
        <w:rFonts w:hint="default"/>
        <w:lang w:val="en-US" w:eastAsia="en-US" w:bidi="en-US"/>
      </w:rPr>
    </w:lvl>
    <w:lvl w:ilvl="4" w:tplc="927287D2">
      <w:numFmt w:val="bullet"/>
      <w:lvlText w:val="•"/>
      <w:lvlJc w:val="left"/>
      <w:pPr>
        <w:ind w:left="1550" w:hanging="257"/>
      </w:pPr>
      <w:rPr>
        <w:rFonts w:hint="default"/>
        <w:lang w:val="en-US" w:eastAsia="en-US" w:bidi="en-US"/>
      </w:rPr>
    </w:lvl>
    <w:lvl w:ilvl="5" w:tplc="ECDA086A">
      <w:numFmt w:val="bullet"/>
      <w:lvlText w:val="•"/>
      <w:lvlJc w:val="left"/>
      <w:pPr>
        <w:ind w:left="1808" w:hanging="257"/>
      </w:pPr>
      <w:rPr>
        <w:rFonts w:hint="default"/>
        <w:lang w:val="en-US" w:eastAsia="en-US" w:bidi="en-US"/>
      </w:rPr>
    </w:lvl>
    <w:lvl w:ilvl="6" w:tplc="3FAC01EA">
      <w:numFmt w:val="bullet"/>
      <w:lvlText w:val="•"/>
      <w:lvlJc w:val="left"/>
      <w:pPr>
        <w:ind w:left="2065" w:hanging="257"/>
      </w:pPr>
      <w:rPr>
        <w:rFonts w:hint="default"/>
        <w:lang w:val="en-US" w:eastAsia="en-US" w:bidi="en-US"/>
      </w:rPr>
    </w:lvl>
    <w:lvl w:ilvl="7" w:tplc="AC44583E">
      <w:numFmt w:val="bullet"/>
      <w:lvlText w:val="•"/>
      <w:lvlJc w:val="left"/>
      <w:pPr>
        <w:ind w:left="2323" w:hanging="257"/>
      </w:pPr>
      <w:rPr>
        <w:rFonts w:hint="default"/>
        <w:lang w:val="en-US" w:eastAsia="en-US" w:bidi="en-US"/>
      </w:rPr>
    </w:lvl>
    <w:lvl w:ilvl="8" w:tplc="DAF69E5E">
      <w:numFmt w:val="bullet"/>
      <w:lvlText w:val="•"/>
      <w:lvlJc w:val="left"/>
      <w:pPr>
        <w:ind w:left="2580" w:hanging="257"/>
      </w:pPr>
      <w:rPr>
        <w:rFonts w:hint="default"/>
        <w:lang w:val="en-US" w:eastAsia="en-US" w:bidi="en-US"/>
      </w:rPr>
    </w:lvl>
  </w:abstractNum>
  <w:abstractNum w:abstractNumId="2" w15:restartNumberingAfterBreak="0">
    <w:nsid w:val="1A347ED9"/>
    <w:multiLevelType w:val="hybridMultilevel"/>
    <w:tmpl w:val="3A647AEC"/>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D328A4"/>
    <w:multiLevelType w:val="hybridMultilevel"/>
    <w:tmpl w:val="643A8C1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016412"/>
    <w:multiLevelType w:val="hybridMultilevel"/>
    <w:tmpl w:val="ADB20FF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B6C56B4"/>
    <w:multiLevelType w:val="hybridMultilevel"/>
    <w:tmpl w:val="C79094F4"/>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6AD25A0"/>
    <w:multiLevelType w:val="hybridMultilevel"/>
    <w:tmpl w:val="88A0D8C4"/>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3F1056"/>
    <w:multiLevelType w:val="hybridMultilevel"/>
    <w:tmpl w:val="DBA861B2"/>
    <w:lvl w:ilvl="0" w:tplc="F368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413DB"/>
    <w:multiLevelType w:val="hybridMultilevel"/>
    <w:tmpl w:val="C45ED684"/>
    <w:lvl w:ilvl="0" w:tplc="040C0001">
      <w:start w:val="1"/>
      <w:numFmt w:val="bullet"/>
      <w:lvlText w:val=""/>
      <w:lvlJc w:val="left"/>
      <w:pPr>
        <w:ind w:left="1363" w:hanging="360"/>
      </w:pPr>
      <w:rPr>
        <w:rFonts w:ascii="Symbol" w:hAnsi="Symbol" w:hint="default"/>
      </w:rPr>
    </w:lvl>
    <w:lvl w:ilvl="1" w:tplc="040C0003" w:tentative="1">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0" w15:restartNumberingAfterBreak="0">
    <w:nsid w:val="52751F17"/>
    <w:multiLevelType w:val="hybridMultilevel"/>
    <w:tmpl w:val="59D0FC6E"/>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2649D5"/>
    <w:multiLevelType w:val="hybridMultilevel"/>
    <w:tmpl w:val="86C002C6"/>
    <w:lvl w:ilvl="0" w:tplc="7AB058A8">
      <w:start w:val="1"/>
      <w:numFmt w:val="decimal"/>
      <w:lvlText w:val="%1."/>
      <w:lvlJc w:val="left"/>
      <w:pPr>
        <w:ind w:left="643" w:hanging="360"/>
      </w:pPr>
      <w:rPr>
        <w:rFonts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63745FD"/>
    <w:multiLevelType w:val="hybridMultilevel"/>
    <w:tmpl w:val="3DE26EA2"/>
    <w:lvl w:ilvl="0" w:tplc="04090001">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9A1B32"/>
    <w:multiLevelType w:val="hybridMultilevel"/>
    <w:tmpl w:val="F4E6AD64"/>
    <w:lvl w:ilvl="0" w:tplc="8C3411EC">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8D10498"/>
    <w:multiLevelType w:val="hybridMultilevel"/>
    <w:tmpl w:val="DDE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723E2"/>
    <w:multiLevelType w:val="hybridMultilevel"/>
    <w:tmpl w:val="5FA8255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DF66EE0"/>
    <w:multiLevelType w:val="hybridMultilevel"/>
    <w:tmpl w:val="D758DB08"/>
    <w:lvl w:ilvl="0" w:tplc="7AB058A8">
      <w:start w:val="1"/>
      <w:numFmt w:val="decimal"/>
      <w:lvlText w:val="%1."/>
      <w:lvlJc w:val="left"/>
      <w:pPr>
        <w:ind w:left="643" w:hanging="360"/>
      </w:pPr>
      <w:rPr>
        <w:rFonts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8F6778"/>
    <w:multiLevelType w:val="hybridMultilevel"/>
    <w:tmpl w:val="7D7EB394"/>
    <w:lvl w:ilvl="0" w:tplc="8FEE463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3C8191E"/>
    <w:multiLevelType w:val="hybridMultilevel"/>
    <w:tmpl w:val="5FA8255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6B29B4"/>
    <w:multiLevelType w:val="hybridMultilevel"/>
    <w:tmpl w:val="EEE69776"/>
    <w:lvl w:ilvl="0" w:tplc="12DA749A">
      <w:start w:val="1"/>
      <w:numFmt w:val="decimal"/>
      <w:lvlText w:val="%1."/>
      <w:lvlJc w:val="left"/>
      <w:pPr>
        <w:ind w:left="643" w:hanging="360"/>
      </w:pPr>
      <w:rPr>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8"/>
  </w:num>
  <w:num w:numId="5">
    <w:abstractNumId w:val="9"/>
  </w:num>
  <w:num w:numId="6">
    <w:abstractNumId w:val="18"/>
  </w:num>
  <w:num w:numId="7">
    <w:abstractNumId w:val="2"/>
  </w:num>
  <w:num w:numId="8">
    <w:abstractNumId w:val="12"/>
  </w:num>
  <w:num w:numId="9">
    <w:abstractNumId w:val="14"/>
  </w:num>
  <w:num w:numId="10">
    <w:abstractNumId w:val="1"/>
  </w:num>
  <w:num w:numId="11">
    <w:abstractNumId w:val="17"/>
  </w:num>
  <w:num w:numId="12">
    <w:abstractNumId w:val="5"/>
  </w:num>
  <w:num w:numId="13">
    <w:abstractNumId w:val="3"/>
  </w:num>
  <w:num w:numId="14">
    <w:abstractNumId w:val="7"/>
  </w:num>
  <w:num w:numId="15">
    <w:abstractNumId w:val="10"/>
  </w:num>
  <w:num w:numId="16">
    <w:abstractNumId w:val="19"/>
  </w:num>
  <w:num w:numId="17">
    <w:abstractNumId w:val="0"/>
  </w:num>
  <w:num w:numId="18">
    <w:abstractNumId w:val="13"/>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4097"/>
  </w:hdrShapeDefaults>
  <w:footnotePr>
    <w:numRestart w:val="eachSect"/>
    <w:footnote w:id="-1"/>
    <w:footnote w:id="0"/>
  </w:footnotePr>
  <w:endnotePr>
    <w:numFmt w:val="decimal"/>
    <w:numStart w:val="7"/>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662"/>
    <w:rsid w:val="000003FA"/>
    <w:rsid w:val="00000709"/>
    <w:rsid w:val="00000880"/>
    <w:rsid w:val="00001572"/>
    <w:rsid w:val="000038B1"/>
    <w:rsid w:val="00004343"/>
    <w:rsid w:val="0000461A"/>
    <w:rsid w:val="0000582B"/>
    <w:rsid w:val="00006AF5"/>
    <w:rsid w:val="00007166"/>
    <w:rsid w:val="0000740C"/>
    <w:rsid w:val="0001153A"/>
    <w:rsid w:val="00011543"/>
    <w:rsid w:val="00012A51"/>
    <w:rsid w:val="00012C63"/>
    <w:rsid w:val="000131D6"/>
    <w:rsid w:val="000133ED"/>
    <w:rsid w:val="000135FF"/>
    <w:rsid w:val="00013B28"/>
    <w:rsid w:val="00013D90"/>
    <w:rsid w:val="000154CC"/>
    <w:rsid w:val="00016350"/>
    <w:rsid w:val="00016D84"/>
    <w:rsid w:val="00016D8A"/>
    <w:rsid w:val="00017767"/>
    <w:rsid w:val="00017902"/>
    <w:rsid w:val="00017A56"/>
    <w:rsid w:val="0002076B"/>
    <w:rsid w:val="000217BE"/>
    <w:rsid w:val="00021A0D"/>
    <w:rsid w:val="00023B62"/>
    <w:rsid w:val="00025742"/>
    <w:rsid w:val="0002675A"/>
    <w:rsid w:val="00027583"/>
    <w:rsid w:val="00027BDD"/>
    <w:rsid w:val="00027CF7"/>
    <w:rsid w:val="0003110B"/>
    <w:rsid w:val="000317BC"/>
    <w:rsid w:val="00034AA0"/>
    <w:rsid w:val="00034AFD"/>
    <w:rsid w:val="000355CE"/>
    <w:rsid w:val="00035B07"/>
    <w:rsid w:val="00035C5F"/>
    <w:rsid w:val="00035D38"/>
    <w:rsid w:val="00035E4C"/>
    <w:rsid w:val="00036CBB"/>
    <w:rsid w:val="000370D7"/>
    <w:rsid w:val="00041158"/>
    <w:rsid w:val="0004119D"/>
    <w:rsid w:val="0004120A"/>
    <w:rsid w:val="00041402"/>
    <w:rsid w:val="000415DA"/>
    <w:rsid w:val="00043788"/>
    <w:rsid w:val="00043E32"/>
    <w:rsid w:val="00045039"/>
    <w:rsid w:val="0004542F"/>
    <w:rsid w:val="000456F0"/>
    <w:rsid w:val="00045C9C"/>
    <w:rsid w:val="00045CC5"/>
    <w:rsid w:val="00046288"/>
    <w:rsid w:val="00046434"/>
    <w:rsid w:val="000465BC"/>
    <w:rsid w:val="00046B9D"/>
    <w:rsid w:val="00050DAE"/>
    <w:rsid w:val="00051715"/>
    <w:rsid w:val="00051913"/>
    <w:rsid w:val="00055635"/>
    <w:rsid w:val="000557DA"/>
    <w:rsid w:val="00056075"/>
    <w:rsid w:val="00057C1E"/>
    <w:rsid w:val="00060324"/>
    <w:rsid w:val="0006038E"/>
    <w:rsid w:val="000604C7"/>
    <w:rsid w:val="0006081B"/>
    <w:rsid w:val="0006154D"/>
    <w:rsid w:val="00061954"/>
    <w:rsid w:val="00061CB7"/>
    <w:rsid w:val="000634BC"/>
    <w:rsid w:val="00063766"/>
    <w:rsid w:val="00063DF1"/>
    <w:rsid w:val="00063E27"/>
    <w:rsid w:val="00064609"/>
    <w:rsid w:val="00065373"/>
    <w:rsid w:val="0006580A"/>
    <w:rsid w:val="00066B45"/>
    <w:rsid w:val="000670BB"/>
    <w:rsid w:val="000702CD"/>
    <w:rsid w:val="000705DC"/>
    <w:rsid w:val="0007071D"/>
    <w:rsid w:val="00070FD9"/>
    <w:rsid w:val="0007187A"/>
    <w:rsid w:val="000718FC"/>
    <w:rsid w:val="00071F3F"/>
    <w:rsid w:val="00072CAE"/>
    <w:rsid w:val="00073757"/>
    <w:rsid w:val="00075609"/>
    <w:rsid w:val="00075793"/>
    <w:rsid w:val="00075CA0"/>
    <w:rsid w:val="00076DE4"/>
    <w:rsid w:val="000770E2"/>
    <w:rsid w:val="00077576"/>
    <w:rsid w:val="00077A15"/>
    <w:rsid w:val="000804DB"/>
    <w:rsid w:val="00081A59"/>
    <w:rsid w:val="00082219"/>
    <w:rsid w:val="000822D4"/>
    <w:rsid w:val="00083545"/>
    <w:rsid w:val="00083C79"/>
    <w:rsid w:val="00083C99"/>
    <w:rsid w:val="00084199"/>
    <w:rsid w:val="000842F0"/>
    <w:rsid w:val="00084351"/>
    <w:rsid w:val="000846E9"/>
    <w:rsid w:val="00084925"/>
    <w:rsid w:val="00084A56"/>
    <w:rsid w:val="00085075"/>
    <w:rsid w:val="00085B4C"/>
    <w:rsid w:val="0008600E"/>
    <w:rsid w:val="000870EE"/>
    <w:rsid w:val="000876E9"/>
    <w:rsid w:val="00087E89"/>
    <w:rsid w:val="00090099"/>
    <w:rsid w:val="000918E6"/>
    <w:rsid w:val="000924E4"/>
    <w:rsid w:val="00092696"/>
    <w:rsid w:val="00092D72"/>
    <w:rsid w:val="00093EA4"/>
    <w:rsid w:val="000944F5"/>
    <w:rsid w:val="0009510F"/>
    <w:rsid w:val="0009555D"/>
    <w:rsid w:val="00095A11"/>
    <w:rsid w:val="00095CFF"/>
    <w:rsid w:val="000A06BD"/>
    <w:rsid w:val="000A06CB"/>
    <w:rsid w:val="000A0764"/>
    <w:rsid w:val="000A0A79"/>
    <w:rsid w:val="000A1D4A"/>
    <w:rsid w:val="000A2821"/>
    <w:rsid w:val="000A32F1"/>
    <w:rsid w:val="000A6368"/>
    <w:rsid w:val="000A63A3"/>
    <w:rsid w:val="000A6DB4"/>
    <w:rsid w:val="000A7773"/>
    <w:rsid w:val="000B19C1"/>
    <w:rsid w:val="000B2784"/>
    <w:rsid w:val="000B27AA"/>
    <w:rsid w:val="000B4C69"/>
    <w:rsid w:val="000B54AF"/>
    <w:rsid w:val="000B59A6"/>
    <w:rsid w:val="000B66A7"/>
    <w:rsid w:val="000C15E9"/>
    <w:rsid w:val="000C20A8"/>
    <w:rsid w:val="000C4AB0"/>
    <w:rsid w:val="000C5FD0"/>
    <w:rsid w:val="000C7362"/>
    <w:rsid w:val="000C736E"/>
    <w:rsid w:val="000D0DEB"/>
    <w:rsid w:val="000D0E5B"/>
    <w:rsid w:val="000D2067"/>
    <w:rsid w:val="000D28BC"/>
    <w:rsid w:val="000D3CA2"/>
    <w:rsid w:val="000D4033"/>
    <w:rsid w:val="000D459D"/>
    <w:rsid w:val="000D4933"/>
    <w:rsid w:val="000D5F8F"/>
    <w:rsid w:val="000D6506"/>
    <w:rsid w:val="000D66C7"/>
    <w:rsid w:val="000D67F0"/>
    <w:rsid w:val="000D693D"/>
    <w:rsid w:val="000D74E4"/>
    <w:rsid w:val="000D7AD3"/>
    <w:rsid w:val="000E03D7"/>
    <w:rsid w:val="000E06FD"/>
    <w:rsid w:val="000E1211"/>
    <w:rsid w:val="000E182D"/>
    <w:rsid w:val="000E1DE8"/>
    <w:rsid w:val="000E28A9"/>
    <w:rsid w:val="000E37A4"/>
    <w:rsid w:val="000E37E4"/>
    <w:rsid w:val="000E3CE0"/>
    <w:rsid w:val="000E3E80"/>
    <w:rsid w:val="000E40E4"/>
    <w:rsid w:val="000E55AC"/>
    <w:rsid w:val="000E576D"/>
    <w:rsid w:val="000E5E5D"/>
    <w:rsid w:val="000E65B3"/>
    <w:rsid w:val="000E73D2"/>
    <w:rsid w:val="000F1174"/>
    <w:rsid w:val="000F129D"/>
    <w:rsid w:val="000F193C"/>
    <w:rsid w:val="000F1BF5"/>
    <w:rsid w:val="000F2273"/>
    <w:rsid w:val="000F2284"/>
    <w:rsid w:val="000F289D"/>
    <w:rsid w:val="000F405C"/>
    <w:rsid w:val="000F4484"/>
    <w:rsid w:val="000F45A2"/>
    <w:rsid w:val="000F4ECA"/>
    <w:rsid w:val="000F57B8"/>
    <w:rsid w:val="000F643A"/>
    <w:rsid w:val="000F7F0A"/>
    <w:rsid w:val="001000C1"/>
    <w:rsid w:val="0010022E"/>
    <w:rsid w:val="00100730"/>
    <w:rsid w:val="001016E3"/>
    <w:rsid w:val="00101DC2"/>
    <w:rsid w:val="001025D9"/>
    <w:rsid w:val="00102CD5"/>
    <w:rsid w:val="0010322D"/>
    <w:rsid w:val="00103791"/>
    <w:rsid w:val="00104BCA"/>
    <w:rsid w:val="00104E16"/>
    <w:rsid w:val="00105A51"/>
    <w:rsid w:val="00106DAA"/>
    <w:rsid w:val="00107790"/>
    <w:rsid w:val="001078B9"/>
    <w:rsid w:val="00107BAD"/>
    <w:rsid w:val="00110313"/>
    <w:rsid w:val="00111402"/>
    <w:rsid w:val="00111F44"/>
    <w:rsid w:val="00112E34"/>
    <w:rsid w:val="00113A54"/>
    <w:rsid w:val="00113D25"/>
    <w:rsid w:val="00113F34"/>
    <w:rsid w:val="00114561"/>
    <w:rsid w:val="00116138"/>
    <w:rsid w:val="001165A7"/>
    <w:rsid w:val="001169DA"/>
    <w:rsid w:val="0011764D"/>
    <w:rsid w:val="00117921"/>
    <w:rsid w:val="0012007E"/>
    <w:rsid w:val="00120582"/>
    <w:rsid w:val="001209C1"/>
    <w:rsid w:val="00122CA3"/>
    <w:rsid w:val="00122EA0"/>
    <w:rsid w:val="00123B9B"/>
    <w:rsid w:val="00124813"/>
    <w:rsid w:val="001251B5"/>
    <w:rsid w:val="0012532C"/>
    <w:rsid w:val="00125B9E"/>
    <w:rsid w:val="00126CE1"/>
    <w:rsid w:val="00127361"/>
    <w:rsid w:val="00127B53"/>
    <w:rsid w:val="00130278"/>
    <w:rsid w:val="0013037E"/>
    <w:rsid w:val="00130944"/>
    <w:rsid w:val="00130CCF"/>
    <w:rsid w:val="00130F2F"/>
    <w:rsid w:val="0013177E"/>
    <w:rsid w:val="0013179B"/>
    <w:rsid w:val="00131CC5"/>
    <w:rsid w:val="001327ED"/>
    <w:rsid w:val="00133609"/>
    <w:rsid w:val="00133C73"/>
    <w:rsid w:val="00135228"/>
    <w:rsid w:val="00135ACC"/>
    <w:rsid w:val="001360CA"/>
    <w:rsid w:val="00136E6F"/>
    <w:rsid w:val="0013754B"/>
    <w:rsid w:val="00140448"/>
    <w:rsid w:val="0014065B"/>
    <w:rsid w:val="001409BA"/>
    <w:rsid w:val="00140D13"/>
    <w:rsid w:val="00141596"/>
    <w:rsid w:val="00142219"/>
    <w:rsid w:val="001449DA"/>
    <w:rsid w:val="00146275"/>
    <w:rsid w:val="00146436"/>
    <w:rsid w:val="001465D8"/>
    <w:rsid w:val="001475DE"/>
    <w:rsid w:val="00147B76"/>
    <w:rsid w:val="00147CFB"/>
    <w:rsid w:val="00150009"/>
    <w:rsid w:val="00150277"/>
    <w:rsid w:val="00150C22"/>
    <w:rsid w:val="00151923"/>
    <w:rsid w:val="00152067"/>
    <w:rsid w:val="00152DC4"/>
    <w:rsid w:val="00153BD5"/>
    <w:rsid w:val="00153E12"/>
    <w:rsid w:val="00154703"/>
    <w:rsid w:val="001552B4"/>
    <w:rsid w:val="0015543A"/>
    <w:rsid w:val="00155B4D"/>
    <w:rsid w:val="00157F51"/>
    <w:rsid w:val="001609A4"/>
    <w:rsid w:val="00160BA3"/>
    <w:rsid w:val="00161236"/>
    <w:rsid w:val="00161279"/>
    <w:rsid w:val="00161FBA"/>
    <w:rsid w:val="0016267E"/>
    <w:rsid w:val="00162DCD"/>
    <w:rsid w:val="001634BF"/>
    <w:rsid w:val="0016385E"/>
    <w:rsid w:val="00163FFE"/>
    <w:rsid w:val="00165269"/>
    <w:rsid w:val="001660A3"/>
    <w:rsid w:val="00167268"/>
    <w:rsid w:val="00167D8B"/>
    <w:rsid w:val="00170857"/>
    <w:rsid w:val="001712EF"/>
    <w:rsid w:val="00171356"/>
    <w:rsid w:val="001716A5"/>
    <w:rsid w:val="00171B5E"/>
    <w:rsid w:val="00172074"/>
    <w:rsid w:val="001726BA"/>
    <w:rsid w:val="00172D84"/>
    <w:rsid w:val="001734B3"/>
    <w:rsid w:val="001734DE"/>
    <w:rsid w:val="00174206"/>
    <w:rsid w:val="00174858"/>
    <w:rsid w:val="00174A81"/>
    <w:rsid w:val="001757B9"/>
    <w:rsid w:val="00175E6E"/>
    <w:rsid w:val="00176A88"/>
    <w:rsid w:val="00176E89"/>
    <w:rsid w:val="00176F6E"/>
    <w:rsid w:val="00177A8E"/>
    <w:rsid w:val="00181891"/>
    <w:rsid w:val="00182823"/>
    <w:rsid w:val="00182D69"/>
    <w:rsid w:val="00182F2F"/>
    <w:rsid w:val="0018375B"/>
    <w:rsid w:val="00184160"/>
    <w:rsid w:val="001850B4"/>
    <w:rsid w:val="001863C6"/>
    <w:rsid w:val="001865AD"/>
    <w:rsid w:val="001869D4"/>
    <w:rsid w:val="00190269"/>
    <w:rsid w:val="00190B4B"/>
    <w:rsid w:val="001910EC"/>
    <w:rsid w:val="001918B4"/>
    <w:rsid w:val="00191DA0"/>
    <w:rsid w:val="00192606"/>
    <w:rsid w:val="00194AA7"/>
    <w:rsid w:val="00194AAD"/>
    <w:rsid w:val="00194F21"/>
    <w:rsid w:val="0019662E"/>
    <w:rsid w:val="00196CFC"/>
    <w:rsid w:val="0019708B"/>
    <w:rsid w:val="001971D9"/>
    <w:rsid w:val="00197314"/>
    <w:rsid w:val="0019748E"/>
    <w:rsid w:val="00197704"/>
    <w:rsid w:val="00197B51"/>
    <w:rsid w:val="001A097E"/>
    <w:rsid w:val="001A150F"/>
    <w:rsid w:val="001A22A0"/>
    <w:rsid w:val="001A22F7"/>
    <w:rsid w:val="001A24AC"/>
    <w:rsid w:val="001A26C7"/>
    <w:rsid w:val="001A2F1E"/>
    <w:rsid w:val="001A3024"/>
    <w:rsid w:val="001A3B42"/>
    <w:rsid w:val="001A3E1E"/>
    <w:rsid w:val="001A47FB"/>
    <w:rsid w:val="001A71E5"/>
    <w:rsid w:val="001B10CD"/>
    <w:rsid w:val="001B2F71"/>
    <w:rsid w:val="001B3A4E"/>
    <w:rsid w:val="001B3C4B"/>
    <w:rsid w:val="001B3C78"/>
    <w:rsid w:val="001B3F69"/>
    <w:rsid w:val="001B472B"/>
    <w:rsid w:val="001B4820"/>
    <w:rsid w:val="001B5C9B"/>
    <w:rsid w:val="001B6961"/>
    <w:rsid w:val="001B6FAA"/>
    <w:rsid w:val="001C0BC0"/>
    <w:rsid w:val="001C1813"/>
    <w:rsid w:val="001C1F5A"/>
    <w:rsid w:val="001C238C"/>
    <w:rsid w:val="001C2FB6"/>
    <w:rsid w:val="001C46D9"/>
    <w:rsid w:val="001C4AD3"/>
    <w:rsid w:val="001C55A5"/>
    <w:rsid w:val="001C5A8A"/>
    <w:rsid w:val="001D1A21"/>
    <w:rsid w:val="001D3406"/>
    <w:rsid w:val="001D4C05"/>
    <w:rsid w:val="001D4F45"/>
    <w:rsid w:val="001D5054"/>
    <w:rsid w:val="001D5A27"/>
    <w:rsid w:val="001D6207"/>
    <w:rsid w:val="001D6992"/>
    <w:rsid w:val="001D6E3E"/>
    <w:rsid w:val="001D6FFC"/>
    <w:rsid w:val="001D78CF"/>
    <w:rsid w:val="001D797D"/>
    <w:rsid w:val="001E0144"/>
    <w:rsid w:val="001E02CE"/>
    <w:rsid w:val="001E1BD8"/>
    <w:rsid w:val="001E20ED"/>
    <w:rsid w:val="001E34CE"/>
    <w:rsid w:val="001E39A9"/>
    <w:rsid w:val="001E3A6E"/>
    <w:rsid w:val="001E3ACC"/>
    <w:rsid w:val="001E44B8"/>
    <w:rsid w:val="001E46E6"/>
    <w:rsid w:val="001E47C7"/>
    <w:rsid w:val="001E485B"/>
    <w:rsid w:val="001E519C"/>
    <w:rsid w:val="001E5854"/>
    <w:rsid w:val="001E5904"/>
    <w:rsid w:val="001E5AC6"/>
    <w:rsid w:val="001E650B"/>
    <w:rsid w:val="001E6767"/>
    <w:rsid w:val="001E7145"/>
    <w:rsid w:val="001F1438"/>
    <w:rsid w:val="001F1EFF"/>
    <w:rsid w:val="001F1FED"/>
    <w:rsid w:val="001F21C8"/>
    <w:rsid w:val="001F2F14"/>
    <w:rsid w:val="001F3F87"/>
    <w:rsid w:val="001F45AF"/>
    <w:rsid w:val="001F5610"/>
    <w:rsid w:val="001F5F01"/>
    <w:rsid w:val="001F5F95"/>
    <w:rsid w:val="001F632A"/>
    <w:rsid w:val="001F6360"/>
    <w:rsid w:val="001F6693"/>
    <w:rsid w:val="001F6931"/>
    <w:rsid w:val="001F72E6"/>
    <w:rsid w:val="001F7F9E"/>
    <w:rsid w:val="002000C3"/>
    <w:rsid w:val="00201F35"/>
    <w:rsid w:val="0020215A"/>
    <w:rsid w:val="002027A3"/>
    <w:rsid w:val="00203E52"/>
    <w:rsid w:val="00204835"/>
    <w:rsid w:val="00206A40"/>
    <w:rsid w:val="00206AF1"/>
    <w:rsid w:val="00206B52"/>
    <w:rsid w:val="00206BF5"/>
    <w:rsid w:val="00206D84"/>
    <w:rsid w:val="00207B38"/>
    <w:rsid w:val="00207BD0"/>
    <w:rsid w:val="00207E60"/>
    <w:rsid w:val="00207F36"/>
    <w:rsid w:val="00211DCE"/>
    <w:rsid w:val="00211E9F"/>
    <w:rsid w:val="0021279D"/>
    <w:rsid w:val="00214057"/>
    <w:rsid w:val="002169B2"/>
    <w:rsid w:val="00217495"/>
    <w:rsid w:val="00217EE2"/>
    <w:rsid w:val="002201AB"/>
    <w:rsid w:val="002204C1"/>
    <w:rsid w:val="002216CF"/>
    <w:rsid w:val="002218D0"/>
    <w:rsid w:val="00221994"/>
    <w:rsid w:val="002227B7"/>
    <w:rsid w:val="00223340"/>
    <w:rsid w:val="002235F8"/>
    <w:rsid w:val="002242BB"/>
    <w:rsid w:val="00225785"/>
    <w:rsid w:val="002277EF"/>
    <w:rsid w:val="00230C66"/>
    <w:rsid w:val="00231BA2"/>
    <w:rsid w:val="002327F9"/>
    <w:rsid w:val="00232FD7"/>
    <w:rsid w:val="00234E4A"/>
    <w:rsid w:val="00235744"/>
    <w:rsid w:val="00235782"/>
    <w:rsid w:val="00235D85"/>
    <w:rsid w:val="00235E34"/>
    <w:rsid w:val="00235E90"/>
    <w:rsid w:val="00236AA3"/>
    <w:rsid w:val="00237188"/>
    <w:rsid w:val="00237ECF"/>
    <w:rsid w:val="00240038"/>
    <w:rsid w:val="00240B88"/>
    <w:rsid w:val="0024117B"/>
    <w:rsid w:val="002418BF"/>
    <w:rsid w:val="0024206E"/>
    <w:rsid w:val="002422BA"/>
    <w:rsid w:val="002425BD"/>
    <w:rsid w:val="00242947"/>
    <w:rsid w:val="00243418"/>
    <w:rsid w:val="00243B85"/>
    <w:rsid w:val="00245465"/>
    <w:rsid w:val="0024654A"/>
    <w:rsid w:val="002465A9"/>
    <w:rsid w:val="00246E17"/>
    <w:rsid w:val="00246E71"/>
    <w:rsid w:val="00246F8D"/>
    <w:rsid w:val="00247CEC"/>
    <w:rsid w:val="00250222"/>
    <w:rsid w:val="00250662"/>
    <w:rsid w:val="002511D1"/>
    <w:rsid w:val="0025184C"/>
    <w:rsid w:val="00251B40"/>
    <w:rsid w:val="00251F09"/>
    <w:rsid w:val="002525D3"/>
    <w:rsid w:val="002526E8"/>
    <w:rsid w:val="00252EAF"/>
    <w:rsid w:val="0025365E"/>
    <w:rsid w:val="0025365F"/>
    <w:rsid w:val="0025504D"/>
    <w:rsid w:val="002554DD"/>
    <w:rsid w:val="002559AC"/>
    <w:rsid w:val="00255FD9"/>
    <w:rsid w:val="00256098"/>
    <w:rsid w:val="00256D67"/>
    <w:rsid w:val="00257E0D"/>
    <w:rsid w:val="00260365"/>
    <w:rsid w:val="00260B4B"/>
    <w:rsid w:val="0026234D"/>
    <w:rsid w:val="0026257F"/>
    <w:rsid w:val="00262AA8"/>
    <w:rsid w:val="00263C0E"/>
    <w:rsid w:val="00263D71"/>
    <w:rsid w:val="00263DFA"/>
    <w:rsid w:val="00263E52"/>
    <w:rsid w:val="00264242"/>
    <w:rsid w:val="00264547"/>
    <w:rsid w:val="00264575"/>
    <w:rsid w:val="00265320"/>
    <w:rsid w:val="002659F2"/>
    <w:rsid w:val="002662CF"/>
    <w:rsid w:val="002666A0"/>
    <w:rsid w:val="00266D3A"/>
    <w:rsid w:val="00266E8F"/>
    <w:rsid w:val="00267124"/>
    <w:rsid w:val="002672E1"/>
    <w:rsid w:val="002675F4"/>
    <w:rsid w:val="00271176"/>
    <w:rsid w:val="002717C9"/>
    <w:rsid w:val="002718D0"/>
    <w:rsid w:val="00271BD8"/>
    <w:rsid w:val="002720D0"/>
    <w:rsid w:val="002764DA"/>
    <w:rsid w:val="00276760"/>
    <w:rsid w:val="00280A72"/>
    <w:rsid w:val="00280B60"/>
    <w:rsid w:val="00281CC0"/>
    <w:rsid w:val="00282219"/>
    <w:rsid w:val="00282818"/>
    <w:rsid w:val="0028311D"/>
    <w:rsid w:val="00284CBD"/>
    <w:rsid w:val="00285578"/>
    <w:rsid w:val="00285679"/>
    <w:rsid w:val="00285727"/>
    <w:rsid w:val="0029094B"/>
    <w:rsid w:val="00291533"/>
    <w:rsid w:val="002921A7"/>
    <w:rsid w:val="00293819"/>
    <w:rsid w:val="002944DE"/>
    <w:rsid w:val="002948C6"/>
    <w:rsid w:val="00296384"/>
    <w:rsid w:val="00296639"/>
    <w:rsid w:val="002970D1"/>
    <w:rsid w:val="00297656"/>
    <w:rsid w:val="00297687"/>
    <w:rsid w:val="00297B8E"/>
    <w:rsid w:val="00297D59"/>
    <w:rsid w:val="002A0418"/>
    <w:rsid w:val="002A08B3"/>
    <w:rsid w:val="002A15E5"/>
    <w:rsid w:val="002A1BB9"/>
    <w:rsid w:val="002A1D50"/>
    <w:rsid w:val="002A2253"/>
    <w:rsid w:val="002A2711"/>
    <w:rsid w:val="002A3427"/>
    <w:rsid w:val="002A3BBC"/>
    <w:rsid w:val="002A3C55"/>
    <w:rsid w:val="002A3DFE"/>
    <w:rsid w:val="002A447A"/>
    <w:rsid w:val="002A63A2"/>
    <w:rsid w:val="002A6E60"/>
    <w:rsid w:val="002A7B19"/>
    <w:rsid w:val="002B0757"/>
    <w:rsid w:val="002B153B"/>
    <w:rsid w:val="002B2B7A"/>
    <w:rsid w:val="002B3974"/>
    <w:rsid w:val="002B3AC6"/>
    <w:rsid w:val="002B43AA"/>
    <w:rsid w:val="002B4DCB"/>
    <w:rsid w:val="002B515E"/>
    <w:rsid w:val="002B7D70"/>
    <w:rsid w:val="002C0086"/>
    <w:rsid w:val="002C02F8"/>
    <w:rsid w:val="002C0662"/>
    <w:rsid w:val="002C0690"/>
    <w:rsid w:val="002C0C17"/>
    <w:rsid w:val="002C125E"/>
    <w:rsid w:val="002C15BE"/>
    <w:rsid w:val="002C1696"/>
    <w:rsid w:val="002C1B3B"/>
    <w:rsid w:val="002C1B42"/>
    <w:rsid w:val="002C28C3"/>
    <w:rsid w:val="002C2A3F"/>
    <w:rsid w:val="002C30E4"/>
    <w:rsid w:val="002C33BD"/>
    <w:rsid w:val="002C352C"/>
    <w:rsid w:val="002C4089"/>
    <w:rsid w:val="002C4A27"/>
    <w:rsid w:val="002C4D42"/>
    <w:rsid w:val="002C4F4C"/>
    <w:rsid w:val="002C58AD"/>
    <w:rsid w:val="002C5D2C"/>
    <w:rsid w:val="002C6580"/>
    <w:rsid w:val="002C7E41"/>
    <w:rsid w:val="002D127B"/>
    <w:rsid w:val="002D1EF2"/>
    <w:rsid w:val="002D1F12"/>
    <w:rsid w:val="002D3320"/>
    <w:rsid w:val="002D353C"/>
    <w:rsid w:val="002D535B"/>
    <w:rsid w:val="002D55D8"/>
    <w:rsid w:val="002D642C"/>
    <w:rsid w:val="002D7508"/>
    <w:rsid w:val="002D77B8"/>
    <w:rsid w:val="002E2329"/>
    <w:rsid w:val="002E25C9"/>
    <w:rsid w:val="002E271B"/>
    <w:rsid w:val="002E3CC5"/>
    <w:rsid w:val="002E47B9"/>
    <w:rsid w:val="002E4A19"/>
    <w:rsid w:val="002E6673"/>
    <w:rsid w:val="002E703C"/>
    <w:rsid w:val="002E7241"/>
    <w:rsid w:val="002E7A9E"/>
    <w:rsid w:val="002E7BB8"/>
    <w:rsid w:val="002E7C69"/>
    <w:rsid w:val="002F02C5"/>
    <w:rsid w:val="002F1980"/>
    <w:rsid w:val="002F1B39"/>
    <w:rsid w:val="002F24AC"/>
    <w:rsid w:val="002F2852"/>
    <w:rsid w:val="002F3059"/>
    <w:rsid w:val="002F3227"/>
    <w:rsid w:val="002F336F"/>
    <w:rsid w:val="002F3504"/>
    <w:rsid w:val="002F35DB"/>
    <w:rsid w:val="002F4397"/>
    <w:rsid w:val="002F44A5"/>
    <w:rsid w:val="002F4977"/>
    <w:rsid w:val="002F4DEA"/>
    <w:rsid w:val="002F6CD6"/>
    <w:rsid w:val="002F7099"/>
    <w:rsid w:val="002F72A4"/>
    <w:rsid w:val="002F72DC"/>
    <w:rsid w:val="002F7A69"/>
    <w:rsid w:val="00300564"/>
    <w:rsid w:val="00301CB2"/>
    <w:rsid w:val="0030231F"/>
    <w:rsid w:val="0030270E"/>
    <w:rsid w:val="00303AA9"/>
    <w:rsid w:val="003043F2"/>
    <w:rsid w:val="00304BE5"/>
    <w:rsid w:val="00304CB1"/>
    <w:rsid w:val="003051A0"/>
    <w:rsid w:val="00305879"/>
    <w:rsid w:val="003066D1"/>
    <w:rsid w:val="0030745F"/>
    <w:rsid w:val="0030787A"/>
    <w:rsid w:val="0031011E"/>
    <w:rsid w:val="0031028F"/>
    <w:rsid w:val="00310548"/>
    <w:rsid w:val="00310954"/>
    <w:rsid w:val="00310973"/>
    <w:rsid w:val="00310E4B"/>
    <w:rsid w:val="00310F9F"/>
    <w:rsid w:val="00311028"/>
    <w:rsid w:val="0031137E"/>
    <w:rsid w:val="00311621"/>
    <w:rsid w:val="00311E0D"/>
    <w:rsid w:val="0031222C"/>
    <w:rsid w:val="00312F07"/>
    <w:rsid w:val="00312F20"/>
    <w:rsid w:val="00313050"/>
    <w:rsid w:val="00314E41"/>
    <w:rsid w:val="0031603F"/>
    <w:rsid w:val="003164E6"/>
    <w:rsid w:val="00316617"/>
    <w:rsid w:val="003175AE"/>
    <w:rsid w:val="003179DD"/>
    <w:rsid w:val="003219A7"/>
    <w:rsid w:val="00321F00"/>
    <w:rsid w:val="003222F6"/>
    <w:rsid w:val="0032242C"/>
    <w:rsid w:val="0032337E"/>
    <w:rsid w:val="003234A5"/>
    <w:rsid w:val="00324955"/>
    <w:rsid w:val="003254A2"/>
    <w:rsid w:val="00325D36"/>
    <w:rsid w:val="003264B6"/>
    <w:rsid w:val="00326514"/>
    <w:rsid w:val="00326A1F"/>
    <w:rsid w:val="00331D79"/>
    <w:rsid w:val="003328D3"/>
    <w:rsid w:val="003334D3"/>
    <w:rsid w:val="00333740"/>
    <w:rsid w:val="00333C28"/>
    <w:rsid w:val="00333E82"/>
    <w:rsid w:val="00333F5C"/>
    <w:rsid w:val="00334C03"/>
    <w:rsid w:val="003353F1"/>
    <w:rsid w:val="00335EC2"/>
    <w:rsid w:val="00335F14"/>
    <w:rsid w:val="0033629A"/>
    <w:rsid w:val="00336852"/>
    <w:rsid w:val="00336F77"/>
    <w:rsid w:val="00337746"/>
    <w:rsid w:val="0034074A"/>
    <w:rsid w:val="0034166B"/>
    <w:rsid w:val="00341691"/>
    <w:rsid w:val="003418D3"/>
    <w:rsid w:val="00341B22"/>
    <w:rsid w:val="00341EA3"/>
    <w:rsid w:val="00342225"/>
    <w:rsid w:val="00342715"/>
    <w:rsid w:val="003429BE"/>
    <w:rsid w:val="00342E5E"/>
    <w:rsid w:val="00342F36"/>
    <w:rsid w:val="0034371A"/>
    <w:rsid w:val="0034395C"/>
    <w:rsid w:val="00343D9F"/>
    <w:rsid w:val="00345556"/>
    <w:rsid w:val="003458D8"/>
    <w:rsid w:val="00345A56"/>
    <w:rsid w:val="00345D7F"/>
    <w:rsid w:val="0034673E"/>
    <w:rsid w:val="003479A9"/>
    <w:rsid w:val="00350079"/>
    <w:rsid w:val="00350901"/>
    <w:rsid w:val="0035163A"/>
    <w:rsid w:val="00353042"/>
    <w:rsid w:val="00356050"/>
    <w:rsid w:val="003563C1"/>
    <w:rsid w:val="00356840"/>
    <w:rsid w:val="00360889"/>
    <w:rsid w:val="0036113A"/>
    <w:rsid w:val="003612F5"/>
    <w:rsid w:val="00362DF7"/>
    <w:rsid w:val="00363B2F"/>
    <w:rsid w:val="00363B5A"/>
    <w:rsid w:val="00364164"/>
    <w:rsid w:val="00364860"/>
    <w:rsid w:val="00364F99"/>
    <w:rsid w:val="0036591C"/>
    <w:rsid w:val="003661BE"/>
    <w:rsid w:val="00366D11"/>
    <w:rsid w:val="0036746D"/>
    <w:rsid w:val="00367FDA"/>
    <w:rsid w:val="003709DE"/>
    <w:rsid w:val="00371E5B"/>
    <w:rsid w:val="003725A7"/>
    <w:rsid w:val="003726E2"/>
    <w:rsid w:val="00372838"/>
    <w:rsid w:val="003756A8"/>
    <w:rsid w:val="00376924"/>
    <w:rsid w:val="00377484"/>
    <w:rsid w:val="00377558"/>
    <w:rsid w:val="0037767C"/>
    <w:rsid w:val="00380172"/>
    <w:rsid w:val="0038023A"/>
    <w:rsid w:val="00380A64"/>
    <w:rsid w:val="00380B81"/>
    <w:rsid w:val="00380DB8"/>
    <w:rsid w:val="00380EB7"/>
    <w:rsid w:val="0038113D"/>
    <w:rsid w:val="00381393"/>
    <w:rsid w:val="003814ED"/>
    <w:rsid w:val="0038276C"/>
    <w:rsid w:val="00382E1F"/>
    <w:rsid w:val="003831FF"/>
    <w:rsid w:val="003834A5"/>
    <w:rsid w:val="00383894"/>
    <w:rsid w:val="003839C2"/>
    <w:rsid w:val="00383AA8"/>
    <w:rsid w:val="00383C86"/>
    <w:rsid w:val="00383DED"/>
    <w:rsid w:val="0038430A"/>
    <w:rsid w:val="0038445D"/>
    <w:rsid w:val="003846DE"/>
    <w:rsid w:val="00384ED4"/>
    <w:rsid w:val="00385527"/>
    <w:rsid w:val="00385974"/>
    <w:rsid w:val="00385D56"/>
    <w:rsid w:val="0038724E"/>
    <w:rsid w:val="00387B8F"/>
    <w:rsid w:val="0039181F"/>
    <w:rsid w:val="00391F8A"/>
    <w:rsid w:val="0039275A"/>
    <w:rsid w:val="00393456"/>
    <w:rsid w:val="0039413D"/>
    <w:rsid w:val="0039556D"/>
    <w:rsid w:val="003970E0"/>
    <w:rsid w:val="00397D8D"/>
    <w:rsid w:val="00397DCC"/>
    <w:rsid w:val="003A074E"/>
    <w:rsid w:val="003A1003"/>
    <w:rsid w:val="003A1C78"/>
    <w:rsid w:val="003A6581"/>
    <w:rsid w:val="003B2F99"/>
    <w:rsid w:val="003B3BD1"/>
    <w:rsid w:val="003B4D58"/>
    <w:rsid w:val="003B52A2"/>
    <w:rsid w:val="003B6481"/>
    <w:rsid w:val="003B6FA4"/>
    <w:rsid w:val="003C00A1"/>
    <w:rsid w:val="003C05A2"/>
    <w:rsid w:val="003C061B"/>
    <w:rsid w:val="003C0CE7"/>
    <w:rsid w:val="003C1057"/>
    <w:rsid w:val="003C1227"/>
    <w:rsid w:val="003C1AB5"/>
    <w:rsid w:val="003C22C3"/>
    <w:rsid w:val="003C28EC"/>
    <w:rsid w:val="003C2B6C"/>
    <w:rsid w:val="003C2E93"/>
    <w:rsid w:val="003C2FA9"/>
    <w:rsid w:val="003C34BA"/>
    <w:rsid w:val="003C3534"/>
    <w:rsid w:val="003C358B"/>
    <w:rsid w:val="003C36EC"/>
    <w:rsid w:val="003C4429"/>
    <w:rsid w:val="003C44EA"/>
    <w:rsid w:val="003C4D70"/>
    <w:rsid w:val="003C504F"/>
    <w:rsid w:val="003C52C1"/>
    <w:rsid w:val="003C7071"/>
    <w:rsid w:val="003C78F1"/>
    <w:rsid w:val="003D080A"/>
    <w:rsid w:val="003D11D0"/>
    <w:rsid w:val="003D125D"/>
    <w:rsid w:val="003D16F4"/>
    <w:rsid w:val="003D1F2E"/>
    <w:rsid w:val="003D1FA6"/>
    <w:rsid w:val="003D280A"/>
    <w:rsid w:val="003D30DA"/>
    <w:rsid w:val="003D3725"/>
    <w:rsid w:val="003D3812"/>
    <w:rsid w:val="003D45B9"/>
    <w:rsid w:val="003D4B4E"/>
    <w:rsid w:val="003D5F43"/>
    <w:rsid w:val="003D6039"/>
    <w:rsid w:val="003D778A"/>
    <w:rsid w:val="003D77E8"/>
    <w:rsid w:val="003E044C"/>
    <w:rsid w:val="003E1B89"/>
    <w:rsid w:val="003E1FA7"/>
    <w:rsid w:val="003E2662"/>
    <w:rsid w:val="003E27C7"/>
    <w:rsid w:val="003E2A26"/>
    <w:rsid w:val="003E2E76"/>
    <w:rsid w:val="003E3E41"/>
    <w:rsid w:val="003E4259"/>
    <w:rsid w:val="003E5709"/>
    <w:rsid w:val="003E7140"/>
    <w:rsid w:val="003E7815"/>
    <w:rsid w:val="003E783F"/>
    <w:rsid w:val="003E7868"/>
    <w:rsid w:val="003F2121"/>
    <w:rsid w:val="003F2336"/>
    <w:rsid w:val="003F2AF2"/>
    <w:rsid w:val="003F2E35"/>
    <w:rsid w:val="003F3006"/>
    <w:rsid w:val="003F3916"/>
    <w:rsid w:val="003F3AFE"/>
    <w:rsid w:val="003F4379"/>
    <w:rsid w:val="003F44DF"/>
    <w:rsid w:val="003F4604"/>
    <w:rsid w:val="003F4DE7"/>
    <w:rsid w:val="004003C7"/>
    <w:rsid w:val="00400BAE"/>
    <w:rsid w:val="00401C93"/>
    <w:rsid w:val="0040381A"/>
    <w:rsid w:val="00403AD3"/>
    <w:rsid w:val="004043A3"/>
    <w:rsid w:val="004043C7"/>
    <w:rsid w:val="00404CF8"/>
    <w:rsid w:val="00405343"/>
    <w:rsid w:val="00405741"/>
    <w:rsid w:val="00405972"/>
    <w:rsid w:val="004064FA"/>
    <w:rsid w:val="00406A43"/>
    <w:rsid w:val="004071A2"/>
    <w:rsid w:val="0040738A"/>
    <w:rsid w:val="004104E9"/>
    <w:rsid w:val="00410589"/>
    <w:rsid w:val="00410D69"/>
    <w:rsid w:val="00411384"/>
    <w:rsid w:val="00411C2D"/>
    <w:rsid w:val="004131F8"/>
    <w:rsid w:val="00413519"/>
    <w:rsid w:val="00413720"/>
    <w:rsid w:val="0041492F"/>
    <w:rsid w:val="004154A6"/>
    <w:rsid w:val="0041587C"/>
    <w:rsid w:val="00416FDF"/>
    <w:rsid w:val="00416FFC"/>
    <w:rsid w:val="00417794"/>
    <w:rsid w:val="00417FDE"/>
    <w:rsid w:val="00420593"/>
    <w:rsid w:val="004206C1"/>
    <w:rsid w:val="00420D40"/>
    <w:rsid w:val="004220CF"/>
    <w:rsid w:val="00422276"/>
    <w:rsid w:val="0042356A"/>
    <w:rsid w:val="00424136"/>
    <w:rsid w:val="004243FF"/>
    <w:rsid w:val="0042466C"/>
    <w:rsid w:val="00424D01"/>
    <w:rsid w:val="00425319"/>
    <w:rsid w:val="00426A7A"/>
    <w:rsid w:val="00427AAE"/>
    <w:rsid w:val="00432201"/>
    <w:rsid w:val="004335FC"/>
    <w:rsid w:val="00433D7E"/>
    <w:rsid w:val="00433EF0"/>
    <w:rsid w:val="00433F78"/>
    <w:rsid w:val="004340CE"/>
    <w:rsid w:val="00435CBA"/>
    <w:rsid w:val="00435E74"/>
    <w:rsid w:val="004360CF"/>
    <w:rsid w:val="00436257"/>
    <w:rsid w:val="00436755"/>
    <w:rsid w:val="00436DC0"/>
    <w:rsid w:val="004376CA"/>
    <w:rsid w:val="00437810"/>
    <w:rsid w:val="004379BB"/>
    <w:rsid w:val="00437EC9"/>
    <w:rsid w:val="00440E2D"/>
    <w:rsid w:val="00441683"/>
    <w:rsid w:val="00445152"/>
    <w:rsid w:val="0044527C"/>
    <w:rsid w:val="00445ABD"/>
    <w:rsid w:val="004462FB"/>
    <w:rsid w:val="00447339"/>
    <w:rsid w:val="00447370"/>
    <w:rsid w:val="004477E7"/>
    <w:rsid w:val="00450570"/>
    <w:rsid w:val="00450DB5"/>
    <w:rsid w:val="004510CF"/>
    <w:rsid w:val="00451215"/>
    <w:rsid w:val="004526B4"/>
    <w:rsid w:val="00452BED"/>
    <w:rsid w:val="00452F3E"/>
    <w:rsid w:val="0045433B"/>
    <w:rsid w:val="00455D8A"/>
    <w:rsid w:val="004565C1"/>
    <w:rsid w:val="00456F2D"/>
    <w:rsid w:val="00457885"/>
    <w:rsid w:val="0046008D"/>
    <w:rsid w:val="00461397"/>
    <w:rsid w:val="00461C76"/>
    <w:rsid w:val="00461F86"/>
    <w:rsid w:val="004624E8"/>
    <w:rsid w:val="00462DFD"/>
    <w:rsid w:val="00463A7B"/>
    <w:rsid w:val="0046440B"/>
    <w:rsid w:val="0046462B"/>
    <w:rsid w:val="00464C84"/>
    <w:rsid w:val="0046586A"/>
    <w:rsid w:val="00467319"/>
    <w:rsid w:val="0047016D"/>
    <w:rsid w:val="00471039"/>
    <w:rsid w:val="0047104B"/>
    <w:rsid w:val="00471F32"/>
    <w:rsid w:val="00472658"/>
    <w:rsid w:val="00472AF6"/>
    <w:rsid w:val="004747E1"/>
    <w:rsid w:val="00474C8C"/>
    <w:rsid w:val="00475C36"/>
    <w:rsid w:val="004761DD"/>
    <w:rsid w:val="004762C5"/>
    <w:rsid w:val="00476B81"/>
    <w:rsid w:val="00476E16"/>
    <w:rsid w:val="00476E59"/>
    <w:rsid w:val="004771A4"/>
    <w:rsid w:val="00477A35"/>
    <w:rsid w:val="00480B1B"/>
    <w:rsid w:val="00480B52"/>
    <w:rsid w:val="004818BA"/>
    <w:rsid w:val="00481F6B"/>
    <w:rsid w:val="0048230C"/>
    <w:rsid w:val="00482AAE"/>
    <w:rsid w:val="00482FE5"/>
    <w:rsid w:val="004831F9"/>
    <w:rsid w:val="00483AE0"/>
    <w:rsid w:val="00483D0C"/>
    <w:rsid w:val="00484484"/>
    <w:rsid w:val="004845C8"/>
    <w:rsid w:val="0048599D"/>
    <w:rsid w:val="0048713E"/>
    <w:rsid w:val="00487288"/>
    <w:rsid w:val="0048748C"/>
    <w:rsid w:val="0048752D"/>
    <w:rsid w:val="00487BA8"/>
    <w:rsid w:val="00487D0A"/>
    <w:rsid w:val="0049047C"/>
    <w:rsid w:val="0049086B"/>
    <w:rsid w:val="00490FB7"/>
    <w:rsid w:val="00491105"/>
    <w:rsid w:val="0049167A"/>
    <w:rsid w:val="00491BEB"/>
    <w:rsid w:val="004922D5"/>
    <w:rsid w:val="00492948"/>
    <w:rsid w:val="00492FEB"/>
    <w:rsid w:val="00493A0E"/>
    <w:rsid w:val="00493C79"/>
    <w:rsid w:val="00494A0D"/>
    <w:rsid w:val="00494C57"/>
    <w:rsid w:val="004963E8"/>
    <w:rsid w:val="004965FF"/>
    <w:rsid w:val="00496C29"/>
    <w:rsid w:val="004974D4"/>
    <w:rsid w:val="004A03E1"/>
    <w:rsid w:val="004A0811"/>
    <w:rsid w:val="004A0CC0"/>
    <w:rsid w:val="004A160F"/>
    <w:rsid w:val="004A1861"/>
    <w:rsid w:val="004A1F07"/>
    <w:rsid w:val="004A23F4"/>
    <w:rsid w:val="004A2F79"/>
    <w:rsid w:val="004A3994"/>
    <w:rsid w:val="004A5FEB"/>
    <w:rsid w:val="004A6166"/>
    <w:rsid w:val="004A6510"/>
    <w:rsid w:val="004A72F4"/>
    <w:rsid w:val="004A765E"/>
    <w:rsid w:val="004B0A20"/>
    <w:rsid w:val="004B0AAC"/>
    <w:rsid w:val="004B1057"/>
    <w:rsid w:val="004B155F"/>
    <w:rsid w:val="004B1570"/>
    <w:rsid w:val="004B157E"/>
    <w:rsid w:val="004B2490"/>
    <w:rsid w:val="004B2F2C"/>
    <w:rsid w:val="004B32C5"/>
    <w:rsid w:val="004B594E"/>
    <w:rsid w:val="004B5C64"/>
    <w:rsid w:val="004B5FD9"/>
    <w:rsid w:val="004B6232"/>
    <w:rsid w:val="004B62C6"/>
    <w:rsid w:val="004B6309"/>
    <w:rsid w:val="004B63D7"/>
    <w:rsid w:val="004B6635"/>
    <w:rsid w:val="004B6DF8"/>
    <w:rsid w:val="004B7D1E"/>
    <w:rsid w:val="004B7F30"/>
    <w:rsid w:val="004C0FC6"/>
    <w:rsid w:val="004C154D"/>
    <w:rsid w:val="004C1F0B"/>
    <w:rsid w:val="004C3104"/>
    <w:rsid w:val="004C57A4"/>
    <w:rsid w:val="004C6BB4"/>
    <w:rsid w:val="004C77D3"/>
    <w:rsid w:val="004C79F7"/>
    <w:rsid w:val="004D0AD3"/>
    <w:rsid w:val="004D1359"/>
    <w:rsid w:val="004D27F1"/>
    <w:rsid w:val="004D2F49"/>
    <w:rsid w:val="004D40BF"/>
    <w:rsid w:val="004D4A24"/>
    <w:rsid w:val="004D4D14"/>
    <w:rsid w:val="004D50C8"/>
    <w:rsid w:val="004D57D5"/>
    <w:rsid w:val="004D5D37"/>
    <w:rsid w:val="004D628A"/>
    <w:rsid w:val="004D7B70"/>
    <w:rsid w:val="004D7EA3"/>
    <w:rsid w:val="004E01DD"/>
    <w:rsid w:val="004E0897"/>
    <w:rsid w:val="004E12CB"/>
    <w:rsid w:val="004E1D4D"/>
    <w:rsid w:val="004E2194"/>
    <w:rsid w:val="004E279F"/>
    <w:rsid w:val="004E27F1"/>
    <w:rsid w:val="004E2FB0"/>
    <w:rsid w:val="004E30D9"/>
    <w:rsid w:val="004E3123"/>
    <w:rsid w:val="004E3935"/>
    <w:rsid w:val="004E6388"/>
    <w:rsid w:val="004E6455"/>
    <w:rsid w:val="004E7D8E"/>
    <w:rsid w:val="004F012A"/>
    <w:rsid w:val="004F0298"/>
    <w:rsid w:val="004F0893"/>
    <w:rsid w:val="004F0FA6"/>
    <w:rsid w:val="004F1200"/>
    <w:rsid w:val="004F1BE5"/>
    <w:rsid w:val="004F2D61"/>
    <w:rsid w:val="004F3919"/>
    <w:rsid w:val="004F3D23"/>
    <w:rsid w:val="004F4886"/>
    <w:rsid w:val="004F523F"/>
    <w:rsid w:val="004F55A5"/>
    <w:rsid w:val="004F58B7"/>
    <w:rsid w:val="004F6B95"/>
    <w:rsid w:val="004F6D04"/>
    <w:rsid w:val="004F6F94"/>
    <w:rsid w:val="004F731F"/>
    <w:rsid w:val="004F7AE5"/>
    <w:rsid w:val="004F7E80"/>
    <w:rsid w:val="004F7F22"/>
    <w:rsid w:val="0050114C"/>
    <w:rsid w:val="0050146E"/>
    <w:rsid w:val="00501494"/>
    <w:rsid w:val="005019F3"/>
    <w:rsid w:val="00502A16"/>
    <w:rsid w:val="00503915"/>
    <w:rsid w:val="0050534A"/>
    <w:rsid w:val="0050649B"/>
    <w:rsid w:val="00507B71"/>
    <w:rsid w:val="005109C7"/>
    <w:rsid w:val="00511890"/>
    <w:rsid w:val="0051261D"/>
    <w:rsid w:val="00512BFB"/>
    <w:rsid w:val="005136C1"/>
    <w:rsid w:val="005139EB"/>
    <w:rsid w:val="00513C2A"/>
    <w:rsid w:val="00514B19"/>
    <w:rsid w:val="005167E4"/>
    <w:rsid w:val="005168FB"/>
    <w:rsid w:val="00517268"/>
    <w:rsid w:val="0051790B"/>
    <w:rsid w:val="00517E16"/>
    <w:rsid w:val="00520E88"/>
    <w:rsid w:val="005211D6"/>
    <w:rsid w:val="005221A1"/>
    <w:rsid w:val="0052247A"/>
    <w:rsid w:val="00522DB2"/>
    <w:rsid w:val="0052393C"/>
    <w:rsid w:val="00524100"/>
    <w:rsid w:val="00526169"/>
    <w:rsid w:val="005269B0"/>
    <w:rsid w:val="00526B71"/>
    <w:rsid w:val="00527053"/>
    <w:rsid w:val="0052710E"/>
    <w:rsid w:val="00527167"/>
    <w:rsid w:val="00527352"/>
    <w:rsid w:val="00530285"/>
    <w:rsid w:val="00530A61"/>
    <w:rsid w:val="0053138C"/>
    <w:rsid w:val="00532D43"/>
    <w:rsid w:val="005334E9"/>
    <w:rsid w:val="00534914"/>
    <w:rsid w:val="00535208"/>
    <w:rsid w:val="005361F4"/>
    <w:rsid w:val="0053668A"/>
    <w:rsid w:val="0054049A"/>
    <w:rsid w:val="0054085B"/>
    <w:rsid w:val="00541E1D"/>
    <w:rsid w:val="00542D3C"/>
    <w:rsid w:val="005437CE"/>
    <w:rsid w:val="005449E2"/>
    <w:rsid w:val="00545706"/>
    <w:rsid w:val="00545AFA"/>
    <w:rsid w:val="005460A6"/>
    <w:rsid w:val="005460CF"/>
    <w:rsid w:val="0054692F"/>
    <w:rsid w:val="00546D01"/>
    <w:rsid w:val="0054750C"/>
    <w:rsid w:val="005476FF"/>
    <w:rsid w:val="00547B8C"/>
    <w:rsid w:val="00547EE7"/>
    <w:rsid w:val="00547FF4"/>
    <w:rsid w:val="00550B7E"/>
    <w:rsid w:val="005513B4"/>
    <w:rsid w:val="00551B3B"/>
    <w:rsid w:val="005521AB"/>
    <w:rsid w:val="00552204"/>
    <w:rsid w:val="0055376E"/>
    <w:rsid w:val="005541F9"/>
    <w:rsid w:val="005546C8"/>
    <w:rsid w:val="00554825"/>
    <w:rsid w:val="00554A6D"/>
    <w:rsid w:val="00554AEB"/>
    <w:rsid w:val="00555A23"/>
    <w:rsid w:val="005561F1"/>
    <w:rsid w:val="0055633C"/>
    <w:rsid w:val="00556887"/>
    <w:rsid w:val="00556DF6"/>
    <w:rsid w:val="00556F72"/>
    <w:rsid w:val="0055734F"/>
    <w:rsid w:val="00557DF3"/>
    <w:rsid w:val="00557E35"/>
    <w:rsid w:val="00557EEF"/>
    <w:rsid w:val="00560673"/>
    <w:rsid w:val="00562A6A"/>
    <w:rsid w:val="00563153"/>
    <w:rsid w:val="00563171"/>
    <w:rsid w:val="005635D9"/>
    <w:rsid w:val="00563EDF"/>
    <w:rsid w:val="00565718"/>
    <w:rsid w:val="00565EC8"/>
    <w:rsid w:val="00566BD8"/>
    <w:rsid w:val="00566C9A"/>
    <w:rsid w:val="0056711B"/>
    <w:rsid w:val="00570533"/>
    <w:rsid w:val="0057146C"/>
    <w:rsid w:val="005715F2"/>
    <w:rsid w:val="00571DB8"/>
    <w:rsid w:val="00572533"/>
    <w:rsid w:val="00572A1E"/>
    <w:rsid w:val="00573E72"/>
    <w:rsid w:val="00574387"/>
    <w:rsid w:val="00574541"/>
    <w:rsid w:val="00576B7B"/>
    <w:rsid w:val="00577656"/>
    <w:rsid w:val="0058092E"/>
    <w:rsid w:val="00582572"/>
    <w:rsid w:val="005826DA"/>
    <w:rsid w:val="005831AC"/>
    <w:rsid w:val="0058434E"/>
    <w:rsid w:val="005845C3"/>
    <w:rsid w:val="00584713"/>
    <w:rsid w:val="00584730"/>
    <w:rsid w:val="0058533A"/>
    <w:rsid w:val="00585AFC"/>
    <w:rsid w:val="00585D6A"/>
    <w:rsid w:val="00586AE2"/>
    <w:rsid w:val="00590735"/>
    <w:rsid w:val="0059114B"/>
    <w:rsid w:val="005917F1"/>
    <w:rsid w:val="00591FED"/>
    <w:rsid w:val="00593626"/>
    <w:rsid w:val="00595042"/>
    <w:rsid w:val="00596035"/>
    <w:rsid w:val="005961B1"/>
    <w:rsid w:val="00597275"/>
    <w:rsid w:val="005979A8"/>
    <w:rsid w:val="00597B2C"/>
    <w:rsid w:val="005A0055"/>
    <w:rsid w:val="005A00C2"/>
    <w:rsid w:val="005A0E6E"/>
    <w:rsid w:val="005A1592"/>
    <w:rsid w:val="005A1E8D"/>
    <w:rsid w:val="005A23C4"/>
    <w:rsid w:val="005A2AD5"/>
    <w:rsid w:val="005A2E6D"/>
    <w:rsid w:val="005A3F92"/>
    <w:rsid w:val="005A55CD"/>
    <w:rsid w:val="005A58A8"/>
    <w:rsid w:val="005A5DDB"/>
    <w:rsid w:val="005A5FB8"/>
    <w:rsid w:val="005A6E02"/>
    <w:rsid w:val="005A77CF"/>
    <w:rsid w:val="005A7917"/>
    <w:rsid w:val="005B052F"/>
    <w:rsid w:val="005B0B4E"/>
    <w:rsid w:val="005B0E0F"/>
    <w:rsid w:val="005B2659"/>
    <w:rsid w:val="005B282F"/>
    <w:rsid w:val="005B2B96"/>
    <w:rsid w:val="005B2DE9"/>
    <w:rsid w:val="005B2E6C"/>
    <w:rsid w:val="005B2E90"/>
    <w:rsid w:val="005B3D78"/>
    <w:rsid w:val="005B4C0B"/>
    <w:rsid w:val="005B571D"/>
    <w:rsid w:val="005B6082"/>
    <w:rsid w:val="005B66DD"/>
    <w:rsid w:val="005B7004"/>
    <w:rsid w:val="005B7C47"/>
    <w:rsid w:val="005C08A5"/>
    <w:rsid w:val="005C0C3F"/>
    <w:rsid w:val="005C13B8"/>
    <w:rsid w:val="005C21B6"/>
    <w:rsid w:val="005C2395"/>
    <w:rsid w:val="005C2538"/>
    <w:rsid w:val="005C2F9D"/>
    <w:rsid w:val="005C32C8"/>
    <w:rsid w:val="005C46A6"/>
    <w:rsid w:val="005C4D3E"/>
    <w:rsid w:val="005C5C2E"/>
    <w:rsid w:val="005C5FB8"/>
    <w:rsid w:val="005C61D9"/>
    <w:rsid w:val="005C71EF"/>
    <w:rsid w:val="005C7AF0"/>
    <w:rsid w:val="005C7B68"/>
    <w:rsid w:val="005D0BB7"/>
    <w:rsid w:val="005D1273"/>
    <w:rsid w:val="005D1661"/>
    <w:rsid w:val="005D187C"/>
    <w:rsid w:val="005D1B4A"/>
    <w:rsid w:val="005D1C57"/>
    <w:rsid w:val="005D1CDF"/>
    <w:rsid w:val="005D1EB5"/>
    <w:rsid w:val="005D21AE"/>
    <w:rsid w:val="005D37FA"/>
    <w:rsid w:val="005D49B5"/>
    <w:rsid w:val="005D6644"/>
    <w:rsid w:val="005D6D97"/>
    <w:rsid w:val="005D7878"/>
    <w:rsid w:val="005E1127"/>
    <w:rsid w:val="005E2C32"/>
    <w:rsid w:val="005E305F"/>
    <w:rsid w:val="005E37F1"/>
    <w:rsid w:val="005E5C79"/>
    <w:rsid w:val="005E5D7E"/>
    <w:rsid w:val="005E6186"/>
    <w:rsid w:val="005E7258"/>
    <w:rsid w:val="005E788D"/>
    <w:rsid w:val="005E7938"/>
    <w:rsid w:val="005F0889"/>
    <w:rsid w:val="005F0CD1"/>
    <w:rsid w:val="005F0D21"/>
    <w:rsid w:val="005F0E17"/>
    <w:rsid w:val="005F1BC9"/>
    <w:rsid w:val="005F1FFA"/>
    <w:rsid w:val="005F2263"/>
    <w:rsid w:val="005F2BD3"/>
    <w:rsid w:val="005F2FE3"/>
    <w:rsid w:val="005F64A0"/>
    <w:rsid w:val="005F6849"/>
    <w:rsid w:val="005F79DA"/>
    <w:rsid w:val="00600435"/>
    <w:rsid w:val="00601396"/>
    <w:rsid w:val="00601620"/>
    <w:rsid w:val="00601943"/>
    <w:rsid w:val="00602059"/>
    <w:rsid w:val="00604D60"/>
    <w:rsid w:val="00605742"/>
    <w:rsid w:val="006070E4"/>
    <w:rsid w:val="00612249"/>
    <w:rsid w:val="00612334"/>
    <w:rsid w:val="00612424"/>
    <w:rsid w:val="00612D08"/>
    <w:rsid w:val="006143ED"/>
    <w:rsid w:val="00614E7B"/>
    <w:rsid w:val="00615963"/>
    <w:rsid w:val="00616710"/>
    <w:rsid w:val="00617556"/>
    <w:rsid w:val="00620077"/>
    <w:rsid w:val="006208D0"/>
    <w:rsid w:val="00621011"/>
    <w:rsid w:val="006213D4"/>
    <w:rsid w:val="00621514"/>
    <w:rsid w:val="006227EB"/>
    <w:rsid w:val="0062405F"/>
    <w:rsid w:val="0062486B"/>
    <w:rsid w:val="00625D2F"/>
    <w:rsid w:val="00625EFF"/>
    <w:rsid w:val="00625F01"/>
    <w:rsid w:val="0062638C"/>
    <w:rsid w:val="00627D2F"/>
    <w:rsid w:val="00630223"/>
    <w:rsid w:val="006305B9"/>
    <w:rsid w:val="00631F2C"/>
    <w:rsid w:val="00634EC5"/>
    <w:rsid w:val="00635D7A"/>
    <w:rsid w:val="006365D5"/>
    <w:rsid w:val="006369E0"/>
    <w:rsid w:val="006372EC"/>
    <w:rsid w:val="0063769C"/>
    <w:rsid w:val="00641D72"/>
    <w:rsid w:val="0064207F"/>
    <w:rsid w:val="00642289"/>
    <w:rsid w:val="00642571"/>
    <w:rsid w:val="00642ADF"/>
    <w:rsid w:val="00643C5A"/>
    <w:rsid w:val="00643CC8"/>
    <w:rsid w:val="0064519B"/>
    <w:rsid w:val="0064564D"/>
    <w:rsid w:val="00645CF6"/>
    <w:rsid w:val="00646A35"/>
    <w:rsid w:val="00647972"/>
    <w:rsid w:val="0065010D"/>
    <w:rsid w:val="0065046E"/>
    <w:rsid w:val="00650F77"/>
    <w:rsid w:val="00650FBD"/>
    <w:rsid w:val="00651D2A"/>
    <w:rsid w:val="00651EE3"/>
    <w:rsid w:val="00653E65"/>
    <w:rsid w:val="00653FBB"/>
    <w:rsid w:val="00654756"/>
    <w:rsid w:val="00655549"/>
    <w:rsid w:val="00656794"/>
    <w:rsid w:val="00660BB3"/>
    <w:rsid w:val="00660C09"/>
    <w:rsid w:val="00661DAF"/>
    <w:rsid w:val="0066256E"/>
    <w:rsid w:val="00662C36"/>
    <w:rsid w:val="00662FA5"/>
    <w:rsid w:val="006634D3"/>
    <w:rsid w:val="0066586C"/>
    <w:rsid w:val="006658C3"/>
    <w:rsid w:val="006669A7"/>
    <w:rsid w:val="00666FFA"/>
    <w:rsid w:val="00667A68"/>
    <w:rsid w:val="00667F2E"/>
    <w:rsid w:val="0067173C"/>
    <w:rsid w:val="00672107"/>
    <w:rsid w:val="00672D22"/>
    <w:rsid w:val="00672ECC"/>
    <w:rsid w:val="006738CD"/>
    <w:rsid w:val="0067395D"/>
    <w:rsid w:val="00674834"/>
    <w:rsid w:val="00674AB6"/>
    <w:rsid w:val="00674F13"/>
    <w:rsid w:val="00675A72"/>
    <w:rsid w:val="00676A51"/>
    <w:rsid w:val="0068009D"/>
    <w:rsid w:val="00680142"/>
    <w:rsid w:val="00680D29"/>
    <w:rsid w:val="006820ED"/>
    <w:rsid w:val="0068225F"/>
    <w:rsid w:val="006829AC"/>
    <w:rsid w:val="00683EDA"/>
    <w:rsid w:val="0068555E"/>
    <w:rsid w:val="0068616A"/>
    <w:rsid w:val="00686598"/>
    <w:rsid w:val="00686BD1"/>
    <w:rsid w:val="00687685"/>
    <w:rsid w:val="006876EB"/>
    <w:rsid w:val="00690685"/>
    <w:rsid w:val="00690A71"/>
    <w:rsid w:val="00691393"/>
    <w:rsid w:val="00691CCE"/>
    <w:rsid w:val="0069235D"/>
    <w:rsid w:val="00692AF7"/>
    <w:rsid w:val="00694BC6"/>
    <w:rsid w:val="006951F3"/>
    <w:rsid w:val="00695323"/>
    <w:rsid w:val="006954E7"/>
    <w:rsid w:val="00697BC0"/>
    <w:rsid w:val="006A013A"/>
    <w:rsid w:val="006A04CA"/>
    <w:rsid w:val="006A1B1C"/>
    <w:rsid w:val="006A1B8A"/>
    <w:rsid w:val="006A21BD"/>
    <w:rsid w:val="006A24E1"/>
    <w:rsid w:val="006A2C29"/>
    <w:rsid w:val="006A2D45"/>
    <w:rsid w:val="006A32D6"/>
    <w:rsid w:val="006A51A0"/>
    <w:rsid w:val="006A6917"/>
    <w:rsid w:val="006A7962"/>
    <w:rsid w:val="006B075D"/>
    <w:rsid w:val="006B0A2A"/>
    <w:rsid w:val="006B1368"/>
    <w:rsid w:val="006B1B60"/>
    <w:rsid w:val="006B210D"/>
    <w:rsid w:val="006B2732"/>
    <w:rsid w:val="006B29BE"/>
    <w:rsid w:val="006B2A78"/>
    <w:rsid w:val="006B2D98"/>
    <w:rsid w:val="006B30B1"/>
    <w:rsid w:val="006B31C8"/>
    <w:rsid w:val="006B4305"/>
    <w:rsid w:val="006B51A1"/>
    <w:rsid w:val="006B5474"/>
    <w:rsid w:val="006B5E45"/>
    <w:rsid w:val="006C0C90"/>
    <w:rsid w:val="006C0F4D"/>
    <w:rsid w:val="006C0F79"/>
    <w:rsid w:val="006C115C"/>
    <w:rsid w:val="006C1C9D"/>
    <w:rsid w:val="006C5909"/>
    <w:rsid w:val="006C5C51"/>
    <w:rsid w:val="006C5CEA"/>
    <w:rsid w:val="006C6304"/>
    <w:rsid w:val="006D0ED9"/>
    <w:rsid w:val="006D16DE"/>
    <w:rsid w:val="006D292F"/>
    <w:rsid w:val="006D2F48"/>
    <w:rsid w:val="006D308F"/>
    <w:rsid w:val="006D3DDB"/>
    <w:rsid w:val="006D4C5E"/>
    <w:rsid w:val="006D52BF"/>
    <w:rsid w:val="006D53C8"/>
    <w:rsid w:val="006D54FB"/>
    <w:rsid w:val="006D55D1"/>
    <w:rsid w:val="006D58C4"/>
    <w:rsid w:val="006D5DEA"/>
    <w:rsid w:val="006D5EA9"/>
    <w:rsid w:val="006D61FB"/>
    <w:rsid w:val="006D668F"/>
    <w:rsid w:val="006D675B"/>
    <w:rsid w:val="006D6A7B"/>
    <w:rsid w:val="006D7AB0"/>
    <w:rsid w:val="006D7BB7"/>
    <w:rsid w:val="006D7FA6"/>
    <w:rsid w:val="006E08D7"/>
    <w:rsid w:val="006E1174"/>
    <w:rsid w:val="006E2F55"/>
    <w:rsid w:val="006E5636"/>
    <w:rsid w:val="006E5C2A"/>
    <w:rsid w:val="006E60A6"/>
    <w:rsid w:val="006E6125"/>
    <w:rsid w:val="006E667A"/>
    <w:rsid w:val="006E7089"/>
    <w:rsid w:val="006E74CD"/>
    <w:rsid w:val="006E7A05"/>
    <w:rsid w:val="006F169F"/>
    <w:rsid w:val="006F1D29"/>
    <w:rsid w:val="006F31B7"/>
    <w:rsid w:val="006F348A"/>
    <w:rsid w:val="006F390C"/>
    <w:rsid w:val="006F436A"/>
    <w:rsid w:val="006F5F96"/>
    <w:rsid w:val="006F6000"/>
    <w:rsid w:val="006F68DB"/>
    <w:rsid w:val="006F7A98"/>
    <w:rsid w:val="00700409"/>
    <w:rsid w:val="00700584"/>
    <w:rsid w:val="00700F8A"/>
    <w:rsid w:val="00701D22"/>
    <w:rsid w:val="007023E8"/>
    <w:rsid w:val="0070268E"/>
    <w:rsid w:val="00702D09"/>
    <w:rsid w:val="0070366E"/>
    <w:rsid w:val="00703D78"/>
    <w:rsid w:val="00703E6C"/>
    <w:rsid w:val="00704B33"/>
    <w:rsid w:val="00704B37"/>
    <w:rsid w:val="007053AC"/>
    <w:rsid w:val="0070591B"/>
    <w:rsid w:val="00706AB8"/>
    <w:rsid w:val="00707AA8"/>
    <w:rsid w:val="007129D5"/>
    <w:rsid w:val="007133DF"/>
    <w:rsid w:val="00713CD4"/>
    <w:rsid w:val="00714636"/>
    <w:rsid w:val="007147EF"/>
    <w:rsid w:val="007147F6"/>
    <w:rsid w:val="00714C12"/>
    <w:rsid w:val="007163D2"/>
    <w:rsid w:val="00717C3F"/>
    <w:rsid w:val="00717C44"/>
    <w:rsid w:val="00720A98"/>
    <w:rsid w:val="007210F1"/>
    <w:rsid w:val="00721537"/>
    <w:rsid w:val="00722684"/>
    <w:rsid w:val="0072282A"/>
    <w:rsid w:val="00722936"/>
    <w:rsid w:val="00722B87"/>
    <w:rsid w:val="00723738"/>
    <w:rsid w:val="00723D1D"/>
    <w:rsid w:val="00723E53"/>
    <w:rsid w:val="00724614"/>
    <w:rsid w:val="00725574"/>
    <w:rsid w:val="00725C01"/>
    <w:rsid w:val="00725EE9"/>
    <w:rsid w:val="00726B9C"/>
    <w:rsid w:val="00727F6C"/>
    <w:rsid w:val="00730A0B"/>
    <w:rsid w:val="00730A32"/>
    <w:rsid w:val="00731CBC"/>
    <w:rsid w:val="007323AB"/>
    <w:rsid w:val="00734CF3"/>
    <w:rsid w:val="00736666"/>
    <w:rsid w:val="00736909"/>
    <w:rsid w:val="00737EC2"/>
    <w:rsid w:val="0074047B"/>
    <w:rsid w:val="00740A1D"/>
    <w:rsid w:val="00740D23"/>
    <w:rsid w:val="00742700"/>
    <w:rsid w:val="00744409"/>
    <w:rsid w:val="0074473F"/>
    <w:rsid w:val="00744D78"/>
    <w:rsid w:val="00745B4A"/>
    <w:rsid w:val="00745E2F"/>
    <w:rsid w:val="007464DD"/>
    <w:rsid w:val="007466EC"/>
    <w:rsid w:val="0074746B"/>
    <w:rsid w:val="007474BF"/>
    <w:rsid w:val="00747754"/>
    <w:rsid w:val="00747D40"/>
    <w:rsid w:val="00750E44"/>
    <w:rsid w:val="00751789"/>
    <w:rsid w:val="007518B9"/>
    <w:rsid w:val="00751A63"/>
    <w:rsid w:val="00752177"/>
    <w:rsid w:val="00753348"/>
    <w:rsid w:val="00754AC7"/>
    <w:rsid w:val="007561A7"/>
    <w:rsid w:val="00760432"/>
    <w:rsid w:val="007609BD"/>
    <w:rsid w:val="00760C3F"/>
    <w:rsid w:val="0076112A"/>
    <w:rsid w:val="00761186"/>
    <w:rsid w:val="00762B7C"/>
    <w:rsid w:val="00763B02"/>
    <w:rsid w:val="00763B44"/>
    <w:rsid w:val="00763E00"/>
    <w:rsid w:val="0076491C"/>
    <w:rsid w:val="00764DD3"/>
    <w:rsid w:val="007661E6"/>
    <w:rsid w:val="00767115"/>
    <w:rsid w:val="00767C30"/>
    <w:rsid w:val="00770240"/>
    <w:rsid w:val="00770551"/>
    <w:rsid w:val="00770DE4"/>
    <w:rsid w:val="007732FF"/>
    <w:rsid w:val="007734A3"/>
    <w:rsid w:val="00773794"/>
    <w:rsid w:val="00774576"/>
    <w:rsid w:val="00774C31"/>
    <w:rsid w:val="007757DD"/>
    <w:rsid w:val="00775B58"/>
    <w:rsid w:val="00775C17"/>
    <w:rsid w:val="0077649A"/>
    <w:rsid w:val="007765B2"/>
    <w:rsid w:val="00776733"/>
    <w:rsid w:val="00777A43"/>
    <w:rsid w:val="00781502"/>
    <w:rsid w:val="00781731"/>
    <w:rsid w:val="007823C3"/>
    <w:rsid w:val="0078247F"/>
    <w:rsid w:val="00782A17"/>
    <w:rsid w:val="007838AC"/>
    <w:rsid w:val="00783D24"/>
    <w:rsid w:val="00784548"/>
    <w:rsid w:val="00785144"/>
    <w:rsid w:val="0078565F"/>
    <w:rsid w:val="00785798"/>
    <w:rsid w:val="00786915"/>
    <w:rsid w:val="00786FA7"/>
    <w:rsid w:val="007870CB"/>
    <w:rsid w:val="00787860"/>
    <w:rsid w:val="007900ED"/>
    <w:rsid w:val="007904DA"/>
    <w:rsid w:val="007909BD"/>
    <w:rsid w:val="007912AA"/>
    <w:rsid w:val="00792CF4"/>
    <w:rsid w:val="007930E0"/>
    <w:rsid w:val="00794BDE"/>
    <w:rsid w:val="00795025"/>
    <w:rsid w:val="00795982"/>
    <w:rsid w:val="00795F2F"/>
    <w:rsid w:val="007960CB"/>
    <w:rsid w:val="00796262"/>
    <w:rsid w:val="00796588"/>
    <w:rsid w:val="00796796"/>
    <w:rsid w:val="00796E87"/>
    <w:rsid w:val="00796FE9"/>
    <w:rsid w:val="00797472"/>
    <w:rsid w:val="00797870"/>
    <w:rsid w:val="00797CB4"/>
    <w:rsid w:val="007A0992"/>
    <w:rsid w:val="007A0C29"/>
    <w:rsid w:val="007A1DF5"/>
    <w:rsid w:val="007A3071"/>
    <w:rsid w:val="007A3171"/>
    <w:rsid w:val="007A3BC8"/>
    <w:rsid w:val="007A3CD6"/>
    <w:rsid w:val="007A3FD7"/>
    <w:rsid w:val="007A4341"/>
    <w:rsid w:val="007A4D4D"/>
    <w:rsid w:val="007A5BC0"/>
    <w:rsid w:val="007A6BFF"/>
    <w:rsid w:val="007A779D"/>
    <w:rsid w:val="007A7A21"/>
    <w:rsid w:val="007A7AEB"/>
    <w:rsid w:val="007A7DFC"/>
    <w:rsid w:val="007B16BE"/>
    <w:rsid w:val="007B19A9"/>
    <w:rsid w:val="007B1DE3"/>
    <w:rsid w:val="007B1F96"/>
    <w:rsid w:val="007B3378"/>
    <w:rsid w:val="007B37CA"/>
    <w:rsid w:val="007B3EEF"/>
    <w:rsid w:val="007B4157"/>
    <w:rsid w:val="007B4ACE"/>
    <w:rsid w:val="007B4C84"/>
    <w:rsid w:val="007B4E62"/>
    <w:rsid w:val="007B6070"/>
    <w:rsid w:val="007B6146"/>
    <w:rsid w:val="007B6BFC"/>
    <w:rsid w:val="007B6C6A"/>
    <w:rsid w:val="007B6E9C"/>
    <w:rsid w:val="007B73B8"/>
    <w:rsid w:val="007C03F4"/>
    <w:rsid w:val="007C13DE"/>
    <w:rsid w:val="007C1582"/>
    <w:rsid w:val="007C3812"/>
    <w:rsid w:val="007C59A4"/>
    <w:rsid w:val="007C5C6E"/>
    <w:rsid w:val="007C5E3C"/>
    <w:rsid w:val="007C60BA"/>
    <w:rsid w:val="007C6ABC"/>
    <w:rsid w:val="007D0564"/>
    <w:rsid w:val="007D0A38"/>
    <w:rsid w:val="007D0FE4"/>
    <w:rsid w:val="007D142D"/>
    <w:rsid w:val="007D1EC3"/>
    <w:rsid w:val="007D258E"/>
    <w:rsid w:val="007D31B2"/>
    <w:rsid w:val="007D4E7F"/>
    <w:rsid w:val="007D6A83"/>
    <w:rsid w:val="007D76F1"/>
    <w:rsid w:val="007E0040"/>
    <w:rsid w:val="007E073F"/>
    <w:rsid w:val="007E096E"/>
    <w:rsid w:val="007E0FE1"/>
    <w:rsid w:val="007E1618"/>
    <w:rsid w:val="007E1873"/>
    <w:rsid w:val="007E25CA"/>
    <w:rsid w:val="007E26E5"/>
    <w:rsid w:val="007E3461"/>
    <w:rsid w:val="007E3A1D"/>
    <w:rsid w:val="007E58AD"/>
    <w:rsid w:val="007E6FC8"/>
    <w:rsid w:val="007E736B"/>
    <w:rsid w:val="007F06C8"/>
    <w:rsid w:val="007F0B0B"/>
    <w:rsid w:val="007F0C55"/>
    <w:rsid w:val="007F115F"/>
    <w:rsid w:val="007F1173"/>
    <w:rsid w:val="007F20B3"/>
    <w:rsid w:val="007F21CE"/>
    <w:rsid w:val="007F299B"/>
    <w:rsid w:val="007F2ABA"/>
    <w:rsid w:val="007F2AFA"/>
    <w:rsid w:val="007F3D1F"/>
    <w:rsid w:val="007F4AC7"/>
    <w:rsid w:val="007F4B99"/>
    <w:rsid w:val="007F4FC0"/>
    <w:rsid w:val="007F5994"/>
    <w:rsid w:val="007F5E72"/>
    <w:rsid w:val="007F6134"/>
    <w:rsid w:val="007F7959"/>
    <w:rsid w:val="008004CA"/>
    <w:rsid w:val="008008C3"/>
    <w:rsid w:val="00801B29"/>
    <w:rsid w:val="00802A8B"/>
    <w:rsid w:val="00802B66"/>
    <w:rsid w:val="008041A1"/>
    <w:rsid w:val="00805085"/>
    <w:rsid w:val="008072CD"/>
    <w:rsid w:val="00807705"/>
    <w:rsid w:val="008108CC"/>
    <w:rsid w:val="00810C9D"/>
    <w:rsid w:val="00812423"/>
    <w:rsid w:val="00812D3C"/>
    <w:rsid w:val="00813804"/>
    <w:rsid w:val="008148FA"/>
    <w:rsid w:val="0081598B"/>
    <w:rsid w:val="00816AB8"/>
    <w:rsid w:val="00816AC8"/>
    <w:rsid w:val="008171FC"/>
    <w:rsid w:val="00817CE9"/>
    <w:rsid w:val="0082048A"/>
    <w:rsid w:val="008206E1"/>
    <w:rsid w:val="0082074F"/>
    <w:rsid w:val="0082081C"/>
    <w:rsid w:val="00820B04"/>
    <w:rsid w:val="00820E45"/>
    <w:rsid w:val="00821097"/>
    <w:rsid w:val="00821B67"/>
    <w:rsid w:val="00821D8A"/>
    <w:rsid w:val="008221B4"/>
    <w:rsid w:val="00822BC8"/>
    <w:rsid w:val="00823B3F"/>
    <w:rsid w:val="00823B95"/>
    <w:rsid w:val="0082443E"/>
    <w:rsid w:val="008258D1"/>
    <w:rsid w:val="00825A5F"/>
    <w:rsid w:val="00827815"/>
    <w:rsid w:val="00830365"/>
    <w:rsid w:val="0083078C"/>
    <w:rsid w:val="00830FA8"/>
    <w:rsid w:val="0083225F"/>
    <w:rsid w:val="0083268B"/>
    <w:rsid w:val="00832D65"/>
    <w:rsid w:val="00833BC5"/>
    <w:rsid w:val="008344D1"/>
    <w:rsid w:val="00834BDD"/>
    <w:rsid w:val="00834E9D"/>
    <w:rsid w:val="00835444"/>
    <w:rsid w:val="00835832"/>
    <w:rsid w:val="00836653"/>
    <w:rsid w:val="00837629"/>
    <w:rsid w:val="00837ED7"/>
    <w:rsid w:val="0084115A"/>
    <w:rsid w:val="00841E02"/>
    <w:rsid w:val="00842E7E"/>
    <w:rsid w:val="00843613"/>
    <w:rsid w:val="00843A7C"/>
    <w:rsid w:val="00844400"/>
    <w:rsid w:val="00844A1F"/>
    <w:rsid w:val="00845B00"/>
    <w:rsid w:val="008461CB"/>
    <w:rsid w:val="0084662B"/>
    <w:rsid w:val="00846DEE"/>
    <w:rsid w:val="00847588"/>
    <w:rsid w:val="0084760C"/>
    <w:rsid w:val="0084798D"/>
    <w:rsid w:val="008479AC"/>
    <w:rsid w:val="00847C83"/>
    <w:rsid w:val="00850671"/>
    <w:rsid w:val="00851C6D"/>
    <w:rsid w:val="008546A4"/>
    <w:rsid w:val="008559FC"/>
    <w:rsid w:val="008563FD"/>
    <w:rsid w:val="00856403"/>
    <w:rsid w:val="0085765E"/>
    <w:rsid w:val="008601DC"/>
    <w:rsid w:val="00860341"/>
    <w:rsid w:val="008607DB"/>
    <w:rsid w:val="0086148F"/>
    <w:rsid w:val="0086154C"/>
    <w:rsid w:val="00861D13"/>
    <w:rsid w:val="00861D7C"/>
    <w:rsid w:val="0086215C"/>
    <w:rsid w:val="008625AA"/>
    <w:rsid w:val="008625AB"/>
    <w:rsid w:val="008626A6"/>
    <w:rsid w:val="00863145"/>
    <w:rsid w:val="00863E71"/>
    <w:rsid w:val="008648E4"/>
    <w:rsid w:val="00865396"/>
    <w:rsid w:val="00865A97"/>
    <w:rsid w:val="00865AB6"/>
    <w:rsid w:val="008669C5"/>
    <w:rsid w:val="008670FE"/>
    <w:rsid w:val="008679FA"/>
    <w:rsid w:val="0087009C"/>
    <w:rsid w:val="00870A7D"/>
    <w:rsid w:val="00871800"/>
    <w:rsid w:val="00871896"/>
    <w:rsid w:val="008720A1"/>
    <w:rsid w:val="008722E5"/>
    <w:rsid w:val="0087263B"/>
    <w:rsid w:val="00872F45"/>
    <w:rsid w:val="00874257"/>
    <w:rsid w:val="00874646"/>
    <w:rsid w:val="00875147"/>
    <w:rsid w:val="008754EC"/>
    <w:rsid w:val="0087617E"/>
    <w:rsid w:val="0087685E"/>
    <w:rsid w:val="00876DFA"/>
    <w:rsid w:val="00880430"/>
    <w:rsid w:val="00880716"/>
    <w:rsid w:val="00880C28"/>
    <w:rsid w:val="00880DB1"/>
    <w:rsid w:val="00882056"/>
    <w:rsid w:val="008820CC"/>
    <w:rsid w:val="00882760"/>
    <w:rsid w:val="00882E1B"/>
    <w:rsid w:val="00883126"/>
    <w:rsid w:val="0088365A"/>
    <w:rsid w:val="008843A2"/>
    <w:rsid w:val="00885441"/>
    <w:rsid w:val="00885447"/>
    <w:rsid w:val="0088606E"/>
    <w:rsid w:val="008869B1"/>
    <w:rsid w:val="00886BDB"/>
    <w:rsid w:val="008871CC"/>
    <w:rsid w:val="00887C0C"/>
    <w:rsid w:val="008905D5"/>
    <w:rsid w:val="00890FC5"/>
    <w:rsid w:val="008910D5"/>
    <w:rsid w:val="00892FF9"/>
    <w:rsid w:val="008933E9"/>
    <w:rsid w:val="00893791"/>
    <w:rsid w:val="00893B2A"/>
    <w:rsid w:val="00894604"/>
    <w:rsid w:val="008973CF"/>
    <w:rsid w:val="008979C5"/>
    <w:rsid w:val="008A0A2F"/>
    <w:rsid w:val="008A0E3B"/>
    <w:rsid w:val="008A1A78"/>
    <w:rsid w:val="008A2AD5"/>
    <w:rsid w:val="008A3733"/>
    <w:rsid w:val="008A39E4"/>
    <w:rsid w:val="008A4850"/>
    <w:rsid w:val="008A4BAC"/>
    <w:rsid w:val="008A4C83"/>
    <w:rsid w:val="008A57DA"/>
    <w:rsid w:val="008A5D39"/>
    <w:rsid w:val="008A5EB1"/>
    <w:rsid w:val="008A6EF4"/>
    <w:rsid w:val="008B1777"/>
    <w:rsid w:val="008B20E3"/>
    <w:rsid w:val="008B2426"/>
    <w:rsid w:val="008B500E"/>
    <w:rsid w:val="008B5AD7"/>
    <w:rsid w:val="008B60AA"/>
    <w:rsid w:val="008B6492"/>
    <w:rsid w:val="008B7CDC"/>
    <w:rsid w:val="008C10A2"/>
    <w:rsid w:val="008C11B7"/>
    <w:rsid w:val="008C19F8"/>
    <w:rsid w:val="008C2486"/>
    <w:rsid w:val="008C2C72"/>
    <w:rsid w:val="008C2FC5"/>
    <w:rsid w:val="008C360A"/>
    <w:rsid w:val="008C44B1"/>
    <w:rsid w:val="008C54FF"/>
    <w:rsid w:val="008C5941"/>
    <w:rsid w:val="008C5A06"/>
    <w:rsid w:val="008C604A"/>
    <w:rsid w:val="008C626F"/>
    <w:rsid w:val="008C7500"/>
    <w:rsid w:val="008C75B1"/>
    <w:rsid w:val="008C7736"/>
    <w:rsid w:val="008D0691"/>
    <w:rsid w:val="008D1108"/>
    <w:rsid w:val="008D1A71"/>
    <w:rsid w:val="008D1F1E"/>
    <w:rsid w:val="008D26A6"/>
    <w:rsid w:val="008D4833"/>
    <w:rsid w:val="008D51BB"/>
    <w:rsid w:val="008D7159"/>
    <w:rsid w:val="008D7B23"/>
    <w:rsid w:val="008D7BD9"/>
    <w:rsid w:val="008D7FCE"/>
    <w:rsid w:val="008E25C1"/>
    <w:rsid w:val="008E26B4"/>
    <w:rsid w:val="008E3797"/>
    <w:rsid w:val="008E4161"/>
    <w:rsid w:val="008E4168"/>
    <w:rsid w:val="008E4824"/>
    <w:rsid w:val="008E483E"/>
    <w:rsid w:val="008E531D"/>
    <w:rsid w:val="008E595C"/>
    <w:rsid w:val="008E5FF1"/>
    <w:rsid w:val="008E643E"/>
    <w:rsid w:val="008E6C38"/>
    <w:rsid w:val="008E708B"/>
    <w:rsid w:val="008E714D"/>
    <w:rsid w:val="008E71CD"/>
    <w:rsid w:val="008E7739"/>
    <w:rsid w:val="008F09E5"/>
    <w:rsid w:val="008F0EA3"/>
    <w:rsid w:val="008F2FBA"/>
    <w:rsid w:val="008F56D9"/>
    <w:rsid w:val="008F7B73"/>
    <w:rsid w:val="00900EB3"/>
    <w:rsid w:val="00900F75"/>
    <w:rsid w:val="009016B0"/>
    <w:rsid w:val="009017FC"/>
    <w:rsid w:val="00901B1A"/>
    <w:rsid w:val="00902886"/>
    <w:rsid w:val="0090318A"/>
    <w:rsid w:val="009035AF"/>
    <w:rsid w:val="009035E0"/>
    <w:rsid w:val="0090405D"/>
    <w:rsid w:val="0090727A"/>
    <w:rsid w:val="00907C83"/>
    <w:rsid w:val="0091002A"/>
    <w:rsid w:val="009103D8"/>
    <w:rsid w:val="00910F98"/>
    <w:rsid w:val="00912C5C"/>
    <w:rsid w:val="0091335A"/>
    <w:rsid w:val="009138F3"/>
    <w:rsid w:val="0091390E"/>
    <w:rsid w:val="00913F05"/>
    <w:rsid w:val="00914FCE"/>
    <w:rsid w:val="009153B0"/>
    <w:rsid w:val="009163EF"/>
    <w:rsid w:val="0091774D"/>
    <w:rsid w:val="009200D7"/>
    <w:rsid w:val="009201D1"/>
    <w:rsid w:val="009207CD"/>
    <w:rsid w:val="009213C2"/>
    <w:rsid w:val="0092229B"/>
    <w:rsid w:val="00922987"/>
    <w:rsid w:val="00922BC5"/>
    <w:rsid w:val="0092404F"/>
    <w:rsid w:val="0092435E"/>
    <w:rsid w:val="009243C8"/>
    <w:rsid w:val="00924F5A"/>
    <w:rsid w:val="00925609"/>
    <w:rsid w:val="00926087"/>
    <w:rsid w:val="00926463"/>
    <w:rsid w:val="00927DAE"/>
    <w:rsid w:val="00930267"/>
    <w:rsid w:val="00930381"/>
    <w:rsid w:val="009310DA"/>
    <w:rsid w:val="00931BEC"/>
    <w:rsid w:val="0093240C"/>
    <w:rsid w:val="00932FA6"/>
    <w:rsid w:val="00933D5C"/>
    <w:rsid w:val="00933E98"/>
    <w:rsid w:val="009357F6"/>
    <w:rsid w:val="00936488"/>
    <w:rsid w:val="009365AC"/>
    <w:rsid w:val="009367A7"/>
    <w:rsid w:val="00936DA2"/>
    <w:rsid w:val="00937311"/>
    <w:rsid w:val="00941907"/>
    <w:rsid w:val="00941EB6"/>
    <w:rsid w:val="009424AD"/>
    <w:rsid w:val="009425A7"/>
    <w:rsid w:val="00945022"/>
    <w:rsid w:val="009450B9"/>
    <w:rsid w:val="00945794"/>
    <w:rsid w:val="009469B5"/>
    <w:rsid w:val="00947C5E"/>
    <w:rsid w:val="009505CD"/>
    <w:rsid w:val="009522F2"/>
    <w:rsid w:val="0095344A"/>
    <w:rsid w:val="0095346F"/>
    <w:rsid w:val="00954483"/>
    <w:rsid w:val="00954B45"/>
    <w:rsid w:val="00954F0D"/>
    <w:rsid w:val="0095515E"/>
    <w:rsid w:val="009557F3"/>
    <w:rsid w:val="00956B43"/>
    <w:rsid w:val="00957A37"/>
    <w:rsid w:val="00957CBB"/>
    <w:rsid w:val="00957E13"/>
    <w:rsid w:val="0096000A"/>
    <w:rsid w:val="00961DB4"/>
    <w:rsid w:val="00962934"/>
    <w:rsid w:val="00964E00"/>
    <w:rsid w:val="00965BF1"/>
    <w:rsid w:val="00966707"/>
    <w:rsid w:val="009673E1"/>
    <w:rsid w:val="00967539"/>
    <w:rsid w:val="00967800"/>
    <w:rsid w:val="009679A9"/>
    <w:rsid w:val="00967FF7"/>
    <w:rsid w:val="00971AB6"/>
    <w:rsid w:val="00972203"/>
    <w:rsid w:val="00973795"/>
    <w:rsid w:val="00973B90"/>
    <w:rsid w:val="009769F8"/>
    <w:rsid w:val="00977227"/>
    <w:rsid w:val="00980156"/>
    <w:rsid w:val="00980286"/>
    <w:rsid w:val="00980507"/>
    <w:rsid w:val="009815D8"/>
    <w:rsid w:val="00981764"/>
    <w:rsid w:val="009848F4"/>
    <w:rsid w:val="00985418"/>
    <w:rsid w:val="0098586B"/>
    <w:rsid w:val="00985959"/>
    <w:rsid w:val="00985B0F"/>
    <w:rsid w:val="00985E6C"/>
    <w:rsid w:val="009861AC"/>
    <w:rsid w:val="00986BF4"/>
    <w:rsid w:val="009870A4"/>
    <w:rsid w:val="00990F78"/>
    <w:rsid w:val="00991B46"/>
    <w:rsid w:val="009923D3"/>
    <w:rsid w:val="00992A63"/>
    <w:rsid w:val="00992EA8"/>
    <w:rsid w:val="00993603"/>
    <w:rsid w:val="00993BEE"/>
    <w:rsid w:val="00994FB0"/>
    <w:rsid w:val="009967C9"/>
    <w:rsid w:val="0099712F"/>
    <w:rsid w:val="00997170"/>
    <w:rsid w:val="0099753C"/>
    <w:rsid w:val="009A05A9"/>
    <w:rsid w:val="009A0880"/>
    <w:rsid w:val="009A0B8B"/>
    <w:rsid w:val="009A21EE"/>
    <w:rsid w:val="009A23EA"/>
    <w:rsid w:val="009A25F0"/>
    <w:rsid w:val="009A47AA"/>
    <w:rsid w:val="009A5B92"/>
    <w:rsid w:val="009A5BBC"/>
    <w:rsid w:val="009B02CA"/>
    <w:rsid w:val="009B044B"/>
    <w:rsid w:val="009B0E90"/>
    <w:rsid w:val="009B146C"/>
    <w:rsid w:val="009B1509"/>
    <w:rsid w:val="009B22F9"/>
    <w:rsid w:val="009B29E9"/>
    <w:rsid w:val="009B36A2"/>
    <w:rsid w:val="009B5756"/>
    <w:rsid w:val="009B6022"/>
    <w:rsid w:val="009B6381"/>
    <w:rsid w:val="009B7617"/>
    <w:rsid w:val="009C03B0"/>
    <w:rsid w:val="009C06B3"/>
    <w:rsid w:val="009C14E1"/>
    <w:rsid w:val="009C1F6B"/>
    <w:rsid w:val="009C294A"/>
    <w:rsid w:val="009C4FEC"/>
    <w:rsid w:val="009C50C7"/>
    <w:rsid w:val="009C6224"/>
    <w:rsid w:val="009C6C6B"/>
    <w:rsid w:val="009C78EB"/>
    <w:rsid w:val="009C7AD6"/>
    <w:rsid w:val="009C7BB1"/>
    <w:rsid w:val="009C7DCC"/>
    <w:rsid w:val="009C7EFF"/>
    <w:rsid w:val="009D0F64"/>
    <w:rsid w:val="009D15D7"/>
    <w:rsid w:val="009D1D05"/>
    <w:rsid w:val="009D1EDB"/>
    <w:rsid w:val="009D23CA"/>
    <w:rsid w:val="009D2C0D"/>
    <w:rsid w:val="009D3571"/>
    <w:rsid w:val="009D38F8"/>
    <w:rsid w:val="009D4130"/>
    <w:rsid w:val="009D41D4"/>
    <w:rsid w:val="009D44E1"/>
    <w:rsid w:val="009D45EA"/>
    <w:rsid w:val="009D4C74"/>
    <w:rsid w:val="009D4FF2"/>
    <w:rsid w:val="009D5619"/>
    <w:rsid w:val="009D6546"/>
    <w:rsid w:val="009D6AC0"/>
    <w:rsid w:val="009D726C"/>
    <w:rsid w:val="009D7544"/>
    <w:rsid w:val="009D7DC0"/>
    <w:rsid w:val="009E06F3"/>
    <w:rsid w:val="009E0FAD"/>
    <w:rsid w:val="009E2990"/>
    <w:rsid w:val="009E3D6D"/>
    <w:rsid w:val="009E4136"/>
    <w:rsid w:val="009E4A33"/>
    <w:rsid w:val="009E4CED"/>
    <w:rsid w:val="009E5482"/>
    <w:rsid w:val="009E5D23"/>
    <w:rsid w:val="009E6496"/>
    <w:rsid w:val="009E6C28"/>
    <w:rsid w:val="009E75B8"/>
    <w:rsid w:val="009E7690"/>
    <w:rsid w:val="009F0993"/>
    <w:rsid w:val="009F1832"/>
    <w:rsid w:val="009F1DC8"/>
    <w:rsid w:val="009F2BFF"/>
    <w:rsid w:val="009F4612"/>
    <w:rsid w:val="009F72D8"/>
    <w:rsid w:val="00A002D9"/>
    <w:rsid w:val="00A00DEF"/>
    <w:rsid w:val="00A01817"/>
    <w:rsid w:val="00A01C9A"/>
    <w:rsid w:val="00A01D1C"/>
    <w:rsid w:val="00A02A2D"/>
    <w:rsid w:val="00A03BAC"/>
    <w:rsid w:val="00A04335"/>
    <w:rsid w:val="00A05CFC"/>
    <w:rsid w:val="00A07140"/>
    <w:rsid w:val="00A071CD"/>
    <w:rsid w:val="00A10D95"/>
    <w:rsid w:val="00A10F6F"/>
    <w:rsid w:val="00A10FE2"/>
    <w:rsid w:val="00A11133"/>
    <w:rsid w:val="00A11B68"/>
    <w:rsid w:val="00A122EA"/>
    <w:rsid w:val="00A133C3"/>
    <w:rsid w:val="00A147B6"/>
    <w:rsid w:val="00A14B15"/>
    <w:rsid w:val="00A14EB0"/>
    <w:rsid w:val="00A15079"/>
    <w:rsid w:val="00A15E23"/>
    <w:rsid w:val="00A16C37"/>
    <w:rsid w:val="00A171F4"/>
    <w:rsid w:val="00A17B3C"/>
    <w:rsid w:val="00A17D56"/>
    <w:rsid w:val="00A212AC"/>
    <w:rsid w:val="00A21FD8"/>
    <w:rsid w:val="00A22214"/>
    <w:rsid w:val="00A233CC"/>
    <w:rsid w:val="00A23446"/>
    <w:rsid w:val="00A24A0F"/>
    <w:rsid w:val="00A256A9"/>
    <w:rsid w:val="00A25CA0"/>
    <w:rsid w:val="00A26360"/>
    <w:rsid w:val="00A2646E"/>
    <w:rsid w:val="00A2692B"/>
    <w:rsid w:val="00A2694E"/>
    <w:rsid w:val="00A27BFF"/>
    <w:rsid w:val="00A3000F"/>
    <w:rsid w:val="00A304D2"/>
    <w:rsid w:val="00A30EDC"/>
    <w:rsid w:val="00A30FDD"/>
    <w:rsid w:val="00A3122D"/>
    <w:rsid w:val="00A3144A"/>
    <w:rsid w:val="00A317EC"/>
    <w:rsid w:val="00A31CE3"/>
    <w:rsid w:val="00A328A7"/>
    <w:rsid w:val="00A329BD"/>
    <w:rsid w:val="00A32DEC"/>
    <w:rsid w:val="00A32DFE"/>
    <w:rsid w:val="00A33934"/>
    <w:rsid w:val="00A34C15"/>
    <w:rsid w:val="00A34EB7"/>
    <w:rsid w:val="00A356D4"/>
    <w:rsid w:val="00A35C18"/>
    <w:rsid w:val="00A35E54"/>
    <w:rsid w:val="00A364DE"/>
    <w:rsid w:val="00A364FD"/>
    <w:rsid w:val="00A36FC8"/>
    <w:rsid w:val="00A37D12"/>
    <w:rsid w:val="00A40490"/>
    <w:rsid w:val="00A40C03"/>
    <w:rsid w:val="00A4171F"/>
    <w:rsid w:val="00A420EB"/>
    <w:rsid w:val="00A4256D"/>
    <w:rsid w:val="00A42698"/>
    <w:rsid w:val="00A42FA7"/>
    <w:rsid w:val="00A4348D"/>
    <w:rsid w:val="00A443AB"/>
    <w:rsid w:val="00A4566B"/>
    <w:rsid w:val="00A47364"/>
    <w:rsid w:val="00A47610"/>
    <w:rsid w:val="00A476A1"/>
    <w:rsid w:val="00A5037A"/>
    <w:rsid w:val="00A509C7"/>
    <w:rsid w:val="00A50E5B"/>
    <w:rsid w:val="00A512CC"/>
    <w:rsid w:val="00A51BC6"/>
    <w:rsid w:val="00A52651"/>
    <w:rsid w:val="00A528DB"/>
    <w:rsid w:val="00A52D4F"/>
    <w:rsid w:val="00A5310C"/>
    <w:rsid w:val="00A53141"/>
    <w:rsid w:val="00A53180"/>
    <w:rsid w:val="00A53C45"/>
    <w:rsid w:val="00A53DEC"/>
    <w:rsid w:val="00A54031"/>
    <w:rsid w:val="00A54055"/>
    <w:rsid w:val="00A54347"/>
    <w:rsid w:val="00A545DC"/>
    <w:rsid w:val="00A54608"/>
    <w:rsid w:val="00A547B7"/>
    <w:rsid w:val="00A54905"/>
    <w:rsid w:val="00A54C3D"/>
    <w:rsid w:val="00A55A6E"/>
    <w:rsid w:val="00A55E93"/>
    <w:rsid w:val="00A5689A"/>
    <w:rsid w:val="00A57DD5"/>
    <w:rsid w:val="00A608C0"/>
    <w:rsid w:val="00A60DBB"/>
    <w:rsid w:val="00A61603"/>
    <w:rsid w:val="00A633FD"/>
    <w:rsid w:val="00A6460B"/>
    <w:rsid w:val="00A64B34"/>
    <w:rsid w:val="00A64E5C"/>
    <w:rsid w:val="00A6581F"/>
    <w:rsid w:val="00A65B40"/>
    <w:rsid w:val="00A65CD9"/>
    <w:rsid w:val="00A670D4"/>
    <w:rsid w:val="00A674CF"/>
    <w:rsid w:val="00A67FAE"/>
    <w:rsid w:val="00A712A1"/>
    <w:rsid w:val="00A72750"/>
    <w:rsid w:val="00A72E9C"/>
    <w:rsid w:val="00A737B8"/>
    <w:rsid w:val="00A73A35"/>
    <w:rsid w:val="00A73CDD"/>
    <w:rsid w:val="00A74AC5"/>
    <w:rsid w:val="00A7619B"/>
    <w:rsid w:val="00A76DA5"/>
    <w:rsid w:val="00A804B2"/>
    <w:rsid w:val="00A80AB0"/>
    <w:rsid w:val="00A8113C"/>
    <w:rsid w:val="00A81A27"/>
    <w:rsid w:val="00A829EC"/>
    <w:rsid w:val="00A82BD6"/>
    <w:rsid w:val="00A82F79"/>
    <w:rsid w:val="00A83CB0"/>
    <w:rsid w:val="00A846DF"/>
    <w:rsid w:val="00A850D4"/>
    <w:rsid w:val="00A8565B"/>
    <w:rsid w:val="00A857C0"/>
    <w:rsid w:val="00A86758"/>
    <w:rsid w:val="00A87459"/>
    <w:rsid w:val="00A90253"/>
    <w:rsid w:val="00A903E5"/>
    <w:rsid w:val="00A917A1"/>
    <w:rsid w:val="00A91C39"/>
    <w:rsid w:val="00A92477"/>
    <w:rsid w:val="00A94BCE"/>
    <w:rsid w:val="00A94E10"/>
    <w:rsid w:val="00A95959"/>
    <w:rsid w:val="00A95E71"/>
    <w:rsid w:val="00A964CE"/>
    <w:rsid w:val="00A96919"/>
    <w:rsid w:val="00A96D5D"/>
    <w:rsid w:val="00A97626"/>
    <w:rsid w:val="00A97C27"/>
    <w:rsid w:val="00AA0E8E"/>
    <w:rsid w:val="00AA0EF6"/>
    <w:rsid w:val="00AA0F09"/>
    <w:rsid w:val="00AA120B"/>
    <w:rsid w:val="00AA1245"/>
    <w:rsid w:val="00AA1696"/>
    <w:rsid w:val="00AA23E5"/>
    <w:rsid w:val="00AA2F9A"/>
    <w:rsid w:val="00AA343D"/>
    <w:rsid w:val="00AA3BB9"/>
    <w:rsid w:val="00AA5066"/>
    <w:rsid w:val="00AA5153"/>
    <w:rsid w:val="00AA541F"/>
    <w:rsid w:val="00AA6116"/>
    <w:rsid w:val="00AA6171"/>
    <w:rsid w:val="00AA648A"/>
    <w:rsid w:val="00AA72F1"/>
    <w:rsid w:val="00AA796F"/>
    <w:rsid w:val="00AB0B38"/>
    <w:rsid w:val="00AB0BBA"/>
    <w:rsid w:val="00AB113F"/>
    <w:rsid w:val="00AB3038"/>
    <w:rsid w:val="00AB3C58"/>
    <w:rsid w:val="00AB455A"/>
    <w:rsid w:val="00AB4AC4"/>
    <w:rsid w:val="00AB58FB"/>
    <w:rsid w:val="00AB5D32"/>
    <w:rsid w:val="00AB7C86"/>
    <w:rsid w:val="00AC01B0"/>
    <w:rsid w:val="00AC06B7"/>
    <w:rsid w:val="00AC0D55"/>
    <w:rsid w:val="00AC4947"/>
    <w:rsid w:val="00AC4C76"/>
    <w:rsid w:val="00AC5157"/>
    <w:rsid w:val="00AC519A"/>
    <w:rsid w:val="00AC58F6"/>
    <w:rsid w:val="00AC69F9"/>
    <w:rsid w:val="00AC6FED"/>
    <w:rsid w:val="00AC7246"/>
    <w:rsid w:val="00AC74E3"/>
    <w:rsid w:val="00AC7E73"/>
    <w:rsid w:val="00AD00FB"/>
    <w:rsid w:val="00AD122B"/>
    <w:rsid w:val="00AD1E63"/>
    <w:rsid w:val="00AD2502"/>
    <w:rsid w:val="00AD31F6"/>
    <w:rsid w:val="00AD3889"/>
    <w:rsid w:val="00AD4182"/>
    <w:rsid w:val="00AD49B1"/>
    <w:rsid w:val="00AD4B29"/>
    <w:rsid w:val="00AD54CD"/>
    <w:rsid w:val="00AD5BB3"/>
    <w:rsid w:val="00AD5BDB"/>
    <w:rsid w:val="00AD72C5"/>
    <w:rsid w:val="00AD743C"/>
    <w:rsid w:val="00AD7733"/>
    <w:rsid w:val="00AD797D"/>
    <w:rsid w:val="00AE0517"/>
    <w:rsid w:val="00AE05E8"/>
    <w:rsid w:val="00AE0619"/>
    <w:rsid w:val="00AE0FA7"/>
    <w:rsid w:val="00AE18B4"/>
    <w:rsid w:val="00AE2322"/>
    <w:rsid w:val="00AE303B"/>
    <w:rsid w:val="00AE3783"/>
    <w:rsid w:val="00AE3DE7"/>
    <w:rsid w:val="00AE47C6"/>
    <w:rsid w:val="00AE66EE"/>
    <w:rsid w:val="00AE69DA"/>
    <w:rsid w:val="00AE7AE4"/>
    <w:rsid w:val="00AE7D08"/>
    <w:rsid w:val="00AF0DD6"/>
    <w:rsid w:val="00AF0EE2"/>
    <w:rsid w:val="00AF23F9"/>
    <w:rsid w:val="00AF2A33"/>
    <w:rsid w:val="00AF2C40"/>
    <w:rsid w:val="00AF36F4"/>
    <w:rsid w:val="00AF3CC0"/>
    <w:rsid w:val="00AF5985"/>
    <w:rsid w:val="00AF5BAD"/>
    <w:rsid w:val="00AF70E0"/>
    <w:rsid w:val="00B01713"/>
    <w:rsid w:val="00B021C4"/>
    <w:rsid w:val="00B032BF"/>
    <w:rsid w:val="00B040F5"/>
    <w:rsid w:val="00B041E2"/>
    <w:rsid w:val="00B043CF"/>
    <w:rsid w:val="00B04833"/>
    <w:rsid w:val="00B049E0"/>
    <w:rsid w:val="00B05C56"/>
    <w:rsid w:val="00B06964"/>
    <w:rsid w:val="00B07A87"/>
    <w:rsid w:val="00B1026E"/>
    <w:rsid w:val="00B10327"/>
    <w:rsid w:val="00B11225"/>
    <w:rsid w:val="00B1240B"/>
    <w:rsid w:val="00B12BA9"/>
    <w:rsid w:val="00B13FCA"/>
    <w:rsid w:val="00B144AA"/>
    <w:rsid w:val="00B14741"/>
    <w:rsid w:val="00B148D6"/>
    <w:rsid w:val="00B14C25"/>
    <w:rsid w:val="00B14F36"/>
    <w:rsid w:val="00B15051"/>
    <w:rsid w:val="00B163B5"/>
    <w:rsid w:val="00B164B1"/>
    <w:rsid w:val="00B1765C"/>
    <w:rsid w:val="00B179AC"/>
    <w:rsid w:val="00B17A1F"/>
    <w:rsid w:val="00B21463"/>
    <w:rsid w:val="00B21858"/>
    <w:rsid w:val="00B21E41"/>
    <w:rsid w:val="00B21E59"/>
    <w:rsid w:val="00B226E0"/>
    <w:rsid w:val="00B2367C"/>
    <w:rsid w:val="00B25F0E"/>
    <w:rsid w:val="00B27590"/>
    <w:rsid w:val="00B27616"/>
    <w:rsid w:val="00B279D5"/>
    <w:rsid w:val="00B27E70"/>
    <w:rsid w:val="00B27E8C"/>
    <w:rsid w:val="00B309F4"/>
    <w:rsid w:val="00B3354C"/>
    <w:rsid w:val="00B3356E"/>
    <w:rsid w:val="00B33A0B"/>
    <w:rsid w:val="00B33A3E"/>
    <w:rsid w:val="00B33D5F"/>
    <w:rsid w:val="00B34FA2"/>
    <w:rsid w:val="00B35F33"/>
    <w:rsid w:val="00B3711D"/>
    <w:rsid w:val="00B373C4"/>
    <w:rsid w:val="00B41A70"/>
    <w:rsid w:val="00B41DDB"/>
    <w:rsid w:val="00B41F25"/>
    <w:rsid w:val="00B423F1"/>
    <w:rsid w:val="00B4242D"/>
    <w:rsid w:val="00B42551"/>
    <w:rsid w:val="00B42D18"/>
    <w:rsid w:val="00B4324B"/>
    <w:rsid w:val="00B4329F"/>
    <w:rsid w:val="00B44276"/>
    <w:rsid w:val="00B4434F"/>
    <w:rsid w:val="00B44E83"/>
    <w:rsid w:val="00B45544"/>
    <w:rsid w:val="00B45E5C"/>
    <w:rsid w:val="00B4655A"/>
    <w:rsid w:val="00B4670C"/>
    <w:rsid w:val="00B4714B"/>
    <w:rsid w:val="00B478EC"/>
    <w:rsid w:val="00B47EB0"/>
    <w:rsid w:val="00B501A6"/>
    <w:rsid w:val="00B505FF"/>
    <w:rsid w:val="00B50AA6"/>
    <w:rsid w:val="00B50FBA"/>
    <w:rsid w:val="00B52114"/>
    <w:rsid w:val="00B52354"/>
    <w:rsid w:val="00B525C8"/>
    <w:rsid w:val="00B52A67"/>
    <w:rsid w:val="00B53F60"/>
    <w:rsid w:val="00B5474A"/>
    <w:rsid w:val="00B54ED8"/>
    <w:rsid w:val="00B5525D"/>
    <w:rsid w:val="00B55E15"/>
    <w:rsid w:val="00B56ED1"/>
    <w:rsid w:val="00B57436"/>
    <w:rsid w:val="00B615AF"/>
    <w:rsid w:val="00B62278"/>
    <w:rsid w:val="00B62CBA"/>
    <w:rsid w:val="00B63E2C"/>
    <w:rsid w:val="00B65DEE"/>
    <w:rsid w:val="00B66213"/>
    <w:rsid w:val="00B663D1"/>
    <w:rsid w:val="00B66C8B"/>
    <w:rsid w:val="00B67871"/>
    <w:rsid w:val="00B708CD"/>
    <w:rsid w:val="00B714C7"/>
    <w:rsid w:val="00B71648"/>
    <w:rsid w:val="00B7223C"/>
    <w:rsid w:val="00B726D4"/>
    <w:rsid w:val="00B72C53"/>
    <w:rsid w:val="00B72D92"/>
    <w:rsid w:val="00B72F55"/>
    <w:rsid w:val="00B735D6"/>
    <w:rsid w:val="00B7390E"/>
    <w:rsid w:val="00B74AFD"/>
    <w:rsid w:val="00B74DAF"/>
    <w:rsid w:val="00B76849"/>
    <w:rsid w:val="00B76A9C"/>
    <w:rsid w:val="00B772CB"/>
    <w:rsid w:val="00B77833"/>
    <w:rsid w:val="00B778BE"/>
    <w:rsid w:val="00B80E91"/>
    <w:rsid w:val="00B81325"/>
    <w:rsid w:val="00B822BC"/>
    <w:rsid w:val="00B8256B"/>
    <w:rsid w:val="00B826F3"/>
    <w:rsid w:val="00B827EF"/>
    <w:rsid w:val="00B82D72"/>
    <w:rsid w:val="00B86802"/>
    <w:rsid w:val="00B868C8"/>
    <w:rsid w:val="00B86EC6"/>
    <w:rsid w:val="00B87CC7"/>
    <w:rsid w:val="00B87E8F"/>
    <w:rsid w:val="00B9006C"/>
    <w:rsid w:val="00B90949"/>
    <w:rsid w:val="00B90980"/>
    <w:rsid w:val="00B90DF5"/>
    <w:rsid w:val="00B912B8"/>
    <w:rsid w:val="00B92727"/>
    <w:rsid w:val="00B9316E"/>
    <w:rsid w:val="00B93505"/>
    <w:rsid w:val="00B936CA"/>
    <w:rsid w:val="00B93886"/>
    <w:rsid w:val="00B93897"/>
    <w:rsid w:val="00B94833"/>
    <w:rsid w:val="00B94D8F"/>
    <w:rsid w:val="00B95667"/>
    <w:rsid w:val="00B96866"/>
    <w:rsid w:val="00B96892"/>
    <w:rsid w:val="00B97C00"/>
    <w:rsid w:val="00BA04DB"/>
    <w:rsid w:val="00BA1A8B"/>
    <w:rsid w:val="00BA20A3"/>
    <w:rsid w:val="00BA298F"/>
    <w:rsid w:val="00BA2C66"/>
    <w:rsid w:val="00BA2DCC"/>
    <w:rsid w:val="00BA3FDF"/>
    <w:rsid w:val="00BA46CC"/>
    <w:rsid w:val="00BA4C4D"/>
    <w:rsid w:val="00BA5C37"/>
    <w:rsid w:val="00BA67F0"/>
    <w:rsid w:val="00BB007C"/>
    <w:rsid w:val="00BB0457"/>
    <w:rsid w:val="00BB2235"/>
    <w:rsid w:val="00BB279A"/>
    <w:rsid w:val="00BB27BC"/>
    <w:rsid w:val="00BB2B7D"/>
    <w:rsid w:val="00BB373B"/>
    <w:rsid w:val="00BB435B"/>
    <w:rsid w:val="00BB44B6"/>
    <w:rsid w:val="00BB453F"/>
    <w:rsid w:val="00BB542E"/>
    <w:rsid w:val="00BB605C"/>
    <w:rsid w:val="00BB6429"/>
    <w:rsid w:val="00BB6739"/>
    <w:rsid w:val="00BB7108"/>
    <w:rsid w:val="00BB725E"/>
    <w:rsid w:val="00BB7916"/>
    <w:rsid w:val="00BB7953"/>
    <w:rsid w:val="00BC18A2"/>
    <w:rsid w:val="00BC288C"/>
    <w:rsid w:val="00BC3E06"/>
    <w:rsid w:val="00BC40D7"/>
    <w:rsid w:val="00BC4F87"/>
    <w:rsid w:val="00BC5E15"/>
    <w:rsid w:val="00BC6E48"/>
    <w:rsid w:val="00BC744E"/>
    <w:rsid w:val="00BD064E"/>
    <w:rsid w:val="00BD111E"/>
    <w:rsid w:val="00BD159D"/>
    <w:rsid w:val="00BD174D"/>
    <w:rsid w:val="00BD1764"/>
    <w:rsid w:val="00BD1C6E"/>
    <w:rsid w:val="00BD3045"/>
    <w:rsid w:val="00BD3CDA"/>
    <w:rsid w:val="00BD466A"/>
    <w:rsid w:val="00BD4E3A"/>
    <w:rsid w:val="00BD570E"/>
    <w:rsid w:val="00BD672F"/>
    <w:rsid w:val="00BD7044"/>
    <w:rsid w:val="00BD71E1"/>
    <w:rsid w:val="00BD72E1"/>
    <w:rsid w:val="00BD7B46"/>
    <w:rsid w:val="00BD7EA5"/>
    <w:rsid w:val="00BE11CC"/>
    <w:rsid w:val="00BE1276"/>
    <w:rsid w:val="00BE1A29"/>
    <w:rsid w:val="00BE1DAC"/>
    <w:rsid w:val="00BE23EB"/>
    <w:rsid w:val="00BE33A4"/>
    <w:rsid w:val="00BE3929"/>
    <w:rsid w:val="00BE39B6"/>
    <w:rsid w:val="00BE3F3E"/>
    <w:rsid w:val="00BE440C"/>
    <w:rsid w:val="00BE45D9"/>
    <w:rsid w:val="00BE5D1A"/>
    <w:rsid w:val="00BE60D2"/>
    <w:rsid w:val="00BE6390"/>
    <w:rsid w:val="00BE7393"/>
    <w:rsid w:val="00BE73F0"/>
    <w:rsid w:val="00BE75E4"/>
    <w:rsid w:val="00BF04E1"/>
    <w:rsid w:val="00BF0AE1"/>
    <w:rsid w:val="00BF0B95"/>
    <w:rsid w:val="00BF0EFD"/>
    <w:rsid w:val="00BF1E4D"/>
    <w:rsid w:val="00BF1F96"/>
    <w:rsid w:val="00BF2CBF"/>
    <w:rsid w:val="00BF31F0"/>
    <w:rsid w:val="00BF467E"/>
    <w:rsid w:val="00BF4E01"/>
    <w:rsid w:val="00BF4EF2"/>
    <w:rsid w:val="00BF5611"/>
    <w:rsid w:val="00BF584F"/>
    <w:rsid w:val="00BF65F4"/>
    <w:rsid w:val="00BF6815"/>
    <w:rsid w:val="00BF6974"/>
    <w:rsid w:val="00BF7685"/>
    <w:rsid w:val="00C004A9"/>
    <w:rsid w:val="00C006C5"/>
    <w:rsid w:val="00C00BF9"/>
    <w:rsid w:val="00C01088"/>
    <w:rsid w:val="00C01175"/>
    <w:rsid w:val="00C01344"/>
    <w:rsid w:val="00C018CD"/>
    <w:rsid w:val="00C028C0"/>
    <w:rsid w:val="00C02DB1"/>
    <w:rsid w:val="00C0347C"/>
    <w:rsid w:val="00C03DFF"/>
    <w:rsid w:val="00C042E5"/>
    <w:rsid w:val="00C04D31"/>
    <w:rsid w:val="00C04E20"/>
    <w:rsid w:val="00C10554"/>
    <w:rsid w:val="00C10B43"/>
    <w:rsid w:val="00C11BC1"/>
    <w:rsid w:val="00C13089"/>
    <w:rsid w:val="00C136CF"/>
    <w:rsid w:val="00C14538"/>
    <w:rsid w:val="00C14572"/>
    <w:rsid w:val="00C1463E"/>
    <w:rsid w:val="00C152AC"/>
    <w:rsid w:val="00C15398"/>
    <w:rsid w:val="00C16420"/>
    <w:rsid w:val="00C177D9"/>
    <w:rsid w:val="00C17ECE"/>
    <w:rsid w:val="00C20077"/>
    <w:rsid w:val="00C2050A"/>
    <w:rsid w:val="00C206A3"/>
    <w:rsid w:val="00C21315"/>
    <w:rsid w:val="00C21DD2"/>
    <w:rsid w:val="00C246CC"/>
    <w:rsid w:val="00C24E89"/>
    <w:rsid w:val="00C25EBB"/>
    <w:rsid w:val="00C267AC"/>
    <w:rsid w:val="00C271F2"/>
    <w:rsid w:val="00C272C6"/>
    <w:rsid w:val="00C27494"/>
    <w:rsid w:val="00C2775B"/>
    <w:rsid w:val="00C31343"/>
    <w:rsid w:val="00C31648"/>
    <w:rsid w:val="00C32BC9"/>
    <w:rsid w:val="00C33173"/>
    <w:rsid w:val="00C33188"/>
    <w:rsid w:val="00C335AE"/>
    <w:rsid w:val="00C33991"/>
    <w:rsid w:val="00C339B2"/>
    <w:rsid w:val="00C340AE"/>
    <w:rsid w:val="00C351B6"/>
    <w:rsid w:val="00C3633E"/>
    <w:rsid w:val="00C364A3"/>
    <w:rsid w:val="00C3739D"/>
    <w:rsid w:val="00C37875"/>
    <w:rsid w:val="00C406D4"/>
    <w:rsid w:val="00C40B1C"/>
    <w:rsid w:val="00C4189B"/>
    <w:rsid w:val="00C41F82"/>
    <w:rsid w:val="00C42706"/>
    <w:rsid w:val="00C427B7"/>
    <w:rsid w:val="00C44695"/>
    <w:rsid w:val="00C45C89"/>
    <w:rsid w:val="00C464D0"/>
    <w:rsid w:val="00C46586"/>
    <w:rsid w:val="00C46699"/>
    <w:rsid w:val="00C468C2"/>
    <w:rsid w:val="00C46E0C"/>
    <w:rsid w:val="00C4710E"/>
    <w:rsid w:val="00C47153"/>
    <w:rsid w:val="00C47476"/>
    <w:rsid w:val="00C47808"/>
    <w:rsid w:val="00C5041C"/>
    <w:rsid w:val="00C50D16"/>
    <w:rsid w:val="00C50FC4"/>
    <w:rsid w:val="00C510A3"/>
    <w:rsid w:val="00C51BA2"/>
    <w:rsid w:val="00C52DD4"/>
    <w:rsid w:val="00C52F32"/>
    <w:rsid w:val="00C53A44"/>
    <w:rsid w:val="00C53B3F"/>
    <w:rsid w:val="00C53BA0"/>
    <w:rsid w:val="00C53E56"/>
    <w:rsid w:val="00C55779"/>
    <w:rsid w:val="00C55B79"/>
    <w:rsid w:val="00C5717D"/>
    <w:rsid w:val="00C61A18"/>
    <w:rsid w:val="00C62782"/>
    <w:rsid w:val="00C63180"/>
    <w:rsid w:val="00C63829"/>
    <w:rsid w:val="00C648BD"/>
    <w:rsid w:val="00C65128"/>
    <w:rsid w:val="00C66365"/>
    <w:rsid w:val="00C668D9"/>
    <w:rsid w:val="00C671C8"/>
    <w:rsid w:val="00C7008B"/>
    <w:rsid w:val="00C705E2"/>
    <w:rsid w:val="00C707C1"/>
    <w:rsid w:val="00C719EF"/>
    <w:rsid w:val="00C71A57"/>
    <w:rsid w:val="00C71F40"/>
    <w:rsid w:val="00C731A4"/>
    <w:rsid w:val="00C74446"/>
    <w:rsid w:val="00C74572"/>
    <w:rsid w:val="00C74715"/>
    <w:rsid w:val="00C75F78"/>
    <w:rsid w:val="00C77BBB"/>
    <w:rsid w:val="00C8046C"/>
    <w:rsid w:val="00C82F54"/>
    <w:rsid w:val="00C8399E"/>
    <w:rsid w:val="00C857E5"/>
    <w:rsid w:val="00C867FF"/>
    <w:rsid w:val="00C86A04"/>
    <w:rsid w:val="00C873E5"/>
    <w:rsid w:val="00C875E8"/>
    <w:rsid w:val="00C879A7"/>
    <w:rsid w:val="00C9064E"/>
    <w:rsid w:val="00C90BBB"/>
    <w:rsid w:val="00C92216"/>
    <w:rsid w:val="00C9260A"/>
    <w:rsid w:val="00C927D2"/>
    <w:rsid w:val="00C93685"/>
    <w:rsid w:val="00C93BB7"/>
    <w:rsid w:val="00C93D70"/>
    <w:rsid w:val="00C94182"/>
    <w:rsid w:val="00C9483C"/>
    <w:rsid w:val="00C948B8"/>
    <w:rsid w:val="00C949BE"/>
    <w:rsid w:val="00C94E9B"/>
    <w:rsid w:val="00C952C3"/>
    <w:rsid w:val="00C95E88"/>
    <w:rsid w:val="00C96242"/>
    <w:rsid w:val="00C96A0F"/>
    <w:rsid w:val="00C97517"/>
    <w:rsid w:val="00C97554"/>
    <w:rsid w:val="00C9755A"/>
    <w:rsid w:val="00C97F91"/>
    <w:rsid w:val="00CA2888"/>
    <w:rsid w:val="00CA3436"/>
    <w:rsid w:val="00CA3E60"/>
    <w:rsid w:val="00CA42BA"/>
    <w:rsid w:val="00CA49A5"/>
    <w:rsid w:val="00CA5020"/>
    <w:rsid w:val="00CA5503"/>
    <w:rsid w:val="00CA6344"/>
    <w:rsid w:val="00CA6A26"/>
    <w:rsid w:val="00CA72D9"/>
    <w:rsid w:val="00CA7917"/>
    <w:rsid w:val="00CA7C86"/>
    <w:rsid w:val="00CB014E"/>
    <w:rsid w:val="00CB0FF7"/>
    <w:rsid w:val="00CB164D"/>
    <w:rsid w:val="00CB239D"/>
    <w:rsid w:val="00CB279D"/>
    <w:rsid w:val="00CB3E09"/>
    <w:rsid w:val="00CB4451"/>
    <w:rsid w:val="00CB53D5"/>
    <w:rsid w:val="00CB5A7C"/>
    <w:rsid w:val="00CB6668"/>
    <w:rsid w:val="00CC183F"/>
    <w:rsid w:val="00CC1C42"/>
    <w:rsid w:val="00CC280A"/>
    <w:rsid w:val="00CC2A6F"/>
    <w:rsid w:val="00CC31AA"/>
    <w:rsid w:val="00CC3264"/>
    <w:rsid w:val="00CC370D"/>
    <w:rsid w:val="00CC3C98"/>
    <w:rsid w:val="00CC3DCC"/>
    <w:rsid w:val="00CC42C0"/>
    <w:rsid w:val="00CC5299"/>
    <w:rsid w:val="00CC5750"/>
    <w:rsid w:val="00CC6658"/>
    <w:rsid w:val="00CC6FBB"/>
    <w:rsid w:val="00CC7002"/>
    <w:rsid w:val="00CC7E8E"/>
    <w:rsid w:val="00CD0AC7"/>
    <w:rsid w:val="00CD0C2B"/>
    <w:rsid w:val="00CD178B"/>
    <w:rsid w:val="00CD1B20"/>
    <w:rsid w:val="00CD2B4A"/>
    <w:rsid w:val="00CD2FDE"/>
    <w:rsid w:val="00CD3B4F"/>
    <w:rsid w:val="00CD3EF0"/>
    <w:rsid w:val="00CD3F3B"/>
    <w:rsid w:val="00CD5B1C"/>
    <w:rsid w:val="00CD5DD6"/>
    <w:rsid w:val="00CD5F90"/>
    <w:rsid w:val="00CD64D9"/>
    <w:rsid w:val="00CD7117"/>
    <w:rsid w:val="00CD775A"/>
    <w:rsid w:val="00CE11C4"/>
    <w:rsid w:val="00CE157D"/>
    <w:rsid w:val="00CE2044"/>
    <w:rsid w:val="00CE2CB3"/>
    <w:rsid w:val="00CE32CA"/>
    <w:rsid w:val="00CE396F"/>
    <w:rsid w:val="00CE4783"/>
    <w:rsid w:val="00CE4F82"/>
    <w:rsid w:val="00CE5168"/>
    <w:rsid w:val="00CE5FAD"/>
    <w:rsid w:val="00CE66E8"/>
    <w:rsid w:val="00CE6762"/>
    <w:rsid w:val="00CE7E5F"/>
    <w:rsid w:val="00CF00C0"/>
    <w:rsid w:val="00CF024D"/>
    <w:rsid w:val="00CF07CA"/>
    <w:rsid w:val="00CF0DCC"/>
    <w:rsid w:val="00CF12EA"/>
    <w:rsid w:val="00CF1513"/>
    <w:rsid w:val="00CF4F25"/>
    <w:rsid w:val="00CF6495"/>
    <w:rsid w:val="00CF740C"/>
    <w:rsid w:val="00CF75FC"/>
    <w:rsid w:val="00CF776E"/>
    <w:rsid w:val="00CF7ACF"/>
    <w:rsid w:val="00CF7F56"/>
    <w:rsid w:val="00D00198"/>
    <w:rsid w:val="00D00FA7"/>
    <w:rsid w:val="00D011A4"/>
    <w:rsid w:val="00D02307"/>
    <w:rsid w:val="00D025A4"/>
    <w:rsid w:val="00D031F9"/>
    <w:rsid w:val="00D0508B"/>
    <w:rsid w:val="00D05DBD"/>
    <w:rsid w:val="00D06658"/>
    <w:rsid w:val="00D07553"/>
    <w:rsid w:val="00D1069A"/>
    <w:rsid w:val="00D11CBE"/>
    <w:rsid w:val="00D123CC"/>
    <w:rsid w:val="00D12D07"/>
    <w:rsid w:val="00D13658"/>
    <w:rsid w:val="00D137BD"/>
    <w:rsid w:val="00D139DD"/>
    <w:rsid w:val="00D1430B"/>
    <w:rsid w:val="00D14EEC"/>
    <w:rsid w:val="00D15DFB"/>
    <w:rsid w:val="00D164E6"/>
    <w:rsid w:val="00D169FB"/>
    <w:rsid w:val="00D17BFD"/>
    <w:rsid w:val="00D208A1"/>
    <w:rsid w:val="00D2164B"/>
    <w:rsid w:val="00D22741"/>
    <w:rsid w:val="00D248C3"/>
    <w:rsid w:val="00D2495E"/>
    <w:rsid w:val="00D24B97"/>
    <w:rsid w:val="00D24BCB"/>
    <w:rsid w:val="00D25EA9"/>
    <w:rsid w:val="00D26314"/>
    <w:rsid w:val="00D27BC9"/>
    <w:rsid w:val="00D3009A"/>
    <w:rsid w:val="00D3061F"/>
    <w:rsid w:val="00D30CEF"/>
    <w:rsid w:val="00D3136C"/>
    <w:rsid w:val="00D31E19"/>
    <w:rsid w:val="00D32F29"/>
    <w:rsid w:val="00D33DB9"/>
    <w:rsid w:val="00D33FEA"/>
    <w:rsid w:val="00D342F7"/>
    <w:rsid w:val="00D345D0"/>
    <w:rsid w:val="00D3552E"/>
    <w:rsid w:val="00D35924"/>
    <w:rsid w:val="00D36E19"/>
    <w:rsid w:val="00D375B8"/>
    <w:rsid w:val="00D37870"/>
    <w:rsid w:val="00D37B63"/>
    <w:rsid w:val="00D40E41"/>
    <w:rsid w:val="00D427DE"/>
    <w:rsid w:val="00D43AAD"/>
    <w:rsid w:val="00D4446A"/>
    <w:rsid w:val="00D44CB4"/>
    <w:rsid w:val="00D45208"/>
    <w:rsid w:val="00D45260"/>
    <w:rsid w:val="00D452FF"/>
    <w:rsid w:val="00D45334"/>
    <w:rsid w:val="00D460F4"/>
    <w:rsid w:val="00D50082"/>
    <w:rsid w:val="00D5047B"/>
    <w:rsid w:val="00D50614"/>
    <w:rsid w:val="00D506F6"/>
    <w:rsid w:val="00D5162E"/>
    <w:rsid w:val="00D53105"/>
    <w:rsid w:val="00D54257"/>
    <w:rsid w:val="00D54439"/>
    <w:rsid w:val="00D55551"/>
    <w:rsid w:val="00D56B3B"/>
    <w:rsid w:val="00D56D20"/>
    <w:rsid w:val="00D56F85"/>
    <w:rsid w:val="00D5709B"/>
    <w:rsid w:val="00D572A1"/>
    <w:rsid w:val="00D57490"/>
    <w:rsid w:val="00D6084D"/>
    <w:rsid w:val="00D60DFF"/>
    <w:rsid w:val="00D60E06"/>
    <w:rsid w:val="00D618E1"/>
    <w:rsid w:val="00D61FC9"/>
    <w:rsid w:val="00D62081"/>
    <w:rsid w:val="00D62176"/>
    <w:rsid w:val="00D62C45"/>
    <w:rsid w:val="00D62FDB"/>
    <w:rsid w:val="00D631C3"/>
    <w:rsid w:val="00D64B06"/>
    <w:rsid w:val="00D654C8"/>
    <w:rsid w:val="00D663BB"/>
    <w:rsid w:val="00D6650E"/>
    <w:rsid w:val="00D665AC"/>
    <w:rsid w:val="00D6666A"/>
    <w:rsid w:val="00D6781F"/>
    <w:rsid w:val="00D719CD"/>
    <w:rsid w:val="00D71A66"/>
    <w:rsid w:val="00D71EE2"/>
    <w:rsid w:val="00D71FBF"/>
    <w:rsid w:val="00D720F5"/>
    <w:rsid w:val="00D73163"/>
    <w:rsid w:val="00D75670"/>
    <w:rsid w:val="00D76483"/>
    <w:rsid w:val="00D76AA9"/>
    <w:rsid w:val="00D76B0B"/>
    <w:rsid w:val="00D76BA8"/>
    <w:rsid w:val="00D77128"/>
    <w:rsid w:val="00D77B8E"/>
    <w:rsid w:val="00D80284"/>
    <w:rsid w:val="00D80884"/>
    <w:rsid w:val="00D81020"/>
    <w:rsid w:val="00D8139F"/>
    <w:rsid w:val="00D81673"/>
    <w:rsid w:val="00D82394"/>
    <w:rsid w:val="00D8267C"/>
    <w:rsid w:val="00D8333A"/>
    <w:rsid w:val="00D83855"/>
    <w:rsid w:val="00D83E75"/>
    <w:rsid w:val="00D83FFB"/>
    <w:rsid w:val="00D855B4"/>
    <w:rsid w:val="00D85AFD"/>
    <w:rsid w:val="00D8608D"/>
    <w:rsid w:val="00D86275"/>
    <w:rsid w:val="00D862BA"/>
    <w:rsid w:val="00D8735A"/>
    <w:rsid w:val="00D8755F"/>
    <w:rsid w:val="00D87AFC"/>
    <w:rsid w:val="00D87BE0"/>
    <w:rsid w:val="00D903D5"/>
    <w:rsid w:val="00D90555"/>
    <w:rsid w:val="00D90BDD"/>
    <w:rsid w:val="00D92495"/>
    <w:rsid w:val="00D9339E"/>
    <w:rsid w:val="00D93581"/>
    <w:rsid w:val="00D93856"/>
    <w:rsid w:val="00D95104"/>
    <w:rsid w:val="00D9532E"/>
    <w:rsid w:val="00D966BA"/>
    <w:rsid w:val="00D96875"/>
    <w:rsid w:val="00D96BD1"/>
    <w:rsid w:val="00D96C66"/>
    <w:rsid w:val="00D97406"/>
    <w:rsid w:val="00DA1B53"/>
    <w:rsid w:val="00DA1B72"/>
    <w:rsid w:val="00DA1D62"/>
    <w:rsid w:val="00DA227E"/>
    <w:rsid w:val="00DA2419"/>
    <w:rsid w:val="00DA2BC3"/>
    <w:rsid w:val="00DA334A"/>
    <w:rsid w:val="00DA34E0"/>
    <w:rsid w:val="00DA3F93"/>
    <w:rsid w:val="00DA426C"/>
    <w:rsid w:val="00DA459C"/>
    <w:rsid w:val="00DA4763"/>
    <w:rsid w:val="00DA4ECD"/>
    <w:rsid w:val="00DA51A7"/>
    <w:rsid w:val="00DA591B"/>
    <w:rsid w:val="00DA5D36"/>
    <w:rsid w:val="00DA6B4B"/>
    <w:rsid w:val="00DA6E36"/>
    <w:rsid w:val="00DA7CC2"/>
    <w:rsid w:val="00DA7ECE"/>
    <w:rsid w:val="00DB09FB"/>
    <w:rsid w:val="00DB0E2D"/>
    <w:rsid w:val="00DB105E"/>
    <w:rsid w:val="00DB21BB"/>
    <w:rsid w:val="00DB4153"/>
    <w:rsid w:val="00DB426C"/>
    <w:rsid w:val="00DB42A9"/>
    <w:rsid w:val="00DB594A"/>
    <w:rsid w:val="00DB603E"/>
    <w:rsid w:val="00DB63C7"/>
    <w:rsid w:val="00DB68D4"/>
    <w:rsid w:val="00DB6A20"/>
    <w:rsid w:val="00DB7816"/>
    <w:rsid w:val="00DB7992"/>
    <w:rsid w:val="00DC07B2"/>
    <w:rsid w:val="00DC0FCB"/>
    <w:rsid w:val="00DC1D45"/>
    <w:rsid w:val="00DC252B"/>
    <w:rsid w:val="00DC2C16"/>
    <w:rsid w:val="00DC39DE"/>
    <w:rsid w:val="00DC4C93"/>
    <w:rsid w:val="00DC562B"/>
    <w:rsid w:val="00DC65BE"/>
    <w:rsid w:val="00DC71B2"/>
    <w:rsid w:val="00DC7583"/>
    <w:rsid w:val="00DD0DF9"/>
    <w:rsid w:val="00DD0FC9"/>
    <w:rsid w:val="00DD17F9"/>
    <w:rsid w:val="00DD1C04"/>
    <w:rsid w:val="00DD2FF3"/>
    <w:rsid w:val="00DD3539"/>
    <w:rsid w:val="00DD46EF"/>
    <w:rsid w:val="00DD476B"/>
    <w:rsid w:val="00DD480E"/>
    <w:rsid w:val="00DD4D59"/>
    <w:rsid w:val="00DD556D"/>
    <w:rsid w:val="00DD5C84"/>
    <w:rsid w:val="00DD62AB"/>
    <w:rsid w:val="00DE027F"/>
    <w:rsid w:val="00DE064C"/>
    <w:rsid w:val="00DE1DCE"/>
    <w:rsid w:val="00DE27EF"/>
    <w:rsid w:val="00DE4714"/>
    <w:rsid w:val="00DE4FDC"/>
    <w:rsid w:val="00DE5291"/>
    <w:rsid w:val="00DE5B45"/>
    <w:rsid w:val="00DE5F85"/>
    <w:rsid w:val="00DE69B5"/>
    <w:rsid w:val="00DE787F"/>
    <w:rsid w:val="00DE7C35"/>
    <w:rsid w:val="00DE7C9E"/>
    <w:rsid w:val="00DF1C20"/>
    <w:rsid w:val="00DF2B4D"/>
    <w:rsid w:val="00DF2EEE"/>
    <w:rsid w:val="00DF346A"/>
    <w:rsid w:val="00DF3C54"/>
    <w:rsid w:val="00DF410D"/>
    <w:rsid w:val="00DF4137"/>
    <w:rsid w:val="00DF47D9"/>
    <w:rsid w:val="00DF48B7"/>
    <w:rsid w:val="00DF4F5E"/>
    <w:rsid w:val="00DF4FD8"/>
    <w:rsid w:val="00DF5339"/>
    <w:rsid w:val="00DF7F38"/>
    <w:rsid w:val="00E02841"/>
    <w:rsid w:val="00E02B13"/>
    <w:rsid w:val="00E039A2"/>
    <w:rsid w:val="00E03A2A"/>
    <w:rsid w:val="00E03CD4"/>
    <w:rsid w:val="00E03ECA"/>
    <w:rsid w:val="00E04DDB"/>
    <w:rsid w:val="00E0561A"/>
    <w:rsid w:val="00E059D7"/>
    <w:rsid w:val="00E05A8D"/>
    <w:rsid w:val="00E05EC5"/>
    <w:rsid w:val="00E065AF"/>
    <w:rsid w:val="00E06654"/>
    <w:rsid w:val="00E07285"/>
    <w:rsid w:val="00E07418"/>
    <w:rsid w:val="00E10525"/>
    <w:rsid w:val="00E106C1"/>
    <w:rsid w:val="00E108CB"/>
    <w:rsid w:val="00E117C5"/>
    <w:rsid w:val="00E12347"/>
    <w:rsid w:val="00E128FB"/>
    <w:rsid w:val="00E13634"/>
    <w:rsid w:val="00E13687"/>
    <w:rsid w:val="00E13E76"/>
    <w:rsid w:val="00E14A9E"/>
    <w:rsid w:val="00E14CE8"/>
    <w:rsid w:val="00E15054"/>
    <w:rsid w:val="00E15929"/>
    <w:rsid w:val="00E15C61"/>
    <w:rsid w:val="00E212A7"/>
    <w:rsid w:val="00E21A44"/>
    <w:rsid w:val="00E220A3"/>
    <w:rsid w:val="00E2333D"/>
    <w:rsid w:val="00E2351D"/>
    <w:rsid w:val="00E238D3"/>
    <w:rsid w:val="00E23E86"/>
    <w:rsid w:val="00E242E2"/>
    <w:rsid w:val="00E24AFF"/>
    <w:rsid w:val="00E25D37"/>
    <w:rsid w:val="00E269E0"/>
    <w:rsid w:val="00E270DB"/>
    <w:rsid w:val="00E27C12"/>
    <w:rsid w:val="00E312F0"/>
    <w:rsid w:val="00E3204F"/>
    <w:rsid w:val="00E327AE"/>
    <w:rsid w:val="00E32EDA"/>
    <w:rsid w:val="00E33581"/>
    <w:rsid w:val="00E35BDB"/>
    <w:rsid w:val="00E361DB"/>
    <w:rsid w:val="00E373E5"/>
    <w:rsid w:val="00E37CAE"/>
    <w:rsid w:val="00E37F61"/>
    <w:rsid w:val="00E4096C"/>
    <w:rsid w:val="00E40F42"/>
    <w:rsid w:val="00E4116F"/>
    <w:rsid w:val="00E4220E"/>
    <w:rsid w:val="00E43503"/>
    <w:rsid w:val="00E4483B"/>
    <w:rsid w:val="00E453F0"/>
    <w:rsid w:val="00E46C3B"/>
    <w:rsid w:val="00E46C57"/>
    <w:rsid w:val="00E47C85"/>
    <w:rsid w:val="00E47FC9"/>
    <w:rsid w:val="00E5318D"/>
    <w:rsid w:val="00E552C2"/>
    <w:rsid w:val="00E55D37"/>
    <w:rsid w:val="00E563D2"/>
    <w:rsid w:val="00E56A0D"/>
    <w:rsid w:val="00E56D59"/>
    <w:rsid w:val="00E602BB"/>
    <w:rsid w:val="00E6163A"/>
    <w:rsid w:val="00E62840"/>
    <w:rsid w:val="00E6353B"/>
    <w:rsid w:val="00E64069"/>
    <w:rsid w:val="00E64B0D"/>
    <w:rsid w:val="00E65BF8"/>
    <w:rsid w:val="00E65D67"/>
    <w:rsid w:val="00E678E5"/>
    <w:rsid w:val="00E67E84"/>
    <w:rsid w:val="00E71879"/>
    <w:rsid w:val="00E71B80"/>
    <w:rsid w:val="00E72079"/>
    <w:rsid w:val="00E7225A"/>
    <w:rsid w:val="00E72BC1"/>
    <w:rsid w:val="00E72C29"/>
    <w:rsid w:val="00E72C53"/>
    <w:rsid w:val="00E73CA7"/>
    <w:rsid w:val="00E73E1F"/>
    <w:rsid w:val="00E740E7"/>
    <w:rsid w:val="00E74171"/>
    <w:rsid w:val="00E755F5"/>
    <w:rsid w:val="00E75714"/>
    <w:rsid w:val="00E75CAC"/>
    <w:rsid w:val="00E770A9"/>
    <w:rsid w:val="00E77328"/>
    <w:rsid w:val="00E774FF"/>
    <w:rsid w:val="00E8008B"/>
    <w:rsid w:val="00E80457"/>
    <w:rsid w:val="00E82794"/>
    <w:rsid w:val="00E82CEE"/>
    <w:rsid w:val="00E82E29"/>
    <w:rsid w:val="00E84459"/>
    <w:rsid w:val="00E84934"/>
    <w:rsid w:val="00E86E6A"/>
    <w:rsid w:val="00E90C77"/>
    <w:rsid w:val="00E90ECE"/>
    <w:rsid w:val="00E9107F"/>
    <w:rsid w:val="00E92D27"/>
    <w:rsid w:val="00E92EE7"/>
    <w:rsid w:val="00E9321D"/>
    <w:rsid w:val="00E93895"/>
    <w:rsid w:val="00E93B05"/>
    <w:rsid w:val="00E94B97"/>
    <w:rsid w:val="00E94C0E"/>
    <w:rsid w:val="00E9614A"/>
    <w:rsid w:val="00E9691D"/>
    <w:rsid w:val="00E973C3"/>
    <w:rsid w:val="00E978A3"/>
    <w:rsid w:val="00EA03EB"/>
    <w:rsid w:val="00EA0770"/>
    <w:rsid w:val="00EA1A7B"/>
    <w:rsid w:val="00EA1B4A"/>
    <w:rsid w:val="00EA1E8A"/>
    <w:rsid w:val="00EA24A6"/>
    <w:rsid w:val="00EA25A0"/>
    <w:rsid w:val="00EA3C0B"/>
    <w:rsid w:val="00EA4028"/>
    <w:rsid w:val="00EA4C2F"/>
    <w:rsid w:val="00EA4E60"/>
    <w:rsid w:val="00EA5583"/>
    <w:rsid w:val="00EA5721"/>
    <w:rsid w:val="00EA57DC"/>
    <w:rsid w:val="00EA6450"/>
    <w:rsid w:val="00EA6558"/>
    <w:rsid w:val="00EA6B0A"/>
    <w:rsid w:val="00EA7233"/>
    <w:rsid w:val="00EA7311"/>
    <w:rsid w:val="00EA7532"/>
    <w:rsid w:val="00EA7E49"/>
    <w:rsid w:val="00EA7FE6"/>
    <w:rsid w:val="00EB0259"/>
    <w:rsid w:val="00EB2422"/>
    <w:rsid w:val="00EB3283"/>
    <w:rsid w:val="00EB39EC"/>
    <w:rsid w:val="00EB4DBA"/>
    <w:rsid w:val="00EB6D66"/>
    <w:rsid w:val="00EB7348"/>
    <w:rsid w:val="00EB7482"/>
    <w:rsid w:val="00EB780A"/>
    <w:rsid w:val="00EC046B"/>
    <w:rsid w:val="00EC08C1"/>
    <w:rsid w:val="00EC092E"/>
    <w:rsid w:val="00EC11AC"/>
    <w:rsid w:val="00EC1A56"/>
    <w:rsid w:val="00EC1B98"/>
    <w:rsid w:val="00EC29FA"/>
    <w:rsid w:val="00EC49ED"/>
    <w:rsid w:val="00EC646E"/>
    <w:rsid w:val="00EC6651"/>
    <w:rsid w:val="00EC75DF"/>
    <w:rsid w:val="00EC7A9E"/>
    <w:rsid w:val="00EC7E2D"/>
    <w:rsid w:val="00ED00DE"/>
    <w:rsid w:val="00ED154D"/>
    <w:rsid w:val="00ED25AE"/>
    <w:rsid w:val="00ED2D0A"/>
    <w:rsid w:val="00ED42BB"/>
    <w:rsid w:val="00ED54AD"/>
    <w:rsid w:val="00ED572F"/>
    <w:rsid w:val="00ED5840"/>
    <w:rsid w:val="00ED5A1E"/>
    <w:rsid w:val="00ED770B"/>
    <w:rsid w:val="00ED7A7E"/>
    <w:rsid w:val="00EE052D"/>
    <w:rsid w:val="00EE0AFA"/>
    <w:rsid w:val="00EE0F53"/>
    <w:rsid w:val="00EE16D7"/>
    <w:rsid w:val="00EE1FBA"/>
    <w:rsid w:val="00EE25B2"/>
    <w:rsid w:val="00EE2CE5"/>
    <w:rsid w:val="00EE3746"/>
    <w:rsid w:val="00EE4117"/>
    <w:rsid w:val="00EE50E8"/>
    <w:rsid w:val="00EE5146"/>
    <w:rsid w:val="00EE5648"/>
    <w:rsid w:val="00EE5815"/>
    <w:rsid w:val="00EE5B60"/>
    <w:rsid w:val="00EE60D1"/>
    <w:rsid w:val="00EE6757"/>
    <w:rsid w:val="00EE69F2"/>
    <w:rsid w:val="00EE6C1D"/>
    <w:rsid w:val="00EE7533"/>
    <w:rsid w:val="00EE7AEE"/>
    <w:rsid w:val="00EE7D7A"/>
    <w:rsid w:val="00EF0633"/>
    <w:rsid w:val="00EF1C06"/>
    <w:rsid w:val="00EF1E9E"/>
    <w:rsid w:val="00EF2CCC"/>
    <w:rsid w:val="00EF32A0"/>
    <w:rsid w:val="00EF39EB"/>
    <w:rsid w:val="00EF4057"/>
    <w:rsid w:val="00EF5052"/>
    <w:rsid w:val="00EF6710"/>
    <w:rsid w:val="00EF7264"/>
    <w:rsid w:val="00EF7C6C"/>
    <w:rsid w:val="00F00498"/>
    <w:rsid w:val="00F00594"/>
    <w:rsid w:val="00F0076D"/>
    <w:rsid w:val="00F00837"/>
    <w:rsid w:val="00F018B2"/>
    <w:rsid w:val="00F018F0"/>
    <w:rsid w:val="00F01EEB"/>
    <w:rsid w:val="00F024F3"/>
    <w:rsid w:val="00F02D52"/>
    <w:rsid w:val="00F03006"/>
    <w:rsid w:val="00F0302D"/>
    <w:rsid w:val="00F03285"/>
    <w:rsid w:val="00F0372F"/>
    <w:rsid w:val="00F0489C"/>
    <w:rsid w:val="00F05207"/>
    <w:rsid w:val="00F053B5"/>
    <w:rsid w:val="00F054FD"/>
    <w:rsid w:val="00F0551D"/>
    <w:rsid w:val="00F055C8"/>
    <w:rsid w:val="00F05E78"/>
    <w:rsid w:val="00F05FDD"/>
    <w:rsid w:val="00F10B7C"/>
    <w:rsid w:val="00F1178B"/>
    <w:rsid w:val="00F11AA2"/>
    <w:rsid w:val="00F11E6D"/>
    <w:rsid w:val="00F1252B"/>
    <w:rsid w:val="00F131D0"/>
    <w:rsid w:val="00F13324"/>
    <w:rsid w:val="00F142B9"/>
    <w:rsid w:val="00F14925"/>
    <w:rsid w:val="00F1498C"/>
    <w:rsid w:val="00F14EDA"/>
    <w:rsid w:val="00F160E1"/>
    <w:rsid w:val="00F16142"/>
    <w:rsid w:val="00F16CD6"/>
    <w:rsid w:val="00F17FE0"/>
    <w:rsid w:val="00F20A45"/>
    <w:rsid w:val="00F20AF1"/>
    <w:rsid w:val="00F20D99"/>
    <w:rsid w:val="00F20DE6"/>
    <w:rsid w:val="00F20E5E"/>
    <w:rsid w:val="00F2155B"/>
    <w:rsid w:val="00F22235"/>
    <w:rsid w:val="00F234F6"/>
    <w:rsid w:val="00F2536F"/>
    <w:rsid w:val="00F25785"/>
    <w:rsid w:val="00F2706B"/>
    <w:rsid w:val="00F278F0"/>
    <w:rsid w:val="00F30545"/>
    <w:rsid w:val="00F305FB"/>
    <w:rsid w:val="00F30955"/>
    <w:rsid w:val="00F30B43"/>
    <w:rsid w:val="00F32727"/>
    <w:rsid w:val="00F327FB"/>
    <w:rsid w:val="00F33056"/>
    <w:rsid w:val="00F3489C"/>
    <w:rsid w:val="00F36098"/>
    <w:rsid w:val="00F36501"/>
    <w:rsid w:val="00F373F8"/>
    <w:rsid w:val="00F4094B"/>
    <w:rsid w:val="00F40BF3"/>
    <w:rsid w:val="00F40E40"/>
    <w:rsid w:val="00F43FDF"/>
    <w:rsid w:val="00F44301"/>
    <w:rsid w:val="00F44512"/>
    <w:rsid w:val="00F44BC1"/>
    <w:rsid w:val="00F46704"/>
    <w:rsid w:val="00F46FA8"/>
    <w:rsid w:val="00F47163"/>
    <w:rsid w:val="00F47AEB"/>
    <w:rsid w:val="00F5228D"/>
    <w:rsid w:val="00F5274C"/>
    <w:rsid w:val="00F52EEA"/>
    <w:rsid w:val="00F53359"/>
    <w:rsid w:val="00F545B7"/>
    <w:rsid w:val="00F546EB"/>
    <w:rsid w:val="00F54A93"/>
    <w:rsid w:val="00F55E92"/>
    <w:rsid w:val="00F55FC2"/>
    <w:rsid w:val="00F56196"/>
    <w:rsid w:val="00F56508"/>
    <w:rsid w:val="00F5666A"/>
    <w:rsid w:val="00F5671B"/>
    <w:rsid w:val="00F57CB0"/>
    <w:rsid w:val="00F61099"/>
    <w:rsid w:val="00F64436"/>
    <w:rsid w:val="00F64594"/>
    <w:rsid w:val="00F64FEA"/>
    <w:rsid w:val="00F6558B"/>
    <w:rsid w:val="00F66809"/>
    <w:rsid w:val="00F66B0F"/>
    <w:rsid w:val="00F673EC"/>
    <w:rsid w:val="00F6760E"/>
    <w:rsid w:val="00F679CE"/>
    <w:rsid w:val="00F71959"/>
    <w:rsid w:val="00F7196C"/>
    <w:rsid w:val="00F720C8"/>
    <w:rsid w:val="00F73383"/>
    <w:rsid w:val="00F73AD7"/>
    <w:rsid w:val="00F73AE6"/>
    <w:rsid w:val="00F73C9E"/>
    <w:rsid w:val="00F75EA9"/>
    <w:rsid w:val="00F7660E"/>
    <w:rsid w:val="00F8023E"/>
    <w:rsid w:val="00F806A3"/>
    <w:rsid w:val="00F810E2"/>
    <w:rsid w:val="00F81AB8"/>
    <w:rsid w:val="00F82961"/>
    <w:rsid w:val="00F85A88"/>
    <w:rsid w:val="00F865BE"/>
    <w:rsid w:val="00F86CA4"/>
    <w:rsid w:val="00F90788"/>
    <w:rsid w:val="00F908E7"/>
    <w:rsid w:val="00F916DF"/>
    <w:rsid w:val="00F91EA4"/>
    <w:rsid w:val="00F9215F"/>
    <w:rsid w:val="00F927D7"/>
    <w:rsid w:val="00F92EF3"/>
    <w:rsid w:val="00F93EAD"/>
    <w:rsid w:val="00F944FE"/>
    <w:rsid w:val="00F94F42"/>
    <w:rsid w:val="00F94F54"/>
    <w:rsid w:val="00F95054"/>
    <w:rsid w:val="00F95C0D"/>
    <w:rsid w:val="00F96151"/>
    <w:rsid w:val="00F96B5C"/>
    <w:rsid w:val="00FA1AD8"/>
    <w:rsid w:val="00FA252F"/>
    <w:rsid w:val="00FA4A95"/>
    <w:rsid w:val="00FA5E1C"/>
    <w:rsid w:val="00FA5EE6"/>
    <w:rsid w:val="00FA60E0"/>
    <w:rsid w:val="00FA6A28"/>
    <w:rsid w:val="00FA7D9B"/>
    <w:rsid w:val="00FA7ED8"/>
    <w:rsid w:val="00FB02ED"/>
    <w:rsid w:val="00FB04FA"/>
    <w:rsid w:val="00FB05E1"/>
    <w:rsid w:val="00FB1EF6"/>
    <w:rsid w:val="00FB216C"/>
    <w:rsid w:val="00FB2342"/>
    <w:rsid w:val="00FB23E1"/>
    <w:rsid w:val="00FB2DF5"/>
    <w:rsid w:val="00FB3605"/>
    <w:rsid w:val="00FB3F0D"/>
    <w:rsid w:val="00FB5127"/>
    <w:rsid w:val="00FB5A02"/>
    <w:rsid w:val="00FB5C05"/>
    <w:rsid w:val="00FB63D4"/>
    <w:rsid w:val="00FB672E"/>
    <w:rsid w:val="00FB7C7C"/>
    <w:rsid w:val="00FB7D5B"/>
    <w:rsid w:val="00FC01FC"/>
    <w:rsid w:val="00FC125F"/>
    <w:rsid w:val="00FC162C"/>
    <w:rsid w:val="00FC16C7"/>
    <w:rsid w:val="00FC2157"/>
    <w:rsid w:val="00FC2871"/>
    <w:rsid w:val="00FC358E"/>
    <w:rsid w:val="00FC3D2C"/>
    <w:rsid w:val="00FC3D4D"/>
    <w:rsid w:val="00FC479A"/>
    <w:rsid w:val="00FC4F2C"/>
    <w:rsid w:val="00FC5184"/>
    <w:rsid w:val="00FC6900"/>
    <w:rsid w:val="00FC6DB5"/>
    <w:rsid w:val="00FD05C5"/>
    <w:rsid w:val="00FD074C"/>
    <w:rsid w:val="00FD229C"/>
    <w:rsid w:val="00FD2807"/>
    <w:rsid w:val="00FD3CEC"/>
    <w:rsid w:val="00FD4EA4"/>
    <w:rsid w:val="00FD57E0"/>
    <w:rsid w:val="00FE0002"/>
    <w:rsid w:val="00FE0292"/>
    <w:rsid w:val="00FE0612"/>
    <w:rsid w:val="00FE0DC8"/>
    <w:rsid w:val="00FE0F62"/>
    <w:rsid w:val="00FE2232"/>
    <w:rsid w:val="00FE2254"/>
    <w:rsid w:val="00FE2490"/>
    <w:rsid w:val="00FE2530"/>
    <w:rsid w:val="00FE28AA"/>
    <w:rsid w:val="00FE3125"/>
    <w:rsid w:val="00FE3199"/>
    <w:rsid w:val="00FE3F36"/>
    <w:rsid w:val="00FE4CDD"/>
    <w:rsid w:val="00FF0033"/>
    <w:rsid w:val="00FF015E"/>
    <w:rsid w:val="00FF0CEA"/>
    <w:rsid w:val="00FF167E"/>
    <w:rsid w:val="00FF240D"/>
    <w:rsid w:val="00FF3170"/>
    <w:rsid w:val="00FF33AD"/>
    <w:rsid w:val="00FF4C31"/>
    <w:rsid w:val="00FF4C5B"/>
    <w:rsid w:val="00FF4FD5"/>
    <w:rsid w:val="00FF510F"/>
    <w:rsid w:val="00FF522F"/>
    <w:rsid w:val="00FF55A0"/>
    <w:rsid w:val="00FF7A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50BE22"/>
  <w15:docId w15:val="{DF0731F0-E365-4DB4-853B-402CAB53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D56"/>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50662"/>
    <w:pPr>
      <w:keepNext/>
      <w:widowControl w:val="0"/>
      <w:suppressAutoHyphens/>
      <w:outlineLvl w:val="0"/>
    </w:pPr>
    <w:rPr>
      <w:rFonts w:ascii="Courier" w:hAnsi="Courier"/>
      <w:b/>
      <w:spacing w:val="-3"/>
      <w:sz w:val="28"/>
      <w:lang w:val="x-none" w:eastAsia="x-none"/>
    </w:rPr>
  </w:style>
  <w:style w:type="paragraph" w:styleId="Heading2">
    <w:name w:val="heading 2"/>
    <w:basedOn w:val="Normal"/>
    <w:next w:val="Normal"/>
    <w:link w:val="Heading2Char"/>
    <w:qFormat/>
    <w:rsid w:val="00250662"/>
    <w:pPr>
      <w:keepNext/>
      <w:jc w:val="center"/>
      <w:outlineLvl w:val="1"/>
    </w:pPr>
    <w:rPr>
      <w:rFonts w:ascii="Arial" w:hAnsi="Arial"/>
      <w:b/>
      <w:sz w:val="28"/>
    </w:rPr>
  </w:style>
  <w:style w:type="paragraph" w:styleId="Heading4">
    <w:name w:val="heading 4"/>
    <w:basedOn w:val="Normal"/>
    <w:next w:val="Normal"/>
    <w:link w:val="Heading4Char"/>
    <w:qFormat/>
    <w:rsid w:val="00250662"/>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662"/>
    <w:rPr>
      <w:rFonts w:ascii="Courier" w:eastAsia="Times New Roman" w:hAnsi="Courier" w:cs="Times New Roman"/>
      <w:b/>
      <w:spacing w:val="-3"/>
      <w:sz w:val="28"/>
      <w:szCs w:val="20"/>
      <w:lang w:val="x-none" w:eastAsia="x-none"/>
    </w:rPr>
  </w:style>
  <w:style w:type="character" w:customStyle="1" w:styleId="Heading2Char">
    <w:name w:val="Heading 2 Char"/>
    <w:basedOn w:val="DefaultParagraphFont"/>
    <w:link w:val="Heading2"/>
    <w:rsid w:val="00250662"/>
    <w:rPr>
      <w:rFonts w:ascii="Arial" w:eastAsia="Times New Roman" w:hAnsi="Arial" w:cs="Times New Roman"/>
      <w:b/>
      <w:sz w:val="28"/>
      <w:szCs w:val="20"/>
      <w:lang w:val="en-GB"/>
    </w:rPr>
  </w:style>
  <w:style w:type="character" w:customStyle="1" w:styleId="Heading4Char">
    <w:name w:val="Heading 4 Char"/>
    <w:basedOn w:val="DefaultParagraphFont"/>
    <w:link w:val="Heading4"/>
    <w:rsid w:val="00250662"/>
    <w:rPr>
      <w:rFonts w:ascii="Arial" w:eastAsia="Times New Roman" w:hAnsi="Arial" w:cs="Times New Roman"/>
      <w:b/>
      <w:szCs w:val="20"/>
      <w:lang w:val="en-GB"/>
    </w:rPr>
  </w:style>
  <w:style w:type="paragraph" w:styleId="Header">
    <w:name w:val="header"/>
    <w:basedOn w:val="Normal"/>
    <w:link w:val="HeaderChar"/>
    <w:uiPriority w:val="99"/>
    <w:rsid w:val="00250662"/>
    <w:pPr>
      <w:widowControl w:val="0"/>
      <w:tabs>
        <w:tab w:val="center" w:pos="4320"/>
        <w:tab w:val="right" w:pos="8640"/>
      </w:tabs>
    </w:pPr>
    <w:rPr>
      <w:rFonts w:ascii="Courier" w:hAnsi="Courier"/>
      <w:sz w:val="22"/>
      <w:lang w:val="x-none" w:eastAsia="x-none"/>
    </w:rPr>
  </w:style>
  <w:style w:type="character" w:customStyle="1" w:styleId="HeaderChar">
    <w:name w:val="Header Char"/>
    <w:basedOn w:val="DefaultParagraphFont"/>
    <w:link w:val="Header"/>
    <w:uiPriority w:val="99"/>
    <w:rsid w:val="00250662"/>
    <w:rPr>
      <w:rFonts w:ascii="Courier" w:eastAsia="Times New Roman" w:hAnsi="Courier" w:cs="Times New Roman"/>
      <w:szCs w:val="20"/>
      <w:lang w:val="x-none" w:eastAsia="x-none"/>
    </w:rPr>
  </w:style>
  <w:style w:type="paragraph" w:styleId="FootnoteText">
    <w:name w:val="footnote text"/>
    <w:aliases w:val=" Char,Footnote Text Char Char,Footnote Text Char1 Char,Footnote Text Char Char Char,Footnote Text Char1 Char Char Char,Footnote Text Char Char1 Char Char Char,Footnote Text Char1 Char Char Char Char Char,Footnote Text Char2,Geneva 9"/>
    <w:basedOn w:val="Normal"/>
    <w:link w:val="FootnoteTextChar"/>
    <w:uiPriority w:val="99"/>
    <w:qFormat/>
    <w:rsid w:val="00250662"/>
    <w:pPr>
      <w:widowControl w:val="0"/>
    </w:pPr>
    <w:rPr>
      <w:rFonts w:ascii="Courier" w:hAnsi="Courier"/>
    </w:rPr>
  </w:style>
  <w:style w:type="character" w:customStyle="1" w:styleId="FootnoteTextChar">
    <w:name w:val="Footnote Text Char"/>
    <w:aliases w:val=" Char Char,Footnote Text Char Char Char1,Footnote Text Char1 Char Char,Footnote Text Char Char Char Char,Footnote Text Char1 Char Char Char Char,Footnote Text Char Char1 Char Char Char Char,Footnote Text Char2 Char,Geneva 9 Char"/>
    <w:basedOn w:val="DefaultParagraphFont"/>
    <w:link w:val="FootnoteText"/>
    <w:uiPriority w:val="99"/>
    <w:qFormat/>
    <w:rsid w:val="00250662"/>
    <w:rPr>
      <w:rFonts w:ascii="Courier" w:eastAsia="Times New Roman" w:hAnsi="Courier" w:cs="Times New Roman"/>
      <w:sz w:val="20"/>
      <w:szCs w:val="20"/>
      <w:lang w:val="en-GB"/>
    </w:rPr>
  </w:style>
  <w:style w:type="paragraph" w:styleId="Subtitle">
    <w:name w:val="Subtitle"/>
    <w:basedOn w:val="Normal"/>
    <w:link w:val="SubtitleChar"/>
    <w:qFormat/>
    <w:rsid w:val="0025066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50662"/>
    <w:rPr>
      <w:rFonts w:ascii="Arial" w:eastAsia="Times New Roman" w:hAnsi="Arial" w:cs="Arial"/>
      <w:sz w:val="24"/>
      <w:szCs w:val="24"/>
      <w:lang w:val="en-GB"/>
    </w:rPr>
  </w:style>
  <w:style w:type="character" w:styleId="FootnoteReference">
    <w:name w:val="footnote reference"/>
    <w:aliases w:val="ftref,16 Point,Superscript 6 Point,BVI fnr,Footnote symbol,Voetnootverwijzing,Times 10 Point,Exposant 3 Point,Appel note de bas de p,Carattere Char1,Carattere Char Char Carattere Carattere Char Char,BVI fnr Char,R,Ref"/>
    <w:link w:val="Char2"/>
    <w:uiPriority w:val="99"/>
    <w:qFormat/>
    <w:rsid w:val="00250662"/>
    <w:rPr>
      <w:rFonts w:cs="Times New Roman"/>
      <w:vertAlign w:val="superscript"/>
    </w:rPr>
  </w:style>
  <w:style w:type="paragraph" w:customStyle="1" w:styleId="Char2">
    <w:name w:val="Char2"/>
    <w:basedOn w:val="Normal"/>
    <w:link w:val="FootnoteReference"/>
    <w:uiPriority w:val="99"/>
    <w:rsid w:val="00250662"/>
    <w:pPr>
      <w:spacing w:after="160" w:line="240" w:lineRule="exact"/>
    </w:pPr>
    <w:rPr>
      <w:rFonts w:asciiTheme="minorHAnsi" w:eastAsiaTheme="minorHAnsi" w:hAnsiTheme="minorHAnsi"/>
      <w:sz w:val="22"/>
      <w:szCs w:val="22"/>
      <w:vertAlign w:val="superscript"/>
      <w:lang w:val="fr-FR"/>
    </w:rPr>
  </w:style>
  <w:style w:type="paragraph" w:styleId="Footer">
    <w:name w:val="footer"/>
    <w:basedOn w:val="Normal"/>
    <w:link w:val="FooterChar"/>
    <w:uiPriority w:val="99"/>
    <w:rsid w:val="002506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0662"/>
    <w:rPr>
      <w:rFonts w:ascii="Times New Roman" w:eastAsia="Times New Roman" w:hAnsi="Times New Roman" w:cs="Times New Roman"/>
      <w:sz w:val="20"/>
      <w:szCs w:val="20"/>
      <w:lang w:val="x-none" w:eastAsia="x-none"/>
    </w:rPr>
  </w:style>
  <w:style w:type="paragraph" w:customStyle="1" w:styleId="HCh">
    <w:name w:val="_ H _Ch"/>
    <w:basedOn w:val="Normal"/>
    <w:next w:val="Normal"/>
    <w:rsid w:val="00250662"/>
    <w:pPr>
      <w:keepNext/>
      <w:keepLines/>
      <w:suppressAutoHyphens/>
      <w:spacing w:line="300" w:lineRule="exact"/>
      <w:outlineLvl w:val="0"/>
    </w:pPr>
    <w:rPr>
      <w:b/>
      <w:spacing w:val="-2"/>
      <w:w w:val="103"/>
      <w:kern w:val="14"/>
      <w:sz w:val="28"/>
    </w:rPr>
  </w:style>
  <w:style w:type="paragraph" w:customStyle="1" w:styleId="SingleTxt">
    <w:name w:val="__Single Txt"/>
    <w:basedOn w:val="Normal"/>
    <w:rsid w:val="0025066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XLarge">
    <w:name w:val="XLarge"/>
    <w:basedOn w:val="Normal"/>
    <w:rsid w:val="00250662"/>
    <w:pPr>
      <w:keepNext/>
      <w:keepLines/>
      <w:tabs>
        <w:tab w:val="right" w:leader="dot" w:pos="360"/>
      </w:tabs>
      <w:suppressAutoHyphens/>
      <w:spacing w:line="390" w:lineRule="exact"/>
      <w:outlineLvl w:val="0"/>
    </w:pPr>
    <w:rPr>
      <w:b/>
      <w:spacing w:val="-4"/>
      <w:w w:val="98"/>
      <w:kern w:val="14"/>
      <w:sz w:val="40"/>
    </w:rPr>
  </w:style>
  <w:style w:type="character" w:customStyle="1" w:styleId="BalloonTextChar">
    <w:name w:val="Balloon Text Char"/>
    <w:basedOn w:val="DefaultParagraphFont"/>
    <w:link w:val="BalloonText"/>
    <w:uiPriority w:val="99"/>
    <w:semiHidden/>
    <w:rsid w:val="00250662"/>
    <w:rPr>
      <w:rFonts w:ascii="Tahoma" w:eastAsia="Times New Roman" w:hAnsi="Tahoma" w:cs="Tahoma"/>
      <w:sz w:val="16"/>
      <w:szCs w:val="16"/>
      <w:lang w:val="en-GB"/>
    </w:rPr>
  </w:style>
  <w:style w:type="paragraph" w:styleId="BalloonText">
    <w:name w:val="Balloon Text"/>
    <w:basedOn w:val="Normal"/>
    <w:link w:val="BalloonTextChar"/>
    <w:uiPriority w:val="99"/>
    <w:semiHidden/>
    <w:rsid w:val="00250662"/>
    <w:rPr>
      <w:rFonts w:ascii="Tahoma" w:hAnsi="Tahoma" w:cs="Tahoma"/>
      <w:sz w:val="16"/>
      <w:szCs w:val="16"/>
    </w:rPr>
  </w:style>
  <w:style w:type="character" w:styleId="Hyperlink">
    <w:name w:val="Hyperlink"/>
    <w:uiPriority w:val="99"/>
    <w:rsid w:val="00250662"/>
    <w:rPr>
      <w:rFonts w:cs="Times New Roman"/>
      <w:color w:val="336699"/>
      <w:u w:val="none"/>
      <w:effect w:val="none"/>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L,3"/>
    <w:basedOn w:val="Normal"/>
    <w:link w:val="ListParagraphChar"/>
    <w:uiPriority w:val="34"/>
    <w:qFormat/>
    <w:rsid w:val="00250662"/>
    <w:pPr>
      <w:ind w:left="720"/>
    </w:p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250662"/>
    <w:rPr>
      <w:rFonts w:ascii="Times New Roman" w:eastAsia="Times New Roman" w:hAnsi="Times New Roman" w:cs="Times New Roman"/>
      <w:sz w:val="20"/>
      <w:szCs w:val="20"/>
      <w:lang w:val="en-GB"/>
    </w:rPr>
  </w:style>
  <w:style w:type="character" w:customStyle="1" w:styleId="DocumentMapChar">
    <w:name w:val="Document Map Char"/>
    <w:basedOn w:val="DefaultParagraphFont"/>
    <w:link w:val="DocumentMap"/>
    <w:semiHidden/>
    <w:rsid w:val="00250662"/>
    <w:rPr>
      <w:rFonts w:ascii="Tahoma" w:eastAsia="Times New Roman" w:hAnsi="Tahoma" w:cs="Times New Roman"/>
      <w:sz w:val="16"/>
      <w:szCs w:val="16"/>
      <w:lang w:val="x-none" w:eastAsia="x-none"/>
    </w:rPr>
  </w:style>
  <w:style w:type="paragraph" w:styleId="DocumentMap">
    <w:name w:val="Document Map"/>
    <w:basedOn w:val="Normal"/>
    <w:link w:val="DocumentMapChar"/>
    <w:semiHidden/>
    <w:rsid w:val="00250662"/>
    <w:rPr>
      <w:rFonts w:ascii="Tahoma" w:hAnsi="Tahoma"/>
      <w:sz w:val="16"/>
      <w:szCs w:val="16"/>
      <w:lang w:val="x-none" w:eastAsia="x-none"/>
    </w:rPr>
  </w:style>
  <w:style w:type="paragraph" w:styleId="CommentText">
    <w:name w:val="annotation text"/>
    <w:basedOn w:val="Normal"/>
    <w:link w:val="CommentTextChar"/>
    <w:uiPriority w:val="99"/>
    <w:rsid w:val="00250662"/>
  </w:style>
  <w:style w:type="character" w:customStyle="1" w:styleId="CommentTextChar">
    <w:name w:val="Comment Text Char"/>
    <w:basedOn w:val="DefaultParagraphFont"/>
    <w:link w:val="CommentText"/>
    <w:uiPriority w:val="99"/>
    <w:rsid w:val="0025066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250662"/>
    <w:rPr>
      <w:b/>
      <w:bCs/>
      <w:lang w:val="x-none" w:eastAsia="x-none"/>
    </w:rPr>
  </w:style>
  <w:style w:type="character" w:customStyle="1" w:styleId="CommentSubjectChar">
    <w:name w:val="Comment Subject Char"/>
    <w:basedOn w:val="CommentTextChar"/>
    <w:link w:val="CommentSubject"/>
    <w:uiPriority w:val="99"/>
    <w:rsid w:val="00250662"/>
    <w:rPr>
      <w:rFonts w:ascii="Times New Roman" w:eastAsia="Times New Roman" w:hAnsi="Times New Roman" w:cs="Times New Roman"/>
      <w:b/>
      <w:bCs/>
      <w:sz w:val="20"/>
      <w:szCs w:val="20"/>
      <w:lang w:val="x-none" w:eastAsia="x-none"/>
    </w:rPr>
  </w:style>
  <w:style w:type="character" w:styleId="PageNumber">
    <w:name w:val="page number"/>
    <w:basedOn w:val="DefaultParagraphFont"/>
    <w:uiPriority w:val="99"/>
    <w:rsid w:val="00250662"/>
  </w:style>
  <w:style w:type="character" w:customStyle="1" w:styleId="BodyTextChar">
    <w:name w:val="Body Text Char"/>
    <w:basedOn w:val="DefaultParagraphFont"/>
    <w:link w:val="BodyText"/>
    <w:semiHidden/>
    <w:rsid w:val="00250662"/>
    <w:rPr>
      <w:rFonts w:ascii="Times New Roman" w:eastAsia="Times New Roman" w:hAnsi="Times New Roman" w:cs="Times New Roman"/>
      <w:b/>
      <w:bCs/>
      <w:sz w:val="24"/>
      <w:szCs w:val="20"/>
      <w:lang w:val="en-GB"/>
    </w:rPr>
  </w:style>
  <w:style w:type="paragraph" w:styleId="BodyText">
    <w:name w:val="Body Text"/>
    <w:basedOn w:val="Normal"/>
    <w:link w:val="BodyTextChar"/>
    <w:semiHidden/>
    <w:rsid w:val="00250662"/>
    <w:rPr>
      <w:b/>
      <w:bCs/>
      <w:sz w:val="24"/>
    </w:rPr>
  </w:style>
  <w:style w:type="character" w:customStyle="1" w:styleId="BodyText2Char">
    <w:name w:val="Body Text 2 Char"/>
    <w:basedOn w:val="DefaultParagraphFont"/>
    <w:link w:val="BodyText2"/>
    <w:semiHidden/>
    <w:rsid w:val="00250662"/>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250662"/>
    <w:rPr>
      <w:sz w:val="24"/>
    </w:rPr>
  </w:style>
  <w:style w:type="character" w:customStyle="1" w:styleId="BodyText3Char">
    <w:name w:val="Body Text 3 Char"/>
    <w:basedOn w:val="DefaultParagraphFont"/>
    <w:link w:val="BodyText3"/>
    <w:semiHidden/>
    <w:rsid w:val="00250662"/>
    <w:rPr>
      <w:rFonts w:ascii="Times New Roman" w:eastAsia="Times New Roman" w:hAnsi="Times New Roman" w:cs="Times New Roman"/>
      <w:sz w:val="24"/>
      <w:szCs w:val="20"/>
      <w:lang w:val="en-GB"/>
    </w:rPr>
  </w:style>
  <w:style w:type="paragraph" w:styleId="BodyText3">
    <w:name w:val="Body Text 3"/>
    <w:basedOn w:val="Normal"/>
    <w:link w:val="BodyText3Char"/>
    <w:semiHidden/>
    <w:rsid w:val="00250662"/>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styleId="Emphasis">
    <w:name w:val="Emphasis"/>
    <w:basedOn w:val="DefaultParagraphFont"/>
    <w:uiPriority w:val="20"/>
    <w:qFormat/>
    <w:rsid w:val="00250662"/>
    <w:rPr>
      <w:i/>
      <w:iCs/>
    </w:rPr>
  </w:style>
  <w:style w:type="paragraph" w:customStyle="1" w:styleId="BVIfnrCharCharCharChar1">
    <w:name w:val="BVI fnr Char Char Char Char1"/>
    <w:aliases w:val="BVI fnr Car Car Char Char Char Char,BVI fnr Char Char Char Char,BVI fnr Car Car Char Char Char Char1,BVI fnr Char Char Char Char11"/>
    <w:basedOn w:val="Normal"/>
    <w:uiPriority w:val="99"/>
    <w:rsid w:val="00250662"/>
    <w:pPr>
      <w:spacing w:before="120" w:after="160" w:line="240" w:lineRule="exact"/>
      <w:jc w:val="both"/>
    </w:pPr>
    <w:rPr>
      <w:rFonts w:asciiTheme="minorHAnsi" w:eastAsiaTheme="minorHAnsi" w:hAnsiTheme="minorHAnsi" w:cstheme="minorBidi"/>
      <w:sz w:val="22"/>
      <w:szCs w:val="22"/>
      <w:vertAlign w:val="superscript"/>
      <w:lang w:val="en-US"/>
    </w:rPr>
  </w:style>
  <w:style w:type="paragraph" w:styleId="NoSpacing">
    <w:name w:val="No Spacing"/>
    <w:uiPriority w:val="1"/>
    <w:qFormat/>
    <w:rsid w:val="00250662"/>
    <w:pPr>
      <w:spacing w:after="0" w:line="240" w:lineRule="auto"/>
    </w:pPr>
    <w:rPr>
      <w:sz w:val="24"/>
      <w:szCs w:val="24"/>
      <w:lang w:val="en-US"/>
    </w:rPr>
  </w:style>
  <w:style w:type="paragraph" w:customStyle="1" w:styleId="Default">
    <w:name w:val="Default"/>
    <w:rsid w:val="0025066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tlid-translation">
    <w:name w:val="tlid-translation"/>
    <w:basedOn w:val="DefaultParagraphFont"/>
    <w:rsid w:val="00250662"/>
  </w:style>
  <w:style w:type="character" w:customStyle="1" w:styleId="HTMLPreformattedChar">
    <w:name w:val="HTML Preformatted Char"/>
    <w:basedOn w:val="DefaultParagraphFont"/>
    <w:link w:val="HTMLPreformatted"/>
    <w:uiPriority w:val="99"/>
    <w:semiHidden/>
    <w:rsid w:val="00250662"/>
    <w:rPr>
      <w:rFonts w:ascii="Courier New" w:eastAsia="Times New Roman" w:hAnsi="Courier New" w:cs="Courier New"/>
      <w:sz w:val="20"/>
      <w:szCs w:val="20"/>
      <w:lang w:eastAsia="fr-FR"/>
    </w:rPr>
  </w:style>
  <w:style w:type="paragraph" w:styleId="HTMLPreformatted">
    <w:name w:val="HTML Preformatted"/>
    <w:basedOn w:val="Normal"/>
    <w:link w:val="HTMLPreformattedChar"/>
    <w:uiPriority w:val="99"/>
    <w:semiHidden/>
    <w:unhideWhenUsed/>
    <w:rsid w:val="00250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paragraph" w:styleId="NormalWeb">
    <w:name w:val="Normal (Web)"/>
    <w:basedOn w:val="Normal"/>
    <w:uiPriority w:val="99"/>
    <w:semiHidden/>
    <w:unhideWhenUsed/>
    <w:rsid w:val="00702D09"/>
    <w:pPr>
      <w:spacing w:before="100" w:beforeAutospacing="1" w:after="100" w:afterAutospacing="1"/>
    </w:pPr>
    <w:rPr>
      <w:sz w:val="24"/>
      <w:szCs w:val="24"/>
      <w:lang w:val="fr-FR" w:eastAsia="fr-FR"/>
    </w:rPr>
  </w:style>
  <w:style w:type="paragraph" w:customStyle="1" w:styleId="TableParagraph">
    <w:name w:val="Table Paragraph"/>
    <w:basedOn w:val="Normal"/>
    <w:uiPriority w:val="1"/>
    <w:qFormat/>
    <w:rsid w:val="00E37F61"/>
    <w:pPr>
      <w:widowControl w:val="0"/>
      <w:autoSpaceDE w:val="0"/>
      <w:autoSpaceDN w:val="0"/>
    </w:pPr>
    <w:rPr>
      <w:sz w:val="22"/>
      <w:szCs w:val="22"/>
      <w:lang w:val="en-US" w:bidi="en-US"/>
    </w:rPr>
  </w:style>
  <w:style w:type="paragraph" w:customStyle="1" w:styleId="Body">
    <w:name w:val="Body"/>
    <w:rsid w:val="00035C5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ko-KR"/>
    </w:rPr>
  </w:style>
  <w:style w:type="character" w:styleId="CommentReference">
    <w:name w:val="annotation reference"/>
    <w:basedOn w:val="DefaultParagraphFont"/>
    <w:uiPriority w:val="99"/>
    <w:semiHidden/>
    <w:unhideWhenUsed/>
    <w:rsid w:val="002764DA"/>
    <w:rPr>
      <w:sz w:val="16"/>
      <w:szCs w:val="16"/>
    </w:rPr>
  </w:style>
  <w:style w:type="paragraph" w:styleId="EndnoteText">
    <w:name w:val="endnote text"/>
    <w:basedOn w:val="Normal"/>
    <w:link w:val="EndnoteTextChar"/>
    <w:uiPriority w:val="99"/>
    <w:semiHidden/>
    <w:unhideWhenUsed/>
    <w:rsid w:val="00B9006C"/>
  </w:style>
  <w:style w:type="character" w:customStyle="1" w:styleId="EndnoteTextChar">
    <w:name w:val="Endnote Text Char"/>
    <w:basedOn w:val="DefaultParagraphFont"/>
    <w:link w:val="EndnoteText"/>
    <w:uiPriority w:val="99"/>
    <w:semiHidden/>
    <w:rsid w:val="00B9006C"/>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B9006C"/>
    <w:rPr>
      <w:vertAlign w:val="superscript"/>
    </w:rPr>
  </w:style>
  <w:style w:type="paragraph" w:styleId="Revision">
    <w:name w:val="Revision"/>
    <w:hidden/>
    <w:uiPriority w:val="99"/>
    <w:semiHidden/>
    <w:rsid w:val="00507B71"/>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243457">
      <w:bodyDiv w:val="1"/>
      <w:marLeft w:val="0"/>
      <w:marRight w:val="0"/>
      <w:marTop w:val="0"/>
      <w:marBottom w:val="0"/>
      <w:divBdr>
        <w:top w:val="none" w:sz="0" w:space="0" w:color="auto"/>
        <w:left w:val="none" w:sz="0" w:space="0" w:color="auto"/>
        <w:bottom w:val="none" w:sz="0" w:space="0" w:color="auto"/>
        <w:right w:val="none" w:sz="0" w:space="0" w:color="auto"/>
      </w:divBdr>
    </w:div>
    <w:div w:id="812909424">
      <w:bodyDiv w:val="1"/>
      <w:marLeft w:val="0"/>
      <w:marRight w:val="0"/>
      <w:marTop w:val="0"/>
      <w:marBottom w:val="0"/>
      <w:divBdr>
        <w:top w:val="none" w:sz="0" w:space="0" w:color="auto"/>
        <w:left w:val="none" w:sz="0" w:space="0" w:color="auto"/>
        <w:bottom w:val="none" w:sz="0" w:space="0" w:color="auto"/>
        <w:right w:val="none" w:sz="0" w:space="0" w:color="auto"/>
      </w:divBdr>
    </w:div>
    <w:div w:id="1820267655">
      <w:bodyDiv w:val="1"/>
      <w:marLeft w:val="0"/>
      <w:marRight w:val="0"/>
      <w:marTop w:val="0"/>
      <w:marBottom w:val="0"/>
      <w:divBdr>
        <w:top w:val="none" w:sz="0" w:space="0" w:color="auto"/>
        <w:left w:val="none" w:sz="0" w:space="0" w:color="auto"/>
        <w:bottom w:val="none" w:sz="0" w:space="0" w:color="auto"/>
        <w:right w:val="none" w:sz="0" w:space="0" w:color="auto"/>
      </w:divBdr>
      <w:divsChild>
        <w:div w:id="1926835947">
          <w:marLeft w:val="0"/>
          <w:marRight w:val="0"/>
          <w:marTop w:val="100"/>
          <w:marBottom w:val="0"/>
          <w:divBdr>
            <w:top w:val="none" w:sz="0" w:space="0" w:color="auto"/>
            <w:left w:val="none" w:sz="0" w:space="0" w:color="auto"/>
            <w:bottom w:val="none" w:sz="0" w:space="0" w:color="auto"/>
            <w:right w:val="none" w:sz="0" w:space="0" w:color="auto"/>
          </w:divBdr>
          <w:divsChild>
            <w:div w:id="1827555296">
              <w:marLeft w:val="0"/>
              <w:marRight w:val="0"/>
              <w:marTop w:val="60"/>
              <w:marBottom w:val="0"/>
              <w:divBdr>
                <w:top w:val="none" w:sz="0" w:space="0" w:color="auto"/>
                <w:left w:val="none" w:sz="0" w:space="0" w:color="auto"/>
                <w:bottom w:val="none" w:sz="0" w:space="0" w:color="auto"/>
                <w:right w:val="none" w:sz="0" w:space="0" w:color="auto"/>
              </w:divBdr>
            </w:div>
          </w:divsChild>
        </w:div>
        <w:div w:id="1839231911">
          <w:marLeft w:val="0"/>
          <w:marRight w:val="0"/>
          <w:marTop w:val="0"/>
          <w:marBottom w:val="0"/>
          <w:divBdr>
            <w:top w:val="none" w:sz="0" w:space="0" w:color="auto"/>
            <w:left w:val="none" w:sz="0" w:space="0" w:color="auto"/>
            <w:bottom w:val="none" w:sz="0" w:space="0" w:color="auto"/>
            <w:right w:val="none" w:sz="0" w:space="0" w:color="auto"/>
          </w:divBdr>
          <w:divsChild>
            <w:div w:id="70667836">
              <w:marLeft w:val="0"/>
              <w:marRight w:val="0"/>
              <w:marTop w:val="0"/>
              <w:marBottom w:val="0"/>
              <w:divBdr>
                <w:top w:val="none" w:sz="0" w:space="0" w:color="auto"/>
                <w:left w:val="none" w:sz="0" w:space="0" w:color="auto"/>
                <w:bottom w:val="none" w:sz="0" w:space="0" w:color="auto"/>
                <w:right w:val="none" w:sz="0" w:space="0" w:color="auto"/>
              </w:divBdr>
              <w:divsChild>
                <w:div w:id="210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4" ma:contentTypeDescription="Create a new document." ma:contentTypeScope="" ma:versionID="0d72056e82d31468fb2c80a2e8d2f32c">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94f3a888f37affe8a01d57bb84af19cd"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0C984-E2E7-4F27-AD33-C395480D05FC}">
  <ds:schemaRefs>
    <ds:schemaRef ds:uri="http://schemas.openxmlformats.org/officeDocument/2006/bibliography"/>
  </ds:schemaRefs>
</ds:datastoreItem>
</file>

<file path=customXml/itemProps2.xml><?xml version="1.0" encoding="utf-8"?>
<ds:datastoreItem xmlns:ds="http://schemas.openxmlformats.org/officeDocument/2006/customXml" ds:itemID="{6B8F8EB8-C004-4BA6-AA0D-4165E97B68D9}">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8946dc4-2e98-472c-b2e6-ca9019b8dfda"/>
    <ds:schemaRef ds:uri="http://schemas.microsoft.com/office/infopath/2007/PartnerControls"/>
    <ds:schemaRef ds:uri="http://www.w3.org/XML/1998/namespace"/>
    <ds:schemaRef ds:uri="http://purl.org/dc/terms/"/>
    <ds:schemaRef ds:uri="33856b32-dbbd-4996-9e5d-776de7c2e4f8"/>
    <ds:schemaRef ds:uri="http://purl.org/dc/dcmitype/"/>
  </ds:schemaRefs>
</ds:datastoreItem>
</file>

<file path=customXml/itemProps3.xml><?xml version="1.0" encoding="utf-8"?>
<ds:datastoreItem xmlns:ds="http://schemas.openxmlformats.org/officeDocument/2006/customXml" ds:itemID="{B62D9C2C-FFA2-48E7-8630-5A3932DE0556}">
  <ds:schemaRefs>
    <ds:schemaRef ds:uri="http://schemas.microsoft.com/sharepoint/v3/contenttype/forms"/>
  </ds:schemaRefs>
</ds:datastoreItem>
</file>

<file path=customXml/itemProps4.xml><?xml version="1.0" encoding="utf-8"?>
<ds:datastoreItem xmlns:ds="http://schemas.openxmlformats.org/officeDocument/2006/customXml" ds:itemID="{202999C0-A5CD-4227-BF8F-8D9B2E4FE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5942</Words>
  <Characters>36781</Characters>
  <Application>Microsoft Office Word</Application>
  <DocSecurity>0</DocSecurity>
  <Lines>1021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Hadji Fall</dc:creator>
  <cp:keywords/>
  <dc:description/>
  <cp:lastModifiedBy>Svetlana Iazykova</cp:lastModifiedBy>
  <cp:revision>3</cp:revision>
  <cp:lastPrinted>2021-05-26T22:17:00Z</cp:lastPrinted>
  <dcterms:created xsi:type="dcterms:W3CDTF">2021-07-02T15:47:00Z</dcterms:created>
  <dcterms:modified xsi:type="dcterms:W3CDTF">2021-07-02T15:48:00Z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3aca714f-1abf-4d1e-bcdd-2eff6808d8bb</vt:lpwstr>
  </property>
</Properties>
</file>