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8F04FB" w14:textId="77777777" w:rsidR="00733308" w:rsidRDefault="00733308" w:rsidP="00FA0468">
      <w:pPr>
        <w:spacing w:after="0" w:line="240" w:lineRule="auto"/>
        <w:jc w:val="center"/>
        <w:rPr>
          <w:color w:val="2191C9" w:themeColor="background2" w:themeShade="80"/>
          <w:sz w:val="32"/>
          <w:szCs w:val="32"/>
          <w:lang w:val="en-US"/>
        </w:rPr>
      </w:pPr>
    </w:p>
    <w:p w14:paraId="36D2DE4C" w14:textId="2C606EFF" w:rsidR="00916C74" w:rsidRPr="00C56601" w:rsidRDefault="00916C74" w:rsidP="00FA0468">
      <w:pPr>
        <w:spacing w:after="0" w:line="240" w:lineRule="auto"/>
        <w:jc w:val="center"/>
        <w:rPr>
          <w:color w:val="2191C9" w:themeColor="background2" w:themeShade="80"/>
          <w:sz w:val="32"/>
          <w:szCs w:val="32"/>
          <w:lang w:val="en-US"/>
        </w:rPr>
      </w:pPr>
      <w:r w:rsidRPr="00C56601">
        <w:rPr>
          <w:color w:val="2191C9" w:themeColor="background2" w:themeShade="80"/>
          <w:sz w:val="32"/>
          <w:szCs w:val="32"/>
          <w:lang w:val="en-US"/>
        </w:rPr>
        <w:t>UNDP Country Office in North Macedonia</w:t>
      </w:r>
    </w:p>
    <w:p w14:paraId="65C9F775" w14:textId="77777777" w:rsidR="00916C74" w:rsidRPr="00C56601" w:rsidRDefault="00916C74" w:rsidP="00FA0468">
      <w:pPr>
        <w:spacing w:after="0" w:line="240" w:lineRule="auto"/>
        <w:jc w:val="center"/>
        <w:rPr>
          <w:color w:val="2191C9" w:themeColor="background2" w:themeShade="80"/>
          <w:sz w:val="44"/>
          <w:szCs w:val="44"/>
          <w:lang w:val="en-US"/>
        </w:rPr>
      </w:pPr>
    </w:p>
    <w:p w14:paraId="4C18770A" w14:textId="77777777" w:rsidR="00916C74" w:rsidRPr="00C56601" w:rsidRDefault="00916C74" w:rsidP="00FA0468">
      <w:pPr>
        <w:spacing w:after="0" w:line="240" w:lineRule="auto"/>
        <w:jc w:val="center"/>
        <w:rPr>
          <w:color w:val="2191C9" w:themeColor="background2" w:themeShade="80"/>
          <w:sz w:val="44"/>
          <w:szCs w:val="44"/>
          <w:lang w:val="en-US"/>
        </w:rPr>
      </w:pPr>
    </w:p>
    <w:p w14:paraId="5D6F59D0" w14:textId="77777777" w:rsidR="00916C74" w:rsidRPr="00C56601" w:rsidRDefault="00916C74" w:rsidP="00FA0468">
      <w:pPr>
        <w:spacing w:after="0" w:line="240" w:lineRule="auto"/>
        <w:jc w:val="center"/>
        <w:rPr>
          <w:color w:val="2191C9" w:themeColor="background2" w:themeShade="80"/>
          <w:sz w:val="44"/>
          <w:szCs w:val="44"/>
          <w:lang w:val="en-US"/>
        </w:rPr>
      </w:pPr>
    </w:p>
    <w:p w14:paraId="02D69156" w14:textId="531AB1E6" w:rsidR="00F953E6" w:rsidRPr="00C56601" w:rsidRDefault="00F953E6" w:rsidP="00FA0468">
      <w:pPr>
        <w:spacing w:after="0" w:line="240" w:lineRule="auto"/>
        <w:jc w:val="center"/>
        <w:rPr>
          <w:b/>
          <w:bCs/>
          <w:color w:val="2191C9" w:themeColor="background2" w:themeShade="80"/>
          <w:sz w:val="72"/>
          <w:szCs w:val="72"/>
          <w:lang w:val="en-US"/>
        </w:rPr>
      </w:pPr>
      <w:r w:rsidRPr="00C56601">
        <w:rPr>
          <w:b/>
          <w:bCs/>
          <w:color w:val="2191C9" w:themeColor="background2" w:themeShade="80"/>
          <w:sz w:val="72"/>
          <w:szCs w:val="72"/>
          <w:lang w:val="en-US"/>
        </w:rPr>
        <w:t>S</w:t>
      </w:r>
      <w:r w:rsidR="00BC10E7" w:rsidRPr="00C56601">
        <w:rPr>
          <w:b/>
          <w:bCs/>
          <w:color w:val="2191C9" w:themeColor="background2" w:themeShade="80"/>
          <w:sz w:val="72"/>
          <w:szCs w:val="72"/>
          <w:lang w:val="en-US"/>
        </w:rPr>
        <w:t>D</w:t>
      </w:r>
      <w:r w:rsidRPr="00C56601">
        <w:rPr>
          <w:b/>
          <w:bCs/>
          <w:color w:val="2191C9" w:themeColor="background2" w:themeShade="80"/>
          <w:sz w:val="72"/>
          <w:szCs w:val="72"/>
          <w:lang w:val="en-US"/>
        </w:rPr>
        <w:t>G-</w:t>
      </w:r>
      <w:proofErr w:type="spellStart"/>
      <w:r w:rsidRPr="00C56601">
        <w:rPr>
          <w:b/>
          <w:bCs/>
          <w:color w:val="2191C9" w:themeColor="background2" w:themeShade="80"/>
          <w:sz w:val="72"/>
          <w:szCs w:val="72"/>
          <w:lang w:val="en-US"/>
        </w:rPr>
        <w:t>ization</w:t>
      </w:r>
      <w:proofErr w:type="spellEnd"/>
      <w:r w:rsidRPr="00C56601">
        <w:rPr>
          <w:b/>
          <w:bCs/>
          <w:color w:val="2191C9" w:themeColor="background2" w:themeShade="80"/>
          <w:sz w:val="72"/>
          <w:szCs w:val="72"/>
          <w:lang w:val="en-US"/>
        </w:rPr>
        <w:t xml:space="preserve"> of the Public Agenda</w:t>
      </w:r>
      <w:r w:rsidR="00BC10E7" w:rsidRPr="00C56601">
        <w:rPr>
          <w:b/>
          <w:bCs/>
          <w:color w:val="2191C9" w:themeColor="background2" w:themeShade="80"/>
          <w:sz w:val="72"/>
          <w:szCs w:val="72"/>
          <w:lang w:val="en-US"/>
        </w:rPr>
        <w:t xml:space="preserve"> and SDG </w:t>
      </w:r>
      <w:r w:rsidR="00034F38" w:rsidRPr="00C56601">
        <w:rPr>
          <w:b/>
          <w:bCs/>
          <w:color w:val="2191C9" w:themeColor="background2" w:themeShade="80"/>
          <w:sz w:val="72"/>
          <w:szCs w:val="72"/>
          <w:lang w:val="en-US"/>
        </w:rPr>
        <w:t xml:space="preserve">Finance </w:t>
      </w:r>
      <w:r w:rsidR="00BC10E7" w:rsidRPr="00C56601">
        <w:rPr>
          <w:b/>
          <w:bCs/>
          <w:color w:val="2191C9" w:themeColor="background2" w:themeShade="80"/>
          <w:sz w:val="72"/>
          <w:szCs w:val="72"/>
          <w:lang w:val="en-US"/>
        </w:rPr>
        <w:t>Push</w:t>
      </w:r>
    </w:p>
    <w:p w14:paraId="1A8B7835" w14:textId="4613A713" w:rsidR="002A595F" w:rsidRPr="00C56601" w:rsidRDefault="00F953E6" w:rsidP="00FA0468">
      <w:pPr>
        <w:spacing w:after="0" w:line="240" w:lineRule="auto"/>
        <w:jc w:val="center"/>
        <w:rPr>
          <w:color w:val="2191C9" w:themeColor="background2" w:themeShade="80"/>
          <w:sz w:val="32"/>
          <w:szCs w:val="32"/>
          <w:lang w:val="en-US"/>
        </w:rPr>
      </w:pPr>
      <w:r w:rsidRPr="00C56601">
        <w:rPr>
          <w:color w:val="2191C9" w:themeColor="background2" w:themeShade="80"/>
          <w:sz w:val="32"/>
          <w:szCs w:val="32"/>
          <w:lang w:val="en-US"/>
        </w:rPr>
        <w:t>Recommendations for Maximizing the Impact of UNDP Country Office’ Involvement in North Macedonia</w:t>
      </w:r>
    </w:p>
    <w:p w14:paraId="10E33551" w14:textId="4ED7EFCC" w:rsidR="00410F61" w:rsidRPr="00C56601" w:rsidRDefault="00916C74" w:rsidP="002A595F">
      <w:pPr>
        <w:spacing w:after="0" w:line="240" w:lineRule="auto"/>
        <w:jc w:val="center"/>
        <w:rPr>
          <w:sz w:val="36"/>
          <w:szCs w:val="36"/>
          <w:lang w:val="en-US"/>
        </w:rPr>
      </w:pPr>
      <w:r w:rsidRPr="00C56601">
        <w:rPr>
          <w:noProof/>
        </w:rPr>
        <w:drawing>
          <wp:inline distT="0" distB="0" distL="0" distR="0" wp14:anchorId="6C6C686B" wp14:editId="76334271">
            <wp:extent cx="5943600" cy="2957830"/>
            <wp:effectExtent l="0" t="0" r="0" b="0"/>
            <wp:docPr id="112425089" name="Picture 1" descr="UNESCO and Sustainable Development Go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ESCO and Sustainable Development Goal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2957830"/>
                    </a:xfrm>
                    <a:prstGeom prst="rect">
                      <a:avLst/>
                    </a:prstGeom>
                    <a:noFill/>
                    <a:ln>
                      <a:noFill/>
                    </a:ln>
                  </pic:spPr>
                </pic:pic>
              </a:graphicData>
            </a:graphic>
          </wp:inline>
        </w:drawing>
      </w:r>
    </w:p>
    <w:p w14:paraId="475877BE" w14:textId="77777777" w:rsidR="00916C74" w:rsidRPr="00C56601" w:rsidRDefault="00916C74" w:rsidP="002A595F">
      <w:pPr>
        <w:spacing w:after="0" w:line="240" w:lineRule="auto"/>
        <w:jc w:val="center"/>
        <w:rPr>
          <w:sz w:val="36"/>
          <w:szCs w:val="36"/>
          <w:lang w:val="en-US"/>
        </w:rPr>
      </w:pPr>
    </w:p>
    <w:p w14:paraId="0536FE5F" w14:textId="5D6FC1C4" w:rsidR="00916C74" w:rsidRPr="00C56601" w:rsidRDefault="00916C74" w:rsidP="002A595F">
      <w:pPr>
        <w:spacing w:after="0" w:line="240" w:lineRule="auto"/>
        <w:jc w:val="center"/>
        <w:rPr>
          <w:color w:val="2191C9" w:themeColor="background2" w:themeShade="80"/>
          <w:sz w:val="32"/>
          <w:szCs w:val="32"/>
          <w:lang w:val="en-US"/>
        </w:rPr>
      </w:pPr>
    </w:p>
    <w:p w14:paraId="5A32155F" w14:textId="13D569B1" w:rsidR="00916C74" w:rsidRPr="00C56601" w:rsidRDefault="00916C74">
      <w:pPr>
        <w:rPr>
          <w:sz w:val="24"/>
          <w:szCs w:val="24"/>
          <w:lang w:val="en-US"/>
        </w:rPr>
      </w:pPr>
    </w:p>
    <w:p w14:paraId="1218680F" w14:textId="77777777" w:rsidR="00916C74" w:rsidRPr="00C56601" w:rsidRDefault="00916C74">
      <w:pPr>
        <w:rPr>
          <w:sz w:val="24"/>
          <w:szCs w:val="24"/>
          <w:lang w:val="en-US"/>
        </w:rPr>
      </w:pPr>
    </w:p>
    <w:p w14:paraId="0241FAD7" w14:textId="77777777" w:rsidR="00916C74" w:rsidRPr="00C56601" w:rsidRDefault="00916C74">
      <w:pPr>
        <w:rPr>
          <w:sz w:val="24"/>
          <w:szCs w:val="24"/>
          <w:lang w:val="en-US"/>
        </w:rPr>
      </w:pPr>
    </w:p>
    <w:p w14:paraId="420BF471" w14:textId="1FB1BE77" w:rsidR="00916C74" w:rsidRPr="00C56601" w:rsidRDefault="00916C74" w:rsidP="00916C74">
      <w:pPr>
        <w:jc w:val="center"/>
        <w:rPr>
          <w:color w:val="0070C0"/>
          <w:sz w:val="28"/>
          <w:szCs w:val="28"/>
          <w:lang w:val="en-US"/>
        </w:rPr>
      </w:pPr>
      <w:r w:rsidRPr="00C56601">
        <w:rPr>
          <w:color w:val="0070C0"/>
          <w:sz w:val="28"/>
          <w:szCs w:val="28"/>
          <w:lang w:val="en-US"/>
        </w:rPr>
        <w:t xml:space="preserve">Skopje, </w:t>
      </w:r>
      <w:r w:rsidR="002768F0">
        <w:rPr>
          <w:color w:val="0070C0"/>
          <w:sz w:val="28"/>
          <w:szCs w:val="28"/>
          <w:lang w:val="en-US"/>
        </w:rPr>
        <w:t>January</w:t>
      </w:r>
      <w:r w:rsidR="0018068C" w:rsidRPr="00C56601">
        <w:rPr>
          <w:color w:val="0070C0"/>
          <w:sz w:val="28"/>
          <w:szCs w:val="28"/>
          <w:lang w:val="en-US"/>
        </w:rPr>
        <w:t xml:space="preserve"> </w:t>
      </w:r>
      <w:r w:rsidRPr="00C56601">
        <w:rPr>
          <w:color w:val="0070C0"/>
          <w:sz w:val="28"/>
          <w:szCs w:val="28"/>
          <w:lang w:val="en-US"/>
        </w:rPr>
        <w:t>202</w:t>
      </w:r>
      <w:r w:rsidR="007D16CA">
        <w:rPr>
          <w:color w:val="0070C0"/>
          <w:sz w:val="28"/>
          <w:szCs w:val="28"/>
          <w:lang w:val="en-US"/>
        </w:rPr>
        <w:t>4</w:t>
      </w:r>
    </w:p>
    <w:p w14:paraId="79848761" w14:textId="77777777" w:rsidR="00916C74" w:rsidRPr="00C56601" w:rsidRDefault="00916C74" w:rsidP="00916C74">
      <w:pPr>
        <w:jc w:val="center"/>
        <w:rPr>
          <w:sz w:val="24"/>
          <w:szCs w:val="24"/>
          <w:lang w:val="en-US"/>
        </w:rPr>
      </w:pPr>
    </w:p>
    <w:sdt>
      <w:sdtPr>
        <w:rPr>
          <w:rFonts w:asciiTheme="minorHAnsi" w:eastAsiaTheme="minorHAnsi" w:hAnsiTheme="minorHAnsi" w:cstheme="minorBidi"/>
          <w:color w:val="auto"/>
          <w:sz w:val="22"/>
          <w:szCs w:val="22"/>
          <w:lang w:val="en-GB"/>
        </w:rPr>
        <w:id w:val="-953942232"/>
        <w:docPartObj>
          <w:docPartGallery w:val="Table of Contents"/>
          <w:docPartUnique/>
        </w:docPartObj>
      </w:sdtPr>
      <w:sdtEndPr>
        <w:rPr>
          <w:b/>
          <w:bCs/>
          <w:noProof/>
        </w:rPr>
      </w:sdtEndPr>
      <w:sdtContent>
        <w:p w14:paraId="7C9F8D72" w14:textId="4317A6D8" w:rsidR="00B348F0" w:rsidRPr="00C56601" w:rsidRDefault="00B348F0" w:rsidP="00916C74">
          <w:pPr>
            <w:pStyle w:val="TOCHeading"/>
            <w:jc w:val="center"/>
          </w:pPr>
          <w:r w:rsidRPr="00C56601">
            <w:t>Contents</w:t>
          </w:r>
        </w:p>
        <w:p w14:paraId="0C457A76" w14:textId="1FD92D05" w:rsidR="002768F0" w:rsidRDefault="00B348F0">
          <w:pPr>
            <w:pStyle w:val="TOC1"/>
            <w:rPr>
              <w:rFonts w:eastAsiaTheme="minorEastAsia"/>
              <w:noProof/>
              <w:kern w:val="2"/>
              <w:lang w:val="en-US"/>
              <w14:ligatures w14:val="standardContextual"/>
            </w:rPr>
          </w:pPr>
          <w:r w:rsidRPr="00C56601">
            <w:rPr>
              <w:sz w:val="20"/>
              <w:szCs w:val="20"/>
            </w:rPr>
            <w:fldChar w:fldCharType="begin"/>
          </w:r>
          <w:r w:rsidRPr="00C56601">
            <w:rPr>
              <w:sz w:val="20"/>
              <w:szCs w:val="20"/>
            </w:rPr>
            <w:instrText xml:space="preserve"> TOC \o "1-3" \h \z \u </w:instrText>
          </w:r>
          <w:r w:rsidRPr="00C56601">
            <w:rPr>
              <w:sz w:val="20"/>
              <w:szCs w:val="20"/>
            </w:rPr>
            <w:fldChar w:fldCharType="separate"/>
          </w:r>
          <w:hyperlink w:anchor="_Toc157427532" w:history="1">
            <w:r w:rsidR="002768F0" w:rsidRPr="0077726A">
              <w:rPr>
                <w:rStyle w:val="Hyperlink"/>
                <w:noProof/>
              </w:rPr>
              <w:t>List of Acronyms</w:t>
            </w:r>
            <w:r w:rsidR="002768F0">
              <w:rPr>
                <w:noProof/>
                <w:webHidden/>
              </w:rPr>
              <w:tab/>
            </w:r>
            <w:r w:rsidR="002768F0">
              <w:rPr>
                <w:noProof/>
                <w:webHidden/>
              </w:rPr>
              <w:fldChar w:fldCharType="begin"/>
            </w:r>
            <w:r w:rsidR="002768F0">
              <w:rPr>
                <w:noProof/>
                <w:webHidden/>
              </w:rPr>
              <w:instrText xml:space="preserve"> PAGEREF _Toc157427532 \h </w:instrText>
            </w:r>
            <w:r w:rsidR="002768F0">
              <w:rPr>
                <w:noProof/>
                <w:webHidden/>
              </w:rPr>
            </w:r>
            <w:r w:rsidR="002768F0">
              <w:rPr>
                <w:noProof/>
                <w:webHidden/>
              </w:rPr>
              <w:fldChar w:fldCharType="separate"/>
            </w:r>
            <w:r w:rsidR="002768F0">
              <w:rPr>
                <w:noProof/>
                <w:webHidden/>
              </w:rPr>
              <w:t>4</w:t>
            </w:r>
            <w:r w:rsidR="002768F0">
              <w:rPr>
                <w:noProof/>
                <w:webHidden/>
              </w:rPr>
              <w:fldChar w:fldCharType="end"/>
            </w:r>
          </w:hyperlink>
        </w:p>
        <w:p w14:paraId="6077A608" w14:textId="2B1B0012" w:rsidR="002768F0" w:rsidRDefault="00000000">
          <w:pPr>
            <w:pStyle w:val="TOC1"/>
            <w:rPr>
              <w:rFonts w:eastAsiaTheme="minorEastAsia"/>
              <w:noProof/>
              <w:kern w:val="2"/>
              <w:lang w:val="en-US"/>
              <w14:ligatures w14:val="standardContextual"/>
            </w:rPr>
          </w:pPr>
          <w:hyperlink w:anchor="_Toc157427533" w:history="1">
            <w:r w:rsidR="002768F0" w:rsidRPr="0077726A">
              <w:rPr>
                <w:rStyle w:val="Hyperlink"/>
                <w:noProof/>
              </w:rPr>
              <w:t>List of Figures</w:t>
            </w:r>
            <w:r w:rsidR="002768F0">
              <w:rPr>
                <w:noProof/>
                <w:webHidden/>
              </w:rPr>
              <w:tab/>
            </w:r>
            <w:r w:rsidR="002768F0">
              <w:rPr>
                <w:noProof/>
                <w:webHidden/>
              </w:rPr>
              <w:fldChar w:fldCharType="begin"/>
            </w:r>
            <w:r w:rsidR="002768F0">
              <w:rPr>
                <w:noProof/>
                <w:webHidden/>
              </w:rPr>
              <w:instrText xml:space="preserve"> PAGEREF _Toc157427533 \h </w:instrText>
            </w:r>
            <w:r w:rsidR="002768F0">
              <w:rPr>
                <w:noProof/>
                <w:webHidden/>
              </w:rPr>
            </w:r>
            <w:r w:rsidR="002768F0">
              <w:rPr>
                <w:noProof/>
                <w:webHidden/>
              </w:rPr>
              <w:fldChar w:fldCharType="separate"/>
            </w:r>
            <w:r w:rsidR="002768F0">
              <w:rPr>
                <w:noProof/>
                <w:webHidden/>
              </w:rPr>
              <w:t>4</w:t>
            </w:r>
            <w:r w:rsidR="002768F0">
              <w:rPr>
                <w:noProof/>
                <w:webHidden/>
              </w:rPr>
              <w:fldChar w:fldCharType="end"/>
            </w:r>
          </w:hyperlink>
        </w:p>
        <w:p w14:paraId="69295E57" w14:textId="32AA4F77" w:rsidR="002768F0" w:rsidRDefault="00000000">
          <w:pPr>
            <w:pStyle w:val="TOC1"/>
            <w:rPr>
              <w:rFonts w:eastAsiaTheme="minorEastAsia"/>
              <w:noProof/>
              <w:kern w:val="2"/>
              <w:lang w:val="en-US"/>
              <w14:ligatures w14:val="standardContextual"/>
            </w:rPr>
          </w:pPr>
          <w:hyperlink w:anchor="_Toc157427534" w:history="1">
            <w:r w:rsidR="002768F0" w:rsidRPr="0077726A">
              <w:rPr>
                <w:rStyle w:val="Hyperlink"/>
                <w:noProof/>
              </w:rPr>
              <w:t>List of Tables</w:t>
            </w:r>
            <w:r w:rsidR="002768F0">
              <w:rPr>
                <w:noProof/>
                <w:webHidden/>
              </w:rPr>
              <w:tab/>
            </w:r>
            <w:r w:rsidR="002768F0">
              <w:rPr>
                <w:noProof/>
                <w:webHidden/>
              </w:rPr>
              <w:fldChar w:fldCharType="begin"/>
            </w:r>
            <w:r w:rsidR="002768F0">
              <w:rPr>
                <w:noProof/>
                <w:webHidden/>
              </w:rPr>
              <w:instrText xml:space="preserve"> PAGEREF _Toc157427534 \h </w:instrText>
            </w:r>
            <w:r w:rsidR="002768F0">
              <w:rPr>
                <w:noProof/>
                <w:webHidden/>
              </w:rPr>
            </w:r>
            <w:r w:rsidR="002768F0">
              <w:rPr>
                <w:noProof/>
                <w:webHidden/>
              </w:rPr>
              <w:fldChar w:fldCharType="separate"/>
            </w:r>
            <w:r w:rsidR="002768F0">
              <w:rPr>
                <w:noProof/>
                <w:webHidden/>
              </w:rPr>
              <w:t>5</w:t>
            </w:r>
            <w:r w:rsidR="002768F0">
              <w:rPr>
                <w:noProof/>
                <w:webHidden/>
              </w:rPr>
              <w:fldChar w:fldCharType="end"/>
            </w:r>
          </w:hyperlink>
        </w:p>
        <w:p w14:paraId="73151CD9" w14:textId="181DED25" w:rsidR="002768F0" w:rsidRDefault="00000000">
          <w:pPr>
            <w:pStyle w:val="TOC1"/>
            <w:rPr>
              <w:rFonts w:eastAsiaTheme="minorEastAsia"/>
              <w:noProof/>
              <w:kern w:val="2"/>
              <w:lang w:val="en-US"/>
              <w14:ligatures w14:val="standardContextual"/>
            </w:rPr>
          </w:pPr>
          <w:hyperlink w:anchor="_Toc157427535" w:history="1">
            <w:r w:rsidR="002768F0" w:rsidRPr="0077726A">
              <w:rPr>
                <w:rStyle w:val="Hyperlink"/>
                <w:noProof/>
              </w:rPr>
              <w:t>List of Boxes</w:t>
            </w:r>
            <w:r w:rsidR="002768F0">
              <w:rPr>
                <w:noProof/>
                <w:webHidden/>
              </w:rPr>
              <w:tab/>
            </w:r>
            <w:r w:rsidR="002768F0">
              <w:rPr>
                <w:noProof/>
                <w:webHidden/>
              </w:rPr>
              <w:fldChar w:fldCharType="begin"/>
            </w:r>
            <w:r w:rsidR="002768F0">
              <w:rPr>
                <w:noProof/>
                <w:webHidden/>
              </w:rPr>
              <w:instrText xml:space="preserve"> PAGEREF _Toc157427535 \h </w:instrText>
            </w:r>
            <w:r w:rsidR="002768F0">
              <w:rPr>
                <w:noProof/>
                <w:webHidden/>
              </w:rPr>
            </w:r>
            <w:r w:rsidR="002768F0">
              <w:rPr>
                <w:noProof/>
                <w:webHidden/>
              </w:rPr>
              <w:fldChar w:fldCharType="separate"/>
            </w:r>
            <w:r w:rsidR="002768F0">
              <w:rPr>
                <w:noProof/>
                <w:webHidden/>
              </w:rPr>
              <w:t>5</w:t>
            </w:r>
            <w:r w:rsidR="002768F0">
              <w:rPr>
                <w:noProof/>
                <w:webHidden/>
              </w:rPr>
              <w:fldChar w:fldCharType="end"/>
            </w:r>
          </w:hyperlink>
        </w:p>
        <w:p w14:paraId="0C00AA98" w14:textId="6798C8D5" w:rsidR="002768F0" w:rsidRDefault="00000000">
          <w:pPr>
            <w:pStyle w:val="TOC1"/>
            <w:rPr>
              <w:rFonts w:eastAsiaTheme="minorEastAsia"/>
              <w:noProof/>
              <w:kern w:val="2"/>
              <w:lang w:val="en-US"/>
              <w14:ligatures w14:val="standardContextual"/>
            </w:rPr>
          </w:pPr>
          <w:hyperlink w:anchor="_Toc157427536" w:history="1">
            <w:r w:rsidR="002768F0" w:rsidRPr="0077726A">
              <w:rPr>
                <w:rStyle w:val="Hyperlink"/>
                <w:noProof/>
                <w:lang w:val="en-US"/>
              </w:rPr>
              <w:t>1.</w:t>
            </w:r>
            <w:r w:rsidR="002768F0">
              <w:rPr>
                <w:rFonts w:eastAsiaTheme="minorEastAsia"/>
                <w:noProof/>
                <w:kern w:val="2"/>
                <w:lang w:val="en-US"/>
                <w14:ligatures w14:val="standardContextual"/>
              </w:rPr>
              <w:tab/>
            </w:r>
            <w:r w:rsidR="002768F0" w:rsidRPr="0077726A">
              <w:rPr>
                <w:rStyle w:val="Hyperlink"/>
                <w:noProof/>
                <w:lang w:val="en-US"/>
              </w:rPr>
              <w:t>INTRODUCTION AND MAIN OBJECTIVES</w:t>
            </w:r>
            <w:r w:rsidR="002768F0">
              <w:rPr>
                <w:noProof/>
                <w:webHidden/>
              </w:rPr>
              <w:tab/>
            </w:r>
            <w:r w:rsidR="002768F0">
              <w:rPr>
                <w:noProof/>
                <w:webHidden/>
              </w:rPr>
              <w:fldChar w:fldCharType="begin"/>
            </w:r>
            <w:r w:rsidR="002768F0">
              <w:rPr>
                <w:noProof/>
                <w:webHidden/>
              </w:rPr>
              <w:instrText xml:space="preserve"> PAGEREF _Toc157427536 \h </w:instrText>
            </w:r>
            <w:r w:rsidR="002768F0">
              <w:rPr>
                <w:noProof/>
                <w:webHidden/>
              </w:rPr>
            </w:r>
            <w:r w:rsidR="002768F0">
              <w:rPr>
                <w:noProof/>
                <w:webHidden/>
              </w:rPr>
              <w:fldChar w:fldCharType="separate"/>
            </w:r>
            <w:r w:rsidR="002768F0">
              <w:rPr>
                <w:noProof/>
                <w:webHidden/>
              </w:rPr>
              <w:t>5</w:t>
            </w:r>
            <w:r w:rsidR="002768F0">
              <w:rPr>
                <w:noProof/>
                <w:webHidden/>
              </w:rPr>
              <w:fldChar w:fldCharType="end"/>
            </w:r>
          </w:hyperlink>
        </w:p>
        <w:p w14:paraId="109D4324" w14:textId="6CE58412" w:rsidR="002768F0" w:rsidRDefault="00000000">
          <w:pPr>
            <w:pStyle w:val="TOC1"/>
            <w:rPr>
              <w:rFonts w:eastAsiaTheme="minorEastAsia"/>
              <w:noProof/>
              <w:kern w:val="2"/>
              <w:lang w:val="en-US"/>
              <w14:ligatures w14:val="standardContextual"/>
            </w:rPr>
          </w:pPr>
          <w:hyperlink w:anchor="_Toc157427537" w:history="1">
            <w:r w:rsidR="002768F0" w:rsidRPr="0077726A">
              <w:rPr>
                <w:rStyle w:val="Hyperlink"/>
                <w:noProof/>
                <w:lang w:val="en-US"/>
              </w:rPr>
              <w:t>2.</w:t>
            </w:r>
            <w:r w:rsidR="002768F0">
              <w:rPr>
                <w:rFonts w:eastAsiaTheme="minorEastAsia"/>
                <w:noProof/>
                <w:kern w:val="2"/>
                <w:lang w:val="en-US"/>
                <w14:ligatures w14:val="standardContextual"/>
              </w:rPr>
              <w:tab/>
            </w:r>
            <w:r w:rsidR="002768F0" w:rsidRPr="0077726A">
              <w:rPr>
                <w:rStyle w:val="Hyperlink"/>
                <w:noProof/>
                <w:lang w:val="en-US"/>
              </w:rPr>
              <w:t>CONTEXT: AN OVERVIEW OF STAKEHOLDERS’ AGENDAS</w:t>
            </w:r>
            <w:r w:rsidR="002768F0">
              <w:rPr>
                <w:noProof/>
                <w:webHidden/>
              </w:rPr>
              <w:tab/>
            </w:r>
            <w:r w:rsidR="002768F0">
              <w:rPr>
                <w:noProof/>
                <w:webHidden/>
              </w:rPr>
              <w:fldChar w:fldCharType="begin"/>
            </w:r>
            <w:r w:rsidR="002768F0">
              <w:rPr>
                <w:noProof/>
                <w:webHidden/>
              </w:rPr>
              <w:instrText xml:space="preserve"> PAGEREF _Toc157427537 \h </w:instrText>
            </w:r>
            <w:r w:rsidR="002768F0">
              <w:rPr>
                <w:noProof/>
                <w:webHidden/>
              </w:rPr>
            </w:r>
            <w:r w:rsidR="002768F0">
              <w:rPr>
                <w:noProof/>
                <w:webHidden/>
              </w:rPr>
              <w:fldChar w:fldCharType="separate"/>
            </w:r>
            <w:r w:rsidR="002768F0">
              <w:rPr>
                <w:noProof/>
                <w:webHidden/>
              </w:rPr>
              <w:t>6</w:t>
            </w:r>
            <w:r w:rsidR="002768F0">
              <w:rPr>
                <w:noProof/>
                <w:webHidden/>
              </w:rPr>
              <w:fldChar w:fldCharType="end"/>
            </w:r>
          </w:hyperlink>
        </w:p>
        <w:p w14:paraId="7C257F36" w14:textId="2CE3994C" w:rsidR="002768F0" w:rsidRDefault="00000000">
          <w:pPr>
            <w:pStyle w:val="TOC2"/>
            <w:rPr>
              <w:rFonts w:eastAsiaTheme="minorEastAsia"/>
              <w:noProof/>
              <w:kern w:val="2"/>
              <w:lang w:val="en-US"/>
              <w14:ligatures w14:val="standardContextual"/>
            </w:rPr>
          </w:pPr>
          <w:hyperlink w:anchor="_Toc157427538" w:history="1">
            <w:r w:rsidR="002768F0" w:rsidRPr="0077726A">
              <w:rPr>
                <w:rStyle w:val="Hyperlink"/>
                <w:noProof/>
              </w:rPr>
              <w:t>2.1.</w:t>
            </w:r>
            <w:r w:rsidR="002768F0">
              <w:rPr>
                <w:rFonts w:eastAsiaTheme="minorEastAsia"/>
                <w:noProof/>
                <w:kern w:val="2"/>
                <w:lang w:val="en-US"/>
                <w14:ligatures w14:val="standardContextual"/>
              </w:rPr>
              <w:tab/>
            </w:r>
            <w:r w:rsidR="002768F0" w:rsidRPr="0077726A">
              <w:rPr>
                <w:rStyle w:val="Hyperlink"/>
                <w:noProof/>
              </w:rPr>
              <w:t>Government</w:t>
            </w:r>
            <w:r w:rsidR="002768F0">
              <w:rPr>
                <w:noProof/>
                <w:webHidden/>
              </w:rPr>
              <w:tab/>
            </w:r>
            <w:r w:rsidR="002768F0">
              <w:rPr>
                <w:noProof/>
                <w:webHidden/>
              </w:rPr>
              <w:fldChar w:fldCharType="begin"/>
            </w:r>
            <w:r w:rsidR="002768F0">
              <w:rPr>
                <w:noProof/>
                <w:webHidden/>
              </w:rPr>
              <w:instrText xml:space="preserve"> PAGEREF _Toc157427538 \h </w:instrText>
            </w:r>
            <w:r w:rsidR="002768F0">
              <w:rPr>
                <w:noProof/>
                <w:webHidden/>
              </w:rPr>
            </w:r>
            <w:r w:rsidR="002768F0">
              <w:rPr>
                <w:noProof/>
                <w:webHidden/>
              </w:rPr>
              <w:fldChar w:fldCharType="separate"/>
            </w:r>
            <w:r w:rsidR="002768F0">
              <w:rPr>
                <w:noProof/>
                <w:webHidden/>
              </w:rPr>
              <w:t>6</w:t>
            </w:r>
            <w:r w:rsidR="002768F0">
              <w:rPr>
                <w:noProof/>
                <w:webHidden/>
              </w:rPr>
              <w:fldChar w:fldCharType="end"/>
            </w:r>
          </w:hyperlink>
        </w:p>
        <w:p w14:paraId="458E313B" w14:textId="7C0B8400" w:rsidR="002768F0" w:rsidRDefault="00000000">
          <w:pPr>
            <w:pStyle w:val="TOC2"/>
            <w:rPr>
              <w:rFonts w:eastAsiaTheme="minorEastAsia"/>
              <w:noProof/>
              <w:kern w:val="2"/>
              <w:lang w:val="en-US"/>
              <w14:ligatures w14:val="standardContextual"/>
            </w:rPr>
          </w:pPr>
          <w:hyperlink w:anchor="_Toc157427539" w:history="1">
            <w:r w:rsidR="002768F0" w:rsidRPr="0077726A">
              <w:rPr>
                <w:rStyle w:val="Hyperlink"/>
                <w:noProof/>
              </w:rPr>
              <w:t>2.1.1.</w:t>
            </w:r>
            <w:r w:rsidR="002768F0">
              <w:rPr>
                <w:rFonts w:eastAsiaTheme="minorEastAsia"/>
                <w:noProof/>
                <w:kern w:val="2"/>
                <w:lang w:val="en-US"/>
                <w14:ligatures w14:val="standardContextual"/>
              </w:rPr>
              <w:tab/>
            </w:r>
            <w:r w:rsidR="002768F0" w:rsidRPr="0077726A">
              <w:rPr>
                <w:rStyle w:val="Hyperlink"/>
                <w:noProof/>
              </w:rPr>
              <w:t>Country’s National Development Strategy 2024-2044</w:t>
            </w:r>
            <w:r w:rsidR="002768F0">
              <w:rPr>
                <w:noProof/>
                <w:webHidden/>
              </w:rPr>
              <w:tab/>
            </w:r>
            <w:r w:rsidR="002768F0">
              <w:rPr>
                <w:noProof/>
                <w:webHidden/>
              </w:rPr>
              <w:fldChar w:fldCharType="begin"/>
            </w:r>
            <w:r w:rsidR="002768F0">
              <w:rPr>
                <w:noProof/>
                <w:webHidden/>
              </w:rPr>
              <w:instrText xml:space="preserve"> PAGEREF _Toc157427539 \h </w:instrText>
            </w:r>
            <w:r w:rsidR="002768F0">
              <w:rPr>
                <w:noProof/>
                <w:webHidden/>
              </w:rPr>
            </w:r>
            <w:r w:rsidR="002768F0">
              <w:rPr>
                <w:noProof/>
                <w:webHidden/>
              </w:rPr>
              <w:fldChar w:fldCharType="separate"/>
            </w:r>
            <w:r w:rsidR="002768F0">
              <w:rPr>
                <w:noProof/>
                <w:webHidden/>
              </w:rPr>
              <w:t>6</w:t>
            </w:r>
            <w:r w:rsidR="002768F0">
              <w:rPr>
                <w:noProof/>
                <w:webHidden/>
              </w:rPr>
              <w:fldChar w:fldCharType="end"/>
            </w:r>
          </w:hyperlink>
        </w:p>
        <w:p w14:paraId="7B036C96" w14:textId="49D58DA0" w:rsidR="002768F0" w:rsidRDefault="00000000">
          <w:pPr>
            <w:pStyle w:val="TOC2"/>
            <w:rPr>
              <w:rFonts w:eastAsiaTheme="minorEastAsia"/>
              <w:noProof/>
              <w:kern w:val="2"/>
              <w:lang w:val="en-US"/>
              <w14:ligatures w14:val="standardContextual"/>
            </w:rPr>
          </w:pPr>
          <w:hyperlink w:anchor="_Toc157427540" w:history="1">
            <w:r w:rsidR="002768F0" w:rsidRPr="0077726A">
              <w:rPr>
                <w:rStyle w:val="Hyperlink"/>
                <w:noProof/>
              </w:rPr>
              <w:t>2.1.2.</w:t>
            </w:r>
            <w:r w:rsidR="002768F0">
              <w:rPr>
                <w:rFonts w:eastAsiaTheme="minorEastAsia"/>
                <w:noProof/>
                <w:kern w:val="2"/>
                <w:lang w:val="en-US"/>
                <w14:ligatures w14:val="standardContextual"/>
              </w:rPr>
              <w:tab/>
            </w:r>
            <w:r w:rsidR="002768F0" w:rsidRPr="0077726A">
              <w:rPr>
                <w:rStyle w:val="Hyperlink"/>
                <w:noProof/>
              </w:rPr>
              <w:t>The Growth Acceleration Plan 2022-2026</w:t>
            </w:r>
            <w:r w:rsidR="002768F0">
              <w:rPr>
                <w:noProof/>
                <w:webHidden/>
              </w:rPr>
              <w:tab/>
            </w:r>
            <w:r w:rsidR="002768F0">
              <w:rPr>
                <w:noProof/>
                <w:webHidden/>
              </w:rPr>
              <w:fldChar w:fldCharType="begin"/>
            </w:r>
            <w:r w:rsidR="002768F0">
              <w:rPr>
                <w:noProof/>
                <w:webHidden/>
              </w:rPr>
              <w:instrText xml:space="preserve"> PAGEREF _Toc157427540 \h </w:instrText>
            </w:r>
            <w:r w:rsidR="002768F0">
              <w:rPr>
                <w:noProof/>
                <w:webHidden/>
              </w:rPr>
            </w:r>
            <w:r w:rsidR="002768F0">
              <w:rPr>
                <w:noProof/>
                <w:webHidden/>
              </w:rPr>
              <w:fldChar w:fldCharType="separate"/>
            </w:r>
            <w:r w:rsidR="002768F0">
              <w:rPr>
                <w:noProof/>
                <w:webHidden/>
              </w:rPr>
              <w:t>7</w:t>
            </w:r>
            <w:r w:rsidR="002768F0">
              <w:rPr>
                <w:noProof/>
                <w:webHidden/>
              </w:rPr>
              <w:fldChar w:fldCharType="end"/>
            </w:r>
          </w:hyperlink>
        </w:p>
        <w:p w14:paraId="4D69B39F" w14:textId="27029119" w:rsidR="002768F0" w:rsidRDefault="00000000">
          <w:pPr>
            <w:pStyle w:val="TOC2"/>
            <w:rPr>
              <w:rFonts w:eastAsiaTheme="minorEastAsia"/>
              <w:noProof/>
              <w:kern w:val="2"/>
              <w:lang w:val="en-US"/>
              <w14:ligatures w14:val="standardContextual"/>
            </w:rPr>
          </w:pPr>
          <w:hyperlink w:anchor="_Toc157427541" w:history="1">
            <w:r w:rsidR="002768F0" w:rsidRPr="0077726A">
              <w:rPr>
                <w:rStyle w:val="Hyperlink"/>
                <w:noProof/>
              </w:rPr>
              <w:t>2.2.</w:t>
            </w:r>
            <w:r w:rsidR="002768F0">
              <w:rPr>
                <w:rFonts w:eastAsiaTheme="minorEastAsia"/>
                <w:noProof/>
                <w:kern w:val="2"/>
                <w:lang w:val="en-US"/>
                <w14:ligatures w14:val="standardContextual"/>
              </w:rPr>
              <w:tab/>
            </w:r>
            <w:r w:rsidR="002768F0" w:rsidRPr="0077726A">
              <w:rPr>
                <w:rStyle w:val="Hyperlink"/>
                <w:noProof/>
              </w:rPr>
              <w:t>United Nations</w:t>
            </w:r>
            <w:r w:rsidR="002768F0">
              <w:rPr>
                <w:noProof/>
                <w:webHidden/>
              </w:rPr>
              <w:tab/>
            </w:r>
            <w:r w:rsidR="002768F0">
              <w:rPr>
                <w:noProof/>
                <w:webHidden/>
              </w:rPr>
              <w:fldChar w:fldCharType="begin"/>
            </w:r>
            <w:r w:rsidR="002768F0">
              <w:rPr>
                <w:noProof/>
                <w:webHidden/>
              </w:rPr>
              <w:instrText xml:space="preserve"> PAGEREF _Toc157427541 \h </w:instrText>
            </w:r>
            <w:r w:rsidR="002768F0">
              <w:rPr>
                <w:noProof/>
                <w:webHidden/>
              </w:rPr>
            </w:r>
            <w:r w:rsidR="002768F0">
              <w:rPr>
                <w:noProof/>
                <w:webHidden/>
              </w:rPr>
              <w:fldChar w:fldCharType="separate"/>
            </w:r>
            <w:r w:rsidR="002768F0">
              <w:rPr>
                <w:noProof/>
                <w:webHidden/>
              </w:rPr>
              <w:t>8</w:t>
            </w:r>
            <w:r w:rsidR="002768F0">
              <w:rPr>
                <w:noProof/>
                <w:webHidden/>
              </w:rPr>
              <w:fldChar w:fldCharType="end"/>
            </w:r>
          </w:hyperlink>
        </w:p>
        <w:p w14:paraId="6B1CC1C9" w14:textId="36B16A87" w:rsidR="002768F0" w:rsidRDefault="00000000">
          <w:pPr>
            <w:pStyle w:val="TOC2"/>
            <w:rPr>
              <w:rFonts w:eastAsiaTheme="minorEastAsia"/>
              <w:noProof/>
              <w:kern w:val="2"/>
              <w:lang w:val="en-US"/>
              <w14:ligatures w14:val="standardContextual"/>
            </w:rPr>
          </w:pPr>
          <w:hyperlink w:anchor="_Toc157427542" w:history="1">
            <w:r w:rsidR="002768F0" w:rsidRPr="0077726A">
              <w:rPr>
                <w:rStyle w:val="Hyperlink"/>
                <w:noProof/>
              </w:rPr>
              <w:t>2.2.1.</w:t>
            </w:r>
            <w:r w:rsidR="002768F0">
              <w:rPr>
                <w:rFonts w:eastAsiaTheme="minorEastAsia"/>
                <w:noProof/>
                <w:kern w:val="2"/>
                <w:lang w:val="en-US"/>
                <w14:ligatures w14:val="standardContextual"/>
              </w:rPr>
              <w:tab/>
            </w:r>
            <w:r w:rsidR="002768F0" w:rsidRPr="0077726A">
              <w:rPr>
                <w:rStyle w:val="Hyperlink"/>
                <w:noProof/>
              </w:rPr>
              <w:t>The UNDP Strategic Plan 2022-2025 and the SDG Finance Offer</w:t>
            </w:r>
            <w:r w:rsidR="002768F0">
              <w:rPr>
                <w:noProof/>
                <w:webHidden/>
              </w:rPr>
              <w:tab/>
            </w:r>
            <w:r w:rsidR="002768F0">
              <w:rPr>
                <w:noProof/>
                <w:webHidden/>
              </w:rPr>
              <w:fldChar w:fldCharType="begin"/>
            </w:r>
            <w:r w:rsidR="002768F0">
              <w:rPr>
                <w:noProof/>
                <w:webHidden/>
              </w:rPr>
              <w:instrText xml:space="preserve"> PAGEREF _Toc157427542 \h </w:instrText>
            </w:r>
            <w:r w:rsidR="002768F0">
              <w:rPr>
                <w:noProof/>
                <w:webHidden/>
              </w:rPr>
            </w:r>
            <w:r w:rsidR="002768F0">
              <w:rPr>
                <w:noProof/>
                <w:webHidden/>
              </w:rPr>
              <w:fldChar w:fldCharType="separate"/>
            </w:r>
            <w:r w:rsidR="002768F0">
              <w:rPr>
                <w:noProof/>
                <w:webHidden/>
              </w:rPr>
              <w:t>8</w:t>
            </w:r>
            <w:r w:rsidR="002768F0">
              <w:rPr>
                <w:noProof/>
                <w:webHidden/>
              </w:rPr>
              <w:fldChar w:fldCharType="end"/>
            </w:r>
          </w:hyperlink>
        </w:p>
        <w:p w14:paraId="494332DB" w14:textId="56EC3213" w:rsidR="002768F0" w:rsidRDefault="00000000">
          <w:pPr>
            <w:pStyle w:val="TOC2"/>
            <w:rPr>
              <w:rFonts w:eastAsiaTheme="minorEastAsia"/>
              <w:noProof/>
              <w:kern w:val="2"/>
              <w:lang w:val="en-US"/>
              <w14:ligatures w14:val="standardContextual"/>
            </w:rPr>
          </w:pPr>
          <w:hyperlink w:anchor="_Toc157427543" w:history="1">
            <w:r w:rsidR="002768F0" w:rsidRPr="0077726A">
              <w:rPr>
                <w:rStyle w:val="Hyperlink"/>
                <w:noProof/>
              </w:rPr>
              <w:t>2.2.2.</w:t>
            </w:r>
            <w:r w:rsidR="002768F0">
              <w:rPr>
                <w:rFonts w:eastAsiaTheme="minorEastAsia"/>
                <w:noProof/>
                <w:kern w:val="2"/>
                <w:lang w:val="en-US"/>
                <w14:ligatures w14:val="standardContextual"/>
              </w:rPr>
              <w:tab/>
            </w:r>
            <w:r w:rsidR="002768F0" w:rsidRPr="0077726A">
              <w:rPr>
                <w:rStyle w:val="Hyperlink"/>
                <w:noProof/>
              </w:rPr>
              <w:t>The Sustainable Development Cooperation Framework</w:t>
            </w:r>
            <w:r w:rsidR="002768F0">
              <w:rPr>
                <w:noProof/>
                <w:webHidden/>
              </w:rPr>
              <w:tab/>
            </w:r>
            <w:r w:rsidR="002768F0">
              <w:rPr>
                <w:noProof/>
                <w:webHidden/>
              </w:rPr>
              <w:fldChar w:fldCharType="begin"/>
            </w:r>
            <w:r w:rsidR="002768F0">
              <w:rPr>
                <w:noProof/>
                <w:webHidden/>
              </w:rPr>
              <w:instrText xml:space="preserve"> PAGEREF _Toc157427543 \h </w:instrText>
            </w:r>
            <w:r w:rsidR="002768F0">
              <w:rPr>
                <w:noProof/>
                <w:webHidden/>
              </w:rPr>
            </w:r>
            <w:r w:rsidR="002768F0">
              <w:rPr>
                <w:noProof/>
                <w:webHidden/>
              </w:rPr>
              <w:fldChar w:fldCharType="separate"/>
            </w:r>
            <w:r w:rsidR="002768F0">
              <w:rPr>
                <w:noProof/>
                <w:webHidden/>
              </w:rPr>
              <w:t>9</w:t>
            </w:r>
            <w:r w:rsidR="002768F0">
              <w:rPr>
                <w:noProof/>
                <w:webHidden/>
              </w:rPr>
              <w:fldChar w:fldCharType="end"/>
            </w:r>
          </w:hyperlink>
        </w:p>
        <w:p w14:paraId="3202D8B2" w14:textId="161EE1C1" w:rsidR="002768F0" w:rsidRDefault="00000000">
          <w:pPr>
            <w:pStyle w:val="TOC2"/>
            <w:rPr>
              <w:rFonts w:eastAsiaTheme="minorEastAsia"/>
              <w:noProof/>
              <w:kern w:val="2"/>
              <w:lang w:val="en-US"/>
              <w14:ligatures w14:val="standardContextual"/>
            </w:rPr>
          </w:pPr>
          <w:hyperlink w:anchor="_Toc157427544" w:history="1">
            <w:r w:rsidR="002768F0" w:rsidRPr="0077726A">
              <w:rPr>
                <w:rStyle w:val="Hyperlink"/>
                <w:noProof/>
              </w:rPr>
              <w:t>2.3.</w:t>
            </w:r>
            <w:r w:rsidR="002768F0">
              <w:rPr>
                <w:rFonts w:eastAsiaTheme="minorEastAsia"/>
                <w:noProof/>
                <w:kern w:val="2"/>
                <w:lang w:val="en-US"/>
                <w14:ligatures w14:val="standardContextual"/>
              </w:rPr>
              <w:tab/>
            </w:r>
            <w:r w:rsidR="002768F0" w:rsidRPr="0077726A">
              <w:rPr>
                <w:rStyle w:val="Hyperlink"/>
                <w:noProof/>
              </w:rPr>
              <w:t>The European Union</w:t>
            </w:r>
            <w:r w:rsidR="002768F0">
              <w:rPr>
                <w:noProof/>
                <w:webHidden/>
              </w:rPr>
              <w:tab/>
            </w:r>
            <w:r w:rsidR="002768F0">
              <w:rPr>
                <w:noProof/>
                <w:webHidden/>
              </w:rPr>
              <w:fldChar w:fldCharType="begin"/>
            </w:r>
            <w:r w:rsidR="002768F0">
              <w:rPr>
                <w:noProof/>
                <w:webHidden/>
              </w:rPr>
              <w:instrText xml:space="preserve"> PAGEREF _Toc157427544 \h </w:instrText>
            </w:r>
            <w:r w:rsidR="002768F0">
              <w:rPr>
                <w:noProof/>
                <w:webHidden/>
              </w:rPr>
            </w:r>
            <w:r w:rsidR="002768F0">
              <w:rPr>
                <w:noProof/>
                <w:webHidden/>
              </w:rPr>
              <w:fldChar w:fldCharType="separate"/>
            </w:r>
            <w:r w:rsidR="002768F0">
              <w:rPr>
                <w:noProof/>
                <w:webHidden/>
              </w:rPr>
              <w:t>9</w:t>
            </w:r>
            <w:r w:rsidR="002768F0">
              <w:rPr>
                <w:noProof/>
                <w:webHidden/>
              </w:rPr>
              <w:fldChar w:fldCharType="end"/>
            </w:r>
          </w:hyperlink>
        </w:p>
        <w:p w14:paraId="323FF60A" w14:textId="4A3EE1EA" w:rsidR="002768F0" w:rsidRDefault="00000000">
          <w:pPr>
            <w:pStyle w:val="TOC2"/>
            <w:rPr>
              <w:rFonts w:eastAsiaTheme="minorEastAsia"/>
              <w:noProof/>
              <w:kern w:val="2"/>
              <w:lang w:val="en-US"/>
              <w14:ligatures w14:val="standardContextual"/>
            </w:rPr>
          </w:pPr>
          <w:hyperlink w:anchor="_Toc157427545" w:history="1">
            <w:r w:rsidR="002768F0" w:rsidRPr="0077726A">
              <w:rPr>
                <w:rStyle w:val="Hyperlink"/>
                <w:noProof/>
              </w:rPr>
              <w:t>2.3.1. The EU Accession Process: Six Clusters and 33 Chapters</w:t>
            </w:r>
            <w:r w:rsidR="002768F0">
              <w:rPr>
                <w:noProof/>
                <w:webHidden/>
              </w:rPr>
              <w:tab/>
            </w:r>
            <w:r w:rsidR="002768F0">
              <w:rPr>
                <w:noProof/>
                <w:webHidden/>
              </w:rPr>
              <w:fldChar w:fldCharType="begin"/>
            </w:r>
            <w:r w:rsidR="002768F0">
              <w:rPr>
                <w:noProof/>
                <w:webHidden/>
              </w:rPr>
              <w:instrText xml:space="preserve"> PAGEREF _Toc157427545 \h </w:instrText>
            </w:r>
            <w:r w:rsidR="002768F0">
              <w:rPr>
                <w:noProof/>
                <w:webHidden/>
              </w:rPr>
            </w:r>
            <w:r w:rsidR="002768F0">
              <w:rPr>
                <w:noProof/>
                <w:webHidden/>
              </w:rPr>
              <w:fldChar w:fldCharType="separate"/>
            </w:r>
            <w:r w:rsidR="002768F0">
              <w:rPr>
                <w:noProof/>
                <w:webHidden/>
              </w:rPr>
              <w:t>9</w:t>
            </w:r>
            <w:r w:rsidR="002768F0">
              <w:rPr>
                <w:noProof/>
                <w:webHidden/>
              </w:rPr>
              <w:fldChar w:fldCharType="end"/>
            </w:r>
          </w:hyperlink>
        </w:p>
        <w:p w14:paraId="5ACE9B26" w14:textId="7DF8DB8C" w:rsidR="002768F0" w:rsidRDefault="00000000">
          <w:pPr>
            <w:pStyle w:val="TOC2"/>
            <w:rPr>
              <w:rFonts w:eastAsiaTheme="minorEastAsia"/>
              <w:noProof/>
              <w:kern w:val="2"/>
              <w:lang w:val="en-US"/>
              <w14:ligatures w14:val="standardContextual"/>
            </w:rPr>
          </w:pPr>
          <w:hyperlink w:anchor="_Toc157427546" w:history="1">
            <w:r w:rsidR="002768F0" w:rsidRPr="0077726A">
              <w:rPr>
                <w:rStyle w:val="Hyperlink"/>
                <w:noProof/>
              </w:rPr>
              <w:t>2.4.</w:t>
            </w:r>
            <w:r w:rsidR="002768F0">
              <w:rPr>
                <w:rFonts w:eastAsiaTheme="minorEastAsia"/>
                <w:noProof/>
                <w:kern w:val="2"/>
                <w:lang w:val="en-US"/>
                <w14:ligatures w14:val="standardContextual"/>
              </w:rPr>
              <w:tab/>
            </w:r>
            <w:r w:rsidR="002768F0" w:rsidRPr="0077726A">
              <w:rPr>
                <w:rStyle w:val="Hyperlink"/>
                <w:noProof/>
              </w:rPr>
              <w:t>Complementarities, synergies, and differences</w:t>
            </w:r>
            <w:r w:rsidR="002768F0">
              <w:rPr>
                <w:noProof/>
                <w:webHidden/>
              </w:rPr>
              <w:tab/>
            </w:r>
            <w:r w:rsidR="002768F0">
              <w:rPr>
                <w:noProof/>
                <w:webHidden/>
              </w:rPr>
              <w:fldChar w:fldCharType="begin"/>
            </w:r>
            <w:r w:rsidR="002768F0">
              <w:rPr>
                <w:noProof/>
                <w:webHidden/>
              </w:rPr>
              <w:instrText xml:space="preserve"> PAGEREF _Toc157427546 \h </w:instrText>
            </w:r>
            <w:r w:rsidR="002768F0">
              <w:rPr>
                <w:noProof/>
                <w:webHidden/>
              </w:rPr>
            </w:r>
            <w:r w:rsidR="002768F0">
              <w:rPr>
                <w:noProof/>
                <w:webHidden/>
              </w:rPr>
              <w:fldChar w:fldCharType="separate"/>
            </w:r>
            <w:r w:rsidR="002768F0">
              <w:rPr>
                <w:noProof/>
                <w:webHidden/>
              </w:rPr>
              <w:t>10</w:t>
            </w:r>
            <w:r w:rsidR="002768F0">
              <w:rPr>
                <w:noProof/>
                <w:webHidden/>
              </w:rPr>
              <w:fldChar w:fldCharType="end"/>
            </w:r>
          </w:hyperlink>
        </w:p>
        <w:p w14:paraId="4322DF84" w14:textId="3D4117BC" w:rsidR="002768F0" w:rsidRDefault="00000000">
          <w:pPr>
            <w:pStyle w:val="TOC1"/>
            <w:rPr>
              <w:rFonts w:eastAsiaTheme="minorEastAsia"/>
              <w:noProof/>
              <w:kern w:val="2"/>
              <w:lang w:val="en-US"/>
              <w14:ligatures w14:val="standardContextual"/>
            </w:rPr>
          </w:pPr>
          <w:hyperlink w:anchor="_Toc157427547" w:history="1">
            <w:r w:rsidR="002768F0" w:rsidRPr="0077726A">
              <w:rPr>
                <w:rStyle w:val="Hyperlink"/>
                <w:noProof/>
              </w:rPr>
              <w:t>3.</w:t>
            </w:r>
            <w:r w:rsidR="002768F0">
              <w:rPr>
                <w:rFonts w:eastAsiaTheme="minorEastAsia"/>
                <w:noProof/>
                <w:kern w:val="2"/>
                <w:lang w:val="en-US"/>
                <w14:ligatures w14:val="standardContextual"/>
              </w:rPr>
              <w:tab/>
            </w:r>
            <w:r w:rsidR="002768F0" w:rsidRPr="0077726A">
              <w:rPr>
                <w:rStyle w:val="Hyperlink"/>
                <w:noProof/>
              </w:rPr>
              <w:t>OBSTACLES FOR IMPLEMENTING SDG FINANCE APPROACHES</w:t>
            </w:r>
            <w:r w:rsidR="002768F0">
              <w:rPr>
                <w:noProof/>
                <w:webHidden/>
              </w:rPr>
              <w:tab/>
            </w:r>
            <w:r w:rsidR="002768F0">
              <w:rPr>
                <w:noProof/>
                <w:webHidden/>
              </w:rPr>
              <w:fldChar w:fldCharType="begin"/>
            </w:r>
            <w:r w:rsidR="002768F0">
              <w:rPr>
                <w:noProof/>
                <w:webHidden/>
              </w:rPr>
              <w:instrText xml:space="preserve"> PAGEREF _Toc157427547 \h </w:instrText>
            </w:r>
            <w:r w:rsidR="002768F0">
              <w:rPr>
                <w:noProof/>
                <w:webHidden/>
              </w:rPr>
            </w:r>
            <w:r w:rsidR="002768F0">
              <w:rPr>
                <w:noProof/>
                <w:webHidden/>
              </w:rPr>
              <w:fldChar w:fldCharType="separate"/>
            </w:r>
            <w:r w:rsidR="002768F0">
              <w:rPr>
                <w:noProof/>
                <w:webHidden/>
              </w:rPr>
              <w:t>13</w:t>
            </w:r>
            <w:r w:rsidR="002768F0">
              <w:rPr>
                <w:noProof/>
                <w:webHidden/>
              </w:rPr>
              <w:fldChar w:fldCharType="end"/>
            </w:r>
          </w:hyperlink>
        </w:p>
        <w:p w14:paraId="2BE59535" w14:textId="6A136982" w:rsidR="002768F0" w:rsidRDefault="00000000">
          <w:pPr>
            <w:pStyle w:val="TOC1"/>
            <w:rPr>
              <w:rFonts w:eastAsiaTheme="minorEastAsia"/>
              <w:noProof/>
              <w:kern w:val="2"/>
              <w:lang w:val="en-US"/>
              <w14:ligatures w14:val="standardContextual"/>
            </w:rPr>
          </w:pPr>
          <w:hyperlink w:anchor="_Toc157427548" w:history="1">
            <w:r w:rsidR="002768F0" w:rsidRPr="0077726A">
              <w:rPr>
                <w:rStyle w:val="Hyperlink"/>
                <w:noProof/>
              </w:rPr>
              <w:t>4.</w:t>
            </w:r>
            <w:r w:rsidR="002768F0">
              <w:rPr>
                <w:rFonts w:eastAsiaTheme="minorEastAsia"/>
                <w:noProof/>
                <w:kern w:val="2"/>
                <w:lang w:val="en-US"/>
                <w14:ligatures w14:val="standardContextual"/>
              </w:rPr>
              <w:tab/>
            </w:r>
            <w:r w:rsidR="002768F0" w:rsidRPr="0077726A">
              <w:rPr>
                <w:rStyle w:val="Hyperlink"/>
                <w:noProof/>
              </w:rPr>
              <w:t>SDG-IZATION OF THE PUBLIC AGENDA (SDG AWARENESS PUSH)</w:t>
            </w:r>
            <w:r w:rsidR="002768F0">
              <w:rPr>
                <w:noProof/>
                <w:webHidden/>
              </w:rPr>
              <w:tab/>
            </w:r>
            <w:r w:rsidR="002768F0">
              <w:rPr>
                <w:noProof/>
                <w:webHidden/>
              </w:rPr>
              <w:fldChar w:fldCharType="begin"/>
            </w:r>
            <w:r w:rsidR="002768F0">
              <w:rPr>
                <w:noProof/>
                <w:webHidden/>
              </w:rPr>
              <w:instrText xml:space="preserve"> PAGEREF _Toc157427548 \h </w:instrText>
            </w:r>
            <w:r w:rsidR="002768F0">
              <w:rPr>
                <w:noProof/>
                <w:webHidden/>
              </w:rPr>
            </w:r>
            <w:r w:rsidR="002768F0">
              <w:rPr>
                <w:noProof/>
                <w:webHidden/>
              </w:rPr>
              <w:fldChar w:fldCharType="separate"/>
            </w:r>
            <w:r w:rsidR="002768F0">
              <w:rPr>
                <w:noProof/>
                <w:webHidden/>
              </w:rPr>
              <w:t>17</w:t>
            </w:r>
            <w:r w:rsidR="002768F0">
              <w:rPr>
                <w:noProof/>
                <w:webHidden/>
              </w:rPr>
              <w:fldChar w:fldCharType="end"/>
            </w:r>
          </w:hyperlink>
        </w:p>
        <w:p w14:paraId="2199EC52" w14:textId="5D1061F9" w:rsidR="002768F0" w:rsidRDefault="00000000">
          <w:pPr>
            <w:pStyle w:val="TOC2"/>
            <w:rPr>
              <w:rFonts w:eastAsiaTheme="minorEastAsia"/>
              <w:noProof/>
              <w:kern w:val="2"/>
              <w:lang w:val="en-US"/>
              <w14:ligatures w14:val="standardContextual"/>
            </w:rPr>
          </w:pPr>
          <w:hyperlink w:anchor="_Toc157427549" w:history="1">
            <w:r w:rsidR="002768F0" w:rsidRPr="0077726A">
              <w:rPr>
                <w:rStyle w:val="Hyperlink"/>
                <w:noProof/>
              </w:rPr>
              <w:t>4.1.</w:t>
            </w:r>
            <w:r w:rsidR="002768F0">
              <w:rPr>
                <w:rFonts w:eastAsiaTheme="minorEastAsia"/>
                <w:noProof/>
                <w:kern w:val="2"/>
                <w:lang w:val="en-US"/>
                <w14:ligatures w14:val="standardContextual"/>
              </w:rPr>
              <w:tab/>
            </w:r>
            <w:r w:rsidR="002768F0" w:rsidRPr="0077726A">
              <w:rPr>
                <w:rStyle w:val="Hyperlink"/>
                <w:noProof/>
              </w:rPr>
              <w:t>SDGs and the General Public as an Ally</w:t>
            </w:r>
            <w:r w:rsidR="002768F0">
              <w:rPr>
                <w:noProof/>
                <w:webHidden/>
              </w:rPr>
              <w:tab/>
            </w:r>
            <w:r w:rsidR="002768F0">
              <w:rPr>
                <w:noProof/>
                <w:webHidden/>
              </w:rPr>
              <w:fldChar w:fldCharType="begin"/>
            </w:r>
            <w:r w:rsidR="002768F0">
              <w:rPr>
                <w:noProof/>
                <w:webHidden/>
              </w:rPr>
              <w:instrText xml:space="preserve"> PAGEREF _Toc157427549 \h </w:instrText>
            </w:r>
            <w:r w:rsidR="002768F0">
              <w:rPr>
                <w:noProof/>
                <w:webHidden/>
              </w:rPr>
            </w:r>
            <w:r w:rsidR="002768F0">
              <w:rPr>
                <w:noProof/>
                <w:webHidden/>
              </w:rPr>
              <w:fldChar w:fldCharType="separate"/>
            </w:r>
            <w:r w:rsidR="002768F0">
              <w:rPr>
                <w:noProof/>
                <w:webHidden/>
              </w:rPr>
              <w:t>17</w:t>
            </w:r>
            <w:r w:rsidR="002768F0">
              <w:rPr>
                <w:noProof/>
                <w:webHidden/>
              </w:rPr>
              <w:fldChar w:fldCharType="end"/>
            </w:r>
          </w:hyperlink>
        </w:p>
        <w:p w14:paraId="290BC601" w14:textId="440FBA2E" w:rsidR="002768F0" w:rsidRDefault="00000000">
          <w:pPr>
            <w:pStyle w:val="TOC2"/>
            <w:rPr>
              <w:rFonts w:eastAsiaTheme="minorEastAsia"/>
              <w:noProof/>
              <w:kern w:val="2"/>
              <w:lang w:val="en-US"/>
              <w14:ligatures w14:val="standardContextual"/>
            </w:rPr>
          </w:pPr>
          <w:hyperlink w:anchor="_Toc157427550" w:history="1">
            <w:r w:rsidR="002768F0" w:rsidRPr="0077726A">
              <w:rPr>
                <w:rStyle w:val="Hyperlink"/>
                <w:noProof/>
              </w:rPr>
              <w:t>4.2.</w:t>
            </w:r>
            <w:r w:rsidR="002768F0">
              <w:rPr>
                <w:rFonts w:eastAsiaTheme="minorEastAsia"/>
                <w:noProof/>
                <w:kern w:val="2"/>
                <w:lang w:val="en-US"/>
                <w14:ligatures w14:val="standardContextual"/>
              </w:rPr>
              <w:tab/>
            </w:r>
            <w:r w:rsidR="002768F0" w:rsidRPr="0077726A">
              <w:rPr>
                <w:rStyle w:val="Hyperlink"/>
                <w:noProof/>
              </w:rPr>
              <w:t>The Government as the Main Partner and Ally</w:t>
            </w:r>
            <w:r w:rsidR="002768F0">
              <w:rPr>
                <w:noProof/>
                <w:webHidden/>
              </w:rPr>
              <w:tab/>
            </w:r>
            <w:r w:rsidR="002768F0">
              <w:rPr>
                <w:noProof/>
                <w:webHidden/>
              </w:rPr>
              <w:fldChar w:fldCharType="begin"/>
            </w:r>
            <w:r w:rsidR="002768F0">
              <w:rPr>
                <w:noProof/>
                <w:webHidden/>
              </w:rPr>
              <w:instrText xml:space="preserve"> PAGEREF _Toc157427550 \h </w:instrText>
            </w:r>
            <w:r w:rsidR="002768F0">
              <w:rPr>
                <w:noProof/>
                <w:webHidden/>
              </w:rPr>
            </w:r>
            <w:r w:rsidR="002768F0">
              <w:rPr>
                <w:noProof/>
                <w:webHidden/>
              </w:rPr>
              <w:fldChar w:fldCharType="separate"/>
            </w:r>
            <w:r w:rsidR="002768F0">
              <w:rPr>
                <w:noProof/>
                <w:webHidden/>
              </w:rPr>
              <w:t>19</w:t>
            </w:r>
            <w:r w:rsidR="002768F0">
              <w:rPr>
                <w:noProof/>
                <w:webHidden/>
              </w:rPr>
              <w:fldChar w:fldCharType="end"/>
            </w:r>
          </w:hyperlink>
        </w:p>
        <w:p w14:paraId="43B7E164" w14:textId="42E1728D" w:rsidR="002768F0" w:rsidRDefault="00000000">
          <w:pPr>
            <w:pStyle w:val="TOC2"/>
            <w:rPr>
              <w:rFonts w:eastAsiaTheme="minorEastAsia"/>
              <w:noProof/>
              <w:kern w:val="2"/>
              <w:lang w:val="en-US"/>
              <w14:ligatures w14:val="standardContextual"/>
            </w:rPr>
          </w:pPr>
          <w:hyperlink w:anchor="_Toc157427551" w:history="1">
            <w:r w:rsidR="002768F0" w:rsidRPr="0077726A">
              <w:rPr>
                <w:rStyle w:val="Hyperlink"/>
                <w:noProof/>
              </w:rPr>
              <w:t>4.3.</w:t>
            </w:r>
            <w:r w:rsidR="002768F0">
              <w:rPr>
                <w:rFonts w:eastAsiaTheme="minorEastAsia"/>
                <w:noProof/>
                <w:kern w:val="2"/>
                <w:lang w:val="en-US"/>
                <w14:ligatures w14:val="standardContextual"/>
              </w:rPr>
              <w:tab/>
            </w:r>
            <w:r w:rsidR="002768F0" w:rsidRPr="0077726A">
              <w:rPr>
                <w:rStyle w:val="Hyperlink"/>
                <w:noProof/>
              </w:rPr>
              <w:t>SDGs and the Public Administration as an Ally</w:t>
            </w:r>
            <w:r w:rsidR="002768F0">
              <w:rPr>
                <w:noProof/>
                <w:webHidden/>
              </w:rPr>
              <w:tab/>
            </w:r>
            <w:r w:rsidR="002768F0">
              <w:rPr>
                <w:noProof/>
                <w:webHidden/>
              </w:rPr>
              <w:fldChar w:fldCharType="begin"/>
            </w:r>
            <w:r w:rsidR="002768F0">
              <w:rPr>
                <w:noProof/>
                <w:webHidden/>
              </w:rPr>
              <w:instrText xml:space="preserve"> PAGEREF _Toc157427551 \h </w:instrText>
            </w:r>
            <w:r w:rsidR="002768F0">
              <w:rPr>
                <w:noProof/>
                <w:webHidden/>
              </w:rPr>
            </w:r>
            <w:r w:rsidR="002768F0">
              <w:rPr>
                <w:noProof/>
                <w:webHidden/>
              </w:rPr>
              <w:fldChar w:fldCharType="separate"/>
            </w:r>
            <w:r w:rsidR="002768F0">
              <w:rPr>
                <w:noProof/>
                <w:webHidden/>
              </w:rPr>
              <w:t>19</w:t>
            </w:r>
            <w:r w:rsidR="002768F0">
              <w:rPr>
                <w:noProof/>
                <w:webHidden/>
              </w:rPr>
              <w:fldChar w:fldCharType="end"/>
            </w:r>
          </w:hyperlink>
        </w:p>
        <w:p w14:paraId="004E88AE" w14:textId="36E15F3A" w:rsidR="002768F0" w:rsidRDefault="00000000">
          <w:pPr>
            <w:pStyle w:val="TOC2"/>
            <w:rPr>
              <w:rFonts w:eastAsiaTheme="minorEastAsia"/>
              <w:noProof/>
              <w:kern w:val="2"/>
              <w:lang w:val="en-US"/>
              <w14:ligatures w14:val="standardContextual"/>
            </w:rPr>
          </w:pPr>
          <w:hyperlink w:anchor="_Toc157427552" w:history="1">
            <w:r w:rsidR="002768F0" w:rsidRPr="0077726A">
              <w:rPr>
                <w:rStyle w:val="Hyperlink"/>
                <w:noProof/>
              </w:rPr>
              <w:t>4.4.</w:t>
            </w:r>
            <w:r w:rsidR="002768F0">
              <w:rPr>
                <w:rFonts w:eastAsiaTheme="minorEastAsia"/>
                <w:noProof/>
                <w:kern w:val="2"/>
                <w:lang w:val="en-US"/>
                <w14:ligatures w14:val="standardContextual"/>
              </w:rPr>
              <w:tab/>
            </w:r>
            <w:r w:rsidR="002768F0" w:rsidRPr="0077726A">
              <w:rPr>
                <w:rStyle w:val="Hyperlink"/>
                <w:noProof/>
              </w:rPr>
              <w:t>The Private Sector as an Ally: ESG, SDGs, or Both?</w:t>
            </w:r>
            <w:r w:rsidR="002768F0">
              <w:rPr>
                <w:noProof/>
                <w:webHidden/>
              </w:rPr>
              <w:tab/>
            </w:r>
            <w:r w:rsidR="002768F0">
              <w:rPr>
                <w:noProof/>
                <w:webHidden/>
              </w:rPr>
              <w:fldChar w:fldCharType="begin"/>
            </w:r>
            <w:r w:rsidR="002768F0">
              <w:rPr>
                <w:noProof/>
                <w:webHidden/>
              </w:rPr>
              <w:instrText xml:space="preserve"> PAGEREF _Toc157427552 \h </w:instrText>
            </w:r>
            <w:r w:rsidR="002768F0">
              <w:rPr>
                <w:noProof/>
                <w:webHidden/>
              </w:rPr>
            </w:r>
            <w:r w:rsidR="002768F0">
              <w:rPr>
                <w:noProof/>
                <w:webHidden/>
              </w:rPr>
              <w:fldChar w:fldCharType="separate"/>
            </w:r>
            <w:r w:rsidR="002768F0">
              <w:rPr>
                <w:noProof/>
                <w:webHidden/>
              </w:rPr>
              <w:t>20</w:t>
            </w:r>
            <w:r w:rsidR="002768F0">
              <w:rPr>
                <w:noProof/>
                <w:webHidden/>
              </w:rPr>
              <w:fldChar w:fldCharType="end"/>
            </w:r>
          </w:hyperlink>
        </w:p>
        <w:p w14:paraId="5FDE3C66" w14:textId="4B8F0907" w:rsidR="002768F0" w:rsidRDefault="00000000">
          <w:pPr>
            <w:pStyle w:val="TOC2"/>
            <w:rPr>
              <w:rFonts w:eastAsiaTheme="minorEastAsia"/>
              <w:noProof/>
              <w:kern w:val="2"/>
              <w:lang w:val="en-US"/>
              <w14:ligatures w14:val="standardContextual"/>
            </w:rPr>
          </w:pPr>
          <w:hyperlink w:anchor="_Toc157427553" w:history="1">
            <w:r w:rsidR="002768F0" w:rsidRPr="0077726A">
              <w:rPr>
                <w:rStyle w:val="Hyperlink"/>
                <w:noProof/>
              </w:rPr>
              <w:t>4.5.</w:t>
            </w:r>
            <w:r w:rsidR="002768F0">
              <w:rPr>
                <w:rFonts w:eastAsiaTheme="minorEastAsia"/>
                <w:noProof/>
                <w:kern w:val="2"/>
                <w:lang w:val="en-US"/>
                <w14:ligatures w14:val="standardContextual"/>
              </w:rPr>
              <w:tab/>
            </w:r>
            <w:r w:rsidR="002768F0" w:rsidRPr="0077726A">
              <w:rPr>
                <w:rStyle w:val="Hyperlink"/>
                <w:noProof/>
              </w:rPr>
              <w:t>The Untapped Potential of the Non-Governmental Sector</w:t>
            </w:r>
            <w:r w:rsidR="002768F0">
              <w:rPr>
                <w:noProof/>
                <w:webHidden/>
              </w:rPr>
              <w:tab/>
            </w:r>
            <w:r w:rsidR="002768F0">
              <w:rPr>
                <w:noProof/>
                <w:webHidden/>
              </w:rPr>
              <w:fldChar w:fldCharType="begin"/>
            </w:r>
            <w:r w:rsidR="002768F0">
              <w:rPr>
                <w:noProof/>
                <w:webHidden/>
              </w:rPr>
              <w:instrText xml:space="preserve"> PAGEREF _Toc157427553 \h </w:instrText>
            </w:r>
            <w:r w:rsidR="002768F0">
              <w:rPr>
                <w:noProof/>
                <w:webHidden/>
              </w:rPr>
            </w:r>
            <w:r w:rsidR="002768F0">
              <w:rPr>
                <w:noProof/>
                <w:webHidden/>
              </w:rPr>
              <w:fldChar w:fldCharType="separate"/>
            </w:r>
            <w:r w:rsidR="002768F0">
              <w:rPr>
                <w:noProof/>
                <w:webHidden/>
              </w:rPr>
              <w:t>22</w:t>
            </w:r>
            <w:r w:rsidR="002768F0">
              <w:rPr>
                <w:noProof/>
                <w:webHidden/>
              </w:rPr>
              <w:fldChar w:fldCharType="end"/>
            </w:r>
          </w:hyperlink>
        </w:p>
        <w:p w14:paraId="6BBFEFF1" w14:textId="635F5891" w:rsidR="002768F0" w:rsidRDefault="00000000">
          <w:pPr>
            <w:pStyle w:val="TOC2"/>
            <w:rPr>
              <w:rFonts w:eastAsiaTheme="minorEastAsia"/>
              <w:noProof/>
              <w:kern w:val="2"/>
              <w:lang w:val="en-US"/>
              <w14:ligatures w14:val="standardContextual"/>
            </w:rPr>
          </w:pPr>
          <w:hyperlink w:anchor="_Toc157427554" w:history="1">
            <w:r w:rsidR="002768F0" w:rsidRPr="0077726A">
              <w:rPr>
                <w:rStyle w:val="Hyperlink"/>
                <w:noProof/>
              </w:rPr>
              <w:t>4.6.</w:t>
            </w:r>
            <w:r w:rsidR="002768F0">
              <w:rPr>
                <w:rFonts w:eastAsiaTheme="minorEastAsia"/>
                <w:noProof/>
                <w:kern w:val="2"/>
                <w:lang w:val="en-US"/>
                <w14:ligatures w14:val="standardContextual"/>
              </w:rPr>
              <w:tab/>
            </w:r>
            <w:r w:rsidR="002768F0" w:rsidRPr="0077726A">
              <w:rPr>
                <w:rStyle w:val="Hyperlink"/>
                <w:noProof/>
              </w:rPr>
              <w:t>The Academia as an Ally</w:t>
            </w:r>
            <w:r w:rsidR="002768F0">
              <w:rPr>
                <w:noProof/>
                <w:webHidden/>
              </w:rPr>
              <w:tab/>
            </w:r>
            <w:r w:rsidR="002768F0">
              <w:rPr>
                <w:noProof/>
                <w:webHidden/>
              </w:rPr>
              <w:fldChar w:fldCharType="begin"/>
            </w:r>
            <w:r w:rsidR="002768F0">
              <w:rPr>
                <w:noProof/>
                <w:webHidden/>
              </w:rPr>
              <w:instrText xml:space="preserve"> PAGEREF _Toc157427554 \h </w:instrText>
            </w:r>
            <w:r w:rsidR="002768F0">
              <w:rPr>
                <w:noProof/>
                <w:webHidden/>
              </w:rPr>
            </w:r>
            <w:r w:rsidR="002768F0">
              <w:rPr>
                <w:noProof/>
                <w:webHidden/>
              </w:rPr>
              <w:fldChar w:fldCharType="separate"/>
            </w:r>
            <w:r w:rsidR="002768F0">
              <w:rPr>
                <w:noProof/>
                <w:webHidden/>
              </w:rPr>
              <w:t>22</w:t>
            </w:r>
            <w:r w:rsidR="002768F0">
              <w:rPr>
                <w:noProof/>
                <w:webHidden/>
              </w:rPr>
              <w:fldChar w:fldCharType="end"/>
            </w:r>
          </w:hyperlink>
        </w:p>
        <w:p w14:paraId="3D64E570" w14:textId="55E9E83A" w:rsidR="002768F0" w:rsidRDefault="00000000">
          <w:pPr>
            <w:pStyle w:val="TOC2"/>
            <w:rPr>
              <w:rFonts w:eastAsiaTheme="minorEastAsia"/>
              <w:noProof/>
              <w:kern w:val="2"/>
              <w:lang w:val="en-US"/>
              <w14:ligatures w14:val="standardContextual"/>
            </w:rPr>
          </w:pPr>
          <w:hyperlink w:anchor="_Toc157427555" w:history="1">
            <w:r w:rsidR="002768F0" w:rsidRPr="0077726A">
              <w:rPr>
                <w:rStyle w:val="Hyperlink"/>
                <w:noProof/>
              </w:rPr>
              <w:t>4.7.</w:t>
            </w:r>
            <w:r w:rsidR="002768F0">
              <w:rPr>
                <w:rFonts w:eastAsiaTheme="minorEastAsia"/>
                <w:noProof/>
                <w:kern w:val="2"/>
                <w:lang w:val="en-US"/>
                <w14:ligatures w14:val="standardContextual"/>
              </w:rPr>
              <w:tab/>
            </w:r>
            <w:r w:rsidR="002768F0" w:rsidRPr="0077726A">
              <w:rPr>
                <w:rStyle w:val="Hyperlink"/>
                <w:noProof/>
              </w:rPr>
              <w:t>The European Union as a Partner</w:t>
            </w:r>
            <w:r w:rsidR="002768F0">
              <w:rPr>
                <w:noProof/>
                <w:webHidden/>
              </w:rPr>
              <w:tab/>
            </w:r>
            <w:r w:rsidR="002768F0">
              <w:rPr>
                <w:noProof/>
                <w:webHidden/>
              </w:rPr>
              <w:fldChar w:fldCharType="begin"/>
            </w:r>
            <w:r w:rsidR="002768F0">
              <w:rPr>
                <w:noProof/>
                <w:webHidden/>
              </w:rPr>
              <w:instrText xml:space="preserve"> PAGEREF _Toc157427555 \h </w:instrText>
            </w:r>
            <w:r w:rsidR="002768F0">
              <w:rPr>
                <w:noProof/>
                <w:webHidden/>
              </w:rPr>
            </w:r>
            <w:r w:rsidR="002768F0">
              <w:rPr>
                <w:noProof/>
                <w:webHidden/>
              </w:rPr>
              <w:fldChar w:fldCharType="separate"/>
            </w:r>
            <w:r w:rsidR="002768F0">
              <w:rPr>
                <w:noProof/>
                <w:webHidden/>
              </w:rPr>
              <w:t>23</w:t>
            </w:r>
            <w:r w:rsidR="002768F0">
              <w:rPr>
                <w:noProof/>
                <w:webHidden/>
              </w:rPr>
              <w:fldChar w:fldCharType="end"/>
            </w:r>
          </w:hyperlink>
        </w:p>
        <w:p w14:paraId="62C2E150" w14:textId="119E604C" w:rsidR="002768F0" w:rsidRDefault="00000000">
          <w:pPr>
            <w:pStyle w:val="TOC1"/>
            <w:rPr>
              <w:rFonts w:eastAsiaTheme="minorEastAsia"/>
              <w:noProof/>
              <w:kern w:val="2"/>
              <w:lang w:val="en-US"/>
              <w14:ligatures w14:val="standardContextual"/>
            </w:rPr>
          </w:pPr>
          <w:hyperlink w:anchor="_Toc157427556" w:history="1">
            <w:r w:rsidR="002768F0" w:rsidRPr="0077726A">
              <w:rPr>
                <w:rStyle w:val="Hyperlink"/>
                <w:noProof/>
              </w:rPr>
              <w:t>5.</w:t>
            </w:r>
            <w:r w:rsidR="002768F0">
              <w:rPr>
                <w:rFonts w:eastAsiaTheme="minorEastAsia"/>
                <w:noProof/>
                <w:kern w:val="2"/>
                <w:lang w:val="en-US"/>
                <w14:ligatures w14:val="standardContextual"/>
              </w:rPr>
              <w:tab/>
            </w:r>
            <w:r w:rsidR="002768F0" w:rsidRPr="0077726A">
              <w:rPr>
                <w:rStyle w:val="Hyperlink"/>
                <w:noProof/>
              </w:rPr>
              <w:t>MAXIMIZING SDG FINANCE: DESIGNING AN OPTIMAL, FEASIBLE, AND SUSTAINABLE FINANCE PORTFOLIO</w:t>
            </w:r>
            <w:r w:rsidR="002768F0">
              <w:rPr>
                <w:noProof/>
                <w:webHidden/>
              </w:rPr>
              <w:tab/>
            </w:r>
            <w:r w:rsidR="002768F0">
              <w:rPr>
                <w:noProof/>
                <w:webHidden/>
              </w:rPr>
              <w:fldChar w:fldCharType="begin"/>
            </w:r>
            <w:r w:rsidR="002768F0">
              <w:rPr>
                <w:noProof/>
                <w:webHidden/>
              </w:rPr>
              <w:instrText xml:space="preserve"> PAGEREF _Toc157427556 \h </w:instrText>
            </w:r>
            <w:r w:rsidR="002768F0">
              <w:rPr>
                <w:noProof/>
                <w:webHidden/>
              </w:rPr>
            </w:r>
            <w:r w:rsidR="002768F0">
              <w:rPr>
                <w:noProof/>
                <w:webHidden/>
              </w:rPr>
              <w:fldChar w:fldCharType="separate"/>
            </w:r>
            <w:r w:rsidR="002768F0">
              <w:rPr>
                <w:noProof/>
                <w:webHidden/>
              </w:rPr>
              <w:t>24</w:t>
            </w:r>
            <w:r w:rsidR="002768F0">
              <w:rPr>
                <w:noProof/>
                <w:webHidden/>
              </w:rPr>
              <w:fldChar w:fldCharType="end"/>
            </w:r>
          </w:hyperlink>
        </w:p>
        <w:p w14:paraId="694A9BEB" w14:textId="10502971" w:rsidR="002768F0" w:rsidRDefault="00000000">
          <w:pPr>
            <w:pStyle w:val="TOC2"/>
            <w:rPr>
              <w:rFonts w:eastAsiaTheme="minorEastAsia"/>
              <w:noProof/>
              <w:kern w:val="2"/>
              <w:lang w:val="en-US"/>
              <w14:ligatures w14:val="standardContextual"/>
            </w:rPr>
          </w:pPr>
          <w:hyperlink w:anchor="_Toc157427557" w:history="1">
            <w:r w:rsidR="002768F0" w:rsidRPr="0077726A">
              <w:rPr>
                <w:rStyle w:val="Hyperlink"/>
                <w:noProof/>
              </w:rPr>
              <w:t>5.1.</w:t>
            </w:r>
            <w:r w:rsidR="002768F0">
              <w:rPr>
                <w:rFonts w:eastAsiaTheme="minorEastAsia"/>
                <w:noProof/>
                <w:kern w:val="2"/>
                <w:lang w:val="en-US"/>
                <w14:ligatures w14:val="standardContextual"/>
              </w:rPr>
              <w:tab/>
            </w:r>
            <w:r w:rsidR="002768F0" w:rsidRPr="0077726A">
              <w:rPr>
                <w:rStyle w:val="Hyperlink"/>
                <w:noProof/>
              </w:rPr>
              <w:t>National Contribution to the Trillion Dollar Moonshot</w:t>
            </w:r>
            <w:r w:rsidR="002768F0">
              <w:rPr>
                <w:noProof/>
                <w:webHidden/>
              </w:rPr>
              <w:tab/>
            </w:r>
            <w:r w:rsidR="002768F0">
              <w:rPr>
                <w:noProof/>
                <w:webHidden/>
              </w:rPr>
              <w:fldChar w:fldCharType="begin"/>
            </w:r>
            <w:r w:rsidR="002768F0">
              <w:rPr>
                <w:noProof/>
                <w:webHidden/>
              </w:rPr>
              <w:instrText xml:space="preserve"> PAGEREF _Toc157427557 \h </w:instrText>
            </w:r>
            <w:r w:rsidR="002768F0">
              <w:rPr>
                <w:noProof/>
                <w:webHidden/>
              </w:rPr>
            </w:r>
            <w:r w:rsidR="002768F0">
              <w:rPr>
                <w:noProof/>
                <w:webHidden/>
              </w:rPr>
              <w:fldChar w:fldCharType="separate"/>
            </w:r>
            <w:r w:rsidR="002768F0">
              <w:rPr>
                <w:noProof/>
                <w:webHidden/>
              </w:rPr>
              <w:t>24</w:t>
            </w:r>
            <w:r w:rsidR="002768F0">
              <w:rPr>
                <w:noProof/>
                <w:webHidden/>
              </w:rPr>
              <w:fldChar w:fldCharType="end"/>
            </w:r>
          </w:hyperlink>
        </w:p>
        <w:p w14:paraId="6E4C68C0" w14:textId="0D83EB77" w:rsidR="002768F0" w:rsidRDefault="00000000">
          <w:pPr>
            <w:pStyle w:val="TOC2"/>
            <w:rPr>
              <w:rFonts w:eastAsiaTheme="minorEastAsia"/>
              <w:noProof/>
              <w:kern w:val="2"/>
              <w:lang w:val="en-US"/>
              <w14:ligatures w14:val="standardContextual"/>
            </w:rPr>
          </w:pPr>
          <w:hyperlink w:anchor="_Toc157427558" w:history="1">
            <w:r w:rsidR="002768F0" w:rsidRPr="0077726A">
              <w:rPr>
                <w:rStyle w:val="Hyperlink"/>
                <w:noProof/>
              </w:rPr>
              <w:t>5.2.</w:t>
            </w:r>
            <w:r w:rsidR="002768F0">
              <w:rPr>
                <w:rFonts w:eastAsiaTheme="minorEastAsia"/>
                <w:noProof/>
                <w:kern w:val="2"/>
                <w:lang w:val="en-US"/>
                <w14:ligatures w14:val="standardContextual"/>
              </w:rPr>
              <w:tab/>
            </w:r>
            <w:r w:rsidR="002768F0" w:rsidRPr="0077726A">
              <w:rPr>
                <w:rStyle w:val="Hyperlink"/>
                <w:noProof/>
              </w:rPr>
              <w:t>Domestic Public Sources (Public Finance)</w:t>
            </w:r>
            <w:r w:rsidR="002768F0">
              <w:rPr>
                <w:noProof/>
                <w:webHidden/>
              </w:rPr>
              <w:tab/>
            </w:r>
            <w:r w:rsidR="002768F0">
              <w:rPr>
                <w:noProof/>
                <w:webHidden/>
              </w:rPr>
              <w:fldChar w:fldCharType="begin"/>
            </w:r>
            <w:r w:rsidR="002768F0">
              <w:rPr>
                <w:noProof/>
                <w:webHidden/>
              </w:rPr>
              <w:instrText xml:space="preserve"> PAGEREF _Toc157427558 \h </w:instrText>
            </w:r>
            <w:r w:rsidR="002768F0">
              <w:rPr>
                <w:noProof/>
                <w:webHidden/>
              </w:rPr>
            </w:r>
            <w:r w:rsidR="002768F0">
              <w:rPr>
                <w:noProof/>
                <w:webHidden/>
              </w:rPr>
              <w:fldChar w:fldCharType="separate"/>
            </w:r>
            <w:r w:rsidR="002768F0">
              <w:rPr>
                <w:noProof/>
                <w:webHidden/>
              </w:rPr>
              <w:t>26</w:t>
            </w:r>
            <w:r w:rsidR="002768F0">
              <w:rPr>
                <w:noProof/>
                <w:webHidden/>
              </w:rPr>
              <w:fldChar w:fldCharType="end"/>
            </w:r>
          </w:hyperlink>
        </w:p>
        <w:p w14:paraId="045B7A8D" w14:textId="067403AF" w:rsidR="002768F0" w:rsidRDefault="00000000">
          <w:pPr>
            <w:pStyle w:val="TOC3"/>
            <w:tabs>
              <w:tab w:val="left" w:pos="1320"/>
              <w:tab w:val="right" w:leader="dot" w:pos="9350"/>
            </w:tabs>
            <w:rPr>
              <w:rFonts w:eastAsiaTheme="minorEastAsia"/>
              <w:noProof/>
              <w:kern w:val="2"/>
              <w:lang w:val="en-US"/>
              <w14:ligatures w14:val="standardContextual"/>
            </w:rPr>
          </w:pPr>
          <w:hyperlink w:anchor="_Toc157427559" w:history="1">
            <w:r w:rsidR="002768F0" w:rsidRPr="0077726A">
              <w:rPr>
                <w:rStyle w:val="Hyperlink"/>
                <w:noProof/>
              </w:rPr>
              <w:t>5.2.1.</w:t>
            </w:r>
            <w:r w:rsidR="002768F0">
              <w:rPr>
                <w:rFonts w:eastAsiaTheme="minorEastAsia"/>
                <w:noProof/>
                <w:kern w:val="2"/>
                <w:lang w:val="en-US"/>
                <w14:ligatures w14:val="standardContextual"/>
              </w:rPr>
              <w:tab/>
            </w:r>
            <w:r w:rsidR="002768F0" w:rsidRPr="0077726A">
              <w:rPr>
                <w:rStyle w:val="Hyperlink"/>
                <w:noProof/>
              </w:rPr>
              <w:t>Tax4SDGs</w:t>
            </w:r>
            <w:r w:rsidR="002768F0">
              <w:rPr>
                <w:noProof/>
                <w:webHidden/>
              </w:rPr>
              <w:tab/>
            </w:r>
            <w:r w:rsidR="002768F0">
              <w:rPr>
                <w:noProof/>
                <w:webHidden/>
              </w:rPr>
              <w:fldChar w:fldCharType="begin"/>
            </w:r>
            <w:r w:rsidR="002768F0">
              <w:rPr>
                <w:noProof/>
                <w:webHidden/>
              </w:rPr>
              <w:instrText xml:space="preserve"> PAGEREF _Toc157427559 \h </w:instrText>
            </w:r>
            <w:r w:rsidR="002768F0">
              <w:rPr>
                <w:noProof/>
                <w:webHidden/>
              </w:rPr>
            </w:r>
            <w:r w:rsidR="002768F0">
              <w:rPr>
                <w:noProof/>
                <w:webHidden/>
              </w:rPr>
              <w:fldChar w:fldCharType="separate"/>
            </w:r>
            <w:r w:rsidR="002768F0">
              <w:rPr>
                <w:noProof/>
                <w:webHidden/>
              </w:rPr>
              <w:t>26</w:t>
            </w:r>
            <w:r w:rsidR="002768F0">
              <w:rPr>
                <w:noProof/>
                <w:webHidden/>
              </w:rPr>
              <w:fldChar w:fldCharType="end"/>
            </w:r>
          </w:hyperlink>
        </w:p>
        <w:p w14:paraId="44791CCF" w14:textId="74C9FA78" w:rsidR="002768F0" w:rsidRDefault="00000000">
          <w:pPr>
            <w:pStyle w:val="TOC3"/>
            <w:tabs>
              <w:tab w:val="left" w:pos="1320"/>
              <w:tab w:val="right" w:leader="dot" w:pos="9350"/>
            </w:tabs>
            <w:rPr>
              <w:rFonts w:eastAsiaTheme="minorEastAsia"/>
              <w:noProof/>
              <w:kern w:val="2"/>
              <w:lang w:val="en-US"/>
              <w14:ligatures w14:val="standardContextual"/>
            </w:rPr>
          </w:pPr>
          <w:hyperlink w:anchor="_Toc157427560" w:history="1">
            <w:r w:rsidR="002768F0" w:rsidRPr="0077726A">
              <w:rPr>
                <w:rStyle w:val="Hyperlink"/>
                <w:noProof/>
              </w:rPr>
              <w:t>5.2.2.</w:t>
            </w:r>
            <w:r w:rsidR="002768F0">
              <w:rPr>
                <w:rFonts w:eastAsiaTheme="minorEastAsia"/>
                <w:noProof/>
                <w:kern w:val="2"/>
                <w:lang w:val="en-US"/>
                <w14:ligatures w14:val="standardContextual"/>
              </w:rPr>
              <w:tab/>
            </w:r>
            <w:r w:rsidR="002768F0" w:rsidRPr="0077726A">
              <w:rPr>
                <w:rStyle w:val="Hyperlink"/>
                <w:noProof/>
              </w:rPr>
              <w:t>Bonds4SDGs</w:t>
            </w:r>
            <w:r w:rsidR="002768F0">
              <w:rPr>
                <w:noProof/>
                <w:webHidden/>
              </w:rPr>
              <w:tab/>
            </w:r>
            <w:r w:rsidR="002768F0">
              <w:rPr>
                <w:noProof/>
                <w:webHidden/>
              </w:rPr>
              <w:fldChar w:fldCharType="begin"/>
            </w:r>
            <w:r w:rsidR="002768F0">
              <w:rPr>
                <w:noProof/>
                <w:webHidden/>
              </w:rPr>
              <w:instrText xml:space="preserve"> PAGEREF _Toc157427560 \h </w:instrText>
            </w:r>
            <w:r w:rsidR="002768F0">
              <w:rPr>
                <w:noProof/>
                <w:webHidden/>
              </w:rPr>
            </w:r>
            <w:r w:rsidR="002768F0">
              <w:rPr>
                <w:noProof/>
                <w:webHidden/>
              </w:rPr>
              <w:fldChar w:fldCharType="separate"/>
            </w:r>
            <w:r w:rsidR="002768F0">
              <w:rPr>
                <w:noProof/>
                <w:webHidden/>
              </w:rPr>
              <w:t>28</w:t>
            </w:r>
            <w:r w:rsidR="002768F0">
              <w:rPr>
                <w:noProof/>
                <w:webHidden/>
              </w:rPr>
              <w:fldChar w:fldCharType="end"/>
            </w:r>
          </w:hyperlink>
        </w:p>
        <w:p w14:paraId="755303C4" w14:textId="4A46C0D3" w:rsidR="002768F0" w:rsidRDefault="00000000">
          <w:pPr>
            <w:pStyle w:val="TOC3"/>
            <w:tabs>
              <w:tab w:val="left" w:pos="1320"/>
              <w:tab w:val="right" w:leader="dot" w:pos="9350"/>
            </w:tabs>
            <w:rPr>
              <w:rFonts w:eastAsiaTheme="minorEastAsia"/>
              <w:noProof/>
              <w:kern w:val="2"/>
              <w:lang w:val="en-US"/>
              <w14:ligatures w14:val="standardContextual"/>
            </w:rPr>
          </w:pPr>
          <w:hyperlink w:anchor="_Toc157427561" w:history="1">
            <w:r w:rsidR="002768F0" w:rsidRPr="0077726A">
              <w:rPr>
                <w:rStyle w:val="Hyperlink"/>
                <w:noProof/>
              </w:rPr>
              <w:t>5.2.3.</w:t>
            </w:r>
            <w:r w:rsidR="002768F0">
              <w:rPr>
                <w:rFonts w:eastAsiaTheme="minorEastAsia"/>
                <w:noProof/>
                <w:kern w:val="2"/>
                <w:lang w:val="en-US"/>
                <w14:ligatures w14:val="standardContextual"/>
              </w:rPr>
              <w:tab/>
            </w:r>
            <w:r w:rsidR="002768F0" w:rsidRPr="0077726A">
              <w:rPr>
                <w:rStyle w:val="Hyperlink"/>
                <w:noProof/>
              </w:rPr>
              <w:t>B4SDGs / Expenditure for SDGs</w:t>
            </w:r>
            <w:r w:rsidR="002768F0">
              <w:rPr>
                <w:noProof/>
                <w:webHidden/>
              </w:rPr>
              <w:tab/>
            </w:r>
            <w:r w:rsidR="002768F0">
              <w:rPr>
                <w:noProof/>
                <w:webHidden/>
              </w:rPr>
              <w:fldChar w:fldCharType="begin"/>
            </w:r>
            <w:r w:rsidR="002768F0">
              <w:rPr>
                <w:noProof/>
                <w:webHidden/>
              </w:rPr>
              <w:instrText xml:space="preserve"> PAGEREF _Toc157427561 \h </w:instrText>
            </w:r>
            <w:r w:rsidR="002768F0">
              <w:rPr>
                <w:noProof/>
                <w:webHidden/>
              </w:rPr>
            </w:r>
            <w:r w:rsidR="002768F0">
              <w:rPr>
                <w:noProof/>
                <w:webHidden/>
              </w:rPr>
              <w:fldChar w:fldCharType="separate"/>
            </w:r>
            <w:r w:rsidR="002768F0">
              <w:rPr>
                <w:noProof/>
                <w:webHidden/>
              </w:rPr>
              <w:t>30</w:t>
            </w:r>
            <w:r w:rsidR="002768F0">
              <w:rPr>
                <w:noProof/>
                <w:webHidden/>
              </w:rPr>
              <w:fldChar w:fldCharType="end"/>
            </w:r>
          </w:hyperlink>
        </w:p>
        <w:p w14:paraId="0CC47CDA" w14:textId="6A15BF4C" w:rsidR="002768F0" w:rsidRDefault="00000000">
          <w:pPr>
            <w:pStyle w:val="TOC2"/>
            <w:rPr>
              <w:rFonts w:eastAsiaTheme="minorEastAsia"/>
              <w:noProof/>
              <w:kern w:val="2"/>
              <w:lang w:val="en-US"/>
              <w14:ligatures w14:val="standardContextual"/>
            </w:rPr>
          </w:pPr>
          <w:hyperlink w:anchor="_Toc157427562" w:history="1">
            <w:r w:rsidR="002768F0" w:rsidRPr="0077726A">
              <w:rPr>
                <w:rStyle w:val="Hyperlink"/>
                <w:noProof/>
              </w:rPr>
              <w:t>5.3.</w:t>
            </w:r>
            <w:r w:rsidR="002768F0">
              <w:rPr>
                <w:rFonts w:eastAsiaTheme="minorEastAsia"/>
                <w:noProof/>
                <w:kern w:val="2"/>
                <w:lang w:val="en-US"/>
                <w14:ligatures w14:val="standardContextual"/>
              </w:rPr>
              <w:tab/>
            </w:r>
            <w:r w:rsidR="002768F0" w:rsidRPr="0077726A">
              <w:rPr>
                <w:rStyle w:val="Hyperlink"/>
                <w:noProof/>
              </w:rPr>
              <w:t>Domestic Private Sources: Private sector 4 SDGs</w:t>
            </w:r>
            <w:r w:rsidR="002768F0">
              <w:rPr>
                <w:noProof/>
                <w:webHidden/>
              </w:rPr>
              <w:tab/>
            </w:r>
            <w:r w:rsidR="002768F0">
              <w:rPr>
                <w:noProof/>
                <w:webHidden/>
              </w:rPr>
              <w:fldChar w:fldCharType="begin"/>
            </w:r>
            <w:r w:rsidR="002768F0">
              <w:rPr>
                <w:noProof/>
                <w:webHidden/>
              </w:rPr>
              <w:instrText xml:space="preserve"> PAGEREF _Toc157427562 \h </w:instrText>
            </w:r>
            <w:r w:rsidR="002768F0">
              <w:rPr>
                <w:noProof/>
                <w:webHidden/>
              </w:rPr>
            </w:r>
            <w:r w:rsidR="002768F0">
              <w:rPr>
                <w:noProof/>
                <w:webHidden/>
              </w:rPr>
              <w:fldChar w:fldCharType="separate"/>
            </w:r>
            <w:r w:rsidR="002768F0">
              <w:rPr>
                <w:noProof/>
                <w:webHidden/>
              </w:rPr>
              <w:t>31</w:t>
            </w:r>
            <w:r w:rsidR="002768F0">
              <w:rPr>
                <w:noProof/>
                <w:webHidden/>
              </w:rPr>
              <w:fldChar w:fldCharType="end"/>
            </w:r>
          </w:hyperlink>
        </w:p>
        <w:p w14:paraId="68F67A67" w14:textId="4EA6F89F" w:rsidR="002768F0" w:rsidRDefault="00000000">
          <w:pPr>
            <w:pStyle w:val="TOC2"/>
            <w:rPr>
              <w:rFonts w:eastAsiaTheme="minorEastAsia"/>
              <w:noProof/>
              <w:kern w:val="2"/>
              <w:lang w:val="en-US"/>
              <w14:ligatures w14:val="standardContextual"/>
            </w:rPr>
          </w:pPr>
          <w:hyperlink w:anchor="_Toc157427563" w:history="1">
            <w:r w:rsidR="002768F0" w:rsidRPr="0077726A">
              <w:rPr>
                <w:rStyle w:val="Hyperlink"/>
                <w:noProof/>
              </w:rPr>
              <w:t>5.3.1.</w:t>
            </w:r>
            <w:r w:rsidR="002768F0">
              <w:rPr>
                <w:rFonts w:eastAsiaTheme="minorEastAsia"/>
                <w:noProof/>
                <w:kern w:val="2"/>
                <w:lang w:val="en-US"/>
                <w14:ligatures w14:val="standardContextual"/>
              </w:rPr>
              <w:tab/>
            </w:r>
            <w:r w:rsidR="002768F0" w:rsidRPr="0077726A">
              <w:rPr>
                <w:rStyle w:val="Hyperlink"/>
                <w:noProof/>
              </w:rPr>
              <w:t>Business opportunities for delivering the SDGs</w:t>
            </w:r>
            <w:r w:rsidR="002768F0">
              <w:rPr>
                <w:noProof/>
                <w:webHidden/>
              </w:rPr>
              <w:tab/>
            </w:r>
            <w:r w:rsidR="002768F0">
              <w:rPr>
                <w:noProof/>
                <w:webHidden/>
              </w:rPr>
              <w:fldChar w:fldCharType="begin"/>
            </w:r>
            <w:r w:rsidR="002768F0">
              <w:rPr>
                <w:noProof/>
                <w:webHidden/>
              </w:rPr>
              <w:instrText xml:space="preserve"> PAGEREF _Toc157427563 \h </w:instrText>
            </w:r>
            <w:r w:rsidR="002768F0">
              <w:rPr>
                <w:noProof/>
                <w:webHidden/>
              </w:rPr>
            </w:r>
            <w:r w:rsidR="002768F0">
              <w:rPr>
                <w:noProof/>
                <w:webHidden/>
              </w:rPr>
              <w:fldChar w:fldCharType="separate"/>
            </w:r>
            <w:r w:rsidR="002768F0">
              <w:rPr>
                <w:noProof/>
                <w:webHidden/>
              </w:rPr>
              <w:t>31</w:t>
            </w:r>
            <w:r w:rsidR="002768F0">
              <w:rPr>
                <w:noProof/>
                <w:webHidden/>
              </w:rPr>
              <w:fldChar w:fldCharType="end"/>
            </w:r>
          </w:hyperlink>
        </w:p>
        <w:p w14:paraId="52C2BEFF" w14:textId="7CF6FC03" w:rsidR="002768F0" w:rsidRDefault="00000000">
          <w:pPr>
            <w:pStyle w:val="TOC2"/>
            <w:rPr>
              <w:rFonts w:eastAsiaTheme="minorEastAsia"/>
              <w:noProof/>
              <w:kern w:val="2"/>
              <w:lang w:val="en-US"/>
              <w14:ligatures w14:val="standardContextual"/>
            </w:rPr>
          </w:pPr>
          <w:hyperlink w:anchor="_Toc157427564" w:history="1">
            <w:r w:rsidR="002768F0" w:rsidRPr="0077726A">
              <w:rPr>
                <w:rStyle w:val="Hyperlink"/>
                <w:noProof/>
              </w:rPr>
              <w:t>5.3.2.</w:t>
            </w:r>
            <w:r w:rsidR="002768F0">
              <w:rPr>
                <w:rFonts w:eastAsiaTheme="minorEastAsia"/>
                <w:noProof/>
                <w:kern w:val="2"/>
                <w:lang w:val="en-US"/>
                <w14:ligatures w14:val="standardContextual"/>
              </w:rPr>
              <w:tab/>
            </w:r>
            <w:r w:rsidR="002768F0" w:rsidRPr="0077726A">
              <w:rPr>
                <w:rStyle w:val="Hyperlink"/>
                <w:noProof/>
              </w:rPr>
              <w:t>Supporting the Innovation Eco-System</w:t>
            </w:r>
            <w:r w:rsidR="002768F0">
              <w:rPr>
                <w:noProof/>
                <w:webHidden/>
              </w:rPr>
              <w:tab/>
            </w:r>
            <w:r w:rsidR="002768F0">
              <w:rPr>
                <w:noProof/>
                <w:webHidden/>
              </w:rPr>
              <w:fldChar w:fldCharType="begin"/>
            </w:r>
            <w:r w:rsidR="002768F0">
              <w:rPr>
                <w:noProof/>
                <w:webHidden/>
              </w:rPr>
              <w:instrText xml:space="preserve"> PAGEREF _Toc157427564 \h </w:instrText>
            </w:r>
            <w:r w:rsidR="002768F0">
              <w:rPr>
                <w:noProof/>
                <w:webHidden/>
              </w:rPr>
            </w:r>
            <w:r w:rsidR="002768F0">
              <w:rPr>
                <w:noProof/>
                <w:webHidden/>
              </w:rPr>
              <w:fldChar w:fldCharType="separate"/>
            </w:r>
            <w:r w:rsidR="002768F0">
              <w:rPr>
                <w:noProof/>
                <w:webHidden/>
              </w:rPr>
              <w:t>32</w:t>
            </w:r>
            <w:r w:rsidR="002768F0">
              <w:rPr>
                <w:noProof/>
                <w:webHidden/>
              </w:rPr>
              <w:fldChar w:fldCharType="end"/>
            </w:r>
          </w:hyperlink>
        </w:p>
        <w:p w14:paraId="142626F7" w14:textId="6076EE8F" w:rsidR="002768F0" w:rsidRDefault="00000000">
          <w:pPr>
            <w:pStyle w:val="TOC2"/>
            <w:rPr>
              <w:rFonts w:eastAsiaTheme="minorEastAsia"/>
              <w:noProof/>
              <w:kern w:val="2"/>
              <w:lang w:val="en-US"/>
              <w14:ligatures w14:val="standardContextual"/>
            </w:rPr>
          </w:pPr>
          <w:hyperlink w:anchor="_Toc157427565" w:history="1">
            <w:r w:rsidR="002768F0" w:rsidRPr="0077726A">
              <w:rPr>
                <w:rStyle w:val="Hyperlink"/>
                <w:noProof/>
              </w:rPr>
              <w:t>5.3.3.</w:t>
            </w:r>
            <w:r w:rsidR="002768F0">
              <w:rPr>
                <w:rFonts w:eastAsiaTheme="minorEastAsia"/>
                <w:noProof/>
                <w:kern w:val="2"/>
                <w:lang w:val="en-US"/>
                <w14:ligatures w14:val="standardContextual"/>
              </w:rPr>
              <w:tab/>
            </w:r>
            <w:r w:rsidR="002768F0" w:rsidRPr="0077726A">
              <w:rPr>
                <w:rStyle w:val="Hyperlink"/>
                <w:noProof/>
              </w:rPr>
              <w:t>Guarantee funds for Green Economy and Inclusive Prosperity</w:t>
            </w:r>
            <w:r w:rsidR="002768F0">
              <w:rPr>
                <w:noProof/>
                <w:webHidden/>
              </w:rPr>
              <w:tab/>
            </w:r>
            <w:r w:rsidR="002768F0">
              <w:rPr>
                <w:noProof/>
                <w:webHidden/>
              </w:rPr>
              <w:fldChar w:fldCharType="begin"/>
            </w:r>
            <w:r w:rsidR="002768F0">
              <w:rPr>
                <w:noProof/>
                <w:webHidden/>
              </w:rPr>
              <w:instrText xml:space="preserve"> PAGEREF _Toc157427565 \h </w:instrText>
            </w:r>
            <w:r w:rsidR="002768F0">
              <w:rPr>
                <w:noProof/>
                <w:webHidden/>
              </w:rPr>
            </w:r>
            <w:r w:rsidR="002768F0">
              <w:rPr>
                <w:noProof/>
                <w:webHidden/>
              </w:rPr>
              <w:fldChar w:fldCharType="separate"/>
            </w:r>
            <w:r w:rsidR="002768F0">
              <w:rPr>
                <w:noProof/>
                <w:webHidden/>
              </w:rPr>
              <w:t>33</w:t>
            </w:r>
            <w:r w:rsidR="002768F0">
              <w:rPr>
                <w:noProof/>
                <w:webHidden/>
              </w:rPr>
              <w:fldChar w:fldCharType="end"/>
            </w:r>
          </w:hyperlink>
        </w:p>
        <w:p w14:paraId="16B17B8B" w14:textId="09E0A224" w:rsidR="002768F0" w:rsidRDefault="00000000">
          <w:pPr>
            <w:pStyle w:val="TOC2"/>
            <w:rPr>
              <w:rFonts w:eastAsiaTheme="minorEastAsia"/>
              <w:noProof/>
              <w:kern w:val="2"/>
              <w:lang w:val="en-US"/>
              <w14:ligatures w14:val="standardContextual"/>
            </w:rPr>
          </w:pPr>
          <w:hyperlink w:anchor="_Toc157427566" w:history="1">
            <w:r w:rsidR="002768F0" w:rsidRPr="0077726A">
              <w:rPr>
                <w:rStyle w:val="Hyperlink"/>
                <w:noProof/>
              </w:rPr>
              <w:t>5.3.4.</w:t>
            </w:r>
            <w:r w:rsidR="002768F0">
              <w:rPr>
                <w:rFonts w:eastAsiaTheme="minorEastAsia"/>
                <w:noProof/>
                <w:kern w:val="2"/>
                <w:lang w:val="en-US"/>
                <w14:ligatures w14:val="standardContextual"/>
              </w:rPr>
              <w:tab/>
            </w:r>
            <w:r w:rsidR="002768F0" w:rsidRPr="0077726A">
              <w:rPr>
                <w:rStyle w:val="Hyperlink"/>
                <w:noProof/>
              </w:rPr>
              <w:t>UNDP and the Development Bank: A Developing Story?</w:t>
            </w:r>
            <w:r w:rsidR="002768F0">
              <w:rPr>
                <w:noProof/>
                <w:webHidden/>
              </w:rPr>
              <w:tab/>
            </w:r>
            <w:r w:rsidR="002768F0">
              <w:rPr>
                <w:noProof/>
                <w:webHidden/>
              </w:rPr>
              <w:fldChar w:fldCharType="begin"/>
            </w:r>
            <w:r w:rsidR="002768F0">
              <w:rPr>
                <w:noProof/>
                <w:webHidden/>
              </w:rPr>
              <w:instrText xml:space="preserve"> PAGEREF _Toc157427566 \h </w:instrText>
            </w:r>
            <w:r w:rsidR="002768F0">
              <w:rPr>
                <w:noProof/>
                <w:webHidden/>
              </w:rPr>
            </w:r>
            <w:r w:rsidR="002768F0">
              <w:rPr>
                <w:noProof/>
                <w:webHidden/>
              </w:rPr>
              <w:fldChar w:fldCharType="separate"/>
            </w:r>
            <w:r w:rsidR="002768F0">
              <w:rPr>
                <w:noProof/>
                <w:webHidden/>
              </w:rPr>
              <w:t>34</w:t>
            </w:r>
            <w:r w:rsidR="002768F0">
              <w:rPr>
                <w:noProof/>
                <w:webHidden/>
              </w:rPr>
              <w:fldChar w:fldCharType="end"/>
            </w:r>
          </w:hyperlink>
        </w:p>
        <w:p w14:paraId="31DD449C" w14:textId="0B669D9D" w:rsidR="002768F0" w:rsidRDefault="00000000">
          <w:pPr>
            <w:pStyle w:val="TOC2"/>
            <w:rPr>
              <w:rFonts w:eastAsiaTheme="minorEastAsia"/>
              <w:noProof/>
              <w:kern w:val="2"/>
              <w:lang w:val="en-US"/>
              <w14:ligatures w14:val="standardContextual"/>
            </w:rPr>
          </w:pPr>
          <w:hyperlink w:anchor="_Toc157427567" w:history="1">
            <w:r w:rsidR="002768F0" w:rsidRPr="0077726A">
              <w:rPr>
                <w:rStyle w:val="Hyperlink"/>
                <w:noProof/>
              </w:rPr>
              <w:t>5.3.5.</w:t>
            </w:r>
            <w:r w:rsidR="002768F0">
              <w:rPr>
                <w:rFonts w:eastAsiaTheme="minorEastAsia"/>
                <w:noProof/>
                <w:kern w:val="2"/>
                <w:lang w:val="en-US"/>
                <w14:ligatures w14:val="standardContextual"/>
              </w:rPr>
              <w:tab/>
            </w:r>
            <w:r w:rsidR="002768F0" w:rsidRPr="0077726A">
              <w:rPr>
                <w:rStyle w:val="Hyperlink"/>
                <w:noProof/>
              </w:rPr>
              <w:t>Joining the Forces with the Banks</w:t>
            </w:r>
            <w:r w:rsidR="002768F0">
              <w:rPr>
                <w:noProof/>
                <w:webHidden/>
              </w:rPr>
              <w:tab/>
            </w:r>
            <w:r w:rsidR="002768F0">
              <w:rPr>
                <w:noProof/>
                <w:webHidden/>
              </w:rPr>
              <w:fldChar w:fldCharType="begin"/>
            </w:r>
            <w:r w:rsidR="002768F0">
              <w:rPr>
                <w:noProof/>
                <w:webHidden/>
              </w:rPr>
              <w:instrText xml:space="preserve"> PAGEREF _Toc157427567 \h </w:instrText>
            </w:r>
            <w:r w:rsidR="002768F0">
              <w:rPr>
                <w:noProof/>
                <w:webHidden/>
              </w:rPr>
            </w:r>
            <w:r w:rsidR="002768F0">
              <w:rPr>
                <w:noProof/>
                <w:webHidden/>
              </w:rPr>
              <w:fldChar w:fldCharType="separate"/>
            </w:r>
            <w:r w:rsidR="002768F0">
              <w:rPr>
                <w:noProof/>
                <w:webHidden/>
              </w:rPr>
              <w:t>35</w:t>
            </w:r>
            <w:r w:rsidR="002768F0">
              <w:rPr>
                <w:noProof/>
                <w:webHidden/>
              </w:rPr>
              <w:fldChar w:fldCharType="end"/>
            </w:r>
          </w:hyperlink>
        </w:p>
        <w:p w14:paraId="109DE898" w14:textId="7B478702" w:rsidR="002768F0" w:rsidRDefault="00000000">
          <w:pPr>
            <w:pStyle w:val="TOC2"/>
            <w:rPr>
              <w:rFonts w:eastAsiaTheme="minorEastAsia"/>
              <w:noProof/>
              <w:kern w:val="2"/>
              <w:lang w:val="en-US"/>
              <w14:ligatures w14:val="standardContextual"/>
            </w:rPr>
          </w:pPr>
          <w:hyperlink w:anchor="_Toc157427568" w:history="1">
            <w:r w:rsidR="002768F0" w:rsidRPr="0077726A">
              <w:rPr>
                <w:rStyle w:val="Hyperlink"/>
                <w:noProof/>
              </w:rPr>
              <w:t>5.3.6.</w:t>
            </w:r>
            <w:r w:rsidR="002768F0">
              <w:rPr>
                <w:rFonts w:eastAsiaTheme="minorEastAsia"/>
                <w:noProof/>
                <w:kern w:val="2"/>
                <w:lang w:val="en-US"/>
                <w14:ligatures w14:val="standardContextual"/>
              </w:rPr>
              <w:tab/>
            </w:r>
            <w:r w:rsidR="002768F0" w:rsidRPr="0077726A">
              <w:rPr>
                <w:rStyle w:val="Hyperlink"/>
                <w:noProof/>
              </w:rPr>
              <w:t>Corporate bonds</w:t>
            </w:r>
            <w:r w:rsidR="002768F0">
              <w:rPr>
                <w:noProof/>
                <w:webHidden/>
              </w:rPr>
              <w:tab/>
            </w:r>
            <w:r w:rsidR="002768F0">
              <w:rPr>
                <w:noProof/>
                <w:webHidden/>
              </w:rPr>
              <w:fldChar w:fldCharType="begin"/>
            </w:r>
            <w:r w:rsidR="002768F0">
              <w:rPr>
                <w:noProof/>
                <w:webHidden/>
              </w:rPr>
              <w:instrText xml:space="preserve"> PAGEREF _Toc157427568 \h </w:instrText>
            </w:r>
            <w:r w:rsidR="002768F0">
              <w:rPr>
                <w:noProof/>
                <w:webHidden/>
              </w:rPr>
            </w:r>
            <w:r w:rsidR="002768F0">
              <w:rPr>
                <w:noProof/>
                <w:webHidden/>
              </w:rPr>
              <w:fldChar w:fldCharType="separate"/>
            </w:r>
            <w:r w:rsidR="002768F0">
              <w:rPr>
                <w:noProof/>
                <w:webHidden/>
              </w:rPr>
              <w:t>37</w:t>
            </w:r>
            <w:r w:rsidR="002768F0">
              <w:rPr>
                <w:noProof/>
                <w:webHidden/>
              </w:rPr>
              <w:fldChar w:fldCharType="end"/>
            </w:r>
          </w:hyperlink>
        </w:p>
        <w:p w14:paraId="14F0D37B" w14:textId="2B6F94B5" w:rsidR="002768F0" w:rsidRDefault="00000000">
          <w:pPr>
            <w:pStyle w:val="TOC2"/>
            <w:rPr>
              <w:rFonts w:eastAsiaTheme="minorEastAsia"/>
              <w:noProof/>
              <w:kern w:val="2"/>
              <w:lang w:val="en-US"/>
              <w14:ligatures w14:val="standardContextual"/>
            </w:rPr>
          </w:pPr>
          <w:hyperlink w:anchor="_Toc157427569" w:history="1">
            <w:r w:rsidR="002768F0" w:rsidRPr="0077726A">
              <w:rPr>
                <w:rStyle w:val="Hyperlink"/>
                <w:noProof/>
              </w:rPr>
              <w:t>5.4.</w:t>
            </w:r>
            <w:r w:rsidR="002768F0">
              <w:rPr>
                <w:rFonts w:eastAsiaTheme="minorEastAsia"/>
                <w:noProof/>
                <w:kern w:val="2"/>
                <w:lang w:val="en-US"/>
                <w14:ligatures w14:val="standardContextual"/>
              </w:rPr>
              <w:tab/>
            </w:r>
            <w:r w:rsidR="002768F0" w:rsidRPr="0077726A">
              <w:rPr>
                <w:rStyle w:val="Hyperlink"/>
                <w:noProof/>
              </w:rPr>
              <w:t>Foreign Public Sources</w:t>
            </w:r>
            <w:r w:rsidR="002768F0">
              <w:rPr>
                <w:noProof/>
                <w:webHidden/>
              </w:rPr>
              <w:tab/>
            </w:r>
            <w:r w:rsidR="002768F0">
              <w:rPr>
                <w:noProof/>
                <w:webHidden/>
              </w:rPr>
              <w:fldChar w:fldCharType="begin"/>
            </w:r>
            <w:r w:rsidR="002768F0">
              <w:rPr>
                <w:noProof/>
                <w:webHidden/>
              </w:rPr>
              <w:instrText xml:space="preserve"> PAGEREF _Toc157427569 \h </w:instrText>
            </w:r>
            <w:r w:rsidR="002768F0">
              <w:rPr>
                <w:noProof/>
                <w:webHidden/>
              </w:rPr>
            </w:r>
            <w:r w:rsidR="002768F0">
              <w:rPr>
                <w:noProof/>
                <w:webHidden/>
              </w:rPr>
              <w:fldChar w:fldCharType="separate"/>
            </w:r>
            <w:r w:rsidR="002768F0">
              <w:rPr>
                <w:noProof/>
                <w:webHidden/>
              </w:rPr>
              <w:t>37</w:t>
            </w:r>
            <w:r w:rsidR="002768F0">
              <w:rPr>
                <w:noProof/>
                <w:webHidden/>
              </w:rPr>
              <w:fldChar w:fldCharType="end"/>
            </w:r>
          </w:hyperlink>
        </w:p>
        <w:p w14:paraId="75EDDB5D" w14:textId="764601DE" w:rsidR="002768F0" w:rsidRDefault="00000000">
          <w:pPr>
            <w:pStyle w:val="TOC3"/>
            <w:tabs>
              <w:tab w:val="left" w:pos="1320"/>
              <w:tab w:val="right" w:leader="dot" w:pos="9350"/>
            </w:tabs>
            <w:rPr>
              <w:rFonts w:eastAsiaTheme="minorEastAsia"/>
              <w:noProof/>
              <w:kern w:val="2"/>
              <w:lang w:val="en-US"/>
              <w14:ligatures w14:val="standardContextual"/>
            </w:rPr>
          </w:pPr>
          <w:hyperlink w:anchor="_Toc157427570" w:history="1">
            <w:r w:rsidR="002768F0" w:rsidRPr="0077726A">
              <w:rPr>
                <w:rStyle w:val="Hyperlink"/>
                <w:noProof/>
              </w:rPr>
              <w:t>5.4.1.</w:t>
            </w:r>
            <w:r w:rsidR="002768F0">
              <w:rPr>
                <w:rFonts w:eastAsiaTheme="minorEastAsia"/>
                <w:noProof/>
                <w:kern w:val="2"/>
                <w:lang w:val="en-US"/>
                <w14:ligatures w14:val="standardContextual"/>
              </w:rPr>
              <w:tab/>
            </w:r>
            <w:r w:rsidR="002768F0" w:rsidRPr="0077726A">
              <w:rPr>
                <w:rStyle w:val="Hyperlink"/>
                <w:noProof/>
              </w:rPr>
              <w:t>Expanding the UNDP-EBRD partnership</w:t>
            </w:r>
            <w:r w:rsidR="002768F0">
              <w:rPr>
                <w:noProof/>
                <w:webHidden/>
              </w:rPr>
              <w:tab/>
            </w:r>
            <w:r w:rsidR="002768F0">
              <w:rPr>
                <w:noProof/>
                <w:webHidden/>
              </w:rPr>
              <w:fldChar w:fldCharType="begin"/>
            </w:r>
            <w:r w:rsidR="002768F0">
              <w:rPr>
                <w:noProof/>
                <w:webHidden/>
              </w:rPr>
              <w:instrText xml:space="preserve"> PAGEREF _Toc157427570 \h </w:instrText>
            </w:r>
            <w:r w:rsidR="002768F0">
              <w:rPr>
                <w:noProof/>
                <w:webHidden/>
              </w:rPr>
            </w:r>
            <w:r w:rsidR="002768F0">
              <w:rPr>
                <w:noProof/>
                <w:webHidden/>
              </w:rPr>
              <w:fldChar w:fldCharType="separate"/>
            </w:r>
            <w:r w:rsidR="002768F0">
              <w:rPr>
                <w:noProof/>
                <w:webHidden/>
              </w:rPr>
              <w:t>38</w:t>
            </w:r>
            <w:r w:rsidR="002768F0">
              <w:rPr>
                <w:noProof/>
                <w:webHidden/>
              </w:rPr>
              <w:fldChar w:fldCharType="end"/>
            </w:r>
          </w:hyperlink>
        </w:p>
        <w:p w14:paraId="41057C24" w14:textId="14A29087" w:rsidR="002768F0" w:rsidRDefault="00000000">
          <w:pPr>
            <w:pStyle w:val="TOC3"/>
            <w:tabs>
              <w:tab w:val="left" w:pos="1320"/>
              <w:tab w:val="right" w:leader="dot" w:pos="9350"/>
            </w:tabs>
            <w:rPr>
              <w:rFonts w:eastAsiaTheme="minorEastAsia"/>
              <w:noProof/>
              <w:kern w:val="2"/>
              <w:lang w:val="en-US"/>
              <w14:ligatures w14:val="standardContextual"/>
            </w:rPr>
          </w:pPr>
          <w:hyperlink w:anchor="_Toc157427571" w:history="1">
            <w:r w:rsidR="002768F0" w:rsidRPr="0077726A">
              <w:rPr>
                <w:rStyle w:val="Hyperlink"/>
                <w:noProof/>
              </w:rPr>
              <w:t>5.4.2.</w:t>
            </w:r>
            <w:r w:rsidR="002768F0">
              <w:rPr>
                <w:rFonts w:eastAsiaTheme="minorEastAsia"/>
                <w:noProof/>
                <w:kern w:val="2"/>
                <w:lang w:val="en-US"/>
                <w14:ligatures w14:val="standardContextual"/>
              </w:rPr>
              <w:tab/>
            </w:r>
            <w:r w:rsidR="002768F0" w:rsidRPr="0077726A">
              <w:rPr>
                <w:rStyle w:val="Hyperlink"/>
                <w:noProof/>
              </w:rPr>
              <w:t>Other foreign public sources</w:t>
            </w:r>
            <w:r w:rsidR="002768F0">
              <w:rPr>
                <w:noProof/>
                <w:webHidden/>
              </w:rPr>
              <w:tab/>
            </w:r>
            <w:r w:rsidR="002768F0">
              <w:rPr>
                <w:noProof/>
                <w:webHidden/>
              </w:rPr>
              <w:fldChar w:fldCharType="begin"/>
            </w:r>
            <w:r w:rsidR="002768F0">
              <w:rPr>
                <w:noProof/>
                <w:webHidden/>
              </w:rPr>
              <w:instrText xml:space="preserve"> PAGEREF _Toc157427571 \h </w:instrText>
            </w:r>
            <w:r w:rsidR="002768F0">
              <w:rPr>
                <w:noProof/>
                <w:webHidden/>
              </w:rPr>
            </w:r>
            <w:r w:rsidR="002768F0">
              <w:rPr>
                <w:noProof/>
                <w:webHidden/>
              </w:rPr>
              <w:fldChar w:fldCharType="separate"/>
            </w:r>
            <w:r w:rsidR="002768F0">
              <w:rPr>
                <w:noProof/>
                <w:webHidden/>
              </w:rPr>
              <w:t>38</w:t>
            </w:r>
            <w:r w:rsidR="002768F0">
              <w:rPr>
                <w:noProof/>
                <w:webHidden/>
              </w:rPr>
              <w:fldChar w:fldCharType="end"/>
            </w:r>
          </w:hyperlink>
        </w:p>
        <w:p w14:paraId="0A784693" w14:textId="0454AB7D" w:rsidR="002768F0" w:rsidRDefault="00000000">
          <w:pPr>
            <w:pStyle w:val="TOC2"/>
            <w:rPr>
              <w:rFonts w:eastAsiaTheme="minorEastAsia"/>
              <w:noProof/>
              <w:kern w:val="2"/>
              <w:lang w:val="en-US"/>
              <w14:ligatures w14:val="standardContextual"/>
            </w:rPr>
          </w:pPr>
          <w:hyperlink w:anchor="_Toc157427572" w:history="1">
            <w:r w:rsidR="002768F0" w:rsidRPr="0077726A">
              <w:rPr>
                <w:rStyle w:val="Hyperlink"/>
                <w:noProof/>
              </w:rPr>
              <w:t>5.5.</w:t>
            </w:r>
            <w:r w:rsidR="002768F0">
              <w:rPr>
                <w:rFonts w:eastAsiaTheme="minorEastAsia"/>
                <w:noProof/>
                <w:kern w:val="2"/>
                <w:lang w:val="en-US"/>
                <w14:ligatures w14:val="standardContextual"/>
              </w:rPr>
              <w:tab/>
            </w:r>
            <w:r w:rsidR="002768F0" w:rsidRPr="0077726A">
              <w:rPr>
                <w:rStyle w:val="Hyperlink"/>
                <w:noProof/>
              </w:rPr>
              <w:t>Foreign Private Sources</w:t>
            </w:r>
            <w:r w:rsidR="002768F0">
              <w:rPr>
                <w:noProof/>
                <w:webHidden/>
              </w:rPr>
              <w:tab/>
            </w:r>
            <w:r w:rsidR="002768F0">
              <w:rPr>
                <w:noProof/>
                <w:webHidden/>
              </w:rPr>
              <w:fldChar w:fldCharType="begin"/>
            </w:r>
            <w:r w:rsidR="002768F0">
              <w:rPr>
                <w:noProof/>
                <w:webHidden/>
              </w:rPr>
              <w:instrText xml:space="preserve"> PAGEREF _Toc157427572 \h </w:instrText>
            </w:r>
            <w:r w:rsidR="002768F0">
              <w:rPr>
                <w:noProof/>
                <w:webHidden/>
              </w:rPr>
            </w:r>
            <w:r w:rsidR="002768F0">
              <w:rPr>
                <w:noProof/>
                <w:webHidden/>
              </w:rPr>
              <w:fldChar w:fldCharType="separate"/>
            </w:r>
            <w:r w:rsidR="002768F0">
              <w:rPr>
                <w:noProof/>
                <w:webHidden/>
              </w:rPr>
              <w:t>39</w:t>
            </w:r>
            <w:r w:rsidR="002768F0">
              <w:rPr>
                <w:noProof/>
                <w:webHidden/>
              </w:rPr>
              <w:fldChar w:fldCharType="end"/>
            </w:r>
          </w:hyperlink>
        </w:p>
        <w:p w14:paraId="4338328B" w14:textId="5C1749EB" w:rsidR="002768F0" w:rsidRDefault="00000000">
          <w:pPr>
            <w:pStyle w:val="TOC1"/>
            <w:rPr>
              <w:rFonts w:eastAsiaTheme="minorEastAsia"/>
              <w:noProof/>
              <w:kern w:val="2"/>
              <w:lang w:val="en-US"/>
              <w14:ligatures w14:val="standardContextual"/>
            </w:rPr>
          </w:pPr>
          <w:hyperlink w:anchor="_Toc157427573" w:history="1">
            <w:r w:rsidR="002768F0" w:rsidRPr="0077726A">
              <w:rPr>
                <w:rStyle w:val="Hyperlink"/>
                <w:noProof/>
              </w:rPr>
              <w:t>6.</w:t>
            </w:r>
            <w:r w:rsidR="002768F0">
              <w:rPr>
                <w:rFonts w:eastAsiaTheme="minorEastAsia"/>
                <w:noProof/>
                <w:kern w:val="2"/>
                <w:lang w:val="en-US"/>
                <w14:ligatures w14:val="standardContextual"/>
              </w:rPr>
              <w:tab/>
            </w:r>
            <w:r w:rsidR="002768F0" w:rsidRPr="0077726A">
              <w:rPr>
                <w:rStyle w:val="Hyperlink"/>
                <w:noProof/>
              </w:rPr>
              <w:t>DEVELOPING A CHANGE MANAGEMENT PLAN FOR THE UNDP COUNTRY OFFICE</w:t>
            </w:r>
            <w:r w:rsidR="002768F0">
              <w:rPr>
                <w:noProof/>
                <w:webHidden/>
              </w:rPr>
              <w:tab/>
            </w:r>
            <w:r w:rsidR="002768F0">
              <w:rPr>
                <w:noProof/>
                <w:webHidden/>
              </w:rPr>
              <w:fldChar w:fldCharType="begin"/>
            </w:r>
            <w:r w:rsidR="002768F0">
              <w:rPr>
                <w:noProof/>
                <w:webHidden/>
              </w:rPr>
              <w:instrText xml:space="preserve"> PAGEREF _Toc157427573 \h </w:instrText>
            </w:r>
            <w:r w:rsidR="002768F0">
              <w:rPr>
                <w:noProof/>
                <w:webHidden/>
              </w:rPr>
            </w:r>
            <w:r w:rsidR="002768F0">
              <w:rPr>
                <w:noProof/>
                <w:webHidden/>
              </w:rPr>
              <w:fldChar w:fldCharType="separate"/>
            </w:r>
            <w:r w:rsidR="002768F0">
              <w:rPr>
                <w:noProof/>
                <w:webHidden/>
              </w:rPr>
              <w:t>41</w:t>
            </w:r>
            <w:r w:rsidR="002768F0">
              <w:rPr>
                <w:noProof/>
                <w:webHidden/>
              </w:rPr>
              <w:fldChar w:fldCharType="end"/>
            </w:r>
          </w:hyperlink>
        </w:p>
        <w:p w14:paraId="5DF7E0BA" w14:textId="5FF0F84C" w:rsidR="002768F0" w:rsidRDefault="00000000">
          <w:pPr>
            <w:pStyle w:val="TOC2"/>
            <w:rPr>
              <w:rFonts w:eastAsiaTheme="minorEastAsia"/>
              <w:noProof/>
              <w:kern w:val="2"/>
              <w:lang w:val="en-US"/>
              <w14:ligatures w14:val="standardContextual"/>
            </w:rPr>
          </w:pPr>
          <w:hyperlink w:anchor="_Toc157427574" w:history="1">
            <w:r w:rsidR="002768F0" w:rsidRPr="0077726A">
              <w:rPr>
                <w:rStyle w:val="Hyperlink"/>
                <w:noProof/>
              </w:rPr>
              <w:t>6.1.</w:t>
            </w:r>
            <w:r w:rsidR="002768F0">
              <w:rPr>
                <w:rFonts w:eastAsiaTheme="minorEastAsia"/>
                <w:noProof/>
                <w:kern w:val="2"/>
                <w:lang w:val="en-US"/>
                <w14:ligatures w14:val="standardContextual"/>
              </w:rPr>
              <w:tab/>
            </w:r>
            <w:r w:rsidR="002768F0" w:rsidRPr="0077726A">
              <w:rPr>
                <w:rStyle w:val="Hyperlink"/>
                <w:noProof/>
              </w:rPr>
              <w:t>General recommendations</w:t>
            </w:r>
            <w:r w:rsidR="002768F0">
              <w:rPr>
                <w:noProof/>
                <w:webHidden/>
              </w:rPr>
              <w:tab/>
            </w:r>
            <w:r w:rsidR="002768F0">
              <w:rPr>
                <w:noProof/>
                <w:webHidden/>
              </w:rPr>
              <w:fldChar w:fldCharType="begin"/>
            </w:r>
            <w:r w:rsidR="002768F0">
              <w:rPr>
                <w:noProof/>
                <w:webHidden/>
              </w:rPr>
              <w:instrText xml:space="preserve"> PAGEREF _Toc157427574 \h </w:instrText>
            </w:r>
            <w:r w:rsidR="002768F0">
              <w:rPr>
                <w:noProof/>
                <w:webHidden/>
              </w:rPr>
            </w:r>
            <w:r w:rsidR="002768F0">
              <w:rPr>
                <w:noProof/>
                <w:webHidden/>
              </w:rPr>
              <w:fldChar w:fldCharType="separate"/>
            </w:r>
            <w:r w:rsidR="002768F0">
              <w:rPr>
                <w:noProof/>
                <w:webHidden/>
              </w:rPr>
              <w:t>41</w:t>
            </w:r>
            <w:r w:rsidR="002768F0">
              <w:rPr>
                <w:noProof/>
                <w:webHidden/>
              </w:rPr>
              <w:fldChar w:fldCharType="end"/>
            </w:r>
          </w:hyperlink>
        </w:p>
        <w:p w14:paraId="09751E6F" w14:textId="06A4EF35" w:rsidR="002768F0" w:rsidRDefault="00000000">
          <w:pPr>
            <w:pStyle w:val="TOC2"/>
            <w:rPr>
              <w:rFonts w:eastAsiaTheme="minorEastAsia"/>
              <w:noProof/>
              <w:kern w:val="2"/>
              <w:lang w:val="en-US"/>
              <w14:ligatures w14:val="standardContextual"/>
            </w:rPr>
          </w:pPr>
          <w:hyperlink w:anchor="_Toc157427575" w:history="1">
            <w:r w:rsidR="002768F0" w:rsidRPr="0077726A">
              <w:rPr>
                <w:rStyle w:val="Hyperlink"/>
                <w:noProof/>
              </w:rPr>
              <w:t>6.2.</w:t>
            </w:r>
            <w:r w:rsidR="002768F0">
              <w:rPr>
                <w:rFonts w:eastAsiaTheme="minorEastAsia"/>
                <w:noProof/>
                <w:kern w:val="2"/>
                <w:lang w:val="en-US"/>
                <w14:ligatures w14:val="standardContextual"/>
              </w:rPr>
              <w:tab/>
            </w:r>
            <w:r w:rsidR="002768F0" w:rsidRPr="0077726A">
              <w:rPr>
                <w:rStyle w:val="Hyperlink"/>
                <w:noProof/>
              </w:rPr>
              <w:t>Recommendations regarding the SDG Finance Offer</w:t>
            </w:r>
            <w:r w:rsidR="002768F0">
              <w:rPr>
                <w:noProof/>
                <w:webHidden/>
              </w:rPr>
              <w:tab/>
            </w:r>
            <w:r w:rsidR="002768F0">
              <w:rPr>
                <w:noProof/>
                <w:webHidden/>
              </w:rPr>
              <w:fldChar w:fldCharType="begin"/>
            </w:r>
            <w:r w:rsidR="002768F0">
              <w:rPr>
                <w:noProof/>
                <w:webHidden/>
              </w:rPr>
              <w:instrText xml:space="preserve"> PAGEREF _Toc157427575 \h </w:instrText>
            </w:r>
            <w:r w:rsidR="002768F0">
              <w:rPr>
                <w:noProof/>
                <w:webHidden/>
              </w:rPr>
            </w:r>
            <w:r w:rsidR="002768F0">
              <w:rPr>
                <w:noProof/>
                <w:webHidden/>
              </w:rPr>
              <w:fldChar w:fldCharType="separate"/>
            </w:r>
            <w:r w:rsidR="002768F0">
              <w:rPr>
                <w:noProof/>
                <w:webHidden/>
              </w:rPr>
              <w:t>45</w:t>
            </w:r>
            <w:r w:rsidR="002768F0">
              <w:rPr>
                <w:noProof/>
                <w:webHidden/>
              </w:rPr>
              <w:fldChar w:fldCharType="end"/>
            </w:r>
          </w:hyperlink>
        </w:p>
        <w:p w14:paraId="100247BA" w14:textId="6D1D3A26" w:rsidR="00001A9F" w:rsidRPr="00C56601" w:rsidRDefault="00B348F0">
          <w:pPr>
            <w:rPr>
              <w:b/>
              <w:bCs/>
              <w:noProof/>
            </w:rPr>
          </w:pPr>
          <w:r w:rsidRPr="00C56601">
            <w:rPr>
              <w:b/>
              <w:bCs/>
              <w:noProof/>
              <w:sz w:val="20"/>
              <w:szCs w:val="20"/>
            </w:rPr>
            <w:fldChar w:fldCharType="end"/>
          </w:r>
        </w:p>
      </w:sdtContent>
    </w:sdt>
    <w:p w14:paraId="2E371FCC" w14:textId="77777777" w:rsidR="00E268CB" w:rsidRPr="00C56601" w:rsidRDefault="00E268CB">
      <w:pPr>
        <w:rPr>
          <w:rFonts w:asciiTheme="majorHAnsi" w:eastAsiaTheme="majorEastAsia" w:hAnsiTheme="majorHAnsi" w:cstheme="majorBidi"/>
          <w:noProof/>
          <w:color w:val="0B5294" w:themeColor="accent1" w:themeShade="BF"/>
          <w:sz w:val="32"/>
          <w:szCs w:val="32"/>
        </w:rPr>
      </w:pPr>
      <w:r w:rsidRPr="00C56601">
        <w:rPr>
          <w:noProof/>
        </w:rPr>
        <w:br w:type="page"/>
      </w:r>
    </w:p>
    <w:p w14:paraId="0B7D7D6B" w14:textId="3ABC4E1E" w:rsidR="000507C3" w:rsidRDefault="00001A9F" w:rsidP="00001A9F">
      <w:pPr>
        <w:pStyle w:val="Heading1"/>
        <w:rPr>
          <w:noProof/>
        </w:rPr>
      </w:pPr>
      <w:bookmarkStart w:id="0" w:name="_Toc157427532"/>
      <w:r w:rsidRPr="00C56601">
        <w:rPr>
          <w:noProof/>
        </w:rPr>
        <w:lastRenderedPageBreak/>
        <w:t xml:space="preserve">List of </w:t>
      </w:r>
      <w:r w:rsidR="000507C3">
        <w:rPr>
          <w:noProof/>
        </w:rPr>
        <w:t>Acronyms</w:t>
      </w:r>
      <w:bookmarkEnd w:id="0"/>
    </w:p>
    <w:p w14:paraId="480C7BCF" w14:textId="77777777" w:rsidR="000507C3" w:rsidRDefault="000507C3" w:rsidP="000507C3">
      <w:pPr>
        <w:spacing w:line="240" w:lineRule="auto"/>
        <w:rPr>
          <w:noProof/>
        </w:rPr>
      </w:pPr>
    </w:p>
    <w:p w14:paraId="75193494" w14:textId="77777777" w:rsidR="000E4CA5" w:rsidRDefault="000E4CA5" w:rsidP="00EC12B4">
      <w:pPr>
        <w:spacing w:after="0" w:line="276" w:lineRule="auto"/>
        <w:rPr>
          <w:noProof/>
        </w:rPr>
      </w:pPr>
      <w:r>
        <w:rPr>
          <w:noProof/>
        </w:rPr>
        <w:t>AI</w:t>
      </w:r>
      <w:r>
        <w:rPr>
          <w:noProof/>
        </w:rPr>
        <w:tab/>
      </w:r>
      <w:r>
        <w:rPr>
          <w:noProof/>
        </w:rPr>
        <w:tab/>
        <w:t>Artificial Intelligence</w:t>
      </w:r>
    </w:p>
    <w:p w14:paraId="63030501" w14:textId="77777777" w:rsidR="000E4CA5" w:rsidRDefault="000E4CA5" w:rsidP="00EC12B4">
      <w:pPr>
        <w:spacing w:after="0" w:line="276" w:lineRule="auto"/>
      </w:pPr>
      <w:r>
        <w:t>BSDC</w:t>
      </w:r>
      <w:r>
        <w:tab/>
      </w:r>
      <w:r>
        <w:tab/>
      </w:r>
      <w:r w:rsidRPr="00EB7054">
        <w:t>The Business and Sustainable Development Commission</w:t>
      </w:r>
    </w:p>
    <w:p w14:paraId="05E3DF4B" w14:textId="77777777" w:rsidR="000E4CA5" w:rsidRDefault="000E4CA5" w:rsidP="00EC12B4">
      <w:pPr>
        <w:spacing w:after="0" w:line="276" w:lineRule="auto"/>
        <w:rPr>
          <w:noProof/>
        </w:rPr>
      </w:pPr>
      <w:r>
        <w:rPr>
          <w:noProof/>
        </w:rPr>
        <w:t>CO</w:t>
      </w:r>
      <w:r>
        <w:rPr>
          <w:noProof/>
        </w:rPr>
        <w:tab/>
      </w:r>
      <w:r>
        <w:rPr>
          <w:noProof/>
        </w:rPr>
        <w:tab/>
        <w:t xml:space="preserve">Country Office </w:t>
      </w:r>
    </w:p>
    <w:p w14:paraId="11F9F141" w14:textId="77777777" w:rsidR="000E4CA5" w:rsidRDefault="000E4CA5" w:rsidP="00EC12B4">
      <w:pPr>
        <w:spacing w:after="0" w:line="276" w:lineRule="auto"/>
        <w:rPr>
          <w:noProof/>
        </w:rPr>
      </w:pPr>
      <w:r>
        <w:rPr>
          <w:noProof/>
        </w:rPr>
        <w:t>DeFi</w:t>
      </w:r>
      <w:r>
        <w:rPr>
          <w:noProof/>
        </w:rPr>
        <w:tab/>
      </w:r>
      <w:r>
        <w:rPr>
          <w:noProof/>
        </w:rPr>
        <w:tab/>
        <w:t>Decentralized Finance</w:t>
      </w:r>
    </w:p>
    <w:p w14:paraId="3CA8F626" w14:textId="77777777" w:rsidR="000E4CA5" w:rsidRDefault="000E4CA5" w:rsidP="00EC12B4">
      <w:pPr>
        <w:spacing w:after="0" w:line="276" w:lineRule="auto"/>
        <w:rPr>
          <w:noProof/>
        </w:rPr>
      </w:pPr>
      <w:r>
        <w:rPr>
          <w:noProof/>
        </w:rPr>
        <w:t>DIB</w:t>
      </w:r>
      <w:r>
        <w:rPr>
          <w:noProof/>
        </w:rPr>
        <w:tab/>
      </w:r>
      <w:r>
        <w:rPr>
          <w:noProof/>
        </w:rPr>
        <w:tab/>
        <w:t>Development Impact Bonds</w:t>
      </w:r>
    </w:p>
    <w:p w14:paraId="38F7D7BD" w14:textId="77777777" w:rsidR="000E4CA5" w:rsidRDefault="000E4CA5" w:rsidP="00EC12B4">
      <w:pPr>
        <w:spacing w:after="0" w:line="276" w:lineRule="auto"/>
        <w:rPr>
          <w:noProof/>
        </w:rPr>
      </w:pPr>
      <w:r>
        <w:rPr>
          <w:noProof/>
        </w:rPr>
        <w:t>ERP</w:t>
      </w:r>
      <w:r>
        <w:rPr>
          <w:noProof/>
        </w:rPr>
        <w:tab/>
      </w:r>
      <w:r>
        <w:rPr>
          <w:noProof/>
        </w:rPr>
        <w:tab/>
        <w:t>Economic Reform Programme</w:t>
      </w:r>
    </w:p>
    <w:p w14:paraId="171C2F86" w14:textId="77777777" w:rsidR="000E4CA5" w:rsidRDefault="000E4CA5" w:rsidP="00EC12B4">
      <w:pPr>
        <w:spacing w:after="0" w:line="276" w:lineRule="auto"/>
        <w:rPr>
          <w:noProof/>
        </w:rPr>
      </w:pPr>
      <w:r>
        <w:rPr>
          <w:noProof/>
        </w:rPr>
        <w:t>ESG</w:t>
      </w:r>
      <w:r>
        <w:rPr>
          <w:noProof/>
        </w:rPr>
        <w:tab/>
      </w:r>
      <w:r>
        <w:rPr>
          <w:noProof/>
        </w:rPr>
        <w:tab/>
        <w:t>Environmental, Social, and Governance</w:t>
      </w:r>
    </w:p>
    <w:p w14:paraId="2F57F48F" w14:textId="77777777" w:rsidR="000E4CA5" w:rsidRDefault="000E4CA5" w:rsidP="00EC12B4">
      <w:pPr>
        <w:spacing w:after="0" w:line="276" w:lineRule="auto"/>
        <w:rPr>
          <w:noProof/>
        </w:rPr>
      </w:pPr>
      <w:r>
        <w:rPr>
          <w:noProof/>
        </w:rPr>
        <w:t>EU</w:t>
      </w:r>
      <w:r>
        <w:rPr>
          <w:noProof/>
        </w:rPr>
        <w:tab/>
      </w:r>
      <w:r>
        <w:rPr>
          <w:noProof/>
        </w:rPr>
        <w:tab/>
        <w:t>European Union</w:t>
      </w:r>
    </w:p>
    <w:p w14:paraId="5C4DD35C" w14:textId="77777777" w:rsidR="000E4CA5" w:rsidRDefault="000E4CA5" w:rsidP="00EC12B4">
      <w:pPr>
        <w:spacing w:after="0" w:line="276" w:lineRule="auto"/>
        <w:rPr>
          <w:noProof/>
        </w:rPr>
      </w:pPr>
      <w:r>
        <w:rPr>
          <w:noProof/>
        </w:rPr>
        <w:t>GAP</w:t>
      </w:r>
      <w:r>
        <w:rPr>
          <w:noProof/>
        </w:rPr>
        <w:tab/>
      </w:r>
      <w:r>
        <w:rPr>
          <w:noProof/>
        </w:rPr>
        <w:tab/>
        <w:t>Growth Acceleration Plan</w:t>
      </w:r>
    </w:p>
    <w:p w14:paraId="30B26037" w14:textId="77777777" w:rsidR="000E4CA5" w:rsidRDefault="000E4CA5" w:rsidP="00EC12B4">
      <w:pPr>
        <w:spacing w:after="0" w:line="276" w:lineRule="auto"/>
        <w:rPr>
          <w:noProof/>
        </w:rPr>
      </w:pPr>
      <w:r>
        <w:rPr>
          <w:noProof/>
        </w:rPr>
        <w:t>GFF</w:t>
      </w:r>
      <w:r>
        <w:rPr>
          <w:noProof/>
        </w:rPr>
        <w:tab/>
      </w:r>
      <w:r>
        <w:rPr>
          <w:noProof/>
        </w:rPr>
        <w:tab/>
        <w:t>Green Financing Facility</w:t>
      </w:r>
      <w:r w:rsidRPr="00C56601">
        <w:rPr>
          <w:noProof/>
        </w:rPr>
        <w:t xml:space="preserve"> </w:t>
      </w:r>
    </w:p>
    <w:p w14:paraId="4621F81F" w14:textId="77777777" w:rsidR="000E4CA5" w:rsidRDefault="000E4CA5" w:rsidP="00EC12B4">
      <w:pPr>
        <w:spacing w:after="0" w:line="276" w:lineRule="auto"/>
        <w:rPr>
          <w:noProof/>
        </w:rPr>
      </w:pPr>
      <w:r>
        <w:rPr>
          <w:noProof/>
        </w:rPr>
        <w:t>ICMA</w:t>
      </w:r>
      <w:r>
        <w:rPr>
          <w:noProof/>
        </w:rPr>
        <w:tab/>
      </w:r>
      <w:r>
        <w:rPr>
          <w:noProof/>
        </w:rPr>
        <w:tab/>
      </w:r>
      <w:r w:rsidRPr="00592E0C">
        <w:rPr>
          <w:noProof/>
        </w:rPr>
        <w:t>International Capital Market Association</w:t>
      </w:r>
    </w:p>
    <w:p w14:paraId="20388472" w14:textId="77777777" w:rsidR="000E4CA5" w:rsidRDefault="000E4CA5" w:rsidP="00EC12B4">
      <w:pPr>
        <w:spacing w:after="0" w:line="276" w:lineRule="auto"/>
        <w:rPr>
          <w:noProof/>
        </w:rPr>
      </w:pPr>
      <w:r>
        <w:rPr>
          <w:noProof/>
        </w:rPr>
        <w:t>INFF</w:t>
      </w:r>
      <w:r>
        <w:rPr>
          <w:noProof/>
        </w:rPr>
        <w:tab/>
      </w:r>
      <w:r>
        <w:rPr>
          <w:noProof/>
        </w:rPr>
        <w:tab/>
        <w:t>Integrated National Financing Framework</w:t>
      </w:r>
    </w:p>
    <w:p w14:paraId="333DD252" w14:textId="77777777" w:rsidR="000E4CA5" w:rsidRDefault="000E4CA5" w:rsidP="00EC12B4">
      <w:pPr>
        <w:spacing w:after="0" w:line="276" w:lineRule="auto"/>
        <w:rPr>
          <w:noProof/>
        </w:rPr>
      </w:pPr>
      <w:r>
        <w:t>IOAs</w:t>
      </w:r>
      <w:r>
        <w:tab/>
      </w:r>
      <w:r>
        <w:tab/>
      </w:r>
      <w:r w:rsidRPr="00B315CB">
        <w:t>Investment Opportunity Areas</w:t>
      </w:r>
    </w:p>
    <w:p w14:paraId="65BA6383" w14:textId="77777777" w:rsidR="000E4CA5" w:rsidRDefault="000E4CA5" w:rsidP="00EC12B4">
      <w:pPr>
        <w:spacing w:after="0" w:line="276" w:lineRule="auto"/>
        <w:rPr>
          <w:noProof/>
        </w:rPr>
      </w:pPr>
      <w:r>
        <w:rPr>
          <w:noProof/>
        </w:rPr>
        <w:t>NDS</w:t>
      </w:r>
      <w:r>
        <w:rPr>
          <w:noProof/>
        </w:rPr>
        <w:tab/>
      </w:r>
      <w:r>
        <w:rPr>
          <w:noProof/>
        </w:rPr>
        <w:tab/>
        <w:t>National Development Strategy</w:t>
      </w:r>
    </w:p>
    <w:p w14:paraId="3A887C9F" w14:textId="77777777" w:rsidR="000E4CA5" w:rsidRDefault="000E4CA5" w:rsidP="00EC12B4">
      <w:pPr>
        <w:spacing w:after="0" w:line="276" w:lineRule="auto"/>
        <w:rPr>
          <w:noProof/>
        </w:rPr>
      </w:pPr>
      <w:r>
        <w:rPr>
          <w:noProof/>
        </w:rPr>
        <w:t>SDCF</w:t>
      </w:r>
      <w:r>
        <w:rPr>
          <w:noProof/>
        </w:rPr>
        <w:tab/>
      </w:r>
      <w:r>
        <w:rPr>
          <w:noProof/>
        </w:rPr>
        <w:tab/>
        <w:t>Sustainable Development Cooperation Framework</w:t>
      </w:r>
    </w:p>
    <w:p w14:paraId="2121A60C" w14:textId="77777777" w:rsidR="000E4CA5" w:rsidRDefault="000E4CA5" w:rsidP="00EC12B4">
      <w:pPr>
        <w:spacing w:after="0" w:line="276" w:lineRule="auto"/>
        <w:rPr>
          <w:noProof/>
        </w:rPr>
      </w:pPr>
      <w:r>
        <w:rPr>
          <w:noProof/>
        </w:rPr>
        <w:t>SDGs</w:t>
      </w:r>
      <w:r>
        <w:rPr>
          <w:noProof/>
        </w:rPr>
        <w:tab/>
      </w:r>
      <w:r>
        <w:rPr>
          <w:noProof/>
        </w:rPr>
        <w:tab/>
        <w:t>Sustainable Development Goals</w:t>
      </w:r>
    </w:p>
    <w:p w14:paraId="22EBDC60" w14:textId="77777777" w:rsidR="000E4CA5" w:rsidRDefault="000E4CA5" w:rsidP="00EC12B4">
      <w:pPr>
        <w:spacing w:after="0" w:line="276" w:lineRule="auto"/>
        <w:rPr>
          <w:noProof/>
        </w:rPr>
      </w:pPr>
      <w:r>
        <w:rPr>
          <w:noProof/>
        </w:rPr>
        <w:t>SFP</w:t>
      </w:r>
      <w:r>
        <w:rPr>
          <w:noProof/>
        </w:rPr>
        <w:tab/>
      </w:r>
      <w:r>
        <w:rPr>
          <w:noProof/>
        </w:rPr>
        <w:tab/>
        <w:t>Smart Fiscal Planning</w:t>
      </w:r>
    </w:p>
    <w:p w14:paraId="4D720353" w14:textId="77777777" w:rsidR="000E4CA5" w:rsidRDefault="000E4CA5" w:rsidP="00EC12B4">
      <w:pPr>
        <w:spacing w:after="0" w:line="276" w:lineRule="auto"/>
        <w:rPr>
          <w:noProof/>
        </w:rPr>
      </w:pPr>
      <w:r>
        <w:rPr>
          <w:noProof/>
        </w:rPr>
        <w:t>SPVs</w:t>
      </w:r>
      <w:r>
        <w:rPr>
          <w:noProof/>
        </w:rPr>
        <w:tab/>
      </w:r>
      <w:r>
        <w:rPr>
          <w:noProof/>
        </w:rPr>
        <w:tab/>
      </w:r>
      <w:r w:rsidRPr="00592E0C">
        <w:rPr>
          <w:noProof/>
        </w:rPr>
        <w:t>Special Purpose Vehicles</w:t>
      </w:r>
    </w:p>
    <w:p w14:paraId="29F666B0" w14:textId="77777777" w:rsidR="000E4CA5" w:rsidRDefault="000E4CA5" w:rsidP="00EC12B4">
      <w:pPr>
        <w:spacing w:after="0" w:line="276" w:lineRule="auto"/>
        <w:rPr>
          <w:noProof/>
        </w:rPr>
      </w:pPr>
      <w:r>
        <w:rPr>
          <w:noProof/>
        </w:rPr>
        <w:t>Tax4SDGs</w:t>
      </w:r>
      <w:r>
        <w:rPr>
          <w:noProof/>
        </w:rPr>
        <w:tab/>
        <w:t>Taxes for Sustainable Development Goals</w:t>
      </w:r>
    </w:p>
    <w:p w14:paraId="6CCE381D" w14:textId="77777777" w:rsidR="000E4CA5" w:rsidRDefault="000E4CA5" w:rsidP="00EC12B4">
      <w:pPr>
        <w:spacing w:after="0" w:line="276" w:lineRule="auto"/>
        <w:rPr>
          <w:noProof/>
        </w:rPr>
      </w:pPr>
      <w:r>
        <w:rPr>
          <w:noProof/>
        </w:rPr>
        <w:t>Tech4SDG</w:t>
      </w:r>
      <w:r>
        <w:rPr>
          <w:noProof/>
        </w:rPr>
        <w:tab/>
        <w:t>Technology for Sustainable Development Goals</w:t>
      </w:r>
    </w:p>
    <w:p w14:paraId="3E4BA9FF" w14:textId="77777777" w:rsidR="000E4CA5" w:rsidRDefault="000E4CA5" w:rsidP="00EC12B4">
      <w:pPr>
        <w:spacing w:after="0" w:line="276" w:lineRule="auto"/>
        <w:rPr>
          <w:noProof/>
        </w:rPr>
      </w:pPr>
      <w:r>
        <w:rPr>
          <w:noProof/>
        </w:rPr>
        <w:t>UN</w:t>
      </w:r>
      <w:r>
        <w:rPr>
          <w:noProof/>
        </w:rPr>
        <w:tab/>
      </w:r>
      <w:r>
        <w:rPr>
          <w:noProof/>
        </w:rPr>
        <w:tab/>
        <w:t>United Nations</w:t>
      </w:r>
    </w:p>
    <w:p w14:paraId="77C5600B" w14:textId="77777777" w:rsidR="000E4CA5" w:rsidRDefault="000E4CA5" w:rsidP="00EC12B4">
      <w:pPr>
        <w:spacing w:after="0" w:line="276" w:lineRule="auto"/>
        <w:rPr>
          <w:noProof/>
        </w:rPr>
      </w:pPr>
      <w:r>
        <w:rPr>
          <w:noProof/>
        </w:rPr>
        <w:t>UNCDP</w:t>
      </w:r>
      <w:r>
        <w:rPr>
          <w:noProof/>
        </w:rPr>
        <w:tab/>
      </w:r>
      <w:r>
        <w:rPr>
          <w:noProof/>
        </w:rPr>
        <w:tab/>
        <w:t>United Nations Capital Development Fund</w:t>
      </w:r>
    </w:p>
    <w:p w14:paraId="6A027FFA" w14:textId="77777777" w:rsidR="000E4CA5" w:rsidRDefault="000E4CA5" w:rsidP="00EC12B4">
      <w:pPr>
        <w:spacing w:after="0" w:line="276" w:lineRule="auto"/>
        <w:rPr>
          <w:noProof/>
        </w:rPr>
      </w:pPr>
      <w:r>
        <w:rPr>
          <w:noProof/>
        </w:rPr>
        <w:t>UNDP</w:t>
      </w:r>
      <w:r>
        <w:rPr>
          <w:noProof/>
        </w:rPr>
        <w:tab/>
      </w:r>
      <w:r>
        <w:rPr>
          <w:noProof/>
        </w:rPr>
        <w:tab/>
        <w:t>United Nations Development Programme</w:t>
      </w:r>
    </w:p>
    <w:p w14:paraId="7CF48EEE" w14:textId="77777777" w:rsidR="000E4CA5" w:rsidRDefault="000E4CA5" w:rsidP="00EC12B4">
      <w:pPr>
        <w:spacing w:after="0" w:line="276" w:lineRule="auto"/>
        <w:rPr>
          <w:noProof/>
        </w:rPr>
      </w:pPr>
      <w:r>
        <w:rPr>
          <w:noProof/>
        </w:rPr>
        <w:t>VLR</w:t>
      </w:r>
      <w:r>
        <w:rPr>
          <w:noProof/>
        </w:rPr>
        <w:tab/>
      </w:r>
      <w:r>
        <w:rPr>
          <w:noProof/>
        </w:rPr>
        <w:tab/>
        <w:t>Voluntary Local Review</w:t>
      </w:r>
    </w:p>
    <w:p w14:paraId="4D1C3CFE" w14:textId="77777777" w:rsidR="000E4CA5" w:rsidRDefault="000E4CA5" w:rsidP="00EC12B4">
      <w:pPr>
        <w:spacing w:after="0" w:line="276" w:lineRule="auto"/>
        <w:rPr>
          <w:noProof/>
        </w:rPr>
      </w:pPr>
      <w:r>
        <w:rPr>
          <w:noProof/>
        </w:rPr>
        <w:t>VNR</w:t>
      </w:r>
      <w:r>
        <w:rPr>
          <w:noProof/>
        </w:rPr>
        <w:tab/>
      </w:r>
      <w:r>
        <w:rPr>
          <w:noProof/>
        </w:rPr>
        <w:tab/>
        <w:t>Voluntary National Review</w:t>
      </w:r>
    </w:p>
    <w:p w14:paraId="4F5CB1EA" w14:textId="77777777" w:rsidR="000E4CA5" w:rsidRDefault="000E4CA5" w:rsidP="00EC12B4">
      <w:pPr>
        <w:spacing w:after="0" w:line="276" w:lineRule="auto"/>
        <w:rPr>
          <w:noProof/>
        </w:rPr>
      </w:pPr>
      <w:r>
        <w:rPr>
          <w:noProof/>
        </w:rPr>
        <w:t>WHO</w:t>
      </w:r>
      <w:r>
        <w:rPr>
          <w:noProof/>
        </w:rPr>
        <w:tab/>
      </w:r>
      <w:r>
        <w:rPr>
          <w:noProof/>
        </w:rPr>
        <w:tab/>
        <w:t>World Health Organization</w:t>
      </w:r>
    </w:p>
    <w:p w14:paraId="54436979" w14:textId="77777777" w:rsidR="00774536" w:rsidRDefault="00774536" w:rsidP="00EC12B4">
      <w:pPr>
        <w:spacing w:after="0" w:line="276" w:lineRule="auto"/>
        <w:rPr>
          <w:noProof/>
        </w:rPr>
      </w:pPr>
    </w:p>
    <w:p w14:paraId="4910C10A" w14:textId="77777777" w:rsidR="00EB7054" w:rsidRDefault="00EB7054" w:rsidP="002936A9">
      <w:pPr>
        <w:spacing w:after="0" w:line="240" w:lineRule="auto"/>
        <w:rPr>
          <w:noProof/>
        </w:rPr>
      </w:pPr>
    </w:p>
    <w:p w14:paraId="082816E1" w14:textId="77777777" w:rsidR="002936A9" w:rsidRDefault="002936A9" w:rsidP="00EC12B4">
      <w:pPr>
        <w:spacing w:after="0" w:line="240" w:lineRule="auto"/>
        <w:rPr>
          <w:noProof/>
        </w:rPr>
      </w:pPr>
    </w:p>
    <w:p w14:paraId="7DC9EB0B" w14:textId="77777777" w:rsidR="001F1010" w:rsidRDefault="000507C3" w:rsidP="004849C5">
      <w:pPr>
        <w:pStyle w:val="Heading1"/>
        <w:rPr>
          <w:noProof/>
        </w:rPr>
      </w:pPr>
      <w:bookmarkStart w:id="1" w:name="_Toc157427533"/>
      <w:r>
        <w:rPr>
          <w:noProof/>
        </w:rPr>
        <w:t>List of Figures</w:t>
      </w:r>
      <w:bookmarkEnd w:id="1"/>
    </w:p>
    <w:p w14:paraId="1DB34D46" w14:textId="77777777" w:rsidR="001F1010" w:rsidRDefault="001F1010">
      <w:pPr>
        <w:pStyle w:val="TableofFigures"/>
        <w:tabs>
          <w:tab w:val="right" w:leader="dot" w:pos="9350"/>
        </w:tabs>
        <w:rPr>
          <w:noProof/>
        </w:rPr>
      </w:pPr>
    </w:p>
    <w:p w14:paraId="57ADBDF4" w14:textId="0119EFA5" w:rsidR="002768F0" w:rsidRDefault="00001A9F">
      <w:pPr>
        <w:pStyle w:val="TableofFigures"/>
        <w:tabs>
          <w:tab w:val="right" w:leader="dot" w:pos="9350"/>
        </w:tabs>
        <w:rPr>
          <w:rFonts w:eastAsiaTheme="minorEastAsia"/>
          <w:noProof/>
          <w:kern w:val="2"/>
          <w:lang w:val="en-US"/>
          <w14:ligatures w14:val="standardContextual"/>
        </w:rPr>
      </w:pPr>
      <w:r w:rsidRPr="00C56601">
        <w:rPr>
          <w:rFonts w:asciiTheme="majorHAnsi" w:eastAsiaTheme="majorEastAsia" w:hAnsiTheme="majorHAnsi" w:cstheme="majorBidi"/>
          <w:noProof/>
          <w:color w:val="0B5294" w:themeColor="accent1" w:themeShade="BF"/>
          <w:sz w:val="32"/>
          <w:szCs w:val="32"/>
        </w:rPr>
        <w:fldChar w:fldCharType="begin"/>
      </w:r>
      <w:r w:rsidRPr="00C56601">
        <w:rPr>
          <w:noProof/>
        </w:rPr>
        <w:instrText xml:space="preserve"> TOC \h \z \c "Figure" </w:instrText>
      </w:r>
      <w:r w:rsidRPr="00C56601">
        <w:rPr>
          <w:rFonts w:asciiTheme="majorHAnsi" w:eastAsiaTheme="majorEastAsia" w:hAnsiTheme="majorHAnsi" w:cstheme="majorBidi"/>
          <w:noProof/>
          <w:color w:val="0B5294" w:themeColor="accent1" w:themeShade="BF"/>
          <w:sz w:val="32"/>
          <w:szCs w:val="32"/>
        </w:rPr>
        <w:fldChar w:fldCharType="separate"/>
      </w:r>
      <w:hyperlink w:anchor="_Toc157427576" w:history="1">
        <w:r w:rsidR="002768F0" w:rsidRPr="00C263CC">
          <w:rPr>
            <w:rStyle w:val="Hyperlink"/>
            <w:noProof/>
          </w:rPr>
          <w:t>Figure 1. The UNDP Strategic Plan Illustrated</w:t>
        </w:r>
        <w:r w:rsidR="002768F0">
          <w:rPr>
            <w:noProof/>
            <w:webHidden/>
          </w:rPr>
          <w:tab/>
        </w:r>
        <w:r w:rsidR="002768F0">
          <w:rPr>
            <w:noProof/>
            <w:webHidden/>
          </w:rPr>
          <w:fldChar w:fldCharType="begin"/>
        </w:r>
        <w:r w:rsidR="002768F0">
          <w:rPr>
            <w:noProof/>
            <w:webHidden/>
          </w:rPr>
          <w:instrText xml:space="preserve"> PAGEREF _Toc157427576 \h </w:instrText>
        </w:r>
        <w:r w:rsidR="002768F0">
          <w:rPr>
            <w:noProof/>
            <w:webHidden/>
          </w:rPr>
        </w:r>
        <w:r w:rsidR="002768F0">
          <w:rPr>
            <w:noProof/>
            <w:webHidden/>
          </w:rPr>
          <w:fldChar w:fldCharType="separate"/>
        </w:r>
        <w:r w:rsidR="002768F0">
          <w:rPr>
            <w:noProof/>
            <w:webHidden/>
          </w:rPr>
          <w:t>8</w:t>
        </w:r>
        <w:r w:rsidR="002768F0">
          <w:rPr>
            <w:noProof/>
            <w:webHidden/>
          </w:rPr>
          <w:fldChar w:fldCharType="end"/>
        </w:r>
      </w:hyperlink>
    </w:p>
    <w:p w14:paraId="3F5D156E" w14:textId="78AB5FC3" w:rsidR="002768F0" w:rsidRDefault="00000000">
      <w:pPr>
        <w:pStyle w:val="TableofFigures"/>
        <w:tabs>
          <w:tab w:val="right" w:leader="dot" w:pos="9350"/>
        </w:tabs>
        <w:rPr>
          <w:rFonts w:eastAsiaTheme="minorEastAsia"/>
          <w:noProof/>
          <w:kern w:val="2"/>
          <w:lang w:val="en-US"/>
          <w14:ligatures w14:val="standardContextual"/>
        </w:rPr>
      </w:pPr>
      <w:hyperlink w:anchor="_Toc157427577" w:history="1">
        <w:r w:rsidR="002768F0" w:rsidRPr="00C263CC">
          <w:rPr>
            <w:rStyle w:val="Hyperlink"/>
            <w:noProof/>
          </w:rPr>
          <w:t>Figure 2. The importance of different SDGs in key strategic documents</w:t>
        </w:r>
        <w:r w:rsidR="002768F0">
          <w:rPr>
            <w:noProof/>
            <w:webHidden/>
          </w:rPr>
          <w:tab/>
        </w:r>
        <w:r w:rsidR="002768F0">
          <w:rPr>
            <w:noProof/>
            <w:webHidden/>
          </w:rPr>
          <w:fldChar w:fldCharType="begin"/>
        </w:r>
        <w:r w:rsidR="002768F0">
          <w:rPr>
            <w:noProof/>
            <w:webHidden/>
          </w:rPr>
          <w:instrText xml:space="preserve"> PAGEREF _Toc157427577 \h </w:instrText>
        </w:r>
        <w:r w:rsidR="002768F0">
          <w:rPr>
            <w:noProof/>
            <w:webHidden/>
          </w:rPr>
        </w:r>
        <w:r w:rsidR="002768F0">
          <w:rPr>
            <w:noProof/>
            <w:webHidden/>
          </w:rPr>
          <w:fldChar w:fldCharType="separate"/>
        </w:r>
        <w:r w:rsidR="002768F0">
          <w:rPr>
            <w:noProof/>
            <w:webHidden/>
          </w:rPr>
          <w:t>10</w:t>
        </w:r>
        <w:r w:rsidR="002768F0">
          <w:rPr>
            <w:noProof/>
            <w:webHidden/>
          </w:rPr>
          <w:fldChar w:fldCharType="end"/>
        </w:r>
      </w:hyperlink>
    </w:p>
    <w:p w14:paraId="710BE3FE" w14:textId="5C878744" w:rsidR="002768F0" w:rsidRDefault="00000000">
      <w:pPr>
        <w:pStyle w:val="TableofFigures"/>
        <w:tabs>
          <w:tab w:val="right" w:leader="dot" w:pos="9350"/>
        </w:tabs>
        <w:rPr>
          <w:rFonts w:eastAsiaTheme="minorEastAsia"/>
          <w:noProof/>
          <w:kern w:val="2"/>
          <w:lang w:val="en-US"/>
          <w14:ligatures w14:val="standardContextual"/>
        </w:rPr>
      </w:pPr>
      <w:hyperlink w:anchor="_Toc157427578" w:history="1">
        <w:r w:rsidR="002768F0" w:rsidRPr="00C263CC">
          <w:rPr>
            <w:rStyle w:val="Hyperlink"/>
            <w:noProof/>
          </w:rPr>
          <w:t>Figure 3. Interlinkages between EU negotiating chapters and SDGs</w:t>
        </w:r>
        <w:r w:rsidR="002768F0">
          <w:rPr>
            <w:noProof/>
            <w:webHidden/>
          </w:rPr>
          <w:tab/>
        </w:r>
        <w:r w:rsidR="002768F0">
          <w:rPr>
            <w:noProof/>
            <w:webHidden/>
          </w:rPr>
          <w:fldChar w:fldCharType="begin"/>
        </w:r>
        <w:r w:rsidR="002768F0">
          <w:rPr>
            <w:noProof/>
            <w:webHidden/>
          </w:rPr>
          <w:instrText xml:space="preserve"> PAGEREF _Toc157427578 \h </w:instrText>
        </w:r>
        <w:r w:rsidR="002768F0">
          <w:rPr>
            <w:noProof/>
            <w:webHidden/>
          </w:rPr>
        </w:r>
        <w:r w:rsidR="002768F0">
          <w:rPr>
            <w:noProof/>
            <w:webHidden/>
          </w:rPr>
          <w:fldChar w:fldCharType="separate"/>
        </w:r>
        <w:r w:rsidR="002768F0">
          <w:rPr>
            <w:noProof/>
            <w:webHidden/>
          </w:rPr>
          <w:t>11</w:t>
        </w:r>
        <w:r w:rsidR="002768F0">
          <w:rPr>
            <w:noProof/>
            <w:webHidden/>
          </w:rPr>
          <w:fldChar w:fldCharType="end"/>
        </w:r>
      </w:hyperlink>
    </w:p>
    <w:p w14:paraId="7036689A" w14:textId="15AE62CC" w:rsidR="002768F0" w:rsidRDefault="00000000">
      <w:pPr>
        <w:pStyle w:val="TableofFigures"/>
        <w:tabs>
          <w:tab w:val="right" w:leader="dot" w:pos="9350"/>
        </w:tabs>
        <w:rPr>
          <w:rFonts w:eastAsiaTheme="minorEastAsia"/>
          <w:noProof/>
          <w:kern w:val="2"/>
          <w:lang w:val="en-US"/>
          <w14:ligatures w14:val="standardContextual"/>
        </w:rPr>
      </w:pPr>
      <w:hyperlink w:anchor="_Toc157427579" w:history="1">
        <w:r w:rsidR="002768F0" w:rsidRPr="00C263CC">
          <w:rPr>
            <w:rStyle w:val="Hyperlink"/>
            <w:noProof/>
          </w:rPr>
          <w:t>Figure 4. Obstacles for implementing SDG finance approaches.</w:t>
        </w:r>
        <w:r w:rsidR="002768F0">
          <w:rPr>
            <w:noProof/>
            <w:webHidden/>
          </w:rPr>
          <w:tab/>
        </w:r>
        <w:r w:rsidR="002768F0">
          <w:rPr>
            <w:noProof/>
            <w:webHidden/>
          </w:rPr>
          <w:fldChar w:fldCharType="begin"/>
        </w:r>
        <w:r w:rsidR="002768F0">
          <w:rPr>
            <w:noProof/>
            <w:webHidden/>
          </w:rPr>
          <w:instrText xml:space="preserve"> PAGEREF _Toc157427579 \h </w:instrText>
        </w:r>
        <w:r w:rsidR="002768F0">
          <w:rPr>
            <w:noProof/>
            <w:webHidden/>
          </w:rPr>
        </w:r>
        <w:r w:rsidR="002768F0">
          <w:rPr>
            <w:noProof/>
            <w:webHidden/>
          </w:rPr>
          <w:fldChar w:fldCharType="separate"/>
        </w:r>
        <w:r w:rsidR="002768F0">
          <w:rPr>
            <w:noProof/>
            <w:webHidden/>
          </w:rPr>
          <w:t>13</w:t>
        </w:r>
        <w:r w:rsidR="002768F0">
          <w:rPr>
            <w:noProof/>
            <w:webHidden/>
          </w:rPr>
          <w:fldChar w:fldCharType="end"/>
        </w:r>
      </w:hyperlink>
    </w:p>
    <w:p w14:paraId="7257DA59" w14:textId="47323A83" w:rsidR="002768F0" w:rsidRDefault="00000000">
      <w:pPr>
        <w:pStyle w:val="TableofFigures"/>
        <w:tabs>
          <w:tab w:val="right" w:leader="dot" w:pos="9350"/>
        </w:tabs>
        <w:rPr>
          <w:rFonts w:eastAsiaTheme="minorEastAsia"/>
          <w:noProof/>
          <w:kern w:val="2"/>
          <w:lang w:val="en-US"/>
          <w14:ligatures w14:val="standardContextual"/>
        </w:rPr>
      </w:pPr>
      <w:hyperlink w:anchor="_Toc157427580" w:history="1">
        <w:r w:rsidR="002768F0" w:rsidRPr="00C263CC">
          <w:rPr>
            <w:rStyle w:val="Hyperlink"/>
            <w:noProof/>
          </w:rPr>
          <w:t>Figure 5. Progress assessment for the 17 Goals based on assessed targets, 2023 or latest data (percentage)</w:t>
        </w:r>
        <w:r w:rsidR="002768F0">
          <w:rPr>
            <w:noProof/>
            <w:webHidden/>
          </w:rPr>
          <w:tab/>
        </w:r>
        <w:r w:rsidR="002768F0">
          <w:rPr>
            <w:noProof/>
            <w:webHidden/>
          </w:rPr>
          <w:fldChar w:fldCharType="begin"/>
        </w:r>
        <w:r w:rsidR="002768F0">
          <w:rPr>
            <w:noProof/>
            <w:webHidden/>
          </w:rPr>
          <w:instrText xml:space="preserve"> PAGEREF _Toc157427580 \h </w:instrText>
        </w:r>
        <w:r w:rsidR="002768F0">
          <w:rPr>
            <w:noProof/>
            <w:webHidden/>
          </w:rPr>
        </w:r>
        <w:r w:rsidR="002768F0">
          <w:rPr>
            <w:noProof/>
            <w:webHidden/>
          </w:rPr>
          <w:fldChar w:fldCharType="separate"/>
        </w:r>
        <w:r w:rsidR="002768F0">
          <w:rPr>
            <w:noProof/>
            <w:webHidden/>
          </w:rPr>
          <w:t>14</w:t>
        </w:r>
        <w:r w:rsidR="002768F0">
          <w:rPr>
            <w:noProof/>
            <w:webHidden/>
          </w:rPr>
          <w:fldChar w:fldCharType="end"/>
        </w:r>
      </w:hyperlink>
    </w:p>
    <w:p w14:paraId="2F6072A8" w14:textId="6308D7A6" w:rsidR="002768F0" w:rsidRDefault="00000000">
      <w:pPr>
        <w:pStyle w:val="TableofFigures"/>
        <w:tabs>
          <w:tab w:val="right" w:leader="dot" w:pos="9350"/>
        </w:tabs>
        <w:rPr>
          <w:rFonts w:eastAsiaTheme="minorEastAsia"/>
          <w:noProof/>
          <w:kern w:val="2"/>
          <w:lang w:val="en-US"/>
          <w14:ligatures w14:val="standardContextual"/>
        </w:rPr>
      </w:pPr>
      <w:hyperlink w:anchor="_Toc157427581" w:history="1">
        <w:r w:rsidR="002768F0" w:rsidRPr="00C263CC">
          <w:rPr>
            <w:rStyle w:val="Hyperlink"/>
            <w:noProof/>
          </w:rPr>
          <w:t>Figure 6. Progress in Achieving the SDG Targets and Good Governance Indicators (EU-27 and Western Balkans, 2018-2022)</w:t>
        </w:r>
        <w:r w:rsidR="002768F0">
          <w:rPr>
            <w:noProof/>
            <w:webHidden/>
          </w:rPr>
          <w:tab/>
        </w:r>
        <w:r w:rsidR="002768F0">
          <w:rPr>
            <w:noProof/>
            <w:webHidden/>
          </w:rPr>
          <w:fldChar w:fldCharType="begin"/>
        </w:r>
        <w:r w:rsidR="002768F0">
          <w:rPr>
            <w:noProof/>
            <w:webHidden/>
          </w:rPr>
          <w:instrText xml:space="preserve"> PAGEREF _Toc157427581 \h </w:instrText>
        </w:r>
        <w:r w:rsidR="002768F0">
          <w:rPr>
            <w:noProof/>
            <w:webHidden/>
          </w:rPr>
        </w:r>
        <w:r w:rsidR="002768F0">
          <w:rPr>
            <w:noProof/>
            <w:webHidden/>
          </w:rPr>
          <w:fldChar w:fldCharType="separate"/>
        </w:r>
        <w:r w:rsidR="002768F0">
          <w:rPr>
            <w:noProof/>
            <w:webHidden/>
          </w:rPr>
          <w:t>16</w:t>
        </w:r>
        <w:r w:rsidR="002768F0">
          <w:rPr>
            <w:noProof/>
            <w:webHidden/>
          </w:rPr>
          <w:fldChar w:fldCharType="end"/>
        </w:r>
      </w:hyperlink>
    </w:p>
    <w:p w14:paraId="221B6748" w14:textId="668DA8C9" w:rsidR="002768F0" w:rsidRDefault="00000000">
      <w:pPr>
        <w:pStyle w:val="TableofFigures"/>
        <w:tabs>
          <w:tab w:val="right" w:leader="dot" w:pos="9350"/>
        </w:tabs>
        <w:rPr>
          <w:rFonts w:eastAsiaTheme="minorEastAsia"/>
          <w:noProof/>
          <w:kern w:val="2"/>
          <w:lang w:val="en-US"/>
          <w14:ligatures w14:val="standardContextual"/>
        </w:rPr>
      </w:pPr>
      <w:hyperlink w:anchor="_Toc157427582" w:history="1">
        <w:r w:rsidR="002768F0" w:rsidRPr="00C263CC">
          <w:rPr>
            <w:rStyle w:val="Hyperlink"/>
            <w:noProof/>
          </w:rPr>
          <w:t>Figure 7. Status of SDG targets by Europe sub-region (percent trend indicators)</w:t>
        </w:r>
        <w:r w:rsidR="002768F0">
          <w:rPr>
            <w:noProof/>
            <w:webHidden/>
          </w:rPr>
          <w:tab/>
        </w:r>
        <w:r w:rsidR="002768F0">
          <w:rPr>
            <w:noProof/>
            <w:webHidden/>
          </w:rPr>
          <w:fldChar w:fldCharType="begin"/>
        </w:r>
        <w:r w:rsidR="002768F0">
          <w:rPr>
            <w:noProof/>
            <w:webHidden/>
          </w:rPr>
          <w:instrText xml:space="preserve"> PAGEREF _Toc157427582 \h </w:instrText>
        </w:r>
        <w:r w:rsidR="002768F0">
          <w:rPr>
            <w:noProof/>
            <w:webHidden/>
          </w:rPr>
        </w:r>
        <w:r w:rsidR="002768F0">
          <w:rPr>
            <w:noProof/>
            <w:webHidden/>
          </w:rPr>
          <w:fldChar w:fldCharType="separate"/>
        </w:r>
        <w:r w:rsidR="002768F0">
          <w:rPr>
            <w:noProof/>
            <w:webHidden/>
          </w:rPr>
          <w:t>25</w:t>
        </w:r>
        <w:r w:rsidR="002768F0">
          <w:rPr>
            <w:noProof/>
            <w:webHidden/>
          </w:rPr>
          <w:fldChar w:fldCharType="end"/>
        </w:r>
      </w:hyperlink>
    </w:p>
    <w:p w14:paraId="1055FD3E" w14:textId="7675BCDC" w:rsidR="002768F0" w:rsidRDefault="00000000">
      <w:pPr>
        <w:pStyle w:val="TableofFigures"/>
        <w:tabs>
          <w:tab w:val="right" w:leader="dot" w:pos="9350"/>
        </w:tabs>
        <w:rPr>
          <w:rFonts w:eastAsiaTheme="minorEastAsia"/>
          <w:noProof/>
          <w:kern w:val="2"/>
          <w:lang w:val="en-US"/>
          <w14:ligatures w14:val="standardContextual"/>
        </w:rPr>
      </w:pPr>
      <w:hyperlink w:anchor="_Toc157427583" w:history="1">
        <w:r w:rsidR="002768F0" w:rsidRPr="00C263CC">
          <w:rPr>
            <w:rStyle w:val="Hyperlink"/>
            <w:noProof/>
          </w:rPr>
          <w:t>Figure 8. Shares of green loans in the banking system, December 2019 – March 2023</w:t>
        </w:r>
        <w:r w:rsidR="002768F0">
          <w:rPr>
            <w:noProof/>
            <w:webHidden/>
          </w:rPr>
          <w:tab/>
        </w:r>
        <w:r w:rsidR="002768F0">
          <w:rPr>
            <w:noProof/>
            <w:webHidden/>
          </w:rPr>
          <w:fldChar w:fldCharType="begin"/>
        </w:r>
        <w:r w:rsidR="002768F0">
          <w:rPr>
            <w:noProof/>
            <w:webHidden/>
          </w:rPr>
          <w:instrText xml:space="preserve"> PAGEREF _Toc157427583 \h </w:instrText>
        </w:r>
        <w:r w:rsidR="002768F0">
          <w:rPr>
            <w:noProof/>
            <w:webHidden/>
          </w:rPr>
        </w:r>
        <w:r w:rsidR="002768F0">
          <w:rPr>
            <w:noProof/>
            <w:webHidden/>
          </w:rPr>
          <w:fldChar w:fldCharType="separate"/>
        </w:r>
        <w:r w:rsidR="002768F0">
          <w:rPr>
            <w:noProof/>
            <w:webHidden/>
          </w:rPr>
          <w:t>35</w:t>
        </w:r>
        <w:r w:rsidR="002768F0">
          <w:rPr>
            <w:noProof/>
            <w:webHidden/>
          </w:rPr>
          <w:fldChar w:fldCharType="end"/>
        </w:r>
      </w:hyperlink>
    </w:p>
    <w:p w14:paraId="4DE0DCF5" w14:textId="18B83932" w:rsidR="002768F0" w:rsidRDefault="00000000">
      <w:pPr>
        <w:pStyle w:val="TableofFigures"/>
        <w:tabs>
          <w:tab w:val="right" w:leader="dot" w:pos="9350"/>
        </w:tabs>
        <w:rPr>
          <w:rFonts w:eastAsiaTheme="minorEastAsia"/>
          <w:noProof/>
          <w:kern w:val="2"/>
          <w:lang w:val="en-US"/>
          <w14:ligatures w14:val="standardContextual"/>
        </w:rPr>
      </w:pPr>
      <w:hyperlink w:anchor="_Toc157427584" w:history="1">
        <w:r w:rsidR="002768F0" w:rsidRPr="00C263CC">
          <w:rPr>
            <w:rStyle w:val="Hyperlink"/>
            <w:noProof/>
          </w:rPr>
          <w:t>Figure 9. Proposed Integrated National Financing Framework</w:t>
        </w:r>
        <w:r w:rsidR="002768F0">
          <w:rPr>
            <w:noProof/>
            <w:webHidden/>
          </w:rPr>
          <w:tab/>
        </w:r>
        <w:r w:rsidR="002768F0">
          <w:rPr>
            <w:noProof/>
            <w:webHidden/>
          </w:rPr>
          <w:fldChar w:fldCharType="begin"/>
        </w:r>
        <w:r w:rsidR="002768F0">
          <w:rPr>
            <w:noProof/>
            <w:webHidden/>
          </w:rPr>
          <w:instrText xml:space="preserve"> PAGEREF _Toc157427584 \h </w:instrText>
        </w:r>
        <w:r w:rsidR="002768F0">
          <w:rPr>
            <w:noProof/>
            <w:webHidden/>
          </w:rPr>
        </w:r>
        <w:r w:rsidR="002768F0">
          <w:rPr>
            <w:noProof/>
            <w:webHidden/>
          </w:rPr>
          <w:fldChar w:fldCharType="separate"/>
        </w:r>
        <w:r w:rsidR="002768F0">
          <w:rPr>
            <w:noProof/>
            <w:webHidden/>
          </w:rPr>
          <w:t>46</w:t>
        </w:r>
        <w:r w:rsidR="002768F0">
          <w:rPr>
            <w:noProof/>
            <w:webHidden/>
          </w:rPr>
          <w:fldChar w:fldCharType="end"/>
        </w:r>
      </w:hyperlink>
    </w:p>
    <w:p w14:paraId="12C149CA" w14:textId="46898E00" w:rsidR="00001A9F" w:rsidRPr="00C56601" w:rsidRDefault="00001A9F">
      <w:pPr>
        <w:rPr>
          <w:b/>
          <w:bCs/>
          <w:noProof/>
        </w:rPr>
      </w:pPr>
      <w:r w:rsidRPr="00C56601">
        <w:rPr>
          <w:b/>
          <w:bCs/>
          <w:noProof/>
        </w:rPr>
        <w:fldChar w:fldCharType="end"/>
      </w:r>
    </w:p>
    <w:p w14:paraId="7F8174B5" w14:textId="49677487" w:rsidR="00001A9F" w:rsidRPr="00C56601" w:rsidRDefault="00001A9F" w:rsidP="00001A9F">
      <w:pPr>
        <w:pStyle w:val="Heading1"/>
        <w:rPr>
          <w:noProof/>
        </w:rPr>
      </w:pPr>
      <w:bookmarkStart w:id="2" w:name="_Toc157427534"/>
      <w:r w:rsidRPr="00C56601">
        <w:rPr>
          <w:noProof/>
        </w:rPr>
        <w:t>List of Tables</w:t>
      </w:r>
      <w:bookmarkEnd w:id="2"/>
    </w:p>
    <w:p w14:paraId="1AC15630" w14:textId="432E7DA2" w:rsidR="002768F0" w:rsidRDefault="00001A9F">
      <w:pPr>
        <w:pStyle w:val="TableofFigures"/>
        <w:tabs>
          <w:tab w:val="right" w:leader="dot" w:pos="9350"/>
        </w:tabs>
        <w:rPr>
          <w:rFonts w:eastAsiaTheme="minorEastAsia"/>
          <w:noProof/>
          <w:kern w:val="2"/>
          <w:lang w:val="en-US"/>
          <w14:ligatures w14:val="standardContextual"/>
        </w:rPr>
      </w:pPr>
      <w:r w:rsidRPr="00C56601">
        <w:fldChar w:fldCharType="begin"/>
      </w:r>
      <w:r w:rsidRPr="00C56601">
        <w:instrText xml:space="preserve"> TOC \h \z \c "Table" </w:instrText>
      </w:r>
      <w:r w:rsidRPr="00C56601">
        <w:fldChar w:fldCharType="separate"/>
      </w:r>
      <w:hyperlink w:anchor="_Toc157427509" w:history="1">
        <w:r w:rsidR="002768F0" w:rsidRPr="00B37F45">
          <w:rPr>
            <w:rStyle w:val="Hyperlink"/>
            <w:noProof/>
          </w:rPr>
          <w:t>Table 1. Key factors and associated risks</w:t>
        </w:r>
        <w:r w:rsidR="002768F0">
          <w:rPr>
            <w:noProof/>
            <w:webHidden/>
          </w:rPr>
          <w:tab/>
        </w:r>
        <w:r w:rsidR="002768F0">
          <w:rPr>
            <w:noProof/>
            <w:webHidden/>
          </w:rPr>
          <w:fldChar w:fldCharType="begin"/>
        </w:r>
        <w:r w:rsidR="002768F0">
          <w:rPr>
            <w:noProof/>
            <w:webHidden/>
          </w:rPr>
          <w:instrText xml:space="preserve"> PAGEREF _Toc157427509 \h </w:instrText>
        </w:r>
        <w:r w:rsidR="002768F0">
          <w:rPr>
            <w:noProof/>
            <w:webHidden/>
          </w:rPr>
        </w:r>
        <w:r w:rsidR="002768F0">
          <w:rPr>
            <w:noProof/>
            <w:webHidden/>
          </w:rPr>
          <w:fldChar w:fldCharType="separate"/>
        </w:r>
        <w:r w:rsidR="002768F0">
          <w:rPr>
            <w:noProof/>
            <w:webHidden/>
          </w:rPr>
          <w:t>7</w:t>
        </w:r>
        <w:r w:rsidR="002768F0">
          <w:rPr>
            <w:noProof/>
            <w:webHidden/>
          </w:rPr>
          <w:fldChar w:fldCharType="end"/>
        </w:r>
      </w:hyperlink>
    </w:p>
    <w:p w14:paraId="06142DEF" w14:textId="3C86C0F6" w:rsidR="002768F0" w:rsidRDefault="00000000">
      <w:pPr>
        <w:pStyle w:val="TableofFigures"/>
        <w:tabs>
          <w:tab w:val="right" w:leader="dot" w:pos="9350"/>
        </w:tabs>
        <w:rPr>
          <w:rFonts w:eastAsiaTheme="minorEastAsia"/>
          <w:noProof/>
          <w:kern w:val="2"/>
          <w:lang w:val="en-US"/>
          <w14:ligatures w14:val="standardContextual"/>
        </w:rPr>
      </w:pPr>
      <w:hyperlink w:anchor="_Toc157427510" w:history="1">
        <w:r w:rsidR="002768F0" w:rsidRPr="00B37F45">
          <w:rPr>
            <w:rStyle w:val="Hyperlink"/>
            <w:noProof/>
          </w:rPr>
          <w:t>Table 2. Better SDG Alignment and Leverage (in USD Billion)</w:t>
        </w:r>
        <w:r w:rsidR="002768F0">
          <w:rPr>
            <w:noProof/>
            <w:webHidden/>
          </w:rPr>
          <w:tab/>
        </w:r>
        <w:r w:rsidR="002768F0">
          <w:rPr>
            <w:noProof/>
            <w:webHidden/>
          </w:rPr>
          <w:fldChar w:fldCharType="begin"/>
        </w:r>
        <w:r w:rsidR="002768F0">
          <w:rPr>
            <w:noProof/>
            <w:webHidden/>
          </w:rPr>
          <w:instrText xml:space="preserve"> PAGEREF _Toc157427510 \h </w:instrText>
        </w:r>
        <w:r w:rsidR="002768F0">
          <w:rPr>
            <w:noProof/>
            <w:webHidden/>
          </w:rPr>
        </w:r>
        <w:r w:rsidR="002768F0">
          <w:rPr>
            <w:noProof/>
            <w:webHidden/>
          </w:rPr>
          <w:fldChar w:fldCharType="separate"/>
        </w:r>
        <w:r w:rsidR="002768F0">
          <w:rPr>
            <w:noProof/>
            <w:webHidden/>
          </w:rPr>
          <w:t>25</w:t>
        </w:r>
        <w:r w:rsidR="002768F0">
          <w:rPr>
            <w:noProof/>
            <w:webHidden/>
          </w:rPr>
          <w:fldChar w:fldCharType="end"/>
        </w:r>
      </w:hyperlink>
    </w:p>
    <w:p w14:paraId="4F32E0AC" w14:textId="0F149913" w:rsidR="002768F0" w:rsidRDefault="00000000">
      <w:pPr>
        <w:pStyle w:val="TableofFigures"/>
        <w:tabs>
          <w:tab w:val="right" w:leader="dot" w:pos="9350"/>
        </w:tabs>
        <w:rPr>
          <w:rFonts w:eastAsiaTheme="minorEastAsia"/>
          <w:noProof/>
          <w:kern w:val="2"/>
          <w:lang w:val="en-US"/>
          <w14:ligatures w14:val="standardContextual"/>
        </w:rPr>
      </w:pPr>
      <w:hyperlink w:anchor="_Toc157427511" w:history="1">
        <w:r w:rsidR="002768F0" w:rsidRPr="00B37F45">
          <w:rPr>
            <w:rStyle w:val="Hyperlink"/>
            <w:noProof/>
            <w:lang w:val="en-US"/>
          </w:rPr>
          <w:t>Table 3. Hot spots and business opportunities for delivering the SDGs.</w:t>
        </w:r>
        <w:r w:rsidR="002768F0">
          <w:rPr>
            <w:noProof/>
            <w:webHidden/>
          </w:rPr>
          <w:tab/>
        </w:r>
        <w:r w:rsidR="002768F0">
          <w:rPr>
            <w:noProof/>
            <w:webHidden/>
          </w:rPr>
          <w:fldChar w:fldCharType="begin"/>
        </w:r>
        <w:r w:rsidR="002768F0">
          <w:rPr>
            <w:noProof/>
            <w:webHidden/>
          </w:rPr>
          <w:instrText xml:space="preserve"> PAGEREF _Toc157427511 \h </w:instrText>
        </w:r>
        <w:r w:rsidR="002768F0">
          <w:rPr>
            <w:noProof/>
            <w:webHidden/>
          </w:rPr>
        </w:r>
        <w:r w:rsidR="002768F0">
          <w:rPr>
            <w:noProof/>
            <w:webHidden/>
          </w:rPr>
          <w:fldChar w:fldCharType="separate"/>
        </w:r>
        <w:r w:rsidR="002768F0">
          <w:rPr>
            <w:noProof/>
            <w:webHidden/>
          </w:rPr>
          <w:t>31</w:t>
        </w:r>
        <w:r w:rsidR="002768F0">
          <w:rPr>
            <w:noProof/>
            <w:webHidden/>
          </w:rPr>
          <w:fldChar w:fldCharType="end"/>
        </w:r>
      </w:hyperlink>
    </w:p>
    <w:p w14:paraId="6FC0D3FC" w14:textId="6DE1FED3" w:rsidR="00001A9F" w:rsidRDefault="00001A9F" w:rsidP="00001A9F">
      <w:r w:rsidRPr="00C56601">
        <w:fldChar w:fldCharType="end"/>
      </w:r>
    </w:p>
    <w:p w14:paraId="7DD63659" w14:textId="0B78275E" w:rsidR="004849C5" w:rsidRPr="00C56601" w:rsidRDefault="004849C5" w:rsidP="004849C5">
      <w:pPr>
        <w:pStyle w:val="Heading1"/>
      </w:pPr>
      <w:bookmarkStart w:id="3" w:name="_Toc157427535"/>
      <w:r>
        <w:t>List of Boxes</w:t>
      </w:r>
      <w:bookmarkEnd w:id="3"/>
    </w:p>
    <w:p w14:paraId="5A920099" w14:textId="4AD0B21F" w:rsidR="002768F0" w:rsidRDefault="004849C5">
      <w:pPr>
        <w:pStyle w:val="TableofFigures"/>
        <w:tabs>
          <w:tab w:val="right" w:leader="dot" w:pos="9350"/>
        </w:tabs>
        <w:rPr>
          <w:rFonts w:eastAsiaTheme="minorEastAsia"/>
          <w:noProof/>
          <w:kern w:val="2"/>
          <w:lang w:val="en-US"/>
          <w14:ligatures w14:val="standardContextual"/>
        </w:rPr>
      </w:pPr>
      <w:r>
        <w:fldChar w:fldCharType="begin"/>
      </w:r>
      <w:r>
        <w:instrText xml:space="preserve"> TOC \h \z \c "Box" </w:instrText>
      </w:r>
      <w:r>
        <w:fldChar w:fldCharType="separate"/>
      </w:r>
      <w:hyperlink w:anchor="_Toc157427501" w:history="1">
        <w:r w:rsidR="002768F0" w:rsidRPr="00AB73EF">
          <w:rPr>
            <w:rStyle w:val="Hyperlink"/>
            <w:noProof/>
          </w:rPr>
          <w:t>Box 1. Is 2030 coming too soon?</w:t>
        </w:r>
        <w:r w:rsidR="002768F0">
          <w:rPr>
            <w:noProof/>
            <w:webHidden/>
          </w:rPr>
          <w:tab/>
        </w:r>
        <w:r w:rsidR="002768F0">
          <w:rPr>
            <w:noProof/>
            <w:webHidden/>
          </w:rPr>
          <w:fldChar w:fldCharType="begin"/>
        </w:r>
        <w:r w:rsidR="002768F0">
          <w:rPr>
            <w:noProof/>
            <w:webHidden/>
          </w:rPr>
          <w:instrText xml:space="preserve"> PAGEREF _Toc157427501 \h </w:instrText>
        </w:r>
        <w:r w:rsidR="002768F0">
          <w:rPr>
            <w:noProof/>
            <w:webHidden/>
          </w:rPr>
        </w:r>
        <w:r w:rsidR="002768F0">
          <w:rPr>
            <w:noProof/>
            <w:webHidden/>
          </w:rPr>
          <w:fldChar w:fldCharType="separate"/>
        </w:r>
        <w:r w:rsidR="002768F0">
          <w:rPr>
            <w:noProof/>
            <w:webHidden/>
          </w:rPr>
          <w:t>14</w:t>
        </w:r>
        <w:r w:rsidR="002768F0">
          <w:rPr>
            <w:noProof/>
            <w:webHidden/>
          </w:rPr>
          <w:fldChar w:fldCharType="end"/>
        </w:r>
      </w:hyperlink>
    </w:p>
    <w:p w14:paraId="2E2DCA1F" w14:textId="4829C8F5" w:rsidR="002768F0" w:rsidRDefault="00000000">
      <w:pPr>
        <w:pStyle w:val="TableofFigures"/>
        <w:tabs>
          <w:tab w:val="right" w:leader="dot" w:pos="9350"/>
        </w:tabs>
        <w:rPr>
          <w:rFonts w:eastAsiaTheme="minorEastAsia"/>
          <w:noProof/>
          <w:kern w:val="2"/>
          <w:lang w:val="en-US"/>
          <w14:ligatures w14:val="standardContextual"/>
        </w:rPr>
      </w:pPr>
      <w:hyperlink w:anchor="_Toc157427502" w:history="1">
        <w:r w:rsidR="002768F0" w:rsidRPr="00AB73EF">
          <w:rPr>
            <w:rStyle w:val="Hyperlink"/>
            <w:noProof/>
          </w:rPr>
          <w:t>Box 2. What Drives the Progress in Achieving the SDGs?</w:t>
        </w:r>
        <w:r w:rsidR="002768F0">
          <w:rPr>
            <w:noProof/>
            <w:webHidden/>
          </w:rPr>
          <w:tab/>
        </w:r>
        <w:r w:rsidR="002768F0">
          <w:rPr>
            <w:noProof/>
            <w:webHidden/>
          </w:rPr>
          <w:fldChar w:fldCharType="begin"/>
        </w:r>
        <w:r w:rsidR="002768F0">
          <w:rPr>
            <w:noProof/>
            <w:webHidden/>
          </w:rPr>
          <w:instrText xml:space="preserve"> PAGEREF _Toc157427502 \h </w:instrText>
        </w:r>
        <w:r w:rsidR="002768F0">
          <w:rPr>
            <w:noProof/>
            <w:webHidden/>
          </w:rPr>
        </w:r>
        <w:r w:rsidR="002768F0">
          <w:rPr>
            <w:noProof/>
            <w:webHidden/>
          </w:rPr>
          <w:fldChar w:fldCharType="separate"/>
        </w:r>
        <w:r w:rsidR="002768F0">
          <w:rPr>
            <w:noProof/>
            <w:webHidden/>
          </w:rPr>
          <w:t>16</w:t>
        </w:r>
        <w:r w:rsidR="002768F0">
          <w:rPr>
            <w:noProof/>
            <w:webHidden/>
          </w:rPr>
          <w:fldChar w:fldCharType="end"/>
        </w:r>
      </w:hyperlink>
    </w:p>
    <w:p w14:paraId="2DAFC740" w14:textId="5C3528C8" w:rsidR="002768F0" w:rsidRDefault="00000000">
      <w:pPr>
        <w:pStyle w:val="TableofFigures"/>
        <w:tabs>
          <w:tab w:val="right" w:leader="dot" w:pos="9350"/>
        </w:tabs>
        <w:rPr>
          <w:rFonts w:eastAsiaTheme="minorEastAsia"/>
          <w:noProof/>
          <w:kern w:val="2"/>
          <w:lang w:val="en-US"/>
          <w14:ligatures w14:val="standardContextual"/>
        </w:rPr>
      </w:pPr>
      <w:hyperlink w:anchor="_Toc157427503" w:history="1">
        <w:r w:rsidR="002768F0" w:rsidRPr="00AB73EF">
          <w:rPr>
            <w:rStyle w:val="Hyperlink"/>
            <w:noProof/>
          </w:rPr>
          <w:t xml:space="preserve">Box 3. </w:t>
        </w:r>
        <w:r w:rsidR="002768F0" w:rsidRPr="00AB73EF">
          <w:rPr>
            <w:rStyle w:val="Hyperlink"/>
            <w:rFonts w:asciiTheme="majorHAnsi" w:eastAsiaTheme="majorEastAsia" w:hAnsiTheme="majorHAnsi" w:cstheme="majorBidi"/>
            <w:noProof/>
          </w:rPr>
          <w:t>Some ideas for scaling up SDG Finance</w:t>
        </w:r>
        <w:r w:rsidR="002768F0">
          <w:rPr>
            <w:noProof/>
            <w:webHidden/>
          </w:rPr>
          <w:tab/>
        </w:r>
        <w:r w:rsidR="002768F0">
          <w:rPr>
            <w:noProof/>
            <w:webHidden/>
          </w:rPr>
          <w:fldChar w:fldCharType="begin"/>
        </w:r>
        <w:r w:rsidR="002768F0">
          <w:rPr>
            <w:noProof/>
            <w:webHidden/>
          </w:rPr>
          <w:instrText xml:space="preserve"> PAGEREF _Toc157427503 \h </w:instrText>
        </w:r>
        <w:r w:rsidR="002768F0">
          <w:rPr>
            <w:noProof/>
            <w:webHidden/>
          </w:rPr>
        </w:r>
        <w:r w:rsidR="002768F0">
          <w:rPr>
            <w:noProof/>
            <w:webHidden/>
          </w:rPr>
          <w:fldChar w:fldCharType="separate"/>
        </w:r>
        <w:r w:rsidR="002768F0">
          <w:rPr>
            <w:noProof/>
            <w:webHidden/>
          </w:rPr>
          <w:t>29</w:t>
        </w:r>
        <w:r w:rsidR="002768F0">
          <w:rPr>
            <w:noProof/>
            <w:webHidden/>
          </w:rPr>
          <w:fldChar w:fldCharType="end"/>
        </w:r>
      </w:hyperlink>
    </w:p>
    <w:p w14:paraId="4B7BC0BC" w14:textId="56C7CC2F" w:rsidR="002768F0" w:rsidRDefault="00000000">
      <w:pPr>
        <w:pStyle w:val="TableofFigures"/>
        <w:tabs>
          <w:tab w:val="right" w:leader="dot" w:pos="9350"/>
        </w:tabs>
        <w:rPr>
          <w:rFonts w:eastAsiaTheme="minorEastAsia"/>
          <w:noProof/>
          <w:kern w:val="2"/>
          <w:lang w:val="en-US"/>
          <w14:ligatures w14:val="standardContextual"/>
        </w:rPr>
      </w:pPr>
      <w:hyperlink w:anchor="_Toc157427504" w:history="1">
        <w:r w:rsidR="002768F0" w:rsidRPr="00AB73EF">
          <w:rPr>
            <w:rStyle w:val="Hyperlink"/>
            <w:noProof/>
          </w:rPr>
          <w:t xml:space="preserve">Box 4. </w:t>
        </w:r>
        <w:r w:rsidR="002768F0" w:rsidRPr="00AB73EF">
          <w:rPr>
            <w:rStyle w:val="Hyperlink"/>
            <w:rFonts w:asciiTheme="majorHAnsi" w:eastAsiaTheme="majorEastAsia" w:hAnsiTheme="majorHAnsi" w:cstheme="majorBidi"/>
            <w:noProof/>
          </w:rPr>
          <w:t>Some ideas for improving B4SDGs</w:t>
        </w:r>
        <w:r w:rsidR="002768F0">
          <w:rPr>
            <w:noProof/>
            <w:webHidden/>
          </w:rPr>
          <w:tab/>
        </w:r>
        <w:r w:rsidR="002768F0">
          <w:rPr>
            <w:noProof/>
            <w:webHidden/>
          </w:rPr>
          <w:fldChar w:fldCharType="begin"/>
        </w:r>
        <w:r w:rsidR="002768F0">
          <w:rPr>
            <w:noProof/>
            <w:webHidden/>
          </w:rPr>
          <w:instrText xml:space="preserve"> PAGEREF _Toc157427504 \h </w:instrText>
        </w:r>
        <w:r w:rsidR="002768F0">
          <w:rPr>
            <w:noProof/>
            <w:webHidden/>
          </w:rPr>
        </w:r>
        <w:r w:rsidR="002768F0">
          <w:rPr>
            <w:noProof/>
            <w:webHidden/>
          </w:rPr>
          <w:fldChar w:fldCharType="separate"/>
        </w:r>
        <w:r w:rsidR="002768F0">
          <w:rPr>
            <w:noProof/>
            <w:webHidden/>
          </w:rPr>
          <w:t>30</w:t>
        </w:r>
        <w:r w:rsidR="002768F0">
          <w:rPr>
            <w:noProof/>
            <w:webHidden/>
          </w:rPr>
          <w:fldChar w:fldCharType="end"/>
        </w:r>
      </w:hyperlink>
    </w:p>
    <w:p w14:paraId="659DC802" w14:textId="76D6C1F4" w:rsidR="002768F0" w:rsidRDefault="00000000">
      <w:pPr>
        <w:pStyle w:val="TableofFigures"/>
        <w:tabs>
          <w:tab w:val="right" w:leader="dot" w:pos="9350"/>
        </w:tabs>
        <w:rPr>
          <w:rFonts w:eastAsiaTheme="minorEastAsia"/>
          <w:noProof/>
          <w:kern w:val="2"/>
          <w:lang w:val="en-US"/>
          <w14:ligatures w14:val="standardContextual"/>
        </w:rPr>
      </w:pPr>
      <w:hyperlink w:anchor="_Toc157427505" w:history="1">
        <w:r w:rsidR="002768F0" w:rsidRPr="00AB73EF">
          <w:rPr>
            <w:rStyle w:val="Hyperlink"/>
            <w:noProof/>
          </w:rPr>
          <w:t xml:space="preserve">Box 5. </w:t>
        </w:r>
        <w:r w:rsidR="002768F0" w:rsidRPr="00AB73EF">
          <w:rPr>
            <w:rStyle w:val="Hyperlink"/>
            <w:rFonts w:asciiTheme="majorHAnsi" w:eastAsiaTheme="majorEastAsia" w:hAnsiTheme="majorHAnsi" w:cstheme="majorBidi"/>
            <w:noProof/>
          </w:rPr>
          <w:t>Some ideas for improving Private Sector 4 SDGs</w:t>
        </w:r>
        <w:r w:rsidR="002768F0">
          <w:rPr>
            <w:noProof/>
            <w:webHidden/>
          </w:rPr>
          <w:tab/>
        </w:r>
        <w:r w:rsidR="002768F0">
          <w:rPr>
            <w:noProof/>
            <w:webHidden/>
          </w:rPr>
          <w:fldChar w:fldCharType="begin"/>
        </w:r>
        <w:r w:rsidR="002768F0">
          <w:rPr>
            <w:noProof/>
            <w:webHidden/>
          </w:rPr>
          <w:instrText xml:space="preserve"> PAGEREF _Toc157427505 \h </w:instrText>
        </w:r>
        <w:r w:rsidR="002768F0">
          <w:rPr>
            <w:noProof/>
            <w:webHidden/>
          </w:rPr>
        </w:r>
        <w:r w:rsidR="002768F0">
          <w:rPr>
            <w:noProof/>
            <w:webHidden/>
          </w:rPr>
          <w:fldChar w:fldCharType="separate"/>
        </w:r>
        <w:r w:rsidR="002768F0">
          <w:rPr>
            <w:noProof/>
            <w:webHidden/>
          </w:rPr>
          <w:t>33</w:t>
        </w:r>
        <w:r w:rsidR="002768F0">
          <w:rPr>
            <w:noProof/>
            <w:webHidden/>
          </w:rPr>
          <w:fldChar w:fldCharType="end"/>
        </w:r>
      </w:hyperlink>
    </w:p>
    <w:p w14:paraId="710EDB27" w14:textId="7BA1B717" w:rsidR="002768F0" w:rsidRDefault="00000000">
      <w:pPr>
        <w:pStyle w:val="TableofFigures"/>
        <w:tabs>
          <w:tab w:val="right" w:leader="dot" w:pos="9350"/>
        </w:tabs>
        <w:rPr>
          <w:rFonts w:eastAsiaTheme="minorEastAsia"/>
          <w:noProof/>
          <w:kern w:val="2"/>
          <w:lang w:val="en-US"/>
          <w14:ligatures w14:val="standardContextual"/>
        </w:rPr>
      </w:pPr>
      <w:hyperlink w:anchor="_Toc157427506" w:history="1">
        <w:r w:rsidR="002768F0" w:rsidRPr="00AB73EF">
          <w:rPr>
            <w:rStyle w:val="Hyperlink"/>
            <w:noProof/>
          </w:rPr>
          <w:t xml:space="preserve">Box 6. </w:t>
        </w:r>
        <w:r w:rsidR="002768F0" w:rsidRPr="00AB73EF">
          <w:rPr>
            <w:rStyle w:val="Hyperlink"/>
            <w:rFonts w:asciiTheme="majorHAnsi" w:eastAsiaTheme="majorEastAsia" w:hAnsiTheme="majorHAnsi" w:cstheme="majorBidi"/>
            <w:noProof/>
          </w:rPr>
          <w:t>SDG tagging of bank loans</w:t>
        </w:r>
        <w:r w:rsidR="002768F0">
          <w:rPr>
            <w:noProof/>
            <w:webHidden/>
          </w:rPr>
          <w:tab/>
        </w:r>
        <w:r w:rsidR="002768F0">
          <w:rPr>
            <w:noProof/>
            <w:webHidden/>
          </w:rPr>
          <w:fldChar w:fldCharType="begin"/>
        </w:r>
        <w:r w:rsidR="002768F0">
          <w:rPr>
            <w:noProof/>
            <w:webHidden/>
          </w:rPr>
          <w:instrText xml:space="preserve"> PAGEREF _Toc157427506 \h </w:instrText>
        </w:r>
        <w:r w:rsidR="002768F0">
          <w:rPr>
            <w:noProof/>
            <w:webHidden/>
          </w:rPr>
        </w:r>
        <w:r w:rsidR="002768F0">
          <w:rPr>
            <w:noProof/>
            <w:webHidden/>
          </w:rPr>
          <w:fldChar w:fldCharType="separate"/>
        </w:r>
        <w:r w:rsidR="002768F0">
          <w:rPr>
            <w:noProof/>
            <w:webHidden/>
          </w:rPr>
          <w:t>36</w:t>
        </w:r>
        <w:r w:rsidR="002768F0">
          <w:rPr>
            <w:noProof/>
            <w:webHidden/>
          </w:rPr>
          <w:fldChar w:fldCharType="end"/>
        </w:r>
      </w:hyperlink>
    </w:p>
    <w:p w14:paraId="61FA4C9F" w14:textId="4B9782BC" w:rsidR="002768F0" w:rsidRDefault="00000000">
      <w:pPr>
        <w:pStyle w:val="TableofFigures"/>
        <w:tabs>
          <w:tab w:val="right" w:leader="dot" w:pos="9350"/>
        </w:tabs>
        <w:rPr>
          <w:rFonts w:eastAsiaTheme="minorEastAsia"/>
          <w:noProof/>
          <w:kern w:val="2"/>
          <w:lang w:val="en-US"/>
          <w14:ligatures w14:val="standardContextual"/>
        </w:rPr>
      </w:pPr>
      <w:hyperlink w:anchor="_Toc157427507" w:history="1">
        <w:r w:rsidR="002768F0" w:rsidRPr="00AB73EF">
          <w:rPr>
            <w:rStyle w:val="Hyperlink"/>
            <w:noProof/>
          </w:rPr>
          <w:t xml:space="preserve">Box 7. </w:t>
        </w:r>
        <w:r w:rsidR="002768F0" w:rsidRPr="00AB73EF">
          <w:rPr>
            <w:rStyle w:val="Hyperlink"/>
            <w:noProof/>
            <w:lang w:val="en-US"/>
          </w:rPr>
          <w:t>Green Investment - The Solar Roofs Cooperative (Croatia)</w:t>
        </w:r>
        <w:r w:rsidR="002768F0">
          <w:rPr>
            <w:noProof/>
            <w:webHidden/>
          </w:rPr>
          <w:tab/>
        </w:r>
        <w:r w:rsidR="002768F0">
          <w:rPr>
            <w:noProof/>
            <w:webHidden/>
          </w:rPr>
          <w:fldChar w:fldCharType="begin"/>
        </w:r>
        <w:r w:rsidR="002768F0">
          <w:rPr>
            <w:noProof/>
            <w:webHidden/>
          </w:rPr>
          <w:instrText xml:space="preserve"> PAGEREF _Toc157427507 \h </w:instrText>
        </w:r>
        <w:r w:rsidR="002768F0">
          <w:rPr>
            <w:noProof/>
            <w:webHidden/>
          </w:rPr>
        </w:r>
        <w:r w:rsidR="002768F0">
          <w:rPr>
            <w:noProof/>
            <w:webHidden/>
          </w:rPr>
          <w:fldChar w:fldCharType="separate"/>
        </w:r>
        <w:r w:rsidR="002768F0">
          <w:rPr>
            <w:noProof/>
            <w:webHidden/>
          </w:rPr>
          <w:t>37</w:t>
        </w:r>
        <w:r w:rsidR="002768F0">
          <w:rPr>
            <w:noProof/>
            <w:webHidden/>
          </w:rPr>
          <w:fldChar w:fldCharType="end"/>
        </w:r>
      </w:hyperlink>
    </w:p>
    <w:p w14:paraId="5A5A4780" w14:textId="6C4E66EA" w:rsidR="002768F0" w:rsidRDefault="00000000">
      <w:pPr>
        <w:pStyle w:val="TableofFigures"/>
        <w:tabs>
          <w:tab w:val="right" w:leader="dot" w:pos="9350"/>
        </w:tabs>
        <w:rPr>
          <w:rFonts w:eastAsiaTheme="minorEastAsia"/>
          <w:noProof/>
          <w:kern w:val="2"/>
          <w:lang w:val="en-US"/>
          <w14:ligatures w14:val="standardContextual"/>
        </w:rPr>
      </w:pPr>
      <w:hyperlink w:anchor="_Toc157427508" w:history="1">
        <w:r w:rsidR="002768F0" w:rsidRPr="00AB73EF">
          <w:rPr>
            <w:rStyle w:val="Hyperlink"/>
            <w:noProof/>
          </w:rPr>
          <w:t>Box 8. The Green Financing Facility: A Successful Example of Blended Finance</w:t>
        </w:r>
        <w:r w:rsidR="002768F0">
          <w:rPr>
            <w:noProof/>
            <w:webHidden/>
          </w:rPr>
          <w:tab/>
        </w:r>
        <w:r w:rsidR="002768F0">
          <w:rPr>
            <w:noProof/>
            <w:webHidden/>
          </w:rPr>
          <w:fldChar w:fldCharType="begin"/>
        </w:r>
        <w:r w:rsidR="002768F0">
          <w:rPr>
            <w:noProof/>
            <w:webHidden/>
          </w:rPr>
          <w:instrText xml:space="preserve"> PAGEREF _Toc157427508 \h </w:instrText>
        </w:r>
        <w:r w:rsidR="002768F0">
          <w:rPr>
            <w:noProof/>
            <w:webHidden/>
          </w:rPr>
        </w:r>
        <w:r w:rsidR="002768F0">
          <w:rPr>
            <w:noProof/>
            <w:webHidden/>
          </w:rPr>
          <w:fldChar w:fldCharType="separate"/>
        </w:r>
        <w:r w:rsidR="002768F0">
          <w:rPr>
            <w:noProof/>
            <w:webHidden/>
          </w:rPr>
          <w:t>42</w:t>
        </w:r>
        <w:r w:rsidR="002768F0">
          <w:rPr>
            <w:noProof/>
            <w:webHidden/>
          </w:rPr>
          <w:fldChar w:fldCharType="end"/>
        </w:r>
      </w:hyperlink>
    </w:p>
    <w:p w14:paraId="10D78B97" w14:textId="79C1456D" w:rsidR="007818F9" w:rsidRDefault="004849C5">
      <w:r>
        <w:fldChar w:fldCharType="end"/>
      </w:r>
    </w:p>
    <w:p w14:paraId="069157AB" w14:textId="77777777" w:rsidR="007818F9" w:rsidRDefault="007818F9">
      <w:r>
        <w:br w:type="page"/>
      </w:r>
    </w:p>
    <w:p w14:paraId="38D6765E" w14:textId="48A14C6D" w:rsidR="002A595F" w:rsidRPr="00C56601" w:rsidRDefault="004E55AD" w:rsidP="00001A9F">
      <w:pPr>
        <w:pStyle w:val="Heading1"/>
        <w:numPr>
          <w:ilvl w:val="0"/>
          <w:numId w:val="1"/>
        </w:numPr>
        <w:rPr>
          <w:lang w:val="en-US"/>
        </w:rPr>
      </w:pPr>
      <w:bookmarkStart w:id="4" w:name="_Toc157427536"/>
      <w:r w:rsidRPr="00C56601">
        <w:rPr>
          <w:lang w:val="en-US"/>
        </w:rPr>
        <w:lastRenderedPageBreak/>
        <w:t>INTRODUCTION AND MAIN OBJECTIVES</w:t>
      </w:r>
      <w:bookmarkEnd w:id="4"/>
    </w:p>
    <w:p w14:paraId="34992CA8" w14:textId="77777777" w:rsidR="002A595F" w:rsidRPr="00C56601" w:rsidRDefault="002A595F" w:rsidP="00AF16D3">
      <w:pPr>
        <w:spacing w:after="0" w:line="240" w:lineRule="auto"/>
        <w:jc w:val="both"/>
        <w:rPr>
          <w:sz w:val="24"/>
          <w:szCs w:val="24"/>
          <w:lang w:val="en-US"/>
        </w:rPr>
      </w:pPr>
    </w:p>
    <w:p w14:paraId="57CC1592" w14:textId="0576DDDC" w:rsidR="00257301" w:rsidRPr="00C56601" w:rsidRDefault="002A595F" w:rsidP="001D1BF8">
      <w:pPr>
        <w:spacing w:after="0" w:line="276" w:lineRule="auto"/>
        <w:jc w:val="both"/>
      </w:pPr>
      <w:r w:rsidRPr="00C56601">
        <w:t xml:space="preserve">The purpose of this </w:t>
      </w:r>
      <w:r w:rsidR="00801C8E" w:rsidRPr="00C56601">
        <w:t>consultancy</w:t>
      </w:r>
      <w:r w:rsidRPr="00C56601">
        <w:t xml:space="preserve"> is to</w:t>
      </w:r>
      <w:r w:rsidR="00257301" w:rsidRPr="00C56601">
        <w:t>:</w:t>
      </w:r>
    </w:p>
    <w:p w14:paraId="04047470" w14:textId="77777777" w:rsidR="00B46E24" w:rsidRPr="00C56601" w:rsidRDefault="00B46E24" w:rsidP="001D1BF8">
      <w:pPr>
        <w:spacing w:after="0" w:line="276" w:lineRule="auto"/>
        <w:jc w:val="both"/>
      </w:pPr>
    </w:p>
    <w:p w14:paraId="2A39D7CF" w14:textId="435B6941" w:rsidR="002A595F" w:rsidRPr="00C56601" w:rsidRDefault="00B46E24" w:rsidP="001D1BF8">
      <w:pPr>
        <w:pStyle w:val="ListParagraph"/>
        <w:numPr>
          <w:ilvl w:val="0"/>
          <w:numId w:val="5"/>
        </w:numPr>
        <w:spacing w:after="0" w:line="276" w:lineRule="auto"/>
        <w:jc w:val="both"/>
      </w:pPr>
      <w:r w:rsidRPr="00C56601">
        <w:rPr>
          <w:b/>
          <w:bCs/>
          <w:color w:val="276DBB" w:themeColor="text2" w:themeTint="BF"/>
        </w:rPr>
        <w:t>O</w:t>
      </w:r>
      <w:r w:rsidR="00410F61" w:rsidRPr="00C56601">
        <w:rPr>
          <w:b/>
          <w:bCs/>
          <w:color w:val="276DBB" w:themeColor="text2" w:themeTint="BF"/>
        </w:rPr>
        <w:t>bjective #1:</w:t>
      </w:r>
      <w:r w:rsidR="00410F61" w:rsidRPr="00C56601">
        <w:rPr>
          <w:b/>
          <w:bCs/>
          <w:color w:val="073763" w:themeColor="accent1" w:themeShade="80"/>
        </w:rPr>
        <w:t xml:space="preserve"> </w:t>
      </w:r>
      <w:r w:rsidR="00410F61" w:rsidRPr="00C56601">
        <w:t>S</w:t>
      </w:r>
      <w:r w:rsidR="002A595F" w:rsidRPr="00C56601">
        <w:t xml:space="preserve">upport the UNDP Country Office in </w:t>
      </w:r>
      <w:r w:rsidR="00EB6AB9" w:rsidRPr="00C56601">
        <w:t xml:space="preserve">North Macedonia in </w:t>
      </w:r>
      <w:r w:rsidR="002A595F" w:rsidRPr="00C56601">
        <w:t xml:space="preserve">reviewing the relevance and recommending interventions on SDG finance tools and their deployment in the country context that would enable to maximize the development impact of UNDP’s interventions. Strong entry point for this initiative is the preparation of the 20-year National Development Strategy (NDS) and the formulation of </w:t>
      </w:r>
      <w:r w:rsidR="00410F61" w:rsidRPr="00C56601">
        <w:t>the</w:t>
      </w:r>
      <w:r w:rsidR="002A595F" w:rsidRPr="00C56601">
        <w:t xml:space="preserve"> first Action Plan through a co-production process with the national partners.</w:t>
      </w:r>
    </w:p>
    <w:p w14:paraId="1865768E" w14:textId="77777777" w:rsidR="00914DF7" w:rsidRPr="00C56601" w:rsidRDefault="00914DF7" w:rsidP="001D1BF8">
      <w:pPr>
        <w:pStyle w:val="ListParagraph"/>
        <w:spacing w:after="0" w:line="276" w:lineRule="auto"/>
        <w:jc w:val="both"/>
      </w:pPr>
    </w:p>
    <w:p w14:paraId="0CD8A3D8" w14:textId="729214F6" w:rsidR="00257301" w:rsidRPr="00C56601" w:rsidRDefault="00410F61" w:rsidP="001D1BF8">
      <w:pPr>
        <w:pStyle w:val="ListParagraph"/>
        <w:numPr>
          <w:ilvl w:val="0"/>
          <w:numId w:val="5"/>
        </w:numPr>
        <w:spacing w:after="0" w:line="276" w:lineRule="auto"/>
        <w:jc w:val="both"/>
      </w:pPr>
      <w:r w:rsidRPr="00C56601">
        <w:rPr>
          <w:b/>
          <w:bCs/>
          <w:color w:val="276DBB" w:themeColor="text2" w:themeTint="BF"/>
        </w:rPr>
        <w:t>Objective #</w:t>
      </w:r>
      <w:r w:rsidR="002768F0">
        <w:rPr>
          <w:b/>
          <w:bCs/>
          <w:color w:val="276DBB" w:themeColor="text2" w:themeTint="BF"/>
        </w:rPr>
        <w:t>2</w:t>
      </w:r>
      <w:r w:rsidRPr="00C56601">
        <w:rPr>
          <w:b/>
          <w:bCs/>
          <w:color w:val="276DBB" w:themeColor="text2" w:themeTint="BF"/>
        </w:rPr>
        <w:t>:</w:t>
      </w:r>
      <w:r w:rsidRPr="00C56601">
        <w:rPr>
          <w:b/>
          <w:bCs/>
          <w:color w:val="073763" w:themeColor="accent1" w:themeShade="80"/>
        </w:rPr>
        <w:t xml:space="preserve"> </w:t>
      </w:r>
      <w:r w:rsidRPr="00C56601">
        <w:t>P</w:t>
      </w:r>
      <w:r w:rsidR="00257301" w:rsidRPr="00C56601">
        <w:t>repare an Assessment of existing and potential financing sources including recommendations that will serve as a basis for preparing the financing framework of the National Development Strategy as well as how innovative SDG aligned financing vehicles could look like in the country context considering the limitations of available capacities within national institutions. It also recommended to identify potential approaches that can contribute to alignment and investment by all stakeholders towards the implementation of the NDS priorities.</w:t>
      </w:r>
    </w:p>
    <w:p w14:paraId="56DDD7DB" w14:textId="77777777" w:rsidR="00914DF7" w:rsidRPr="00C56601" w:rsidRDefault="00914DF7" w:rsidP="001D1BF8">
      <w:pPr>
        <w:pStyle w:val="ListParagraph"/>
        <w:spacing w:after="0" w:line="276" w:lineRule="auto"/>
        <w:jc w:val="both"/>
      </w:pPr>
    </w:p>
    <w:p w14:paraId="7E05A67A" w14:textId="1C613157" w:rsidR="00257301" w:rsidRPr="00C56601" w:rsidRDefault="00410F61" w:rsidP="001D1BF8">
      <w:pPr>
        <w:pStyle w:val="ListParagraph"/>
        <w:numPr>
          <w:ilvl w:val="0"/>
          <w:numId w:val="5"/>
        </w:numPr>
        <w:spacing w:after="0" w:line="276" w:lineRule="auto"/>
        <w:jc w:val="both"/>
      </w:pPr>
      <w:r w:rsidRPr="00C56601">
        <w:rPr>
          <w:b/>
          <w:bCs/>
          <w:color w:val="276DBB" w:themeColor="text2" w:themeTint="BF"/>
        </w:rPr>
        <w:t>Objective #</w:t>
      </w:r>
      <w:r w:rsidR="002768F0">
        <w:rPr>
          <w:b/>
          <w:bCs/>
          <w:color w:val="276DBB" w:themeColor="text2" w:themeTint="BF"/>
        </w:rPr>
        <w:t>3</w:t>
      </w:r>
      <w:r w:rsidRPr="00C56601">
        <w:rPr>
          <w:b/>
          <w:bCs/>
          <w:color w:val="276DBB" w:themeColor="text2" w:themeTint="BF"/>
        </w:rPr>
        <w:t>:</w:t>
      </w:r>
      <w:r w:rsidRPr="00C56601">
        <w:rPr>
          <w:b/>
          <w:bCs/>
          <w:color w:val="073763" w:themeColor="accent1" w:themeShade="80"/>
        </w:rPr>
        <w:t xml:space="preserve"> </w:t>
      </w:r>
      <w:r w:rsidRPr="00C56601">
        <w:t>E</w:t>
      </w:r>
      <w:r w:rsidR="00257301" w:rsidRPr="00C56601">
        <w:t>nable exchange of information on existing initiatives and programmes (from public, private sector, and development partners), as well as enhance and synchronize the financing approaches that would inform recommendations on both NDS and CO portfolio alignment with NDS financing priorities and available SDG finance service offers.</w:t>
      </w:r>
    </w:p>
    <w:p w14:paraId="26433122" w14:textId="77777777" w:rsidR="00914DF7" w:rsidRPr="00C56601" w:rsidRDefault="00914DF7" w:rsidP="001D1BF8">
      <w:pPr>
        <w:pStyle w:val="ListParagraph"/>
        <w:spacing w:after="0" w:line="276" w:lineRule="auto"/>
        <w:jc w:val="both"/>
      </w:pPr>
    </w:p>
    <w:p w14:paraId="1D3AD75A" w14:textId="60979AE8" w:rsidR="00257301" w:rsidRPr="00C56601" w:rsidRDefault="00410F61" w:rsidP="001D1BF8">
      <w:pPr>
        <w:pStyle w:val="ListParagraph"/>
        <w:numPr>
          <w:ilvl w:val="0"/>
          <w:numId w:val="5"/>
        </w:numPr>
        <w:spacing w:after="0" w:line="276" w:lineRule="auto"/>
        <w:jc w:val="both"/>
      </w:pPr>
      <w:r w:rsidRPr="00C56601">
        <w:rPr>
          <w:b/>
          <w:bCs/>
          <w:color w:val="276DBB" w:themeColor="text2" w:themeTint="BF"/>
        </w:rPr>
        <w:t>Objective #</w:t>
      </w:r>
      <w:r w:rsidR="002768F0">
        <w:rPr>
          <w:b/>
          <w:bCs/>
          <w:color w:val="276DBB" w:themeColor="text2" w:themeTint="BF"/>
        </w:rPr>
        <w:t>4</w:t>
      </w:r>
      <w:r w:rsidRPr="00C56601">
        <w:rPr>
          <w:b/>
          <w:bCs/>
          <w:color w:val="276DBB" w:themeColor="text2" w:themeTint="BF"/>
        </w:rPr>
        <w:t>:</w:t>
      </w:r>
      <w:r w:rsidRPr="00C56601">
        <w:rPr>
          <w:b/>
          <w:bCs/>
          <w:color w:val="073763" w:themeColor="accent1" w:themeShade="80"/>
        </w:rPr>
        <w:t xml:space="preserve"> </w:t>
      </w:r>
      <w:r w:rsidRPr="00C56601">
        <w:t>C</w:t>
      </w:r>
      <w:r w:rsidR="00257301" w:rsidRPr="00C56601">
        <w:t>o-create and co-deliver at least two one-day training sessions on SDG financing</w:t>
      </w:r>
      <w:r w:rsidR="00F251A6">
        <w:t>, one</w:t>
      </w:r>
      <w:r w:rsidR="007B4899">
        <w:t xml:space="preserve"> in August and</w:t>
      </w:r>
      <w:r w:rsidR="00F251A6">
        <w:t xml:space="preserve"> another in</w:t>
      </w:r>
      <w:r w:rsidR="007B4899">
        <w:t xml:space="preserve"> </w:t>
      </w:r>
      <w:r w:rsidR="003616AB">
        <w:t>October</w:t>
      </w:r>
      <w:r w:rsidR="007B4899">
        <w:t xml:space="preserve"> 2023</w:t>
      </w:r>
      <w:r w:rsidR="00257301" w:rsidRPr="00C56601">
        <w:t xml:space="preserve">, one for the UNDP CO staff and another one to the national </w:t>
      </w:r>
      <w:r w:rsidR="00774536">
        <w:t xml:space="preserve">stakeholders (institutions and </w:t>
      </w:r>
      <w:r w:rsidR="00257301" w:rsidRPr="00C56601">
        <w:t>partner institutions</w:t>
      </w:r>
      <w:r w:rsidR="00774536">
        <w:t xml:space="preserve"> involved in the National Development Strategy (NDS) preparation and future implementation).</w:t>
      </w:r>
    </w:p>
    <w:p w14:paraId="44851C51" w14:textId="3E41C765" w:rsidR="004849C5" w:rsidRDefault="004849C5">
      <w:pPr>
        <w:rPr>
          <w:sz w:val="24"/>
          <w:szCs w:val="24"/>
        </w:rPr>
      </w:pPr>
    </w:p>
    <w:p w14:paraId="36762597" w14:textId="61912D2C" w:rsidR="007818F9" w:rsidRDefault="007818F9" w:rsidP="007818F9">
      <w:pPr>
        <w:pStyle w:val="Heading1"/>
      </w:pPr>
      <w:r>
        <w:t>Acknowledgements</w:t>
      </w:r>
    </w:p>
    <w:p w14:paraId="1F039E86" w14:textId="0E231507" w:rsidR="006C4E85" w:rsidRDefault="006C4E85" w:rsidP="006C4E85">
      <w:pPr>
        <w:jc w:val="both"/>
      </w:pPr>
      <w:r w:rsidRPr="006C4E85">
        <w:t>This report greatly benefited from the programmatic mission by Mr. Suren Poghosyan to Skopje, the associated mission report</w:t>
      </w:r>
      <w:r w:rsidR="007818F9">
        <w:t xml:space="preserve">, the </w:t>
      </w:r>
      <w:r w:rsidRPr="006C4E85">
        <w:t xml:space="preserve">valuable comments made by </w:t>
      </w:r>
      <w:r>
        <w:t xml:space="preserve">Ms. Qing Zhang and </w:t>
      </w:r>
      <w:r w:rsidRPr="006C4E85">
        <w:t>Mr. Suren Poghosyan</w:t>
      </w:r>
      <w:r>
        <w:t xml:space="preserve"> from the UNDP’s Istanbul Regional Hub</w:t>
      </w:r>
      <w:r w:rsidR="007818F9">
        <w:t xml:space="preserve">, as well as the constructive ideas and feedback by Ms. Biljana Cvetanovska Gugoska, Head of Democratic Governance Unit at UNDP Country Office in North Macedonia, Mr. Armen Grigoryan, Resident Representative of UNDP Country Office in North Macedonia, and Mr. Sami Bushi, </w:t>
      </w:r>
      <w:r w:rsidR="007818F9" w:rsidRPr="007818F9">
        <w:t>Monitoring and Evaluation Associate at UNDP</w:t>
      </w:r>
      <w:r w:rsidR="007818F9">
        <w:t xml:space="preserve"> Country Office in North Macedonia</w:t>
      </w:r>
      <w:r>
        <w:t>.</w:t>
      </w:r>
    </w:p>
    <w:p w14:paraId="22F24180" w14:textId="316F04D0" w:rsidR="007818F9" w:rsidRDefault="007818F9">
      <w:r>
        <w:br w:type="page"/>
      </w:r>
    </w:p>
    <w:p w14:paraId="5BACFEB9" w14:textId="03B81C63" w:rsidR="002A595F" w:rsidRPr="00C56601" w:rsidRDefault="004E55AD" w:rsidP="00801C8E">
      <w:pPr>
        <w:pStyle w:val="Heading1"/>
        <w:numPr>
          <w:ilvl w:val="0"/>
          <w:numId w:val="1"/>
        </w:numPr>
        <w:spacing w:before="0" w:line="240" w:lineRule="auto"/>
        <w:rPr>
          <w:lang w:val="en-US"/>
        </w:rPr>
      </w:pPr>
      <w:bookmarkStart w:id="5" w:name="_Toc157427537"/>
      <w:r w:rsidRPr="00C56601">
        <w:rPr>
          <w:lang w:val="en-US"/>
        </w:rPr>
        <w:lastRenderedPageBreak/>
        <w:t>CONTEXT</w:t>
      </w:r>
      <w:r w:rsidR="00B45DF7" w:rsidRPr="00C56601">
        <w:rPr>
          <w:lang w:val="en-US"/>
        </w:rPr>
        <w:t>:</w:t>
      </w:r>
      <w:r w:rsidR="00976BCC" w:rsidRPr="00C56601">
        <w:rPr>
          <w:lang w:val="en-US"/>
        </w:rPr>
        <w:t xml:space="preserve"> AN OVERVIEW OF</w:t>
      </w:r>
      <w:r w:rsidR="00431C05" w:rsidRPr="00C56601">
        <w:rPr>
          <w:lang w:val="en-US"/>
        </w:rPr>
        <w:t xml:space="preserve"> STAKEHOLDERS’ AGENDAS</w:t>
      </w:r>
      <w:bookmarkEnd w:id="5"/>
    </w:p>
    <w:p w14:paraId="6C6C2C99" w14:textId="0E1995BB" w:rsidR="002A595F" w:rsidRPr="00C56601" w:rsidRDefault="002A595F" w:rsidP="00801C8E">
      <w:pPr>
        <w:spacing w:after="0" w:line="240" w:lineRule="auto"/>
        <w:jc w:val="both"/>
        <w:rPr>
          <w:sz w:val="24"/>
          <w:szCs w:val="24"/>
        </w:rPr>
      </w:pPr>
    </w:p>
    <w:p w14:paraId="553B8261" w14:textId="1A1A9649" w:rsidR="003E291C" w:rsidRPr="00C56601" w:rsidRDefault="00D1408A" w:rsidP="005E7539">
      <w:pPr>
        <w:spacing w:after="0" w:line="276" w:lineRule="auto"/>
        <w:jc w:val="both"/>
      </w:pPr>
      <w:r w:rsidRPr="00C56601">
        <w:t>To streamline the discussion, w</w:t>
      </w:r>
      <w:r w:rsidR="003E291C" w:rsidRPr="00C56601">
        <w:t xml:space="preserve">e structure the </w:t>
      </w:r>
      <w:r w:rsidR="00976BCC" w:rsidRPr="00C56601">
        <w:t xml:space="preserve">contextual analysis around the agendas of </w:t>
      </w:r>
      <w:r w:rsidR="003E291C" w:rsidRPr="00C56601">
        <w:t>three key stakeholders in promoting sustainable development</w:t>
      </w:r>
      <w:r w:rsidRPr="00C56601">
        <w:t xml:space="preserve"> in North Macedonia</w:t>
      </w:r>
      <w:r w:rsidR="003E291C" w:rsidRPr="00C56601">
        <w:t xml:space="preserve">: (1) the </w:t>
      </w:r>
      <w:r w:rsidRPr="00C56601">
        <w:t>G</w:t>
      </w:r>
      <w:r w:rsidR="003E291C" w:rsidRPr="00C56601">
        <w:t>overnment; (2) United Nations</w:t>
      </w:r>
      <w:r w:rsidRPr="00C56601">
        <w:t xml:space="preserve"> agencies</w:t>
      </w:r>
      <w:r w:rsidR="003E291C" w:rsidRPr="00C56601">
        <w:t>; and (3) the European Union, represented by the Delegation of the EU.</w:t>
      </w:r>
      <w:r w:rsidR="00104575" w:rsidRPr="00C56601">
        <w:t xml:space="preserve"> The idea is to provide an overview of the</w:t>
      </w:r>
      <w:r w:rsidR="00976BCC" w:rsidRPr="00C56601">
        <w:t xml:space="preserve"> complementarities, synergies, and</w:t>
      </w:r>
      <w:r w:rsidR="00104575" w:rsidRPr="00C56601">
        <w:t xml:space="preserve"> </w:t>
      </w:r>
      <w:r w:rsidR="00976BCC" w:rsidRPr="00C56601">
        <w:t xml:space="preserve">differences </w:t>
      </w:r>
      <w:proofErr w:type="gramStart"/>
      <w:r w:rsidR="00976BCC" w:rsidRPr="00C56601">
        <w:t>with regard to</w:t>
      </w:r>
      <w:proofErr w:type="gramEnd"/>
      <w:r w:rsidR="00976BCC" w:rsidRPr="00C56601">
        <w:t xml:space="preserve"> the type, pace, and sequencing of the reforms.</w:t>
      </w:r>
      <w:r w:rsidR="00FE705A" w:rsidRPr="00C56601">
        <w:t xml:space="preserve"> This will serve as an important input in the sections on SDG-</w:t>
      </w:r>
      <w:proofErr w:type="spellStart"/>
      <w:r w:rsidR="00FE705A" w:rsidRPr="00C56601">
        <w:t>ization</w:t>
      </w:r>
      <w:proofErr w:type="spellEnd"/>
      <w:r w:rsidR="00FE705A" w:rsidRPr="00C56601">
        <w:t xml:space="preserve"> of the public agenda and maximization of SDG finance.</w:t>
      </w:r>
    </w:p>
    <w:p w14:paraId="2AE2E92E" w14:textId="77777777" w:rsidR="004E55AD" w:rsidRPr="00C56601" w:rsidRDefault="004E55AD" w:rsidP="006120FA">
      <w:pPr>
        <w:spacing w:after="0" w:line="240" w:lineRule="auto"/>
        <w:jc w:val="both"/>
        <w:rPr>
          <w:sz w:val="24"/>
          <w:szCs w:val="24"/>
        </w:rPr>
      </w:pPr>
    </w:p>
    <w:p w14:paraId="6E60932D" w14:textId="50438611" w:rsidR="00801C8E" w:rsidRPr="00C56601" w:rsidRDefault="002D0138" w:rsidP="00B47829">
      <w:pPr>
        <w:pStyle w:val="Heading2"/>
        <w:numPr>
          <w:ilvl w:val="1"/>
          <w:numId w:val="1"/>
        </w:numPr>
        <w:spacing w:before="0" w:line="240" w:lineRule="auto"/>
      </w:pPr>
      <w:bookmarkStart w:id="6" w:name="_Toc157427538"/>
      <w:r w:rsidRPr="00C56601">
        <w:t>Government</w:t>
      </w:r>
      <w:bookmarkEnd w:id="6"/>
    </w:p>
    <w:p w14:paraId="13457D69" w14:textId="77777777" w:rsidR="002122EF" w:rsidRPr="00C56601" w:rsidRDefault="002122EF" w:rsidP="002122EF"/>
    <w:p w14:paraId="451EAA71" w14:textId="116269C3" w:rsidR="002D0138" w:rsidRPr="00C56601" w:rsidRDefault="002D0138" w:rsidP="00546652">
      <w:pPr>
        <w:pStyle w:val="Heading2"/>
        <w:numPr>
          <w:ilvl w:val="2"/>
          <w:numId w:val="1"/>
        </w:numPr>
        <w:spacing w:before="0" w:line="240" w:lineRule="auto"/>
        <w:rPr>
          <w:sz w:val="24"/>
          <w:szCs w:val="24"/>
        </w:rPr>
      </w:pPr>
      <w:bookmarkStart w:id="7" w:name="_Toc157427539"/>
      <w:r w:rsidRPr="00C56601">
        <w:rPr>
          <w:sz w:val="24"/>
          <w:szCs w:val="24"/>
        </w:rPr>
        <w:t>Country’s National Development Strategy 20</w:t>
      </w:r>
      <w:r w:rsidR="007A4987" w:rsidRPr="00C56601">
        <w:rPr>
          <w:sz w:val="24"/>
          <w:szCs w:val="24"/>
        </w:rPr>
        <w:t>24-2044</w:t>
      </w:r>
      <w:bookmarkEnd w:id="7"/>
    </w:p>
    <w:p w14:paraId="447D8439" w14:textId="77777777" w:rsidR="002D0138" w:rsidRPr="00C56601" w:rsidRDefault="002D0138" w:rsidP="00546652">
      <w:pPr>
        <w:spacing w:after="0" w:line="240" w:lineRule="auto"/>
        <w:jc w:val="both"/>
      </w:pPr>
    </w:p>
    <w:p w14:paraId="65A83792" w14:textId="12C91297" w:rsidR="00326240" w:rsidRPr="00C56601" w:rsidRDefault="00EB6AB9" w:rsidP="001D1BF8">
      <w:pPr>
        <w:spacing w:after="0" w:line="276" w:lineRule="auto"/>
        <w:jc w:val="both"/>
      </w:pPr>
      <w:r w:rsidRPr="00C56601">
        <w:rPr>
          <w:b/>
          <w:bCs/>
          <w:color w:val="276DBB" w:themeColor="text2" w:themeTint="BF"/>
        </w:rPr>
        <w:t xml:space="preserve">Key priority areas. </w:t>
      </w:r>
      <w:r w:rsidR="00F2013E" w:rsidRPr="00C56601">
        <w:t>In its latest draft version,</w:t>
      </w:r>
      <w:r w:rsidR="002D0138" w:rsidRPr="00C56601">
        <w:t xml:space="preserve"> </w:t>
      </w:r>
      <w:r w:rsidR="00F2013E" w:rsidRPr="00C56601">
        <w:t xml:space="preserve">the </w:t>
      </w:r>
      <w:r w:rsidR="002D0138" w:rsidRPr="00C56601">
        <w:t xml:space="preserve">key priority areas of the National Development Strategy </w:t>
      </w:r>
      <w:r w:rsidR="00F2013E" w:rsidRPr="00C56601">
        <w:t>2023-</w:t>
      </w:r>
      <w:r w:rsidR="002D0138" w:rsidRPr="00C56601">
        <w:t>2043 are</w:t>
      </w:r>
      <w:r w:rsidR="00B26D13" w:rsidRPr="00C56601">
        <w:t xml:space="preserve"> (1) </w:t>
      </w:r>
      <w:r w:rsidR="00092EAC" w:rsidRPr="00C56601">
        <w:t>demography and social balance</w:t>
      </w:r>
      <w:r w:rsidR="00B26D13" w:rsidRPr="00C56601">
        <w:t xml:space="preserve">; (2) </w:t>
      </w:r>
      <w:r w:rsidR="00092EAC" w:rsidRPr="00C56601">
        <w:t>competitive and innovative economy</w:t>
      </w:r>
      <w:r w:rsidR="00B26D13" w:rsidRPr="00C56601">
        <w:t xml:space="preserve">; (3) </w:t>
      </w:r>
      <w:r w:rsidR="00092EAC" w:rsidRPr="00C56601">
        <w:t>green and digital transformation;</w:t>
      </w:r>
      <w:r w:rsidR="00B26D13" w:rsidRPr="00C56601">
        <w:t xml:space="preserve"> (4) </w:t>
      </w:r>
      <w:r w:rsidR="00092EAC" w:rsidRPr="00C56601">
        <w:t>territorial development; (5) governance, and (6) security</w:t>
      </w:r>
      <w:r w:rsidR="007A4987" w:rsidRPr="00C56601">
        <w:t>, safety,</w:t>
      </w:r>
      <w:r w:rsidR="00092EAC" w:rsidRPr="00C56601">
        <w:t xml:space="preserve"> and resilience</w:t>
      </w:r>
      <w:r w:rsidR="002D0138" w:rsidRPr="00C56601">
        <w:t>.</w:t>
      </w:r>
      <w:r w:rsidR="00B26D13" w:rsidRPr="00C56601">
        <w:t xml:space="preserve"> </w:t>
      </w:r>
      <w:r w:rsidR="002D0138" w:rsidRPr="00C56601">
        <w:t>The cross-cutting perspectives through which development areas are examined - digitalization, social inclusion, gender equality</w:t>
      </w:r>
      <w:r w:rsidR="00092EAC" w:rsidRPr="00C56601">
        <w:t>, public finance, etc.</w:t>
      </w:r>
      <w:r w:rsidR="002D0138" w:rsidRPr="00C56601">
        <w:t xml:space="preserve"> - are </w:t>
      </w:r>
      <w:r w:rsidR="00092EAC" w:rsidRPr="00C56601">
        <w:t>horizontal themes</w:t>
      </w:r>
      <w:r w:rsidR="002D0138" w:rsidRPr="00C56601">
        <w:t>.</w:t>
      </w:r>
      <w:r w:rsidR="00B47829" w:rsidRPr="00C56601">
        <w:t xml:space="preserve"> This </w:t>
      </w:r>
      <w:r w:rsidR="00F2013E" w:rsidRPr="00C56601">
        <w:t xml:space="preserve">comprehensive </w:t>
      </w:r>
      <w:r w:rsidR="00B47829" w:rsidRPr="00C56601">
        <w:t xml:space="preserve">strategy is perceived as an umbrella strategy, i.e., the one that would incorporate key priorities in the existing long-term strategies (e.g., the Energy Strategy 2020-40 </w:t>
      </w:r>
      <w:r w:rsidR="00B47829" w:rsidRPr="00C56601">
        <w:rPr>
          <w:lang w:val="en-US"/>
        </w:rPr>
        <w:t>or the Regional</w:t>
      </w:r>
      <w:r w:rsidR="00B47829" w:rsidRPr="00C56601">
        <w:t xml:space="preserve"> Development Strategy 2021-20</w:t>
      </w:r>
      <w:r w:rsidR="007A4987" w:rsidRPr="00C56601">
        <w:t>3</w:t>
      </w:r>
      <w:r w:rsidR="00B47829" w:rsidRPr="00C56601">
        <w:t>1) but will also serve as a guiding light for drafting the new thematic or sector-specific strategies.</w:t>
      </w:r>
      <w:r w:rsidR="00745F03" w:rsidRPr="00C56601">
        <w:t xml:space="preserve"> </w:t>
      </w:r>
      <w:r w:rsidR="00326240" w:rsidRPr="00C56601">
        <w:t>The success of the forthcoming National Development Strategy (NDS) 202</w:t>
      </w:r>
      <w:r w:rsidR="007A4987" w:rsidRPr="00C56601">
        <w:t>4</w:t>
      </w:r>
      <w:r w:rsidR="00326240" w:rsidRPr="00C56601">
        <w:t>-204</w:t>
      </w:r>
      <w:r w:rsidR="007A4987" w:rsidRPr="00C56601">
        <w:t>4</w:t>
      </w:r>
      <w:r w:rsidR="00326240" w:rsidRPr="00C56601">
        <w:t xml:space="preserve"> </w:t>
      </w:r>
      <w:r w:rsidR="00F2013E" w:rsidRPr="00C56601">
        <w:t xml:space="preserve">will </w:t>
      </w:r>
      <w:r w:rsidR="00326240" w:rsidRPr="00C56601">
        <w:t>depend on numerous factors and associated risks</w:t>
      </w:r>
      <w:r w:rsidR="00F2013E" w:rsidRPr="00C56601">
        <w:t>. We outline only some of them in Table 1.</w:t>
      </w:r>
    </w:p>
    <w:p w14:paraId="09AEFD64" w14:textId="77777777" w:rsidR="004E55AD" w:rsidRPr="00C56601" w:rsidRDefault="004E55AD" w:rsidP="001D1BF8">
      <w:pPr>
        <w:spacing w:after="0" w:line="276" w:lineRule="auto"/>
        <w:jc w:val="both"/>
        <w:rPr>
          <w:sz w:val="24"/>
          <w:szCs w:val="24"/>
        </w:rPr>
      </w:pPr>
    </w:p>
    <w:p w14:paraId="0168C1CC" w14:textId="183825C8" w:rsidR="00326240" w:rsidRPr="00C56601" w:rsidRDefault="00F2013E" w:rsidP="00F2013E">
      <w:pPr>
        <w:pStyle w:val="Caption"/>
        <w:spacing w:after="0"/>
        <w:rPr>
          <w:i w:val="0"/>
          <w:iCs w:val="0"/>
          <w:color w:val="000000" w:themeColor="text1"/>
          <w:sz w:val="22"/>
          <w:szCs w:val="22"/>
        </w:rPr>
      </w:pPr>
      <w:bookmarkStart w:id="8" w:name="_Toc157427509"/>
      <w:r w:rsidRPr="00C56601">
        <w:rPr>
          <w:i w:val="0"/>
          <w:iCs w:val="0"/>
          <w:color w:val="000000" w:themeColor="text1"/>
          <w:sz w:val="22"/>
          <w:szCs w:val="22"/>
        </w:rPr>
        <w:t xml:space="preserve">Table </w:t>
      </w:r>
      <w:r w:rsidRPr="00C56601">
        <w:rPr>
          <w:i w:val="0"/>
          <w:iCs w:val="0"/>
          <w:color w:val="000000" w:themeColor="text1"/>
          <w:sz w:val="22"/>
          <w:szCs w:val="22"/>
        </w:rPr>
        <w:fldChar w:fldCharType="begin"/>
      </w:r>
      <w:r w:rsidRPr="00C56601">
        <w:rPr>
          <w:i w:val="0"/>
          <w:iCs w:val="0"/>
          <w:color w:val="000000" w:themeColor="text1"/>
          <w:sz w:val="22"/>
          <w:szCs w:val="22"/>
        </w:rPr>
        <w:instrText xml:space="preserve"> SEQ Table \* ARABIC </w:instrText>
      </w:r>
      <w:r w:rsidRPr="00C56601">
        <w:rPr>
          <w:i w:val="0"/>
          <w:iCs w:val="0"/>
          <w:color w:val="000000" w:themeColor="text1"/>
          <w:sz w:val="22"/>
          <w:szCs w:val="22"/>
        </w:rPr>
        <w:fldChar w:fldCharType="separate"/>
      </w:r>
      <w:r w:rsidR="00BC6E04">
        <w:rPr>
          <w:i w:val="0"/>
          <w:iCs w:val="0"/>
          <w:noProof/>
          <w:color w:val="000000" w:themeColor="text1"/>
          <w:sz w:val="22"/>
          <w:szCs w:val="22"/>
        </w:rPr>
        <w:t>1</w:t>
      </w:r>
      <w:r w:rsidRPr="00C56601">
        <w:rPr>
          <w:i w:val="0"/>
          <w:iCs w:val="0"/>
          <w:color w:val="000000" w:themeColor="text1"/>
          <w:sz w:val="22"/>
          <w:szCs w:val="22"/>
        </w:rPr>
        <w:fldChar w:fldCharType="end"/>
      </w:r>
      <w:r w:rsidRPr="00C56601">
        <w:rPr>
          <w:i w:val="0"/>
          <w:iCs w:val="0"/>
          <w:color w:val="000000" w:themeColor="text1"/>
          <w:sz w:val="22"/>
          <w:szCs w:val="22"/>
        </w:rPr>
        <w:t>. Key factors and associated risks</w:t>
      </w:r>
      <w:bookmarkEnd w:id="8"/>
    </w:p>
    <w:tbl>
      <w:tblPr>
        <w:tblStyle w:val="TableGridLight"/>
        <w:tblW w:w="9350" w:type="dxa"/>
        <w:tblLook w:val="04A0" w:firstRow="1" w:lastRow="0" w:firstColumn="1" w:lastColumn="0" w:noHBand="0" w:noVBand="1"/>
      </w:tblPr>
      <w:tblGrid>
        <w:gridCol w:w="1807"/>
        <w:gridCol w:w="6288"/>
        <w:gridCol w:w="1255"/>
      </w:tblGrid>
      <w:tr w:rsidR="00326240" w:rsidRPr="00C56601" w14:paraId="4C3D523F" w14:textId="77777777" w:rsidTr="00F2013E">
        <w:tc>
          <w:tcPr>
            <w:tcW w:w="1807" w:type="dxa"/>
          </w:tcPr>
          <w:p w14:paraId="2ADF55D9" w14:textId="77777777" w:rsidR="00326240" w:rsidRPr="00C56601" w:rsidRDefault="00326240" w:rsidP="003E291C">
            <w:pPr>
              <w:jc w:val="both"/>
              <w:rPr>
                <w:b/>
                <w:bCs/>
                <w:sz w:val="18"/>
                <w:szCs w:val="18"/>
              </w:rPr>
            </w:pPr>
            <w:r w:rsidRPr="00C56601">
              <w:rPr>
                <w:b/>
                <w:bCs/>
                <w:sz w:val="18"/>
                <w:szCs w:val="18"/>
              </w:rPr>
              <w:t>Factor</w:t>
            </w:r>
          </w:p>
        </w:tc>
        <w:tc>
          <w:tcPr>
            <w:tcW w:w="6288" w:type="dxa"/>
          </w:tcPr>
          <w:p w14:paraId="54ED3C26" w14:textId="77777777" w:rsidR="00326240" w:rsidRPr="00C56601" w:rsidRDefault="00326240" w:rsidP="003E291C">
            <w:pPr>
              <w:jc w:val="both"/>
              <w:rPr>
                <w:b/>
                <w:bCs/>
                <w:sz w:val="18"/>
                <w:szCs w:val="18"/>
              </w:rPr>
            </w:pPr>
            <w:r w:rsidRPr="00C56601">
              <w:rPr>
                <w:b/>
                <w:bCs/>
                <w:sz w:val="18"/>
                <w:szCs w:val="18"/>
              </w:rPr>
              <w:t>Risks</w:t>
            </w:r>
          </w:p>
        </w:tc>
        <w:tc>
          <w:tcPr>
            <w:tcW w:w="1255" w:type="dxa"/>
          </w:tcPr>
          <w:p w14:paraId="2C296CBD" w14:textId="77777777" w:rsidR="00326240" w:rsidRPr="00C56601" w:rsidRDefault="00326240" w:rsidP="003E291C">
            <w:pPr>
              <w:jc w:val="both"/>
              <w:rPr>
                <w:b/>
                <w:bCs/>
                <w:sz w:val="18"/>
                <w:szCs w:val="18"/>
              </w:rPr>
            </w:pPr>
            <w:r w:rsidRPr="00C56601">
              <w:rPr>
                <w:b/>
                <w:bCs/>
                <w:sz w:val="18"/>
                <w:szCs w:val="18"/>
              </w:rPr>
              <w:t>Risk level</w:t>
            </w:r>
          </w:p>
        </w:tc>
      </w:tr>
      <w:tr w:rsidR="00326240" w:rsidRPr="00C56601" w14:paraId="32E8429B" w14:textId="77777777" w:rsidTr="00F2013E">
        <w:tc>
          <w:tcPr>
            <w:tcW w:w="1807" w:type="dxa"/>
          </w:tcPr>
          <w:p w14:paraId="67890E94" w14:textId="77777777" w:rsidR="00326240" w:rsidRPr="00C56601" w:rsidRDefault="00326240" w:rsidP="003E291C">
            <w:pPr>
              <w:jc w:val="both"/>
              <w:rPr>
                <w:sz w:val="18"/>
                <w:szCs w:val="18"/>
              </w:rPr>
            </w:pPr>
            <w:r w:rsidRPr="00C56601">
              <w:rPr>
                <w:color w:val="073763" w:themeColor="accent1" w:themeShade="80"/>
                <w:sz w:val="18"/>
                <w:szCs w:val="18"/>
              </w:rPr>
              <w:t>Realistic design</w:t>
            </w:r>
          </w:p>
        </w:tc>
        <w:tc>
          <w:tcPr>
            <w:tcW w:w="6288" w:type="dxa"/>
          </w:tcPr>
          <w:p w14:paraId="10013FDA" w14:textId="7967A55C" w:rsidR="00326240" w:rsidRPr="0018068C" w:rsidRDefault="00326240" w:rsidP="0018068C">
            <w:pPr>
              <w:jc w:val="both"/>
              <w:rPr>
                <w:sz w:val="18"/>
                <w:szCs w:val="18"/>
              </w:rPr>
            </w:pPr>
            <w:r w:rsidRPr="0018068C">
              <w:rPr>
                <w:sz w:val="18"/>
                <w:szCs w:val="18"/>
              </w:rPr>
              <w:t xml:space="preserve">Excessively generalized strategic directions or overly ambitious </w:t>
            </w:r>
            <w:r w:rsidR="007A4987" w:rsidRPr="0018068C">
              <w:rPr>
                <w:sz w:val="18"/>
                <w:szCs w:val="18"/>
              </w:rPr>
              <w:t>priorities</w:t>
            </w:r>
            <w:r w:rsidRPr="0018068C">
              <w:rPr>
                <w:sz w:val="18"/>
                <w:szCs w:val="18"/>
              </w:rPr>
              <w:t xml:space="preserve"> in the NDS </w:t>
            </w:r>
            <w:r w:rsidR="00D1408A" w:rsidRPr="0018068C">
              <w:rPr>
                <w:sz w:val="18"/>
                <w:szCs w:val="18"/>
              </w:rPr>
              <w:t>would</w:t>
            </w:r>
            <w:r w:rsidRPr="0018068C">
              <w:rPr>
                <w:sz w:val="18"/>
                <w:szCs w:val="18"/>
              </w:rPr>
              <w:t xml:space="preserve"> undermine the success of its implementation.</w:t>
            </w:r>
          </w:p>
        </w:tc>
        <w:tc>
          <w:tcPr>
            <w:tcW w:w="1255" w:type="dxa"/>
            <w:shd w:val="clear" w:color="auto" w:fill="FFFF00"/>
          </w:tcPr>
          <w:p w14:paraId="1AFB39E2" w14:textId="77777777" w:rsidR="00326240" w:rsidRPr="00C56601" w:rsidRDefault="00326240" w:rsidP="003E291C">
            <w:pPr>
              <w:jc w:val="both"/>
              <w:rPr>
                <w:sz w:val="18"/>
                <w:szCs w:val="18"/>
              </w:rPr>
            </w:pPr>
          </w:p>
        </w:tc>
      </w:tr>
      <w:tr w:rsidR="00326240" w:rsidRPr="00C56601" w14:paraId="418EE2F9" w14:textId="77777777" w:rsidTr="00F2013E">
        <w:tc>
          <w:tcPr>
            <w:tcW w:w="1807" w:type="dxa"/>
          </w:tcPr>
          <w:p w14:paraId="1350144B" w14:textId="77777777" w:rsidR="00326240" w:rsidRPr="00C56601" w:rsidRDefault="00326240" w:rsidP="003E291C">
            <w:pPr>
              <w:jc w:val="both"/>
              <w:rPr>
                <w:sz w:val="18"/>
                <w:szCs w:val="18"/>
              </w:rPr>
            </w:pPr>
            <w:r w:rsidRPr="00C56601">
              <w:rPr>
                <w:color w:val="073763" w:themeColor="accent1" w:themeShade="80"/>
                <w:sz w:val="18"/>
                <w:szCs w:val="18"/>
              </w:rPr>
              <w:t>Institutional capacities</w:t>
            </w:r>
          </w:p>
        </w:tc>
        <w:tc>
          <w:tcPr>
            <w:tcW w:w="6288" w:type="dxa"/>
          </w:tcPr>
          <w:p w14:paraId="02274EE0" w14:textId="0AFD2CA7" w:rsidR="00326240" w:rsidRPr="0018068C" w:rsidRDefault="00326240" w:rsidP="0018068C">
            <w:pPr>
              <w:jc w:val="both"/>
              <w:rPr>
                <w:sz w:val="18"/>
                <w:szCs w:val="18"/>
              </w:rPr>
            </w:pPr>
            <w:r w:rsidRPr="0018068C">
              <w:rPr>
                <w:sz w:val="18"/>
                <w:szCs w:val="18"/>
              </w:rPr>
              <w:t xml:space="preserve">Lack of institutional capacities (including the failure of inter-institutional coordination) in the government institutions </w:t>
            </w:r>
            <w:r w:rsidR="00D1408A" w:rsidRPr="0018068C">
              <w:rPr>
                <w:sz w:val="18"/>
                <w:szCs w:val="18"/>
              </w:rPr>
              <w:t>might</w:t>
            </w:r>
            <w:r w:rsidRPr="0018068C">
              <w:rPr>
                <w:sz w:val="18"/>
                <w:szCs w:val="18"/>
              </w:rPr>
              <w:t xml:space="preserve"> affect the government ability to implement the NDS.</w:t>
            </w:r>
          </w:p>
        </w:tc>
        <w:tc>
          <w:tcPr>
            <w:tcW w:w="1255" w:type="dxa"/>
            <w:shd w:val="clear" w:color="auto" w:fill="FFC000"/>
          </w:tcPr>
          <w:p w14:paraId="3909A1BF" w14:textId="77777777" w:rsidR="00326240" w:rsidRPr="00C56601" w:rsidRDefault="00326240" w:rsidP="003E291C">
            <w:pPr>
              <w:jc w:val="both"/>
              <w:rPr>
                <w:sz w:val="18"/>
                <w:szCs w:val="18"/>
              </w:rPr>
            </w:pPr>
          </w:p>
        </w:tc>
      </w:tr>
      <w:tr w:rsidR="00326240" w:rsidRPr="00C56601" w14:paraId="4C68A278" w14:textId="77777777" w:rsidTr="00F2013E">
        <w:tc>
          <w:tcPr>
            <w:tcW w:w="1807" w:type="dxa"/>
          </w:tcPr>
          <w:p w14:paraId="21A638FC" w14:textId="77777777" w:rsidR="00326240" w:rsidRPr="00C56601" w:rsidRDefault="00326240" w:rsidP="003E291C">
            <w:pPr>
              <w:jc w:val="both"/>
              <w:rPr>
                <w:color w:val="073763" w:themeColor="accent1" w:themeShade="80"/>
                <w:sz w:val="18"/>
                <w:szCs w:val="18"/>
              </w:rPr>
            </w:pPr>
            <w:r w:rsidRPr="00C56601">
              <w:rPr>
                <w:color w:val="073763" w:themeColor="accent1" w:themeShade="80"/>
                <w:sz w:val="18"/>
                <w:szCs w:val="18"/>
              </w:rPr>
              <w:t>Ownership</w:t>
            </w:r>
          </w:p>
        </w:tc>
        <w:tc>
          <w:tcPr>
            <w:tcW w:w="6288" w:type="dxa"/>
          </w:tcPr>
          <w:p w14:paraId="00E4DCD0" w14:textId="5BE49D98" w:rsidR="00326240" w:rsidRPr="0018068C" w:rsidRDefault="00326240" w:rsidP="0018068C">
            <w:pPr>
              <w:jc w:val="both"/>
              <w:rPr>
                <w:sz w:val="18"/>
                <w:szCs w:val="18"/>
              </w:rPr>
            </w:pPr>
            <w:r w:rsidRPr="0018068C">
              <w:rPr>
                <w:sz w:val="18"/>
                <w:szCs w:val="18"/>
              </w:rPr>
              <w:t xml:space="preserve">Lack of ownership by successive governments </w:t>
            </w:r>
            <w:r w:rsidR="00D1408A" w:rsidRPr="0018068C">
              <w:rPr>
                <w:sz w:val="18"/>
                <w:szCs w:val="18"/>
              </w:rPr>
              <w:t>might be</w:t>
            </w:r>
            <w:r w:rsidRPr="0018068C">
              <w:rPr>
                <w:sz w:val="18"/>
                <w:szCs w:val="18"/>
              </w:rPr>
              <w:t xml:space="preserve"> a serious risk. Even when government coalitions are composed of the same political parties their unwillingness to “own” the NDS </w:t>
            </w:r>
            <w:r w:rsidR="00D1408A" w:rsidRPr="0018068C">
              <w:rPr>
                <w:sz w:val="18"/>
                <w:szCs w:val="18"/>
              </w:rPr>
              <w:t>would</w:t>
            </w:r>
            <w:r w:rsidRPr="0018068C">
              <w:rPr>
                <w:sz w:val="18"/>
                <w:szCs w:val="18"/>
              </w:rPr>
              <w:t xml:space="preserve"> result into “one more (unused) document”.</w:t>
            </w:r>
          </w:p>
        </w:tc>
        <w:tc>
          <w:tcPr>
            <w:tcW w:w="1255" w:type="dxa"/>
            <w:shd w:val="clear" w:color="auto" w:fill="FF0000"/>
          </w:tcPr>
          <w:p w14:paraId="66F7D30E" w14:textId="77777777" w:rsidR="00326240" w:rsidRPr="00C56601" w:rsidRDefault="00326240" w:rsidP="003E291C">
            <w:pPr>
              <w:jc w:val="both"/>
              <w:rPr>
                <w:sz w:val="18"/>
                <w:szCs w:val="18"/>
              </w:rPr>
            </w:pPr>
          </w:p>
        </w:tc>
      </w:tr>
      <w:tr w:rsidR="00326240" w:rsidRPr="00C56601" w14:paraId="6AFD0434" w14:textId="77777777" w:rsidTr="00F2013E">
        <w:tc>
          <w:tcPr>
            <w:tcW w:w="1807" w:type="dxa"/>
          </w:tcPr>
          <w:p w14:paraId="652DA77D" w14:textId="77777777" w:rsidR="00326240" w:rsidRPr="00C56601" w:rsidRDefault="00326240" w:rsidP="003E291C">
            <w:pPr>
              <w:jc w:val="both"/>
              <w:rPr>
                <w:color w:val="073763" w:themeColor="accent1" w:themeShade="80"/>
                <w:sz w:val="18"/>
                <w:szCs w:val="18"/>
              </w:rPr>
            </w:pPr>
            <w:r w:rsidRPr="00C56601">
              <w:rPr>
                <w:color w:val="073763" w:themeColor="accent1" w:themeShade="80"/>
                <w:sz w:val="18"/>
                <w:szCs w:val="18"/>
              </w:rPr>
              <w:t>Finance</w:t>
            </w:r>
          </w:p>
        </w:tc>
        <w:tc>
          <w:tcPr>
            <w:tcW w:w="6288" w:type="dxa"/>
          </w:tcPr>
          <w:p w14:paraId="66E1659D" w14:textId="04DF952A" w:rsidR="00326240" w:rsidRPr="0018068C" w:rsidRDefault="00326240" w:rsidP="0018068C">
            <w:pPr>
              <w:jc w:val="both"/>
              <w:rPr>
                <w:sz w:val="18"/>
                <w:szCs w:val="18"/>
              </w:rPr>
            </w:pPr>
            <w:r w:rsidRPr="0018068C">
              <w:rPr>
                <w:sz w:val="18"/>
                <w:szCs w:val="18"/>
              </w:rPr>
              <w:t xml:space="preserve">Finance is one of the key enablers of the NDS. Insufficient alignment of public and private finance with </w:t>
            </w:r>
            <w:r w:rsidR="007A4987" w:rsidRPr="0018068C">
              <w:rPr>
                <w:sz w:val="18"/>
                <w:szCs w:val="18"/>
              </w:rPr>
              <w:t xml:space="preserve">NDS </w:t>
            </w:r>
            <w:r w:rsidRPr="0018068C">
              <w:rPr>
                <w:sz w:val="18"/>
                <w:szCs w:val="18"/>
              </w:rPr>
              <w:t>commitments is an important risk.</w:t>
            </w:r>
            <w:r w:rsidR="00D1408A" w:rsidRPr="0018068C">
              <w:rPr>
                <w:sz w:val="18"/>
                <w:szCs w:val="18"/>
              </w:rPr>
              <w:t xml:space="preserve"> </w:t>
            </w:r>
            <w:r w:rsidRPr="0018068C">
              <w:rPr>
                <w:sz w:val="18"/>
                <w:szCs w:val="18"/>
              </w:rPr>
              <w:t>Inability to mobilize</w:t>
            </w:r>
            <w:r w:rsidR="00D1408A" w:rsidRPr="0018068C">
              <w:rPr>
                <w:sz w:val="18"/>
                <w:szCs w:val="18"/>
              </w:rPr>
              <w:t xml:space="preserve"> private capital and</w:t>
            </w:r>
            <w:r w:rsidRPr="0018068C">
              <w:rPr>
                <w:sz w:val="18"/>
                <w:szCs w:val="18"/>
              </w:rPr>
              <w:t xml:space="preserve"> innovative SDG financing </w:t>
            </w:r>
            <w:r w:rsidR="00D1408A" w:rsidRPr="0018068C">
              <w:rPr>
                <w:sz w:val="18"/>
                <w:szCs w:val="18"/>
              </w:rPr>
              <w:t>would be</w:t>
            </w:r>
            <w:r w:rsidRPr="0018068C">
              <w:rPr>
                <w:sz w:val="18"/>
                <w:szCs w:val="18"/>
              </w:rPr>
              <w:t xml:space="preserve"> a significant risk.</w:t>
            </w:r>
          </w:p>
        </w:tc>
        <w:tc>
          <w:tcPr>
            <w:tcW w:w="1255" w:type="dxa"/>
            <w:shd w:val="clear" w:color="auto" w:fill="FF0000"/>
          </w:tcPr>
          <w:p w14:paraId="70042B46" w14:textId="77777777" w:rsidR="00326240" w:rsidRPr="00C56601" w:rsidRDefault="00326240" w:rsidP="003E291C">
            <w:pPr>
              <w:jc w:val="both"/>
              <w:rPr>
                <w:sz w:val="18"/>
                <w:szCs w:val="18"/>
              </w:rPr>
            </w:pPr>
          </w:p>
        </w:tc>
      </w:tr>
      <w:tr w:rsidR="00326240" w:rsidRPr="00C56601" w14:paraId="657E54C1" w14:textId="77777777" w:rsidTr="00F2013E">
        <w:tc>
          <w:tcPr>
            <w:tcW w:w="1807" w:type="dxa"/>
          </w:tcPr>
          <w:p w14:paraId="07972EC3" w14:textId="77777777" w:rsidR="00326240" w:rsidRPr="00C56601" w:rsidRDefault="00326240" w:rsidP="003E291C">
            <w:pPr>
              <w:jc w:val="both"/>
              <w:rPr>
                <w:color w:val="073763" w:themeColor="accent1" w:themeShade="80"/>
                <w:sz w:val="18"/>
                <w:szCs w:val="18"/>
              </w:rPr>
            </w:pPr>
            <w:r w:rsidRPr="00C56601">
              <w:rPr>
                <w:color w:val="073763" w:themeColor="accent1" w:themeShade="80"/>
                <w:sz w:val="18"/>
                <w:szCs w:val="18"/>
              </w:rPr>
              <w:t>Partnering</w:t>
            </w:r>
          </w:p>
        </w:tc>
        <w:tc>
          <w:tcPr>
            <w:tcW w:w="6288" w:type="dxa"/>
          </w:tcPr>
          <w:p w14:paraId="756E446B" w14:textId="25372CED" w:rsidR="009E6806" w:rsidRPr="0018068C" w:rsidRDefault="009E6806" w:rsidP="0018068C">
            <w:pPr>
              <w:jc w:val="both"/>
              <w:rPr>
                <w:sz w:val="18"/>
                <w:szCs w:val="18"/>
              </w:rPr>
            </w:pPr>
            <w:r w:rsidRPr="0018068C">
              <w:rPr>
                <w:sz w:val="18"/>
                <w:szCs w:val="18"/>
              </w:rPr>
              <w:t>The involvement of key stakeholders (United Nations, European Commission, World Bank, USAID, etc.) is seen as a powerful and crucial catalyst for reforms aiming to foster sustainable development.</w:t>
            </w:r>
          </w:p>
          <w:p w14:paraId="4DE9A9A8" w14:textId="181F0FF7" w:rsidR="00326240" w:rsidRPr="0018068C" w:rsidRDefault="00326240" w:rsidP="0018068C">
            <w:pPr>
              <w:jc w:val="both"/>
              <w:rPr>
                <w:sz w:val="18"/>
                <w:szCs w:val="18"/>
              </w:rPr>
            </w:pPr>
            <w:r w:rsidRPr="0018068C">
              <w:rPr>
                <w:sz w:val="18"/>
                <w:szCs w:val="18"/>
              </w:rPr>
              <w:t xml:space="preserve">Low or ineffective partnering of the Government with the International Development Partners and the Delegation of EU (DEU) </w:t>
            </w:r>
            <w:r w:rsidR="00D1408A" w:rsidRPr="0018068C">
              <w:rPr>
                <w:sz w:val="18"/>
                <w:szCs w:val="18"/>
              </w:rPr>
              <w:t>might be</w:t>
            </w:r>
            <w:r w:rsidRPr="0018068C">
              <w:rPr>
                <w:sz w:val="18"/>
                <w:szCs w:val="18"/>
              </w:rPr>
              <w:t xml:space="preserve"> perceived as a low risk.</w:t>
            </w:r>
          </w:p>
        </w:tc>
        <w:tc>
          <w:tcPr>
            <w:tcW w:w="1255" w:type="dxa"/>
            <w:shd w:val="clear" w:color="auto" w:fill="FFFF00"/>
          </w:tcPr>
          <w:p w14:paraId="181E826D" w14:textId="77777777" w:rsidR="00326240" w:rsidRPr="00C56601" w:rsidRDefault="00326240" w:rsidP="003E291C">
            <w:pPr>
              <w:jc w:val="both"/>
              <w:rPr>
                <w:sz w:val="18"/>
                <w:szCs w:val="18"/>
              </w:rPr>
            </w:pPr>
          </w:p>
        </w:tc>
      </w:tr>
      <w:tr w:rsidR="00326240" w:rsidRPr="00C56601" w14:paraId="198C414C" w14:textId="77777777" w:rsidTr="00F2013E">
        <w:tc>
          <w:tcPr>
            <w:tcW w:w="1807" w:type="dxa"/>
          </w:tcPr>
          <w:p w14:paraId="3A86630E" w14:textId="77777777" w:rsidR="00326240" w:rsidRPr="00C56601" w:rsidRDefault="00326240" w:rsidP="003E291C">
            <w:pPr>
              <w:jc w:val="both"/>
              <w:rPr>
                <w:color w:val="073763" w:themeColor="accent1" w:themeShade="80"/>
                <w:sz w:val="18"/>
                <w:szCs w:val="18"/>
              </w:rPr>
            </w:pPr>
            <w:r w:rsidRPr="00C56601">
              <w:rPr>
                <w:color w:val="073763" w:themeColor="accent1" w:themeShade="80"/>
                <w:sz w:val="18"/>
                <w:szCs w:val="18"/>
              </w:rPr>
              <w:t>European focus</w:t>
            </w:r>
          </w:p>
        </w:tc>
        <w:tc>
          <w:tcPr>
            <w:tcW w:w="6288" w:type="dxa"/>
          </w:tcPr>
          <w:p w14:paraId="5092DBFD" w14:textId="41F5A383" w:rsidR="00326240" w:rsidRPr="0018068C" w:rsidRDefault="00326240" w:rsidP="0018068C">
            <w:pPr>
              <w:jc w:val="both"/>
              <w:rPr>
                <w:sz w:val="18"/>
                <w:szCs w:val="18"/>
              </w:rPr>
            </w:pPr>
            <w:r w:rsidRPr="0018068C">
              <w:rPr>
                <w:sz w:val="18"/>
                <w:szCs w:val="18"/>
              </w:rPr>
              <w:t>The acceptance</w:t>
            </w:r>
            <w:r w:rsidR="009E6806" w:rsidRPr="0018068C">
              <w:rPr>
                <w:sz w:val="18"/>
                <w:szCs w:val="18"/>
              </w:rPr>
              <w:t xml:space="preserve"> and ownership</w:t>
            </w:r>
            <w:r w:rsidRPr="0018068C">
              <w:rPr>
                <w:sz w:val="18"/>
                <w:szCs w:val="18"/>
              </w:rPr>
              <w:t xml:space="preserve"> of the NDS will be stronger, if the strategy is grounded in country’s commitment </w:t>
            </w:r>
            <w:r w:rsidR="00F2013E" w:rsidRPr="0018068C">
              <w:rPr>
                <w:sz w:val="18"/>
                <w:szCs w:val="18"/>
              </w:rPr>
              <w:t>to</w:t>
            </w:r>
            <w:r w:rsidRPr="0018068C">
              <w:rPr>
                <w:sz w:val="18"/>
                <w:szCs w:val="18"/>
              </w:rPr>
              <w:t xml:space="preserve"> European </w:t>
            </w:r>
            <w:r w:rsidR="009E6806" w:rsidRPr="0018068C">
              <w:rPr>
                <w:sz w:val="18"/>
                <w:szCs w:val="18"/>
              </w:rPr>
              <w:t>a</w:t>
            </w:r>
            <w:r w:rsidRPr="0018068C">
              <w:rPr>
                <w:sz w:val="18"/>
                <w:szCs w:val="18"/>
              </w:rPr>
              <w:t>ccession.</w:t>
            </w:r>
          </w:p>
        </w:tc>
        <w:tc>
          <w:tcPr>
            <w:tcW w:w="1255" w:type="dxa"/>
            <w:shd w:val="clear" w:color="auto" w:fill="FFFF00"/>
          </w:tcPr>
          <w:p w14:paraId="2D0E52D3" w14:textId="77777777" w:rsidR="00326240" w:rsidRPr="00C56601" w:rsidRDefault="00326240" w:rsidP="003E291C">
            <w:pPr>
              <w:jc w:val="both"/>
              <w:rPr>
                <w:sz w:val="18"/>
                <w:szCs w:val="18"/>
              </w:rPr>
            </w:pPr>
          </w:p>
        </w:tc>
      </w:tr>
      <w:tr w:rsidR="003E291C" w:rsidRPr="00C56601" w14:paraId="5F49D3A9" w14:textId="77777777" w:rsidTr="003E291C">
        <w:tc>
          <w:tcPr>
            <w:tcW w:w="1807" w:type="dxa"/>
            <w:shd w:val="clear" w:color="auto" w:fill="FFFF00"/>
          </w:tcPr>
          <w:p w14:paraId="34B1AF84" w14:textId="77777777" w:rsidR="003E291C" w:rsidRPr="00C56601" w:rsidRDefault="003E291C" w:rsidP="003E291C">
            <w:pPr>
              <w:jc w:val="both"/>
              <w:rPr>
                <w:color w:val="073763" w:themeColor="accent1" w:themeShade="80"/>
                <w:sz w:val="18"/>
                <w:szCs w:val="18"/>
              </w:rPr>
            </w:pPr>
          </w:p>
        </w:tc>
        <w:tc>
          <w:tcPr>
            <w:tcW w:w="7543" w:type="dxa"/>
            <w:gridSpan w:val="2"/>
          </w:tcPr>
          <w:p w14:paraId="6AF1F4D1" w14:textId="1F34DBA5" w:rsidR="003E291C" w:rsidRPr="00C56601" w:rsidRDefault="003E291C" w:rsidP="003E291C">
            <w:pPr>
              <w:jc w:val="both"/>
              <w:rPr>
                <w:sz w:val="18"/>
                <w:szCs w:val="18"/>
              </w:rPr>
            </w:pPr>
            <w:r w:rsidRPr="00C56601">
              <w:rPr>
                <w:sz w:val="18"/>
                <w:szCs w:val="18"/>
              </w:rPr>
              <w:t>Low level of risk</w:t>
            </w:r>
          </w:p>
        </w:tc>
      </w:tr>
      <w:tr w:rsidR="003E291C" w:rsidRPr="00C56601" w14:paraId="34A6D91B" w14:textId="77777777" w:rsidTr="003E291C">
        <w:tc>
          <w:tcPr>
            <w:tcW w:w="1807" w:type="dxa"/>
            <w:shd w:val="clear" w:color="auto" w:fill="FFC000"/>
          </w:tcPr>
          <w:p w14:paraId="2E49DD3A" w14:textId="77777777" w:rsidR="003E291C" w:rsidRPr="00C56601" w:rsidRDefault="003E291C" w:rsidP="003E291C">
            <w:pPr>
              <w:jc w:val="both"/>
              <w:rPr>
                <w:color w:val="073763" w:themeColor="accent1" w:themeShade="80"/>
                <w:sz w:val="18"/>
                <w:szCs w:val="18"/>
              </w:rPr>
            </w:pPr>
          </w:p>
        </w:tc>
        <w:tc>
          <w:tcPr>
            <w:tcW w:w="7543" w:type="dxa"/>
            <w:gridSpan w:val="2"/>
          </w:tcPr>
          <w:p w14:paraId="65421EDC" w14:textId="6B259D81" w:rsidR="003E291C" w:rsidRPr="00C56601" w:rsidRDefault="003E291C" w:rsidP="003E291C">
            <w:pPr>
              <w:jc w:val="both"/>
              <w:rPr>
                <w:sz w:val="18"/>
                <w:szCs w:val="18"/>
              </w:rPr>
            </w:pPr>
            <w:r w:rsidRPr="00C56601">
              <w:rPr>
                <w:sz w:val="18"/>
                <w:szCs w:val="18"/>
              </w:rPr>
              <w:t>Moderate level of risk</w:t>
            </w:r>
          </w:p>
        </w:tc>
      </w:tr>
      <w:tr w:rsidR="003E291C" w:rsidRPr="00C56601" w14:paraId="57DBE8D7" w14:textId="77777777" w:rsidTr="003E291C">
        <w:tc>
          <w:tcPr>
            <w:tcW w:w="1807" w:type="dxa"/>
            <w:shd w:val="clear" w:color="auto" w:fill="FF0000"/>
          </w:tcPr>
          <w:p w14:paraId="7FE3ABF5" w14:textId="77777777" w:rsidR="003E291C" w:rsidRPr="00C56601" w:rsidRDefault="003E291C" w:rsidP="003E291C">
            <w:pPr>
              <w:jc w:val="both"/>
              <w:rPr>
                <w:color w:val="073763" w:themeColor="accent1" w:themeShade="80"/>
                <w:sz w:val="18"/>
                <w:szCs w:val="18"/>
              </w:rPr>
            </w:pPr>
          </w:p>
        </w:tc>
        <w:tc>
          <w:tcPr>
            <w:tcW w:w="7543" w:type="dxa"/>
            <w:gridSpan w:val="2"/>
          </w:tcPr>
          <w:p w14:paraId="725F94C9" w14:textId="044C4DD3" w:rsidR="003E291C" w:rsidRPr="00C56601" w:rsidRDefault="003E291C" w:rsidP="003E291C">
            <w:pPr>
              <w:jc w:val="both"/>
              <w:rPr>
                <w:sz w:val="18"/>
                <w:szCs w:val="18"/>
              </w:rPr>
            </w:pPr>
            <w:r w:rsidRPr="00C56601">
              <w:rPr>
                <w:sz w:val="18"/>
                <w:szCs w:val="18"/>
              </w:rPr>
              <w:t>High level of risk</w:t>
            </w:r>
          </w:p>
        </w:tc>
      </w:tr>
    </w:tbl>
    <w:p w14:paraId="769F02B1" w14:textId="77777777" w:rsidR="004849C5" w:rsidRDefault="004849C5" w:rsidP="004849C5">
      <w:pPr>
        <w:pStyle w:val="Heading2"/>
        <w:rPr>
          <w:sz w:val="24"/>
          <w:szCs w:val="24"/>
        </w:rPr>
      </w:pPr>
    </w:p>
    <w:p w14:paraId="496E03B3" w14:textId="547A65C4" w:rsidR="002D0138" w:rsidRPr="00C56601" w:rsidRDefault="00104575" w:rsidP="002D0138">
      <w:pPr>
        <w:pStyle w:val="Heading2"/>
        <w:numPr>
          <w:ilvl w:val="2"/>
          <w:numId w:val="1"/>
        </w:numPr>
        <w:rPr>
          <w:sz w:val="24"/>
          <w:szCs w:val="24"/>
        </w:rPr>
      </w:pPr>
      <w:bookmarkStart w:id="9" w:name="_Toc157427540"/>
      <w:r w:rsidRPr="00C56601">
        <w:rPr>
          <w:sz w:val="24"/>
          <w:szCs w:val="24"/>
        </w:rPr>
        <w:t xml:space="preserve">The </w:t>
      </w:r>
      <w:r w:rsidR="002D0138" w:rsidRPr="00C56601">
        <w:rPr>
          <w:sz w:val="24"/>
          <w:szCs w:val="24"/>
        </w:rPr>
        <w:t>Growth Acceleration Plan 2022-2026</w:t>
      </w:r>
      <w:bookmarkEnd w:id="9"/>
    </w:p>
    <w:p w14:paraId="4BE015B8" w14:textId="7E5C0FDA" w:rsidR="002D0138" w:rsidRPr="00C56601" w:rsidRDefault="002D0138" w:rsidP="00AF16D3">
      <w:pPr>
        <w:spacing w:after="0" w:line="240" w:lineRule="auto"/>
        <w:jc w:val="both"/>
        <w:rPr>
          <w:sz w:val="24"/>
          <w:szCs w:val="24"/>
        </w:rPr>
      </w:pPr>
    </w:p>
    <w:p w14:paraId="44285453" w14:textId="77777777" w:rsidR="009E6806" w:rsidRPr="00C56601" w:rsidRDefault="002D7DA0" w:rsidP="001D1BF8">
      <w:pPr>
        <w:spacing w:after="0" w:line="276" w:lineRule="auto"/>
        <w:jc w:val="both"/>
      </w:pPr>
      <w:r w:rsidRPr="00C56601">
        <w:rPr>
          <w:b/>
          <w:bCs/>
          <w:color w:val="276DBB" w:themeColor="text2" w:themeTint="BF"/>
        </w:rPr>
        <w:t>The Growth Acceleration Plan (GAP)</w:t>
      </w:r>
      <w:r w:rsidRPr="00C56601">
        <w:t xml:space="preserve"> </w:t>
      </w:r>
      <w:r w:rsidR="009E6806" w:rsidRPr="00C56601">
        <w:t xml:space="preserve">is a medium-term strategic document that </w:t>
      </w:r>
      <w:r w:rsidRPr="00C56601">
        <w:t xml:space="preserve">consolidates all existing and new plans, initiatives, and allocated funds of the Government of North Macedonia and international development partners for the 2021-2026 period. It </w:t>
      </w:r>
      <w:r w:rsidR="009E6806" w:rsidRPr="00C56601">
        <w:t>could</w:t>
      </w:r>
      <w:r w:rsidRPr="00C56601">
        <w:t xml:space="preserve"> play a key role in boosting jobs and growth in the economy of North Macedonia. </w:t>
      </w:r>
      <w:r w:rsidR="00336528" w:rsidRPr="00C56601">
        <w:t>The Plan aims to finance the recovery of the economy affected by COVID-19 and to support accelerated and sustainable growth while maintaining fiscal stability by mobilizing capital from the private sector in addition to the funds allocated from the budget and borrowings.</w:t>
      </w:r>
    </w:p>
    <w:p w14:paraId="2A67B521" w14:textId="77777777" w:rsidR="009E6806" w:rsidRPr="00C56601" w:rsidRDefault="009E6806" w:rsidP="001D1BF8">
      <w:pPr>
        <w:spacing w:after="0" w:line="276" w:lineRule="auto"/>
        <w:jc w:val="both"/>
      </w:pPr>
    </w:p>
    <w:p w14:paraId="7D4776D6" w14:textId="13E1145B" w:rsidR="009E6806" w:rsidRPr="00C56601" w:rsidRDefault="002D7DA0" w:rsidP="001D1BF8">
      <w:pPr>
        <w:spacing w:after="0" w:line="276" w:lineRule="auto"/>
        <w:jc w:val="both"/>
      </w:pPr>
      <w:r w:rsidRPr="00C56601">
        <w:rPr>
          <w:b/>
          <w:bCs/>
          <w:color w:val="276DBB" w:themeColor="text2" w:themeTint="BF"/>
        </w:rPr>
        <w:t>The ultimate goal</w:t>
      </w:r>
      <w:r w:rsidR="00EB6AB9" w:rsidRPr="00C56601">
        <w:rPr>
          <w:b/>
          <w:bCs/>
          <w:color w:val="276DBB" w:themeColor="text2" w:themeTint="BF"/>
        </w:rPr>
        <w:t>s of the GAP</w:t>
      </w:r>
      <w:r w:rsidRPr="00C56601">
        <w:t xml:space="preserve"> are threefold: </w:t>
      </w:r>
      <w:r w:rsidR="00B47829" w:rsidRPr="00C56601">
        <w:t>(1) to i</w:t>
      </w:r>
      <w:r w:rsidRPr="00C56601">
        <w:t>ncrease investments - to make more efficient use of the publicly funded investment in the amount of EUR 4 billion in the next five years by mobilizing additional EUR 8 billion invested by the private sector and reaching a total of EUR 12 billion</w:t>
      </w:r>
      <w:r w:rsidR="00B47829" w:rsidRPr="00C56601">
        <w:t>; (2) to a</w:t>
      </w:r>
      <w:r w:rsidRPr="00C56601">
        <w:t>ccelerate growth - to double the rates of medium-term economic growth to 5% annual growth</w:t>
      </w:r>
      <w:r w:rsidR="00B47829" w:rsidRPr="00C56601">
        <w:t>; and (3) to e</w:t>
      </w:r>
      <w:r w:rsidRPr="00C56601">
        <w:t>nsure fiscal consolidation - to facilitate the reduction of the public debt below 60% of the country’s GDP in the medium-term.</w:t>
      </w:r>
      <w:r w:rsidR="00B47829" w:rsidRPr="00C56601">
        <w:t xml:space="preserve"> </w:t>
      </w:r>
      <w:r w:rsidRPr="00C56601">
        <w:t>It is important to underline that the Plan also establishes an Implementation Roadmap which defines priorities, steps, and tools in terms of timeline and commitment by the line ministries and other domestic institutions.</w:t>
      </w:r>
      <w:r w:rsidR="009E6806" w:rsidRPr="00C56601">
        <w:t xml:space="preserve"> However, the lack of institutional structure and the lack of a reform champion behind the GAP is perceived as a significant risk for its implementation.</w:t>
      </w:r>
    </w:p>
    <w:p w14:paraId="0CE75BDE" w14:textId="77777777" w:rsidR="009E6806" w:rsidRPr="00C56601" w:rsidRDefault="009E6806" w:rsidP="009E6806">
      <w:pPr>
        <w:spacing w:after="0" w:line="240" w:lineRule="auto"/>
        <w:jc w:val="both"/>
        <w:rPr>
          <w:sz w:val="24"/>
          <w:szCs w:val="24"/>
        </w:rPr>
      </w:pPr>
    </w:p>
    <w:p w14:paraId="452B25E2" w14:textId="77777777" w:rsidR="004C0C0C" w:rsidRPr="00C56601" w:rsidRDefault="004C0C0C" w:rsidP="004C0C0C">
      <w:pPr>
        <w:spacing w:after="0" w:line="276" w:lineRule="auto"/>
        <w:jc w:val="both"/>
      </w:pPr>
      <w:r w:rsidRPr="00C56601">
        <w:rPr>
          <w:b/>
          <w:bCs/>
          <w:color w:val="276DBB" w:themeColor="text2" w:themeTint="BF"/>
        </w:rPr>
        <w:t>Other important documents</w:t>
      </w:r>
      <w:r w:rsidRPr="00C56601">
        <w:t xml:space="preserve"> to be considered are the UNDP Country Programme Document 2021-2025, the SDG Financing landscape in North Macedonia (2021); the Public Finance Management Reform 2022-2025, the Economic Reform Programme 2023-2025, the Fiscal Strategy document as well as other relevant national and local policies and plans.</w:t>
      </w:r>
    </w:p>
    <w:p w14:paraId="6BF50E3C" w14:textId="77777777" w:rsidR="00D1408A" w:rsidRPr="00C56601" w:rsidRDefault="00D1408A" w:rsidP="004C0C0C">
      <w:pPr>
        <w:spacing w:after="0" w:line="276" w:lineRule="auto"/>
        <w:jc w:val="both"/>
      </w:pPr>
    </w:p>
    <w:p w14:paraId="62404D13" w14:textId="5F4C2AAA" w:rsidR="009E6806" w:rsidRPr="00C56601" w:rsidRDefault="00B47829" w:rsidP="009E6806">
      <w:pPr>
        <w:pStyle w:val="Heading2"/>
        <w:numPr>
          <w:ilvl w:val="1"/>
          <w:numId w:val="1"/>
        </w:numPr>
        <w:spacing w:before="0" w:line="240" w:lineRule="auto"/>
      </w:pPr>
      <w:bookmarkStart w:id="10" w:name="_Toc157427541"/>
      <w:r w:rsidRPr="00C56601">
        <w:t>United Nations</w:t>
      </w:r>
      <w:bookmarkEnd w:id="10"/>
    </w:p>
    <w:p w14:paraId="0FEB3552" w14:textId="77777777" w:rsidR="002122EF" w:rsidRDefault="002122EF" w:rsidP="002122EF"/>
    <w:p w14:paraId="3D2AB096" w14:textId="09401CFD" w:rsidR="00B47829" w:rsidRPr="00C56601" w:rsidRDefault="00B47829" w:rsidP="009E6806">
      <w:pPr>
        <w:pStyle w:val="Heading2"/>
        <w:numPr>
          <w:ilvl w:val="2"/>
          <w:numId w:val="1"/>
        </w:numPr>
        <w:spacing w:before="0" w:line="240" w:lineRule="auto"/>
        <w:rPr>
          <w:sz w:val="24"/>
          <w:szCs w:val="24"/>
        </w:rPr>
      </w:pPr>
      <w:bookmarkStart w:id="11" w:name="_Toc157427542"/>
      <w:r w:rsidRPr="00C56601">
        <w:rPr>
          <w:sz w:val="24"/>
          <w:szCs w:val="24"/>
        </w:rPr>
        <w:t>The UNDP Strategic Plan</w:t>
      </w:r>
      <w:r w:rsidR="009E6806" w:rsidRPr="00C56601">
        <w:rPr>
          <w:sz w:val="24"/>
          <w:szCs w:val="24"/>
        </w:rPr>
        <w:t xml:space="preserve"> 2022-2025</w:t>
      </w:r>
      <w:r w:rsidR="00774536">
        <w:rPr>
          <w:sz w:val="24"/>
          <w:szCs w:val="24"/>
        </w:rPr>
        <w:t xml:space="preserve"> and the SDG Finance Offer</w:t>
      </w:r>
      <w:bookmarkEnd w:id="11"/>
    </w:p>
    <w:p w14:paraId="29C53F9D" w14:textId="77777777" w:rsidR="00B47829" w:rsidRPr="00C56601" w:rsidRDefault="00B47829" w:rsidP="009E6806">
      <w:pPr>
        <w:spacing w:after="0" w:line="240" w:lineRule="auto"/>
        <w:jc w:val="both"/>
        <w:rPr>
          <w:sz w:val="24"/>
          <w:szCs w:val="24"/>
        </w:rPr>
      </w:pPr>
    </w:p>
    <w:p w14:paraId="0F262AB4" w14:textId="77777777" w:rsidR="00B47829" w:rsidRPr="00C56601" w:rsidRDefault="00B47829" w:rsidP="001D1BF8">
      <w:pPr>
        <w:spacing w:after="0" w:line="276" w:lineRule="auto"/>
        <w:jc w:val="both"/>
      </w:pPr>
      <w:r w:rsidRPr="00C56601">
        <w:rPr>
          <w:b/>
          <w:bCs/>
          <w:color w:val="276DBB" w:themeColor="text2" w:themeTint="BF"/>
          <w:u w:val="single"/>
        </w:rPr>
        <w:t xml:space="preserve">The </w:t>
      </w:r>
      <w:hyperlink r:id="rId9" w:tgtFrame="_blank" w:history="1">
        <w:r w:rsidRPr="00C56601">
          <w:rPr>
            <w:b/>
            <w:bCs/>
            <w:color w:val="276DBB" w:themeColor="text2" w:themeTint="BF"/>
            <w:u w:val="single"/>
          </w:rPr>
          <w:t>Strategic Plan 2022-2025</w:t>
        </w:r>
      </w:hyperlink>
      <w:r w:rsidRPr="00C56601">
        <w:t xml:space="preserve"> of the United Nations Development Programme (UNDP) introduces the evolution of </w:t>
      </w:r>
      <w:r w:rsidRPr="00C56601">
        <w:rPr>
          <w:i/>
          <w:iCs/>
        </w:rPr>
        <w:t>#NextGenUNDP</w:t>
      </w:r>
      <w:r w:rsidRPr="00C56601">
        <w:t xml:space="preserve"> into </w:t>
      </w:r>
      <w:r w:rsidRPr="00C56601">
        <w:rPr>
          <w:i/>
          <w:iCs/>
        </w:rPr>
        <w:t>#FutureSmartUNDP</w:t>
      </w:r>
      <w:r w:rsidRPr="00C56601">
        <w:t>. Among numerous recommendations, it calls for seizing the opportunity for a decisive push towards the Sustainable Development Goals (SDGs) and applying integrated approaches aimed at transformative change. To maximize the development impact, the Plan is summarized by a “</w:t>
      </w:r>
      <w:r w:rsidRPr="00C56601">
        <w:rPr>
          <w:color w:val="FF0000"/>
        </w:rPr>
        <w:t>3</w:t>
      </w:r>
      <w:r w:rsidRPr="00C56601">
        <w:rPr>
          <w:color w:val="0070C0"/>
        </w:rPr>
        <w:t xml:space="preserve"> </w:t>
      </w:r>
      <w:r w:rsidRPr="00C56601">
        <w:t xml:space="preserve">x </w:t>
      </w:r>
      <w:r w:rsidRPr="00C56601">
        <w:rPr>
          <w:color w:val="0070C0"/>
        </w:rPr>
        <w:t>6</w:t>
      </w:r>
      <w:r w:rsidRPr="00C56601">
        <w:t xml:space="preserve"> x </w:t>
      </w:r>
      <w:r w:rsidRPr="00C56601">
        <w:rPr>
          <w:color w:val="00B050"/>
        </w:rPr>
        <w:t>3</w:t>
      </w:r>
      <w:r w:rsidRPr="00C56601">
        <w:t>” framework, in which:</w:t>
      </w:r>
    </w:p>
    <w:p w14:paraId="4640E580" w14:textId="77777777" w:rsidR="00B47829" w:rsidRPr="00C56601" w:rsidRDefault="00B47829" w:rsidP="001D1BF8">
      <w:pPr>
        <w:pStyle w:val="ListParagraph"/>
        <w:numPr>
          <w:ilvl w:val="0"/>
          <w:numId w:val="2"/>
        </w:numPr>
        <w:spacing w:after="0" w:line="276" w:lineRule="auto"/>
        <w:jc w:val="both"/>
      </w:pPr>
      <w:r w:rsidRPr="00C56601">
        <w:rPr>
          <w:color w:val="FF0000"/>
        </w:rPr>
        <w:t>3</w:t>
      </w:r>
      <w:r w:rsidRPr="00C56601">
        <w:t xml:space="preserve"> directions of change (structural transformation, leaving no-one behind, and building resilience) are pursued </w:t>
      </w:r>
      <w:proofErr w:type="gramStart"/>
      <w:r w:rsidRPr="00C56601">
        <w:t>by</w:t>
      </w:r>
      <w:proofErr w:type="gramEnd"/>
    </w:p>
    <w:p w14:paraId="42B13C7C" w14:textId="77777777" w:rsidR="00B47829" w:rsidRPr="00C56601" w:rsidRDefault="00B47829" w:rsidP="001D1BF8">
      <w:pPr>
        <w:pStyle w:val="ListParagraph"/>
        <w:numPr>
          <w:ilvl w:val="0"/>
          <w:numId w:val="2"/>
        </w:numPr>
        <w:spacing w:after="0" w:line="276" w:lineRule="auto"/>
        <w:jc w:val="both"/>
      </w:pPr>
      <w:r w:rsidRPr="00C56601">
        <w:rPr>
          <w:color w:val="0070C0"/>
        </w:rPr>
        <w:t>6</w:t>
      </w:r>
      <w:r w:rsidRPr="00C56601">
        <w:rPr>
          <w:color w:val="FF0000"/>
        </w:rPr>
        <w:t xml:space="preserve"> </w:t>
      </w:r>
      <w:r w:rsidRPr="00C56601">
        <w:t>signature solutions (poverty and inequality, governance, resilience, environment, energy, and gender equality), and powered by</w:t>
      </w:r>
    </w:p>
    <w:p w14:paraId="246A4AD9" w14:textId="0F5D0A3E" w:rsidR="00B47829" w:rsidRPr="00C56601" w:rsidRDefault="00B47829" w:rsidP="001D1BF8">
      <w:pPr>
        <w:pStyle w:val="ListParagraph"/>
        <w:numPr>
          <w:ilvl w:val="0"/>
          <w:numId w:val="2"/>
        </w:numPr>
        <w:spacing w:after="0" w:line="276" w:lineRule="auto"/>
        <w:jc w:val="both"/>
      </w:pPr>
      <w:r w:rsidRPr="00C56601">
        <w:rPr>
          <w:color w:val="00B050"/>
        </w:rPr>
        <w:t xml:space="preserve">3 </w:t>
      </w:r>
      <w:r w:rsidRPr="00C56601">
        <w:t>enablers (digitalisation, strategic innovation, and development financing).</w:t>
      </w:r>
    </w:p>
    <w:p w14:paraId="56569CF2" w14:textId="77777777" w:rsidR="00113C5B" w:rsidRDefault="00113C5B" w:rsidP="00EC12B4"/>
    <w:p w14:paraId="1987788C" w14:textId="77777777" w:rsidR="004849C5" w:rsidRPr="004849C5" w:rsidRDefault="004849C5" w:rsidP="004849C5">
      <w:pPr>
        <w:spacing w:after="0" w:line="276" w:lineRule="auto"/>
        <w:jc w:val="both"/>
        <w:rPr>
          <w:rFonts w:cstheme="minorHAnsi"/>
          <w:lang w:val="en-CA"/>
        </w:rPr>
      </w:pPr>
      <w:r w:rsidRPr="004849C5">
        <w:rPr>
          <w:rFonts w:cstheme="minorHAnsi"/>
          <w:lang w:val="en-CA"/>
        </w:rPr>
        <w:lastRenderedPageBreak/>
        <w:t xml:space="preserve">As mentioned in UNDP Strategic Plan 2022-2025, the general objective (impact) is to promote over USD 1 trillion public expenditure and private capital investment in the SDGs during the 2022-2025 period. There are also important cross-cutting strategies adopted by UNDP worldwide such as the </w:t>
      </w:r>
      <w:hyperlink r:id="rId10" w:history="1">
        <w:r w:rsidRPr="004849C5">
          <w:rPr>
            <w:rStyle w:val="Hyperlink"/>
            <w:rFonts w:cstheme="minorHAnsi"/>
            <w:lang w:val="en-CA"/>
          </w:rPr>
          <w:t>Gender Equality Strategy 2022-2025</w:t>
        </w:r>
      </w:hyperlink>
      <w:r w:rsidRPr="004849C5">
        <w:rPr>
          <w:rFonts w:cstheme="minorHAnsi"/>
          <w:lang w:val="en-CA"/>
        </w:rPr>
        <w:t xml:space="preserve">, which explore more in detail the signature solutions. </w:t>
      </w:r>
    </w:p>
    <w:p w14:paraId="5D26F244" w14:textId="77777777" w:rsidR="004849C5" w:rsidRDefault="004849C5" w:rsidP="00EC12B4"/>
    <w:p w14:paraId="79A97AD0" w14:textId="1E9BC61F" w:rsidR="00B47829" w:rsidRPr="00C56601" w:rsidRDefault="004849C5" w:rsidP="00B47829">
      <w:pPr>
        <w:pStyle w:val="Caption"/>
        <w:spacing w:after="0"/>
        <w:rPr>
          <w:i w:val="0"/>
          <w:iCs w:val="0"/>
          <w:color w:val="0070C0"/>
          <w:sz w:val="22"/>
          <w:szCs w:val="22"/>
        </w:rPr>
      </w:pPr>
      <w:bookmarkStart w:id="12" w:name="_Toc157427576"/>
      <w:r>
        <w:rPr>
          <w:i w:val="0"/>
          <w:iCs w:val="0"/>
          <w:color w:val="0070C0"/>
          <w:sz w:val="22"/>
          <w:szCs w:val="22"/>
        </w:rPr>
        <w:t>F</w:t>
      </w:r>
      <w:r w:rsidR="00B47829" w:rsidRPr="00C56601">
        <w:rPr>
          <w:i w:val="0"/>
          <w:iCs w:val="0"/>
          <w:color w:val="0070C0"/>
          <w:sz w:val="22"/>
          <w:szCs w:val="22"/>
        </w:rPr>
        <w:t xml:space="preserve">igure </w:t>
      </w:r>
      <w:r w:rsidR="00B47829" w:rsidRPr="00C56601">
        <w:rPr>
          <w:i w:val="0"/>
          <w:iCs w:val="0"/>
          <w:color w:val="0070C0"/>
          <w:sz w:val="22"/>
          <w:szCs w:val="22"/>
        </w:rPr>
        <w:fldChar w:fldCharType="begin"/>
      </w:r>
      <w:r w:rsidR="00B47829" w:rsidRPr="00C56601">
        <w:rPr>
          <w:i w:val="0"/>
          <w:iCs w:val="0"/>
          <w:color w:val="0070C0"/>
          <w:sz w:val="22"/>
          <w:szCs w:val="22"/>
        </w:rPr>
        <w:instrText xml:space="preserve"> SEQ Figure \* ARABIC </w:instrText>
      </w:r>
      <w:r w:rsidR="00B47829" w:rsidRPr="00C56601">
        <w:rPr>
          <w:i w:val="0"/>
          <w:iCs w:val="0"/>
          <w:color w:val="0070C0"/>
          <w:sz w:val="22"/>
          <w:szCs w:val="22"/>
        </w:rPr>
        <w:fldChar w:fldCharType="separate"/>
      </w:r>
      <w:r w:rsidR="00227165">
        <w:rPr>
          <w:i w:val="0"/>
          <w:iCs w:val="0"/>
          <w:noProof/>
          <w:color w:val="0070C0"/>
          <w:sz w:val="22"/>
          <w:szCs w:val="22"/>
        </w:rPr>
        <w:t>1</w:t>
      </w:r>
      <w:r w:rsidR="00B47829" w:rsidRPr="00C56601">
        <w:rPr>
          <w:i w:val="0"/>
          <w:iCs w:val="0"/>
          <w:color w:val="0070C0"/>
          <w:sz w:val="22"/>
          <w:szCs w:val="22"/>
        </w:rPr>
        <w:fldChar w:fldCharType="end"/>
      </w:r>
      <w:r w:rsidR="00B47829" w:rsidRPr="00C56601">
        <w:rPr>
          <w:i w:val="0"/>
          <w:iCs w:val="0"/>
          <w:color w:val="0070C0"/>
          <w:sz w:val="22"/>
          <w:szCs w:val="22"/>
        </w:rPr>
        <w:t>. The UNDP Strategic Plan Illustrated</w:t>
      </w:r>
      <w:bookmarkEnd w:id="12"/>
    </w:p>
    <w:p w14:paraId="75D97538" w14:textId="77777777" w:rsidR="00B47829" w:rsidRPr="00C56601" w:rsidRDefault="00B47829" w:rsidP="00B47829">
      <w:pPr>
        <w:spacing w:after="0" w:line="240" w:lineRule="auto"/>
        <w:jc w:val="both"/>
      </w:pPr>
      <w:r w:rsidRPr="00C56601">
        <w:rPr>
          <w:noProof/>
        </w:rPr>
        <w:drawing>
          <wp:inline distT="0" distB="0" distL="0" distR="0" wp14:anchorId="5C876313" wp14:editId="50F0A9BE">
            <wp:extent cx="5943600" cy="207835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2078355"/>
                    </a:xfrm>
                    <a:prstGeom prst="rect">
                      <a:avLst/>
                    </a:prstGeom>
                    <a:noFill/>
                    <a:ln>
                      <a:noFill/>
                    </a:ln>
                  </pic:spPr>
                </pic:pic>
              </a:graphicData>
            </a:graphic>
          </wp:inline>
        </w:drawing>
      </w:r>
    </w:p>
    <w:p w14:paraId="3272E8B2" w14:textId="77777777" w:rsidR="00B47829" w:rsidRPr="00C56601" w:rsidRDefault="00B47829" w:rsidP="00B47829">
      <w:pPr>
        <w:spacing w:after="0" w:line="240" w:lineRule="auto"/>
        <w:jc w:val="both"/>
      </w:pPr>
    </w:p>
    <w:p w14:paraId="3934F6E7" w14:textId="0DD0CA69" w:rsidR="00774536" w:rsidRDefault="00774536" w:rsidP="001D1BF8">
      <w:pPr>
        <w:spacing w:after="0" w:line="276" w:lineRule="auto"/>
        <w:jc w:val="both"/>
        <w:rPr>
          <w:rFonts w:cstheme="minorHAnsi"/>
          <w:lang w:val="en-CA"/>
        </w:rPr>
      </w:pPr>
    </w:p>
    <w:p w14:paraId="7D75399F" w14:textId="34E93F5E" w:rsidR="00774536" w:rsidRDefault="00774536" w:rsidP="001D1BF8">
      <w:pPr>
        <w:spacing w:after="0" w:line="276" w:lineRule="auto"/>
        <w:jc w:val="both"/>
        <w:rPr>
          <w:rFonts w:cstheme="minorHAnsi"/>
          <w:lang w:val="en-CA"/>
        </w:rPr>
      </w:pPr>
      <w:r>
        <w:rPr>
          <w:rFonts w:cstheme="minorHAnsi"/>
          <w:lang w:val="en-CA"/>
        </w:rPr>
        <w:t>In turn, the SDG finance offer – largely promoted through the SDG finance academy – consists of the following four pillars (aside from the SDG finance academy):</w:t>
      </w:r>
    </w:p>
    <w:p w14:paraId="0328704A" w14:textId="0AD2E5B8" w:rsidR="00774536" w:rsidRPr="00C56601" w:rsidRDefault="00774536" w:rsidP="001D1BF8">
      <w:pPr>
        <w:spacing w:after="0" w:line="276" w:lineRule="auto"/>
        <w:jc w:val="both"/>
        <w:rPr>
          <w:rFonts w:cstheme="minorHAnsi"/>
          <w:lang w:val="en-CA"/>
        </w:rPr>
      </w:pPr>
      <w:r w:rsidRPr="00774536">
        <w:rPr>
          <w:rFonts w:cstheme="minorHAnsi"/>
          <w:noProof/>
        </w:rPr>
        <w:drawing>
          <wp:inline distT="0" distB="0" distL="0" distR="0" wp14:anchorId="57C3705A" wp14:editId="73D8C30F">
            <wp:extent cx="5943600" cy="2459355"/>
            <wp:effectExtent l="0" t="0" r="0" b="0"/>
            <wp:docPr id="1488268367" name="Diagram 1">
              <a:extLst xmlns:a="http://schemas.openxmlformats.org/drawingml/2006/main">
                <a:ext uri="{FF2B5EF4-FFF2-40B4-BE49-F238E27FC236}">
                  <a16:creationId xmlns:a16="http://schemas.microsoft.com/office/drawing/2014/main" id="{13DB957F-7831-B388-AC47-A4A574F4815C}"/>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698F1ED4" w14:textId="77777777" w:rsidR="00B47829" w:rsidRPr="00C56601" w:rsidRDefault="00B47829" w:rsidP="001D1BF8">
      <w:pPr>
        <w:spacing w:after="0" w:line="276" w:lineRule="auto"/>
      </w:pPr>
    </w:p>
    <w:p w14:paraId="20A1A9AA" w14:textId="73CFD9BB" w:rsidR="0007439B" w:rsidRPr="00C56601" w:rsidRDefault="003E291C" w:rsidP="001D1BF8">
      <w:pPr>
        <w:pStyle w:val="Heading2"/>
        <w:numPr>
          <w:ilvl w:val="2"/>
          <w:numId w:val="1"/>
        </w:numPr>
        <w:spacing w:before="0" w:line="276" w:lineRule="auto"/>
        <w:rPr>
          <w:sz w:val="24"/>
          <w:szCs w:val="24"/>
        </w:rPr>
      </w:pPr>
      <w:bookmarkStart w:id="13" w:name="_Toc157427543"/>
      <w:r w:rsidRPr="00C56601">
        <w:rPr>
          <w:sz w:val="24"/>
          <w:szCs w:val="24"/>
        </w:rPr>
        <w:t xml:space="preserve">The </w:t>
      </w:r>
      <w:r w:rsidR="002D0138" w:rsidRPr="00C56601">
        <w:rPr>
          <w:sz w:val="24"/>
          <w:szCs w:val="24"/>
        </w:rPr>
        <w:t>Sustainable Development Cooperation Framework</w:t>
      </w:r>
      <w:bookmarkEnd w:id="13"/>
    </w:p>
    <w:p w14:paraId="033D8534" w14:textId="77777777" w:rsidR="002D0138" w:rsidRPr="00C56601" w:rsidRDefault="002D0138" w:rsidP="001D1BF8">
      <w:pPr>
        <w:spacing w:after="0" w:line="276" w:lineRule="auto"/>
      </w:pPr>
    </w:p>
    <w:p w14:paraId="6B5DE2E9" w14:textId="59F9E442" w:rsidR="0007439B" w:rsidRPr="00C56601" w:rsidRDefault="0007439B" w:rsidP="001D1BF8">
      <w:pPr>
        <w:spacing w:after="0" w:line="276" w:lineRule="auto"/>
        <w:jc w:val="both"/>
      </w:pPr>
      <w:r w:rsidRPr="00C56601">
        <w:rPr>
          <w:b/>
          <w:bCs/>
          <w:color w:val="276DBB" w:themeColor="text2" w:themeTint="BF"/>
        </w:rPr>
        <w:t xml:space="preserve">The 2021‐2025 United Nations Sustainable Development Cooperation Framework (SDCF) </w:t>
      </w:r>
      <w:r w:rsidRPr="00C56601">
        <w:t>is a key strategic document guiding the work of the UN System in the Republic of North Macedonia, developed in close partnership with the Government of the Republic of North Macedonia and other stakeholders.</w:t>
      </w:r>
      <w:r w:rsidR="002D0138" w:rsidRPr="00C56601">
        <w:t xml:space="preserve"> The SDCF outlines the UN’s commitment to support the country in achieving the 2030 Agenda for SDGs. The SDCF is based on the national development priorities and strategies and is aligned with the UN’s global priorities. </w:t>
      </w:r>
      <w:r w:rsidR="002D0138" w:rsidRPr="00C56601">
        <w:lastRenderedPageBreak/>
        <w:t>Recognising that EU membership is a key national priority, SDCF strives to ensure full alignment with the EU accession process. This includes providing support to the government in the areas of policy development, capacity building, and technical assistance. SDCF works closely with the government to ensure that the country meets the requirements for EU accession, including the adoption of EU legislation and standards.</w:t>
      </w:r>
    </w:p>
    <w:p w14:paraId="4BA8FBA3" w14:textId="77777777" w:rsidR="008A2E48" w:rsidRPr="00C56601" w:rsidRDefault="008A2E48" w:rsidP="001D1BF8">
      <w:pPr>
        <w:spacing w:after="0" w:line="276" w:lineRule="auto"/>
        <w:jc w:val="both"/>
      </w:pPr>
    </w:p>
    <w:p w14:paraId="3E8B834F" w14:textId="593748FC" w:rsidR="00B2718A" w:rsidRDefault="00B2718A" w:rsidP="00B2718A">
      <w:pPr>
        <w:spacing w:after="0" w:line="276" w:lineRule="auto"/>
        <w:jc w:val="both"/>
      </w:pPr>
      <w:r w:rsidRPr="00C56601">
        <w:rPr>
          <w:b/>
          <w:bCs/>
          <w:color w:val="276DBB" w:themeColor="text2" w:themeTint="BF"/>
        </w:rPr>
        <w:t>Other important documents</w:t>
      </w:r>
      <w:r w:rsidRPr="00C56601">
        <w:t xml:space="preserve"> to be considered are the UNDP Country Programme Document 2021-2025, the </w:t>
      </w:r>
      <w:hyperlink r:id="rId17" w:history="1">
        <w:r w:rsidRPr="007B4899">
          <w:rPr>
            <w:rStyle w:val="Hyperlink"/>
          </w:rPr>
          <w:t>SDG Financing landscape in North Macedonia (2021)</w:t>
        </w:r>
      </w:hyperlink>
      <w:r w:rsidRPr="00C56601">
        <w:t xml:space="preserve"> and the </w:t>
      </w:r>
      <w:hyperlink r:id="rId18" w:history="1">
        <w:r w:rsidRPr="00C56601">
          <w:rPr>
            <w:rStyle w:val="Hyperlink"/>
          </w:rPr>
          <w:t>Innovative Mechanisms and Tools for Financing Strategic Documents</w:t>
        </w:r>
      </w:hyperlink>
      <w:r w:rsidRPr="00C56601">
        <w:t>.</w:t>
      </w:r>
    </w:p>
    <w:p w14:paraId="36C1B90F" w14:textId="77777777" w:rsidR="002768F0" w:rsidRPr="00C56601" w:rsidRDefault="002768F0" w:rsidP="00B2718A">
      <w:pPr>
        <w:spacing w:after="0" w:line="276" w:lineRule="auto"/>
        <w:jc w:val="both"/>
      </w:pPr>
    </w:p>
    <w:p w14:paraId="078524BB" w14:textId="5FF36638" w:rsidR="00336528" w:rsidRPr="00C56601" w:rsidRDefault="00B348F0" w:rsidP="001D1BF8">
      <w:pPr>
        <w:pStyle w:val="Heading2"/>
        <w:numPr>
          <w:ilvl w:val="1"/>
          <w:numId w:val="1"/>
        </w:numPr>
        <w:spacing w:before="0" w:line="276" w:lineRule="auto"/>
      </w:pPr>
      <w:bookmarkStart w:id="14" w:name="_Toc157427544"/>
      <w:r w:rsidRPr="00C56601">
        <w:t>The</w:t>
      </w:r>
      <w:r w:rsidR="002D0138" w:rsidRPr="00C56601">
        <w:t xml:space="preserve"> European Union</w:t>
      </w:r>
      <w:bookmarkEnd w:id="14"/>
    </w:p>
    <w:p w14:paraId="3D1EB66E" w14:textId="77777777" w:rsidR="00B2718A" w:rsidRPr="00C56601" w:rsidRDefault="00B2718A" w:rsidP="00FE705A">
      <w:pPr>
        <w:spacing w:after="0" w:line="240" w:lineRule="auto"/>
      </w:pPr>
    </w:p>
    <w:p w14:paraId="34B18224" w14:textId="1BE23AD9" w:rsidR="00B348F0" w:rsidRPr="00C56601" w:rsidRDefault="00336528" w:rsidP="001D1BF8">
      <w:pPr>
        <w:pStyle w:val="Heading2"/>
        <w:spacing w:before="0" w:line="276" w:lineRule="auto"/>
        <w:ind w:firstLine="360"/>
        <w:rPr>
          <w:sz w:val="24"/>
          <w:szCs w:val="24"/>
        </w:rPr>
      </w:pPr>
      <w:bookmarkStart w:id="15" w:name="_Toc157427545"/>
      <w:r w:rsidRPr="00C56601">
        <w:rPr>
          <w:sz w:val="24"/>
          <w:szCs w:val="24"/>
        </w:rPr>
        <w:t>2.3.1.</w:t>
      </w:r>
      <w:r w:rsidR="00B348F0" w:rsidRPr="00C56601">
        <w:rPr>
          <w:sz w:val="24"/>
          <w:szCs w:val="24"/>
        </w:rPr>
        <w:t xml:space="preserve"> </w:t>
      </w:r>
      <w:r w:rsidRPr="00C56601">
        <w:rPr>
          <w:sz w:val="24"/>
          <w:szCs w:val="24"/>
        </w:rPr>
        <w:t xml:space="preserve">The </w:t>
      </w:r>
      <w:r w:rsidR="00B348F0" w:rsidRPr="00C56601">
        <w:rPr>
          <w:sz w:val="24"/>
          <w:szCs w:val="24"/>
        </w:rPr>
        <w:t xml:space="preserve">EU </w:t>
      </w:r>
      <w:r w:rsidR="0007439B" w:rsidRPr="00C56601">
        <w:rPr>
          <w:sz w:val="24"/>
          <w:szCs w:val="24"/>
        </w:rPr>
        <w:t>Accession Process: Six</w:t>
      </w:r>
      <w:r w:rsidR="00257301" w:rsidRPr="00C56601">
        <w:rPr>
          <w:sz w:val="24"/>
          <w:szCs w:val="24"/>
        </w:rPr>
        <w:t xml:space="preserve"> Clusters</w:t>
      </w:r>
      <w:r w:rsidR="0007439B" w:rsidRPr="00C56601">
        <w:rPr>
          <w:sz w:val="24"/>
          <w:szCs w:val="24"/>
        </w:rPr>
        <w:t xml:space="preserve"> and 33 Chapters</w:t>
      </w:r>
      <w:bookmarkEnd w:id="15"/>
    </w:p>
    <w:p w14:paraId="5DD06EBC" w14:textId="554BDB49" w:rsidR="00B348F0" w:rsidRPr="00C56601" w:rsidRDefault="00B348F0" w:rsidP="001D1BF8">
      <w:pPr>
        <w:spacing w:after="0" w:line="276" w:lineRule="auto"/>
        <w:jc w:val="both"/>
      </w:pPr>
      <w:r w:rsidRPr="00C56601">
        <w:t xml:space="preserve">On 15 September 2022, the European Commission resumed the screening process with Albania and North Macedonia. </w:t>
      </w:r>
      <w:proofErr w:type="gramStart"/>
      <w:r w:rsidRPr="00C56601">
        <w:t>In light of</w:t>
      </w:r>
      <w:proofErr w:type="gramEnd"/>
      <w:r w:rsidRPr="00C56601">
        <w:t xml:space="preserve"> </w:t>
      </w:r>
      <w:r w:rsidR="002115A3" w:rsidRPr="00C56601">
        <w:t xml:space="preserve">country’s </w:t>
      </w:r>
      <w:r w:rsidRPr="00C56601">
        <w:t xml:space="preserve">prospective EU membership, the six thematic clusters (areas) </w:t>
      </w:r>
      <w:r w:rsidR="002115A3" w:rsidRPr="00C56601">
        <w:t>should also be taken into consideration</w:t>
      </w:r>
      <w:r w:rsidR="00D1408A" w:rsidRPr="00C56601">
        <w:t>: (1) fundamentals; (2) internal market; (3) competitiveness and inclusive growth; (4) green agenda and sustainable connectivity; (5) resources, agriculture, and cohesion; and (6) External relations.</w:t>
      </w:r>
      <w:r w:rsidR="00092EAC" w:rsidRPr="00C56601">
        <w:t xml:space="preserve"> It is a roadmap for upgrading institutional and administrative capacities, which of course, holds strong transformative power for further democratic consolidation and structural reforms.</w:t>
      </w:r>
    </w:p>
    <w:p w14:paraId="507F2E52" w14:textId="77777777" w:rsidR="004849C5" w:rsidRDefault="004849C5" w:rsidP="002F0AC8">
      <w:pPr>
        <w:spacing w:after="0" w:line="276" w:lineRule="auto"/>
        <w:jc w:val="both"/>
        <w:rPr>
          <w:b/>
          <w:bCs/>
          <w:color w:val="276DBB" w:themeColor="text2" w:themeTint="BF"/>
        </w:rPr>
      </w:pPr>
    </w:p>
    <w:p w14:paraId="32787486" w14:textId="0296065F" w:rsidR="00FE705A" w:rsidRPr="00C56601" w:rsidRDefault="00FE705A" w:rsidP="002F0AC8">
      <w:pPr>
        <w:spacing w:after="0" w:line="276" w:lineRule="auto"/>
        <w:jc w:val="both"/>
      </w:pPr>
      <w:r w:rsidRPr="00C56601">
        <w:rPr>
          <w:b/>
          <w:bCs/>
          <w:color w:val="276DBB" w:themeColor="text2" w:themeTint="BF"/>
        </w:rPr>
        <w:t xml:space="preserve">The EU accession agenda </w:t>
      </w:r>
      <w:r w:rsidRPr="00C56601">
        <w:t xml:space="preserve">focuses on regional </w:t>
      </w:r>
      <w:r w:rsidR="004849C5">
        <w:t xml:space="preserve">economic </w:t>
      </w:r>
      <w:r w:rsidRPr="00C56601">
        <w:t xml:space="preserve">integration, harmonization of </w:t>
      </w:r>
      <w:r w:rsidR="004849C5">
        <w:t>regulations and policies</w:t>
      </w:r>
      <w:r w:rsidRPr="00C56601">
        <w:t>, and adherence to EU standards and regulations and entails accepting and implementing EU laws, regulations, and policies. It is based on conditionalities with a reward system (net financial benefit) for new EU member countries with lower income per capita.</w:t>
      </w:r>
    </w:p>
    <w:p w14:paraId="22961A76" w14:textId="77777777" w:rsidR="00FE705A" w:rsidRPr="00C56601" w:rsidRDefault="00FE705A" w:rsidP="009B3AB5">
      <w:pPr>
        <w:spacing w:after="0" w:line="240" w:lineRule="auto"/>
        <w:jc w:val="both"/>
        <w:rPr>
          <w:sz w:val="20"/>
          <w:szCs w:val="20"/>
        </w:rPr>
      </w:pPr>
    </w:p>
    <w:p w14:paraId="3EEC381B" w14:textId="651314AD" w:rsidR="00FE705A" w:rsidRPr="00C56601" w:rsidRDefault="00FE705A" w:rsidP="00FE705A">
      <w:pPr>
        <w:pStyle w:val="Heading2"/>
        <w:numPr>
          <w:ilvl w:val="1"/>
          <w:numId w:val="1"/>
        </w:numPr>
        <w:spacing w:before="0" w:line="276" w:lineRule="auto"/>
      </w:pPr>
      <w:bookmarkStart w:id="16" w:name="_Toc157427546"/>
      <w:r w:rsidRPr="00C56601">
        <w:t>Complementarities</w:t>
      </w:r>
      <w:r w:rsidR="000E4183" w:rsidRPr="00C56601">
        <w:t xml:space="preserve">, </w:t>
      </w:r>
      <w:r w:rsidRPr="00C56601">
        <w:t>synergies</w:t>
      </w:r>
      <w:r w:rsidR="000E4183" w:rsidRPr="00C56601">
        <w:t>, and differences</w:t>
      </w:r>
      <w:bookmarkEnd w:id="16"/>
    </w:p>
    <w:p w14:paraId="485DF78B" w14:textId="77777777" w:rsidR="00FE705A" w:rsidRPr="00C56601" w:rsidRDefault="00FE705A" w:rsidP="00976BCC">
      <w:pPr>
        <w:spacing w:after="0" w:line="276" w:lineRule="auto"/>
        <w:jc w:val="both"/>
        <w:rPr>
          <w:b/>
          <w:bCs/>
          <w:color w:val="0070C0"/>
        </w:rPr>
      </w:pPr>
    </w:p>
    <w:p w14:paraId="40A44268" w14:textId="694DA043" w:rsidR="004B1FA4" w:rsidRPr="00C56601" w:rsidRDefault="00FE705A" w:rsidP="00FE705A">
      <w:pPr>
        <w:spacing w:after="0" w:line="276" w:lineRule="auto"/>
        <w:jc w:val="both"/>
      </w:pPr>
      <w:r w:rsidRPr="00C56601">
        <w:rPr>
          <w:b/>
          <w:bCs/>
          <w:color w:val="276DBB" w:themeColor="text2" w:themeTint="BF"/>
        </w:rPr>
        <w:t xml:space="preserve">Complementarity of the UN 2030 agenda, government reforms, and the European accession. </w:t>
      </w:r>
      <w:r w:rsidR="000E4183" w:rsidRPr="00C56601">
        <w:t>T</w:t>
      </w:r>
      <w:r w:rsidRPr="00C56601">
        <w:t>here is a high degree of complementarity of the agendas of the Government of North Macedonia</w:t>
      </w:r>
      <w:r w:rsidR="000E4183" w:rsidRPr="00C56601">
        <w:t xml:space="preserve">, </w:t>
      </w:r>
      <w:r w:rsidRPr="00C56601">
        <w:t>the UNDP Country Office (CO)</w:t>
      </w:r>
      <w:r w:rsidR="000E4183" w:rsidRPr="00C56601">
        <w:t xml:space="preserve"> and the EU integration efforts. Recommended policies and reforms are geared towards accelerated, inclusive, and sustainable development.</w:t>
      </w:r>
      <w:r w:rsidR="00366307" w:rsidRPr="00C56601">
        <w:t xml:space="preserve"> As highlighted by a machine learning analysis of the key strategic documents for the country, the key SDGs are related to the increasing the institutional capacities, creating an enabling environment for decent work and economic growth, more balanced territorial development, and reducing inequalities (Figure 2).</w:t>
      </w:r>
    </w:p>
    <w:p w14:paraId="7017F0C5" w14:textId="77777777" w:rsidR="004B1FA4" w:rsidRPr="00C56601" w:rsidRDefault="004B1FA4" w:rsidP="00FE705A">
      <w:pPr>
        <w:spacing w:after="0" w:line="276" w:lineRule="auto"/>
        <w:jc w:val="both"/>
      </w:pPr>
    </w:p>
    <w:p w14:paraId="5552B871" w14:textId="726A13DD" w:rsidR="005B02E6" w:rsidRPr="00C56601" w:rsidRDefault="005B02E6" w:rsidP="005B02E6">
      <w:pPr>
        <w:pStyle w:val="Caption"/>
        <w:spacing w:after="0"/>
        <w:rPr>
          <w:i w:val="0"/>
          <w:iCs w:val="0"/>
          <w:color w:val="0070C0"/>
          <w:sz w:val="22"/>
          <w:szCs w:val="22"/>
        </w:rPr>
      </w:pPr>
      <w:bookmarkStart w:id="17" w:name="_Toc157427577"/>
      <w:r w:rsidRPr="00C56601">
        <w:rPr>
          <w:i w:val="0"/>
          <w:iCs w:val="0"/>
          <w:color w:val="0070C0"/>
          <w:sz w:val="22"/>
          <w:szCs w:val="22"/>
        </w:rPr>
        <w:t xml:space="preserve">Figure </w:t>
      </w:r>
      <w:r w:rsidRPr="00C56601">
        <w:rPr>
          <w:i w:val="0"/>
          <w:iCs w:val="0"/>
          <w:color w:val="0070C0"/>
          <w:sz w:val="22"/>
          <w:szCs w:val="22"/>
        </w:rPr>
        <w:fldChar w:fldCharType="begin"/>
      </w:r>
      <w:r w:rsidRPr="00C56601">
        <w:rPr>
          <w:i w:val="0"/>
          <w:iCs w:val="0"/>
          <w:color w:val="0070C0"/>
          <w:sz w:val="22"/>
          <w:szCs w:val="22"/>
        </w:rPr>
        <w:instrText xml:space="preserve"> SEQ Figure \* ARABIC </w:instrText>
      </w:r>
      <w:r w:rsidRPr="00C56601">
        <w:rPr>
          <w:i w:val="0"/>
          <w:iCs w:val="0"/>
          <w:color w:val="0070C0"/>
          <w:sz w:val="22"/>
          <w:szCs w:val="22"/>
        </w:rPr>
        <w:fldChar w:fldCharType="separate"/>
      </w:r>
      <w:r w:rsidR="00227165">
        <w:rPr>
          <w:i w:val="0"/>
          <w:iCs w:val="0"/>
          <w:noProof/>
          <w:color w:val="0070C0"/>
          <w:sz w:val="22"/>
          <w:szCs w:val="22"/>
        </w:rPr>
        <w:t>2</w:t>
      </w:r>
      <w:r w:rsidRPr="00C56601">
        <w:rPr>
          <w:i w:val="0"/>
          <w:iCs w:val="0"/>
          <w:color w:val="0070C0"/>
          <w:sz w:val="22"/>
          <w:szCs w:val="22"/>
        </w:rPr>
        <w:fldChar w:fldCharType="end"/>
      </w:r>
      <w:r w:rsidRPr="00C56601">
        <w:rPr>
          <w:i w:val="0"/>
          <w:iCs w:val="0"/>
          <w:color w:val="0070C0"/>
          <w:sz w:val="22"/>
          <w:szCs w:val="22"/>
        </w:rPr>
        <w:t>. The importance of different SDGs in key strategic documents</w:t>
      </w:r>
      <w:bookmarkEnd w:id="17"/>
    </w:p>
    <w:p w14:paraId="137F7170" w14:textId="4EE9E28A" w:rsidR="005B02E6" w:rsidRPr="00C56601" w:rsidRDefault="005B02E6" w:rsidP="00FE705A">
      <w:pPr>
        <w:spacing w:after="0" w:line="276" w:lineRule="auto"/>
        <w:jc w:val="both"/>
      </w:pPr>
      <w:r w:rsidRPr="00C56601">
        <w:rPr>
          <w:noProof/>
        </w:rPr>
        <w:lastRenderedPageBreak/>
        <w:drawing>
          <wp:inline distT="0" distB="0" distL="0" distR="0" wp14:anchorId="7DA495D4" wp14:editId="1A076D0F">
            <wp:extent cx="3751729" cy="1891096"/>
            <wp:effectExtent l="0" t="0" r="0" b="0"/>
            <wp:docPr id="1560316186" name="Picture 1" descr="A colorful circles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316186" name="Picture 1" descr="A colorful circles with white text&#10;&#10;Description automatically generated"/>
                    <pic:cNvPicPr/>
                  </pic:nvPicPr>
                  <pic:blipFill>
                    <a:blip r:embed="rId19"/>
                    <a:stretch>
                      <a:fillRect/>
                    </a:stretch>
                  </pic:blipFill>
                  <pic:spPr>
                    <a:xfrm>
                      <a:off x="0" y="0"/>
                      <a:ext cx="3767483" cy="1899037"/>
                    </a:xfrm>
                    <a:prstGeom prst="rect">
                      <a:avLst/>
                    </a:prstGeom>
                  </pic:spPr>
                </pic:pic>
              </a:graphicData>
            </a:graphic>
          </wp:inline>
        </w:drawing>
      </w:r>
    </w:p>
    <w:p w14:paraId="6913AF85" w14:textId="364C508E" w:rsidR="005B02E6" w:rsidRPr="00C56601" w:rsidRDefault="005B02E6" w:rsidP="000E4183">
      <w:pPr>
        <w:spacing w:after="0" w:line="276" w:lineRule="auto"/>
        <w:jc w:val="both"/>
        <w:rPr>
          <w:color w:val="000000" w:themeColor="text1"/>
          <w:sz w:val="20"/>
          <w:szCs w:val="20"/>
        </w:rPr>
      </w:pPr>
      <w:r w:rsidRPr="00C56601">
        <w:rPr>
          <w:color w:val="000000" w:themeColor="text1"/>
          <w:sz w:val="20"/>
          <w:szCs w:val="20"/>
        </w:rPr>
        <w:t xml:space="preserve">Source: </w:t>
      </w:r>
      <w:hyperlink r:id="rId20" w:history="1">
        <w:r w:rsidRPr="00C56601">
          <w:rPr>
            <w:rStyle w:val="Hyperlink"/>
            <w:sz w:val="20"/>
            <w:szCs w:val="20"/>
          </w:rPr>
          <w:t>SDG push diagnostics</w:t>
        </w:r>
      </w:hyperlink>
      <w:r w:rsidRPr="00C56601">
        <w:rPr>
          <w:color w:val="000000" w:themeColor="text1"/>
          <w:sz w:val="20"/>
          <w:szCs w:val="20"/>
        </w:rPr>
        <w:t xml:space="preserve"> (July 2023).</w:t>
      </w:r>
    </w:p>
    <w:p w14:paraId="41DE8B9D" w14:textId="77777777" w:rsidR="005B02E6" w:rsidRPr="00C56601" w:rsidRDefault="005B02E6" w:rsidP="000E4183">
      <w:pPr>
        <w:spacing w:after="0" w:line="276" w:lineRule="auto"/>
        <w:jc w:val="both"/>
        <w:rPr>
          <w:b/>
          <w:bCs/>
          <w:color w:val="276DBB" w:themeColor="text2" w:themeTint="BF"/>
        </w:rPr>
      </w:pPr>
    </w:p>
    <w:p w14:paraId="1DE3F758" w14:textId="7AE08E02" w:rsidR="000E4183" w:rsidRPr="00C56601" w:rsidRDefault="000E4183" w:rsidP="000E4183">
      <w:pPr>
        <w:spacing w:after="0" w:line="276" w:lineRule="auto"/>
        <w:jc w:val="both"/>
      </w:pPr>
      <w:r w:rsidRPr="00C56601">
        <w:rPr>
          <w:b/>
          <w:bCs/>
          <w:color w:val="276DBB" w:themeColor="text2" w:themeTint="BF"/>
        </w:rPr>
        <w:t>Different systems of conditionality and reforms.</w:t>
      </w:r>
      <w:r w:rsidRPr="00C56601">
        <w:t xml:space="preserve"> The EU accession is a merit-based process, characterized by conditionality and financial rewards (pre-accession funds during the EU accession stage and structural and cohesive funds for the less developed EU member states</w:t>
      </w:r>
      <w:r w:rsidR="00B9341A">
        <w:t>)</w:t>
      </w:r>
      <w:r w:rsidRPr="00C56601">
        <w:t xml:space="preserve">. The UN 2030 agenda has no conditionality attached. Its reward system is not expressed as a financial contribution, but rather as </w:t>
      </w:r>
      <w:r w:rsidR="00F940D7" w:rsidRPr="00C56601">
        <w:t>an accelerating progress along all dimensions of human development.</w:t>
      </w:r>
      <w:r w:rsidR="002F0AC8" w:rsidRPr="00C56601">
        <w:t xml:space="preserve"> The </w:t>
      </w:r>
      <w:r w:rsidR="00DC2112" w:rsidRPr="00C56601">
        <w:t>financial, technical, and logistics support by the UN agencies is largely perceived as a welcomed complement (addition) to the pool of resources channelled towards the EU integration.</w:t>
      </w:r>
    </w:p>
    <w:p w14:paraId="6FFD478B" w14:textId="77777777" w:rsidR="000E4183" w:rsidRPr="00C56601" w:rsidRDefault="000E4183" w:rsidP="00FE705A">
      <w:pPr>
        <w:spacing w:after="0" w:line="276" w:lineRule="auto"/>
        <w:jc w:val="both"/>
      </w:pPr>
    </w:p>
    <w:p w14:paraId="46216079" w14:textId="3EB6372A" w:rsidR="00FE705A" w:rsidRPr="00C56601" w:rsidRDefault="000E4183" w:rsidP="00FE705A">
      <w:pPr>
        <w:spacing w:after="0" w:line="276" w:lineRule="auto"/>
        <w:jc w:val="both"/>
      </w:pPr>
      <w:r w:rsidRPr="00C56601">
        <w:rPr>
          <w:b/>
          <w:bCs/>
          <w:color w:val="276DBB" w:themeColor="text2" w:themeTint="BF"/>
        </w:rPr>
        <w:t>D</w:t>
      </w:r>
      <w:r w:rsidR="00FE705A" w:rsidRPr="00C56601">
        <w:rPr>
          <w:b/>
          <w:bCs/>
          <w:color w:val="276DBB" w:themeColor="text2" w:themeTint="BF"/>
        </w:rPr>
        <w:t>ifferent preferences</w:t>
      </w:r>
      <w:r w:rsidR="00FE705A" w:rsidRPr="00C56601">
        <w:t xml:space="preserve"> could emerge in terms of pace and sequencing of the reforms in various priority areas. Governments are usually more interested in immediate results eyeing on the next elections, whereas many reforms require time, persistence, and long-term commitment beyond election cycles. </w:t>
      </w:r>
      <w:r w:rsidR="007B4899" w:rsidRPr="00C56601">
        <w:t>For instance, building a railway connecting North Macedonia and Bulgaria takes more than 30 years as none of the governments saw immediate benefits.</w:t>
      </w:r>
      <w:r w:rsidR="007B4899">
        <w:t xml:space="preserve"> </w:t>
      </w:r>
      <w:r w:rsidR="00FE705A" w:rsidRPr="00C56601">
        <w:t>Still, the reform agendas of the UNDP CO in Skopje and the Government of North Macedonia can be considered as highly complementary and mutually reinforcing.</w:t>
      </w:r>
      <w:r w:rsidR="004B1FA4" w:rsidRPr="00C56601">
        <w:t xml:space="preserve"> </w:t>
      </w:r>
    </w:p>
    <w:p w14:paraId="097EE7F0" w14:textId="77777777" w:rsidR="00FE705A" w:rsidRPr="00C56601" w:rsidRDefault="00FE705A" w:rsidP="00FE705A">
      <w:pPr>
        <w:spacing w:after="0" w:line="276" w:lineRule="auto"/>
        <w:jc w:val="both"/>
        <w:rPr>
          <w:b/>
          <w:bCs/>
          <w:color w:val="276DBB" w:themeColor="text2" w:themeTint="BF"/>
        </w:rPr>
      </w:pPr>
    </w:p>
    <w:p w14:paraId="3477BE56" w14:textId="2789EEF9" w:rsidR="00FE705A" w:rsidRPr="00C56601" w:rsidRDefault="00FE705A" w:rsidP="004B1FA4">
      <w:pPr>
        <w:spacing w:after="0" w:line="276" w:lineRule="auto"/>
        <w:jc w:val="both"/>
      </w:pPr>
      <w:r w:rsidRPr="00C56601">
        <w:rPr>
          <w:b/>
          <w:bCs/>
          <w:color w:val="276DBB" w:themeColor="text2" w:themeTint="BF"/>
        </w:rPr>
        <w:t xml:space="preserve">Intertwining the SDGs into the EU accession agenda. </w:t>
      </w:r>
      <w:r w:rsidRPr="00C56601">
        <w:t xml:space="preserve">The UNDP CO must acknowledge </w:t>
      </w:r>
      <w:bookmarkStart w:id="18" w:name="_Hlk146559809"/>
      <w:r w:rsidRPr="00C56601">
        <w:t xml:space="preserve">the national and government commitment to and </w:t>
      </w:r>
      <w:r w:rsidR="007D16CA">
        <w:t>focus on</w:t>
      </w:r>
      <w:r w:rsidRPr="00C56601">
        <w:t xml:space="preserve"> the country’s EU integration. The government and the </w:t>
      </w:r>
      <w:proofErr w:type="gramStart"/>
      <w:r w:rsidRPr="00C56601">
        <w:t>general public</w:t>
      </w:r>
      <w:proofErr w:type="gramEnd"/>
      <w:r w:rsidRPr="00C56601">
        <w:t xml:space="preserve"> are more inclined to see the progress across the EU negotiating chapters and through the lenses of the EU accession process. </w:t>
      </w:r>
      <w:proofErr w:type="gramStart"/>
      <w:r w:rsidRPr="00C56601">
        <w:t>Needless to say, the</w:t>
      </w:r>
      <w:proofErr w:type="gramEnd"/>
      <w:r w:rsidRPr="00C56601">
        <w:t xml:space="preserve"> progress will also be reflected in higher degree of attainment of the Sustainable Development Goals (SDGs). To maximize the public awareness and the progress towards the 2030 UN Agenda for Sustainable Development, UNDP CO should link its activities by emphasizing the complementarities and synergies with the European integration agenda</w:t>
      </w:r>
      <w:r w:rsidR="004849C5">
        <w:t xml:space="preserve"> (Figure 3)</w:t>
      </w:r>
      <w:r w:rsidRPr="00C56601">
        <w:t xml:space="preserve">. This process can be enabled by highlighting the complementarities between the 2030 UN Agenda for Sustainable Development and the EU negotiating chapters. Even concordance tables can be derived between the SDGs and the EU chapters to ensure that SDG financing is also aligned with the EU accession agenda (Figure </w:t>
      </w:r>
      <w:r w:rsidR="001F297F" w:rsidRPr="00C56601">
        <w:t>3</w:t>
      </w:r>
      <w:r w:rsidRPr="00C56601">
        <w:t xml:space="preserve">). </w:t>
      </w:r>
      <w:bookmarkStart w:id="19" w:name="_Hlk146560126"/>
      <w:r w:rsidRPr="00C56601">
        <w:t>For example, Chapter 19 of the EC Progress Report is mostly linked to SDG #8 Decent work and economic growth, SDG #1 No Poverty, SDG #10 Reduced inequalities, SDG #5 Gender equality and women’s empowerment, and to a lesser extent to SDG #3 Good health and well-being. This exercise is needed as the authorities tend to be more attentive and responsive to the EU integration process, which itself is highly compatible and synergetic with the UN 2030 Agenda for Sustainable Development.</w:t>
      </w:r>
    </w:p>
    <w:bookmarkEnd w:id="18"/>
    <w:bookmarkEnd w:id="19"/>
    <w:p w14:paraId="5CDD932F" w14:textId="77777777" w:rsidR="004B1FA4" w:rsidRPr="00C56601" w:rsidRDefault="004B1FA4" w:rsidP="004B1FA4">
      <w:pPr>
        <w:spacing w:after="0" w:line="276" w:lineRule="auto"/>
        <w:jc w:val="both"/>
      </w:pPr>
    </w:p>
    <w:p w14:paraId="4B4446DD" w14:textId="77777777" w:rsidR="004849C5" w:rsidRPr="00774536" w:rsidRDefault="004849C5" w:rsidP="004849C5">
      <w:pPr>
        <w:spacing w:after="0" w:line="276" w:lineRule="auto"/>
        <w:jc w:val="both"/>
        <w:rPr>
          <w:rFonts w:asciiTheme="majorHAnsi" w:hAnsiTheme="majorHAnsi" w:cstheme="majorHAnsi"/>
          <w:color w:val="000000"/>
        </w:rPr>
      </w:pPr>
      <w:r w:rsidRPr="00774536">
        <w:rPr>
          <w:rFonts w:asciiTheme="majorHAnsi" w:hAnsiTheme="majorHAnsi" w:cstheme="majorHAnsi"/>
          <w:color w:val="000000"/>
        </w:rPr>
        <w:t>To ensure credibility of the established interlinkages, it is highly advisable to verify these findings and complement the analysis with an expert judgement exercise, by surveying professionals in various fields by mapping the relevant SDGs. This second stage of the process will be initiated once the new EC progress report for 2023 is published in mid-October 2023.</w:t>
      </w:r>
    </w:p>
    <w:p w14:paraId="155F618E" w14:textId="77777777" w:rsidR="004849C5" w:rsidRPr="00C56601" w:rsidRDefault="004849C5" w:rsidP="004849C5">
      <w:pPr>
        <w:spacing w:after="0" w:line="276" w:lineRule="auto"/>
        <w:jc w:val="both"/>
        <w:rPr>
          <w:b/>
          <w:bCs/>
          <w:color w:val="276DBB" w:themeColor="text2" w:themeTint="BF"/>
        </w:rPr>
      </w:pPr>
    </w:p>
    <w:p w14:paraId="2AA0F1B5" w14:textId="77777777" w:rsidR="004849C5" w:rsidRPr="00C56601" w:rsidRDefault="004849C5" w:rsidP="004849C5">
      <w:pPr>
        <w:spacing w:after="0" w:line="276" w:lineRule="auto"/>
        <w:jc w:val="both"/>
      </w:pPr>
      <w:r w:rsidRPr="00C56601">
        <w:rPr>
          <w:b/>
          <w:bCs/>
          <w:color w:val="276DBB" w:themeColor="text2" w:themeTint="BF"/>
        </w:rPr>
        <w:t>Competitive advantages of the UN 2030 agenda.</w:t>
      </w:r>
      <w:r w:rsidRPr="00C56601">
        <w:t xml:space="preserve"> It is fair to underscore that the EU accession does not cover in depth all aspects of sustainable development. The EU integration process is not very elaborate on education and health, key components of the human capital, which in turn, is a key enabler of the sustainable development. For comparison, SDG #3 is solely devoted to </w:t>
      </w:r>
      <w:r w:rsidRPr="00C56601">
        <w:rPr>
          <w:i/>
          <w:iCs/>
          <w:color w:val="0070C0"/>
        </w:rPr>
        <w:t>good health and well-being</w:t>
      </w:r>
      <w:r w:rsidRPr="00C56601">
        <w:t xml:space="preserve"> and SDG#4 is devoted to </w:t>
      </w:r>
      <w:r w:rsidRPr="00C56601">
        <w:rPr>
          <w:i/>
          <w:iCs/>
          <w:color w:val="0070C0"/>
        </w:rPr>
        <w:t>quality education</w:t>
      </w:r>
      <w:r w:rsidRPr="00C56601">
        <w:t>. Education and health are largely considered the responsibility of individual member states rather than EU-level competencies. Each member state has the autonomy to design and implement its policies based on its national needs and priorities. However, while education and health may not be directly covered in the EU accession, EU candidate countries are encouraged to align their education and health systems with EU policies and standards as part of the broader harmonization and approximation process. These are clear competitive advantages of the UN 2030 agenda. Unlike the EU integration’s focus on institutional and administrative capacities, the UN 2030 Agenda for Sustainable Development is human development centred.</w:t>
      </w:r>
    </w:p>
    <w:p w14:paraId="43996DE8" w14:textId="0277B0D6" w:rsidR="004849C5" w:rsidRDefault="004849C5" w:rsidP="004849C5">
      <w:pPr>
        <w:rPr>
          <w:color w:val="0070C0"/>
        </w:rPr>
      </w:pPr>
    </w:p>
    <w:p w14:paraId="36BFF81E" w14:textId="77777777" w:rsidR="002768F0" w:rsidRDefault="002768F0">
      <w:pPr>
        <w:rPr>
          <w:color w:val="0070C0"/>
        </w:rPr>
      </w:pPr>
      <w:bookmarkStart w:id="20" w:name="_Toc157427578"/>
      <w:r>
        <w:rPr>
          <w:i/>
          <w:iCs/>
          <w:color w:val="0070C0"/>
        </w:rPr>
        <w:br w:type="page"/>
      </w:r>
    </w:p>
    <w:p w14:paraId="70CDA76E" w14:textId="40E5461F" w:rsidR="00FE705A" w:rsidRPr="00C56601" w:rsidRDefault="00FE705A" w:rsidP="00FE705A">
      <w:pPr>
        <w:pStyle w:val="Caption"/>
        <w:spacing w:after="0"/>
        <w:rPr>
          <w:i w:val="0"/>
          <w:iCs w:val="0"/>
          <w:color w:val="0070C0"/>
          <w:sz w:val="22"/>
          <w:szCs w:val="22"/>
        </w:rPr>
      </w:pPr>
      <w:r w:rsidRPr="00C56601">
        <w:rPr>
          <w:i w:val="0"/>
          <w:iCs w:val="0"/>
          <w:color w:val="0070C0"/>
          <w:sz w:val="22"/>
          <w:szCs w:val="22"/>
        </w:rPr>
        <w:lastRenderedPageBreak/>
        <w:t xml:space="preserve">Figure </w:t>
      </w:r>
      <w:r w:rsidRPr="00C56601">
        <w:rPr>
          <w:i w:val="0"/>
          <w:iCs w:val="0"/>
          <w:color w:val="0070C0"/>
          <w:sz w:val="22"/>
          <w:szCs w:val="22"/>
        </w:rPr>
        <w:fldChar w:fldCharType="begin"/>
      </w:r>
      <w:r w:rsidRPr="00C56601">
        <w:rPr>
          <w:i w:val="0"/>
          <w:iCs w:val="0"/>
          <w:color w:val="0070C0"/>
          <w:sz w:val="22"/>
          <w:szCs w:val="22"/>
        </w:rPr>
        <w:instrText xml:space="preserve"> SEQ Figure \* ARABIC </w:instrText>
      </w:r>
      <w:r w:rsidRPr="00C56601">
        <w:rPr>
          <w:i w:val="0"/>
          <w:iCs w:val="0"/>
          <w:color w:val="0070C0"/>
          <w:sz w:val="22"/>
          <w:szCs w:val="22"/>
        </w:rPr>
        <w:fldChar w:fldCharType="separate"/>
      </w:r>
      <w:r w:rsidR="00227165">
        <w:rPr>
          <w:i w:val="0"/>
          <w:iCs w:val="0"/>
          <w:noProof/>
          <w:color w:val="0070C0"/>
          <w:sz w:val="22"/>
          <w:szCs w:val="22"/>
        </w:rPr>
        <w:t>3</w:t>
      </w:r>
      <w:r w:rsidRPr="00C56601">
        <w:rPr>
          <w:i w:val="0"/>
          <w:iCs w:val="0"/>
          <w:color w:val="0070C0"/>
          <w:sz w:val="22"/>
          <w:szCs w:val="22"/>
        </w:rPr>
        <w:fldChar w:fldCharType="end"/>
      </w:r>
      <w:r w:rsidRPr="00C56601">
        <w:rPr>
          <w:i w:val="0"/>
          <w:iCs w:val="0"/>
          <w:color w:val="0070C0"/>
          <w:sz w:val="22"/>
          <w:szCs w:val="22"/>
        </w:rPr>
        <w:t xml:space="preserve">. Interlinkages between EU negotiating </w:t>
      </w:r>
      <w:r w:rsidR="00776181">
        <w:rPr>
          <w:i w:val="0"/>
          <w:iCs w:val="0"/>
          <w:color w:val="0070C0"/>
          <w:sz w:val="22"/>
          <w:szCs w:val="22"/>
        </w:rPr>
        <w:t>c</w:t>
      </w:r>
      <w:r w:rsidR="00776181" w:rsidRPr="00C56601">
        <w:rPr>
          <w:i w:val="0"/>
          <w:iCs w:val="0"/>
          <w:color w:val="0070C0"/>
          <w:sz w:val="22"/>
          <w:szCs w:val="22"/>
        </w:rPr>
        <w:t>hapter</w:t>
      </w:r>
      <w:r w:rsidR="00776181">
        <w:rPr>
          <w:i w:val="0"/>
          <w:iCs w:val="0"/>
          <w:color w:val="0070C0"/>
          <w:sz w:val="22"/>
          <w:szCs w:val="22"/>
        </w:rPr>
        <w:t>s</w:t>
      </w:r>
      <w:r w:rsidR="00776181" w:rsidRPr="00C56601">
        <w:rPr>
          <w:i w:val="0"/>
          <w:iCs w:val="0"/>
          <w:color w:val="0070C0"/>
          <w:sz w:val="22"/>
          <w:szCs w:val="22"/>
        </w:rPr>
        <w:t xml:space="preserve"> </w:t>
      </w:r>
      <w:r w:rsidRPr="00C56601">
        <w:rPr>
          <w:i w:val="0"/>
          <w:iCs w:val="0"/>
          <w:color w:val="0070C0"/>
          <w:sz w:val="22"/>
          <w:szCs w:val="22"/>
        </w:rPr>
        <w:t xml:space="preserve">and </w:t>
      </w:r>
      <w:proofErr w:type="gramStart"/>
      <w:r w:rsidRPr="00C56601">
        <w:rPr>
          <w:i w:val="0"/>
          <w:iCs w:val="0"/>
          <w:color w:val="0070C0"/>
          <w:sz w:val="22"/>
          <w:szCs w:val="22"/>
        </w:rPr>
        <w:t>SDGs</w:t>
      </w:r>
      <w:bookmarkEnd w:id="20"/>
      <w:proofErr w:type="gramEnd"/>
    </w:p>
    <w:p w14:paraId="1C9D1E06" w14:textId="56731109" w:rsidR="00FE705A" w:rsidRPr="00C56601" w:rsidRDefault="00BB0148" w:rsidP="00FE705A">
      <w:pPr>
        <w:spacing w:after="0" w:line="276" w:lineRule="auto"/>
        <w:jc w:val="both"/>
      </w:pPr>
      <w:r>
        <w:rPr>
          <w:noProof/>
        </w:rPr>
        <w:drawing>
          <wp:inline distT="0" distB="0" distL="0" distR="0" wp14:anchorId="17616941" wp14:editId="74CA7C15">
            <wp:extent cx="4114800" cy="4114800"/>
            <wp:effectExtent l="0" t="0" r="0" b="0"/>
            <wp:docPr id="15008233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823349" name=""/>
                    <pic:cNvPicPr/>
                  </pic:nvPicPr>
                  <pic:blipFill>
                    <a:blip r:embed="rId21"/>
                    <a:stretch>
                      <a:fillRect/>
                    </a:stretch>
                  </pic:blipFill>
                  <pic:spPr>
                    <a:xfrm>
                      <a:off x="0" y="0"/>
                      <a:ext cx="4114800" cy="4114800"/>
                    </a:xfrm>
                    <a:prstGeom prst="rect">
                      <a:avLst/>
                    </a:prstGeom>
                  </pic:spPr>
                </pic:pic>
              </a:graphicData>
            </a:graphic>
          </wp:inline>
        </w:drawing>
      </w:r>
    </w:p>
    <w:p w14:paraId="529597C8" w14:textId="25A1AAFF" w:rsidR="00FE705A" w:rsidRPr="00C56601" w:rsidRDefault="00FE705A" w:rsidP="00776181">
      <w:pPr>
        <w:spacing w:after="0" w:line="276" w:lineRule="auto"/>
        <w:jc w:val="both"/>
        <w:rPr>
          <w:sz w:val="20"/>
          <w:szCs w:val="20"/>
        </w:rPr>
      </w:pPr>
      <w:r w:rsidRPr="00C56601">
        <w:rPr>
          <w:sz w:val="20"/>
          <w:szCs w:val="20"/>
        </w:rPr>
        <w:t>Note: Based on annual EC progress reports for North Macedonia for 2017-202</w:t>
      </w:r>
      <w:r w:rsidR="00774536">
        <w:rPr>
          <w:sz w:val="20"/>
          <w:szCs w:val="20"/>
        </w:rPr>
        <w:t>3</w:t>
      </w:r>
      <w:r w:rsidRPr="00C56601">
        <w:rPr>
          <w:sz w:val="20"/>
          <w:szCs w:val="20"/>
        </w:rPr>
        <w:t xml:space="preserve">. Source: Text analysis tool designed by the European Commission (accessed in </w:t>
      </w:r>
      <w:r w:rsidR="00774536">
        <w:rPr>
          <w:sz w:val="20"/>
          <w:szCs w:val="20"/>
        </w:rPr>
        <w:t>November</w:t>
      </w:r>
      <w:r w:rsidR="00684896" w:rsidRPr="00C56601">
        <w:rPr>
          <w:sz w:val="20"/>
          <w:szCs w:val="20"/>
        </w:rPr>
        <w:t xml:space="preserve"> </w:t>
      </w:r>
      <w:r w:rsidRPr="00C56601">
        <w:rPr>
          <w:sz w:val="20"/>
          <w:szCs w:val="20"/>
        </w:rPr>
        <w:t>202</w:t>
      </w:r>
      <w:r w:rsidR="00774536">
        <w:rPr>
          <w:sz w:val="20"/>
          <w:szCs w:val="20"/>
        </w:rPr>
        <w:t>3</w:t>
      </w:r>
      <w:r w:rsidRPr="00C56601">
        <w:rPr>
          <w:sz w:val="20"/>
          <w:szCs w:val="20"/>
        </w:rPr>
        <w:t>).</w:t>
      </w:r>
    </w:p>
    <w:p w14:paraId="4FECB80F" w14:textId="77777777" w:rsidR="00FE705A" w:rsidRDefault="00FE705A" w:rsidP="00FE705A">
      <w:pPr>
        <w:spacing w:after="0" w:line="276" w:lineRule="auto"/>
        <w:jc w:val="both"/>
        <w:rPr>
          <w:b/>
          <w:bCs/>
          <w:color w:val="276DBB" w:themeColor="text2" w:themeTint="BF"/>
        </w:rPr>
      </w:pPr>
    </w:p>
    <w:p w14:paraId="0FB74767" w14:textId="77777777" w:rsidR="004B1FA4" w:rsidRPr="00C56601" w:rsidRDefault="004B1FA4" w:rsidP="00976BCC">
      <w:pPr>
        <w:spacing w:after="0" w:line="276" w:lineRule="auto"/>
        <w:jc w:val="both"/>
      </w:pPr>
    </w:p>
    <w:p w14:paraId="551D7410" w14:textId="46EB9412" w:rsidR="00A54303" w:rsidRPr="00C56601" w:rsidRDefault="00A54303" w:rsidP="00976BCC">
      <w:pPr>
        <w:spacing w:after="0" w:line="276" w:lineRule="auto"/>
        <w:jc w:val="both"/>
      </w:pPr>
      <w:r w:rsidRPr="00C56601">
        <w:t>Having in mind the complementarities, synergies, and differences in the agendas of the key development stakeholders in North Macedonia, in the next section we will analyse the existing obstacles for increasing SDG finance and scaling up SDG-related investment.</w:t>
      </w:r>
    </w:p>
    <w:p w14:paraId="569C4690" w14:textId="77777777" w:rsidR="00A54303" w:rsidRPr="00C56601" w:rsidRDefault="00A54303">
      <w:r w:rsidRPr="00C56601">
        <w:br w:type="page"/>
      </w:r>
    </w:p>
    <w:p w14:paraId="76F1B7D2" w14:textId="0605DF98" w:rsidR="00336528" w:rsidRPr="00C56601" w:rsidRDefault="00284CC1" w:rsidP="00336528">
      <w:pPr>
        <w:pStyle w:val="Heading1"/>
        <w:numPr>
          <w:ilvl w:val="0"/>
          <w:numId w:val="1"/>
        </w:numPr>
      </w:pPr>
      <w:bookmarkStart w:id="21" w:name="_Toc157427547"/>
      <w:r w:rsidRPr="00C56601">
        <w:lastRenderedPageBreak/>
        <w:t>OBSTACLES FOR IMPLEMENTING SDG FINANCE APPROACHES</w:t>
      </w:r>
      <w:bookmarkEnd w:id="21"/>
    </w:p>
    <w:p w14:paraId="06D59580" w14:textId="2BE2816D" w:rsidR="002A595F" w:rsidRPr="00C56601" w:rsidRDefault="002A595F" w:rsidP="00195B42">
      <w:pPr>
        <w:spacing w:after="0" w:line="240" w:lineRule="auto"/>
        <w:jc w:val="both"/>
        <w:rPr>
          <w:sz w:val="24"/>
          <w:szCs w:val="24"/>
        </w:rPr>
      </w:pPr>
    </w:p>
    <w:p w14:paraId="7908209C" w14:textId="6E87B2C5" w:rsidR="00EB6AB9" w:rsidRPr="00C56601" w:rsidRDefault="00195B42" w:rsidP="001D1BF8">
      <w:pPr>
        <w:spacing w:after="0" w:line="276" w:lineRule="auto"/>
        <w:jc w:val="both"/>
      </w:pPr>
      <w:r w:rsidRPr="00C56601">
        <w:rPr>
          <w:b/>
          <w:bCs/>
          <w:color w:val="0070C0"/>
        </w:rPr>
        <w:t>Key o</w:t>
      </w:r>
      <w:r w:rsidR="00EB6AB9" w:rsidRPr="00C56601">
        <w:rPr>
          <w:b/>
          <w:bCs/>
          <w:color w:val="0070C0"/>
        </w:rPr>
        <w:t>bstacles</w:t>
      </w:r>
      <w:r w:rsidR="00687C61" w:rsidRPr="00C56601">
        <w:rPr>
          <w:b/>
          <w:bCs/>
          <w:color w:val="0070C0"/>
        </w:rPr>
        <w:t xml:space="preserve"> in implementing SDG finance approaches</w:t>
      </w:r>
      <w:r w:rsidR="00EB6AB9" w:rsidRPr="00C56601">
        <w:rPr>
          <w:b/>
          <w:bCs/>
          <w:color w:val="0070C0"/>
        </w:rPr>
        <w:t xml:space="preserve">. </w:t>
      </w:r>
      <w:r w:rsidR="00EB6AB9" w:rsidRPr="00C56601">
        <w:t>A</w:t>
      </w:r>
      <w:r w:rsidR="007D16CA">
        <w:t xml:space="preserve"> </w:t>
      </w:r>
      <w:r w:rsidR="00EB6AB9" w:rsidRPr="00C56601">
        <w:t>survey</w:t>
      </w:r>
      <w:r w:rsidR="007D16CA">
        <w:t xml:space="preserve"> of key stakeholders</w:t>
      </w:r>
      <w:r w:rsidR="00EB6AB9" w:rsidRPr="00C56601">
        <w:t xml:space="preserve"> (2022) identifies</w:t>
      </w:r>
      <w:r w:rsidR="00916C74" w:rsidRPr="00C56601">
        <w:t xml:space="preserve"> several</w:t>
      </w:r>
      <w:r w:rsidR="00EB6AB9" w:rsidRPr="00C56601">
        <w:t xml:space="preserve"> key obstacles for implementing SDG finance approaches. As presented in Figure </w:t>
      </w:r>
      <w:r w:rsidR="00BC585C" w:rsidRPr="00C56601">
        <w:t>4</w:t>
      </w:r>
      <w:r w:rsidR="00EB6AB9" w:rsidRPr="00C56601">
        <w:t xml:space="preserve">, the top five obstacles are: (1) lack of expertise </w:t>
      </w:r>
      <w:r w:rsidR="00BC10E7" w:rsidRPr="00C56601">
        <w:t>and</w:t>
      </w:r>
      <w:r w:rsidR="00EB6AB9" w:rsidRPr="00C56601">
        <w:t xml:space="preserve"> skills</w:t>
      </w:r>
      <w:r w:rsidR="0018068C">
        <w:t xml:space="preserve"> among public administration and other stakeholders</w:t>
      </w:r>
      <w:r w:rsidR="00EB6AB9" w:rsidRPr="00C56601">
        <w:t>; (2) lack of financial resources; (3) SDGs are not priority for stakeholders; (4) lack of understanding of concepts; and (5) lack of dedicated human resources.</w:t>
      </w:r>
    </w:p>
    <w:p w14:paraId="5B02A327" w14:textId="77777777" w:rsidR="00195B42" w:rsidRPr="00C56601" w:rsidRDefault="00195B42" w:rsidP="00195B42">
      <w:pPr>
        <w:spacing w:after="0" w:line="240" w:lineRule="auto"/>
        <w:jc w:val="both"/>
        <w:rPr>
          <w:b/>
          <w:bCs/>
        </w:rPr>
      </w:pPr>
    </w:p>
    <w:p w14:paraId="0885B787" w14:textId="5992FD32" w:rsidR="00AF16D3" w:rsidRPr="00C56601" w:rsidRDefault="00AF16D3" w:rsidP="00195B42">
      <w:pPr>
        <w:pStyle w:val="Caption"/>
        <w:spacing w:after="0"/>
        <w:rPr>
          <w:i w:val="0"/>
          <w:iCs w:val="0"/>
          <w:color w:val="0070C0"/>
          <w:sz w:val="22"/>
          <w:szCs w:val="22"/>
        </w:rPr>
      </w:pPr>
      <w:bookmarkStart w:id="22" w:name="_Toc157427579"/>
      <w:r w:rsidRPr="00C56601">
        <w:rPr>
          <w:i w:val="0"/>
          <w:iCs w:val="0"/>
          <w:color w:val="0070C0"/>
          <w:sz w:val="22"/>
          <w:szCs w:val="22"/>
        </w:rPr>
        <w:t xml:space="preserve">Figure </w:t>
      </w:r>
      <w:r w:rsidRPr="00C56601">
        <w:rPr>
          <w:i w:val="0"/>
          <w:iCs w:val="0"/>
          <w:color w:val="0070C0"/>
          <w:sz w:val="22"/>
          <w:szCs w:val="22"/>
        </w:rPr>
        <w:fldChar w:fldCharType="begin"/>
      </w:r>
      <w:r w:rsidRPr="00C56601">
        <w:rPr>
          <w:i w:val="0"/>
          <w:iCs w:val="0"/>
          <w:color w:val="0070C0"/>
          <w:sz w:val="22"/>
          <w:szCs w:val="22"/>
        </w:rPr>
        <w:instrText xml:space="preserve"> SEQ Figure \* ARABIC </w:instrText>
      </w:r>
      <w:r w:rsidRPr="00C56601">
        <w:rPr>
          <w:i w:val="0"/>
          <w:iCs w:val="0"/>
          <w:color w:val="0070C0"/>
          <w:sz w:val="22"/>
          <w:szCs w:val="22"/>
        </w:rPr>
        <w:fldChar w:fldCharType="separate"/>
      </w:r>
      <w:r w:rsidR="00227165">
        <w:rPr>
          <w:i w:val="0"/>
          <w:iCs w:val="0"/>
          <w:noProof/>
          <w:color w:val="0070C0"/>
          <w:sz w:val="22"/>
          <w:szCs w:val="22"/>
        </w:rPr>
        <w:t>4</w:t>
      </w:r>
      <w:r w:rsidRPr="00C56601">
        <w:rPr>
          <w:i w:val="0"/>
          <w:iCs w:val="0"/>
          <w:color w:val="0070C0"/>
          <w:sz w:val="22"/>
          <w:szCs w:val="22"/>
        </w:rPr>
        <w:fldChar w:fldCharType="end"/>
      </w:r>
      <w:r w:rsidRPr="00C56601">
        <w:rPr>
          <w:i w:val="0"/>
          <w:iCs w:val="0"/>
          <w:color w:val="0070C0"/>
          <w:sz w:val="22"/>
          <w:szCs w:val="22"/>
        </w:rPr>
        <w:t>. Obstacles for implementing SDG finance approaches</w:t>
      </w:r>
      <w:r w:rsidR="00D315F3" w:rsidRPr="00C56601">
        <w:rPr>
          <w:i w:val="0"/>
          <w:iCs w:val="0"/>
          <w:color w:val="0070C0"/>
          <w:sz w:val="22"/>
          <w:szCs w:val="22"/>
        </w:rPr>
        <w:t>.</w:t>
      </w:r>
      <w:bookmarkEnd w:id="22"/>
    </w:p>
    <w:p w14:paraId="4456FC0E" w14:textId="2EA82068" w:rsidR="00AF16D3" w:rsidRPr="00C56601" w:rsidRDefault="00AF16D3" w:rsidP="00195B42">
      <w:pPr>
        <w:spacing w:after="0" w:line="240" w:lineRule="auto"/>
        <w:jc w:val="both"/>
      </w:pPr>
      <w:r w:rsidRPr="00C56601">
        <w:rPr>
          <w:noProof/>
        </w:rPr>
        <w:drawing>
          <wp:inline distT="0" distB="0" distL="0" distR="0" wp14:anchorId="7174591F" wp14:editId="470CABB5">
            <wp:extent cx="5943600" cy="3105785"/>
            <wp:effectExtent l="0" t="0" r="0" b="18415"/>
            <wp:docPr id="1" name="Chart 1">
              <a:extLst xmlns:a="http://schemas.openxmlformats.org/drawingml/2006/main">
                <a:ext uri="{FF2B5EF4-FFF2-40B4-BE49-F238E27FC236}">
                  <a16:creationId xmlns:a16="http://schemas.microsoft.com/office/drawing/2014/main" id="{C29D73DE-98BB-405A-427D-952BAD0DE1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AE6A211" w14:textId="2D517A07" w:rsidR="00616535" w:rsidRPr="00C56601" w:rsidRDefault="00BC585C" w:rsidP="00BC585C">
      <w:pPr>
        <w:spacing w:after="0" w:line="240" w:lineRule="auto"/>
        <w:jc w:val="both"/>
        <w:rPr>
          <w:sz w:val="20"/>
          <w:szCs w:val="20"/>
        </w:rPr>
      </w:pPr>
      <w:r w:rsidRPr="00C56601">
        <w:rPr>
          <w:sz w:val="20"/>
          <w:szCs w:val="20"/>
        </w:rPr>
        <w:t xml:space="preserve">Note: The relevant question was: “In your opinion, what are the internal challenges that the Country Office faces in operationalization of SDG finance approaches and tools? (Select all that apply)”. Multiple responses are allowed. </w:t>
      </w:r>
      <w:r w:rsidR="00D315F3" w:rsidRPr="00C56601">
        <w:rPr>
          <w:sz w:val="20"/>
          <w:szCs w:val="20"/>
        </w:rPr>
        <w:t xml:space="preserve">Source: </w:t>
      </w:r>
      <w:r w:rsidR="007D16CA">
        <w:rPr>
          <w:sz w:val="20"/>
          <w:szCs w:val="20"/>
        </w:rPr>
        <w:t>S</w:t>
      </w:r>
      <w:r w:rsidR="00D315F3" w:rsidRPr="00C56601">
        <w:rPr>
          <w:sz w:val="20"/>
          <w:szCs w:val="20"/>
        </w:rPr>
        <w:t>urvey</w:t>
      </w:r>
      <w:r w:rsidR="007D16CA">
        <w:rPr>
          <w:sz w:val="20"/>
          <w:szCs w:val="20"/>
        </w:rPr>
        <w:t xml:space="preserve"> of key stakeholders</w:t>
      </w:r>
      <w:r w:rsidR="00D315F3" w:rsidRPr="00C56601">
        <w:rPr>
          <w:sz w:val="20"/>
          <w:szCs w:val="20"/>
        </w:rPr>
        <w:t xml:space="preserve"> (2022).</w:t>
      </w:r>
    </w:p>
    <w:p w14:paraId="60B6E668" w14:textId="77777777" w:rsidR="00195B42" w:rsidRPr="00C56601" w:rsidRDefault="00195B42" w:rsidP="00195B42">
      <w:pPr>
        <w:spacing w:after="0" w:line="240" w:lineRule="auto"/>
        <w:rPr>
          <w:sz w:val="24"/>
          <w:szCs w:val="24"/>
        </w:rPr>
      </w:pPr>
    </w:p>
    <w:p w14:paraId="746EC9A2" w14:textId="08E89C51" w:rsidR="00D315F3" w:rsidRPr="00C56601" w:rsidRDefault="00D315F3" w:rsidP="001D1BF8">
      <w:pPr>
        <w:spacing w:after="0" w:line="276" w:lineRule="auto"/>
      </w:pPr>
      <w:r w:rsidRPr="00C56601">
        <w:t>Let us refer to the nature of the obstacles and suggest possible remedies.</w:t>
      </w:r>
    </w:p>
    <w:p w14:paraId="14390349" w14:textId="1E5FEC22" w:rsidR="00D315F3" w:rsidRPr="00C56601" w:rsidRDefault="00D315F3" w:rsidP="001D1BF8">
      <w:pPr>
        <w:pStyle w:val="ListParagraph"/>
        <w:numPr>
          <w:ilvl w:val="0"/>
          <w:numId w:val="18"/>
        </w:numPr>
        <w:spacing w:after="0" w:line="276" w:lineRule="auto"/>
        <w:jc w:val="both"/>
      </w:pPr>
      <w:r w:rsidRPr="00C56601">
        <w:rPr>
          <w:b/>
          <w:bCs/>
          <w:color w:val="276DBB" w:themeColor="text2" w:themeTint="BF"/>
        </w:rPr>
        <w:t xml:space="preserve">Lack of expertise </w:t>
      </w:r>
      <w:r w:rsidR="00A360AA" w:rsidRPr="00C56601">
        <w:rPr>
          <w:b/>
          <w:bCs/>
          <w:color w:val="276DBB" w:themeColor="text2" w:themeTint="BF"/>
        </w:rPr>
        <w:t>and</w:t>
      </w:r>
      <w:r w:rsidRPr="00C56601">
        <w:rPr>
          <w:b/>
          <w:bCs/>
          <w:color w:val="276DBB" w:themeColor="text2" w:themeTint="BF"/>
        </w:rPr>
        <w:t xml:space="preserve"> skills</w:t>
      </w:r>
      <w:r w:rsidR="007B4899">
        <w:rPr>
          <w:b/>
          <w:bCs/>
          <w:color w:val="276DBB" w:themeColor="text2" w:themeTint="BF"/>
        </w:rPr>
        <w:t xml:space="preserve"> of the public administration</w:t>
      </w:r>
      <w:r w:rsidRPr="00C56601">
        <w:rPr>
          <w:b/>
          <w:bCs/>
          <w:color w:val="276DBB" w:themeColor="text2" w:themeTint="BF"/>
        </w:rPr>
        <w:t>.</w:t>
      </w:r>
      <w:r w:rsidRPr="00C56601">
        <w:t xml:space="preserve"> There are still </w:t>
      </w:r>
      <w:r w:rsidR="00414591" w:rsidRPr="00C56601">
        <w:t xml:space="preserve">public administration employees </w:t>
      </w:r>
      <w:r w:rsidRPr="00C56601">
        <w:t xml:space="preserve">who </w:t>
      </w:r>
      <w:r w:rsidR="00335D46" w:rsidRPr="00C56601">
        <w:t>equate</w:t>
      </w:r>
      <w:r w:rsidRPr="00C56601">
        <w:t xml:space="preserve"> the Millennium Development Goals</w:t>
      </w:r>
      <w:r w:rsidR="00335D46" w:rsidRPr="00C56601">
        <w:t xml:space="preserve"> (expired in December 2015)</w:t>
      </w:r>
      <w:r w:rsidRPr="00C56601">
        <w:t xml:space="preserve"> with the Sustainable Development Goals</w:t>
      </w:r>
      <w:r w:rsidR="00335D46" w:rsidRPr="00C56601">
        <w:t xml:space="preserve"> (introduced </w:t>
      </w:r>
      <w:r w:rsidR="00916C74" w:rsidRPr="00C56601">
        <w:t>in</w:t>
      </w:r>
      <w:r w:rsidR="00335D46" w:rsidRPr="00C56601">
        <w:t xml:space="preserve"> January 2016)</w:t>
      </w:r>
      <w:r w:rsidRPr="00C56601">
        <w:t>.</w:t>
      </w:r>
      <w:r w:rsidR="00414591" w:rsidRPr="00C56601">
        <w:rPr>
          <w:rStyle w:val="FootnoteReference"/>
        </w:rPr>
        <w:footnoteReference w:id="1"/>
      </w:r>
      <w:r w:rsidRPr="00C56601">
        <w:t xml:space="preserve"> </w:t>
      </w:r>
      <w:r w:rsidR="00BC585C" w:rsidRPr="00C56601">
        <w:t xml:space="preserve">There is not a sufficient awareness of the SDGs, let alone </w:t>
      </w:r>
      <w:r w:rsidRPr="00C56601">
        <w:t xml:space="preserve">the SDG structure: goals, targets, and indicators. This problem arises from the lack of pressure from the upper levels of the administrative hierarchy to monitor the progress and commit to the attainment of SDGs. The other explanation is linked to the lack of data from the State Statistical Office regarding the targets and indicators for the SDGs. </w:t>
      </w:r>
      <w:proofErr w:type="gramStart"/>
      <w:r w:rsidR="00CB23E2" w:rsidRPr="00C56601">
        <w:t>As a consequence</w:t>
      </w:r>
      <w:proofErr w:type="gramEnd"/>
      <w:r w:rsidR="00CB23E2" w:rsidRPr="00C56601">
        <w:t xml:space="preserve">, only a small group of </w:t>
      </w:r>
      <w:r w:rsidR="00414591" w:rsidRPr="00C56601">
        <w:t>public administration employees</w:t>
      </w:r>
      <w:r w:rsidR="00CB23E2" w:rsidRPr="00C56601">
        <w:t xml:space="preserve"> has the required expertise or skills to </w:t>
      </w:r>
      <w:r w:rsidR="00335D46" w:rsidRPr="00C56601">
        <w:t xml:space="preserve">understand SDGs as well as </w:t>
      </w:r>
      <w:r w:rsidR="00CB23E2" w:rsidRPr="00C56601">
        <w:t>design and apply SDG finance tools.</w:t>
      </w:r>
    </w:p>
    <w:p w14:paraId="7ED1EDA5" w14:textId="1840561C" w:rsidR="00D315F3" w:rsidRPr="00C56601" w:rsidRDefault="00D315F3" w:rsidP="00DC10EA">
      <w:pPr>
        <w:pStyle w:val="ListParagraph"/>
        <w:numPr>
          <w:ilvl w:val="0"/>
          <w:numId w:val="18"/>
        </w:numPr>
        <w:spacing w:after="0" w:line="276" w:lineRule="auto"/>
        <w:ind w:left="763"/>
        <w:jc w:val="both"/>
        <w:rPr>
          <w:b/>
          <w:bCs/>
          <w:color w:val="276DBB" w:themeColor="text2" w:themeTint="BF"/>
        </w:rPr>
      </w:pPr>
      <w:r w:rsidRPr="00C56601">
        <w:rPr>
          <w:b/>
          <w:bCs/>
          <w:color w:val="276DBB" w:themeColor="text2" w:themeTint="BF"/>
        </w:rPr>
        <w:lastRenderedPageBreak/>
        <w:t xml:space="preserve">Lack of financial resources. </w:t>
      </w:r>
      <w:r w:rsidRPr="00C56601">
        <w:t>Authorities have learnt over the independent economic history that a large portion of development finance under concessional (favourable) terms comes from the International Monetary Fund (IMF), the World Bank Group, and more recently, the European Commission.</w:t>
      </w:r>
      <w:r w:rsidR="00CB23E2" w:rsidRPr="00C56601">
        <w:t xml:space="preserve"> </w:t>
      </w:r>
      <w:r w:rsidR="00672C17" w:rsidRPr="00C56601">
        <w:t xml:space="preserve">The World Bank Group, the IMF, the European Investment Bank, the European Bank for Reconstruction and Development provide large-scale lending that either reduces the budget deficit or finances the budget deficit. </w:t>
      </w:r>
      <w:r w:rsidR="00335D46" w:rsidRPr="00C56601">
        <w:t>Therefore, the focus of development cooperation is with th</w:t>
      </w:r>
      <w:r w:rsidR="00DA2D54" w:rsidRPr="00C56601">
        <w:t>e</w:t>
      </w:r>
      <w:r w:rsidR="00335D46" w:rsidRPr="00C56601">
        <w:t xml:space="preserve">se providers of </w:t>
      </w:r>
      <w:r w:rsidR="00672C17" w:rsidRPr="00C56601">
        <w:t xml:space="preserve">large-scale </w:t>
      </w:r>
      <w:r w:rsidR="00335D46" w:rsidRPr="00C56601">
        <w:t xml:space="preserve">finance. </w:t>
      </w:r>
      <w:r w:rsidR="00DA2D54" w:rsidRPr="00C56601">
        <w:t xml:space="preserve">These official creditors have their own agendas that are not explicitly linked to SDGs, even though they contribute to the attainment of SDGs. </w:t>
      </w:r>
      <w:r w:rsidR="00CB23E2" w:rsidRPr="00C56601">
        <w:t>UN agencies provide support, mainly in the form of grants, technical support</w:t>
      </w:r>
      <w:r w:rsidR="00916C74" w:rsidRPr="00C56601">
        <w:t>,</w:t>
      </w:r>
      <w:r w:rsidR="00CB23E2" w:rsidRPr="00C56601">
        <w:t xml:space="preserve"> and expertise. </w:t>
      </w:r>
      <w:r w:rsidR="00335D46" w:rsidRPr="00C56601">
        <w:t xml:space="preserve">To summarize, </w:t>
      </w:r>
      <w:r w:rsidR="00916C74" w:rsidRPr="00C56601">
        <w:t>due to</w:t>
      </w:r>
      <w:r w:rsidR="00335D46" w:rsidRPr="00C56601">
        <w:t xml:space="preserve"> a much smaller financial envelope, the UN agencies have a limited capacity to draw policy attention to the 2030 UN Agenda for Sustainable Development.</w:t>
      </w:r>
    </w:p>
    <w:p w14:paraId="1AF8C06F" w14:textId="77777777" w:rsidR="00090E56" w:rsidRPr="00C56601" w:rsidRDefault="00090E56" w:rsidP="00090E56">
      <w:pPr>
        <w:spacing w:after="0" w:line="240" w:lineRule="auto"/>
        <w:jc w:val="both"/>
        <w:rPr>
          <w:color w:val="276DBB" w:themeColor="text2" w:themeTint="BF"/>
          <w:sz w:val="24"/>
          <w:szCs w:val="24"/>
        </w:rPr>
      </w:pPr>
    </w:p>
    <w:p w14:paraId="49260474" w14:textId="542DDA5C" w:rsidR="00090E56" w:rsidRPr="00C56601" w:rsidRDefault="00090E56" w:rsidP="00090E56">
      <w:pPr>
        <w:pStyle w:val="Caption"/>
        <w:shd w:val="clear" w:color="auto" w:fill="104864" w:themeFill="background2" w:themeFillShade="40"/>
        <w:spacing w:after="0"/>
        <w:rPr>
          <w:i w:val="0"/>
          <w:iCs w:val="0"/>
          <w:color w:val="FFFFFF" w:themeColor="background1"/>
          <w:sz w:val="22"/>
          <w:szCs w:val="22"/>
        </w:rPr>
      </w:pPr>
      <w:bookmarkStart w:id="23" w:name="_Toc157427501"/>
      <w:r w:rsidRPr="00C56601">
        <w:rPr>
          <w:i w:val="0"/>
          <w:iCs w:val="0"/>
          <w:color w:val="FFFFFF" w:themeColor="background1"/>
          <w:sz w:val="22"/>
          <w:szCs w:val="22"/>
        </w:rPr>
        <w:t xml:space="preserve">Box </w:t>
      </w:r>
      <w:r w:rsidRPr="00C56601">
        <w:rPr>
          <w:i w:val="0"/>
          <w:iCs w:val="0"/>
          <w:color w:val="FFFFFF" w:themeColor="background1"/>
          <w:sz w:val="22"/>
          <w:szCs w:val="22"/>
        </w:rPr>
        <w:fldChar w:fldCharType="begin"/>
      </w:r>
      <w:r w:rsidRPr="00C56601">
        <w:rPr>
          <w:i w:val="0"/>
          <w:iCs w:val="0"/>
          <w:color w:val="FFFFFF" w:themeColor="background1"/>
          <w:sz w:val="22"/>
          <w:szCs w:val="22"/>
        </w:rPr>
        <w:instrText xml:space="preserve"> SEQ Box \* ARABIC </w:instrText>
      </w:r>
      <w:r w:rsidRPr="00C56601">
        <w:rPr>
          <w:i w:val="0"/>
          <w:iCs w:val="0"/>
          <w:color w:val="FFFFFF" w:themeColor="background1"/>
          <w:sz w:val="22"/>
          <w:szCs w:val="22"/>
        </w:rPr>
        <w:fldChar w:fldCharType="separate"/>
      </w:r>
      <w:r w:rsidR="00041D0A">
        <w:rPr>
          <w:i w:val="0"/>
          <w:iCs w:val="0"/>
          <w:noProof/>
          <w:color w:val="FFFFFF" w:themeColor="background1"/>
          <w:sz w:val="22"/>
          <w:szCs w:val="22"/>
        </w:rPr>
        <w:t>1</w:t>
      </w:r>
      <w:r w:rsidRPr="00C56601">
        <w:rPr>
          <w:i w:val="0"/>
          <w:iCs w:val="0"/>
          <w:color w:val="FFFFFF" w:themeColor="background1"/>
          <w:sz w:val="22"/>
          <w:szCs w:val="22"/>
        </w:rPr>
        <w:fldChar w:fldCharType="end"/>
      </w:r>
      <w:r w:rsidRPr="00C56601">
        <w:rPr>
          <w:i w:val="0"/>
          <w:iCs w:val="0"/>
          <w:color w:val="FFFFFF" w:themeColor="background1"/>
          <w:sz w:val="22"/>
          <w:szCs w:val="22"/>
        </w:rPr>
        <w:t>. Is 2030 coming too soon?</w:t>
      </w:r>
      <w:bookmarkEnd w:id="23"/>
    </w:p>
    <w:p w14:paraId="4A88A069" w14:textId="77777777" w:rsidR="00090E56" w:rsidRPr="006C0F8B" w:rsidRDefault="00090E56" w:rsidP="006C0F8B">
      <w:pPr>
        <w:shd w:val="clear" w:color="auto" w:fill="C4EEFF" w:themeFill="accent2" w:themeFillTint="33"/>
        <w:spacing w:after="0" w:line="240" w:lineRule="auto"/>
        <w:jc w:val="both"/>
      </w:pPr>
    </w:p>
    <w:p w14:paraId="2CF100BF" w14:textId="45C5B22A" w:rsidR="007B4899" w:rsidRPr="006C0F8B" w:rsidRDefault="00090E56" w:rsidP="006C0F8B">
      <w:pPr>
        <w:shd w:val="clear" w:color="auto" w:fill="C4EEFF" w:themeFill="accent2" w:themeFillTint="33"/>
        <w:spacing w:after="0" w:line="240" w:lineRule="auto"/>
        <w:jc w:val="both"/>
      </w:pPr>
      <w:r w:rsidRPr="006C0F8B">
        <w:t xml:space="preserve">It seems that many governments </w:t>
      </w:r>
      <w:r w:rsidR="00EC3C31" w:rsidRPr="006C0F8B">
        <w:t>would</w:t>
      </w:r>
      <w:r w:rsidRPr="006C0F8B">
        <w:t xml:space="preserve"> find themselves surprised that many sustainable development goals </w:t>
      </w:r>
      <w:r w:rsidR="00EC3C31" w:rsidRPr="006C0F8B">
        <w:t>are</w:t>
      </w:r>
      <w:r w:rsidR="00DA2D54" w:rsidRPr="006C0F8B">
        <w:t xml:space="preserve"> not</w:t>
      </w:r>
      <w:r w:rsidRPr="006C0F8B">
        <w:t xml:space="preserve"> attainable by 2030. While leaving the </w:t>
      </w:r>
      <w:r w:rsidR="00DA2D54" w:rsidRPr="006C0F8B">
        <w:t xml:space="preserve">SDG </w:t>
      </w:r>
      <w:r w:rsidRPr="006C0F8B">
        <w:t xml:space="preserve">targets as they are </w:t>
      </w:r>
      <w:r w:rsidR="00D765AF" w:rsidRPr="006C0F8B">
        <w:t>could</w:t>
      </w:r>
      <w:r w:rsidRPr="006C0F8B">
        <w:t xml:space="preserve"> be useful to put more pressure on governments</w:t>
      </w:r>
      <w:r w:rsidR="00EC3C31" w:rsidRPr="006C0F8B">
        <w:t>,</w:t>
      </w:r>
      <w:r w:rsidRPr="006C0F8B">
        <w:t xml:space="preserve"> </w:t>
      </w:r>
      <w:r w:rsidR="00D765AF" w:rsidRPr="006C0F8B">
        <w:t xml:space="preserve">a new </w:t>
      </w:r>
      <w:r w:rsidR="00EC3C31" w:rsidRPr="006C0F8B">
        <w:t xml:space="preserve">global </w:t>
      </w:r>
      <w:r w:rsidR="00D765AF" w:rsidRPr="006C0F8B">
        <w:t>approach</w:t>
      </w:r>
      <w:r w:rsidR="00EC3C31" w:rsidRPr="006C0F8B">
        <w:t xml:space="preserve"> by the United Nations</w:t>
      </w:r>
      <w:r w:rsidR="00D765AF" w:rsidRPr="006C0F8B">
        <w:t xml:space="preserve"> is highly advisable. A</w:t>
      </w:r>
      <w:r w:rsidRPr="006C0F8B">
        <w:t xml:space="preserve"> promotion of a new deadline</w:t>
      </w:r>
      <w:r w:rsidR="00D765AF" w:rsidRPr="006C0F8B">
        <w:t xml:space="preserve"> and a redefined new agenda (such as UN 2040 Agenda for Sustainable Development) is one possibility. Another possibility</w:t>
      </w:r>
      <w:r w:rsidR="00EC3C31" w:rsidRPr="006C0F8B">
        <w:t xml:space="preserve">, </w:t>
      </w:r>
      <w:r w:rsidR="00D765AF" w:rsidRPr="006C0F8B">
        <w:t>which carries</w:t>
      </w:r>
      <w:r w:rsidR="00EC3C31" w:rsidRPr="006C0F8B">
        <w:t xml:space="preserve"> significant</w:t>
      </w:r>
      <w:r w:rsidR="00D765AF" w:rsidRPr="006C0F8B">
        <w:t xml:space="preserve"> reputational risks</w:t>
      </w:r>
      <w:r w:rsidR="00EC3C31" w:rsidRPr="006C0F8B">
        <w:t>,</w:t>
      </w:r>
      <w:r w:rsidR="00D765AF" w:rsidRPr="006C0F8B">
        <w:t xml:space="preserve"> is to revise some of the targets downwards. This will be a clear sign of a retreat</w:t>
      </w:r>
      <w:r w:rsidR="00EC3C31" w:rsidRPr="006C0F8B">
        <w:t>. It will be</w:t>
      </w:r>
      <w:r w:rsidR="00D765AF" w:rsidRPr="006C0F8B">
        <w:t xml:space="preserve"> </w:t>
      </w:r>
      <w:r w:rsidR="00EC3C31" w:rsidRPr="006C0F8B">
        <w:t>“</w:t>
      </w:r>
      <w:r w:rsidR="00D765AF" w:rsidRPr="006C0F8B">
        <w:t>justified</w:t>
      </w:r>
      <w:r w:rsidR="00EC3C31" w:rsidRPr="006C0F8B">
        <w:t xml:space="preserve">” by </w:t>
      </w:r>
      <w:r w:rsidR="00DA2D54" w:rsidRPr="006C0F8B">
        <w:t xml:space="preserve">the </w:t>
      </w:r>
      <w:r w:rsidR="00EC3C31" w:rsidRPr="006C0F8B">
        <w:t xml:space="preserve">complaints about </w:t>
      </w:r>
      <w:r w:rsidR="00DA2D54" w:rsidRPr="006C0F8B">
        <w:t xml:space="preserve">the </w:t>
      </w:r>
      <w:r w:rsidR="00D765AF" w:rsidRPr="006C0F8B">
        <w:t xml:space="preserve">overly ambitious </w:t>
      </w:r>
      <w:r w:rsidR="00DA2D54" w:rsidRPr="006C0F8B">
        <w:t xml:space="preserve">previously designed </w:t>
      </w:r>
      <w:r w:rsidR="00D765AF" w:rsidRPr="006C0F8B">
        <w:t xml:space="preserve">targets, lack of commitment by governments, </w:t>
      </w:r>
      <w:r w:rsidR="00EC3C31" w:rsidRPr="006C0F8B">
        <w:t>negative</w:t>
      </w:r>
      <w:r w:rsidR="00D765AF" w:rsidRPr="006C0F8B">
        <w:t xml:space="preserve"> spillover effects from </w:t>
      </w:r>
      <w:r w:rsidR="00EC3C31" w:rsidRPr="006C0F8B">
        <w:t>polluting neighbouring</w:t>
      </w:r>
      <w:r w:rsidR="00D765AF" w:rsidRPr="006C0F8B">
        <w:t xml:space="preserve"> economies, etc. </w:t>
      </w:r>
      <w:r w:rsidR="007B4899" w:rsidRPr="006C0F8B">
        <w:t>This sense of urgency is also convincingly conveyed in the SDG Progress Report (2023): “It is time to sound the alarm. At the midpoint on our way to 2030, the Sustainable Development Goals are in deep trouble. An assessment of the around 140 targets for which trend data is available shows that about half of these targets are moderately or severely off track; and over 30 per cent have either seen no movement or regressed below the 2015 baseline.”</w:t>
      </w:r>
      <w:r w:rsidR="00946806" w:rsidRPr="006C0F8B">
        <w:t xml:space="preserve"> (</w:t>
      </w:r>
      <w:r w:rsidR="007B4899" w:rsidRPr="006C0F8B">
        <w:t>Source: SDG Progress Report</w:t>
      </w:r>
      <w:r w:rsidR="00946806" w:rsidRPr="006C0F8B">
        <w:t xml:space="preserve"> (</w:t>
      </w:r>
      <w:r w:rsidR="007B4899" w:rsidRPr="006C0F8B">
        <w:t>2023</w:t>
      </w:r>
      <w:r w:rsidR="00946806" w:rsidRPr="006C0F8B">
        <w:t>)</w:t>
      </w:r>
      <w:r w:rsidR="007B4899" w:rsidRPr="006C0F8B">
        <w:t>, p. 4).</w:t>
      </w:r>
    </w:p>
    <w:p w14:paraId="741813FF" w14:textId="560A24F2" w:rsidR="00090E56" w:rsidRPr="006C0F8B" w:rsidRDefault="00090E56" w:rsidP="006C0F8B">
      <w:pPr>
        <w:shd w:val="clear" w:color="auto" w:fill="C4EEFF" w:themeFill="accent2" w:themeFillTint="33"/>
        <w:spacing w:after="0" w:line="240" w:lineRule="auto"/>
        <w:jc w:val="both"/>
      </w:pPr>
    </w:p>
    <w:p w14:paraId="66DF16C0" w14:textId="0EDB1CF0" w:rsidR="007B4899" w:rsidRPr="006C0F8B" w:rsidRDefault="007B4899" w:rsidP="006C0F8B">
      <w:pPr>
        <w:pStyle w:val="Caption"/>
        <w:shd w:val="clear" w:color="auto" w:fill="C4EEFF" w:themeFill="accent2" w:themeFillTint="33"/>
        <w:spacing w:after="0"/>
        <w:rPr>
          <w:color w:val="auto"/>
        </w:rPr>
      </w:pPr>
      <w:bookmarkStart w:id="24" w:name="_Toc157427580"/>
      <w:r w:rsidRPr="006C0F8B">
        <w:rPr>
          <w:i w:val="0"/>
          <w:iCs w:val="0"/>
          <w:color w:val="auto"/>
          <w:sz w:val="22"/>
          <w:szCs w:val="22"/>
        </w:rPr>
        <w:t xml:space="preserve">Figure </w:t>
      </w:r>
      <w:r w:rsidRPr="006C0F8B">
        <w:rPr>
          <w:i w:val="0"/>
          <w:iCs w:val="0"/>
          <w:color w:val="auto"/>
          <w:sz w:val="22"/>
          <w:szCs w:val="22"/>
        </w:rPr>
        <w:fldChar w:fldCharType="begin"/>
      </w:r>
      <w:r w:rsidRPr="006C0F8B">
        <w:rPr>
          <w:i w:val="0"/>
          <w:iCs w:val="0"/>
          <w:color w:val="auto"/>
          <w:sz w:val="22"/>
          <w:szCs w:val="22"/>
        </w:rPr>
        <w:instrText xml:space="preserve"> SEQ Figure \* ARABIC </w:instrText>
      </w:r>
      <w:r w:rsidRPr="006C0F8B">
        <w:rPr>
          <w:i w:val="0"/>
          <w:iCs w:val="0"/>
          <w:color w:val="auto"/>
          <w:sz w:val="22"/>
          <w:szCs w:val="22"/>
        </w:rPr>
        <w:fldChar w:fldCharType="separate"/>
      </w:r>
      <w:r w:rsidR="00227165" w:rsidRPr="006C0F8B">
        <w:rPr>
          <w:i w:val="0"/>
          <w:iCs w:val="0"/>
          <w:noProof/>
          <w:color w:val="auto"/>
          <w:sz w:val="22"/>
          <w:szCs w:val="22"/>
        </w:rPr>
        <w:t>5</w:t>
      </w:r>
      <w:r w:rsidRPr="006C0F8B">
        <w:rPr>
          <w:i w:val="0"/>
          <w:iCs w:val="0"/>
          <w:color w:val="auto"/>
          <w:sz w:val="22"/>
          <w:szCs w:val="22"/>
        </w:rPr>
        <w:fldChar w:fldCharType="end"/>
      </w:r>
      <w:r w:rsidRPr="006C0F8B">
        <w:rPr>
          <w:i w:val="0"/>
          <w:iCs w:val="0"/>
          <w:color w:val="auto"/>
          <w:sz w:val="22"/>
          <w:szCs w:val="22"/>
        </w:rPr>
        <w:t>. Progress assessment for the 17 Goals based on assessed targets, 2023 or latest data (percentage)</w:t>
      </w:r>
      <w:bookmarkEnd w:id="24"/>
    </w:p>
    <w:p w14:paraId="32ECAD1D" w14:textId="732E6480" w:rsidR="007B4899" w:rsidRPr="006C0F8B" w:rsidRDefault="007B4899" w:rsidP="006C0F8B">
      <w:pPr>
        <w:shd w:val="clear" w:color="auto" w:fill="C4EEFF" w:themeFill="accent2" w:themeFillTint="33"/>
        <w:spacing w:after="0" w:line="240" w:lineRule="auto"/>
        <w:jc w:val="both"/>
      </w:pPr>
      <w:r w:rsidRPr="006C0F8B">
        <w:rPr>
          <w:noProof/>
        </w:rPr>
        <w:drawing>
          <wp:inline distT="0" distB="0" distL="0" distR="0" wp14:anchorId="55D28626" wp14:editId="37EEAE18">
            <wp:extent cx="3978729" cy="2587874"/>
            <wp:effectExtent l="0" t="0" r="3175" b="3175"/>
            <wp:docPr id="1141952514" name="Picture 1" descr="A graph of a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952514" name="Picture 1" descr="A graph of a bar chart&#10;&#10;Description automatically generated"/>
                    <pic:cNvPicPr/>
                  </pic:nvPicPr>
                  <pic:blipFill>
                    <a:blip r:embed="rId23"/>
                    <a:stretch>
                      <a:fillRect/>
                    </a:stretch>
                  </pic:blipFill>
                  <pic:spPr>
                    <a:xfrm>
                      <a:off x="0" y="0"/>
                      <a:ext cx="3985546" cy="2592308"/>
                    </a:xfrm>
                    <a:prstGeom prst="rect">
                      <a:avLst/>
                    </a:prstGeom>
                  </pic:spPr>
                </pic:pic>
              </a:graphicData>
            </a:graphic>
          </wp:inline>
        </w:drawing>
      </w:r>
    </w:p>
    <w:p w14:paraId="0879A43E" w14:textId="599FA413" w:rsidR="007B4899" w:rsidRPr="006C0F8B" w:rsidRDefault="007B4899" w:rsidP="006C0F8B">
      <w:pPr>
        <w:shd w:val="clear" w:color="auto" w:fill="C4EEFF" w:themeFill="accent2" w:themeFillTint="33"/>
        <w:spacing w:after="0" w:line="240" w:lineRule="auto"/>
        <w:jc w:val="both"/>
        <w:rPr>
          <w:sz w:val="20"/>
          <w:szCs w:val="20"/>
        </w:rPr>
      </w:pPr>
      <w:r w:rsidRPr="006C0F8B">
        <w:rPr>
          <w:sz w:val="20"/>
          <w:szCs w:val="20"/>
        </w:rPr>
        <w:t xml:space="preserve">Source: SDG Progress Report (2023, p. </w:t>
      </w:r>
      <w:r w:rsidR="00946806" w:rsidRPr="006C0F8B">
        <w:rPr>
          <w:sz w:val="20"/>
          <w:szCs w:val="20"/>
        </w:rPr>
        <w:t>8</w:t>
      </w:r>
      <w:r w:rsidRPr="006C0F8B">
        <w:rPr>
          <w:sz w:val="20"/>
          <w:szCs w:val="20"/>
        </w:rPr>
        <w:t>).</w:t>
      </w:r>
    </w:p>
    <w:p w14:paraId="1CB87C50" w14:textId="77777777" w:rsidR="00090E56" w:rsidRPr="00C56601" w:rsidRDefault="00090E56" w:rsidP="00090E56">
      <w:pPr>
        <w:spacing w:after="0" w:line="240" w:lineRule="auto"/>
        <w:jc w:val="both"/>
        <w:rPr>
          <w:color w:val="000000" w:themeColor="text1"/>
          <w:sz w:val="24"/>
          <w:szCs w:val="24"/>
        </w:rPr>
      </w:pPr>
    </w:p>
    <w:p w14:paraId="75D88A7A" w14:textId="6996B7D3" w:rsidR="00D315F3" w:rsidRPr="00C56601" w:rsidRDefault="00D315F3" w:rsidP="00595EC8">
      <w:pPr>
        <w:pStyle w:val="ListParagraph"/>
        <w:numPr>
          <w:ilvl w:val="0"/>
          <w:numId w:val="18"/>
        </w:numPr>
        <w:spacing w:after="0" w:line="276" w:lineRule="auto"/>
        <w:jc w:val="both"/>
      </w:pPr>
      <w:r w:rsidRPr="00C56601">
        <w:rPr>
          <w:b/>
          <w:bCs/>
          <w:color w:val="276DBB" w:themeColor="text2" w:themeTint="BF"/>
        </w:rPr>
        <w:t xml:space="preserve">SDGs are not </w:t>
      </w:r>
      <w:r w:rsidR="00B504BF" w:rsidRPr="00C56601">
        <w:rPr>
          <w:b/>
          <w:bCs/>
          <w:color w:val="276DBB" w:themeColor="text2" w:themeTint="BF"/>
        </w:rPr>
        <w:t xml:space="preserve">a </w:t>
      </w:r>
      <w:r w:rsidRPr="00C56601">
        <w:rPr>
          <w:b/>
          <w:bCs/>
          <w:color w:val="276DBB" w:themeColor="text2" w:themeTint="BF"/>
        </w:rPr>
        <w:t>priority for stakeholders</w:t>
      </w:r>
      <w:r w:rsidR="00CB23E2" w:rsidRPr="00C56601">
        <w:rPr>
          <w:b/>
          <w:bCs/>
          <w:color w:val="276DBB" w:themeColor="text2" w:themeTint="BF"/>
        </w:rPr>
        <w:t xml:space="preserve">. </w:t>
      </w:r>
      <w:r w:rsidR="00672C17" w:rsidRPr="00C56601">
        <w:t xml:space="preserve">This is one of the most serious obstacles for promoting the SDG agenda. </w:t>
      </w:r>
      <w:r w:rsidR="0018068C" w:rsidRPr="0018068C">
        <w:t xml:space="preserve">The stakeholders include domestic and international stakeholders from public and private sectors. SDGs may not fully align with </w:t>
      </w:r>
      <w:proofErr w:type="gramStart"/>
      <w:r w:rsidR="0018068C" w:rsidRPr="0018068C">
        <w:t>EU  chapters</w:t>
      </w:r>
      <w:proofErr w:type="gramEnd"/>
      <w:r w:rsidR="0018068C" w:rsidRPr="0018068C">
        <w:t xml:space="preserve"> of the acquis </w:t>
      </w:r>
      <w:proofErr w:type="spellStart"/>
      <w:r w:rsidR="0018068C" w:rsidRPr="0018068C">
        <w:t>communautaire</w:t>
      </w:r>
      <w:proofErr w:type="spellEnd"/>
      <w:r w:rsidR="0018068C" w:rsidRPr="0018068C">
        <w:t>, but it is not the only criteria. We shall also consider the alignment with business operations and investments.</w:t>
      </w:r>
      <w:r w:rsidR="0018068C">
        <w:t xml:space="preserve"> </w:t>
      </w:r>
      <w:r w:rsidR="00672C17" w:rsidRPr="00C56601">
        <w:t>E</w:t>
      </w:r>
      <w:r w:rsidR="00CB23E2" w:rsidRPr="00C56601">
        <w:t xml:space="preserve">ven though without attached conditions, the </w:t>
      </w:r>
      <w:r w:rsidR="00EF0770" w:rsidRPr="00C56601">
        <w:t>UN 2030</w:t>
      </w:r>
      <w:r w:rsidR="00CB23E2" w:rsidRPr="00C56601">
        <w:t xml:space="preserve"> Agenda for Sustainable Development is also focusing policymakers’ attention on country’s long-term commitments for improving the quality of life of its citizens. About 65 percent, nearly two-thirds of the SDG targets (109 of 169 targets), have a strong link with the chapters of the </w:t>
      </w:r>
      <w:r w:rsidR="00672C17" w:rsidRPr="00C56601">
        <w:rPr>
          <w:i/>
          <w:iCs/>
        </w:rPr>
        <w:t>a</w:t>
      </w:r>
      <w:r w:rsidR="00CB23E2" w:rsidRPr="00C56601">
        <w:rPr>
          <w:i/>
          <w:iCs/>
        </w:rPr>
        <w:t xml:space="preserve">cquis </w:t>
      </w:r>
      <w:proofErr w:type="spellStart"/>
      <w:r w:rsidR="00672C17" w:rsidRPr="00C56601">
        <w:rPr>
          <w:i/>
          <w:iCs/>
        </w:rPr>
        <w:t>c</w:t>
      </w:r>
      <w:r w:rsidR="00CB23E2" w:rsidRPr="00C56601">
        <w:rPr>
          <w:i/>
          <w:iCs/>
        </w:rPr>
        <w:t>ommunautaire</w:t>
      </w:r>
      <w:proofErr w:type="spellEnd"/>
      <w:r w:rsidR="00672C17" w:rsidRPr="00C56601">
        <w:t xml:space="preserve">. </w:t>
      </w:r>
      <w:r w:rsidR="0018068C">
        <w:t xml:space="preserve"> </w:t>
      </w:r>
      <w:r w:rsidR="0018068C" w:rsidRPr="0018068C">
        <w:t xml:space="preserve">Strong linkage for 65% of the SDGs is a good sign. </w:t>
      </w:r>
      <w:r w:rsidR="00671F85">
        <w:t>Therefore, it is worthwhile to</w:t>
      </w:r>
      <w:r w:rsidR="0018068C" w:rsidRPr="0018068C">
        <w:t xml:space="preserve"> rebrand SDGs for different audiences and emphasis on the synergy with their strategies.</w:t>
      </w:r>
      <w:r w:rsidR="0018068C">
        <w:t xml:space="preserve"> </w:t>
      </w:r>
      <w:r w:rsidR="00672C17" w:rsidRPr="00C56601">
        <w:rPr>
          <w:i/>
          <w:iCs/>
          <w:color w:val="276DBB" w:themeColor="text2" w:themeTint="BF"/>
        </w:rPr>
        <w:t>SDGs are not</w:t>
      </w:r>
      <w:r w:rsidR="00EF0770" w:rsidRPr="00C56601">
        <w:rPr>
          <w:i/>
          <w:iCs/>
          <w:color w:val="276DBB" w:themeColor="text2" w:themeTint="BF"/>
        </w:rPr>
        <w:t xml:space="preserve"> considered</w:t>
      </w:r>
      <w:r w:rsidR="00672C17" w:rsidRPr="00C56601">
        <w:rPr>
          <w:i/>
          <w:iCs/>
          <w:color w:val="276DBB" w:themeColor="text2" w:themeTint="BF"/>
        </w:rPr>
        <w:t xml:space="preserve"> a</w:t>
      </w:r>
      <w:r w:rsidR="00EF0770" w:rsidRPr="00C56601">
        <w:rPr>
          <w:i/>
          <w:iCs/>
          <w:color w:val="276DBB" w:themeColor="text2" w:themeTint="BF"/>
        </w:rPr>
        <w:t>n urgent</w:t>
      </w:r>
      <w:r w:rsidR="00672C17" w:rsidRPr="00C56601">
        <w:rPr>
          <w:i/>
          <w:iCs/>
          <w:color w:val="276DBB" w:themeColor="text2" w:themeTint="BF"/>
        </w:rPr>
        <w:t xml:space="preserve"> priority, because there are no conditions attached, nor are there enough zeros in the amounts of </w:t>
      </w:r>
      <w:r w:rsidR="00EF0770" w:rsidRPr="00C56601">
        <w:rPr>
          <w:i/>
          <w:iCs/>
          <w:color w:val="276DBB" w:themeColor="text2" w:themeTint="BF"/>
        </w:rPr>
        <w:t>financial</w:t>
      </w:r>
      <w:r w:rsidR="00672C17" w:rsidRPr="00C56601">
        <w:rPr>
          <w:i/>
          <w:iCs/>
          <w:color w:val="276DBB" w:themeColor="text2" w:themeTint="BF"/>
        </w:rPr>
        <w:t xml:space="preserve"> support.</w:t>
      </w:r>
      <w:r w:rsidR="00672C17" w:rsidRPr="00C56601">
        <w:rPr>
          <w:color w:val="276DBB" w:themeColor="text2" w:themeTint="BF"/>
        </w:rPr>
        <w:t xml:space="preserve"> </w:t>
      </w:r>
      <w:r w:rsidR="00672C17" w:rsidRPr="00C56601">
        <w:rPr>
          <w:color w:val="000000" w:themeColor="text1"/>
        </w:rPr>
        <w:t xml:space="preserve">The irony is that the development loans from other International Financial Institutions (including the European Commission) are </w:t>
      </w:r>
      <w:r w:rsidR="00EF0770" w:rsidRPr="00C56601">
        <w:rPr>
          <w:color w:val="000000" w:themeColor="text1"/>
        </w:rPr>
        <w:t xml:space="preserve">highly </w:t>
      </w:r>
      <w:r w:rsidR="00672C17" w:rsidRPr="00C56601">
        <w:rPr>
          <w:color w:val="000000" w:themeColor="text1"/>
        </w:rPr>
        <w:t>supportive to the attainment of SDGs.</w:t>
      </w:r>
      <w:r w:rsidR="008C2554" w:rsidRPr="00C56601">
        <w:rPr>
          <w:color w:val="000000" w:themeColor="text1"/>
        </w:rPr>
        <w:t xml:space="preserve"> The downside is that around 35% of the targets are not explicitly aligned with the </w:t>
      </w:r>
      <w:r w:rsidR="008C2554" w:rsidRPr="00C56601">
        <w:rPr>
          <w:i/>
          <w:iCs/>
        </w:rPr>
        <w:t xml:space="preserve">acquis </w:t>
      </w:r>
      <w:proofErr w:type="spellStart"/>
      <w:r w:rsidR="008C2554" w:rsidRPr="00C56601">
        <w:rPr>
          <w:i/>
          <w:iCs/>
        </w:rPr>
        <w:t>communautaire</w:t>
      </w:r>
      <w:proofErr w:type="spellEnd"/>
      <w:r w:rsidR="008C2554" w:rsidRPr="00C56601">
        <w:rPr>
          <w:i/>
          <w:iCs/>
        </w:rPr>
        <w:t>.</w:t>
      </w:r>
      <w:r w:rsidR="0018068C">
        <w:t xml:space="preserve"> </w:t>
      </w:r>
    </w:p>
    <w:p w14:paraId="26CB6E7C" w14:textId="77777777" w:rsidR="00B504BF" w:rsidRPr="00C56601" w:rsidRDefault="00B504BF" w:rsidP="00595EC8">
      <w:pPr>
        <w:pStyle w:val="ListParagraph"/>
        <w:spacing w:after="0" w:line="276" w:lineRule="auto"/>
        <w:ind w:left="756"/>
        <w:jc w:val="both"/>
      </w:pPr>
    </w:p>
    <w:p w14:paraId="59913022" w14:textId="082EB10F" w:rsidR="007D40F6" w:rsidRPr="00C56601" w:rsidRDefault="00672C17" w:rsidP="00595EC8">
      <w:pPr>
        <w:pStyle w:val="ListParagraph"/>
        <w:numPr>
          <w:ilvl w:val="0"/>
          <w:numId w:val="18"/>
        </w:numPr>
        <w:spacing w:after="0" w:line="276" w:lineRule="auto"/>
        <w:jc w:val="both"/>
        <w:rPr>
          <w:b/>
          <w:bCs/>
          <w:color w:val="276DBB" w:themeColor="text2" w:themeTint="BF"/>
        </w:rPr>
      </w:pPr>
      <w:r w:rsidRPr="00C56601">
        <w:rPr>
          <w:b/>
          <w:bCs/>
          <w:color w:val="276DBB" w:themeColor="text2" w:themeTint="BF"/>
        </w:rPr>
        <w:t>L</w:t>
      </w:r>
      <w:r w:rsidR="00D315F3" w:rsidRPr="00C56601">
        <w:rPr>
          <w:b/>
          <w:bCs/>
          <w:color w:val="276DBB" w:themeColor="text2" w:themeTint="BF"/>
        </w:rPr>
        <w:t>ack of understanding of concepts</w:t>
      </w:r>
      <w:r w:rsidR="00CB23E2" w:rsidRPr="00C56601">
        <w:rPr>
          <w:b/>
          <w:bCs/>
          <w:color w:val="276DBB" w:themeColor="text2" w:themeTint="BF"/>
        </w:rPr>
        <w:t>.</w:t>
      </w:r>
      <w:r w:rsidRPr="00C56601">
        <w:rPr>
          <w:color w:val="000000" w:themeColor="text1"/>
        </w:rPr>
        <w:t xml:space="preserve"> Th</w:t>
      </w:r>
      <w:r w:rsidR="007D40F6" w:rsidRPr="00C56601">
        <w:rPr>
          <w:color w:val="000000" w:themeColor="text1"/>
        </w:rPr>
        <w:t>is</w:t>
      </w:r>
      <w:r w:rsidRPr="00C56601">
        <w:rPr>
          <w:color w:val="000000" w:themeColor="text1"/>
        </w:rPr>
        <w:t xml:space="preserve"> obstacle </w:t>
      </w:r>
      <w:r w:rsidR="007D40F6" w:rsidRPr="00C56601">
        <w:rPr>
          <w:color w:val="000000" w:themeColor="text1"/>
        </w:rPr>
        <w:t>is a</w:t>
      </w:r>
      <w:r w:rsidRPr="00C56601">
        <w:rPr>
          <w:color w:val="000000" w:themeColor="text1"/>
        </w:rPr>
        <w:t xml:space="preserve"> symptom of deeply rooted problems associated with the previous three obstacles.</w:t>
      </w:r>
      <w:r w:rsidR="007D40F6" w:rsidRPr="00C56601">
        <w:rPr>
          <w:color w:val="000000" w:themeColor="text1"/>
        </w:rPr>
        <w:t xml:space="preserve"> The EU negotiating chapters and clusters of chapters are well understood, because there are </w:t>
      </w:r>
      <w:r w:rsidR="00327E81" w:rsidRPr="00C56601">
        <w:rPr>
          <w:color w:val="000000" w:themeColor="text1"/>
        </w:rPr>
        <w:t>strong</w:t>
      </w:r>
      <w:r w:rsidR="007D40F6" w:rsidRPr="00C56601">
        <w:rPr>
          <w:color w:val="000000" w:themeColor="text1"/>
        </w:rPr>
        <w:t xml:space="preserve"> incentives (occasional grant support from the European Commission – €80 and </w:t>
      </w:r>
      <w:r w:rsidR="008C2554" w:rsidRPr="00C56601">
        <w:rPr>
          <w:color w:val="000000" w:themeColor="text1"/>
        </w:rPr>
        <w:t>€</w:t>
      </w:r>
      <w:r w:rsidR="007D40F6" w:rsidRPr="00C56601">
        <w:rPr>
          <w:color w:val="000000" w:themeColor="text1"/>
        </w:rPr>
        <w:t>100 million) and a final reward (prospective EU membership). There is no obvious financial reward for the attainment of the SDGs, whereas the penalty</w:t>
      </w:r>
      <w:r w:rsidR="008C2554" w:rsidRPr="00C56601">
        <w:rPr>
          <w:color w:val="000000" w:themeColor="text1"/>
        </w:rPr>
        <w:t xml:space="preserve"> of not addressing the SDGs</w:t>
      </w:r>
      <w:r w:rsidR="007D40F6" w:rsidRPr="00C56601">
        <w:rPr>
          <w:color w:val="000000" w:themeColor="text1"/>
        </w:rPr>
        <w:t xml:space="preserve"> is to be included on the “name and shame” list of countries that failed to fulfil some of the SDGs. In such environment, there are low incentives to understand the SDG</w:t>
      </w:r>
      <w:r w:rsidR="00327E81" w:rsidRPr="00C56601">
        <w:rPr>
          <w:color w:val="000000" w:themeColor="text1"/>
        </w:rPr>
        <w:t>s</w:t>
      </w:r>
      <w:r w:rsidR="007D40F6" w:rsidRPr="00C56601">
        <w:rPr>
          <w:color w:val="000000" w:themeColor="text1"/>
        </w:rPr>
        <w:t xml:space="preserve"> and SDG finance concepts.</w:t>
      </w:r>
      <w:r w:rsidR="009C293D">
        <w:rPr>
          <w:color w:val="000000" w:themeColor="text1"/>
        </w:rPr>
        <w:t xml:space="preserve"> However, i</w:t>
      </w:r>
      <w:r w:rsidR="009C293D" w:rsidRPr="001220AF">
        <w:rPr>
          <w:color w:val="000000" w:themeColor="text1"/>
        </w:rPr>
        <w:t>f SDGs and SDG Finance are better understood, the</w:t>
      </w:r>
      <w:r w:rsidR="009C293D">
        <w:rPr>
          <w:color w:val="000000" w:themeColor="text1"/>
        </w:rPr>
        <w:t>n the</w:t>
      </w:r>
      <w:r w:rsidR="009C293D" w:rsidRPr="001220AF">
        <w:rPr>
          <w:color w:val="000000" w:themeColor="text1"/>
        </w:rPr>
        <w:t xml:space="preserve"> government will recognize the </w:t>
      </w:r>
      <w:r w:rsidR="009C293D">
        <w:rPr>
          <w:color w:val="000000" w:themeColor="text1"/>
        </w:rPr>
        <w:t xml:space="preserve">long-term </w:t>
      </w:r>
      <w:r w:rsidR="009C293D" w:rsidRPr="001220AF">
        <w:rPr>
          <w:color w:val="000000" w:themeColor="text1"/>
        </w:rPr>
        <w:t>benefits of economic growth, societal development</w:t>
      </w:r>
      <w:r w:rsidR="009C293D">
        <w:rPr>
          <w:color w:val="000000" w:themeColor="text1"/>
        </w:rPr>
        <w:t>,</w:t>
      </w:r>
      <w:r w:rsidR="009C293D" w:rsidRPr="001220AF">
        <w:rPr>
          <w:color w:val="000000" w:themeColor="text1"/>
        </w:rPr>
        <w:t xml:space="preserve"> and environmental sustainability. This is supposed to yield large-scale financial reward for the long-term.</w:t>
      </w:r>
    </w:p>
    <w:p w14:paraId="306FDAB9" w14:textId="00F56AE0" w:rsidR="007D40F6" w:rsidRPr="00C56601" w:rsidRDefault="007D40F6" w:rsidP="00595EC8">
      <w:pPr>
        <w:pStyle w:val="ListParagraph"/>
        <w:spacing w:after="0" w:line="276" w:lineRule="auto"/>
        <w:rPr>
          <w:b/>
          <w:bCs/>
          <w:color w:val="276DBB" w:themeColor="text2" w:themeTint="BF"/>
        </w:rPr>
      </w:pPr>
    </w:p>
    <w:p w14:paraId="0C0CAC8F" w14:textId="4913463B" w:rsidR="00B504BF" w:rsidRPr="00C56601" w:rsidRDefault="00672C17" w:rsidP="00595EC8">
      <w:pPr>
        <w:pStyle w:val="ListParagraph"/>
        <w:numPr>
          <w:ilvl w:val="0"/>
          <w:numId w:val="18"/>
        </w:numPr>
        <w:spacing w:after="0" w:line="276" w:lineRule="auto"/>
        <w:jc w:val="both"/>
        <w:rPr>
          <w:b/>
          <w:bCs/>
          <w:color w:val="276DBB" w:themeColor="text2" w:themeTint="BF"/>
        </w:rPr>
      </w:pPr>
      <w:r w:rsidRPr="00C56601">
        <w:rPr>
          <w:b/>
          <w:bCs/>
          <w:color w:val="276DBB" w:themeColor="text2" w:themeTint="BF"/>
        </w:rPr>
        <w:t>L</w:t>
      </w:r>
      <w:r w:rsidR="00D315F3" w:rsidRPr="00C56601">
        <w:rPr>
          <w:b/>
          <w:bCs/>
          <w:color w:val="276DBB" w:themeColor="text2" w:themeTint="BF"/>
        </w:rPr>
        <w:t>ack of dedicated human resources.</w:t>
      </w:r>
      <w:r w:rsidR="007D40F6" w:rsidRPr="00C56601">
        <w:rPr>
          <w:b/>
          <w:bCs/>
          <w:color w:val="276DBB" w:themeColor="text2" w:themeTint="BF"/>
        </w:rPr>
        <w:t xml:space="preserve"> </w:t>
      </w:r>
      <w:proofErr w:type="gramStart"/>
      <w:r w:rsidR="007D40F6" w:rsidRPr="00C56601">
        <w:rPr>
          <w:color w:val="000000" w:themeColor="text1"/>
        </w:rPr>
        <w:t>As a consequence of</w:t>
      </w:r>
      <w:proofErr w:type="gramEnd"/>
      <w:r w:rsidR="007D40F6" w:rsidRPr="00C56601">
        <w:rPr>
          <w:color w:val="000000" w:themeColor="text1"/>
        </w:rPr>
        <w:t xml:space="preserve"> the previous four obstacles, there are not many functional SDG taskforces or SDG-linked divisions </w:t>
      </w:r>
      <w:r w:rsidR="008C2554" w:rsidRPr="00C56601">
        <w:rPr>
          <w:color w:val="000000" w:themeColor="text1"/>
        </w:rPr>
        <w:t xml:space="preserve">or working groups </w:t>
      </w:r>
      <w:r w:rsidR="007D40F6" w:rsidRPr="00C56601">
        <w:rPr>
          <w:color w:val="000000" w:themeColor="text1"/>
        </w:rPr>
        <w:t>across the national institutions.</w:t>
      </w:r>
    </w:p>
    <w:p w14:paraId="2C03E7D5" w14:textId="77777777" w:rsidR="00625B3E" w:rsidRPr="00C56601" w:rsidRDefault="00625B3E" w:rsidP="00625B3E">
      <w:pPr>
        <w:spacing w:after="0" w:line="276" w:lineRule="auto"/>
        <w:jc w:val="both"/>
        <w:rPr>
          <w:b/>
          <w:bCs/>
          <w:color w:val="276DBB" w:themeColor="text2" w:themeTint="BF"/>
        </w:rPr>
      </w:pPr>
    </w:p>
    <w:p w14:paraId="5B925784" w14:textId="451717FA" w:rsidR="00625B3E" w:rsidRPr="00C56601" w:rsidRDefault="00625B3E" w:rsidP="00625B3E">
      <w:pPr>
        <w:spacing w:after="0" w:line="276" w:lineRule="auto"/>
        <w:jc w:val="both"/>
        <w:rPr>
          <w:color w:val="000000" w:themeColor="text1"/>
        </w:rPr>
      </w:pPr>
      <w:r w:rsidRPr="00C56601">
        <w:rPr>
          <w:color w:val="000000" w:themeColor="text1"/>
        </w:rPr>
        <w:t xml:space="preserve">To summarize, all roads lead to insufficient institutional capacities and lack of policy attention to SDGs. As Box </w:t>
      </w:r>
      <w:r w:rsidR="008866D3" w:rsidRPr="00C56601">
        <w:rPr>
          <w:color w:val="000000" w:themeColor="text1"/>
        </w:rPr>
        <w:t>2</w:t>
      </w:r>
      <w:r w:rsidRPr="00C56601">
        <w:rPr>
          <w:color w:val="000000" w:themeColor="text1"/>
        </w:rPr>
        <w:t xml:space="preserve"> demonstrates, the progress along the six dimensions of good governance (rule of law, political stability, regulatory quality, control of corruption, voice and accountability, and government effectiveness) is positively correlated with the progress in attaining the SDG targets. Put differently, the better the governance, the higher the likelihood of attaining the SDG targets. </w:t>
      </w:r>
    </w:p>
    <w:p w14:paraId="756B5C09" w14:textId="385D9BDA" w:rsidR="00D315F3" w:rsidRDefault="00D315F3" w:rsidP="00195B42">
      <w:pPr>
        <w:spacing w:after="0" w:line="240" w:lineRule="auto"/>
        <w:rPr>
          <w:sz w:val="20"/>
          <w:szCs w:val="20"/>
        </w:rPr>
      </w:pPr>
    </w:p>
    <w:p w14:paraId="7DBB9013" w14:textId="77777777" w:rsidR="009C293D" w:rsidRDefault="009C293D" w:rsidP="00195B42">
      <w:pPr>
        <w:spacing w:after="0" w:line="240" w:lineRule="auto"/>
        <w:rPr>
          <w:sz w:val="20"/>
          <w:szCs w:val="20"/>
        </w:rPr>
      </w:pPr>
    </w:p>
    <w:p w14:paraId="6DC8CCD9" w14:textId="77777777" w:rsidR="009C293D" w:rsidRDefault="009C293D" w:rsidP="00195B42">
      <w:pPr>
        <w:spacing w:after="0" w:line="240" w:lineRule="auto"/>
        <w:rPr>
          <w:sz w:val="20"/>
          <w:szCs w:val="20"/>
        </w:rPr>
      </w:pPr>
    </w:p>
    <w:p w14:paraId="67ED5F7F" w14:textId="77777777" w:rsidR="009C293D" w:rsidRPr="00C56601" w:rsidRDefault="009C293D" w:rsidP="00195B42">
      <w:pPr>
        <w:spacing w:after="0" w:line="240" w:lineRule="auto"/>
        <w:rPr>
          <w:sz w:val="20"/>
          <w:szCs w:val="20"/>
        </w:rPr>
      </w:pPr>
    </w:p>
    <w:p w14:paraId="6F3981B6" w14:textId="35C0DBA9" w:rsidR="000052C5" w:rsidRPr="00C56601" w:rsidRDefault="000052C5" w:rsidP="000052C5">
      <w:pPr>
        <w:pStyle w:val="Caption"/>
        <w:shd w:val="clear" w:color="auto" w:fill="104864" w:themeFill="background2" w:themeFillShade="40"/>
        <w:spacing w:after="0"/>
        <w:rPr>
          <w:i w:val="0"/>
          <w:iCs w:val="0"/>
          <w:color w:val="FFFFFF" w:themeColor="background1"/>
          <w:sz w:val="22"/>
          <w:szCs w:val="22"/>
        </w:rPr>
      </w:pPr>
      <w:bookmarkStart w:id="25" w:name="_Toc157427502"/>
      <w:r w:rsidRPr="00C56601">
        <w:rPr>
          <w:i w:val="0"/>
          <w:iCs w:val="0"/>
          <w:color w:val="FFFFFF" w:themeColor="background1"/>
          <w:sz w:val="22"/>
          <w:szCs w:val="22"/>
        </w:rPr>
        <w:lastRenderedPageBreak/>
        <w:t xml:space="preserve">Box </w:t>
      </w:r>
      <w:r w:rsidRPr="00C56601">
        <w:rPr>
          <w:i w:val="0"/>
          <w:iCs w:val="0"/>
          <w:color w:val="FFFFFF" w:themeColor="background1"/>
          <w:sz w:val="22"/>
          <w:szCs w:val="22"/>
        </w:rPr>
        <w:fldChar w:fldCharType="begin"/>
      </w:r>
      <w:r w:rsidRPr="00C56601">
        <w:rPr>
          <w:i w:val="0"/>
          <w:iCs w:val="0"/>
          <w:color w:val="FFFFFF" w:themeColor="background1"/>
          <w:sz w:val="22"/>
          <w:szCs w:val="22"/>
        </w:rPr>
        <w:instrText xml:space="preserve"> SEQ Box \* ARABIC </w:instrText>
      </w:r>
      <w:r w:rsidRPr="00C56601">
        <w:rPr>
          <w:i w:val="0"/>
          <w:iCs w:val="0"/>
          <w:color w:val="FFFFFF" w:themeColor="background1"/>
          <w:sz w:val="22"/>
          <w:szCs w:val="22"/>
        </w:rPr>
        <w:fldChar w:fldCharType="separate"/>
      </w:r>
      <w:r w:rsidR="00041D0A">
        <w:rPr>
          <w:i w:val="0"/>
          <w:iCs w:val="0"/>
          <w:noProof/>
          <w:color w:val="FFFFFF" w:themeColor="background1"/>
          <w:sz w:val="22"/>
          <w:szCs w:val="22"/>
        </w:rPr>
        <w:t>2</w:t>
      </w:r>
      <w:r w:rsidRPr="00C56601">
        <w:rPr>
          <w:i w:val="0"/>
          <w:iCs w:val="0"/>
          <w:color w:val="FFFFFF" w:themeColor="background1"/>
          <w:sz w:val="22"/>
          <w:szCs w:val="22"/>
        </w:rPr>
        <w:fldChar w:fldCharType="end"/>
      </w:r>
      <w:r w:rsidRPr="00C56601">
        <w:rPr>
          <w:i w:val="0"/>
          <w:iCs w:val="0"/>
          <w:color w:val="FFFFFF" w:themeColor="background1"/>
          <w:sz w:val="22"/>
          <w:szCs w:val="22"/>
        </w:rPr>
        <w:t>. What Drives the Progress in Achieving the SDGs?</w:t>
      </w:r>
      <w:bookmarkEnd w:id="25"/>
    </w:p>
    <w:p w14:paraId="6D531DE1" w14:textId="77777777" w:rsidR="00625B3E" w:rsidRPr="00C56601" w:rsidRDefault="00625B3E" w:rsidP="006C0F8B">
      <w:pPr>
        <w:shd w:val="clear" w:color="auto" w:fill="C4EEFF" w:themeFill="accent2" w:themeFillTint="33"/>
        <w:spacing w:after="0" w:line="240" w:lineRule="auto"/>
        <w:jc w:val="both"/>
        <w:rPr>
          <w:color w:val="000000" w:themeColor="text1"/>
          <w:sz w:val="20"/>
          <w:szCs w:val="20"/>
        </w:rPr>
      </w:pPr>
    </w:p>
    <w:p w14:paraId="663F8D32" w14:textId="7C6D80F4" w:rsidR="000052C5" w:rsidRPr="00C56601" w:rsidRDefault="000052C5" w:rsidP="006C0F8B">
      <w:pPr>
        <w:shd w:val="clear" w:color="auto" w:fill="C4EEFF" w:themeFill="accent2" w:themeFillTint="33"/>
        <w:spacing w:after="0" w:line="240" w:lineRule="auto"/>
        <w:jc w:val="both"/>
        <w:rPr>
          <w:color w:val="000000" w:themeColor="text1"/>
          <w:sz w:val="20"/>
          <w:szCs w:val="20"/>
        </w:rPr>
      </w:pPr>
      <w:r w:rsidRPr="00C56601">
        <w:rPr>
          <w:color w:val="000000" w:themeColor="text1"/>
          <w:sz w:val="20"/>
          <w:szCs w:val="20"/>
        </w:rPr>
        <w:t xml:space="preserve">Good governance and strong institutional capacities are crucial for developing and implementing strategies and policies that align with the SDGs. Institutions need to have the capacity to analyse the interlinkages between different goals, set targets, and formulate strategies to achieve them. They should also be able to integrate the SDGs into national or organizational development plans and ensure coordination across various sectors and stakeholders. As presented in Figure </w:t>
      </w:r>
      <w:r w:rsidR="001F297F" w:rsidRPr="00C56601">
        <w:rPr>
          <w:color w:val="000000" w:themeColor="text1"/>
          <w:sz w:val="20"/>
          <w:szCs w:val="20"/>
        </w:rPr>
        <w:t>5</w:t>
      </w:r>
      <w:r w:rsidRPr="00C56601">
        <w:rPr>
          <w:color w:val="000000" w:themeColor="text1"/>
          <w:sz w:val="20"/>
          <w:szCs w:val="20"/>
        </w:rPr>
        <w:t>, the progress in achieving SDG targets is positively correlated with all six indicators of good governance: Rule of Law, Political Stability, Regulatory Quality, Control of Corruption, Voice and Accountability, and Government Effectiveness.</w:t>
      </w:r>
    </w:p>
    <w:p w14:paraId="65EAD6B5" w14:textId="77777777" w:rsidR="00625B3E" w:rsidRPr="00C56601" w:rsidRDefault="00625B3E" w:rsidP="006C0F8B">
      <w:pPr>
        <w:shd w:val="clear" w:color="auto" w:fill="C4EEFF" w:themeFill="accent2" w:themeFillTint="33"/>
        <w:spacing w:after="0" w:line="240" w:lineRule="auto"/>
        <w:jc w:val="both"/>
        <w:rPr>
          <w:color w:val="000000" w:themeColor="text1"/>
        </w:rPr>
      </w:pPr>
    </w:p>
    <w:p w14:paraId="4BD5525C" w14:textId="77777777" w:rsidR="00DC0DF5" w:rsidRPr="00C56601" w:rsidRDefault="00DC0DF5" w:rsidP="00625B3E">
      <w:pPr>
        <w:pStyle w:val="Caption"/>
        <w:spacing w:after="0"/>
        <w:rPr>
          <w:i w:val="0"/>
          <w:iCs w:val="0"/>
          <w:color w:val="0070C0"/>
          <w:sz w:val="22"/>
          <w:szCs w:val="22"/>
        </w:rPr>
      </w:pPr>
    </w:p>
    <w:p w14:paraId="422EB6FD" w14:textId="3B2F8685" w:rsidR="00625B3E" w:rsidRPr="00C56601" w:rsidRDefault="005D5196" w:rsidP="00625B3E">
      <w:pPr>
        <w:pStyle w:val="Caption"/>
        <w:spacing w:after="0"/>
        <w:rPr>
          <w:i w:val="0"/>
          <w:iCs w:val="0"/>
          <w:color w:val="0070C0"/>
          <w:sz w:val="22"/>
          <w:szCs w:val="22"/>
        </w:rPr>
      </w:pPr>
      <w:bookmarkStart w:id="26" w:name="_Toc157427581"/>
      <w:r w:rsidRPr="00C56601">
        <w:rPr>
          <w:i w:val="0"/>
          <w:iCs w:val="0"/>
          <w:color w:val="0070C0"/>
          <w:sz w:val="22"/>
          <w:szCs w:val="22"/>
        </w:rPr>
        <w:t xml:space="preserve">Figure </w:t>
      </w:r>
      <w:r w:rsidRPr="00C56601">
        <w:rPr>
          <w:i w:val="0"/>
          <w:iCs w:val="0"/>
          <w:color w:val="0070C0"/>
          <w:sz w:val="22"/>
          <w:szCs w:val="22"/>
        </w:rPr>
        <w:fldChar w:fldCharType="begin"/>
      </w:r>
      <w:r w:rsidRPr="00C56601">
        <w:rPr>
          <w:i w:val="0"/>
          <w:iCs w:val="0"/>
          <w:color w:val="0070C0"/>
          <w:sz w:val="22"/>
          <w:szCs w:val="22"/>
        </w:rPr>
        <w:instrText xml:space="preserve"> SEQ Figure \* ARABIC </w:instrText>
      </w:r>
      <w:r w:rsidRPr="00C56601">
        <w:rPr>
          <w:i w:val="0"/>
          <w:iCs w:val="0"/>
          <w:color w:val="0070C0"/>
          <w:sz w:val="22"/>
          <w:szCs w:val="22"/>
        </w:rPr>
        <w:fldChar w:fldCharType="separate"/>
      </w:r>
      <w:r w:rsidR="00227165">
        <w:rPr>
          <w:i w:val="0"/>
          <w:iCs w:val="0"/>
          <w:noProof/>
          <w:color w:val="0070C0"/>
          <w:sz w:val="22"/>
          <w:szCs w:val="22"/>
        </w:rPr>
        <w:t>6</w:t>
      </w:r>
      <w:r w:rsidRPr="00C56601">
        <w:rPr>
          <w:i w:val="0"/>
          <w:iCs w:val="0"/>
          <w:color w:val="0070C0"/>
          <w:sz w:val="22"/>
          <w:szCs w:val="22"/>
        </w:rPr>
        <w:fldChar w:fldCharType="end"/>
      </w:r>
      <w:r w:rsidRPr="00C56601">
        <w:rPr>
          <w:i w:val="0"/>
          <w:iCs w:val="0"/>
          <w:color w:val="0070C0"/>
          <w:sz w:val="22"/>
          <w:szCs w:val="22"/>
        </w:rPr>
        <w:t>. Progress in Achieving the SDG Targets and Good Governance Indicators (EU-27 and Western Balkans, 2018-2022)</w:t>
      </w:r>
      <w:bookmarkEnd w:id="26"/>
    </w:p>
    <w:tbl>
      <w:tblPr>
        <w:tblStyle w:val="TableGrid"/>
        <w:tblW w:w="936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34"/>
        <w:gridCol w:w="4626"/>
      </w:tblGrid>
      <w:tr w:rsidR="00AB1763" w:rsidRPr="00C56601" w14:paraId="1EB3A7E4" w14:textId="77777777" w:rsidTr="00AB1763">
        <w:tc>
          <w:tcPr>
            <w:tcW w:w="4734" w:type="dxa"/>
            <w:shd w:val="clear" w:color="auto" w:fill="auto"/>
          </w:tcPr>
          <w:p w14:paraId="5418D359" w14:textId="3162CA26" w:rsidR="00D32D58" w:rsidRPr="00C56601" w:rsidRDefault="00396D6E" w:rsidP="005373BD">
            <w:pPr>
              <w:rPr>
                <w:i/>
                <w:iCs/>
                <w:color w:val="000000" w:themeColor="text1"/>
                <w:sz w:val="20"/>
                <w:szCs w:val="20"/>
              </w:rPr>
            </w:pPr>
            <w:r w:rsidRPr="00C56601">
              <w:rPr>
                <w:i/>
                <w:iCs/>
                <w:color w:val="000000" w:themeColor="text1"/>
                <w:sz w:val="20"/>
                <w:szCs w:val="20"/>
              </w:rPr>
              <w:t xml:space="preserve">Panel A. </w:t>
            </w:r>
            <w:r w:rsidR="00D32D58" w:rsidRPr="00C56601">
              <w:rPr>
                <w:i/>
                <w:iCs/>
                <w:color w:val="000000" w:themeColor="text1"/>
                <w:sz w:val="20"/>
                <w:szCs w:val="20"/>
              </w:rPr>
              <w:t>SDG progress and Rule of Law</w:t>
            </w:r>
          </w:p>
        </w:tc>
        <w:tc>
          <w:tcPr>
            <w:tcW w:w="4626" w:type="dxa"/>
            <w:shd w:val="clear" w:color="auto" w:fill="auto"/>
          </w:tcPr>
          <w:p w14:paraId="5770D54C" w14:textId="0D2109B7" w:rsidR="00D32D58" w:rsidRPr="00C56601" w:rsidRDefault="00396D6E" w:rsidP="005373BD">
            <w:pPr>
              <w:rPr>
                <w:i/>
                <w:iCs/>
                <w:color w:val="000000" w:themeColor="text1"/>
                <w:sz w:val="20"/>
                <w:szCs w:val="20"/>
              </w:rPr>
            </w:pPr>
            <w:r w:rsidRPr="00C56601">
              <w:rPr>
                <w:i/>
                <w:iCs/>
                <w:color w:val="000000" w:themeColor="text1"/>
                <w:sz w:val="20"/>
                <w:szCs w:val="20"/>
              </w:rPr>
              <w:t xml:space="preserve">Panel B. </w:t>
            </w:r>
            <w:r w:rsidR="00D32D58" w:rsidRPr="00C56601">
              <w:rPr>
                <w:i/>
                <w:iCs/>
                <w:color w:val="000000" w:themeColor="text1"/>
                <w:sz w:val="20"/>
                <w:szCs w:val="20"/>
              </w:rPr>
              <w:t>SDG progress and Political Stability</w:t>
            </w:r>
          </w:p>
        </w:tc>
      </w:tr>
      <w:tr w:rsidR="005D5196" w:rsidRPr="00C56601" w14:paraId="5FD1A578" w14:textId="77777777" w:rsidTr="00AB1763">
        <w:tc>
          <w:tcPr>
            <w:tcW w:w="4734" w:type="dxa"/>
          </w:tcPr>
          <w:p w14:paraId="6D3CA327" w14:textId="63AB742E" w:rsidR="00D32D58" w:rsidRPr="00C56601" w:rsidRDefault="00D32D58" w:rsidP="005373BD">
            <w:r w:rsidRPr="00C56601">
              <w:rPr>
                <w:noProof/>
              </w:rPr>
              <w:drawing>
                <wp:inline distT="0" distB="0" distL="0" distR="0" wp14:anchorId="439503F8" wp14:editId="46C62A38">
                  <wp:extent cx="2883932" cy="2097405"/>
                  <wp:effectExtent l="0" t="0" r="0" b="0"/>
                  <wp:docPr id="9682010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8988" cy="2101082"/>
                          </a:xfrm>
                          <a:prstGeom prst="rect">
                            <a:avLst/>
                          </a:prstGeom>
                          <a:noFill/>
                          <a:ln>
                            <a:noFill/>
                          </a:ln>
                        </pic:spPr>
                      </pic:pic>
                    </a:graphicData>
                  </a:graphic>
                </wp:inline>
              </w:drawing>
            </w:r>
          </w:p>
        </w:tc>
        <w:tc>
          <w:tcPr>
            <w:tcW w:w="4626" w:type="dxa"/>
          </w:tcPr>
          <w:p w14:paraId="4A4BFA64" w14:textId="62C7A117" w:rsidR="00D32D58" w:rsidRPr="00C56601" w:rsidRDefault="00D32D58" w:rsidP="005373BD">
            <w:r w:rsidRPr="00C56601">
              <w:rPr>
                <w:noProof/>
              </w:rPr>
              <w:drawing>
                <wp:inline distT="0" distB="0" distL="0" distR="0" wp14:anchorId="63A12CA0" wp14:editId="0E8F301E">
                  <wp:extent cx="2883932" cy="2097405"/>
                  <wp:effectExtent l="0" t="0" r="0" b="0"/>
                  <wp:docPr id="6261636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98771" cy="2108197"/>
                          </a:xfrm>
                          <a:prstGeom prst="rect">
                            <a:avLst/>
                          </a:prstGeom>
                          <a:noFill/>
                          <a:ln>
                            <a:noFill/>
                          </a:ln>
                        </pic:spPr>
                      </pic:pic>
                    </a:graphicData>
                  </a:graphic>
                </wp:inline>
              </w:drawing>
            </w:r>
          </w:p>
        </w:tc>
      </w:tr>
      <w:tr w:rsidR="005D5196" w:rsidRPr="00C56601" w14:paraId="295CD524" w14:textId="77777777" w:rsidTr="00AB1763">
        <w:tc>
          <w:tcPr>
            <w:tcW w:w="4734" w:type="dxa"/>
          </w:tcPr>
          <w:p w14:paraId="08C5CFF4" w14:textId="6F9759DD" w:rsidR="005D5196" w:rsidRPr="00C56601" w:rsidRDefault="00396D6E" w:rsidP="005D5196">
            <w:pPr>
              <w:rPr>
                <w:i/>
                <w:iCs/>
                <w:sz w:val="20"/>
                <w:szCs w:val="20"/>
              </w:rPr>
            </w:pPr>
            <w:r w:rsidRPr="00C56601">
              <w:rPr>
                <w:i/>
                <w:iCs/>
                <w:color w:val="000000" w:themeColor="text1"/>
                <w:sz w:val="20"/>
                <w:szCs w:val="20"/>
              </w:rPr>
              <w:t xml:space="preserve">Panel C. </w:t>
            </w:r>
            <w:r w:rsidR="005D5196" w:rsidRPr="00C56601">
              <w:rPr>
                <w:i/>
                <w:iCs/>
                <w:sz w:val="20"/>
                <w:szCs w:val="20"/>
              </w:rPr>
              <w:t>SDG progress and Regulatory Quality</w:t>
            </w:r>
          </w:p>
        </w:tc>
        <w:tc>
          <w:tcPr>
            <w:tcW w:w="4626" w:type="dxa"/>
          </w:tcPr>
          <w:p w14:paraId="27C77193" w14:textId="095C64E5" w:rsidR="005D5196" w:rsidRPr="00C56601" w:rsidRDefault="00396D6E" w:rsidP="005D5196">
            <w:pPr>
              <w:rPr>
                <w:i/>
                <w:iCs/>
                <w:sz w:val="20"/>
                <w:szCs w:val="20"/>
              </w:rPr>
            </w:pPr>
            <w:r w:rsidRPr="00C56601">
              <w:rPr>
                <w:i/>
                <w:iCs/>
                <w:color w:val="000000" w:themeColor="text1"/>
                <w:sz w:val="20"/>
                <w:szCs w:val="20"/>
              </w:rPr>
              <w:t xml:space="preserve">Panel D. </w:t>
            </w:r>
            <w:r w:rsidR="005D5196" w:rsidRPr="00C56601">
              <w:rPr>
                <w:i/>
                <w:iCs/>
                <w:sz w:val="20"/>
                <w:szCs w:val="20"/>
              </w:rPr>
              <w:t>SDG progress and Control of Corruption</w:t>
            </w:r>
          </w:p>
        </w:tc>
      </w:tr>
      <w:tr w:rsidR="005D5196" w:rsidRPr="00C56601" w14:paraId="52C6A6EB" w14:textId="77777777" w:rsidTr="00AB1763">
        <w:tc>
          <w:tcPr>
            <w:tcW w:w="4734" w:type="dxa"/>
          </w:tcPr>
          <w:p w14:paraId="539C1956" w14:textId="38EA51B4" w:rsidR="005D5196" w:rsidRPr="00C56601" w:rsidRDefault="005D5196" w:rsidP="005D5196">
            <w:r w:rsidRPr="00C56601">
              <w:rPr>
                <w:noProof/>
              </w:rPr>
              <w:drawing>
                <wp:inline distT="0" distB="0" distL="0" distR="0" wp14:anchorId="1095E41F" wp14:editId="15C5D4F2">
                  <wp:extent cx="2828925" cy="2057400"/>
                  <wp:effectExtent l="0" t="0" r="9525" b="0"/>
                  <wp:docPr id="14652695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38726" cy="2064528"/>
                          </a:xfrm>
                          <a:prstGeom prst="rect">
                            <a:avLst/>
                          </a:prstGeom>
                          <a:noFill/>
                          <a:ln>
                            <a:noFill/>
                          </a:ln>
                        </pic:spPr>
                      </pic:pic>
                    </a:graphicData>
                  </a:graphic>
                </wp:inline>
              </w:drawing>
            </w:r>
          </w:p>
        </w:tc>
        <w:tc>
          <w:tcPr>
            <w:tcW w:w="4626" w:type="dxa"/>
          </w:tcPr>
          <w:p w14:paraId="2684E15E" w14:textId="6E13E853" w:rsidR="005D5196" w:rsidRPr="00C56601" w:rsidRDefault="005D5196" w:rsidP="005D5196">
            <w:r w:rsidRPr="00C56601">
              <w:rPr>
                <w:noProof/>
              </w:rPr>
              <w:drawing>
                <wp:inline distT="0" distB="0" distL="0" distR="0" wp14:anchorId="44A2AC6B" wp14:editId="41FCDDC4">
                  <wp:extent cx="2883535" cy="2097116"/>
                  <wp:effectExtent l="0" t="0" r="0" b="0"/>
                  <wp:docPr id="2235369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99246" cy="2108542"/>
                          </a:xfrm>
                          <a:prstGeom prst="rect">
                            <a:avLst/>
                          </a:prstGeom>
                          <a:noFill/>
                          <a:ln>
                            <a:noFill/>
                          </a:ln>
                        </pic:spPr>
                      </pic:pic>
                    </a:graphicData>
                  </a:graphic>
                </wp:inline>
              </w:drawing>
            </w:r>
          </w:p>
        </w:tc>
      </w:tr>
      <w:tr w:rsidR="005D5196" w:rsidRPr="00C56601" w14:paraId="4D86E9D1" w14:textId="77777777" w:rsidTr="00AB1763">
        <w:tc>
          <w:tcPr>
            <w:tcW w:w="4734" w:type="dxa"/>
          </w:tcPr>
          <w:p w14:paraId="612EDCC5" w14:textId="5FCDCC2E" w:rsidR="005D5196" w:rsidRPr="00C56601" w:rsidRDefault="00396D6E" w:rsidP="005D5196">
            <w:pPr>
              <w:rPr>
                <w:i/>
                <w:iCs/>
                <w:noProof/>
              </w:rPr>
            </w:pPr>
            <w:r w:rsidRPr="00C56601">
              <w:rPr>
                <w:i/>
                <w:iCs/>
                <w:color w:val="000000" w:themeColor="text1"/>
                <w:sz w:val="20"/>
                <w:szCs w:val="20"/>
              </w:rPr>
              <w:t xml:space="preserve">Panel E. </w:t>
            </w:r>
            <w:r w:rsidR="005D5196" w:rsidRPr="00C56601">
              <w:rPr>
                <w:i/>
                <w:iCs/>
                <w:sz w:val="20"/>
                <w:szCs w:val="20"/>
              </w:rPr>
              <w:t>SDG progress and Voice and Accountability</w:t>
            </w:r>
          </w:p>
        </w:tc>
        <w:tc>
          <w:tcPr>
            <w:tcW w:w="4626" w:type="dxa"/>
          </w:tcPr>
          <w:p w14:paraId="5DD84975" w14:textId="20E64EDD" w:rsidR="005D5196" w:rsidRPr="00C56601" w:rsidRDefault="00396D6E" w:rsidP="005D5196">
            <w:pPr>
              <w:rPr>
                <w:i/>
                <w:iCs/>
                <w:noProof/>
              </w:rPr>
            </w:pPr>
            <w:r w:rsidRPr="00C56601">
              <w:rPr>
                <w:i/>
                <w:iCs/>
                <w:color w:val="000000" w:themeColor="text1"/>
                <w:sz w:val="20"/>
                <w:szCs w:val="20"/>
              </w:rPr>
              <w:t>Panel F. S</w:t>
            </w:r>
            <w:r w:rsidR="005D5196" w:rsidRPr="00C56601">
              <w:rPr>
                <w:i/>
                <w:iCs/>
                <w:sz w:val="20"/>
                <w:szCs w:val="20"/>
              </w:rPr>
              <w:t>DG progress and Government Effectiveness</w:t>
            </w:r>
          </w:p>
        </w:tc>
      </w:tr>
      <w:tr w:rsidR="005D5196" w:rsidRPr="00C56601" w14:paraId="20236163" w14:textId="77777777" w:rsidTr="00AB1763">
        <w:tc>
          <w:tcPr>
            <w:tcW w:w="4734" w:type="dxa"/>
          </w:tcPr>
          <w:p w14:paraId="78EAD702" w14:textId="072C4136" w:rsidR="005D5196" w:rsidRPr="00C56601" w:rsidRDefault="005D5196" w:rsidP="005D5196">
            <w:pPr>
              <w:rPr>
                <w:noProof/>
              </w:rPr>
            </w:pPr>
            <w:r w:rsidRPr="00C56601">
              <w:rPr>
                <w:noProof/>
              </w:rPr>
              <w:lastRenderedPageBreak/>
              <w:drawing>
                <wp:inline distT="0" distB="0" distL="0" distR="0" wp14:anchorId="3CA62219" wp14:editId="4A4D7189">
                  <wp:extent cx="2819400" cy="2050473"/>
                  <wp:effectExtent l="0" t="0" r="0" b="6985"/>
                  <wp:docPr id="14892787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22021" cy="2052379"/>
                          </a:xfrm>
                          <a:prstGeom prst="rect">
                            <a:avLst/>
                          </a:prstGeom>
                          <a:noFill/>
                          <a:ln>
                            <a:noFill/>
                          </a:ln>
                        </pic:spPr>
                      </pic:pic>
                    </a:graphicData>
                  </a:graphic>
                </wp:inline>
              </w:drawing>
            </w:r>
          </w:p>
        </w:tc>
        <w:tc>
          <w:tcPr>
            <w:tcW w:w="4626" w:type="dxa"/>
          </w:tcPr>
          <w:p w14:paraId="644758B7" w14:textId="4F3EC5A2" w:rsidR="005D5196" w:rsidRPr="00C56601" w:rsidRDefault="005D5196" w:rsidP="005D5196">
            <w:pPr>
              <w:rPr>
                <w:noProof/>
              </w:rPr>
            </w:pPr>
            <w:r w:rsidRPr="00C56601">
              <w:rPr>
                <w:noProof/>
              </w:rPr>
              <w:drawing>
                <wp:inline distT="0" distB="0" distL="0" distR="0" wp14:anchorId="1F65C8DF" wp14:editId="11682BCD">
                  <wp:extent cx="2842260" cy="2067098"/>
                  <wp:effectExtent l="0" t="0" r="0" b="9525"/>
                  <wp:docPr id="4838359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56046" cy="2077124"/>
                          </a:xfrm>
                          <a:prstGeom prst="rect">
                            <a:avLst/>
                          </a:prstGeom>
                          <a:noFill/>
                          <a:ln>
                            <a:noFill/>
                          </a:ln>
                        </pic:spPr>
                      </pic:pic>
                    </a:graphicData>
                  </a:graphic>
                </wp:inline>
              </w:drawing>
            </w:r>
          </w:p>
        </w:tc>
      </w:tr>
    </w:tbl>
    <w:p w14:paraId="09E8068B" w14:textId="69A5057C" w:rsidR="008325A0" w:rsidRPr="00C56601" w:rsidRDefault="00396D6E" w:rsidP="005373BD">
      <w:pPr>
        <w:rPr>
          <w:sz w:val="20"/>
          <w:szCs w:val="20"/>
        </w:rPr>
      </w:pPr>
      <w:r w:rsidRPr="00C56601">
        <w:rPr>
          <w:sz w:val="20"/>
          <w:szCs w:val="20"/>
        </w:rPr>
        <w:t>Source: World Bank Group and UNDP (2023).</w:t>
      </w:r>
    </w:p>
    <w:p w14:paraId="27BBB940" w14:textId="77777777" w:rsidR="00396D6E" w:rsidRPr="00C56601" w:rsidRDefault="00396D6E" w:rsidP="00362032">
      <w:pPr>
        <w:jc w:val="both"/>
        <w:rPr>
          <w:color w:val="000000" w:themeColor="text1"/>
        </w:rPr>
      </w:pPr>
    </w:p>
    <w:p w14:paraId="2CAB9CF0" w14:textId="4F0B10C6" w:rsidR="00362032" w:rsidRPr="00C56601" w:rsidRDefault="00362032" w:rsidP="00362032">
      <w:pPr>
        <w:jc w:val="both"/>
        <w:rPr>
          <w:color w:val="000000" w:themeColor="text1"/>
        </w:rPr>
      </w:pPr>
      <w:r w:rsidRPr="00C56601">
        <w:rPr>
          <w:color w:val="000000" w:themeColor="text1"/>
        </w:rPr>
        <w:t>The</w:t>
      </w:r>
      <w:r w:rsidR="00396D6E" w:rsidRPr="00C56601">
        <w:rPr>
          <w:color w:val="000000" w:themeColor="text1"/>
        </w:rPr>
        <w:t xml:space="preserve"> noted</w:t>
      </w:r>
      <w:r w:rsidRPr="00C56601">
        <w:rPr>
          <w:color w:val="000000" w:themeColor="text1"/>
        </w:rPr>
        <w:t xml:space="preserve"> obstacles indicate that before </w:t>
      </w:r>
      <w:r w:rsidR="00370523" w:rsidRPr="00C56601">
        <w:rPr>
          <w:color w:val="000000" w:themeColor="text1"/>
        </w:rPr>
        <w:t>increasing</w:t>
      </w:r>
      <w:r w:rsidRPr="00C56601">
        <w:rPr>
          <w:color w:val="000000" w:themeColor="text1"/>
        </w:rPr>
        <w:t xml:space="preserve"> SDG finance </w:t>
      </w:r>
      <w:r w:rsidR="00370523" w:rsidRPr="00C56601">
        <w:rPr>
          <w:color w:val="000000" w:themeColor="text1"/>
        </w:rPr>
        <w:t xml:space="preserve">for stronger development achievements </w:t>
      </w:r>
      <w:r w:rsidRPr="00C56601">
        <w:rPr>
          <w:color w:val="000000" w:themeColor="text1"/>
        </w:rPr>
        <w:t xml:space="preserve">(the so-called </w:t>
      </w:r>
      <w:r w:rsidR="00396D6E" w:rsidRPr="00C56601">
        <w:rPr>
          <w:color w:val="0070C0"/>
          <w:lang w:val="en-US"/>
        </w:rPr>
        <w:t>“</w:t>
      </w:r>
      <w:r w:rsidRPr="00C56601">
        <w:rPr>
          <w:color w:val="0070C0"/>
        </w:rPr>
        <w:t xml:space="preserve">SDG </w:t>
      </w:r>
      <w:r w:rsidR="00396D6E" w:rsidRPr="00C56601">
        <w:rPr>
          <w:color w:val="0070C0"/>
          <w:lang w:val="en-US"/>
        </w:rPr>
        <w:t>P</w:t>
      </w:r>
      <w:r w:rsidRPr="00C56601">
        <w:rPr>
          <w:color w:val="0070C0"/>
        </w:rPr>
        <w:t>ush</w:t>
      </w:r>
      <w:r w:rsidR="00396D6E" w:rsidRPr="00C56601">
        <w:rPr>
          <w:color w:val="0070C0"/>
          <w:lang w:val="en-US"/>
        </w:rPr>
        <w:t>”</w:t>
      </w:r>
      <w:r w:rsidRPr="00C56601">
        <w:rPr>
          <w:color w:val="000000" w:themeColor="text1"/>
        </w:rPr>
        <w:t xml:space="preserve">), there </w:t>
      </w:r>
      <w:proofErr w:type="gramStart"/>
      <w:r w:rsidRPr="00C56601">
        <w:rPr>
          <w:color w:val="000000" w:themeColor="text1"/>
        </w:rPr>
        <w:t>has to</w:t>
      </w:r>
      <w:proofErr w:type="gramEnd"/>
      <w:r w:rsidRPr="00C56601">
        <w:rPr>
          <w:color w:val="000000" w:themeColor="text1"/>
        </w:rPr>
        <w:t xml:space="preserve"> be</w:t>
      </w:r>
      <w:r w:rsidR="00396D6E" w:rsidRPr="00C56601">
        <w:rPr>
          <w:color w:val="000000" w:themeColor="text1"/>
        </w:rPr>
        <w:t xml:space="preserve"> </w:t>
      </w:r>
      <w:r w:rsidRPr="00C56601">
        <w:rPr>
          <w:color w:val="0070C0"/>
        </w:rPr>
        <w:t>SDG Awareness Push</w:t>
      </w:r>
      <w:r w:rsidRPr="00C56601">
        <w:rPr>
          <w:color w:val="000000" w:themeColor="text1"/>
        </w:rPr>
        <w:t xml:space="preserve">. Many stakeholders need to be more aware of the benefits of the UN 2030 Agenda for Sustainable Development and its high </w:t>
      </w:r>
      <w:r w:rsidR="00C876B6" w:rsidRPr="00C56601">
        <w:rPr>
          <w:color w:val="000000" w:themeColor="text1"/>
        </w:rPr>
        <w:t>complementarity</w:t>
      </w:r>
      <w:r w:rsidRPr="00C56601">
        <w:rPr>
          <w:color w:val="000000" w:themeColor="text1"/>
        </w:rPr>
        <w:t xml:space="preserve"> with the EU integration process. For this reason, in the next section we offer an ambitious agenda for SDG Awareness Push</w:t>
      </w:r>
      <w:r w:rsidR="00396D6E" w:rsidRPr="00C56601">
        <w:rPr>
          <w:color w:val="000000" w:themeColor="text1"/>
        </w:rPr>
        <w:t xml:space="preserve"> and SDG-</w:t>
      </w:r>
      <w:proofErr w:type="spellStart"/>
      <w:r w:rsidR="00396D6E" w:rsidRPr="00C56601">
        <w:rPr>
          <w:color w:val="000000" w:themeColor="text1"/>
        </w:rPr>
        <w:t>ization</w:t>
      </w:r>
      <w:proofErr w:type="spellEnd"/>
      <w:r w:rsidR="00396D6E" w:rsidRPr="00C56601">
        <w:rPr>
          <w:color w:val="000000" w:themeColor="text1"/>
        </w:rPr>
        <w:t xml:space="preserve"> of the public agenda. By increasing the agenda-setting power, the UN agencies would refocus the public attention to the importance of the SDGs.</w:t>
      </w:r>
    </w:p>
    <w:p w14:paraId="578E7705" w14:textId="57B6DEC6" w:rsidR="00362032" w:rsidRPr="00C56601" w:rsidRDefault="00362032">
      <w:pPr>
        <w:rPr>
          <w:color w:val="000000" w:themeColor="text1"/>
        </w:rPr>
      </w:pPr>
    </w:p>
    <w:p w14:paraId="5ABEDF0C" w14:textId="6DDD4560" w:rsidR="008325A0" w:rsidRPr="00C56601" w:rsidRDefault="008325A0" w:rsidP="008325A0">
      <w:pPr>
        <w:pStyle w:val="Heading1"/>
        <w:numPr>
          <w:ilvl w:val="0"/>
          <w:numId w:val="1"/>
        </w:numPr>
      </w:pPr>
      <w:bookmarkStart w:id="27" w:name="_Toc157427548"/>
      <w:r w:rsidRPr="00C56601">
        <w:t>SDG-IZATION OF THE PUBLIC AGENDA</w:t>
      </w:r>
      <w:r w:rsidR="00396D6E" w:rsidRPr="00C56601">
        <w:t xml:space="preserve"> (SDG AWARENESS PUSH)</w:t>
      </w:r>
      <w:bookmarkEnd w:id="27"/>
    </w:p>
    <w:p w14:paraId="6FDA824A" w14:textId="77777777" w:rsidR="00305FD1" w:rsidRPr="00C56601" w:rsidRDefault="00305FD1" w:rsidP="00305FD1"/>
    <w:p w14:paraId="57CA8469" w14:textId="248C8B2A" w:rsidR="00284CC1" w:rsidRPr="00C56601" w:rsidRDefault="00284CC1" w:rsidP="008325A0">
      <w:pPr>
        <w:pStyle w:val="Heading2"/>
        <w:numPr>
          <w:ilvl w:val="1"/>
          <w:numId w:val="1"/>
        </w:numPr>
      </w:pPr>
      <w:bookmarkStart w:id="28" w:name="_Toc157427549"/>
      <w:r w:rsidRPr="00C56601">
        <w:t xml:space="preserve">SDGs </w:t>
      </w:r>
      <w:r w:rsidR="008325A0" w:rsidRPr="00C56601">
        <w:t>and the General Public as an Ally</w:t>
      </w:r>
      <w:bookmarkEnd w:id="28"/>
    </w:p>
    <w:p w14:paraId="2B159678" w14:textId="6B473D1F" w:rsidR="00284CC1" w:rsidRPr="00C56601" w:rsidRDefault="00284CC1" w:rsidP="005373BD">
      <w:pPr>
        <w:rPr>
          <w:b/>
          <w:bCs/>
        </w:rPr>
      </w:pPr>
    </w:p>
    <w:p w14:paraId="54D8069C" w14:textId="5ED9FB8B" w:rsidR="00284CC1" w:rsidRPr="00C56601" w:rsidRDefault="00A8712D" w:rsidP="00284CC1">
      <w:pPr>
        <w:jc w:val="both"/>
        <w:rPr>
          <w:b/>
          <w:bCs/>
          <w:color w:val="000000" w:themeColor="text1"/>
        </w:rPr>
      </w:pPr>
      <w:r w:rsidRPr="00C56601">
        <w:rPr>
          <w:b/>
          <w:bCs/>
          <w:color w:val="0070C0"/>
        </w:rPr>
        <w:t>Establishment of</w:t>
      </w:r>
      <w:r w:rsidR="00284CC1" w:rsidRPr="00C56601">
        <w:rPr>
          <w:b/>
          <w:bCs/>
          <w:color w:val="0070C0"/>
        </w:rPr>
        <w:t xml:space="preserve"> SDG coalition or SDG network. </w:t>
      </w:r>
      <w:r w:rsidR="00284CC1" w:rsidRPr="00C56601">
        <w:t>The establishment of SDG coalition or SDG network – as is the case in Scotland</w:t>
      </w:r>
      <w:r w:rsidRPr="00C56601">
        <w:t>, for example</w:t>
      </w:r>
      <w:r w:rsidR="00284CC1" w:rsidRPr="00C56601">
        <w:t xml:space="preserve"> – will create a powerful open coalition committed to achieving the UN Sustainable Development Goals (SDGs) and promoting the SDG push. An online registration form for NGOs, businesses, research institutions, individuals, and other interested organizations will </w:t>
      </w:r>
      <w:r w:rsidR="008325A0" w:rsidRPr="00C56601">
        <w:t>promote active membership. Some SDG networks also create a discussion forum and links to the National Development Strategy and other important documents</w:t>
      </w:r>
      <w:r w:rsidRPr="00C56601">
        <w:t>. Public promotion of the SDG coalition – once a milestone is reached (e.g., 500 members) – would be a powerful message for the authorities and all other stakeholders.</w:t>
      </w:r>
      <w:r w:rsidR="00284CC1" w:rsidRPr="00C56601">
        <w:rPr>
          <w:b/>
          <w:bCs/>
          <w:color w:val="0070C0"/>
        </w:rPr>
        <w:t xml:space="preserve"> </w:t>
      </w:r>
    </w:p>
    <w:p w14:paraId="156A655D" w14:textId="2D778329" w:rsidR="00284CC1" w:rsidRPr="00C56601" w:rsidRDefault="00284CC1" w:rsidP="005373BD">
      <w:pPr>
        <w:rPr>
          <w:b/>
          <w:bCs/>
          <w:color w:val="0070C0"/>
        </w:rPr>
      </w:pPr>
      <w:r w:rsidRPr="00C56601">
        <w:rPr>
          <w:b/>
          <w:bCs/>
          <w:noProof/>
          <w:color w:val="0070C0"/>
        </w:rPr>
        <w:lastRenderedPageBreak/>
        <w:drawing>
          <wp:inline distT="0" distB="0" distL="0" distR="0" wp14:anchorId="5CEF864C" wp14:editId="75F3AF0B">
            <wp:extent cx="2886424" cy="1734938"/>
            <wp:effectExtent l="0" t="0" r="0" b="0"/>
            <wp:docPr id="372517658" name="Picture 1" descr="A group of people holding sig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517658" name="Picture 1" descr="A group of people holding signs&#10;&#10;Description automatically generated"/>
                    <pic:cNvPicPr/>
                  </pic:nvPicPr>
                  <pic:blipFill>
                    <a:blip r:embed="rId30"/>
                    <a:stretch>
                      <a:fillRect/>
                    </a:stretch>
                  </pic:blipFill>
                  <pic:spPr>
                    <a:xfrm>
                      <a:off x="0" y="0"/>
                      <a:ext cx="2902709" cy="1744726"/>
                    </a:xfrm>
                    <a:prstGeom prst="rect">
                      <a:avLst/>
                    </a:prstGeom>
                  </pic:spPr>
                </pic:pic>
              </a:graphicData>
            </a:graphic>
          </wp:inline>
        </w:drawing>
      </w:r>
    </w:p>
    <w:p w14:paraId="23017E21" w14:textId="77777777" w:rsidR="00284CC1" w:rsidRPr="00C56601" w:rsidRDefault="00284CC1" w:rsidP="005373BD"/>
    <w:p w14:paraId="6BF1D46B" w14:textId="2BD78FC6" w:rsidR="00493AB2" w:rsidRPr="00C56601" w:rsidRDefault="00383C15" w:rsidP="00493AB2">
      <w:pPr>
        <w:spacing w:after="0" w:line="276" w:lineRule="auto"/>
        <w:jc w:val="both"/>
      </w:pPr>
      <w:r w:rsidRPr="00C56601">
        <w:rPr>
          <w:b/>
          <w:bCs/>
          <w:color w:val="0070C0"/>
        </w:rPr>
        <w:t xml:space="preserve">Raising </w:t>
      </w:r>
      <w:r w:rsidR="00284CC1" w:rsidRPr="00C56601">
        <w:rPr>
          <w:b/>
          <w:bCs/>
          <w:color w:val="0070C0"/>
        </w:rPr>
        <w:t xml:space="preserve">the public </w:t>
      </w:r>
      <w:r w:rsidRPr="00C56601">
        <w:rPr>
          <w:b/>
          <w:bCs/>
          <w:color w:val="0070C0"/>
        </w:rPr>
        <w:t>awareness</w:t>
      </w:r>
      <w:r w:rsidR="00493AB2" w:rsidRPr="00C56601">
        <w:rPr>
          <w:b/>
          <w:bCs/>
          <w:color w:val="0070C0"/>
        </w:rPr>
        <w:t xml:space="preserve"> through campaigns</w:t>
      </w:r>
      <w:r w:rsidRPr="00C56601">
        <w:rPr>
          <w:b/>
          <w:bCs/>
          <w:color w:val="0070C0"/>
        </w:rPr>
        <w:t>.</w:t>
      </w:r>
      <w:r w:rsidR="00493AB2" w:rsidRPr="00C56601">
        <w:rPr>
          <w:b/>
          <w:bCs/>
          <w:color w:val="0070C0"/>
        </w:rPr>
        <w:t xml:space="preserve"> </w:t>
      </w:r>
      <w:r w:rsidR="00493AB2" w:rsidRPr="00C56601">
        <w:t xml:space="preserve">UNDP should develop awareness campaigns that highlight the SDGs and their relevance to people’s lives. </w:t>
      </w:r>
      <w:r w:rsidR="00284CC1" w:rsidRPr="00C56601">
        <w:t xml:space="preserve">It is highly recommended to continue with the </w:t>
      </w:r>
      <w:r w:rsidR="00493AB2" w:rsidRPr="00C56601">
        <w:t>various communication channels such as social media, television, radio, and print media to reach a wider audience. Some countries also collaborate with influencers, celebrities, and opinion leaders to strengthen the</w:t>
      </w:r>
      <w:r w:rsidR="00284CC1" w:rsidRPr="00C56601">
        <w:t>ir</w:t>
      </w:r>
      <w:r w:rsidR="00493AB2" w:rsidRPr="00C56601">
        <w:t xml:space="preserve"> message and engage more people.</w:t>
      </w:r>
      <w:r w:rsidR="009C293D">
        <w:t xml:space="preserve"> For example, </w:t>
      </w:r>
      <w:hyperlink r:id="rId31" w:history="1">
        <w:proofErr w:type="spellStart"/>
        <w:r w:rsidR="009C293D" w:rsidRPr="001220AF">
          <w:rPr>
            <w:rStyle w:val="Hyperlink"/>
            <w:i/>
            <w:iCs/>
          </w:rPr>
          <w:t>ActNow</w:t>
        </w:r>
        <w:proofErr w:type="spellEnd"/>
      </w:hyperlink>
      <w:r w:rsidR="009C293D" w:rsidRPr="009C293D">
        <w:t xml:space="preserve"> is the United Nations </w:t>
      </w:r>
      <w:r w:rsidR="009C293D">
        <w:t xml:space="preserve">recent </w:t>
      </w:r>
      <w:r w:rsidR="009C293D" w:rsidRPr="009C293D">
        <w:t>campaign to inspire people to act for the Sustainable Development Goals.</w:t>
      </w:r>
      <w:r w:rsidR="009C293D">
        <w:t xml:space="preserve"> Speaking even more specifically, a specially designed </w:t>
      </w:r>
      <w:hyperlink r:id="rId32" w:history="1">
        <w:r w:rsidR="009C293D" w:rsidRPr="009C293D">
          <w:rPr>
            <w:rStyle w:val="Hyperlink"/>
          </w:rPr>
          <w:t>application</w:t>
        </w:r>
      </w:hyperlink>
      <w:r w:rsidR="009C293D">
        <w:t xml:space="preserve"> on AppStore and Google Play enables </w:t>
      </w:r>
      <w:r w:rsidR="009C293D" w:rsidRPr="009C293D">
        <w:t>a unique personal carbon footprint calculator</w:t>
      </w:r>
      <w:r w:rsidR="009C293D">
        <w:t xml:space="preserve"> for interested individuals.</w:t>
      </w:r>
      <w:r w:rsidR="006345A7">
        <w:t xml:space="preserve"> For illustration, Guatemala </w:t>
      </w:r>
      <w:r w:rsidR="00B315CB">
        <w:t>(</w:t>
      </w:r>
      <w:hyperlink r:id="rId33" w:history="1">
        <w:r w:rsidR="00B315CB" w:rsidRPr="00B315CB">
          <w:rPr>
            <w:rStyle w:val="Hyperlink"/>
          </w:rPr>
          <w:t>TAP-UNDP, 2020</w:t>
        </w:r>
      </w:hyperlink>
      <w:r w:rsidR="00B315CB">
        <w:t xml:space="preserve">) </w:t>
      </w:r>
      <w:r w:rsidR="006345A7">
        <w:t xml:space="preserve">and </w:t>
      </w:r>
      <w:r w:rsidR="006345A7" w:rsidRPr="001220AF">
        <w:t>Serbia</w:t>
      </w:r>
      <w:r w:rsidR="006345A7">
        <w:t xml:space="preserve"> (</w:t>
      </w:r>
      <w:hyperlink r:id="rId34" w:history="1">
        <w:r w:rsidR="006345A7" w:rsidRPr="006345A7">
          <w:rPr>
            <w:rStyle w:val="Hyperlink"/>
          </w:rPr>
          <w:t>VNR, 2019</w:t>
        </w:r>
      </w:hyperlink>
      <w:r w:rsidR="006345A7">
        <w:t>) organized p</w:t>
      </w:r>
      <w:r w:rsidR="006345A7" w:rsidRPr="006345A7">
        <w:t>ost-</w:t>
      </w:r>
      <w:r w:rsidR="006345A7">
        <w:t>Voluntary National Review (</w:t>
      </w:r>
      <w:r w:rsidR="006345A7" w:rsidRPr="006345A7">
        <w:t>VNR</w:t>
      </w:r>
      <w:r w:rsidR="006345A7">
        <w:t>) w</w:t>
      </w:r>
      <w:r w:rsidR="006345A7" w:rsidRPr="006345A7">
        <w:t>orkshops</w:t>
      </w:r>
      <w:r w:rsidR="006345A7">
        <w:t xml:space="preserve">, </w:t>
      </w:r>
    </w:p>
    <w:p w14:paraId="1AD0D4E4" w14:textId="77777777" w:rsidR="003542C0" w:rsidRPr="00C56601" w:rsidRDefault="003542C0" w:rsidP="00493AB2">
      <w:pPr>
        <w:spacing w:after="0" w:line="276" w:lineRule="auto"/>
        <w:jc w:val="both"/>
      </w:pPr>
    </w:p>
    <w:p w14:paraId="34B8C4D0" w14:textId="597DE5E0" w:rsidR="003542C0" w:rsidRPr="00C56601" w:rsidRDefault="003542C0" w:rsidP="003542C0">
      <w:pPr>
        <w:spacing w:after="0" w:line="276" w:lineRule="auto"/>
        <w:jc w:val="both"/>
      </w:pPr>
      <w:r w:rsidRPr="00C56601">
        <w:rPr>
          <w:b/>
          <w:bCs/>
          <w:color w:val="276DBB" w:themeColor="text2" w:themeTint="BF"/>
        </w:rPr>
        <w:t xml:space="preserve">Utilizing digital platforms. </w:t>
      </w:r>
      <w:r w:rsidRPr="00C56601">
        <w:t xml:space="preserve">UNDP </w:t>
      </w:r>
      <w:r w:rsidR="008325A0" w:rsidRPr="00C56601">
        <w:t>must</w:t>
      </w:r>
      <w:r w:rsidRPr="00C56601">
        <w:t xml:space="preserve"> continue to leverage the power of digital platforms to reach a broader audience, by creating engaging content, videos, infographics, and interactive tools that explain the SDGs and encourage people to act. Utilizing social media platforms, websites, and online communities to share information, success stories, and inspire people to contribute. Even a short SDG online quiz for elementary </w:t>
      </w:r>
      <w:r w:rsidR="008325A0" w:rsidRPr="00C56601">
        <w:t xml:space="preserve">or high </w:t>
      </w:r>
      <w:r w:rsidRPr="00C56601">
        <w:t>school students</w:t>
      </w:r>
      <w:r w:rsidR="008325A0" w:rsidRPr="00C56601">
        <w:t xml:space="preserve"> – with symbolic awards –</w:t>
      </w:r>
      <w:r w:rsidRPr="00C56601">
        <w:t xml:space="preserve"> can be helpful.</w:t>
      </w:r>
    </w:p>
    <w:p w14:paraId="4274B3CC" w14:textId="77777777" w:rsidR="003542C0" w:rsidRPr="00C56601" w:rsidRDefault="003542C0" w:rsidP="003542C0">
      <w:pPr>
        <w:spacing w:after="0" w:line="276" w:lineRule="auto"/>
        <w:jc w:val="both"/>
      </w:pPr>
    </w:p>
    <w:p w14:paraId="05BAD440" w14:textId="7AF92E6B" w:rsidR="003542C0" w:rsidRPr="00C56601" w:rsidRDefault="003542C0" w:rsidP="003542C0">
      <w:pPr>
        <w:spacing w:after="0" w:line="276" w:lineRule="auto"/>
        <w:jc w:val="both"/>
        <w:rPr>
          <w:lang w:val="en-US"/>
        </w:rPr>
      </w:pPr>
      <w:r w:rsidRPr="00C56601">
        <w:rPr>
          <w:b/>
          <w:bCs/>
          <w:color w:val="276DBB" w:themeColor="text2" w:themeTint="BF"/>
        </w:rPr>
        <w:t>Promote SDG-responsible individuals by giving SDG awards.</w:t>
      </w:r>
      <w:r w:rsidRPr="00C56601">
        <w:t xml:space="preserve"> UNDP should emphasize </w:t>
      </w:r>
      <w:r w:rsidR="008325A0" w:rsidRPr="00C56601">
        <w:t>influential and socially responsible</w:t>
      </w:r>
      <w:r w:rsidRPr="00C56601">
        <w:t xml:space="preserve"> individuals that contribute to the SDGs through individual actions. </w:t>
      </w:r>
      <w:r w:rsidR="00B315CB" w:rsidRPr="00B315CB">
        <w:t>Globally</w:t>
      </w:r>
      <w:r w:rsidR="00B315CB">
        <w:t>,</w:t>
      </w:r>
      <w:r w:rsidR="00B315CB" w:rsidRPr="00B315CB">
        <w:t xml:space="preserve"> there is SDG Action Awards – SDG Action Awards to take as a</w:t>
      </w:r>
      <w:r w:rsidR="00B315CB">
        <w:t xml:space="preserve"> guiding</w:t>
      </w:r>
      <w:r w:rsidR="00B315CB" w:rsidRPr="00B315CB">
        <w:t xml:space="preserve"> example.</w:t>
      </w:r>
      <w:r w:rsidR="00B315CB">
        <w:t xml:space="preserve"> </w:t>
      </w:r>
      <w:r w:rsidRPr="00C56601">
        <w:t>They can provide practical tips and suggestions on how individuals can make a positive impact in their daily lives, such as reducing waste, conserving energy, supporting local businesses, and volunteering.</w:t>
      </w:r>
      <w:r w:rsidRPr="00C56601">
        <w:rPr>
          <w:lang w:val="mk-MK"/>
        </w:rPr>
        <w:t xml:space="preserve"> </w:t>
      </w:r>
      <w:r w:rsidRPr="00C56601">
        <w:rPr>
          <w:lang w:val="en-US"/>
        </w:rPr>
        <w:t xml:space="preserve">Just for an example, </w:t>
      </w:r>
      <w:r w:rsidR="00A8712D" w:rsidRPr="00C56601">
        <w:rPr>
          <w:lang w:val="en-US"/>
        </w:rPr>
        <w:t xml:space="preserve">Mr. </w:t>
      </w:r>
      <w:proofErr w:type="spellStart"/>
      <w:r w:rsidRPr="00C56601">
        <w:rPr>
          <w:lang w:val="en-US"/>
        </w:rPr>
        <w:t>Borce</w:t>
      </w:r>
      <w:proofErr w:type="spellEnd"/>
      <w:r w:rsidRPr="00C56601">
        <w:rPr>
          <w:lang w:val="en-US"/>
        </w:rPr>
        <w:t xml:space="preserve"> Stamenov </w:t>
      </w:r>
      <w:r w:rsidR="00A8712D" w:rsidRPr="00C56601">
        <w:rPr>
          <w:lang w:val="en-US"/>
        </w:rPr>
        <w:t xml:space="preserve">enthusiastically </w:t>
      </w:r>
      <w:r w:rsidRPr="00C56601">
        <w:rPr>
          <w:lang w:val="en-US"/>
        </w:rPr>
        <w:t>maintains a platform “</w:t>
      </w:r>
      <w:hyperlink r:id="rId35" w:history="1">
        <w:r w:rsidRPr="00C56601">
          <w:rPr>
            <w:rStyle w:val="Hyperlink"/>
            <w:lang w:val="en-US"/>
          </w:rPr>
          <w:t>Donate a computer</w:t>
        </w:r>
      </w:hyperlink>
      <w:r w:rsidRPr="00C56601">
        <w:rPr>
          <w:lang w:val="en-US"/>
        </w:rPr>
        <w:t xml:space="preserve">”, which helps him collect second-hand computers, repair them, and donate them to children from low-income households. He </w:t>
      </w:r>
      <w:r w:rsidR="008325A0" w:rsidRPr="00C56601">
        <w:rPr>
          <w:lang w:val="en-US"/>
        </w:rPr>
        <w:t xml:space="preserve">humbly </w:t>
      </w:r>
      <w:r w:rsidRPr="00C56601">
        <w:rPr>
          <w:lang w:val="en-US"/>
        </w:rPr>
        <w:t xml:space="preserve">serves as an honest broker between </w:t>
      </w:r>
      <w:r w:rsidR="00A8712D" w:rsidRPr="00C56601">
        <w:rPr>
          <w:lang w:val="en-US"/>
        </w:rPr>
        <w:t>donors</w:t>
      </w:r>
      <w:r w:rsidRPr="00C56601">
        <w:rPr>
          <w:lang w:val="en-US"/>
        </w:rPr>
        <w:t xml:space="preserve"> of second-hand laptops and </w:t>
      </w:r>
      <w:r w:rsidR="00A8712D" w:rsidRPr="00C56601">
        <w:rPr>
          <w:lang w:val="en-US"/>
        </w:rPr>
        <w:t xml:space="preserve">desktop </w:t>
      </w:r>
      <w:r w:rsidRPr="00C56601">
        <w:rPr>
          <w:lang w:val="en-US"/>
        </w:rPr>
        <w:t xml:space="preserve">computers and children or vulnerable </w:t>
      </w:r>
      <w:r w:rsidR="00B315CB">
        <w:rPr>
          <w:lang w:val="en-US"/>
        </w:rPr>
        <w:t>households</w:t>
      </w:r>
      <w:r w:rsidR="00B315CB" w:rsidRPr="00C56601">
        <w:rPr>
          <w:lang w:val="en-US"/>
        </w:rPr>
        <w:t xml:space="preserve"> </w:t>
      </w:r>
      <w:r w:rsidRPr="00C56601">
        <w:rPr>
          <w:lang w:val="en-US"/>
        </w:rPr>
        <w:t>in need.</w:t>
      </w:r>
    </w:p>
    <w:p w14:paraId="59147E8D" w14:textId="77777777" w:rsidR="00493AB2" w:rsidRPr="00C56601" w:rsidRDefault="00493AB2" w:rsidP="00493AB2">
      <w:pPr>
        <w:spacing w:after="0" w:line="276" w:lineRule="auto"/>
        <w:jc w:val="both"/>
      </w:pPr>
    </w:p>
    <w:p w14:paraId="66F96304" w14:textId="22F3BE1E" w:rsidR="008325A0" w:rsidRPr="00C56601" w:rsidRDefault="008325A0" w:rsidP="00493AB2">
      <w:pPr>
        <w:spacing w:after="0" w:line="276" w:lineRule="auto"/>
        <w:jc w:val="both"/>
      </w:pPr>
      <w:r w:rsidRPr="00C56601">
        <w:rPr>
          <w:b/>
          <w:bCs/>
          <w:color w:val="276DBB" w:themeColor="text2" w:themeTint="BF"/>
        </w:rPr>
        <w:t xml:space="preserve">Promotion of Green, Social, Environmental, and other SDG-linked bonds. </w:t>
      </w:r>
      <w:r w:rsidRPr="00C56601">
        <w:t xml:space="preserve">UNDP can </w:t>
      </w:r>
      <w:r w:rsidR="00A8712D" w:rsidRPr="00C56601">
        <w:t xml:space="preserve">and should </w:t>
      </w:r>
      <w:r w:rsidRPr="00C56601">
        <w:t>support the promotion of future issuances of green, social, environmental, or broad SDG-linked bonds to the general audience. These financial instruments must be clearly linked to the attainment of the SDGs to preserve the credibility of the UN system of agencies.</w:t>
      </w:r>
    </w:p>
    <w:p w14:paraId="096F1C3F" w14:textId="10FEFF19" w:rsidR="008325A0" w:rsidRPr="00C56601" w:rsidRDefault="008325A0" w:rsidP="00C05F47">
      <w:pPr>
        <w:spacing w:after="0" w:line="276" w:lineRule="auto"/>
      </w:pPr>
    </w:p>
    <w:p w14:paraId="648B9D54" w14:textId="3730641B" w:rsidR="005C5E2F" w:rsidRPr="00C56601" w:rsidRDefault="005C5E2F" w:rsidP="005C5E2F">
      <w:pPr>
        <w:pStyle w:val="Heading2"/>
        <w:numPr>
          <w:ilvl w:val="1"/>
          <w:numId w:val="1"/>
        </w:numPr>
      </w:pPr>
      <w:bookmarkStart w:id="29" w:name="_Toc157427550"/>
      <w:r w:rsidRPr="00C56601">
        <w:lastRenderedPageBreak/>
        <w:t>The Government as the Main Partner and Ally</w:t>
      </w:r>
      <w:bookmarkEnd w:id="29"/>
    </w:p>
    <w:p w14:paraId="2166513C" w14:textId="77777777" w:rsidR="005C5E2F" w:rsidRPr="00C56601" w:rsidRDefault="005C5E2F" w:rsidP="00C05F47">
      <w:pPr>
        <w:spacing w:after="0" w:line="276" w:lineRule="auto"/>
      </w:pPr>
    </w:p>
    <w:p w14:paraId="73FDD61F" w14:textId="7BD14A5B" w:rsidR="00C05F47" w:rsidRPr="00C56601" w:rsidRDefault="00C05F47" w:rsidP="00C05F47">
      <w:pPr>
        <w:spacing w:after="0" w:line="276" w:lineRule="auto"/>
        <w:jc w:val="both"/>
      </w:pPr>
      <w:r w:rsidRPr="00C56601">
        <w:rPr>
          <w:b/>
          <w:bCs/>
          <w:color w:val="0070C0"/>
        </w:rPr>
        <w:t>Voluntary Local Review (VLRs).</w:t>
      </w:r>
      <w:r w:rsidRPr="00C56601">
        <w:t xml:space="preserve"> The UNDP Country Office could</w:t>
      </w:r>
      <w:r w:rsidR="005C5E2F" w:rsidRPr="00C56601">
        <w:t xml:space="preserve"> initiate and possible</w:t>
      </w:r>
      <w:r w:rsidRPr="00C56601">
        <w:t xml:space="preserve"> organize Voluntary National </w:t>
      </w:r>
      <w:r w:rsidR="005C5E2F" w:rsidRPr="00C56601">
        <w:t xml:space="preserve">Review for assessment of the progress in attaining SDGs. It is also highly advisable to initiate and organize Voluntary </w:t>
      </w:r>
      <w:r w:rsidRPr="00C56601">
        <w:t xml:space="preserve">Local Reviews </w:t>
      </w:r>
      <w:r w:rsidR="005C5E2F" w:rsidRPr="00C56601">
        <w:t>in</w:t>
      </w:r>
      <w:r w:rsidRPr="00C56601">
        <w:t xml:space="preserve"> pilot municipalities </w:t>
      </w:r>
      <w:r w:rsidR="005C5E2F" w:rsidRPr="00C56601">
        <w:t xml:space="preserve">(e.g., </w:t>
      </w:r>
      <w:proofErr w:type="spellStart"/>
      <w:r w:rsidR="005C5E2F" w:rsidRPr="00C56601">
        <w:t>Kavadarci</w:t>
      </w:r>
      <w:proofErr w:type="spellEnd"/>
      <w:r w:rsidR="005C5E2F" w:rsidRPr="00C56601">
        <w:t xml:space="preserve">, </w:t>
      </w:r>
      <w:proofErr w:type="spellStart"/>
      <w:r w:rsidR="005C5E2F" w:rsidRPr="00C56601">
        <w:t>Kumanovo</w:t>
      </w:r>
      <w:proofErr w:type="spellEnd"/>
      <w:r w:rsidR="005C5E2F" w:rsidRPr="00C56601">
        <w:t xml:space="preserve">, </w:t>
      </w:r>
      <w:r w:rsidR="00431C05" w:rsidRPr="00C56601">
        <w:t>Gostivar</w:t>
      </w:r>
      <w:r w:rsidR="005C5E2F" w:rsidRPr="00C56601">
        <w:t xml:space="preserve">) </w:t>
      </w:r>
      <w:r w:rsidRPr="00C56601">
        <w:t>to analyse local SDG-aligned budgets and results. The idea is to explore to what extent local budgets are aligned with the SDGs, which SDGs are more addressed and where are the largest gaps.</w:t>
      </w:r>
    </w:p>
    <w:p w14:paraId="6C0C6110" w14:textId="77777777" w:rsidR="00C05F47" w:rsidRPr="00C56601" w:rsidRDefault="00C05F47" w:rsidP="00C05F47">
      <w:pPr>
        <w:spacing w:after="0" w:line="276" w:lineRule="auto"/>
        <w:jc w:val="both"/>
      </w:pPr>
      <w:bookmarkStart w:id="30" w:name="_Hlk137637268"/>
    </w:p>
    <w:p w14:paraId="3B2AFFD5" w14:textId="7977989B" w:rsidR="00A8712D" w:rsidRPr="00C56601" w:rsidRDefault="00A8712D" w:rsidP="00A8712D">
      <w:pPr>
        <w:spacing w:after="0" w:line="276" w:lineRule="auto"/>
        <w:jc w:val="both"/>
      </w:pPr>
      <w:r w:rsidRPr="00C56601">
        <w:rPr>
          <w:b/>
          <w:bCs/>
          <w:color w:val="0070C0"/>
        </w:rPr>
        <w:t>SDG budget tagging.</w:t>
      </w:r>
      <w:r w:rsidRPr="00C56601">
        <w:t xml:space="preserve"> A manual for tagging local government expenditure would enable local governments’ budget administration to tag the budget code for each goal and indicator at the local level. This will improve the monitoring frameworks for SDG-aligned budgets and final budget statements.</w:t>
      </w:r>
      <w:r w:rsidR="00AA5205" w:rsidRPr="00C56601">
        <w:t xml:space="preserve"> UN agencies - or UNDP in particular - should sign a memorandum with the Ministry of Finance to introduce SDG budgeting and budget reporting.</w:t>
      </w:r>
    </w:p>
    <w:p w14:paraId="3328B16A" w14:textId="77777777" w:rsidR="00A8712D" w:rsidRPr="00C56601" w:rsidRDefault="00A8712D" w:rsidP="00C05F47">
      <w:pPr>
        <w:spacing w:after="0" w:line="276" w:lineRule="auto"/>
        <w:jc w:val="both"/>
      </w:pPr>
    </w:p>
    <w:p w14:paraId="31F4A21E" w14:textId="77777777" w:rsidR="00C05F47" w:rsidRPr="00C56601" w:rsidRDefault="00C05F47" w:rsidP="00C05F47">
      <w:pPr>
        <w:spacing w:after="0" w:line="276" w:lineRule="auto"/>
        <w:jc w:val="both"/>
      </w:pPr>
      <w:r w:rsidRPr="00C56601">
        <w:rPr>
          <w:b/>
          <w:bCs/>
          <w:color w:val="0070C0"/>
        </w:rPr>
        <w:t>SDG-aligned audit of national and local budgets.</w:t>
      </w:r>
      <w:r w:rsidRPr="00C56601">
        <w:t xml:space="preserve"> Either together with the State Audit Office (SAO) or independently, a team of UNDP experts could perform SDG-aligned audit of the national budget and local budgets of pilot (selected) municipalities.</w:t>
      </w:r>
    </w:p>
    <w:bookmarkEnd w:id="30"/>
    <w:p w14:paraId="10FC23C1" w14:textId="77777777" w:rsidR="00C05F47" w:rsidRPr="00C56601" w:rsidRDefault="00C05F47" w:rsidP="00C05F47">
      <w:pPr>
        <w:spacing w:after="0" w:line="276" w:lineRule="auto"/>
        <w:jc w:val="both"/>
      </w:pPr>
    </w:p>
    <w:p w14:paraId="33F46833" w14:textId="77777777" w:rsidR="00C05F47" w:rsidRPr="00C56601" w:rsidRDefault="00C05F47" w:rsidP="00C05F47">
      <w:pPr>
        <w:spacing w:after="0" w:line="276" w:lineRule="auto"/>
        <w:jc w:val="both"/>
      </w:pPr>
      <w:r w:rsidRPr="00C56601">
        <w:rPr>
          <w:b/>
          <w:bCs/>
          <w:color w:val="073763" w:themeColor="accent1" w:themeShade="80"/>
        </w:rPr>
        <w:t xml:space="preserve"> </w:t>
      </w:r>
      <w:r w:rsidRPr="00C56601">
        <w:rPr>
          <w:b/>
          <w:bCs/>
          <w:color w:val="0070C0"/>
        </w:rPr>
        <w:t>“Local 2030” Platform for localization of SDGs.</w:t>
      </w:r>
      <w:r w:rsidRPr="00C56601">
        <w:rPr>
          <w:b/>
          <w:bCs/>
          <w:color w:val="073763" w:themeColor="accent1" w:themeShade="80"/>
        </w:rPr>
        <w:t xml:space="preserve"> </w:t>
      </w:r>
      <w:r w:rsidRPr="00C56601">
        <w:t>In few pilot municipalities, UNDP would support preparation of new, or revision of existing Local Economic Development strategies to ensure they are better aligned with SDGs.</w:t>
      </w:r>
    </w:p>
    <w:p w14:paraId="424E3223" w14:textId="77777777" w:rsidR="00C05F47" w:rsidRPr="00C56601" w:rsidRDefault="00C05F47" w:rsidP="00C05F47">
      <w:pPr>
        <w:spacing w:after="0" w:line="276" w:lineRule="auto"/>
        <w:jc w:val="both"/>
      </w:pPr>
    </w:p>
    <w:p w14:paraId="377C5F44" w14:textId="4BCA3DA1" w:rsidR="00C05F47" w:rsidRPr="00C56601" w:rsidRDefault="00C05F47" w:rsidP="00431C05">
      <w:pPr>
        <w:spacing w:after="0" w:line="276" w:lineRule="auto"/>
        <w:jc w:val="both"/>
      </w:pPr>
      <w:r w:rsidRPr="00C56601">
        <w:rPr>
          <w:b/>
          <w:bCs/>
          <w:color w:val="0070C0"/>
        </w:rPr>
        <w:t>Local level SDG Investment Forums.</w:t>
      </w:r>
      <w:r w:rsidRPr="00C56601">
        <w:t xml:space="preserve"> Few municipalities having a free economic zone on their territory (e.g., the municipality of Ilinden, Tetovo, and </w:t>
      </w:r>
      <w:proofErr w:type="spellStart"/>
      <w:r w:rsidR="0061109F" w:rsidRPr="00C56601">
        <w:rPr>
          <w:rFonts w:cstheme="minorHAnsi"/>
        </w:rPr>
        <w:t>Š</w:t>
      </w:r>
      <w:r w:rsidRPr="00C56601">
        <w:t>tip</w:t>
      </w:r>
      <w:proofErr w:type="spellEnd"/>
      <w:r w:rsidRPr="00C56601">
        <w:t xml:space="preserve">) could organize a local level SDG investment forum. It would provide an opportunity to the private sector to learn about investment-ready areas aligned with local government priorities and SDGs. </w:t>
      </w:r>
      <w:r w:rsidR="00B315CB" w:rsidRPr="00B315CB">
        <w:t>Th</w:t>
      </w:r>
      <w:r w:rsidR="00DF10F7">
        <w:t>e</w:t>
      </w:r>
      <w:r w:rsidR="00113C5B">
        <w:t xml:space="preserve"> SDG</w:t>
      </w:r>
      <w:r w:rsidR="00DF10F7">
        <w:t xml:space="preserve"> investor</w:t>
      </w:r>
      <w:r w:rsidR="000E4CA5">
        <w:t xml:space="preserve"> forums</w:t>
      </w:r>
      <w:r w:rsidR="00B315CB" w:rsidRPr="00B315CB">
        <w:t xml:space="preserve"> </w:t>
      </w:r>
      <w:r w:rsidR="00DF10F7">
        <w:t>should</w:t>
      </w:r>
      <w:r w:rsidR="00B315CB" w:rsidRPr="00B315CB">
        <w:t xml:space="preserve"> be linked with UNDP SDG Investor Map which identifies </w:t>
      </w:r>
      <w:r w:rsidR="00DF10F7" w:rsidRPr="00B315CB">
        <w:t xml:space="preserve">Investment Opportunity Areas </w:t>
      </w:r>
      <w:r w:rsidR="00B315CB" w:rsidRPr="00B315CB">
        <w:t>(IOAs). For example</w:t>
      </w:r>
      <w:r w:rsidR="00B315CB">
        <w:t>,</w:t>
      </w:r>
      <w:r w:rsidR="00B315CB" w:rsidRPr="00B315CB">
        <w:t xml:space="preserve"> in Serbia, the Sustainable Investment Forum also integrated the launch of their map.</w:t>
      </w:r>
      <w:r w:rsidR="00B315CB">
        <w:t xml:space="preserve"> </w:t>
      </w:r>
      <w:r w:rsidRPr="00C56601">
        <w:t xml:space="preserve">In the second stage, </w:t>
      </w:r>
      <w:r w:rsidR="00113C5B">
        <w:t xml:space="preserve">many other </w:t>
      </w:r>
      <w:r w:rsidRPr="00C56601">
        <w:t>municipalities could also join the initiative.</w:t>
      </w:r>
    </w:p>
    <w:p w14:paraId="7BD1B83F" w14:textId="77777777" w:rsidR="00431C05" w:rsidRPr="00C56601" w:rsidRDefault="00431C05" w:rsidP="00431C05">
      <w:pPr>
        <w:spacing w:after="0" w:line="276" w:lineRule="auto"/>
        <w:jc w:val="both"/>
      </w:pPr>
    </w:p>
    <w:p w14:paraId="322465F7" w14:textId="37C7423E" w:rsidR="003542C0" w:rsidRPr="00C56601" w:rsidRDefault="008325A0" w:rsidP="008325A0">
      <w:pPr>
        <w:pStyle w:val="Heading2"/>
        <w:numPr>
          <w:ilvl w:val="1"/>
          <w:numId w:val="1"/>
        </w:numPr>
      </w:pPr>
      <w:bookmarkStart w:id="31" w:name="_Toc157427551"/>
      <w:r w:rsidRPr="00C56601">
        <w:t xml:space="preserve">SDGs and </w:t>
      </w:r>
      <w:r w:rsidR="001C08AC" w:rsidRPr="00C56601">
        <w:t>the Public Administration as an Ally</w:t>
      </w:r>
      <w:bookmarkEnd w:id="31"/>
    </w:p>
    <w:p w14:paraId="1A0E501F" w14:textId="77777777" w:rsidR="003542C0" w:rsidRPr="00C56601" w:rsidRDefault="003542C0" w:rsidP="00493AB2">
      <w:pPr>
        <w:spacing w:after="0" w:line="276" w:lineRule="auto"/>
        <w:jc w:val="both"/>
      </w:pPr>
    </w:p>
    <w:p w14:paraId="447C255B" w14:textId="069E8EE0" w:rsidR="00A360AA" w:rsidRPr="00C56601" w:rsidRDefault="00493AB2" w:rsidP="00AB1763">
      <w:pPr>
        <w:spacing w:after="0" w:line="276" w:lineRule="auto"/>
        <w:jc w:val="both"/>
        <w:rPr>
          <w:b/>
          <w:bCs/>
          <w:color w:val="276DBB" w:themeColor="text2" w:themeTint="BF"/>
        </w:rPr>
      </w:pPr>
      <w:r w:rsidRPr="00C56601">
        <w:rPr>
          <w:b/>
          <w:bCs/>
          <w:color w:val="0070C0"/>
        </w:rPr>
        <w:t>Raising awareness through workshops</w:t>
      </w:r>
      <w:r w:rsidR="008325A0" w:rsidRPr="00C56601">
        <w:rPr>
          <w:b/>
          <w:bCs/>
          <w:color w:val="0070C0"/>
        </w:rPr>
        <w:t xml:space="preserve"> for public administration employees</w:t>
      </w:r>
      <w:r w:rsidRPr="00C56601">
        <w:rPr>
          <w:b/>
          <w:bCs/>
          <w:color w:val="0070C0"/>
        </w:rPr>
        <w:t xml:space="preserve">. </w:t>
      </w:r>
      <w:r w:rsidR="00A360AA" w:rsidRPr="00C56601">
        <w:t xml:space="preserve">UN agencies should organize several workshops throughout the year for explaining SDGs, targets, and indicators, as well as SDG finance and approaches to </w:t>
      </w:r>
      <w:r w:rsidRPr="00C56601">
        <w:t>public administration employees</w:t>
      </w:r>
      <w:r w:rsidR="00A360AA" w:rsidRPr="00C56601">
        <w:t>. Their relevance will be more understood, when connected with the EU accession agenda and the EU negotiating chapters. Using the existing administrative structure for the EU’s Instrument for Pre-Accession (IPA) for coordinating the fulfilment of the UN 2030 Agenda for Sustainable Development is one viable possibility.</w:t>
      </w:r>
    </w:p>
    <w:p w14:paraId="1AC23E8F" w14:textId="77777777" w:rsidR="00DC10EA" w:rsidRPr="00C56601" w:rsidRDefault="00DC10EA" w:rsidP="00B46E24">
      <w:pPr>
        <w:spacing w:after="0" w:line="360" w:lineRule="auto"/>
        <w:jc w:val="both"/>
        <w:rPr>
          <w:b/>
          <w:bCs/>
          <w:color w:val="276DBB" w:themeColor="text2" w:themeTint="BF"/>
        </w:rPr>
      </w:pPr>
    </w:p>
    <w:p w14:paraId="4CB6E576" w14:textId="0FE07365" w:rsidR="00383C15" w:rsidRPr="00C56601" w:rsidRDefault="003542C0" w:rsidP="00383C15">
      <w:pPr>
        <w:spacing w:after="0" w:line="276" w:lineRule="auto"/>
        <w:jc w:val="both"/>
      </w:pPr>
      <w:r w:rsidRPr="00C56601">
        <w:rPr>
          <w:b/>
          <w:bCs/>
          <w:color w:val="276DBB" w:themeColor="text2" w:themeTint="BF"/>
        </w:rPr>
        <w:t>A</w:t>
      </w:r>
      <w:r w:rsidR="00383C15" w:rsidRPr="00C56601">
        <w:rPr>
          <w:b/>
          <w:bCs/>
          <w:color w:val="276DBB" w:themeColor="text2" w:themeTint="BF"/>
        </w:rPr>
        <w:t>ppointing SDG ambassadors</w:t>
      </w:r>
      <w:r w:rsidR="001D2678" w:rsidRPr="00C56601">
        <w:rPr>
          <w:b/>
          <w:bCs/>
          <w:color w:val="276DBB" w:themeColor="text2" w:themeTint="BF"/>
        </w:rPr>
        <w:t xml:space="preserve"> in </w:t>
      </w:r>
      <w:r w:rsidR="001C08AC" w:rsidRPr="00C56601">
        <w:rPr>
          <w:b/>
          <w:bCs/>
          <w:color w:val="276DBB" w:themeColor="text2" w:themeTint="BF"/>
        </w:rPr>
        <w:t>key ministries (institutions)</w:t>
      </w:r>
      <w:r w:rsidR="00383C15" w:rsidRPr="00C56601">
        <w:rPr>
          <w:b/>
          <w:bCs/>
          <w:color w:val="276DBB" w:themeColor="text2" w:themeTint="BF"/>
        </w:rPr>
        <w:t xml:space="preserve">. </w:t>
      </w:r>
      <w:r w:rsidR="00383C15" w:rsidRPr="00C56601">
        <w:t xml:space="preserve">Designation of SDG contact persons (SDG ambassadors) and their deputies in key line ministries that would be responsible for contacts with the UN </w:t>
      </w:r>
      <w:r w:rsidR="00383C15" w:rsidRPr="00C56601">
        <w:lastRenderedPageBreak/>
        <w:t>agencies, for monitoring and reporting the progress in the attainment of SDGs and proposing SDG finance approaches. This network of SGD officers (</w:t>
      </w:r>
      <w:r w:rsidR="001D2678" w:rsidRPr="00C56601">
        <w:t>public administration employees</w:t>
      </w:r>
      <w:r w:rsidR="00383C15" w:rsidRPr="00C56601">
        <w:t>) should be regularly trained and invited to workshops either abroad or in the country. Special remuneration (30% above the paygrade) by their superiors in line with the provisions of the Law on Public Sector Employees could encourage more active participation and devotion to the UN 2030 Sustainable Development agenda.</w:t>
      </w:r>
    </w:p>
    <w:p w14:paraId="5D189666" w14:textId="77777777" w:rsidR="00383C15" w:rsidRPr="00C56601" w:rsidRDefault="00383C15" w:rsidP="00B46E24">
      <w:pPr>
        <w:spacing w:after="0" w:line="360" w:lineRule="auto"/>
        <w:jc w:val="both"/>
        <w:rPr>
          <w:b/>
          <w:bCs/>
          <w:color w:val="276DBB" w:themeColor="text2" w:themeTint="BF"/>
        </w:rPr>
      </w:pPr>
    </w:p>
    <w:p w14:paraId="22367F93" w14:textId="21871AE5" w:rsidR="003B7FBC" w:rsidRPr="00C56601" w:rsidRDefault="003B7FBC" w:rsidP="00034F38">
      <w:pPr>
        <w:pStyle w:val="Heading2"/>
        <w:numPr>
          <w:ilvl w:val="1"/>
          <w:numId w:val="1"/>
        </w:numPr>
      </w:pPr>
      <w:bookmarkStart w:id="32" w:name="_Toc157427552"/>
      <w:r w:rsidRPr="00C56601">
        <w:t>The Private Sector as an Ally</w:t>
      </w:r>
      <w:r w:rsidR="00263B45" w:rsidRPr="00C56601">
        <w:t xml:space="preserve">: </w:t>
      </w:r>
      <w:r w:rsidR="00756C61" w:rsidRPr="00C56601">
        <w:t xml:space="preserve">ESG, </w:t>
      </w:r>
      <w:r w:rsidR="00263B45" w:rsidRPr="00C56601">
        <w:t>SDGs</w:t>
      </w:r>
      <w:r w:rsidR="00756C61" w:rsidRPr="00C56601">
        <w:t>,</w:t>
      </w:r>
      <w:r w:rsidR="00263B45" w:rsidRPr="00C56601">
        <w:t xml:space="preserve"> or </w:t>
      </w:r>
      <w:r w:rsidR="00756C61" w:rsidRPr="00C56601">
        <w:t>Both</w:t>
      </w:r>
      <w:r w:rsidR="00263B45" w:rsidRPr="00C56601">
        <w:t>?</w:t>
      </w:r>
      <w:bookmarkEnd w:id="32"/>
    </w:p>
    <w:p w14:paraId="5F308B7C" w14:textId="77777777" w:rsidR="003B7FBC" w:rsidRPr="00C56601" w:rsidRDefault="003B7FBC" w:rsidP="003B7FBC"/>
    <w:p w14:paraId="42CA269F" w14:textId="64025F02" w:rsidR="00DF10F7" w:rsidRPr="001220AF" w:rsidRDefault="00756C61" w:rsidP="001220AF">
      <w:pPr>
        <w:jc w:val="both"/>
      </w:pPr>
      <w:r w:rsidRPr="00C56601">
        <w:rPr>
          <w:b/>
          <w:bCs/>
          <w:color w:val="276DBB" w:themeColor="text2" w:themeTint="BF"/>
        </w:rPr>
        <w:t>ESG, SDGs, or Both</w:t>
      </w:r>
      <w:r w:rsidR="00C371AF" w:rsidRPr="00C56601">
        <w:rPr>
          <w:b/>
          <w:bCs/>
          <w:color w:val="276DBB" w:themeColor="text2" w:themeTint="BF"/>
        </w:rPr>
        <w:t>?</w:t>
      </w:r>
      <w:r w:rsidR="00C371AF" w:rsidRPr="00C56601">
        <w:t xml:space="preserve"> It is somewhat frustrating that private businesses in North Macedonia are more aware of the ESG framework than of the UN 2030 Agenda. The ESG (Environmental, Social, and Governance) framework is primarily used by businesses to assess and manage environmental, social, and governance risks and opportunities. It primarily targets businesses, investors, and financial institutions, by providing them with a framework to evaluate and integrate sustainability considerations into their decision-making processes.</w:t>
      </w:r>
      <w:r w:rsidR="003E4D15" w:rsidRPr="00C56601">
        <w:t xml:space="preserve"> It involves voluntary reporting and disclosure by companies and financial institutions. The ESG framework aims to enhance transparency and accountability regarding their sustainability performance.</w:t>
      </w:r>
      <w:r w:rsidR="00630BCC" w:rsidRPr="00C56601">
        <w:t xml:space="preserve"> We believe that </w:t>
      </w:r>
      <w:r w:rsidR="00C34612" w:rsidRPr="00C56601">
        <w:t>it is responsibility of the United Nations’ global leadership to organize the integration of the ESG framework into the SDG Framework. In the meantime, the ESG framework must be welcomed as compl</w:t>
      </w:r>
      <w:r w:rsidR="00AF2220" w:rsidRPr="00C56601">
        <w:t>e</w:t>
      </w:r>
      <w:r w:rsidR="00C34612" w:rsidRPr="00C56601">
        <w:t>mentary and impactful in accelerating the progress towards the attainment of the SDG targets.</w:t>
      </w:r>
      <w:r w:rsidR="00DF10F7">
        <w:t xml:space="preserve"> It is important to highlight that the </w:t>
      </w:r>
      <w:r w:rsidR="00DF10F7" w:rsidRPr="001220AF">
        <w:t xml:space="preserve">UNDP Sustainable Finance Hub works on Impact Standard (SDG Impact as elaborated in the first bullet point below) and Impact Management which complements ESG. While ESG Standard gives external incentives for companies to take social and environmental responsibilities, Impact Measurement and Management framework </w:t>
      </w:r>
      <w:r w:rsidR="00DF10F7" w:rsidRPr="00DF10F7">
        <w:t>emphasizes</w:t>
      </w:r>
      <w:r w:rsidR="00DF10F7" w:rsidRPr="001220AF">
        <w:t xml:space="preserve"> the internal drive to enhance business performance through the alignment with SDGs.</w:t>
      </w:r>
    </w:p>
    <w:p w14:paraId="09092517" w14:textId="77777777" w:rsidR="00C92843" w:rsidRPr="00C56601" w:rsidRDefault="00C92843" w:rsidP="00C92843">
      <w:pPr>
        <w:jc w:val="both"/>
      </w:pPr>
      <w:r w:rsidRPr="00C56601">
        <w:t xml:space="preserve">There are several notable </w:t>
      </w:r>
      <w:r w:rsidRPr="00C56601">
        <w:rPr>
          <w:b/>
          <w:bCs/>
          <w:color w:val="276DBB" w:themeColor="text2" w:themeTint="BF"/>
        </w:rPr>
        <w:t>UNDP-led initiatives</w:t>
      </w:r>
      <w:r w:rsidRPr="00C56601">
        <w:t xml:space="preserve"> at global scale that are examples of successful collaboration between UNDP and the private sector:</w:t>
      </w:r>
    </w:p>
    <w:p w14:paraId="08033C97" w14:textId="77777777" w:rsidR="00C92843" w:rsidRPr="00C56601" w:rsidRDefault="00C92843" w:rsidP="00756C61">
      <w:pPr>
        <w:pStyle w:val="ListParagraph"/>
        <w:numPr>
          <w:ilvl w:val="0"/>
          <w:numId w:val="41"/>
        </w:numPr>
        <w:ind w:left="720"/>
        <w:jc w:val="both"/>
      </w:pPr>
      <w:r w:rsidRPr="00C56601">
        <w:rPr>
          <w:b/>
          <w:bCs/>
          <w:color w:val="0070C0"/>
        </w:rPr>
        <w:t xml:space="preserve">Sustainable Development Goals Impact Initiative (SDG Impact) </w:t>
      </w:r>
      <w:r w:rsidRPr="00C56601">
        <w:t>- UNDP partnered with SAP, a technology company, to create the SDG Impact initiative. The initiative focuses on promoting data-driven decision-making, fostering innovation, and building capacity for sustainable development.</w:t>
      </w:r>
    </w:p>
    <w:p w14:paraId="33081E50" w14:textId="32DA89C3" w:rsidR="00C92843" w:rsidRPr="00C56601" w:rsidRDefault="00C92843" w:rsidP="00756C61">
      <w:pPr>
        <w:pStyle w:val="ListParagraph"/>
        <w:numPr>
          <w:ilvl w:val="0"/>
          <w:numId w:val="41"/>
        </w:numPr>
        <w:ind w:left="720"/>
        <w:jc w:val="both"/>
      </w:pPr>
      <w:r w:rsidRPr="00C56601">
        <w:rPr>
          <w:b/>
          <w:bCs/>
          <w:color w:val="0070C0"/>
        </w:rPr>
        <w:t>SDG Philanthropy Platform</w:t>
      </w:r>
      <w:r w:rsidRPr="00C56601">
        <w:t xml:space="preserve"> </w:t>
      </w:r>
      <w:r w:rsidR="00756C61" w:rsidRPr="00C56601">
        <w:t xml:space="preserve">is </w:t>
      </w:r>
      <w:r w:rsidRPr="00C56601">
        <w:t xml:space="preserve">a collaboration between UNDP, Foundation </w:t>
      </w:r>
      <w:proofErr w:type="spellStart"/>
      <w:r w:rsidRPr="00C56601">
        <w:t>Center</w:t>
      </w:r>
      <w:proofErr w:type="spellEnd"/>
      <w:r w:rsidRPr="00C56601">
        <w:t xml:space="preserve">, and Rockefeller Philanthropy Advisors. </w:t>
      </w:r>
      <w:r w:rsidR="00756C61" w:rsidRPr="00C56601">
        <w:t>T</w:t>
      </w:r>
      <w:r w:rsidRPr="00C56601">
        <w:t>he platform provides resources, knowledge-sharing platforms, and other services to foster effective collaborations between philanthropy and development actors.</w:t>
      </w:r>
    </w:p>
    <w:p w14:paraId="42FDD053" w14:textId="1982248E" w:rsidR="00C92843" w:rsidRPr="00C56601" w:rsidRDefault="00C92843" w:rsidP="00756C61">
      <w:pPr>
        <w:pStyle w:val="ListParagraph"/>
        <w:numPr>
          <w:ilvl w:val="0"/>
          <w:numId w:val="41"/>
        </w:numPr>
        <w:ind w:left="720"/>
        <w:jc w:val="both"/>
      </w:pPr>
      <w:r w:rsidRPr="00C56601">
        <w:rPr>
          <w:b/>
          <w:bCs/>
          <w:color w:val="0070C0"/>
        </w:rPr>
        <w:t>Business Call to Action (</w:t>
      </w:r>
      <w:proofErr w:type="spellStart"/>
      <w:r w:rsidRPr="00C56601">
        <w:rPr>
          <w:b/>
          <w:bCs/>
          <w:color w:val="0070C0"/>
        </w:rPr>
        <w:t>BCtA</w:t>
      </w:r>
      <w:proofErr w:type="spellEnd"/>
      <w:r w:rsidRPr="00C56601">
        <w:rPr>
          <w:b/>
          <w:bCs/>
          <w:color w:val="0070C0"/>
        </w:rPr>
        <w:t>)</w:t>
      </w:r>
      <w:r w:rsidRPr="00C56601">
        <w:t xml:space="preserve"> - an initiative led by UNDP that encourages companies to develop inclusive business models that contribute to the achievement of the SDGs. </w:t>
      </w:r>
      <w:r w:rsidR="00DF10F7" w:rsidRPr="00DF10F7">
        <w:t xml:space="preserve"> </w:t>
      </w:r>
      <w:r w:rsidR="00DF10F7" w:rsidRPr="001220AF">
        <w:t xml:space="preserve">The case studies of </w:t>
      </w:r>
      <w:proofErr w:type="spellStart"/>
      <w:r w:rsidR="00DF10F7" w:rsidRPr="001220AF">
        <w:t>BCtA</w:t>
      </w:r>
      <w:proofErr w:type="spellEnd"/>
      <w:r w:rsidR="00DF10F7" w:rsidRPr="001220AF">
        <w:t xml:space="preserve"> will be transferred to UNDP SFH shortly</w:t>
      </w:r>
      <w:r w:rsidR="00DF10F7">
        <w:t xml:space="preserve"> and this </w:t>
      </w:r>
      <w:r w:rsidR="00DF10F7" w:rsidRPr="001220AF">
        <w:t>initiative will be shut down.</w:t>
      </w:r>
    </w:p>
    <w:p w14:paraId="73B51B66" w14:textId="254EA787" w:rsidR="00C92843" w:rsidRPr="00C56601" w:rsidRDefault="00C92843" w:rsidP="00756C61">
      <w:pPr>
        <w:pStyle w:val="ListParagraph"/>
        <w:numPr>
          <w:ilvl w:val="0"/>
          <w:numId w:val="41"/>
        </w:numPr>
        <w:ind w:left="720"/>
        <w:jc w:val="both"/>
      </w:pPr>
      <w:r w:rsidRPr="001220AF">
        <w:t>Sustainable Energy for All (</w:t>
      </w:r>
      <w:proofErr w:type="spellStart"/>
      <w:r w:rsidRPr="001220AF">
        <w:t>SEforALL</w:t>
      </w:r>
      <w:proofErr w:type="spellEnd"/>
      <w:r w:rsidRPr="001220AF">
        <w:t xml:space="preserve">) </w:t>
      </w:r>
      <w:r w:rsidRPr="00C56601">
        <w:t xml:space="preserve">initiative is led by UNDP. It aims to promote universal access to affordable, reliable, and sustainable energy. </w:t>
      </w:r>
    </w:p>
    <w:p w14:paraId="2641346A" w14:textId="5250CAFA" w:rsidR="00C92843" w:rsidRPr="00C56601" w:rsidRDefault="00C92843" w:rsidP="00756C61">
      <w:pPr>
        <w:pStyle w:val="ListParagraph"/>
        <w:numPr>
          <w:ilvl w:val="0"/>
          <w:numId w:val="41"/>
        </w:numPr>
        <w:ind w:left="720"/>
        <w:jc w:val="both"/>
      </w:pPr>
      <w:r w:rsidRPr="00C56601">
        <w:rPr>
          <w:b/>
          <w:bCs/>
          <w:color w:val="0070C0"/>
        </w:rPr>
        <w:t>Climate Promise</w:t>
      </w:r>
      <w:r w:rsidRPr="00C56601">
        <w:t xml:space="preserve"> is a partnership between UNDP and several companies to support countries in enhancing their climate commitments under the Paris Agreement.</w:t>
      </w:r>
    </w:p>
    <w:p w14:paraId="2A53608B" w14:textId="1C459B23" w:rsidR="003B7FBC" w:rsidRPr="00C56601" w:rsidRDefault="003B7FBC" w:rsidP="003B7FBC">
      <w:pPr>
        <w:spacing w:after="0" w:line="276" w:lineRule="auto"/>
        <w:jc w:val="both"/>
      </w:pPr>
      <w:r w:rsidRPr="00C56601">
        <w:rPr>
          <w:b/>
          <w:bCs/>
          <w:color w:val="276DBB" w:themeColor="text2" w:themeTint="BF"/>
        </w:rPr>
        <w:t>Business Partnerships and Innovative Solutions for SDGs.</w:t>
      </w:r>
      <w:r w:rsidRPr="00C56601">
        <w:t xml:space="preserve"> Even small contributions in terms of finance or technical expertise </w:t>
      </w:r>
      <w:r w:rsidR="00C073BC" w:rsidRPr="00C56601">
        <w:t xml:space="preserve">by the UNDP Country Office </w:t>
      </w:r>
      <w:r w:rsidRPr="00C56601">
        <w:t xml:space="preserve">could </w:t>
      </w:r>
      <w:r w:rsidR="00756C61" w:rsidRPr="00C56601">
        <w:t>stimulate</w:t>
      </w:r>
      <w:r w:rsidRPr="00C56601">
        <w:t xml:space="preserve"> private sector </w:t>
      </w:r>
      <w:r w:rsidR="00756C61" w:rsidRPr="00C56601">
        <w:t xml:space="preserve">to focus more on </w:t>
      </w:r>
      <w:r w:rsidRPr="00C56601">
        <w:t>sustainable development.</w:t>
      </w:r>
      <w:r w:rsidR="00C073BC" w:rsidRPr="00C56601">
        <w:t xml:space="preserve"> </w:t>
      </w:r>
      <w:r w:rsidRPr="00C56601">
        <w:t>Some examples from the neighbourhood could be inspiring:</w:t>
      </w:r>
    </w:p>
    <w:p w14:paraId="2556CF69" w14:textId="77777777" w:rsidR="002F431B" w:rsidRPr="00C56601" w:rsidRDefault="002F431B" w:rsidP="003B7FBC">
      <w:pPr>
        <w:spacing w:after="0" w:line="276" w:lineRule="auto"/>
        <w:jc w:val="both"/>
      </w:pPr>
    </w:p>
    <w:tbl>
      <w:tblPr>
        <w:tblStyle w:val="TableGridLight"/>
        <w:tblW w:w="9468" w:type="dxa"/>
        <w:tblLook w:val="04A0" w:firstRow="1" w:lastRow="0" w:firstColumn="1" w:lastColumn="0" w:noHBand="0" w:noVBand="1"/>
      </w:tblPr>
      <w:tblGrid>
        <w:gridCol w:w="1548"/>
        <w:gridCol w:w="7920"/>
      </w:tblGrid>
      <w:tr w:rsidR="002F431B" w:rsidRPr="00C56601" w14:paraId="57BD8877" w14:textId="77777777" w:rsidTr="00D009C9">
        <w:tc>
          <w:tcPr>
            <w:tcW w:w="1548" w:type="dxa"/>
          </w:tcPr>
          <w:p w14:paraId="2C54DDA3" w14:textId="0B7F06AA" w:rsidR="002F431B" w:rsidRPr="00C56601" w:rsidRDefault="002F431B" w:rsidP="002F431B">
            <w:pPr>
              <w:spacing w:line="276" w:lineRule="auto"/>
              <w:rPr>
                <w:b/>
                <w:bCs/>
                <w:sz w:val="20"/>
                <w:szCs w:val="20"/>
              </w:rPr>
            </w:pPr>
            <w:r w:rsidRPr="00C56601">
              <w:rPr>
                <w:b/>
                <w:bCs/>
                <w:sz w:val="20"/>
                <w:szCs w:val="20"/>
              </w:rPr>
              <w:t>Project</w:t>
            </w:r>
          </w:p>
        </w:tc>
        <w:tc>
          <w:tcPr>
            <w:tcW w:w="7920" w:type="dxa"/>
          </w:tcPr>
          <w:p w14:paraId="4EC7881C" w14:textId="727645EE" w:rsidR="002F431B" w:rsidRPr="00C56601" w:rsidRDefault="002F431B" w:rsidP="003B7FBC">
            <w:pPr>
              <w:spacing w:line="276" w:lineRule="auto"/>
              <w:jc w:val="both"/>
              <w:rPr>
                <w:b/>
                <w:bCs/>
                <w:sz w:val="20"/>
                <w:szCs w:val="20"/>
              </w:rPr>
            </w:pPr>
            <w:r w:rsidRPr="00C56601">
              <w:rPr>
                <w:b/>
                <w:bCs/>
                <w:sz w:val="20"/>
                <w:szCs w:val="20"/>
              </w:rPr>
              <w:t>Brief description</w:t>
            </w:r>
          </w:p>
        </w:tc>
      </w:tr>
      <w:tr w:rsidR="002F431B" w:rsidRPr="00C56601" w14:paraId="3DC9B44E" w14:textId="77777777" w:rsidTr="00D009C9">
        <w:tc>
          <w:tcPr>
            <w:tcW w:w="1548" w:type="dxa"/>
          </w:tcPr>
          <w:p w14:paraId="22560EB1" w14:textId="0E6D0CD8" w:rsidR="002F431B" w:rsidRPr="00C56601" w:rsidRDefault="00000000" w:rsidP="002F431B">
            <w:pPr>
              <w:spacing w:line="276" w:lineRule="auto"/>
              <w:rPr>
                <w:color w:val="0070C0"/>
                <w:sz w:val="20"/>
                <w:szCs w:val="20"/>
              </w:rPr>
            </w:pPr>
            <w:hyperlink r:id="rId36" w:history="1">
              <w:r w:rsidR="002F431B" w:rsidRPr="00C56601">
                <w:rPr>
                  <w:rStyle w:val="Hyperlink"/>
                  <w:color w:val="0070C0"/>
                  <w:sz w:val="20"/>
                  <w:szCs w:val="20"/>
                </w:rPr>
                <w:t>No Species Dies Alone</w:t>
              </w:r>
            </w:hyperlink>
          </w:p>
        </w:tc>
        <w:tc>
          <w:tcPr>
            <w:tcW w:w="7920" w:type="dxa"/>
          </w:tcPr>
          <w:p w14:paraId="5A7E63DB" w14:textId="6214CAC4" w:rsidR="002F431B" w:rsidRPr="00C56601" w:rsidRDefault="002F431B" w:rsidP="003B7FBC">
            <w:pPr>
              <w:spacing w:line="276" w:lineRule="auto"/>
              <w:jc w:val="both"/>
              <w:rPr>
                <w:sz w:val="20"/>
                <w:szCs w:val="20"/>
              </w:rPr>
            </w:pPr>
            <w:r w:rsidRPr="00C56601">
              <w:rPr>
                <w:sz w:val="20"/>
                <w:szCs w:val="20"/>
              </w:rPr>
              <w:t xml:space="preserve">The environmental project of Telekom </w:t>
            </w:r>
            <w:proofErr w:type="spellStart"/>
            <w:r w:rsidRPr="00C56601">
              <w:rPr>
                <w:sz w:val="20"/>
                <w:szCs w:val="20"/>
              </w:rPr>
              <w:t>Srbija</w:t>
            </w:r>
            <w:proofErr w:type="spellEnd"/>
            <w:r w:rsidRPr="00C56601">
              <w:rPr>
                <w:sz w:val="20"/>
                <w:szCs w:val="20"/>
              </w:rPr>
              <w:t xml:space="preserve"> “No Species Dies Alone” has been declared one of the best projects of this year’s competition </w:t>
            </w:r>
            <w:r w:rsidR="00592BF2" w:rsidRPr="00C56601">
              <w:rPr>
                <w:sz w:val="20"/>
                <w:szCs w:val="20"/>
              </w:rPr>
              <w:t>“</w:t>
            </w:r>
            <w:r w:rsidRPr="00C56601">
              <w:rPr>
                <w:sz w:val="20"/>
                <w:szCs w:val="20"/>
              </w:rPr>
              <w:t xml:space="preserve">Champions of </w:t>
            </w:r>
            <w:proofErr w:type="gramStart"/>
            <w:r w:rsidRPr="00C56601">
              <w:rPr>
                <w:sz w:val="20"/>
                <w:szCs w:val="20"/>
              </w:rPr>
              <w:t>Sustainability“</w:t>
            </w:r>
            <w:proofErr w:type="gramEnd"/>
            <w:r w:rsidRPr="00C56601">
              <w:rPr>
                <w:sz w:val="20"/>
                <w:szCs w:val="20"/>
              </w:rPr>
              <w:t>. This recognition is awarded to companies that aligned their business operations and sustainability strategies with the Sustainable Development Goals.</w:t>
            </w:r>
          </w:p>
        </w:tc>
      </w:tr>
      <w:tr w:rsidR="002F431B" w:rsidRPr="00C56601" w14:paraId="484DF80E" w14:textId="77777777" w:rsidTr="00D009C9">
        <w:tc>
          <w:tcPr>
            <w:tcW w:w="1548" w:type="dxa"/>
          </w:tcPr>
          <w:p w14:paraId="7E16F5D0" w14:textId="60966E7C" w:rsidR="002F431B" w:rsidRPr="00C56601" w:rsidRDefault="00000000" w:rsidP="002F431B">
            <w:pPr>
              <w:spacing w:line="276" w:lineRule="auto"/>
              <w:rPr>
                <w:color w:val="0070C0"/>
                <w:sz w:val="20"/>
                <w:szCs w:val="20"/>
              </w:rPr>
            </w:pPr>
            <w:hyperlink r:id="rId37" w:history="1">
              <w:r w:rsidR="002F431B" w:rsidRPr="00C56601">
                <w:rPr>
                  <w:rStyle w:val="Hyperlink"/>
                  <w:color w:val="0070C0"/>
                  <w:sz w:val="20"/>
                  <w:szCs w:val="20"/>
                </w:rPr>
                <w:t>Plate by Plate</w:t>
              </w:r>
            </w:hyperlink>
          </w:p>
        </w:tc>
        <w:tc>
          <w:tcPr>
            <w:tcW w:w="7920" w:type="dxa"/>
          </w:tcPr>
          <w:p w14:paraId="51E138D4" w14:textId="52B39BB7" w:rsidR="002F431B" w:rsidRPr="00C56601" w:rsidRDefault="002F431B" w:rsidP="003B7FBC">
            <w:pPr>
              <w:spacing w:line="276" w:lineRule="auto"/>
              <w:jc w:val="both"/>
              <w:rPr>
                <w:sz w:val="20"/>
                <w:szCs w:val="20"/>
              </w:rPr>
            </w:pPr>
            <w:r w:rsidRPr="00C56601">
              <w:rPr>
                <w:sz w:val="20"/>
                <w:szCs w:val="20"/>
              </w:rPr>
              <w:t>First digital platform for food donation in Serbia</w:t>
            </w:r>
            <w:r w:rsidR="00592BF2" w:rsidRPr="00C56601">
              <w:rPr>
                <w:sz w:val="20"/>
                <w:szCs w:val="20"/>
              </w:rPr>
              <w:t>.</w:t>
            </w:r>
          </w:p>
        </w:tc>
      </w:tr>
      <w:tr w:rsidR="002F431B" w:rsidRPr="00C56601" w14:paraId="17D42933" w14:textId="77777777" w:rsidTr="00D009C9">
        <w:tc>
          <w:tcPr>
            <w:tcW w:w="1548" w:type="dxa"/>
          </w:tcPr>
          <w:p w14:paraId="7231FF29" w14:textId="3709586F" w:rsidR="002F431B" w:rsidRPr="00C56601" w:rsidRDefault="00000000" w:rsidP="002F431B">
            <w:pPr>
              <w:spacing w:line="276" w:lineRule="auto"/>
              <w:rPr>
                <w:color w:val="0070C0"/>
                <w:sz w:val="20"/>
                <w:szCs w:val="20"/>
              </w:rPr>
            </w:pPr>
            <w:hyperlink r:id="rId38" w:history="1">
              <w:r w:rsidR="002F431B" w:rsidRPr="00C56601">
                <w:rPr>
                  <w:rStyle w:val="Hyperlink"/>
                  <w:sz w:val="20"/>
                  <w:szCs w:val="20"/>
                </w:rPr>
                <w:t xml:space="preserve">Reduce Garbage for Collective Health </w:t>
              </w:r>
            </w:hyperlink>
          </w:p>
        </w:tc>
        <w:tc>
          <w:tcPr>
            <w:tcW w:w="7920" w:type="dxa"/>
          </w:tcPr>
          <w:p w14:paraId="0316AC14" w14:textId="76EB230E" w:rsidR="002F431B" w:rsidRPr="00C56601" w:rsidRDefault="002F431B" w:rsidP="003B7FBC">
            <w:pPr>
              <w:spacing w:line="276" w:lineRule="auto"/>
              <w:jc w:val="both"/>
              <w:rPr>
                <w:sz w:val="20"/>
                <w:szCs w:val="20"/>
              </w:rPr>
            </w:pPr>
            <w:r w:rsidRPr="00C56601">
              <w:rPr>
                <w:sz w:val="20"/>
                <w:szCs w:val="20"/>
              </w:rPr>
              <w:t>In addition to putting to use waste from restaurants and hotels that would otherwise end up in garbage cans, is working to train staff who work with food on how to dispose of this waste properly, so that as much usable energy as possible can be yielded during processing.</w:t>
            </w:r>
          </w:p>
        </w:tc>
      </w:tr>
      <w:tr w:rsidR="002F431B" w:rsidRPr="00C56601" w14:paraId="0FD3DE9B" w14:textId="77777777" w:rsidTr="00D009C9">
        <w:tc>
          <w:tcPr>
            <w:tcW w:w="1548" w:type="dxa"/>
          </w:tcPr>
          <w:p w14:paraId="413D4A45" w14:textId="26E9228B" w:rsidR="002F431B" w:rsidRPr="00C56601" w:rsidRDefault="00000000" w:rsidP="003B7FBC">
            <w:pPr>
              <w:spacing w:line="276" w:lineRule="auto"/>
              <w:jc w:val="both"/>
              <w:rPr>
                <w:sz w:val="20"/>
                <w:szCs w:val="20"/>
              </w:rPr>
            </w:pPr>
            <w:hyperlink r:id="rId39" w:history="1">
              <w:r w:rsidR="00D009C9" w:rsidRPr="00C56601">
                <w:rPr>
                  <w:rStyle w:val="Hyperlink"/>
                  <w:sz w:val="20"/>
                  <w:szCs w:val="20"/>
                </w:rPr>
                <w:t>Zero waste</w:t>
              </w:r>
            </w:hyperlink>
          </w:p>
        </w:tc>
        <w:tc>
          <w:tcPr>
            <w:tcW w:w="7920" w:type="dxa"/>
          </w:tcPr>
          <w:p w14:paraId="67570125" w14:textId="3D512CEC" w:rsidR="002F431B" w:rsidRPr="00C56601" w:rsidRDefault="00D009C9" w:rsidP="003B7FBC">
            <w:pPr>
              <w:spacing w:line="276" w:lineRule="auto"/>
              <w:jc w:val="both"/>
              <w:rPr>
                <w:sz w:val="20"/>
                <w:szCs w:val="20"/>
              </w:rPr>
            </w:pPr>
            <w:r w:rsidRPr="00C56601">
              <w:rPr>
                <w:sz w:val="20"/>
                <w:szCs w:val="20"/>
              </w:rPr>
              <w:t>The use of bio-pellet improves the effect of reducing greenhouse gas (GHG) emissions, thus mitigating the effects of climate change.</w:t>
            </w:r>
          </w:p>
        </w:tc>
      </w:tr>
      <w:tr w:rsidR="002F431B" w:rsidRPr="00C56601" w14:paraId="431DC5D6" w14:textId="77777777" w:rsidTr="00D009C9">
        <w:tc>
          <w:tcPr>
            <w:tcW w:w="1548" w:type="dxa"/>
          </w:tcPr>
          <w:p w14:paraId="7671B861" w14:textId="0C4B8FB0" w:rsidR="002F431B" w:rsidRPr="00C56601" w:rsidRDefault="00000000" w:rsidP="003B7FBC">
            <w:pPr>
              <w:spacing w:line="276" w:lineRule="auto"/>
              <w:jc w:val="both"/>
              <w:rPr>
                <w:sz w:val="20"/>
                <w:szCs w:val="20"/>
              </w:rPr>
            </w:pPr>
            <w:hyperlink r:id="rId40" w:history="1">
              <w:r w:rsidR="002F431B" w:rsidRPr="00C56601">
                <w:rPr>
                  <w:rStyle w:val="Hyperlink"/>
                  <w:sz w:val="20"/>
                  <w:szCs w:val="20"/>
                </w:rPr>
                <w:t>Liquid 3</w:t>
              </w:r>
            </w:hyperlink>
          </w:p>
        </w:tc>
        <w:tc>
          <w:tcPr>
            <w:tcW w:w="7920" w:type="dxa"/>
          </w:tcPr>
          <w:p w14:paraId="03BB4A4B" w14:textId="2AB9FDD4" w:rsidR="002F431B" w:rsidRPr="00C56601" w:rsidRDefault="002F431B" w:rsidP="003B7FBC">
            <w:pPr>
              <w:spacing w:line="276" w:lineRule="auto"/>
              <w:jc w:val="both"/>
              <w:rPr>
                <w:sz w:val="20"/>
                <w:szCs w:val="20"/>
              </w:rPr>
            </w:pPr>
            <w:r w:rsidRPr="00C56601">
              <w:rPr>
                <w:sz w:val="20"/>
                <w:szCs w:val="20"/>
              </w:rPr>
              <w:t>The first urban photo-bioreactor in Serbia, "LIQUID 3", has been placed in front of the Municipality of Stari Grad in Belgrade. This "liquid tree", as it is called at the “Institute for Multidisciplinary Research” of the University of Belgrade, where it was designed, is a completely new biotechnological solution for air purification and reduction of carbon dioxide (CO</w:t>
            </w:r>
            <w:r w:rsidRPr="00C56601">
              <w:rPr>
                <w:sz w:val="20"/>
                <w:szCs w:val="20"/>
                <w:vertAlign w:val="subscript"/>
              </w:rPr>
              <w:t>2</w:t>
            </w:r>
            <w:r w:rsidRPr="00C56601">
              <w:rPr>
                <w:sz w:val="20"/>
                <w:szCs w:val="20"/>
              </w:rPr>
              <w:t>) emissions in urban areas.</w:t>
            </w:r>
          </w:p>
        </w:tc>
      </w:tr>
      <w:tr w:rsidR="006D67D8" w:rsidRPr="00C56601" w14:paraId="43F4A3E7" w14:textId="77777777" w:rsidTr="00D009C9">
        <w:tc>
          <w:tcPr>
            <w:tcW w:w="1548" w:type="dxa"/>
          </w:tcPr>
          <w:p w14:paraId="1D8C1C6B" w14:textId="4272A7FC" w:rsidR="006D67D8" w:rsidRPr="00C56601" w:rsidRDefault="00000000" w:rsidP="003B7FBC">
            <w:pPr>
              <w:spacing w:line="276" w:lineRule="auto"/>
              <w:jc w:val="both"/>
              <w:rPr>
                <w:sz w:val="20"/>
                <w:szCs w:val="20"/>
              </w:rPr>
            </w:pPr>
            <w:hyperlink r:id="rId41" w:history="1">
              <w:r w:rsidR="006D67D8" w:rsidRPr="00C56601">
                <w:rPr>
                  <w:rStyle w:val="Hyperlink"/>
                  <w:sz w:val="20"/>
                  <w:szCs w:val="20"/>
                </w:rPr>
                <w:t>ASA Group (ASA Prevent)</w:t>
              </w:r>
            </w:hyperlink>
          </w:p>
        </w:tc>
        <w:tc>
          <w:tcPr>
            <w:tcW w:w="7920" w:type="dxa"/>
          </w:tcPr>
          <w:p w14:paraId="232B01E6" w14:textId="2F360E50" w:rsidR="006D67D8" w:rsidRPr="00C56601" w:rsidRDefault="006D67D8" w:rsidP="003B7FBC">
            <w:pPr>
              <w:spacing w:line="276" w:lineRule="auto"/>
              <w:jc w:val="both"/>
              <w:rPr>
                <w:sz w:val="20"/>
                <w:szCs w:val="20"/>
              </w:rPr>
            </w:pPr>
            <w:r w:rsidRPr="00C56601">
              <w:rPr>
                <w:sz w:val="20"/>
                <w:szCs w:val="20"/>
              </w:rPr>
              <w:t>Prevent Group, a leading Bosnian company in the automotive industry, has integrated sustainability into its business practices and has aligned the activities with the SDGs. ASA Group focuses on responsible production and consumption (SDG #12) by implementing sustainable manufacturing processes, waste reduction measures, and environmentally friendly technologies.</w:t>
            </w:r>
          </w:p>
        </w:tc>
      </w:tr>
      <w:tr w:rsidR="006D67D8" w:rsidRPr="00C56601" w14:paraId="748E31E3" w14:textId="77777777" w:rsidTr="00D009C9">
        <w:tc>
          <w:tcPr>
            <w:tcW w:w="1548" w:type="dxa"/>
          </w:tcPr>
          <w:p w14:paraId="52465CC5" w14:textId="237CFC8A" w:rsidR="006D67D8" w:rsidRPr="00C56601" w:rsidRDefault="006D67D8" w:rsidP="003B7FBC">
            <w:pPr>
              <w:spacing w:line="276" w:lineRule="auto"/>
              <w:jc w:val="both"/>
              <w:rPr>
                <w:sz w:val="20"/>
                <w:szCs w:val="20"/>
              </w:rPr>
            </w:pPr>
            <w:r w:rsidRPr="00C56601">
              <w:rPr>
                <w:sz w:val="20"/>
                <w:szCs w:val="20"/>
              </w:rPr>
              <w:t>Bingo</w:t>
            </w:r>
          </w:p>
        </w:tc>
        <w:tc>
          <w:tcPr>
            <w:tcW w:w="7920" w:type="dxa"/>
          </w:tcPr>
          <w:p w14:paraId="7061D751" w14:textId="2294A225" w:rsidR="006D67D8" w:rsidRPr="00C56601" w:rsidRDefault="007C1FF0" w:rsidP="003B7FBC">
            <w:pPr>
              <w:spacing w:line="276" w:lineRule="auto"/>
              <w:jc w:val="both"/>
              <w:rPr>
                <w:sz w:val="20"/>
                <w:szCs w:val="20"/>
              </w:rPr>
            </w:pPr>
            <w:r w:rsidRPr="00C56601">
              <w:rPr>
                <w:sz w:val="20"/>
                <w:szCs w:val="20"/>
              </w:rPr>
              <w:t xml:space="preserve">This </w:t>
            </w:r>
            <w:r w:rsidR="006D67D8" w:rsidRPr="00C56601">
              <w:rPr>
                <w:sz w:val="20"/>
                <w:szCs w:val="20"/>
              </w:rPr>
              <w:t>retail company in Bosnia and Herzegovina</w:t>
            </w:r>
            <w:r w:rsidRPr="00C56601">
              <w:rPr>
                <w:sz w:val="20"/>
                <w:szCs w:val="20"/>
              </w:rPr>
              <w:t xml:space="preserve"> </w:t>
            </w:r>
            <w:r w:rsidR="006D67D8" w:rsidRPr="00C56601">
              <w:rPr>
                <w:sz w:val="20"/>
                <w:szCs w:val="20"/>
              </w:rPr>
              <w:t>has taken steps to promote responsible consumption and production (SDG #12) by implementing sustainable practices in its operations, by focusing on reducing food waste, promoting sustainable packaging, and supporting local suppliers and products.</w:t>
            </w:r>
          </w:p>
        </w:tc>
      </w:tr>
    </w:tbl>
    <w:p w14:paraId="097DB671" w14:textId="463432C8" w:rsidR="002F431B" w:rsidRPr="00C56601" w:rsidRDefault="00D009C9" w:rsidP="003B7FBC">
      <w:pPr>
        <w:spacing w:after="0" w:line="276" w:lineRule="auto"/>
        <w:jc w:val="both"/>
        <w:rPr>
          <w:sz w:val="20"/>
          <w:szCs w:val="20"/>
        </w:rPr>
      </w:pPr>
      <w:r w:rsidRPr="00C56601">
        <w:rPr>
          <w:sz w:val="20"/>
          <w:szCs w:val="20"/>
        </w:rPr>
        <w:t>Note: More info on each project through the hyperlink in the project name.</w:t>
      </w:r>
    </w:p>
    <w:p w14:paraId="559CD115" w14:textId="77777777" w:rsidR="00D009C9" w:rsidRPr="00C56601" w:rsidRDefault="00D009C9" w:rsidP="003B7FBC">
      <w:pPr>
        <w:spacing w:after="0" w:line="276" w:lineRule="auto"/>
        <w:jc w:val="both"/>
      </w:pPr>
    </w:p>
    <w:p w14:paraId="3760DE8E" w14:textId="28D9F0E3" w:rsidR="00305FD1" w:rsidRPr="00C56601" w:rsidRDefault="00305FD1" w:rsidP="00305FD1">
      <w:pPr>
        <w:spacing w:after="0" w:line="276" w:lineRule="auto"/>
        <w:jc w:val="both"/>
      </w:pPr>
      <w:r w:rsidRPr="00C56601">
        <w:rPr>
          <w:b/>
          <w:bCs/>
          <w:color w:val="0070C0"/>
        </w:rPr>
        <w:t>SDG Investor Map</w:t>
      </w:r>
      <w:r w:rsidR="007E3312">
        <w:rPr>
          <w:b/>
          <w:bCs/>
          <w:color w:val="0070C0"/>
        </w:rPr>
        <w:t>s</w:t>
      </w:r>
      <w:r w:rsidRPr="00C56601">
        <w:rPr>
          <w:b/>
          <w:bCs/>
          <w:color w:val="0070C0"/>
        </w:rPr>
        <w:t xml:space="preserve"> and SDG Investment Platform</w:t>
      </w:r>
      <w:r w:rsidR="007E3312">
        <w:rPr>
          <w:b/>
          <w:bCs/>
          <w:color w:val="0070C0"/>
        </w:rPr>
        <w:t>s</w:t>
      </w:r>
      <w:r w:rsidRPr="00C56601">
        <w:rPr>
          <w:b/>
          <w:bCs/>
          <w:color w:val="0070C0"/>
        </w:rPr>
        <w:t xml:space="preserve">. </w:t>
      </w:r>
      <w:r w:rsidRPr="00C56601">
        <w:t xml:space="preserve">North Macedonia is not yet part of the </w:t>
      </w:r>
      <w:hyperlink r:id="rId42" w:history="1">
        <w:r w:rsidRPr="00C56601">
          <w:rPr>
            <w:rStyle w:val="Hyperlink"/>
          </w:rPr>
          <w:t>SDG Investor Map</w:t>
        </w:r>
      </w:hyperlink>
      <w:r w:rsidRPr="00C56601">
        <w:t xml:space="preserve"> and the </w:t>
      </w:r>
      <w:hyperlink r:id="rId43" w:history="1">
        <w:r w:rsidRPr="00C56601">
          <w:rPr>
            <w:rStyle w:val="Hyperlink"/>
          </w:rPr>
          <w:t>SDG Investor Platform</w:t>
        </w:r>
      </w:hyperlink>
      <w:r w:rsidRPr="00C56601">
        <w:t>. The SDG Investor Map provides insights into sectors and industries where investments can have a significant impact on sustainable development. It identifies specific investment opportunities aligned with the SDGs, considering the local context and development priorities of each country. The map highlights sectors such as renewable energy, sustainable agriculture, affordable housing, healthcare, education, and infrastructure, among others. The purpose of the SDG Investor Map is to bridge the gap between investors and sustainable development projects. It helps investors identify and assess investment opportunities that align with their values and objectives. Simultaneously, it supports countries in attracting private sector investments that contribute to achieving the SDGs and advancing sustainable development.</w:t>
      </w:r>
    </w:p>
    <w:p w14:paraId="67DF2752" w14:textId="77777777" w:rsidR="00305FD1" w:rsidRPr="00C56601" w:rsidRDefault="00305FD1" w:rsidP="003B7FBC">
      <w:pPr>
        <w:spacing w:after="0" w:line="276" w:lineRule="auto"/>
        <w:jc w:val="both"/>
        <w:rPr>
          <w:b/>
          <w:bCs/>
          <w:color w:val="0070C0"/>
        </w:rPr>
      </w:pPr>
    </w:p>
    <w:p w14:paraId="01C5DB31" w14:textId="3BF81596" w:rsidR="006D67D8" w:rsidRPr="00C56601" w:rsidRDefault="007C1FF0" w:rsidP="003B7FBC">
      <w:pPr>
        <w:spacing w:after="0" w:line="276" w:lineRule="auto"/>
        <w:jc w:val="both"/>
      </w:pPr>
      <w:r w:rsidRPr="00C56601">
        <w:rPr>
          <w:b/>
          <w:bCs/>
          <w:color w:val="0070C0"/>
        </w:rPr>
        <w:t xml:space="preserve">Annual </w:t>
      </w:r>
      <w:r w:rsidR="006D67D8" w:rsidRPr="00C56601">
        <w:rPr>
          <w:b/>
          <w:bCs/>
          <w:color w:val="0070C0"/>
        </w:rPr>
        <w:t>SDG Business Award.</w:t>
      </w:r>
      <w:r w:rsidR="006D67D8" w:rsidRPr="00C56601">
        <w:t xml:space="preserve"> UNDP Country Office in North Macedonia could give an annual SDG Business Award for the most </w:t>
      </w:r>
      <w:r w:rsidRPr="00C56601">
        <w:t>SDG-responsible companies. It should be competition- and merit-based.</w:t>
      </w:r>
    </w:p>
    <w:p w14:paraId="1C84DFBA" w14:textId="77777777" w:rsidR="006D67D8" w:rsidRPr="00C56601" w:rsidRDefault="006D67D8" w:rsidP="003B7FBC">
      <w:pPr>
        <w:spacing w:after="0" w:line="276" w:lineRule="auto"/>
        <w:jc w:val="both"/>
      </w:pPr>
    </w:p>
    <w:p w14:paraId="66EA1A30" w14:textId="1646CD43" w:rsidR="007C1FF0" w:rsidRPr="00C56601" w:rsidRDefault="007C1FF0" w:rsidP="003B7FBC">
      <w:pPr>
        <w:spacing w:after="0" w:line="276" w:lineRule="auto"/>
        <w:jc w:val="both"/>
      </w:pPr>
      <w:r w:rsidRPr="00C56601">
        <w:rPr>
          <w:b/>
          <w:bCs/>
          <w:color w:val="0070C0"/>
        </w:rPr>
        <w:t xml:space="preserve">Reducing gender inequalities in business. </w:t>
      </w:r>
      <w:r w:rsidRPr="00C56601">
        <w:t xml:space="preserve">In North Macedonia, the </w:t>
      </w:r>
      <w:r w:rsidR="00A940CA" w:rsidRPr="00C56601">
        <w:t xml:space="preserve">EBRD-led </w:t>
      </w:r>
      <w:hyperlink r:id="rId44" w:history="1">
        <w:r w:rsidRPr="00C56601">
          <w:rPr>
            <w:rStyle w:val="Hyperlink"/>
          </w:rPr>
          <w:t>Women in Business</w:t>
        </w:r>
      </w:hyperlink>
      <w:r w:rsidRPr="00C56601">
        <w:t xml:space="preserve"> programme is available through NLB Banka and Sparkasse Bank. Advisory services under the programme </w:t>
      </w:r>
      <w:r w:rsidRPr="00C56601">
        <w:lastRenderedPageBreak/>
        <w:t xml:space="preserve">are supported by donor funds from </w:t>
      </w:r>
      <w:r w:rsidR="00A940CA" w:rsidRPr="00C56601">
        <w:t xml:space="preserve">governments of </w:t>
      </w:r>
      <w:r w:rsidRPr="00C56601">
        <w:t>Sweden and Luxembourg.</w:t>
      </w:r>
      <w:r w:rsidR="00A940CA" w:rsidRPr="00C56601">
        <w:t xml:space="preserve"> The UNDP Country Office could join the programme with certain funding and support female entrepreneurs.</w:t>
      </w:r>
    </w:p>
    <w:p w14:paraId="616264AE" w14:textId="77777777" w:rsidR="006D67D8" w:rsidRPr="00C56601" w:rsidRDefault="006D67D8" w:rsidP="003B7FBC">
      <w:pPr>
        <w:spacing w:after="0" w:line="276" w:lineRule="auto"/>
        <w:jc w:val="both"/>
      </w:pPr>
    </w:p>
    <w:p w14:paraId="44DAA9BE" w14:textId="28602381" w:rsidR="003542C0" w:rsidRPr="00C56601" w:rsidRDefault="003542C0" w:rsidP="00034F38">
      <w:pPr>
        <w:pStyle w:val="Heading2"/>
        <w:numPr>
          <w:ilvl w:val="1"/>
          <w:numId w:val="1"/>
        </w:numPr>
      </w:pPr>
      <w:bookmarkStart w:id="33" w:name="_Toc157427553"/>
      <w:r w:rsidRPr="00C56601">
        <w:t>The Untapped Potential of the Non-Governmental Sector</w:t>
      </w:r>
      <w:bookmarkEnd w:id="33"/>
    </w:p>
    <w:p w14:paraId="5B4D7051" w14:textId="77777777" w:rsidR="003542C0" w:rsidRPr="00C56601" w:rsidRDefault="003542C0" w:rsidP="00B46E24">
      <w:pPr>
        <w:spacing w:after="0" w:line="360" w:lineRule="auto"/>
        <w:jc w:val="both"/>
        <w:rPr>
          <w:b/>
          <w:bCs/>
          <w:color w:val="276DBB" w:themeColor="text2" w:themeTint="BF"/>
        </w:rPr>
      </w:pPr>
    </w:p>
    <w:p w14:paraId="133FA420" w14:textId="11C18B43" w:rsidR="003542C0" w:rsidRPr="00C56601" w:rsidRDefault="00034F38" w:rsidP="003542C0">
      <w:pPr>
        <w:spacing w:after="0" w:line="276" w:lineRule="auto"/>
        <w:jc w:val="both"/>
      </w:pPr>
      <w:r w:rsidRPr="00C56601">
        <w:rPr>
          <w:b/>
          <w:bCs/>
          <w:color w:val="276DBB" w:themeColor="text2" w:themeTint="BF"/>
        </w:rPr>
        <w:t>The C</w:t>
      </w:r>
      <w:r w:rsidR="003542C0" w:rsidRPr="00C56601">
        <w:rPr>
          <w:b/>
          <w:bCs/>
          <w:color w:val="276DBB" w:themeColor="text2" w:themeTint="BF"/>
        </w:rPr>
        <w:t xml:space="preserve">ivil </w:t>
      </w:r>
      <w:r w:rsidRPr="00C56601">
        <w:rPr>
          <w:b/>
          <w:bCs/>
          <w:color w:val="276DBB" w:themeColor="text2" w:themeTint="BF"/>
        </w:rPr>
        <w:t>S</w:t>
      </w:r>
      <w:r w:rsidR="003542C0" w:rsidRPr="00C56601">
        <w:rPr>
          <w:b/>
          <w:bCs/>
          <w:color w:val="276DBB" w:themeColor="text2" w:themeTint="BF"/>
        </w:rPr>
        <w:t xml:space="preserve">ociety </w:t>
      </w:r>
      <w:r w:rsidRPr="00C56601">
        <w:rPr>
          <w:b/>
          <w:bCs/>
          <w:color w:val="276DBB" w:themeColor="text2" w:themeTint="BF"/>
        </w:rPr>
        <w:t>O</w:t>
      </w:r>
      <w:r w:rsidR="003542C0" w:rsidRPr="00C56601">
        <w:rPr>
          <w:b/>
          <w:bCs/>
          <w:color w:val="276DBB" w:themeColor="text2" w:themeTint="BF"/>
        </w:rPr>
        <w:t>rganizations</w:t>
      </w:r>
      <w:r w:rsidRPr="00C56601">
        <w:rPr>
          <w:b/>
          <w:bCs/>
          <w:color w:val="276DBB" w:themeColor="text2" w:themeTint="BF"/>
        </w:rPr>
        <w:t xml:space="preserve"> as Backbone of the SDG network</w:t>
      </w:r>
      <w:r w:rsidR="003542C0" w:rsidRPr="00C56601">
        <w:rPr>
          <w:b/>
          <w:bCs/>
          <w:color w:val="276DBB" w:themeColor="text2" w:themeTint="BF"/>
        </w:rPr>
        <w:t xml:space="preserve">. </w:t>
      </w:r>
      <w:r w:rsidR="003542C0" w:rsidRPr="00C56601">
        <w:t xml:space="preserve">It is also highly advisable to establish an </w:t>
      </w:r>
      <w:r w:rsidR="003542C0" w:rsidRPr="00C56601">
        <w:rPr>
          <w:b/>
          <w:bCs/>
          <w:color w:val="0070C0"/>
        </w:rPr>
        <w:t>SDG coalition</w:t>
      </w:r>
      <w:r w:rsidR="003542C0" w:rsidRPr="00C56601">
        <w:t xml:space="preserve"> by partnering with civil society organizations, NGOs, and community groups that are already working towards specific SDGs. The joint work on campaigns, events, and initiatives to leverage their expertise, networks, and grassroots reach would be beneficial for securing a more prominent place for the SDGs in the public discourse.</w:t>
      </w:r>
    </w:p>
    <w:p w14:paraId="081E7372" w14:textId="77777777" w:rsidR="003542C0" w:rsidRPr="00C56601" w:rsidRDefault="003542C0" w:rsidP="00B46E24">
      <w:pPr>
        <w:spacing w:after="0" w:line="360" w:lineRule="auto"/>
        <w:jc w:val="both"/>
        <w:rPr>
          <w:b/>
          <w:bCs/>
          <w:color w:val="276DBB" w:themeColor="text2" w:themeTint="BF"/>
        </w:rPr>
      </w:pPr>
    </w:p>
    <w:p w14:paraId="0843B612" w14:textId="33028000" w:rsidR="003542C0" w:rsidRPr="00C56601" w:rsidRDefault="003542C0" w:rsidP="00034F38">
      <w:pPr>
        <w:pStyle w:val="Heading2"/>
        <w:numPr>
          <w:ilvl w:val="1"/>
          <w:numId w:val="1"/>
        </w:numPr>
      </w:pPr>
      <w:bookmarkStart w:id="34" w:name="_Toc157427554"/>
      <w:r w:rsidRPr="00C56601">
        <w:t>The Academia as an Ally</w:t>
      </w:r>
      <w:bookmarkEnd w:id="34"/>
    </w:p>
    <w:p w14:paraId="6478C5A8" w14:textId="77777777" w:rsidR="003542C0" w:rsidRPr="00C56601" w:rsidRDefault="003542C0" w:rsidP="00B46E24">
      <w:pPr>
        <w:spacing w:after="0" w:line="360" w:lineRule="auto"/>
        <w:jc w:val="both"/>
        <w:rPr>
          <w:b/>
          <w:bCs/>
          <w:color w:val="276DBB" w:themeColor="text2" w:themeTint="BF"/>
        </w:rPr>
      </w:pPr>
    </w:p>
    <w:p w14:paraId="0DC9AAEC" w14:textId="7EC2BF30" w:rsidR="006C4938" w:rsidRDefault="0083366A" w:rsidP="006C4938">
      <w:pPr>
        <w:spacing w:after="0" w:line="276" w:lineRule="auto"/>
        <w:jc w:val="both"/>
      </w:pPr>
      <w:r w:rsidRPr="00C56601">
        <w:rPr>
          <w:b/>
          <w:bCs/>
          <w:color w:val="276DBB" w:themeColor="text2" w:themeTint="BF"/>
        </w:rPr>
        <w:t xml:space="preserve">Appointing SDG ambassadors in the academia. </w:t>
      </w:r>
      <w:r w:rsidRPr="00C56601">
        <w:t>Designation of SDG contact persons (</w:t>
      </w:r>
      <w:r w:rsidR="00034F38" w:rsidRPr="00C56601">
        <w:t>“</w:t>
      </w:r>
      <w:r w:rsidRPr="00C56601">
        <w:t>SDG ambassadors</w:t>
      </w:r>
      <w:r w:rsidR="00034F38" w:rsidRPr="00C56601">
        <w:t>”</w:t>
      </w:r>
      <w:r w:rsidRPr="00C56601">
        <w:t xml:space="preserve">) in the academia </w:t>
      </w:r>
      <w:r w:rsidR="001D2678" w:rsidRPr="00C56601">
        <w:t xml:space="preserve">is also a good </w:t>
      </w:r>
      <w:r w:rsidR="00034F38" w:rsidRPr="00C56601">
        <w:t>strategy</w:t>
      </w:r>
      <w:r w:rsidR="001D2678" w:rsidRPr="00C56601">
        <w:t xml:space="preserve">. </w:t>
      </w:r>
      <w:r w:rsidR="00034F38" w:rsidRPr="00C56601">
        <w:t xml:space="preserve">They will be responsible and privileged to organize workshops or conferences related to the attainment of SDGs. </w:t>
      </w:r>
      <w:r w:rsidR="001D2678" w:rsidRPr="00C56601">
        <w:t>Students can become key stakeholders in achieving the SDGs. Engaging with universities and institutes to integrate the SDGs into curricula and promote awareness among students would facilitate the SDG-</w:t>
      </w:r>
      <w:proofErr w:type="spellStart"/>
      <w:r w:rsidR="001D2678" w:rsidRPr="00C56601">
        <w:t>ization</w:t>
      </w:r>
      <w:proofErr w:type="spellEnd"/>
      <w:r w:rsidR="001D2678" w:rsidRPr="00C56601">
        <w:t xml:space="preserve"> of the public agenda. </w:t>
      </w:r>
      <w:proofErr w:type="gramStart"/>
      <w:r w:rsidR="00113C5B">
        <w:t>At the moment</w:t>
      </w:r>
      <w:proofErr w:type="gramEnd"/>
      <w:r w:rsidR="00113C5B">
        <w:t xml:space="preserve">, there is no university partnering with the UNDP. </w:t>
      </w:r>
      <w:r w:rsidR="00034F38" w:rsidRPr="00C56601">
        <w:t>Student</w:t>
      </w:r>
      <w:r w:rsidR="001D2678" w:rsidRPr="00C56601">
        <w:t>-led initiatives, competitions, and events focused on the SDGs to foster their active participation.</w:t>
      </w:r>
    </w:p>
    <w:p w14:paraId="15400CF6" w14:textId="77777777" w:rsidR="00113C5B" w:rsidRDefault="00113C5B" w:rsidP="006C4938">
      <w:pPr>
        <w:spacing w:after="0" w:line="276" w:lineRule="auto"/>
        <w:jc w:val="both"/>
      </w:pPr>
    </w:p>
    <w:p w14:paraId="7A246F07" w14:textId="524808AB" w:rsidR="00113C5B" w:rsidRPr="00C56601" w:rsidRDefault="00113C5B" w:rsidP="006C4938">
      <w:pPr>
        <w:spacing w:after="0" w:line="276" w:lineRule="auto"/>
        <w:jc w:val="both"/>
      </w:pPr>
      <w:r w:rsidRPr="001220AF">
        <w:rPr>
          <w:b/>
          <w:bCs/>
          <w:color w:val="276DBB" w:themeColor="text2" w:themeTint="BF"/>
        </w:rPr>
        <w:t>SDG impact ranking of universities.</w:t>
      </w:r>
      <w:r>
        <w:t xml:space="preserve"> Times Higher Education complies a separate </w:t>
      </w:r>
      <w:hyperlink r:id="rId45" w:history="1">
        <w:r w:rsidRPr="00113C5B">
          <w:rPr>
            <w:rStyle w:val="Hyperlink"/>
          </w:rPr>
          <w:t>list</w:t>
        </w:r>
      </w:hyperlink>
      <w:r>
        <w:t xml:space="preserve"> of SDG-friendly universities. The ranking provides a </w:t>
      </w:r>
      <w:r w:rsidRPr="00113C5B">
        <w:t>comprehensive and balanced comparison across four broad areas: research, stewardship, outreach</w:t>
      </w:r>
      <w:r>
        <w:t>,</w:t>
      </w:r>
      <w:r w:rsidRPr="00113C5B">
        <w:t xml:space="preserve"> and teaching.</w:t>
      </w:r>
      <w:r>
        <w:t xml:space="preserve"> UNDP should initiate SDG impact ranking of one or two largest and highest ranked universities</w:t>
      </w:r>
      <w:r w:rsidR="008C6842">
        <w:t>, already ranked</w:t>
      </w:r>
      <w:r>
        <w:t xml:space="preserve"> on the competing Academic Ranking of World Universities (ARWU) by the Shanghai Jiao Tong University.</w:t>
      </w:r>
      <w:r w:rsidR="008C6842">
        <w:t xml:space="preserve"> Based on the recommendations of this report, </w:t>
      </w:r>
      <w:r w:rsidR="00DF1091">
        <w:t>initiation meeting</w:t>
      </w:r>
      <w:r w:rsidR="008C6842">
        <w:t xml:space="preserve"> ha</w:t>
      </w:r>
      <w:r w:rsidR="00DF1091">
        <w:t>s</w:t>
      </w:r>
      <w:r w:rsidR="008C6842">
        <w:t xml:space="preserve"> been </w:t>
      </w:r>
      <w:r w:rsidR="00DF1091">
        <w:t>proposed</w:t>
      </w:r>
      <w:r w:rsidR="008C6842">
        <w:t xml:space="preserve"> between the UNDP team and the Ss. Cyril and Methodius University in Skopje.</w:t>
      </w:r>
    </w:p>
    <w:p w14:paraId="705F6DFC" w14:textId="77777777" w:rsidR="008A296A" w:rsidRPr="00C56601" w:rsidRDefault="008A296A" w:rsidP="0083366A">
      <w:pPr>
        <w:pStyle w:val="ListParagraph"/>
        <w:spacing w:after="0" w:line="276" w:lineRule="auto"/>
        <w:ind w:left="0"/>
        <w:jc w:val="both"/>
        <w:rPr>
          <w:b/>
          <w:bCs/>
          <w:color w:val="276DBB" w:themeColor="text2" w:themeTint="BF"/>
        </w:rPr>
      </w:pPr>
    </w:p>
    <w:p w14:paraId="5AA1DCB7" w14:textId="01370BFA" w:rsidR="008A296A" w:rsidRPr="00C56601" w:rsidRDefault="008A296A" w:rsidP="0083366A">
      <w:pPr>
        <w:pStyle w:val="ListParagraph"/>
        <w:spacing w:after="0" w:line="276" w:lineRule="auto"/>
        <w:ind w:left="0"/>
        <w:jc w:val="both"/>
        <w:rPr>
          <w:lang w:val="en-US"/>
        </w:rPr>
      </w:pPr>
      <w:r w:rsidRPr="00C56601">
        <w:rPr>
          <w:b/>
          <w:bCs/>
          <w:color w:val="276DBB" w:themeColor="text2" w:themeTint="BF"/>
        </w:rPr>
        <w:t>Organiz</w:t>
      </w:r>
      <w:r w:rsidR="004D49B7" w:rsidRPr="00C56601">
        <w:rPr>
          <w:b/>
          <w:bCs/>
          <w:color w:val="276DBB" w:themeColor="text2" w:themeTint="BF"/>
        </w:rPr>
        <w:t xml:space="preserve">ing </w:t>
      </w:r>
      <w:r w:rsidRPr="00C56601">
        <w:rPr>
          <w:b/>
          <w:bCs/>
          <w:color w:val="276DBB" w:themeColor="text2" w:themeTint="BF"/>
        </w:rPr>
        <w:t xml:space="preserve">SDG-related conference in the academia. </w:t>
      </w:r>
      <w:r w:rsidRPr="00C56601">
        <w:rPr>
          <w:lang w:val="en-US"/>
        </w:rPr>
        <w:t xml:space="preserve">UNDP could support conferences, workshops, or symposia that specifically focus on the SDGs. These events would provide </w:t>
      </w:r>
      <w:r w:rsidR="00034F38" w:rsidRPr="00C56601">
        <w:rPr>
          <w:lang w:val="en-US"/>
        </w:rPr>
        <w:t xml:space="preserve">a </w:t>
      </w:r>
      <w:r w:rsidRPr="00C56601">
        <w:rPr>
          <w:lang w:val="en-US"/>
        </w:rPr>
        <w:t>platform for researchers, experts, and students to share knowledge, present their work, and discuss innovative approaches to achieving the SDGs.</w:t>
      </w:r>
    </w:p>
    <w:p w14:paraId="643D5452" w14:textId="77777777" w:rsidR="008A296A" w:rsidRPr="00C56601" w:rsidRDefault="008A296A" w:rsidP="0083366A">
      <w:pPr>
        <w:pStyle w:val="ListParagraph"/>
        <w:spacing w:after="0" w:line="276" w:lineRule="auto"/>
        <w:ind w:left="0"/>
        <w:jc w:val="both"/>
        <w:rPr>
          <w:lang w:val="en-US"/>
        </w:rPr>
      </w:pPr>
    </w:p>
    <w:p w14:paraId="11A1E497" w14:textId="4769B900" w:rsidR="004D49B7" w:rsidRPr="00C56601" w:rsidRDefault="004D49B7" w:rsidP="0083366A">
      <w:pPr>
        <w:pStyle w:val="ListParagraph"/>
        <w:spacing w:after="0" w:line="276" w:lineRule="auto"/>
        <w:ind w:left="0"/>
        <w:jc w:val="both"/>
        <w:rPr>
          <w:lang w:val="en-US"/>
        </w:rPr>
      </w:pPr>
      <w:r w:rsidRPr="00C56601">
        <w:rPr>
          <w:b/>
          <w:bCs/>
          <w:color w:val="276DBB" w:themeColor="text2" w:themeTint="BF"/>
        </w:rPr>
        <w:t>Fostering research on the SDGs.</w:t>
      </w:r>
      <w:r w:rsidRPr="00C56601">
        <w:rPr>
          <w:lang w:val="en-US"/>
        </w:rPr>
        <w:t xml:space="preserve"> UNDP could </w:t>
      </w:r>
      <w:r w:rsidR="00034F38" w:rsidRPr="00C56601">
        <w:rPr>
          <w:lang w:val="en-US"/>
        </w:rPr>
        <w:t xml:space="preserve">also </w:t>
      </w:r>
      <w:r w:rsidRPr="00C56601">
        <w:rPr>
          <w:lang w:val="en-US"/>
        </w:rPr>
        <w:t xml:space="preserve">encourage faculty members and researchers to conduct research that contributes to the understanding and achievement of the SDGs. For example, by </w:t>
      </w:r>
      <w:r w:rsidR="00400C3C" w:rsidRPr="00C56601">
        <w:rPr>
          <w:lang w:val="en-US"/>
        </w:rPr>
        <w:t>p</w:t>
      </w:r>
      <w:r w:rsidRPr="00C56601">
        <w:rPr>
          <w:lang w:val="en-US"/>
        </w:rPr>
        <w:t>rovid</w:t>
      </w:r>
      <w:r w:rsidR="00400C3C" w:rsidRPr="00C56601">
        <w:rPr>
          <w:lang w:val="en-US"/>
        </w:rPr>
        <w:t xml:space="preserve">ing symbolic financial </w:t>
      </w:r>
      <w:r w:rsidRPr="00C56601">
        <w:rPr>
          <w:lang w:val="en-US"/>
        </w:rPr>
        <w:t>support through funding</w:t>
      </w:r>
      <w:r w:rsidR="00034F38" w:rsidRPr="00C56601">
        <w:rPr>
          <w:lang w:val="en-US"/>
        </w:rPr>
        <w:t xml:space="preserve"> </w:t>
      </w:r>
      <w:r w:rsidRPr="00C56601">
        <w:rPr>
          <w:lang w:val="en-US"/>
        </w:rPr>
        <w:t>and</w:t>
      </w:r>
      <w:r w:rsidR="00034F38" w:rsidRPr="00C56601">
        <w:rPr>
          <w:lang w:val="en-US"/>
        </w:rPr>
        <w:t xml:space="preserve"> collaboration with UN(DP) experts in policy-oriented</w:t>
      </w:r>
      <w:r w:rsidRPr="00C56601">
        <w:rPr>
          <w:lang w:val="en-US"/>
        </w:rPr>
        <w:t xml:space="preserve"> research projects that address sustainable development challenges. Promot</w:t>
      </w:r>
      <w:r w:rsidR="00400C3C" w:rsidRPr="00C56601">
        <w:rPr>
          <w:lang w:val="en-US"/>
        </w:rPr>
        <w:t>ing</w:t>
      </w:r>
      <w:r w:rsidRPr="00C56601">
        <w:rPr>
          <w:lang w:val="en-US"/>
        </w:rPr>
        <w:t xml:space="preserve"> interdisciplinary research collaborations </w:t>
      </w:r>
      <w:r w:rsidR="00034F38" w:rsidRPr="00C56601">
        <w:rPr>
          <w:lang w:val="en-US"/>
        </w:rPr>
        <w:t xml:space="preserve">between domestic and foreign universities </w:t>
      </w:r>
      <w:r w:rsidRPr="00C56601">
        <w:rPr>
          <w:lang w:val="en-US"/>
        </w:rPr>
        <w:t>to tackle complex sustainability issues</w:t>
      </w:r>
      <w:r w:rsidR="00400C3C" w:rsidRPr="00C56601">
        <w:rPr>
          <w:lang w:val="en-US"/>
        </w:rPr>
        <w:t xml:space="preserve"> is also a viable option.</w:t>
      </w:r>
    </w:p>
    <w:p w14:paraId="1A669FAD" w14:textId="77777777" w:rsidR="004D49B7" w:rsidRPr="00C56601" w:rsidRDefault="004D49B7" w:rsidP="0083366A">
      <w:pPr>
        <w:pStyle w:val="ListParagraph"/>
        <w:spacing w:after="0" w:line="276" w:lineRule="auto"/>
        <w:ind w:left="0"/>
        <w:jc w:val="both"/>
        <w:rPr>
          <w:lang w:val="en-US"/>
        </w:rPr>
      </w:pPr>
    </w:p>
    <w:p w14:paraId="55DF3168" w14:textId="3063D5FA" w:rsidR="003542C0" w:rsidRPr="00C56601" w:rsidRDefault="003542C0" w:rsidP="00034F38">
      <w:pPr>
        <w:pStyle w:val="Heading2"/>
        <w:numPr>
          <w:ilvl w:val="1"/>
          <w:numId w:val="1"/>
        </w:numPr>
      </w:pPr>
      <w:bookmarkStart w:id="35" w:name="_Toc157427555"/>
      <w:r w:rsidRPr="00C56601">
        <w:t>The European Union as a Partner</w:t>
      </w:r>
      <w:bookmarkEnd w:id="35"/>
    </w:p>
    <w:p w14:paraId="2D0C8F38" w14:textId="77777777" w:rsidR="003542C0" w:rsidRPr="00C56601" w:rsidRDefault="003542C0" w:rsidP="0083366A">
      <w:pPr>
        <w:pStyle w:val="ListParagraph"/>
        <w:spacing w:after="0" w:line="276" w:lineRule="auto"/>
        <w:ind w:left="0"/>
        <w:jc w:val="both"/>
        <w:rPr>
          <w:lang w:val="en-US"/>
        </w:rPr>
      </w:pPr>
    </w:p>
    <w:p w14:paraId="25E018C0" w14:textId="19A2AB58" w:rsidR="0083366A" w:rsidRPr="00C56601" w:rsidRDefault="0083366A" w:rsidP="0083366A">
      <w:pPr>
        <w:pStyle w:val="ListParagraph"/>
        <w:spacing w:after="0" w:line="276" w:lineRule="auto"/>
        <w:ind w:left="0"/>
        <w:jc w:val="both"/>
        <w:rPr>
          <w:color w:val="000000" w:themeColor="text1"/>
        </w:rPr>
      </w:pPr>
      <w:r w:rsidRPr="00C56601">
        <w:rPr>
          <w:b/>
          <w:bCs/>
          <w:color w:val="276DBB" w:themeColor="text2" w:themeTint="BF"/>
        </w:rPr>
        <w:t>Tying the</w:t>
      </w:r>
      <w:r w:rsidR="001D2678" w:rsidRPr="00C56601">
        <w:rPr>
          <w:b/>
          <w:bCs/>
          <w:color w:val="276DBB" w:themeColor="text2" w:themeTint="BF"/>
        </w:rPr>
        <w:t xml:space="preserve"> UN 2030 with the</w:t>
      </w:r>
      <w:r w:rsidRPr="00C56601">
        <w:rPr>
          <w:b/>
          <w:bCs/>
          <w:color w:val="276DBB" w:themeColor="text2" w:themeTint="BF"/>
        </w:rPr>
        <w:t xml:space="preserve"> EU accession agenda. </w:t>
      </w:r>
      <w:r w:rsidRPr="00C56601">
        <w:rPr>
          <w:color w:val="000000" w:themeColor="text1"/>
        </w:rPr>
        <w:t xml:space="preserve">SDGs may not become a </w:t>
      </w:r>
      <w:r w:rsidR="00034F38" w:rsidRPr="00C56601">
        <w:rPr>
          <w:color w:val="000000" w:themeColor="text1"/>
        </w:rPr>
        <w:t xml:space="preserve">high policy </w:t>
      </w:r>
      <w:r w:rsidRPr="00C56601">
        <w:rPr>
          <w:color w:val="000000" w:themeColor="text1"/>
        </w:rPr>
        <w:t xml:space="preserve">priority in near future, but tying the SDGs to the European accession agenda will effectively make them a </w:t>
      </w:r>
      <w:r w:rsidRPr="00C56601">
        <w:rPr>
          <w:i/>
          <w:iCs/>
          <w:color w:val="000000" w:themeColor="text1"/>
        </w:rPr>
        <w:t xml:space="preserve">de facto </w:t>
      </w:r>
      <w:r w:rsidR="00AC7DE7" w:rsidRPr="00C56601">
        <w:rPr>
          <w:color w:val="000000" w:themeColor="text1"/>
        </w:rPr>
        <w:t xml:space="preserve">high </w:t>
      </w:r>
      <w:r w:rsidRPr="00C56601">
        <w:rPr>
          <w:color w:val="000000" w:themeColor="text1"/>
        </w:rPr>
        <w:t xml:space="preserve">priority. If each reporting related to the EU accession process is also linked to the attainment of SDGs, the accelerated progress towards SDGs will emerge as a complementary success. </w:t>
      </w:r>
      <w:r w:rsidR="00E23A97" w:rsidRPr="00C56601">
        <w:rPr>
          <w:color w:val="000000" w:themeColor="text1"/>
        </w:rPr>
        <w:t xml:space="preserve">This could be done by SDG analysis of EU reports or </w:t>
      </w:r>
      <w:r w:rsidR="00AC7DE7" w:rsidRPr="00C56601">
        <w:rPr>
          <w:color w:val="000000" w:themeColor="text1"/>
        </w:rPr>
        <w:t>a compulsory</w:t>
      </w:r>
      <w:r w:rsidR="00E23A97" w:rsidRPr="00C56601">
        <w:rPr>
          <w:color w:val="000000" w:themeColor="text1"/>
        </w:rPr>
        <w:t xml:space="preserve"> section on the SDGs in </w:t>
      </w:r>
      <w:r w:rsidR="00AC7DE7" w:rsidRPr="00C56601">
        <w:rPr>
          <w:color w:val="000000" w:themeColor="text1"/>
        </w:rPr>
        <w:t>all important and relevant</w:t>
      </w:r>
      <w:r w:rsidR="00E23A97" w:rsidRPr="00C56601">
        <w:rPr>
          <w:color w:val="000000" w:themeColor="text1"/>
        </w:rPr>
        <w:t xml:space="preserve"> documents produced by the Delegation of the European Union in North Macedonia.</w:t>
      </w:r>
    </w:p>
    <w:p w14:paraId="50C77589" w14:textId="77777777" w:rsidR="00052624" w:rsidRPr="00C56601" w:rsidRDefault="00052624" w:rsidP="0083366A">
      <w:pPr>
        <w:pStyle w:val="ListParagraph"/>
        <w:spacing w:after="0" w:line="276" w:lineRule="auto"/>
        <w:ind w:left="0"/>
        <w:jc w:val="both"/>
        <w:rPr>
          <w:color w:val="000000" w:themeColor="text1"/>
        </w:rPr>
      </w:pPr>
    </w:p>
    <w:p w14:paraId="65FC3171" w14:textId="15FC532C" w:rsidR="00AC7DE7" w:rsidRPr="00C56601" w:rsidRDefault="00052624" w:rsidP="0083366A">
      <w:pPr>
        <w:pStyle w:val="ListParagraph"/>
        <w:spacing w:after="0" w:line="276" w:lineRule="auto"/>
        <w:ind w:left="0"/>
        <w:jc w:val="both"/>
        <w:rPr>
          <w:color w:val="000000" w:themeColor="text1"/>
        </w:rPr>
      </w:pPr>
      <w:r w:rsidRPr="00C56601">
        <w:rPr>
          <w:b/>
          <w:bCs/>
          <w:color w:val="276DBB" w:themeColor="text2" w:themeTint="BF"/>
        </w:rPr>
        <w:t xml:space="preserve">Joint promotion. </w:t>
      </w:r>
      <w:r w:rsidRPr="00C56601">
        <w:rPr>
          <w:color w:val="000000" w:themeColor="text1"/>
        </w:rPr>
        <w:t xml:space="preserve">Reaching a mutual understanding – and possibly a Memorandum of Understanding (MoU) – for referring to the SDGs in the EC progress reports and other important EU-related documents, such as the three-year Economic Reform Programme, </w:t>
      </w:r>
      <w:r w:rsidR="00E23A97" w:rsidRPr="00C56601">
        <w:rPr>
          <w:color w:val="000000" w:themeColor="text1"/>
        </w:rPr>
        <w:t>would increase the public awareness about the SDGs</w:t>
      </w:r>
      <w:r w:rsidRPr="00C56601">
        <w:rPr>
          <w:color w:val="000000" w:themeColor="text1"/>
        </w:rPr>
        <w:t>.</w:t>
      </w:r>
    </w:p>
    <w:p w14:paraId="0C0F7576" w14:textId="0F205E24" w:rsidR="00AC7DE7" w:rsidRPr="00C56601" w:rsidRDefault="00AC7DE7">
      <w:pPr>
        <w:rPr>
          <w:color w:val="000000" w:themeColor="text1"/>
        </w:rPr>
      </w:pPr>
    </w:p>
    <w:p w14:paraId="61E11DA1" w14:textId="2AC70098" w:rsidR="00AB1763" w:rsidRPr="00C56601" w:rsidRDefault="00AC7DE7" w:rsidP="00EE3FCF">
      <w:pPr>
        <w:pStyle w:val="Heading1"/>
        <w:numPr>
          <w:ilvl w:val="0"/>
          <w:numId w:val="1"/>
        </w:numPr>
      </w:pPr>
      <w:bookmarkStart w:id="36" w:name="_Toc157427556"/>
      <w:bookmarkStart w:id="37" w:name="_Hlk150926141"/>
      <w:r w:rsidRPr="00C56601">
        <w:t>MAXIMIZING SDG FINANCE</w:t>
      </w:r>
      <w:r w:rsidR="0090784E">
        <w:t>: DESIGNING AN OPTIMAL, FEASIBLE, AND SUSTAINABLE FINANCE PORTFOLIO</w:t>
      </w:r>
      <w:bookmarkEnd w:id="36"/>
    </w:p>
    <w:p w14:paraId="326BA05D" w14:textId="77777777" w:rsidR="00DC10EA" w:rsidRDefault="00DC10EA" w:rsidP="00AB1763">
      <w:pPr>
        <w:spacing w:after="0" w:line="276" w:lineRule="auto"/>
        <w:jc w:val="both"/>
        <w:rPr>
          <w:b/>
          <w:bCs/>
          <w:color w:val="276DBB" w:themeColor="text2" w:themeTint="B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EB7054" w14:paraId="5B899D97" w14:textId="77777777" w:rsidTr="007E3312">
        <w:tc>
          <w:tcPr>
            <w:tcW w:w="4675" w:type="dxa"/>
          </w:tcPr>
          <w:p w14:paraId="37134189" w14:textId="77777777" w:rsidR="00EB7054" w:rsidRDefault="00EB7054" w:rsidP="00AB1763">
            <w:pPr>
              <w:spacing w:line="276" w:lineRule="auto"/>
              <w:jc w:val="both"/>
              <w:rPr>
                <w:b/>
                <w:bCs/>
                <w:color w:val="276DBB" w:themeColor="text2" w:themeTint="BF"/>
              </w:rPr>
            </w:pPr>
          </w:p>
        </w:tc>
        <w:tc>
          <w:tcPr>
            <w:tcW w:w="4675" w:type="dxa"/>
          </w:tcPr>
          <w:p w14:paraId="73DA5D1C" w14:textId="4015246A" w:rsidR="00EB7054" w:rsidRDefault="00EB7054" w:rsidP="00EB7054">
            <w:pPr>
              <w:spacing w:line="276" w:lineRule="auto"/>
              <w:jc w:val="both"/>
              <w:rPr>
                <w:color w:val="000000" w:themeColor="text1"/>
                <w:sz w:val="20"/>
                <w:szCs w:val="20"/>
              </w:rPr>
            </w:pPr>
            <w:r w:rsidRPr="006929F0">
              <w:rPr>
                <w:color w:val="000000" w:themeColor="text1"/>
                <w:sz w:val="20"/>
                <w:szCs w:val="20"/>
              </w:rPr>
              <w:t>“The SDGs provide a historic moment for companies to take society’s challenges and leverage them as opportunities to enhance business growth and long-term competitiveness.”</w:t>
            </w:r>
          </w:p>
          <w:p w14:paraId="78C5E907" w14:textId="0E14A09D" w:rsidR="00EB7054" w:rsidRPr="006929F0" w:rsidRDefault="00EB7054" w:rsidP="006929F0">
            <w:pPr>
              <w:spacing w:line="276" w:lineRule="auto"/>
              <w:jc w:val="right"/>
              <w:rPr>
                <w:color w:val="000000" w:themeColor="text1"/>
                <w:sz w:val="20"/>
                <w:szCs w:val="20"/>
              </w:rPr>
            </w:pPr>
            <w:r w:rsidRPr="006929F0">
              <w:rPr>
                <w:color w:val="000000" w:themeColor="text1"/>
                <w:sz w:val="20"/>
                <w:szCs w:val="20"/>
              </w:rPr>
              <w:t>EY (2017)</w:t>
            </w:r>
          </w:p>
        </w:tc>
      </w:tr>
    </w:tbl>
    <w:p w14:paraId="4121122C" w14:textId="77777777" w:rsidR="00EB7054" w:rsidRPr="00C56601" w:rsidRDefault="00EB7054" w:rsidP="00AB1763">
      <w:pPr>
        <w:spacing w:after="0" w:line="276" w:lineRule="auto"/>
        <w:jc w:val="both"/>
        <w:rPr>
          <w:b/>
          <w:bCs/>
          <w:color w:val="276DBB" w:themeColor="text2" w:themeTint="BF"/>
        </w:rPr>
      </w:pPr>
    </w:p>
    <w:p w14:paraId="611AC15D" w14:textId="4F3944BB" w:rsidR="00DC7AAC" w:rsidRPr="00C56601" w:rsidRDefault="00FF4F6E" w:rsidP="00EE3FCF">
      <w:pPr>
        <w:spacing w:after="0" w:line="276" w:lineRule="auto"/>
        <w:jc w:val="both"/>
      </w:pPr>
      <w:bookmarkStart w:id="38" w:name="_Hlk150094940"/>
      <w:r w:rsidRPr="00C56601">
        <w:t xml:space="preserve">Maximizing SDG finance, </w:t>
      </w:r>
      <w:r w:rsidR="000C4B95" w:rsidRPr="00C56601">
        <w:t>m</w:t>
      </w:r>
      <w:r w:rsidRPr="00C56601">
        <w:t xml:space="preserve">aximizing development finance, </w:t>
      </w:r>
      <w:r w:rsidR="007E3312">
        <w:t>or the “</w:t>
      </w:r>
      <w:r w:rsidRPr="00C56601">
        <w:t>SDG Push</w:t>
      </w:r>
      <w:r w:rsidR="00A47BDE" w:rsidRPr="00C56601">
        <w:t>”</w:t>
      </w:r>
      <w:r w:rsidRPr="00C56601">
        <w:t xml:space="preserve"> are</w:t>
      </w:r>
      <w:r w:rsidR="00557263" w:rsidRPr="00C56601">
        <w:t xml:space="preserve"> </w:t>
      </w:r>
      <w:r w:rsidR="000C4B95" w:rsidRPr="00C56601">
        <w:t xml:space="preserve">different </w:t>
      </w:r>
      <w:r w:rsidR="00DC7AAC" w:rsidRPr="00C56601">
        <w:t>perspectives on</w:t>
      </w:r>
      <w:r w:rsidR="00557263" w:rsidRPr="00C56601">
        <w:t xml:space="preserve"> the concerted efforts of development </w:t>
      </w:r>
      <w:r w:rsidR="000C4B95" w:rsidRPr="00C56601">
        <w:t>partners</w:t>
      </w:r>
      <w:r w:rsidR="00DC7AAC" w:rsidRPr="00C56601">
        <w:t xml:space="preserve"> (governments, International Financial Institutions, NGOs, businesses, etc.)</w:t>
      </w:r>
      <w:r w:rsidR="00557263" w:rsidRPr="00C56601">
        <w:t xml:space="preserve"> to scale up SDG investment and achieve </w:t>
      </w:r>
      <w:r w:rsidR="000C4B95" w:rsidRPr="00C56601">
        <w:t>higher</w:t>
      </w:r>
      <w:r w:rsidR="00557263" w:rsidRPr="00C56601">
        <w:t xml:space="preserve"> development outcomes</w:t>
      </w:r>
      <w:r w:rsidRPr="00C56601">
        <w:t xml:space="preserve">. </w:t>
      </w:r>
      <w:r w:rsidR="00684896">
        <w:t>Existing mechanisms and instruments of f</w:t>
      </w:r>
      <w:r w:rsidR="00195B42" w:rsidRPr="00C56601">
        <w:t xml:space="preserve">inancing of SDGs </w:t>
      </w:r>
      <w:r w:rsidR="00DC7AAC" w:rsidRPr="00C56601">
        <w:t>ha</w:t>
      </w:r>
      <w:r w:rsidR="00684896">
        <w:t>ve</w:t>
      </w:r>
      <w:r w:rsidR="00DC7AAC" w:rsidRPr="00C56601">
        <w:t xml:space="preserve"> </w:t>
      </w:r>
      <w:r w:rsidR="001F297F" w:rsidRPr="00C56601">
        <w:t>generally</w:t>
      </w:r>
      <w:r w:rsidR="00DC7AAC" w:rsidRPr="00C56601">
        <w:t xml:space="preserve"> </w:t>
      </w:r>
      <w:r w:rsidR="006929F0">
        <w:t xml:space="preserve">been </w:t>
      </w:r>
      <w:r w:rsidR="00DC7AAC" w:rsidRPr="00C56601">
        <w:t xml:space="preserve">found to be insufficient to promote </w:t>
      </w:r>
      <w:r w:rsidR="001F297F" w:rsidRPr="00C56601">
        <w:t>higher attainment of the SDGs.</w:t>
      </w:r>
    </w:p>
    <w:p w14:paraId="70811CC1" w14:textId="77777777" w:rsidR="00DC7AAC" w:rsidRPr="00C56601" w:rsidRDefault="00DC7AAC" w:rsidP="00EE3FCF">
      <w:pPr>
        <w:spacing w:after="0" w:line="276" w:lineRule="auto"/>
        <w:jc w:val="both"/>
      </w:pPr>
    </w:p>
    <w:p w14:paraId="6F2AA2D2" w14:textId="501F6D0A" w:rsidR="0061109F" w:rsidRPr="00C56601" w:rsidRDefault="00195B42" w:rsidP="00FF4F6E">
      <w:pPr>
        <w:spacing w:after="0" w:line="276" w:lineRule="auto"/>
        <w:jc w:val="both"/>
      </w:pPr>
      <w:r w:rsidRPr="00C56601">
        <w:t xml:space="preserve">We can divide the SDG finance tools into two broad groups: (1) conventional (such as taxes, subsidies, grants, Eurobonds, etc.) and (2) innovative: SDG bonds, green bonds, innovative taxes, etc. Although conventional SDG finance tools will continue to provide a major portion of development finance, the role of innovative SDG finance tools will become increasingly important. Innovative instruments for financing sustainable development apply to both the public and private sectors. They include many stakeholders: the public and private sectors, the civil sector, the academic community, independent researchers, and social innovators, etc.). </w:t>
      </w:r>
      <w:bookmarkEnd w:id="38"/>
      <w:r w:rsidR="0061109F" w:rsidRPr="00C56601">
        <w:t xml:space="preserve">For a more comprehensive and in depth overview of the conventional and innovative mechanisms, instruments, and sources of SDG finance, we refer to the UNDP study titled </w:t>
      </w:r>
      <w:hyperlink r:id="rId46" w:history="1">
        <w:r w:rsidR="0061109F" w:rsidRPr="00C56601">
          <w:rPr>
            <w:rStyle w:val="Hyperlink"/>
          </w:rPr>
          <w:t>Innovative Mechanisms and Tools for Financing Strategic Documents</w:t>
        </w:r>
      </w:hyperlink>
      <w:r w:rsidR="0061109F" w:rsidRPr="00C56601">
        <w:t>.</w:t>
      </w:r>
      <w:r w:rsidR="00FF4F6E" w:rsidRPr="00C56601">
        <w:t xml:space="preserve"> </w:t>
      </w:r>
      <w:r w:rsidR="006929F0">
        <w:t>Before presenting the various new financing mechanisms and instruments for maximizing SDG finance, we elaborate the national contribution to the One Trillion Dollar Moonshot target.</w:t>
      </w:r>
    </w:p>
    <w:p w14:paraId="47A3BA30" w14:textId="77777777" w:rsidR="0061109F" w:rsidRPr="00C56601" w:rsidRDefault="0061109F" w:rsidP="00EE3FCF">
      <w:pPr>
        <w:spacing w:after="0" w:line="276" w:lineRule="auto"/>
      </w:pPr>
    </w:p>
    <w:p w14:paraId="50A632BC" w14:textId="632DDDB5" w:rsidR="00945463" w:rsidRPr="00C56601" w:rsidRDefault="00010FA9" w:rsidP="00945463">
      <w:pPr>
        <w:pStyle w:val="Heading2"/>
        <w:numPr>
          <w:ilvl w:val="1"/>
          <w:numId w:val="1"/>
        </w:numPr>
        <w:rPr>
          <w:color w:val="0070C0"/>
        </w:rPr>
      </w:pPr>
      <w:bookmarkStart w:id="39" w:name="_Toc157427557"/>
      <w:r w:rsidRPr="00C56601">
        <w:rPr>
          <w:color w:val="0070C0"/>
        </w:rPr>
        <w:t>National Contribution to t</w:t>
      </w:r>
      <w:r w:rsidR="00945463" w:rsidRPr="00C56601">
        <w:rPr>
          <w:color w:val="0070C0"/>
        </w:rPr>
        <w:t>he Trillion Dollar Moonshot</w:t>
      </w:r>
      <w:bookmarkEnd w:id="39"/>
    </w:p>
    <w:p w14:paraId="6F62BC0B" w14:textId="77777777" w:rsidR="00945463" w:rsidRPr="00C56601" w:rsidRDefault="00945463" w:rsidP="00945463"/>
    <w:p w14:paraId="3753A4FA" w14:textId="77777777" w:rsidR="00072A5A" w:rsidRPr="00C56601" w:rsidRDefault="00072A5A" w:rsidP="00072A5A">
      <w:pPr>
        <w:jc w:val="both"/>
      </w:pPr>
      <w:bookmarkStart w:id="40" w:name="_Hlk150095170"/>
      <w:r w:rsidRPr="00C56601">
        <w:t xml:space="preserve">UNDP cooperates with numerous stakeholders to create a sustainable finance architecture. It has called on its partners to join UNDP in its </w:t>
      </w:r>
      <w:hyperlink r:id="rId47" w:history="1">
        <w:r w:rsidRPr="00C56601">
          <w:rPr>
            <w:rStyle w:val="Hyperlink"/>
          </w:rPr>
          <w:t>USD 1 trillion ‘Moonshot’ target</w:t>
        </w:r>
      </w:hyperlink>
      <w:r w:rsidRPr="00C56601">
        <w:t xml:space="preserve"> to help mobilise public and private sector resources towards the SDGs. The Moonshot Target for expansion of resources devoted to higher attainment of SDGs is timely, ambitious, and realistic. However, it requires concerted efforts from the entire ecosystem of public and private finance in implementing ways and investing resources towards SDGs during 2023-2025.</w:t>
      </w:r>
    </w:p>
    <w:bookmarkEnd w:id="40"/>
    <w:p w14:paraId="1EECD095" w14:textId="0EE468E3" w:rsidR="00072A5A" w:rsidRPr="00C56601" w:rsidRDefault="00072A5A" w:rsidP="00072A5A">
      <w:pPr>
        <w:jc w:val="both"/>
        <w:rPr>
          <w:b/>
          <w:bCs/>
          <w:color w:val="0070C0"/>
        </w:rPr>
      </w:pPr>
      <w:r w:rsidRPr="00C56601">
        <w:rPr>
          <w:b/>
          <w:bCs/>
          <w:color w:val="0070C0"/>
        </w:rPr>
        <w:t xml:space="preserve">Simple arithmetic. </w:t>
      </w:r>
      <w:r w:rsidRPr="00C56601">
        <w:t xml:space="preserve">A very simply and indicative share of the North Macedonia’s contribution to the 1 trillion Moonshot target is to calculate the share of country’s GDP in the global GDP. The economy of North Macedonia is only 0.03% of the world GDP, which implies additional USD 300 million for three years (2023, 2024 and 2025), or on average USD 100 million per annum. However, given that the percentage of SDG targets achieved or on track is smaller than the more advanced European economies (Figure </w:t>
      </w:r>
      <w:r w:rsidR="00F42204">
        <w:t>7</w:t>
      </w:r>
      <w:r w:rsidRPr="00C56601">
        <w:t xml:space="preserve">), the economy </w:t>
      </w:r>
      <w:r>
        <w:t>must</w:t>
      </w:r>
      <w:r w:rsidRPr="00C56601">
        <w:t xml:space="preserve"> devote more resources. </w:t>
      </w:r>
    </w:p>
    <w:p w14:paraId="72D8C4A2" w14:textId="36E161CC" w:rsidR="00072A5A" w:rsidRPr="00C56601" w:rsidRDefault="00072A5A" w:rsidP="00072A5A">
      <w:pPr>
        <w:pStyle w:val="Caption"/>
        <w:spacing w:after="0"/>
        <w:rPr>
          <w:i w:val="0"/>
          <w:iCs w:val="0"/>
          <w:sz w:val="22"/>
          <w:szCs w:val="22"/>
        </w:rPr>
      </w:pPr>
      <w:bookmarkStart w:id="41" w:name="_Toc157427582"/>
      <w:r w:rsidRPr="00C56601">
        <w:rPr>
          <w:i w:val="0"/>
          <w:iCs w:val="0"/>
          <w:sz w:val="22"/>
          <w:szCs w:val="22"/>
        </w:rPr>
        <w:t xml:space="preserve">Figure </w:t>
      </w:r>
      <w:r w:rsidRPr="00C56601">
        <w:rPr>
          <w:i w:val="0"/>
          <w:iCs w:val="0"/>
          <w:sz w:val="22"/>
          <w:szCs w:val="22"/>
        </w:rPr>
        <w:fldChar w:fldCharType="begin"/>
      </w:r>
      <w:r w:rsidRPr="00C56601">
        <w:rPr>
          <w:i w:val="0"/>
          <w:iCs w:val="0"/>
          <w:sz w:val="22"/>
          <w:szCs w:val="22"/>
        </w:rPr>
        <w:instrText xml:space="preserve"> SEQ Figure \* ARABIC </w:instrText>
      </w:r>
      <w:r w:rsidRPr="00C56601">
        <w:rPr>
          <w:i w:val="0"/>
          <w:iCs w:val="0"/>
          <w:sz w:val="22"/>
          <w:szCs w:val="22"/>
        </w:rPr>
        <w:fldChar w:fldCharType="separate"/>
      </w:r>
      <w:r w:rsidR="00F42204">
        <w:rPr>
          <w:i w:val="0"/>
          <w:iCs w:val="0"/>
          <w:noProof/>
          <w:sz w:val="22"/>
          <w:szCs w:val="22"/>
        </w:rPr>
        <w:t>7</w:t>
      </w:r>
      <w:r w:rsidRPr="00C56601">
        <w:rPr>
          <w:i w:val="0"/>
          <w:iCs w:val="0"/>
          <w:sz w:val="22"/>
          <w:szCs w:val="22"/>
        </w:rPr>
        <w:fldChar w:fldCharType="end"/>
      </w:r>
      <w:r w:rsidRPr="00C56601">
        <w:rPr>
          <w:i w:val="0"/>
          <w:iCs w:val="0"/>
          <w:sz w:val="22"/>
          <w:szCs w:val="22"/>
        </w:rPr>
        <w:t>. Status of SDG targets by Europe sub-region (percent trend indicators)</w:t>
      </w:r>
      <w:bookmarkEnd w:id="41"/>
    </w:p>
    <w:p w14:paraId="00FC64BB" w14:textId="77777777" w:rsidR="00072A5A" w:rsidRPr="00C56601" w:rsidRDefault="00072A5A" w:rsidP="00072A5A">
      <w:pPr>
        <w:spacing w:after="0" w:line="240" w:lineRule="auto"/>
        <w:jc w:val="both"/>
      </w:pPr>
      <w:r w:rsidRPr="00C56601">
        <w:rPr>
          <w:noProof/>
        </w:rPr>
        <w:drawing>
          <wp:inline distT="0" distB="0" distL="0" distR="0" wp14:anchorId="4D237592" wp14:editId="64623176">
            <wp:extent cx="3640015" cy="2221342"/>
            <wp:effectExtent l="0" t="0" r="0" b="0"/>
            <wp:docPr id="1638899008" name="Picture 1" descr="A graph of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899008" name="Picture 1" descr="A graph of different colored bars&#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53255" cy="2229422"/>
                    </a:xfrm>
                    <a:prstGeom prst="rect">
                      <a:avLst/>
                    </a:prstGeom>
                    <a:noFill/>
                    <a:ln>
                      <a:noFill/>
                    </a:ln>
                  </pic:spPr>
                </pic:pic>
              </a:graphicData>
            </a:graphic>
          </wp:inline>
        </w:drawing>
      </w:r>
      <w:r w:rsidRPr="00C56601">
        <w:fldChar w:fldCharType="begin"/>
      </w:r>
      <w:r w:rsidRPr="00C56601">
        <w:instrText xml:space="preserve"> INCLUDEPICTURE "https://eu-dashboards.sdgindex.org/static/chapters/figure-1-2.webp" \* MERGEFORMATINET </w:instrText>
      </w:r>
      <w:r w:rsidRPr="00C56601">
        <w:fldChar w:fldCharType="separate"/>
      </w:r>
      <w:r w:rsidRPr="00C56601">
        <w:rPr>
          <w:noProof/>
        </w:rPr>
        <mc:AlternateContent>
          <mc:Choice Requires="wps">
            <w:drawing>
              <wp:inline distT="0" distB="0" distL="0" distR="0" wp14:anchorId="26106A63" wp14:editId="5ECE2EBB">
                <wp:extent cx="304800" cy="304800"/>
                <wp:effectExtent l="0" t="0" r="0" b="0"/>
                <wp:docPr id="1886816558" name="AutoShape 1" descr="Figure 1.2 | Status of SDG targets by Europe sub-region (% trend indicator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E030533" id="AutoShape 1" o:spid="_x0000_s1026" alt="Figure 1.2 | Status of SDG targets by Europe sub-region (% trend indicators)"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" filled="f" stroked="f">
                <v:path arrowok="t"/>
                <w10:anchorlock/>
              </v:rect>
            </w:pict>
          </mc:Fallback>
        </mc:AlternateContent>
      </w:r>
      <w:r w:rsidRPr="00C56601">
        <w:fldChar w:fldCharType="end"/>
      </w:r>
    </w:p>
    <w:p w14:paraId="6DB1005F" w14:textId="77777777" w:rsidR="00072A5A" w:rsidRPr="00C56601" w:rsidRDefault="00072A5A" w:rsidP="00072A5A">
      <w:pPr>
        <w:spacing w:after="0" w:line="240" w:lineRule="auto"/>
        <w:jc w:val="both"/>
        <w:rPr>
          <w:sz w:val="20"/>
          <w:szCs w:val="20"/>
        </w:rPr>
      </w:pPr>
      <w:r w:rsidRPr="00C56601">
        <w:rPr>
          <w:sz w:val="20"/>
          <w:szCs w:val="20"/>
        </w:rPr>
        <w:t xml:space="preserve">Source: Europe: </w:t>
      </w:r>
      <w:hyperlink r:id="rId49" w:history="1">
        <w:r w:rsidRPr="00C56601">
          <w:rPr>
            <w:rStyle w:val="Hyperlink"/>
            <w:sz w:val="20"/>
            <w:szCs w:val="20"/>
          </w:rPr>
          <w:t>Sustainable Development Report</w:t>
        </w:r>
      </w:hyperlink>
      <w:r w:rsidRPr="00C56601">
        <w:rPr>
          <w:sz w:val="20"/>
          <w:szCs w:val="20"/>
        </w:rPr>
        <w:t xml:space="preserve"> (2022).</w:t>
      </w:r>
    </w:p>
    <w:p w14:paraId="3A681D52" w14:textId="77777777" w:rsidR="00072A5A" w:rsidRPr="00C56601" w:rsidRDefault="00072A5A" w:rsidP="00072A5A">
      <w:pPr>
        <w:jc w:val="both"/>
        <w:rPr>
          <w:b/>
          <w:bCs/>
          <w:color w:val="0070C0"/>
        </w:rPr>
      </w:pPr>
    </w:p>
    <w:p w14:paraId="4739ABE1" w14:textId="77777777" w:rsidR="00072A5A" w:rsidRDefault="00072A5A" w:rsidP="00072A5A">
      <w:pPr>
        <w:jc w:val="both"/>
        <w:rPr>
          <w:rStyle w:val="cf01"/>
          <w:rFonts w:asciiTheme="majorHAnsi" w:hAnsiTheme="majorHAnsi" w:cstheme="majorHAnsi"/>
          <w:sz w:val="22"/>
          <w:szCs w:val="22"/>
        </w:rPr>
      </w:pPr>
      <w:r>
        <w:rPr>
          <w:b/>
          <w:bCs/>
          <w:color w:val="0070C0"/>
        </w:rPr>
        <w:t>A</w:t>
      </w:r>
      <w:r w:rsidRPr="00C56601">
        <w:rPr>
          <w:b/>
          <w:bCs/>
          <w:color w:val="0070C0"/>
        </w:rPr>
        <w:t>mbitious</w:t>
      </w:r>
      <w:r>
        <w:rPr>
          <w:b/>
          <w:bCs/>
          <w:color w:val="0070C0"/>
        </w:rPr>
        <w:t xml:space="preserve">, but realistic </w:t>
      </w:r>
      <w:r w:rsidRPr="00C56601">
        <w:rPr>
          <w:b/>
          <w:bCs/>
          <w:color w:val="0070C0"/>
        </w:rPr>
        <w:t>target.</w:t>
      </w:r>
      <w:r w:rsidRPr="00C56601">
        <w:t xml:space="preserve"> </w:t>
      </w:r>
      <w:r>
        <w:t xml:space="preserve">A more meaningful </w:t>
      </w:r>
      <w:r w:rsidRPr="00C56601">
        <w:t xml:space="preserve">approach to calculate the national contribution to the Moonshot target </w:t>
      </w:r>
      <w:r>
        <w:t>by following (1)</w:t>
      </w:r>
      <w:r w:rsidRPr="00C56601">
        <w:t xml:space="preserve"> the Macroeconomic Framework agreed between the Government and the International Monetary Fund within the Precautionary and Liquidity Line (PLL) </w:t>
      </w:r>
      <w:r>
        <w:t>and (2) the draft Guidance Note for Country Offices on the UNDP US$1 trillion Moonshot (Including establishing a moonshot and supporting tracking and reporting)</w:t>
      </w:r>
      <w:r w:rsidRPr="00C56601">
        <w:t xml:space="preserve">. </w:t>
      </w:r>
      <w:r w:rsidRPr="00E60DFD">
        <w:rPr>
          <w:rStyle w:val="cf01"/>
          <w:rFonts w:asciiTheme="majorHAnsi" w:hAnsiTheme="majorHAnsi" w:cstheme="majorHAnsi"/>
          <w:sz w:val="22"/>
          <w:szCs w:val="22"/>
        </w:rPr>
        <w:t>CO has mapped out the project-specific finances that can be integrated into the calculation.</w:t>
      </w:r>
      <w:r>
        <w:rPr>
          <w:rStyle w:val="cf01"/>
          <w:rFonts w:asciiTheme="majorHAnsi" w:hAnsiTheme="majorHAnsi" w:cstheme="majorHAnsi"/>
          <w:sz w:val="22"/>
          <w:szCs w:val="22"/>
        </w:rPr>
        <w:t xml:space="preserve"> </w:t>
      </w:r>
    </w:p>
    <w:p w14:paraId="0A83AF75" w14:textId="77777777" w:rsidR="00072A5A" w:rsidRDefault="00072A5A" w:rsidP="00072A5A">
      <w:pPr>
        <w:jc w:val="both"/>
      </w:pPr>
      <w:r w:rsidRPr="007E3312">
        <w:t xml:space="preserve">The UNDP CO as an active development partner has already contacted the Ministry of Finance to aid in developing a separate module on Sustainable Development Goals’ (SDGs) budget tagging and reporting. The SDG budget reporting module that will track the allocation of budgetary resources towards the attainment of the UN 2030 Agenda for Sustainable Development and the sustainable development Goals </w:t>
      </w:r>
      <w:r w:rsidRPr="007E3312">
        <w:lastRenderedPageBreak/>
        <w:t>and Targets. This is an important tool to prioritize and maximize public finance for sustainable development.</w:t>
      </w:r>
    </w:p>
    <w:p w14:paraId="78EED160" w14:textId="42333668" w:rsidR="00072A5A" w:rsidRPr="00C56601" w:rsidRDefault="00072A5A" w:rsidP="00072A5A">
      <w:pPr>
        <w:pStyle w:val="Caption"/>
        <w:spacing w:after="0"/>
        <w:rPr>
          <w:i w:val="0"/>
          <w:iCs w:val="0"/>
          <w:sz w:val="22"/>
          <w:szCs w:val="22"/>
        </w:rPr>
      </w:pPr>
      <w:bookmarkStart w:id="42" w:name="_Toc157427510"/>
      <w:r w:rsidRPr="00C56601">
        <w:rPr>
          <w:i w:val="0"/>
          <w:iCs w:val="0"/>
          <w:sz w:val="22"/>
          <w:szCs w:val="22"/>
        </w:rPr>
        <w:t xml:space="preserve">Table </w:t>
      </w:r>
      <w:r w:rsidRPr="00C56601">
        <w:rPr>
          <w:i w:val="0"/>
          <w:iCs w:val="0"/>
          <w:sz w:val="22"/>
          <w:szCs w:val="22"/>
        </w:rPr>
        <w:fldChar w:fldCharType="begin"/>
      </w:r>
      <w:r w:rsidRPr="00C56601">
        <w:rPr>
          <w:i w:val="0"/>
          <w:iCs w:val="0"/>
          <w:sz w:val="22"/>
          <w:szCs w:val="22"/>
        </w:rPr>
        <w:instrText xml:space="preserve"> SEQ Table \* ARABIC </w:instrText>
      </w:r>
      <w:r w:rsidRPr="00C56601">
        <w:rPr>
          <w:i w:val="0"/>
          <w:iCs w:val="0"/>
          <w:sz w:val="22"/>
          <w:szCs w:val="22"/>
        </w:rPr>
        <w:fldChar w:fldCharType="separate"/>
      </w:r>
      <w:r w:rsidR="00BC6E04">
        <w:rPr>
          <w:i w:val="0"/>
          <w:iCs w:val="0"/>
          <w:noProof/>
          <w:sz w:val="22"/>
          <w:szCs w:val="22"/>
        </w:rPr>
        <w:t>2</w:t>
      </w:r>
      <w:r w:rsidRPr="00C56601">
        <w:rPr>
          <w:i w:val="0"/>
          <w:iCs w:val="0"/>
          <w:sz w:val="22"/>
          <w:szCs w:val="22"/>
        </w:rPr>
        <w:fldChar w:fldCharType="end"/>
      </w:r>
      <w:r w:rsidRPr="00C56601">
        <w:rPr>
          <w:i w:val="0"/>
          <w:iCs w:val="0"/>
          <w:sz w:val="22"/>
          <w:szCs w:val="22"/>
        </w:rPr>
        <w:t>. Better SDG Alignment and Leverage</w:t>
      </w:r>
      <w:r>
        <w:rPr>
          <w:i w:val="0"/>
          <w:iCs w:val="0"/>
          <w:sz w:val="22"/>
          <w:szCs w:val="22"/>
        </w:rPr>
        <w:t xml:space="preserve"> (in USD Billion)</w:t>
      </w:r>
      <w:bookmarkEnd w:id="42"/>
    </w:p>
    <w:tbl>
      <w:tblPr>
        <w:tblStyle w:val="TableGridLight"/>
        <w:tblW w:w="0" w:type="auto"/>
        <w:tblLook w:val="04A0" w:firstRow="1" w:lastRow="0" w:firstColumn="1" w:lastColumn="0" w:noHBand="0" w:noVBand="1"/>
      </w:tblPr>
      <w:tblGrid>
        <w:gridCol w:w="5688"/>
        <w:gridCol w:w="1823"/>
        <w:gridCol w:w="1823"/>
      </w:tblGrid>
      <w:tr w:rsidR="00072A5A" w:rsidRPr="00C56601" w14:paraId="061CE614" w14:textId="77777777" w:rsidTr="00E60DFD">
        <w:tc>
          <w:tcPr>
            <w:tcW w:w="5688" w:type="dxa"/>
          </w:tcPr>
          <w:p w14:paraId="7CE340B7" w14:textId="77777777" w:rsidR="00072A5A" w:rsidRPr="00C56601" w:rsidRDefault="00072A5A" w:rsidP="00E60DFD">
            <w:pPr>
              <w:rPr>
                <w:b/>
                <w:bCs/>
                <w:sz w:val="20"/>
                <w:szCs w:val="20"/>
              </w:rPr>
            </w:pPr>
            <w:r w:rsidRPr="00C56601">
              <w:rPr>
                <w:b/>
                <w:bCs/>
                <w:sz w:val="20"/>
                <w:szCs w:val="20"/>
              </w:rPr>
              <w:t>Better SDG Alignment and Leverage</w:t>
            </w:r>
          </w:p>
        </w:tc>
        <w:tc>
          <w:tcPr>
            <w:tcW w:w="1823" w:type="dxa"/>
          </w:tcPr>
          <w:p w14:paraId="35369B9A" w14:textId="77777777" w:rsidR="00072A5A" w:rsidRPr="00C56601" w:rsidRDefault="00072A5A" w:rsidP="00E60DFD">
            <w:pPr>
              <w:jc w:val="center"/>
              <w:rPr>
                <w:b/>
                <w:bCs/>
                <w:sz w:val="20"/>
                <w:szCs w:val="20"/>
              </w:rPr>
            </w:pPr>
            <w:r>
              <w:rPr>
                <w:b/>
                <w:bCs/>
                <w:sz w:val="20"/>
                <w:szCs w:val="20"/>
              </w:rPr>
              <w:t xml:space="preserve">Implicit Average </w:t>
            </w:r>
            <w:r w:rsidRPr="00C56601">
              <w:rPr>
                <w:b/>
                <w:bCs/>
                <w:sz w:val="20"/>
                <w:szCs w:val="20"/>
              </w:rPr>
              <w:t>Annual amount</w:t>
            </w:r>
            <w:r>
              <w:rPr>
                <w:b/>
                <w:bCs/>
                <w:sz w:val="20"/>
                <w:szCs w:val="20"/>
              </w:rPr>
              <w:t xml:space="preserve"> (in USD billion)</w:t>
            </w:r>
          </w:p>
        </w:tc>
        <w:tc>
          <w:tcPr>
            <w:tcW w:w="1823" w:type="dxa"/>
          </w:tcPr>
          <w:p w14:paraId="0AFC24D0" w14:textId="77777777" w:rsidR="00072A5A" w:rsidRPr="00C56601" w:rsidRDefault="00072A5A" w:rsidP="00E60DFD">
            <w:pPr>
              <w:jc w:val="center"/>
              <w:rPr>
                <w:b/>
                <w:bCs/>
                <w:sz w:val="20"/>
                <w:szCs w:val="20"/>
              </w:rPr>
            </w:pPr>
            <w:r w:rsidRPr="00C56601">
              <w:rPr>
                <w:b/>
                <w:bCs/>
                <w:sz w:val="20"/>
                <w:szCs w:val="20"/>
              </w:rPr>
              <w:t>Three-year amount</w:t>
            </w:r>
            <w:r>
              <w:rPr>
                <w:b/>
                <w:bCs/>
                <w:sz w:val="20"/>
                <w:szCs w:val="20"/>
              </w:rPr>
              <w:t xml:space="preserve"> (in USD billion)</w:t>
            </w:r>
          </w:p>
        </w:tc>
      </w:tr>
      <w:tr w:rsidR="00072A5A" w:rsidRPr="00C56601" w14:paraId="1F4E3508" w14:textId="77777777" w:rsidTr="00E60DFD">
        <w:tc>
          <w:tcPr>
            <w:tcW w:w="5688" w:type="dxa"/>
          </w:tcPr>
          <w:p w14:paraId="1DB34EAE" w14:textId="77777777" w:rsidR="00072A5A" w:rsidRPr="00C56601" w:rsidRDefault="00072A5A" w:rsidP="00E60DFD">
            <w:pPr>
              <w:rPr>
                <w:i/>
                <w:iCs/>
                <w:sz w:val="20"/>
                <w:szCs w:val="20"/>
              </w:rPr>
            </w:pPr>
            <w:r w:rsidRPr="00C56601">
              <w:rPr>
                <w:i/>
                <w:iCs/>
                <w:sz w:val="20"/>
                <w:szCs w:val="20"/>
              </w:rPr>
              <w:t>Better SDG Alignment: Generating enhanced impact of existing sources of public and private finance for the SDGs</w:t>
            </w:r>
          </w:p>
        </w:tc>
        <w:tc>
          <w:tcPr>
            <w:tcW w:w="1823" w:type="dxa"/>
          </w:tcPr>
          <w:p w14:paraId="02DE32A5" w14:textId="77777777" w:rsidR="00072A5A" w:rsidRPr="00C56601" w:rsidRDefault="00072A5A" w:rsidP="00E60DFD">
            <w:pPr>
              <w:jc w:val="right"/>
              <w:rPr>
                <w:i/>
                <w:iCs/>
                <w:sz w:val="20"/>
                <w:szCs w:val="20"/>
              </w:rPr>
            </w:pPr>
          </w:p>
        </w:tc>
        <w:tc>
          <w:tcPr>
            <w:tcW w:w="1823" w:type="dxa"/>
          </w:tcPr>
          <w:p w14:paraId="214997B8" w14:textId="77777777" w:rsidR="00072A5A" w:rsidRPr="00C56601" w:rsidRDefault="00072A5A" w:rsidP="00E60DFD">
            <w:pPr>
              <w:jc w:val="right"/>
              <w:rPr>
                <w:i/>
                <w:iCs/>
                <w:sz w:val="20"/>
                <w:szCs w:val="20"/>
              </w:rPr>
            </w:pPr>
          </w:p>
        </w:tc>
      </w:tr>
      <w:tr w:rsidR="00072A5A" w:rsidRPr="00C56601" w14:paraId="6586F0F0" w14:textId="77777777" w:rsidTr="00E60DFD">
        <w:tc>
          <w:tcPr>
            <w:tcW w:w="5688" w:type="dxa"/>
          </w:tcPr>
          <w:p w14:paraId="16552D74" w14:textId="77777777" w:rsidR="00072A5A" w:rsidRPr="00C56601" w:rsidRDefault="00072A5A" w:rsidP="00E60DFD">
            <w:pPr>
              <w:rPr>
                <w:sz w:val="20"/>
                <w:szCs w:val="20"/>
              </w:rPr>
            </w:pPr>
            <w:r w:rsidRPr="00C56601">
              <w:rPr>
                <w:sz w:val="20"/>
                <w:szCs w:val="20"/>
              </w:rPr>
              <w:t xml:space="preserve">  Public finance</w:t>
            </w:r>
            <w:r>
              <w:rPr>
                <w:sz w:val="20"/>
                <w:szCs w:val="20"/>
              </w:rPr>
              <w:t xml:space="preserve"> (public expenditure aligned with SDGs)</w:t>
            </w:r>
          </w:p>
        </w:tc>
        <w:tc>
          <w:tcPr>
            <w:tcW w:w="1823" w:type="dxa"/>
          </w:tcPr>
          <w:p w14:paraId="5CBD81CC" w14:textId="77777777" w:rsidR="00072A5A" w:rsidRPr="00C56601" w:rsidRDefault="00072A5A" w:rsidP="00E60DFD">
            <w:pPr>
              <w:jc w:val="right"/>
              <w:rPr>
                <w:sz w:val="20"/>
                <w:szCs w:val="20"/>
              </w:rPr>
            </w:pPr>
            <w:r>
              <w:rPr>
                <w:sz w:val="20"/>
                <w:szCs w:val="20"/>
              </w:rPr>
              <w:t>0.833</w:t>
            </w:r>
          </w:p>
        </w:tc>
        <w:tc>
          <w:tcPr>
            <w:tcW w:w="1823" w:type="dxa"/>
          </w:tcPr>
          <w:p w14:paraId="6D2953F6" w14:textId="77777777" w:rsidR="00072A5A" w:rsidRPr="00C56601" w:rsidRDefault="00072A5A" w:rsidP="00E60DFD">
            <w:pPr>
              <w:jc w:val="right"/>
              <w:rPr>
                <w:sz w:val="20"/>
                <w:szCs w:val="20"/>
              </w:rPr>
            </w:pPr>
            <w:r>
              <w:rPr>
                <w:sz w:val="20"/>
                <w:szCs w:val="20"/>
              </w:rPr>
              <w:t>2.500</w:t>
            </w:r>
          </w:p>
        </w:tc>
      </w:tr>
      <w:tr w:rsidR="00072A5A" w:rsidRPr="00C56601" w14:paraId="1C55AD6C" w14:textId="77777777" w:rsidTr="00E60DFD">
        <w:tc>
          <w:tcPr>
            <w:tcW w:w="5688" w:type="dxa"/>
          </w:tcPr>
          <w:p w14:paraId="04D608AC" w14:textId="77777777" w:rsidR="00072A5A" w:rsidRPr="00C56601" w:rsidRDefault="00072A5A" w:rsidP="00E60DFD">
            <w:pPr>
              <w:rPr>
                <w:sz w:val="20"/>
                <w:szCs w:val="20"/>
              </w:rPr>
            </w:pPr>
            <w:r w:rsidRPr="00C56601">
              <w:rPr>
                <w:sz w:val="20"/>
                <w:szCs w:val="20"/>
              </w:rPr>
              <w:t xml:space="preserve">  Private capital</w:t>
            </w:r>
          </w:p>
        </w:tc>
        <w:tc>
          <w:tcPr>
            <w:tcW w:w="1823" w:type="dxa"/>
          </w:tcPr>
          <w:p w14:paraId="22176E07" w14:textId="77777777" w:rsidR="00072A5A" w:rsidRPr="00C56601" w:rsidRDefault="00072A5A" w:rsidP="00E60DFD">
            <w:pPr>
              <w:jc w:val="right"/>
              <w:rPr>
                <w:sz w:val="20"/>
                <w:szCs w:val="20"/>
              </w:rPr>
            </w:pPr>
            <w:r>
              <w:rPr>
                <w:sz w:val="20"/>
                <w:szCs w:val="20"/>
              </w:rPr>
              <w:t>0.090</w:t>
            </w:r>
          </w:p>
        </w:tc>
        <w:tc>
          <w:tcPr>
            <w:tcW w:w="1823" w:type="dxa"/>
          </w:tcPr>
          <w:p w14:paraId="77E4B737" w14:textId="77777777" w:rsidR="00072A5A" w:rsidRPr="00C56601" w:rsidRDefault="00072A5A" w:rsidP="00E60DFD">
            <w:pPr>
              <w:jc w:val="right"/>
              <w:rPr>
                <w:sz w:val="20"/>
                <w:szCs w:val="20"/>
              </w:rPr>
            </w:pPr>
            <w:r w:rsidRPr="00C56601">
              <w:rPr>
                <w:sz w:val="20"/>
                <w:szCs w:val="20"/>
              </w:rPr>
              <w:t>0.</w:t>
            </w:r>
            <w:r>
              <w:rPr>
                <w:sz w:val="20"/>
                <w:szCs w:val="20"/>
              </w:rPr>
              <w:t>270</w:t>
            </w:r>
          </w:p>
        </w:tc>
      </w:tr>
      <w:tr w:rsidR="00072A5A" w:rsidRPr="00C56601" w14:paraId="5B26F28A" w14:textId="77777777" w:rsidTr="00E60DFD">
        <w:tc>
          <w:tcPr>
            <w:tcW w:w="5688" w:type="dxa"/>
          </w:tcPr>
          <w:p w14:paraId="1DEAC634" w14:textId="77777777" w:rsidR="00072A5A" w:rsidRPr="00C56601" w:rsidRDefault="00072A5A" w:rsidP="00E60DFD">
            <w:pPr>
              <w:rPr>
                <w:i/>
                <w:iCs/>
                <w:sz w:val="20"/>
                <w:szCs w:val="20"/>
              </w:rPr>
            </w:pPr>
            <w:r w:rsidRPr="00C56601">
              <w:rPr>
                <w:i/>
                <w:iCs/>
                <w:sz w:val="20"/>
                <w:szCs w:val="20"/>
              </w:rPr>
              <w:t>Leverage – Generating new resources of public and private finance for the SDGs</w:t>
            </w:r>
          </w:p>
        </w:tc>
        <w:tc>
          <w:tcPr>
            <w:tcW w:w="1823" w:type="dxa"/>
          </w:tcPr>
          <w:p w14:paraId="52C274AF" w14:textId="77777777" w:rsidR="00072A5A" w:rsidRPr="00C56601" w:rsidRDefault="00072A5A" w:rsidP="00E60DFD">
            <w:pPr>
              <w:jc w:val="right"/>
              <w:rPr>
                <w:i/>
                <w:iCs/>
                <w:sz w:val="20"/>
                <w:szCs w:val="20"/>
              </w:rPr>
            </w:pPr>
          </w:p>
        </w:tc>
        <w:tc>
          <w:tcPr>
            <w:tcW w:w="1823" w:type="dxa"/>
          </w:tcPr>
          <w:p w14:paraId="09033578" w14:textId="77777777" w:rsidR="00072A5A" w:rsidRPr="00C56601" w:rsidRDefault="00072A5A" w:rsidP="00E60DFD">
            <w:pPr>
              <w:jc w:val="right"/>
              <w:rPr>
                <w:i/>
                <w:iCs/>
                <w:sz w:val="20"/>
                <w:szCs w:val="20"/>
              </w:rPr>
            </w:pPr>
          </w:p>
        </w:tc>
      </w:tr>
      <w:tr w:rsidR="00072A5A" w:rsidRPr="00C56601" w14:paraId="4BB15CF5" w14:textId="77777777" w:rsidTr="00E60DFD">
        <w:tc>
          <w:tcPr>
            <w:tcW w:w="5688" w:type="dxa"/>
          </w:tcPr>
          <w:p w14:paraId="00338FF3" w14:textId="77777777" w:rsidR="00072A5A" w:rsidRPr="00C56601" w:rsidRDefault="00072A5A" w:rsidP="00E60DFD">
            <w:pPr>
              <w:rPr>
                <w:sz w:val="20"/>
                <w:szCs w:val="20"/>
              </w:rPr>
            </w:pPr>
            <w:r w:rsidRPr="00C56601">
              <w:rPr>
                <w:sz w:val="20"/>
                <w:szCs w:val="20"/>
              </w:rPr>
              <w:t xml:space="preserve">  Public finance</w:t>
            </w:r>
          </w:p>
        </w:tc>
        <w:tc>
          <w:tcPr>
            <w:tcW w:w="1823" w:type="dxa"/>
          </w:tcPr>
          <w:p w14:paraId="5525FB66" w14:textId="77777777" w:rsidR="00072A5A" w:rsidRPr="00C56601" w:rsidRDefault="00072A5A" w:rsidP="00E60DFD">
            <w:pPr>
              <w:jc w:val="right"/>
              <w:rPr>
                <w:sz w:val="20"/>
                <w:szCs w:val="20"/>
              </w:rPr>
            </w:pPr>
            <w:r>
              <w:rPr>
                <w:sz w:val="20"/>
                <w:szCs w:val="20"/>
              </w:rPr>
              <w:t>0.120</w:t>
            </w:r>
          </w:p>
        </w:tc>
        <w:tc>
          <w:tcPr>
            <w:tcW w:w="1823" w:type="dxa"/>
          </w:tcPr>
          <w:p w14:paraId="2D2A52A5" w14:textId="77777777" w:rsidR="00072A5A" w:rsidRPr="00C56601" w:rsidRDefault="00072A5A" w:rsidP="00E60DFD">
            <w:pPr>
              <w:jc w:val="right"/>
              <w:rPr>
                <w:sz w:val="20"/>
                <w:szCs w:val="20"/>
              </w:rPr>
            </w:pPr>
            <w:r w:rsidRPr="00C56601">
              <w:rPr>
                <w:sz w:val="20"/>
                <w:szCs w:val="20"/>
              </w:rPr>
              <w:t>0.36</w:t>
            </w:r>
            <w:r>
              <w:rPr>
                <w:sz w:val="20"/>
                <w:szCs w:val="20"/>
              </w:rPr>
              <w:t>0</w:t>
            </w:r>
          </w:p>
        </w:tc>
      </w:tr>
      <w:tr w:rsidR="00072A5A" w:rsidRPr="00C56601" w14:paraId="5CF9D5A9" w14:textId="77777777" w:rsidTr="00E60DFD">
        <w:tc>
          <w:tcPr>
            <w:tcW w:w="5688" w:type="dxa"/>
          </w:tcPr>
          <w:p w14:paraId="6E47F4C0" w14:textId="77777777" w:rsidR="00072A5A" w:rsidRPr="00C56601" w:rsidRDefault="00072A5A" w:rsidP="00E60DFD">
            <w:pPr>
              <w:rPr>
                <w:sz w:val="20"/>
                <w:szCs w:val="20"/>
              </w:rPr>
            </w:pPr>
            <w:r w:rsidRPr="00C56601">
              <w:rPr>
                <w:sz w:val="20"/>
                <w:szCs w:val="20"/>
              </w:rPr>
              <w:t xml:space="preserve">  Private capital (</w:t>
            </w:r>
            <w:r>
              <w:rPr>
                <w:sz w:val="20"/>
                <w:szCs w:val="20"/>
              </w:rPr>
              <w:t xml:space="preserve">scaling up SDG-aligned </w:t>
            </w:r>
            <w:r w:rsidRPr="00C56601">
              <w:rPr>
                <w:sz w:val="20"/>
                <w:szCs w:val="20"/>
              </w:rPr>
              <w:t>investment)</w:t>
            </w:r>
          </w:p>
        </w:tc>
        <w:tc>
          <w:tcPr>
            <w:tcW w:w="1823" w:type="dxa"/>
          </w:tcPr>
          <w:p w14:paraId="59854A1B" w14:textId="77777777" w:rsidR="00072A5A" w:rsidRPr="00C56601" w:rsidRDefault="00072A5A" w:rsidP="00E60DFD">
            <w:pPr>
              <w:tabs>
                <w:tab w:val="center" w:pos="803"/>
                <w:tab w:val="right" w:pos="1607"/>
              </w:tabs>
              <w:jc w:val="right"/>
              <w:rPr>
                <w:sz w:val="20"/>
                <w:szCs w:val="20"/>
              </w:rPr>
            </w:pPr>
            <w:r>
              <w:rPr>
                <w:sz w:val="20"/>
                <w:szCs w:val="20"/>
              </w:rPr>
              <w:t>0.247</w:t>
            </w:r>
          </w:p>
        </w:tc>
        <w:tc>
          <w:tcPr>
            <w:tcW w:w="1823" w:type="dxa"/>
          </w:tcPr>
          <w:p w14:paraId="6978DE6C" w14:textId="77777777" w:rsidR="00072A5A" w:rsidRPr="00C56601" w:rsidRDefault="00072A5A" w:rsidP="00E60DFD">
            <w:pPr>
              <w:jc w:val="right"/>
              <w:rPr>
                <w:sz w:val="20"/>
                <w:szCs w:val="20"/>
              </w:rPr>
            </w:pPr>
            <w:r>
              <w:rPr>
                <w:sz w:val="20"/>
                <w:szCs w:val="20"/>
              </w:rPr>
              <w:t>0.740</w:t>
            </w:r>
          </w:p>
        </w:tc>
      </w:tr>
      <w:tr w:rsidR="00072A5A" w:rsidRPr="00C56601" w14:paraId="070E2540" w14:textId="77777777" w:rsidTr="00E60DFD">
        <w:tc>
          <w:tcPr>
            <w:tcW w:w="5688" w:type="dxa"/>
          </w:tcPr>
          <w:p w14:paraId="77869AF8" w14:textId="77777777" w:rsidR="00072A5A" w:rsidRPr="00C56601" w:rsidRDefault="00072A5A" w:rsidP="00E60DFD">
            <w:pPr>
              <w:jc w:val="right"/>
              <w:rPr>
                <w:sz w:val="20"/>
                <w:szCs w:val="20"/>
              </w:rPr>
            </w:pPr>
            <w:r w:rsidRPr="00C56601">
              <w:rPr>
                <w:sz w:val="20"/>
                <w:szCs w:val="20"/>
              </w:rPr>
              <w:t>Total:</w:t>
            </w:r>
          </w:p>
        </w:tc>
        <w:tc>
          <w:tcPr>
            <w:tcW w:w="1823" w:type="dxa"/>
          </w:tcPr>
          <w:p w14:paraId="01F40F7D" w14:textId="65EFA3E0" w:rsidR="00072A5A" w:rsidRPr="00C56601" w:rsidRDefault="00072A5A" w:rsidP="00E60DFD">
            <w:pPr>
              <w:tabs>
                <w:tab w:val="center" w:pos="803"/>
                <w:tab w:val="left" w:pos="1274"/>
                <w:tab w:val="right" w:pos="1607"/>
              </w:tabs>
              <w:jc w:val="right"/>
              <w:rPr>
                <w:sz w:val="20"/>
                <w:szCs w:val="20"/>
              </w:rPr>
            </w:pPr>
            <w:r>
              <w:rPr>
                <w:sz w:val="20"/>
                <w:szCs w:val="20"/>
              </w:rPr>
              <w:tab/>
              <w:t>1.29</w:t>
            </w:r>
            <w:r w:rsidR="00DF1091">
              <w:rPr>
                <w:sz w:val="20"/>
                <w:szCs w:val="20"/>
              </w:rPr>
              <w:t>0</w:t>
            </w:r>
          </w:p>
        </w:tc>
        <w:tc>
          <w:tcPr>
            <w:tcW w:w="1823" w:type="dxa"/>
          </w:tcPr>
          <w:p w14:paraId="0B02D766" w14:textId="3BD6A1C5" w:rsidR="00072A5A" w:rsidRPr="00C56601" w:rsidRDefault="00072A5A" w:rsidP="00E60DFD">
            <w:pPr>
              <w:jc w:val="right"/>
              <w:rPr>
                <w:sz w:val="20"/>
                <w:szCs w:val="20"/>
              </w:rPr>
            </w:pPr>
            <w:r>
              <w:rPr>
                <w:sz w:val="20"/>
                <w:szCs w:val="20"/>
              </w:rPr>
              <w:t>3</w:t>
            </w:r>
            <w:r w:rsidRPr="00C56601">
              <w:rPr>
                <w:sz w:val="20"/>
                <w:szCs w:val="20"/>
              </w:rPr>
              <w:t>.</w:t>
            </w:r>
            <w:r>
              <w:rPr>
                <w:sz w:val="20"/>
                <w:szCs w:val="20"/>
              </w:rPr>
              <w:t>870</w:t>
            </w:r>
          </w:p>
        </w:tc>
      </w:tr>
    </w:tbl>
    <w:p w14:paraId="44B7AD68" w14:textId="77777777" w:rsidR="00072A5A" w:rsidRPr="00C56601" w:rsidRDefault="00072A5A" w:rsidP="00072A5A">
      <w:pPr>
        <w:pStyle w:val="Caption"/>
        <w:spacing w:after="0"/>
        <w:rPr>
          <w:i w:val="0"/>
          <w:iCs w:val="0"/>
          <w:sz w:val="22"/>
          <w:szCs w:val="22"/>
        </w:rPr>
      </w:pPr>
    </w:p>
    <w:p w14:paraId="55843CF5" w14:textId="7E6CE15C" w:rsidR="00072A5A" w:rsidRPr="00C56601" w:rsidRDefault="00072A5A" w:rsidP="00072A5A">
      <w:pPr>
        <w:spacing w:after="0" w:line="276" w:lineRule="auto"/>
        <w:jc w:val="both"/>
      </w:pPr>
      <w:r w:rsidRPr="00C56601">
        <w:t>To conclude, the least North Macedonia could do to scale up SDG investment and increase SDG finance in 2023-2025 is to devote additional USD 3</w:t>
      </w:r>
      <w:r w:rsidR="007E3312">
        <w:t>.9 Billion</w:t>
      </w:r>
      <w:r w:rsidRPr="00C56601">
        <w:t xml:space="preserve"> of SDG-aligned public and private resources.</w:t>
      </w:r>
    </w:p>
    <w:p w14:paraId="731BCFA9" w14:textId="77777777" w:rsidR="008B7E50" w:rsidRPr="00C56601" w:rsidRDefault="008B7E50" w:rsidP="008B7E50">
      <w:pPr>
        <w:spacing w:after="0" w:line="276" w:lineRule="auto"/>
        <w:jc w:val="both"/>
      </w:pPr>
    </w:p>
    <w:p w14:paraId="20A68241" w14:textId="6B5CD813" w:rsidR="008C31FA" w:rsidRPr="00C56601" w:rsidRDefault="008C31FA" w:rsidP="008C31FA">
      <w:pPr>
        <w:pStyle w:val="Heading2"/>
        <w:numPr>
          <w:ilvl w:val="1"/>
          <w:numId w:val="1"/>
        </w:numPr>
        <w:rPr>
          <w:color w:val="0070C0"/>
        </w:rPr>
      </w:pPr>
      <w:bookmarkStart w:id="43" w:name="_Toc157427558"/>
      <w:r w:rsidRPr="00C56601">
        <w:rPr>
          <w:color w:val="0070C0"/>
        </w:rPr>
        <w:t xml:space="preserve">Domestic Public </w:t>
      </w:r>
      <w:r w:rsidR="00F305D8">
        <w:rPr>
          <w:color w:val="0070C0"/>
        </w:rPr>
        <w:t>Sources (Public Finance)</w:t>
      </w:r>
      <w:bookmarkEnd w:id="43"/>
    </w:p>
    <w:p w14:paraId="6F018B24" w14:textId="77777777" w:rsidR="008C31FA" w:rsidRPr="00C56601" w:rsidRDefault="008C31FA" w:rsidP="00EE3FCF">
      <w:pPr>
        <w:spacing w:after="0" w:line="276" w:lineRule="auto"/>
        <w:rPr>
          <w:color w:val="0070C0"/>
        </w:rPr>
      </w:pPr>
    </w:p>
    <w:p w14:paraId="7F8E4634" w14:textId="2DA368BB" w:rsidR="00195B42" w:rsidRPr="00C56601" w:rsidRDefault="007E3312" w:rsidP="008C31FA">
      <w:pPr>
        <w:pStyle w:val="Heading3"/>
        <w:numPr>
          <w:ilvl w:val="2"/>
          <w:numId w:val="1"/>
        </w:numPr>
        <w:rPr>
          <w:color w:val="0070C0"/>
        </w:rPr>
      </w:pPr>
      <w:bookmarkStart w:id="44" w:name="_Toc157427559"/>
      <w:r>
        <w:rPr>
          <w:color w:val="0070C0"/>
        </w:rPr>
        <w:t>Tax4SDGs</w:t>
      </w:r>
      <w:bookmarkEnd w:id="44"/>
    </w:p>
    <w:p w14:paraId="655964F4" w14:textId="77777777" w:rsidR="008C31FA" w:rsidRPr="00C56601" w:rsidRDefault="008C31FA" w:rsidP="00EE3FCF">
      <w:pPr>
        <w:spacing w:after="0" w:line="276" w:lineRule="auto"/>
        <w:jc w:val="both"/>
      </w:pPr>
    </w:p>
    <w:p w14:paraId="16040B38" w14:textId="77777777" w:rsidR="00784F56" w:rsidRPr="00784F56" w:rsidRDefault="00784F56" w:rsidP="00F305D8">
      <w:pPr>
        <w:spacing w:line="276" w:lineRule="auto"/>
        <w:jc w:val="both"/>
      </w:pPr>
      <w:r w:rsidRPr="00784F56">
        <w:t>Taxation is at the heart of the social contract and widely considered as a social super-power. Taxes provide a tool for tackling socio-economic inequalities through redistribution policies, addressing the large infrastructure needs, supporting the green and digital transformation, improving the quality of human capital, reducing gender inequality, etc. There is an array of newly taxes that can speed up the progress towards SDGs, in addition to their favourable fiscal effect. In a nutshell, modern governments increasingly align tax and fiscal policies with the SDGs. We focus on innovative tax instruments and tax administration capacities.</w:t>
      </w:r>
    </w:p>
    <w:p w14:paraId="09F93EF6" w14:textId="77777777" w:rsidR="00784F56" w:rsidRPr="00784F56" w:rsidRDefault="00784F56" w:rsidP="00784F56">
      <w:pPr>
        <w:ind w:firstLine="720"/>
        <w:jc w:val="both"/>
        <w:rPr>
          <w:b/>
          <w:bCs/>
          <w:i/>
          <w:iCs/>
          <w:color w:val="0070C0"/>
        </w:rPr>
      </w:pPr>
      <w:r w:rsidRPr="00784F56">
        <w:rPr>
          <w:b/>
          <w:bCs/>
          <w:i/>
          <w:iCs/>
          <w:color w:val="0070C0"/>
        </w:rPr>
        <w:t>Tax4SDGs</w:t>
      </w:r>
    </w:p>
    <w:p w14:paraId="4513ABF8" w14:textId="060FEA03" w:rsidR="00784F56" w:rsidRPr="00784F56" w:rsidRDefault="00784F56" w:rsidP="00F305D8">
      <w:pPr>
        <w:spacing w:line="276" w:lineRule="auto"/>
        <w:jc w:val="both"/>
        <w:rPr>
          <w:b/>
          <w:bCs/>
          <w:i/>
          <w:iCs/>
        </w:rPr>
      </w:pPr>
      <w:r w:rsidRPr="00784F56">
        <w:t xml:space="preserve">Many academics and some of the IFIs have explicitly advocated for </w:t>
      </w:r>
      <w:r w:rsidRPr="00784F56">
        <w:rPr>
          <w:color w:val="0070C0"/>
        </w:rPr>
        <w:t>progressive taxation</w:t>
      </w:r>
      <w:r w:rsidRPr="00784F56">
        <w:t xml:space="preserve"> mostly of personal income (e.g., Stiglitz, 2023) and – to a lesser degree – of corporate income (e.g., Varoufakis, 2023). Progressive taxation has both a higher revenue mobilization potential and a stronger element of fairness, although the latter is a somewhat controversial and normative topic. Varoufakis (2023) argues for introducing progressive corporate tax to combat “the highly professional industry for tax evasion”, whereas Payne (2023) supports an appeal to patriotic millionaires.</w:t>
      </w:r>
      <w:r w:rsidR="007D16CA">
        <w:t xml:space="preserve"> The </w:t>
      </w:r>
      <w:r w:rsidR="007D16CA" w:rsidRPr="007D16CA">
        <w:t xml:space="preserve">global </w:t>
      </w:r>
      <w:r w:rsidR="007D16CA">
        <w:t>p</w:t>
      </w:r>
      <w:r w:rsidR="007D16CA" w:rsidRPr="007D16CA">
        <w:t xml:space="preserve">rogramme </w:t>
      </w:r>
      <w:r w:rsidR="007D16CA">
        <w:t>“</w:t>
      </w:r>
      <w:r w:rsidR="007D16CA" w:rsidRPr="007D16CA">
        <w:t>Tax Inspectors without Borders</w:t>
      </w:r>
      <w:r w:rsidR="007D16CA">
        <w:t>” led by OECD and UNDP also provides a valuable initiative for increased domestic revenue mobilization.</w:t>
      </w:r>
    </w:p>
    <w:p w14:paraId="1EB92ABA" w14:textId="77777777" w:rsidR="00784F56" w:rsidRPr="00784F56" w:rsidRDefault="00784F56" w:rsidP="00F305D8">
      <w:pPr>
        <w:spacing w:line="276" w:lineRule="auto"/>
        <w:jc w:val="both"/>
      </w:pPr>
      <w:r w:rsidRPr="00784F56">
        <w:rPr>
          <w:color w:val="0070C0"/>
        </w:rPr>
        <w:t xml:space="preserve">The carbon tax </w:t>
      </w:r>
      <w:r w:rsidRPr="00784F56">
        <w:t xml:space="preserve">is another innovative, non-traditional tax imposed on users of carbon fuels to compensate for environmental degradation. The carbon content of every fossil fuel, from lignite to heating oil and natural gas, is almost precisely established. A carbon tax would therefore impose a greater burden on the </w:t>
      </w:r>
      <w:r w:rsidRPr="00784F56">
        <w:lastRenderedPageBreak/>
        <w:t xml:space="preserve">use of coal compared to the use of natural gas. A carbon tax is a direct tax levied on large industrial corporations for greenhouse gas emissions </w:t>
      </w:r>
      <w:proofErr w:type="gramStart"/>
      <w:r w:rsidRPr="00784F56">
        <w:t>in order to</w:t>
      </w:r>
      <w:proofErr w:type="gramEnd"/>
      <w:r w:rsidRPr="00784F56">
        <w:t xml:space="preserve"> encourage them to move towards cleaner and more efficient production. The carbon tax in Europe is applied by Sweden, Denmark, the United Kingdom, and the EU itself. The European Union's “carbon tax” is essentially the EU’s Emissions Trading System. The entry into the EU also implies participation in the EU emissions trading system. The Energy Tax Directive will be reformed to improve incentives for switching fuel, and a Carbon Border Adjustment Mechanism (CBAM) will impose a fee on the carbon content (World Bank, 2023).</w:t>
      </w:r>
    </w:p>
    <w:p w14:paraId="40A8EF0C" w14:textId="77777777" w:rsidR="00784F56" w:rsidRPr="00784F56" w:rsidRDefault="00784F56" w:rsidP="00F305D8">
      <w:pPr>
        <w:spacing w:line="276" w:lineRule="auto"/>
        <w:jc w:val="both"/>
      </w:pPr>
      <w:r w:rsidRPr="00784F56">
        <w:rPr>
          <w:color w:val="0070C0"/>
        </w:rPr>
        <w:t xml:space="preserve">Health (or ‘sin’) taxes </w:t>
      </w:r>
      <w:r w:rsidRPr="00784F56">
        <w:t>are a group of excise taxes that have a direct impact on people’s health, by reducing the consumption of health-harming goods and by altering the producer behaviour. UNDP not only provides support in designing effective ‘health taxes’, but also on addressing illicit trade and tax evasion locally, particularly in terms of improved tax administration. This is entirely aligned with health-related SDGs, in particular, SDG #3 and Universal Health Coverage efforts. Although consumption of alcoholic drinks is well below the EU average and the Western Balkan peer countries, it requires vigilant approach by tax policymakers.</w:t>
      </w:r>
    </w:p>
    <w:p w14:paraId="2BE77228" w14:textId="77777777" w:rsidR="00784F56" w:rsidRPr="00784F56" w:rsidRDefault="00784F56" w:rsidP="00F305D8">
      <w:pPr>
        <w:spacing w:line="276" w:lineRule="auto"/>
        <w:jc w:val="both"/>
      </w:pPr>
      <w:r w:rsidRPr="00784F56">
        <w:rPr>
          <w:i/>
          <w:iCs/>
          <w:color w:val="0070C0"/>
        </w:rPr>
        <w:t>Higher excise taxes on tobacco products</w:t>
      </w:r>
      <w:r w:rsidRPr="00784F56">
        <w:t>. North Macedonia is among the countries in the World Health Organization (WHO) European Region with the highest prevalence of tobacco smoking. According to a new Behavioural and Cultural Insights (BCI) survey, almost half of the adult population (45.4%) are regular tobacco smokers, 70% of whom took up the habit before the age of 21 (WHO, 2023). It is shocking that “only 17% of the population believe that the citizens disapprove of smoking”. It is not surprising therefore that tobacco taxation is seen as one of the priority policy measures worldwide. The country needs a very aggressive plan for scaling up excise taxes on tobacco products and alcoholic beverages. This must be accompanied by a fierce fight against illicit trade and tax evasion, which is easier said than done.</w:t>
      </w:r>
    </w:p>
    <w:p w14:paraId="6913375B" w14:textId="77777777" w:rsidR="00784F56" w:rsidRPr="00784F56" w:rsidRDefault="00784F56" w:rsidP="00F305D8">
      <w:pPr>
        <w:spacing w:line="276" w:lineRule="auto"/>
        <w:jc w:val="both"/>
      </w:pPr>
      <w:r w:rsidRPr="00784F56">
        <w:rPr>
          <w:i/>
          <w:iCs/>
          <w:color w:val="0070C0"/>
        </w:rPr>
        <w:t>Tax on Sugar Sweetened Beverages (SSB) and products with a high sugar content</w:t>
      </w:r>
      <w:r w:rsidRPr="00784F56">
        <w:t xml:space="preserve"> (the so-called “Sugar Tax”). Belgium, Finland, France, Hungary, Ireland, Latvia, Monaco, Norway, and Portugal are among the first EU members which have already introduced a tax on sugar sweetened beverages. The idea is to discourage the consumption of beverages, the continuous consumption of which almost inevitably leads to poor health outcomes, such as diabetes and obesity (</w:t>
      </w:r>
      <w:bookmarkStart w:id="45" w:name="_Int_9T8c7Qo7"/>
      <w:bookmarkStart w:id="46" w:name="_Int_J4rOftrB"/>
      <w:r w:rsidRPr="00784F56">
        <w:t>e.g., UNDP</w:t>
      </w:r>
      <w:bookmarkEnd w:id="45"/>
      <w:r w:rsidRPr="00784F56">
        <w:t xml:space="preserve"> Tax4SDGs Initiative </w:t>
      </w:r>
      <w:bookmarkEnd w:id="46"/>
      <w:r w:rsidRPr="00784F56">
        <w:t>Offer on Taxation and Health, 2023). For illustration, when the United Kingdom introduced a SSB tax in 2017, the producer behaviour changed. The production was refocused to newly produced goods containing sugar just below the tax threshold.</w:t>
      </w:r>
    </w:p>
    <w:p w14:paraId="213F7B32" w14:textId="77777777" w:rsidR="00784F56" w:rsidRPr="00784F56" w:rsidRDefault="00784F56" w:rsidP="00F305D8">
      <w:pPr>
        <w:spacing w:line="276" w:lineRule="auto"/>
        <w:jc w:val="both"/>
      </w:pPr>
      <w:r w:rsidRPr="00784F56">
        <w:t xml:space="preserve">The first two innovative approaches to taxation are closely aligned with the </w:t>
      </w:r>
      <w:hyperlink r:id="rId50" w:history="1">
        <w:r w:rsidRPr="00784F56">
          <w:t>UNDP Tax4SDGs initiative</w:t>
        </w:r>
      </w:hyperlink>
      <w:r w:rsidRPr="00784F56">
        <w:t>. They call for a national health tax reform strategy, aligned with the SDG Taxation Framework, which would provide both financing and better attainment of SDGs.</w:t>
      </w:r>
    </w:p>
    <w:p w14:paraId="1B65FE8A" w14:textId="7015BC09" w:rsidR="00784F56" w:rsidRPr="00784F56" w:rsidRDefault="00784F56" w:rsidP="00F305D8">
      <w:pPr>
        <w:spacing w:line="276" w:lineRule="auto"/>
        <w:jc w:val="both"/>
      </w:pPr>
      <w:r w:rsidRPr="00784F56">
        <w:rPr>
          <w:color w:val="0070C0"/>
        </w:rPr>
        <w:t>Tax on financial transactions.</w:t>
      </w:r>
      <w:r w:rsidRPr="00784F56">
        <w:t xml:space="preserve"> This tax is recommended for certain types of transactions, such as the purchase of stocks and bonds. The Financial transaction tax is applied in Spain, France, Great Britain, Belgium, Switzerland, Poland, Finland, and Italy. For example, Italy imposes a tax on financial transactions of 0.1% and 0.2%, financial investments in stocks and shares, and the purchase of financial derivatives. Spain imposes a 0.2% financial transaction tax on the purchase of shares in companies whose market capitalization exceeds EUR 1 billion. </w:t>
      </w:r>
    </w:p>
    <w:p w14:paraId="32E2B1A6" w14:textId="0CDB91B2" w:rsidR="00784F56" w:rsidRPr="00784F56" w:rsidRDefault="00784F56" w:rsidP="00F305D8">
      <w:pPr>
        <w:spacing w:line="276" w:lineRule="auto"/>
        <w:jc w:val="both"/>
      </w:pPr>
      <w:r w:rsidRPr="00784F56">
        <w:rPr>
          <w:color w:val="0070C0"/>
        </w:rPr>
        <w:lastRenderedPageBreak/>
        <w:t>Digital Services Tax (Digital Taxation).</w:t>
      </w:r>
      <w:r w:rsidRPr="00784F56">
        <w:t xml:space="preserve"> According to the current system of taxation of digital services, multinational companies pay profit tax at the location of production, but not where the consumers of digital services are located. The principle of taxation of digital services according to the location of consumers is incorporated in Pillar One of the initiatives by the Organization for Economic Cooperation and Development (OECD), which is coordinated in 130 countries. By the end of 2023, a new solution for taxing digital services (for example, the use of Netflix services) according to the location of consumers is also expected.</w:t>
      </w:r>
    </w:p>
    <w:p w14:paraId="3DC60C04" w14:textId="5E7106D8" w:rsidR="00784F56" w:rsidRPr="00784F56" w:rsidRDefault="00784F56" w:rsidP="00F305D8">
      <w:pPr>
        <w:spacing w:line="276" w:lineRule="auto"/>
        <w:jc w:val="both"/>
      </w:pPr>
      <w:r w:rsidRPr="00784F56">
        <w:t xml:space="preserve">Although it is not a classic tax, but rather a non-tax fee, in this category we will also mention </w:t>
      </w:r>
      <w:r w:rsidRPr="00784F56">
        <w:rPr>
          <w:color w:val="0070C0"/>
        </w:rPr>
        <w:t>the charge for traffic congestion</w:t>
      </w:r>
      <w:r w:rsidRPr="00784F56">
        <w:t xml:space="preserve"> in the city centre (city congestion charge). Vehicle entry into central London is subject to a daily charge of £15 Monday to Friday 7 am to 6 pm and 12 pm to 6 pm on weekends and holidays. If the vehicle does not meet the ultra-low harmful gas emission standards, an additional fee is paid. In this way, traffic jams and ambient air pollution in the central city area are prevented.</w:t>
      </w:r>
    </w:p>
    <w:p w14:paraId="71C7BFB4" w14:textId="77777777" w:rsidR="00784F56" w:rsidRPr="00784F56" w:rsidRDefault="00784F56" w:rsidP="00784F56">
      <w:pPr>
        <w:jc w:val="both"/>
      </w:pPr>
    </w:p>
    <w:p w14:paraId="17125CD2" w14:textId="77777777" w:rsidR="00784F56" w:rsidRPr="00784F56" w:rsidRDefault="00784F56" w:rsidP="00784F56">
      <w:pPr>
        <w:jc w:val="both"/>
        <w:rPr>
          <w:i/>
          <w:iCs/>
          <w:color w:val="0070C0"/>
        </w:rPr>
      </w:pPr>
      <w:r w:rsidRPr="00784F56">
        <w:rPr>
          <w:i/>
          <w:iCs/>
          <w:color w:val="0070C0"/>
        </w:rPr>
        <w:tab/>
        <w:t xml:space="preserve">Tax administration </w:t>
      </w:r>
      <w:proofErr w:type="gramStart"/>
      <w:r w:rsidRPr="00784F56">
        <w:rPr>
          <w:i/>
          <w:iCs/>
          <w:color w:val="0070C0"/>
        </w:rPr>
        <w:t>capacities</w:t>
      </w:r>
      <w:proofErr w:type="gramEnd"/>
    </w:p>
    <w:p w14:paraId="59DC75A1" w14:textId="77777777" w:rsidR="00784F56" w:rsidRPr="00784F56" w:rsidRDefault="00784F56" w:rsidP="00F305D8">
      <w:pPr>
        <w:spacing w:line="276" w:lineRule="auto"/>
        <w:jc w:val="both"/>
      </w:pPr>
      <w:r w:rsidRPr="00784F56">
        <w:t>It is crucial to join multilateral efforts and address Base Erosion and Profit Shifting (BEPS) concerns, tackle potential avoidance of corporate income and withholding taxes as well as personal income by high-income individuals. Moreover, the UNDP-OECD initiative “Tax Inspectors Without Borders” holds strong potential to increase the revenue mobilization capacities of modern tax administrations by stronger international cooperation. The tax reform that has commenced, based on the Tax Reform Strategy 2021-2025 - which is just one segment of the overall Public Finance Management reform - is aimed at ensuring fairer, more efficient, transparent, and modern tax system, based on digital technologies and innovations in taxation, geared towards attaining accelerated, inclusive, and sustainable economic growth. The concept envisages upgrading of tax administration capacities and adamant fight against the informal economy.</w:t>
      </w:r>
    </w:p>
    <w:p w14:paraId="4AC086B1" w14:textId="2871833F" w:rsidR="00195B42" w:rsidRPr="00C56601" w:rsidRDefault="00195B42" w:rsidP="00EE3FCF">
      <w:pPr>
        <w:spacing w:after="0" w:line="276" w:lineRule="auto"/>
      </w:pPr>
    </w:p>
    <w:p w14:paraId="25C4C87B" w14:textId="6CA01232" w:rsidR="00315DA1" w:rsidRPr="00C56601" w:rsidRDefault="00F86B00" w:rsidP="008C31FA">
      <w:pPr>
        <w:pStyle w:val="Heading3"/>
        <w:numPr>
          <w:ilvl w:val="2"/>
          <w:numId w:val="1"/>
        </w:numPr>
        <w:rPr>
          <w:color w:val="0070C0"/>
        </w:rPr>
      </w:pPr>
      <w:bookmarkStart w:id="47" w:name="_Toc157427560"/>
      <w:r>
        <w:rPr>
          <w:color w:val="0070C0"/>
        </w:rPr>
        <w:t>Bonds4SDGs</w:t>
      </w:r>
      <w:bookmarkEnd w:id="47"/>
    </w:p>
    <w:p w14:paraId="1483534A" w14:textId="77777777" w:rsidR="008C31FA" w:rsidRPr="00C56601" w:rsidRDefault="008C31FA" w:rsidP="00EE3FCF">
      <w:pPr>
        <w:spacing w:after="0" w:line="276" w:lineRule="auto"/>
        <w:jc w:val="both"/>
        <w:rPr>
          <w:b/>
          <w:bCs/>
          <w:color w:val="00B050"/>
        </w:rPr>
      </w:pPr>
    </w:p>
    <w:p w14:paraId="1FA755D6" w14:textId="25A4EB28" w:rsidR="00315DA1" w:rsidRPr="00C56601" w:rsidRDefault="00315DA1" w:rsidP="00EE3FCF">
      <w:pPr>
        <w:spacing w:after="0" w:line="276" w:lineRule="auto"/>
        <w:jc w:val="both"/>
      </w:pPr>
      <w:r w:rsidRPr="00C56601">
        <w:rPr>
          <w:b/>
          <w:bCs/>
          <w:color w:val="00B050"/>
        </w:rPr>
        <w:t>Green bonds</w:t>
      </w:r>
      <w:r w:rsidRPr="00C56601">
        <w:rPr>
          <w:color w:val="00B050"/>
        </w:rPr>
        <w:t xml:space="preserve"> </w:t>
      </w:r>
      <w:r w:rsidR="00784F56" w:rsidRPr="00784F56">
        <w:t>are offered to encourage projects that support the Green Agenda and the Green Transition. As outlined by ICMA (2018, p. 4), the acceptable areas for issuing green bonds include the following: “renewable energy sources; energy efficiency; pollution prevention and control; environmentally sustainable management of living natural resources and land use; conservation of terrestrial and aquatic biodiversity; clean transport; sustainable water and wastewater management; climate change adaptation; products, production technologies and processes adapted to the circular economy.” Types of issuers include companies (corporations), utilities, municipalities, sovereign issuers (governments), and multilateral development institutions. These bonds presumably carry a ‘</w:t>
      </w:r>
      <w:proofErr w:type="spellStart"/>
      <w:r w:rsidR="00784F56" w:rsidRPr="00784F56">
        <w:t>greenium</w:t>
      </w:r>
      <w:proofErr w:type="spellEnd"/>
      <w:r w:rsidR="00784F56" w:rsidRPr="00784F56">
        <w:t>’, a lower coupon interest rate accepted by responsible investors.</w:t>
      </w:r>
    </w:p>
    <w:p w14:paraId="42962EA2" w14:textId="77777777" w:rsidR="00315DA1" w:rsidRPr="00C56601" w:rsidRDefault="00315DA1" w:rsidP="00EE3FCF">
      <w:pPr>
        <w:spacing w:after="0" w:line="276" w:lineRule="auto"/>
        <w:ind w:left="720"/>
        <w:jc w:val="both"/>
      </w:pPr>
    </w:p>
    <w:p w14:paraId="78E4127F" w14:textId="2CEBA9CD" w:rsidR="00315DA1" w:rsidRPr="00C56601" w:rsidRDefault="00315DA1" w:rsidP="00EE3FCF">
      <w:pPr>
        <w:spacing w:after="0" w:line="276" w:lineRule="auto"/>
        <w:jc w:val="both"/>
      </w:pPr>
      <w:r w:rsidRPr="00C56601">
        <w:rPr>
          <w:b/>
          <w:bCs/>
          <w:color w:val="276DBB" w:themeColor="text2" w:themeTint="BF"/>
        </w:rPr>
        <w:t>Social bonds</w:t>
      </w:r>
      <w:r w:rsidRPr="00C56601">
        <w:t xml:space="preserve"> </w:t>
      </w:r>
      <w:r w:rsidR="00784F56" w:rsidRPr="00784F56">
        <w:t xml:space="preserve">(social impact bonds; social benefit or social purpose bonds) are designed to respond to a wide range of social needs. Their role is to provide capital for projects that contribute to socio-economic progress and empowerment - such as: basic infrastructure; access to basic services; allocation of social housing; job creation and programs designed to prevent and/or reduce unemployment resulting from </w:t>
      </w:r>
      <w:r w:rsidR="00784F56" w:rsidRPr="00784F56">
        <w:lastRenderedPageBreak/>
        <w:t xml:space="preserve">economic downturns, including through the potential effect of SME financing and microfinance; food security and sustainable food systems; socio-economic progress and empowerment. Existing issues of social bonds range from </w:t>
      </w:r>
      <w:r w:rsidR="00784F56">
        <w:t xml:space="preserve">EUR </w:t>
      </w:r>
      <w:r w:rsidR="00784F56" w:rsidRPr="00784F56">
        <w:t xml:space="preserve">300 million to </w:t>
      </w:r>
      <w:r w:rsidR="00784F56">
        <w:t xml:space="preserve">EUR </w:t>
      </w:r>
      <w:r w:rsidR="00784F56" w:rsidRPr="00784F56">
        <w:t>1 billion</w:t>
      </w:r>
      <w:r w:rsidRPr="00C56601">
        <w:t>.</w:t>
      </w:r>
    </w:p>
    <w:p w14:paraId="60A698A2" w14:textId="77777777" w:rsidR="00315DA1" w:rsidRPr="00C56601" w:rsidRDefault="00315DA1" w:rsidP="00EE3FCF">
      <w:pPr>
        <w:spacing w:after="0" w:line="276" w:lineRule="auto"/>
        <w:ind w:left="720"/>
        <w:jc w:val="both"/>
      </w:pPr>
    </w:p>
    <w:p w14:paraId="5DE6F2D6" w14:textId="4DD2082C" w:rsidR="00315DA1" w:rsidRPr="00C56601" w:rsidRDefault="00315DA1" w:rsidP="00EE3FCF">
      <w:pPr>
        <w:spacing w:after="0" w:line="276" w:lineRule="auto"/>
        <w:jc w:val="both"/>
      </w:pPr>
      <w:r w:rsidRPr="00C56601">
        <w:rPr>
          <w:b/>
          <w:bCs/>
          <w:color w:val="276DBB" w:themeColor="text2" w:themeTint="BF"/>
        </w:rPr>
        <w:t>Gender bonds.</w:t>
      </w:r>
      <w:r w:rsidRPr="00C56601">
        <w:t xml:space="preserve"> A special type of social bond is the gender-related bond, also known as a gender-focused bond, or simply, a gender bond. Its general goal is to reduce gender inequality and support women's participation in economic life. There are several types of gender bonds, for which (1) the sole purpose may be to promote gender equality; (2) bonds for which the promotion of gender equality is a goal together with other sustainable development goals; (3) a sustainable bond, for which the advancement of gender equality is a goal along with other goals; (4) Bond linked to performance targets related to gender equality.</w:t>
      </w:r>
      <w:r w:rsidRPr="00C56601">
        <w:tab/>
        <w:t xml:space="preserve"> </w:t>
      </w:r>
    </w:p>
    <w:p w14:paraId="05DCCEF9" w14:textId="1E5197E6" w:rsidR="00315DA1" w:rsidRPr="00C56601" w:rsidRDefault="00315DA1" w:rsidP="00EE3FCF">
      <w:pPr>
        <w:spacing w:after="0" w:line="276" w:lineRule="auto"/>
        <w:jc w:val="both"/>
      </w:pPr>
      <w:r w:rsidRPr="00C56601">
        <w:rPr>
          <w:b/>
          <w:bCs/>
          <w:color w:val="276DBB" w:themeColor="text2" w:themeTint="BF"/>
        </w:rPr>
        <w:t>Sustainability bonds or SDG</w:t>
      </w:r>
      <w:r w:rsidR="008C31FA" w:rsidRPr="00C56601">
        <w:rPr>
          <w:b/>
          <w:bCs/>
          <w:color w:val="276DBB" w:themeColor="text2" w:themeTint="BF"/>
        </w:rPr>
        <w:t>-linked</w:t>
      </w:r>
      <w:r w:rsidRPr="00C56601">
        <w:rPr>
          <w:b/>
          <w:bCs/>
          <w:color w:val="276DBB" w:themeColor="text2" w:themeTint="BF"/>
        </w:rPr>
        <w:t xml:space="preserve"> bonds</w:t>
      </w:r>
      <w:r w:rsidRPr="00C56601">
        <w:t xml:space="preserve">. Sustainability bonds ("Sustainable" bonds; Sustainability-related bonds; Development bonds; Development impact bonds) are financial instruments with predefined targets for the Sustainable Development Goals, which the issuer </w:t>
      </w:r>
      <w:proofErr w:type="gramStart"/>
      <w:r w:rsidRPr="00C56601">
        <w:t>has to</w:t>
      </w:r>
      <w:proofErr w:type="gramEnd"/>
      <w:r w:rsidRPr="00C56601">
        <w:t xml:space="preserve"> achieve by a certain critical date ("critical date with potential penalty premium”). If the targets are not met, the issuer is obliged to pay a "penalty premium". This mechanism is absent in conventional green bonds. The coupon interest rate is increased by certain penalty percentage points (for example, 0.5 percentage points above the coupon interest rate).          </w:t>
      </w:r>
    </w:p>
    <w:p w14:paraId="37A38A1F" w14:textId="77777777" w:rsidR="00315DA1" w:rsidRPr="00C56601" w:rsidRDefault="00315DA1" w:rsidP="00EE3FCF">
      <w:pPr>
        <w:spacing w:after="0" w:line="276" w:lineRule="auto"/>
        <w:ind w:left="720"/>
        <w:jc w:val="both"/>
      </w:pPr>
    </w:p>
    <w:p w14:paraId="4D999898" w14:textId="6F5E69F2" w:rsidR="00315DA1" w:rsidRPr="00C56601" w:rsidRDefault="00315DA1" w:rsidP="00EE3FCF">
      <w:pPr>
        <w:spacing w:after="0" w:line="276" w:lineRule="auto"/>
        <w:jc w:val="both"/>
      </w:pPr>
      <w:r w:rsidRPr="00C56601">
        <w:rPr>
          <w:b/>
          <w:bCs/>
          <w:color w:val="276DBB" w:themeColor="text2" w:themeTint="BF"/>
        </w:rPr>
        <w:t>Inflation-Indexed Bonds.</w:t>
      </w:r>
      <w:r w:rsidRPr="00C56601">
        <w:t xml:space="preserve"> </w:t>
      </w:r>
      <w:proofErr w:type="gramStart"/>
      <w:r w:rsidRPr="00C56601">
        <w:t>In order to</w:t>
      </w:r>
      <w:proofErr w:type="gramEnd"/>
      <w:r w:rsidRPr="00C56601">
        <w:t xml:space="preserve"> provide protection against loss of purchasing power, especially during periods of increased inflation rate, some governments also issue inflation-indexed bonds.   </w:t>
      </w:r>
    </w:p>
    <w:p w14:paraId="187FD05E" w14:textId="77777777" w:rsidR="00315DA1" w:rsidRPr="00C56601" w:rsidRDefault="00315DA1" w:rsidP="00EE3FCF">
      <w:pPr>
        <w:spacing w:after="0" w:line="276" w:lineRule="auto"/>
        <w:ind w:left="720"/>
        <w:jc w:val="both"/>
      </w:pPr>
    </w:p>
    <w:p w14:paraId="38A7F8FF" w14:textId="4098CD9C" w:rsidR="00195B42" w:rsidRPr="00C56601" w:rsidRDefault="00E44ACF" w:rsidP="00EE3FCF">
      <w:pPr>
        <w:spacing w:after="0" w:line="276" w:lineRule="auto"/>
        <w:jc w:val="both"/>
      </w:pPr>
      <w:r w:rsidRPr="00C56601">
        <w:rPr>
          <w:b/>
          <w:bCs/>
          <w:color w:val="276DBB" w:themeColor="text2" w:themeTint="BF"/>
        </w:rPr>
        <w:t>Diaspora bonds.</w:t>
      </w:r>
      <w:r w:rsidRPr="00C56601">
        <w:rPr>
          <w:rFonts w:ascii="Calibri Light" w:hAnsi="Calibri Light" w:cs="Calibri Light"/>
        </w:rPr>
        <w:t xml:space="preserve"> Appealing to the patriotic feelings, many governments and municipalities issue specialized bonds intended for the diaspora. </w:t>
      </w:r>
      <w:proofErr w:type="gramStart"/>
      <w:r w:rsidRPr="00C56601">
        <w:rPr>
          <w:rFonts w:ascii="Calibri Light" w:hAnsi="Calibri Light" w:cs="Calibri Light"/>
        </w:rPr>
        <w:t>In order to</w:t>
      </w:r>
      <w:proofErr w:type="gramEnd"/>
      <w:r w:rsidRPr="00C56601">
        <w:rPr>
          <w:rFonts w:ascii="Calibri Light" w:hAnsi="Calibri Light" w:cs="Calibri Light"/>
        </w:rPr>
        <w:t xml:space="preserve"> maximize participation and responsiveness, the purpose, that is, the use of bond proceeds, is usually also determined. For example, bonds for the diaspora to finance the reconstruction and modernization of the Tetovo-Gostivar regional road. Because of the sensitive patriotic moment, the coupon interest rate on these bonds is usually lower than that of traditional government bonds of the same maturity, thus reducing the government's costs. Israel and India already have a tradition of issuing diaspora bonds.</w:t>
      </w:r>
    </w:p>
    <w:p w14:paraId="47FFBCD2" w14:textId="0EA1945F" w:rsidR="00195B42" w:rsidRPr="00C56601" w:rsidRDefault="00195B42" w:rsidP="00EE3FCF">
      <w:pPr>
        <w:spacing w:after="0" w:line="276" w:lineRule="auto"/>
      </w:pPr>
    </w:p>
    <w:p w14:paraId="0AB29045" w14:textId="7D2F812B" w:rsidR="00E44ACF" w:rsidRDefault="005E0FE9" w:rsidP="00EE3FCF">
      <w:pPr>
        <w:spacing w:after="0" w:line="276" w:lineRule="auto"/>
        <w:jc w:val="both"/>
        <w:rPr>
          <w:rFonts w:ascii="Calibri Light" w:hAnsi="Calibri Light" w:cs="Calibri Light"/>
        </w:rPr>
      </w:pPr>
      <w:r>
        <w:rPr>
          <w:b/>
          <w:bCs/>
          <w:color w:val="276DBB" w:themeColor="text2" w:themeTint="BF"/>
        </w:rPr>
        <w:t>Green or social m</w:t>
      </w:r>
      <w:r w:rsidR="00E44ACF" w:rsidRPr="00C56601">
        <w:rPr>
          <w:b/>
          <w:bCs/>
          <w:color w:val="276DBB" w:themeColor="text2" w:themeTint="BF"/>
        </w:rPr>
        <w:t xml:space="preserve">unicipal bonds. </w:t>
      </w:r>
      <w:r w:rsidR="00E44ACF" w:rsidRPr="00C56601">
        <w:rPr>
          <w:rFonts w:ascii="Calibri Light" w:hAnsi="Calibri Light" w:cs="Calibri Light"/>
        </w:rPr>
        <w:t>The municipal bond is one of the modalities for long-term borrowing of municipalities. Its amount should be in accordance with the borrowing limits. The issuance procedure is regulated and depends on the prior consent of the Ministry of Finance and the Securities Commission. Inflows from municipal bonds can be used for general purposes or specific capital expenditures (local investments).</w:t>
      </w:r>
    </w:p>
    <w:p w14:paraId="6A244AEC" w14:textId="77777777" w:rsidR="005E0FE9" w:rsidRDefault="005E0FE9" w:rsidP="00EE3FCF">
      <w:pPr>
        <w:spacing w:after="0" w:line="276" w:lineRule="auto"/>
        <w:jc w:val="both"/>
        <w:rPr>
          <w:rFonts w:ascii="Calibri Light" w:hAnsi="Calibri Light" w:cs="Calibri Light"/>
        </w:rPr>
      </w:pPr>
    </w:p>
    <w:p w14:paraId="169B426F" w14:textId="013FC65D" w:rsidR="005E0FE9" w:rsidRPr="004849C5" w:rsidRDefault="005E0FE9" w:rsidP="005E0FE9">
      <w:pPr>
        <w:pStyle w:val="Caption"/>
        <w:shd w:val="clear" w:color="auto" w:fill="004E6C" w:themeFill="accent2" w:themeFillShade="80"/>
        <w:spacing w:after="0"/>
        <w:rPr>
          <w:rFonts w:asciiTheme="majorHAnsi" w:eastAsiaTheme="majorEastAsia" w:hAnsiTheme="majorHAnsi" w:cstheme="majorBidi"/>
          <w:i w:val="0"/>
          <w:iCs w:val="0"/>
          <w:color w:val="FFFFFF" w:themeColor="background1"/>
          <w:sz w:val="22"/>
          <w:szCs w:val="22"/>
        </w:rPr>
      </w:pPr>
      <w:bookmarkStart w:id="48" w:name="_Toc157427503"/>
      <w:r w:rsidRPr="004849C5">
        <w:rPr>
          <w:i w:val="0"/>
          <w:iCs w:val="0"/>
          <w:color w:val="FFFFFF" w:themeColor="background1"/>
          <w:sz w:val="22"/>
          <w:szCs w:val="22"/>
        </w:rPr>
        <w:t xml:space="preserve">Box </w:t>
      </w:r>
      <w:r w:rsidRPr="004849C5">
        <w:rPr>
          <w:i w:val="0"/>
          <w:iCs w:val="0"/>
          <w:color w:val="FFFFFF" w:themeColor="background1"/>
          <w:sz w:val="22"/>
          <w:szCs w:val="22"/>
        </w:rPr>
        <w:fldChar w:fldCharType="begin"/>
      </w:r>
      <w:r w:rsidRPr="004849C5">
        <w:rPr>
          <w:i w:val="0"/>
          <w:iCs w:val="0"/>
          <w:color w:val="FFFFFF" w:themeColor="background1"/>
          <w:sz w:val="22"/>
          <w:szCs w:val="22"/>
        </w:rPr>
        <w:instrText xml:space="preserve"> SEQ Box \* ARABIC </w:instrText>
      </w:r>
      <w:r w:rsidRPr="004849C5">
        <w:rPr>
          <w:i w:val="0"/>
          <w:iCs w:val="0"/>
          <w:color w:val="FFFFFF" w:themeColor="background1"/>
          <w:sz w:val="22"/>
          <w:szCs w:val="22"/>
        </w:rPr>
        <w:fldChar w:fldCharType="separate"/>
      </w:r>
      <w:r w:rsidR="00041D0A" w:rsidRPr="004849C5">
        <w:rPr>
          <w:i w:val="0"/>
          <w:iCs w:val="0"/>
          <w:noProof/>
          <w:color w:val="FFFFFF" w:themeColor="background1"/>
          <w:sz w:val="22"/>
          <w:szCs w:val="22"/>
        </w:rPr>
        <w:t>3</w:t>
      </w:r>
      <w:r w:rsidRPr="004849C5">
        <w:rPr>
          <w:i w:val="0"/>
          <w:iCs w:val="0"/>
          <w:color w:val="FFFFFF" w:themeColor="background1"/>
          <w:sz w:val="22"/>
          <w:szCs w:val="22"/>
        </w:rPr>
        <w:fldChar w:fldCharType="end"/>
      </w:r>
      <w:r w:rsidRPr="004849C5">
        <w:rPr>
          <w:i w:val="0"/>
          <w:iCs w:val="0"/>
          <w:color w:val="FFFFFF" w:themeColor="background1"/>
          <w:sz w:val="22"/>
          <w:szCs w:val="22"/>
        </w:rPr>
        <w:t xml:space="preserve">. </w:t>
      </w:r>
      <w:r w:rsidRPr="004849C5">
        <w:rPr>
          <w:rFonts w:asciiTheme="majorHAnsi" w:eastAsiaTheme="majorEastAsia" w:hAnsiTheme="majorHAnsi" w:cstheme="majorBidi"/>
          <w:i w:val="0"/>
          <w:iCs w:val="0"/>
          <w:color w:val="FFFFFF" w:themeColor="background1"/>
          <w:sz w:val="22"/>
          <w:szCs w:val="22"/>
        </w:rPr>
        <w:t>Some ideas for scaling up SDG Finance</w:t>
      </w:r>
      <w:bookmarkEnd w:id="48"/>
    </w:p>
    <w:p w14:paraId="60E41D25" w14:textId="77777777" w:rsidR="006C0F8B" w:rsidRDefault="006C0F8B" w:rsidP="005E0FE9">
      <w:pPr>
        <w:shd w:val="clear" w:color="auto" w:fill="C4EEFF" w:themeFill="accent2" w:themeFillTint="33"/>
        <w:spacing w:after="0"/>
        <w:jc w:val="both"/>
        <w:rPr>
          <w:rFonts w:asciiTheme="majorHAnsi" w:eastAsiaTheme="majorEastAsia" w:hAnsiTheme="majorHAnsi" w:cstheme="majorBidi"/>
          <w:color w:val="073662" w:themeColor="accent1" w:themeShade="7F"/>
          <w:sz w:val="20"/>
          <w:szCs w:val="20"/>
        </w:rPr>
      </w:pPr>
    </w:p>
    <w:p w14:paraId="25DFE151" w14:textId="2CC37173" w:rsidR="005E0FE9" w:rsidRDefault="005E0FE9" w:rsidP="005E0FE9">
      <w:pPr>
        <w:shd w:val="clear" w:color="auto" w:fill="C4EEFF" w:themeFill="accent2" w:themeFillTint="33"/>
        <w:spacing w:after="0"/>
        <w:jc w:val="both"/>
        <w:rPr>
          <w:rFonts w:ascii="Calibri Light" w:hAnsi="Calibri Light" w:cs="Calibri Light"/>
          <w:sz w:val="20"/>
          <w:szCs w:val="20"/>
        </w:rPr>
      </w:pPr>
      <w:r w:rsidRPr="005E0FE9">
        <w:rPr>
          <w:rFonts w:asciiTheme="majorHAnsi" w:eastAsiaTheme="majorEastAsia" w:hAnsiTheme="majorHAnsi" w:cstheme="majorBidi"/>
          <w:color w:val="073662" w:themeColor="accent1" w:themeShade="7F"/>
          <w:sz w:val="20"/>
          <w:szCs w:val="20"/>
        </w:rPr>
        <w:t>Municipal Sustainability-Linked Bond</w:t>
      </w:r>
      <w:r>
        <w:rPr>
          <w:rFonts w:asciiTheme="majorHAnsi" w:eastAsiaTheme="majorEastAsia" w:hAnsiTheme="majorHAnsi" w:cstheme="majorBidi"/>
          <w:color w:val="073662" w:themeColor="accent1" w:themeShade="7F"/>
          <w:sz w:val="20"/>
          <w:szCs w:val="20"/>
        </w:rPr>
        <w:t xml:space="preserve">. </w:t>
      </w:r>
      <w:r w:rsidRPr="005E0FE9">
        <w:rPr>
          <w:rFonts w:ascii="Calibri Light" w:hAnsi="Calibri Light" w:cs="Calibri Light"/>
          <w:sz w:val="20"/>
          <w:szCs w:val="20"/>
        </w:rPr>
        <w:t xml:space="preserve">Croatia’s capital city took on debt through its umbrella firm Zagreb Holding. It took on the obligation to invest in green energy, water supply, and waste management. EUR 305 million 5-year sustainability-linked bond (SLB), issued by </w:t>
      </w:r>
      <w:proofErr w:type="spellStart"/>
      <w:r w:rsidRPr="005E0FE9">
        <w:rPr>
          <w:rFonts w:ascii="Calibri Light" w:hAnsi="Calibri Light" w:cs="Calibri Light"/>
          <w:sz w:val="20"/>
          <w:szCs w:val="20"/>
        </w:rPr>
        <w:t>Zagrebački</w:t>
      </w:r>
      <w:proofErr w:type="spellEnd"/>
      <w:r w:rsidRPr="005E0FE9">
        <w:rPr>
          <w:rFonts w:ascii="Calibri Light" w:hAnsi="Calibri Light" w:cs="Calibri Light"/>
          <w:sz w:val="20"/>
          <w:szCs w:val="20"/>
        </w:rPr>
        <w:t xml:space="preserve"> Holding d.o.o. (“ZGH”). Even though most business analysts expected a coupon interest rate of over 6.0%, the final rate was 4.9% per annum. Zagreb Holding said it expects to reduce the amount of landfilled waste by 132,000 tons and increase the share of renewable energy consumption from 50% in 2022 to 70% by 2028, when the green bonds are due.</w:t>
      </w:r>
    </w:p>
    <w:p w14:paraId="27643B1D" w14:textId="77777777" w:rsidR="005E0FE9" w:rsidRPr="005E0FE9" w:rsidRDefault="005E0FE9" w:rsidP="005E0FE9">
      <w:pPr>
        <w:shd w:val="clear" w:color="auto" w:fill="C4EEFF" w:themeFill="accent2" w:themeFillTint="33"/>
        <w:spacing w:after="0"/>
        <w:jc w:val="both"/>
        <w:rPr>
          <w:rFonts w:ascii="Calibri Light" w:hAnsi="Calibri Light" w:cs="Calibri Light"/>
          <w:sz w:val="20"/>
          <w:szCs w:val="20"/>
        </w:rPr>
      </w:pPr>
    </w:p>
    <w:p w14:paraId="661B4F93" w14:textId="39D6387C" w:rsidR="005E0FE9" w:rsidRPr="005E0FE9" w:rsidRDefault="005E0FE9" w:rsidP="005E0FE9">
      <w:pPr>
        <w:shd w:val="clear" w:color="auto" w:fill="C4EEFF" w:themeFill="accent2" w:themeFillTint="33"/>
        <w:spacing w:after="0"/>
        <w:jc w:val="both"/>
        <w:rPr>
          <w:rFonts w:ascii="Calibri Light" w:hAnsi="Calibri Light" w:cs="Calibri Light"/>
          <w:sz w:val="20"/>
          <w:szCs w:val="20"/>
        </w:rPr>
      </w:pPr>
      <w:r w:rsidRPr="005E0FE9">
        <w:rPr>
          <w:rFonts w:ascii="Calibri Light" w:hAnsi="Calibri Light" w:cs="Calibri Light"/>
          <w:noProof/>
          <w:sz w:val="20"/>
          <w:szCs w:val="20"/>
        </w:rPr>
        <w:drawing>
          <wp:inline distT="0" distB="0" distL="0" distR="0" wp14:anchorId="6A41AF48" wp14:editId="012E65B2">
            <wp:extent cx="5943600" cy="1574800"/>
            <wp:effectExtent l="0" t="0" r="0" b="6350"/>
            <wp:docPr id="5" name="Picture 4" descr="A screenshot of a computer&#10;&#10;Description automatically generated">
              <a:extLst xmlns:a="http://schemas.openxmlformats.org/drawingml/2006/main">
                <a:ext uri="{FF2B5EF4-FFF2-40B4-BE49-F238E27FC236}">
                  <a16:creationId xmlns:a16="http://schemas.microsoft.com/office/drawing/2014/main" id="{D19935B0-10BE-D63D-2022-9C56267E3B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computer&#10;&#10;Description automatically generated">
                      <a:extLst>
                        <a:ext uri="{FF2B5EF4-FFF2-40B4-BE49-F238E27FC236}">
                          <a16:creationId xmlns:a16="http://schemas.microsoft.com/office/drawing/2014/main" id="{D19935B0-10BE-D63D-2022-9C56267E3B12}"/>
                        </a:ext>
                      </a:extLst>
                    </pic:cNvPr>
                    <pic:cNvPicPr>
                      <a:picLocks noChangeAspect="1"/>
                    </pic:cNvPicPr>
                  </pic:nvPicPr>
                  <pic:blipFill>
                    <a:blip r:embed="rId51"/>
                    <a:stretch>
                      <a:fillRect/>
                    </a:stretch>
                  </pic:blipFill>
                  <pic:spPr>
                    <a:xfrm>
                      <a:off x="0" y="0"/>
                      <a:ext cx="5943600" cy="1574800"/>
                    </a:xfrm>
                    <a:prstGeom prst="rect">
                      <a:avLst/>
                    </a:prstGeom>
                  </pic:spPr>
                </pic:pic>
              </a:graphicData>
            </a:graphic>
          </wp:inline>
        </w:drawing>
      </w:r>
    </w:p>
    <w:p w14:paraId="6C050265" w14:textId="77777777" w:rsidR="00F305D8" w:rsidRDefault="00F305D8" w:rsidP="005E0FE9">
      <w:pPr>
        <w:shd w:val="clear" w:color="auto" w:fill="C4EEFF" w:themeFill="accent2" w:themeFillTint="33"/>
        <w:spacing w:after="0"/>
        <w:jc w:val="both"/>
        <w:rPr>
          <w:rFonts w:asciiTheme="majorHAnsi" w:eastAsiaTheme="majorEastAsia" w:hAnsiTheme="majorHAnsi" w:cstheme="majorBidi"/>
          <w:color w:val="073662" w:themeColor="accent1" w:themeShade="7F"/>
          <w:sz w:val="20"/>
          <w:szCs w:val="20"/>
        </w:rPr>
      </w:pPr>
    </w:p>
    <w:p w14:paraId="1CE0FB60" w14:textId="15229D9B" w:rsidR="005E0FE9" w:rsidRDefault="005E0FE9" w:rsidP="005E0FE9">
      <w:pPr>
        <w:shd w:val="clear" w:color="auto" w:fill="C4EEFF" w:themeFill="accent2" w:themeFillTint="33"/>
        <w:spacing w:after="0"/>
        <w:jc w:val="both"/>
        <w:rPr>
          <w:rFonts w:ascii="Calibri Light" w:hAnsi="Calibri Light" w:cs="Calibri Light"/>
          <w:sz w:val="20"/>
          <w:szCs w:val="20"/>
        </w:rPr>
      </w:pPr>
      <w:r w:rsidRPr="005E0FE9">
        <w:rPr>
          <w:rFonts w:asciiTheme="majorHAnsi" w:eastAsiaTheme="majorEastAsia" w:hAnsiTheme="majorHAnsi" w:cstheme="majorBidi"/>
          <w:color w:val="073662" w:themeColor="accent1" w:themeShade="7F"/>
          <w:sz w:val="20"/>
          <w:szCs w:val="20"/>
        </w:rPr>
        <w:t>Corporate Green Bond or Government Green Bond (with Third-Party validation)</w:t>
      </w:r>
      <w:r>
        <w:rPr>
          <w:rFonts w:asciiTheme="majorHAnsi" w:eastAsiaTheme="majorEastAsia" w:hAnsiTheme="majorHAnsi" w:cstheme="majorBidi"/>
          <w:color w:val="073662" w:themeColor="accent1" w:themeShade="7F"/>
          <w:sz w:val="20"/>
          <w:szCs w:val="20"/>
        </w:rPr>
        <w:t xml:space="preserve">. </w:t>
      </w:r>
      <w:r w:rsidRPr="005E0FE9">
        <w:rPr>
          <w:rFonts w:ascii="Calibri Light" w:hAnsi="Calibri Light" w:cs="Calibri Light"/>
          <w:sz w:val="20"/>
          <w:szCs w:val="20"/>
        </w:rPr>
        <w:t xml:space="preserve">Svenska </w:t>
      </w:r>
      <w:proofErr w:type="spellStart"/>
      <w:r w:rsidRPr="005E0FE9">
        <w:rPr>
          <w:rFonts w:ascii="Calibri Light" w:hAnsi="Calibri Light" w:cs="Calibri Light"/>
          <w:sz w:val="20"/>
          <w:szCs w:val="20"/>
        </w:rPr>
        <w:t>Cellulosa</w:t>
      </w:r>
      <w:proofErr w:type="spellEnd"/>
      <w:r w:rsidRPr="005E0FE9">
        <w:rPr>
          <w:rFonts w:ascii="Calibri Light" w:hAnsi="Calibri Light" w:cs="Calibri Light"/>
          <w:sz w:val="20"/>
          <w:szCs w:val="20"/>
        </w:rPr>
        <w:t xml:space="preserve"> </w:t>
      </w:r>
      <w:proofErr w:type="spellStart"/>
      <w:r w:rsidRPr="005E0FE9">
        <w:rPr>
          <w:rFonts w:ascii="Calibri Light" w:hAnsi="Calibri Light" w:cs="Calibri Light"/>
          <w:sz w:val="20"/>
          <w:szCs w:val="20"/>
        </w:rPr>
        <w:t>Aktiebolaget</w:t>
      </w:r>
      <w:proofErr w:type="spellEnd"/>
      <w:r w:rsidRPr="005E0FE9">
        <w:rPr>
          <w:rFonts w:ascii="Calibri Light" w:hAnsi="Calibri Light" w:cs="Calibri Light"/>
          <w:sz w:val="20"/>
          <w:szCs w:val="20"/>
        </w:rPr>
        <w:t xml:space="preserve"> (SCA), a Swedish hygiene and forest products company, issued a green bond to finance projects related to sustainable forestry and biodiversity, contributing to both environmental and social goals. Numerous domestic companies could be encouraged to issue green bonds to finance the green transition. The Government should also start issuing green bonds – with a mandatory third-party validation by renowned associations – to finance the green transition led by the public sector.</w:t>
      </w:r>
    </w:p>
    <w:p w14:paraId="24BB73A1" w14:textId="77777777" w:rsidR="005E0FE9" w:rsidRPr="005E0FE9" w:rsidRDefault="005E0FE9" w:rsidP="005E0FE9">
      <w:pPr>
        <w:shd w:val="clear" w:color="auto" w:fill="C4EEFF" w:themeFill="accent2" w:themeFillTint="33"/>
        <w:spacing w:after="0"/>
        <w:jc w:val="both"/>
        <w:rPr>
          <w:rFonts w:ascii="Calibri Light" w:hAnsi="Calibri Light" w:cs="Calibri Light"/>
          <w:sz w:val="20"/>
          <w:szCs w:val="20"/>
        </w:rPr>
      </w:pPr>
    </w:p>
    <w:p w14:paraId="19CF35A1" w14:textId="2906DD76" w:rsidR="005E0FE9" w:rsidRDefault="005E0FE9" w:rsidP="005E0FE9">
      <w:pPr>
        <w:shd w:val="clear" w:color="auto" w:fill="C4EEFF" w:themeFill="accent2" w:themeFillTint="33"/>
        <w:spacing w:after="0"/>
        <w:jc w:val="both"/>
        <w:rPr>
          <w:rFonts w:ascii="Calibri Light" w:hAnsi="Calibri Light" w:cs="Calibri Light"/>
          <w:sz w:val="20"/>
          <w:szCs w:val="20"/>
        </w:rPr>
      </w:pPr>
      <w:r w:rsidRPr="005E0FE9">
        <w:rPr>
          <w:rFonts w:asciiTheme="majorHAnsi" w:eastAsiaTheme="majorEastAsia" w:hAnsiTheme="majorHAnsi" w:cstheme="majorBidi"/>
          <w:color w:val="073662" w:themeColor="accent1" w:themeShade="7F"/>
          <w:sz w:val="20"/>
          <w:szCs w:val="20"/>
        </w:rPr>
        <w:t>Social Impact Bond for Affordable Housing.</w:t>
      </w:r>
      <w:r w:rsidRPr="005E0FE9">
        <w:rPr>
          <w:rFonts w:ascii="Calibri Light" w:hAnsi="Calibri Light" w:cs="Calibri Light"/>
          <w:sz w:val="20"/>
          <w:szCs w:val="20"/>
        </w:rPr>
        <w:t xml:space="preserve"> Australia has been exploring the use of Social Impact Bonds to prevent homelessness and improve housing outcomes. These bonds fund programs that provide targeted support and resources to individuals and families at risk of homelessness, with payments linked to successful outcomes.</w:t>
      </w:r>
      <w:r>
        <w:rPr>
          <w:rFonts w:ascii="Calibri Light" w:hAnsi="Calibri Light" w:cs="Calibri Light"/>
          <w:sz w:val="20"/>
          <w:szCs w:val="20"/>
        </w:rPr>
        <w:t xml:space="preserve"> </w:t>
      </w:r>
      <w:r w:rsidRPr="005E0FE9">
        <w:rPr>
          <w:rFonts w:ascii="Calibri Light" w:hAnsi="Calibri Light" w:cs="Calibri Light"/>
          <w:sz w:val="20"/>
          <w:szCs w:val="20"/>
        </w:rPr>
        <w:t>Canada has issued Social Impact Bonds to address homelessness, particularly in cities like Toronto. These bonds aim to fund initiatives that provide stable housing and support services to individuals experiencing homelessness, with the goal of improving long-term housing outcomes.</w:t>
      </w:r>
    </w:p>
    <w:p w14:paraId="1CB56B34" w14:textId="77777777" w:rsidR="00F42204" w:rsidRDefault="00F42204" w:rsidP="005E0FE9">
      <w:pPr>
        <w:shd w:val="clear" w:color="auto" w:fill="C4EEFF" w:themeFill="accent2" w:themeFillTint="33"/>
        <w:spacing w:after="0"/>
        <w:jc w:val="both"/>
        <w:rPr>
          <w:rFonts w:ascii="Calibri Light" w:hAnsi="Calibri Light" w:cs="Calibri Light"/>
          <w:sz w:val="20"/>
          <w:szCs w:val="20"/>
        </w:rPr>
      </w:pPr>
    </w:p>
    <w:p w14:paraId="4C5D290F" w14:textId="4DCED8B4" w:rsidR="00F42204" w:rsidRDefault="00F42204" w:rsidP="00F42204">
      <w:pPr>
        <w:shd w:val="clear" w:color="auto" w:fill="C4EEFF" w:themeFill="accent2" w:themeFillTint="33"/>
        <w:spacing w:after="0"/>
        <w:jc w:val="both"/>
        <w:rPr>
          <w:rFonts w:ascii="Calibri Light" w:hAnsi="Calibri Light" w:cs="Calibri Light"/>
          <w:sz w:val="20"/>
          <w:szCs w:val="20"/>
        </w:rPr>
      </w:pPr>
      <w:r w:rsidRPr="00F42204">
        <w:rPr>
          <w:rFonts w:asciiTheme="majorHAnsi" w:eastAsiaTheme="majorEastAsia" w:hAnsiTheme="majorHAnsi" w:cstheme="majorBidi"/>
          <w:color w:val="073662" w:themeColor="accent1" w:themeShade="7F"/>
          <w:sz w:val="20"/>
          <w:szCs w:val="20"/>
        </w:rPr>
        <w:t>Social impact bonds for resocialization of short-term prisoners.</w:t>
      </w:r>
      <w:r>
        <w:rPr>
          <w:rFonts w:ascii="Calibri Light" w:hAnsi="Calibri Light" w:cs="Calibri Light"/>
          <w:sz w:val="20"/>
          <w:szCs w:val="20"/>
        </w:rPr>
        <w:t xml:space="preserve"> </w:t>
      </w:r>
      <w:r w:rsidRPr="00F42204">
        <w:rPr>
          <w:rFonts w:ascii="Calibri Light" w:hAnsi="Calibri Light" w:cs="Calibri Light"/>
          <w:sz w:val="20"/>
          <w:szCs w:val="20"/>
        </w:rPr>
        <w:t xml:space="preserve">An idea discussed with UNDP employee </w:t>
      </w:r>
      <w:r>
        <w:rPr>
          <w:rFonts w:ascii="Calibri Light" w:hAnsi="Calibri Light" w:cs="Calibri Light"/>
          <w:sz w:val="20"/>
          <w:szCs w:val="20"/>
        </w:rPr>
        <w:t xml:space="preserve">is </w:t>
      </w:r>
      <w:proofErr w:type="spellStart"/>
      <w:r>
        <w:rPr>
          <w:rFonts w:ascii="Calibri Light" w:hAnsi="Calibri Light" w:cs="Calibri Light"/>
          <w:sz w:val="20"/>
          <w:szCs w:val="20"/>
        </w:rPr>
        <w:t>tofind</w:t>
      </w:r>
      <w:proofErr w:type="spellEnd"/>
      <w:r>
        <w:rPr>
          <w:rFonts w:ascii="Calibri Light" w:hAnsi="Calibri Light" w:cs="Calibri Light"/>
          <w:sz w:val="20"/>
          <w:szCs w:val="20"/>
        </w:rPr>
        <w:t xml:space="preserve"> financing for </w:t>
      </w:r>
      <w:r w:rsidRPr="00F42204">
        <w:rPr>
          <w:rFonts w:ascii="Calibri Light" w:hAnsi="Calibri Light" w:cs="Calibri Light"/>
          <w:sz w:val="20"/>
          <w:szCs w:val="20"/>
        </w:rPr>
        <w:t>resocialization</w:t>
      </w:r>
      <w:r>
        <w:rPr>
          <w:rFonts w:ascii="Calibri Light" w:hAnsi="Calibri Light" w:cs="Calibri Light"/>
          <w:sz w:val="20"/>
          <w:szCs w:val="20"/>
        </w:rPr>
        <w:t xml:space="preserve"> and reintegration</w:t>
      </w:r>
      <w:r w:rsidRPr="00F42204">
        <w:rPr>
          <w:rFonts w:ascii="Calibri Light" w:hAnsi="Calibri Light" w:cs="Calibri Light"/>
          <w:sz w:val="20"/>
          <w:szCs w:val="20"/>
        </w:rPr>
        <w:t xml:space="preserve"> of former prisoners</w:t>
      </w:r>
      <w:r>
        <w:rPr>
          <w:rFonts w:ascii="Calibri Light" w:hAnsi="Calibri Light" w:cs="Calibri Light"/>
          <w:sz w:val="20"/>
          <w:szCs w:val="20"/>
        </w:rPr>
        <w:t xml:space="preserve">. </w:t>
      </w:r>
      <w:r w:rsidRPr="00F42204">
        <w:rPr>
          <w:rFonts w:ascii="Calibri Light" w:hAnsi="Calibri Light" w:cs="Calibri Light"/>
          <w:sz w:val="20"/>
          <w:szCs w:val="20"/>
        </w:rPr>
        <w:t>The United Kingdom has been at the forefront of developing Social Impact Bonds (SIBs). These financial instruments are designed to attract private investment to fund social programs that address issues like poverty, unemployment, and education. Returns for investors are linked to the success of these programs in achieving predefined social outcomes.</w:t>
      </w:r>
      <w:r>
        <w:rPr>
          <w:rFonts w:ascii="Calibri Light" w:hAnsi="Calibri Light" w:cs="Calibri Light"/>
          <w:sz w:val="20"/>
          <w:szCs w:val="20"/>
        </w:rPr>
        <w:t xml:space="preserve"> </w:t>
      </w:r>
      <w:r w:rsidRPr="00F42204">
        <w:rPr>
          <w:rFonts w:ascii="Calibri Light" w:hAnsi="Calibri Light" w:cs="Calibri Light"/>
          <w:sz w:val="20"/>
          <w:szCs w:val="20"/>
        </w:rPr>
        <w:t>In 2010, the first SIB was launched in Peterborough to reduce reoffending rates among short-term prisoners. Since then, the UK has introduced several other SIBs addressing issues such as homelessness, mental health, and education.</w:t>
      </w:r>
    </w:p>
    <w:p w14:paraId="4091AEF4" w14:textId="77777777" w:rsidR="00F42204" w:rsidRDefault="00F42204" w:rsidP="00F42204">
      <w:pPr>
        <w:shd w:val="clear" w:color="auto" w:fill="C4EEFF" w:themeFill="accent2" w:themeFillTint="33"/>
        <w:spacing w:after="0"/>
        <w:jc w:val="both"/>
        <w:rPr>
          <w:rFonts w:ascii="Calibri Light" w:hAnsi="Calibri Light" w:cs="Calibri Light"/>
          <w:sz w:val="20"/>
          <w:szCs w:val="20"/>
        </w:rPr>
      </w:pPr>
    </w:p>
    <w:p w14:paraId="61F733C1" w14:textId="6F73FA7A" w:rsidR="00F42204" w:rsidRDefault="00F42204" w:rsidP="00F42204">
      <w:pPr>
        <w:shd w:val="clear" w:color="auto" w:fill="C4EEFF" w:themeFill="accent2" w:themeFillTint="33"/>
        <w:spacing w:after="0"/>
        <w:jc w:val="both"/>
        <w:rPr>
          <w:rFonts w:ascii="Calibri Light" w:hAnsi="Calibri Light" w:cs="Calibri Light"/>
          <w:sz w:val="20"/>
          <w:szCs w:val="20"/>
        </w:rPr>
      </w:pPr>
      <w:r w:rsidRPr="00F42204">
        <w:rPr>
          <w:rFonts w:asciiTheme="majorHAnsi" w:eastAsiaTheme="majorEastAsia" w:hAnsiTheme="majorHAnsi" w:cstheme="majorBidi"/>
          <w:color w:val="073662" w:themeColor="accent1" w:themeShade="7F"/>
          <w:sz w:val="20"/>
          <w:szCs w:val="20"/>
        </w:rPr>
        <w:t>Social impact bonds for female participation.</w:t>
      </w:r>
      <w:r>
        <w:rPr>
          <w:rFonts w:ascii="Calibri Light" w:hAnsi="Calibri Light" w:cs="Calibri Light"/>
          <w:sz w:val="20"/>
          <w:szCs w:val="20"/>
        </w:rPr>
        <w:t xml:space="preserve"> </w:t>
      </w:r>
      <w:r w:rsidRPr="00F42204">
        <w:rPr>
          <w:rFonts w:ascii="Calibri Light" w:hAnsi="Calibri Light" w:cs="Calibri Light"/>
          <w:sz w:val="20"/>
          <w:szCs w:val="20"/>
        </w:rPr>
        <w:t>In 2013, Israel introduced its first Social Impact Bond to improve employment outcomes for the ultra-Orthodox Jewish population. The bond aimed to increase workforce participation and reduce dependence on social welfare programs.</w:t>
      </w:r>
      <w:r>
        <w:rPr>
          <w:rFonts w:ascii="Calibri Light" w:hAnsi="Calibri Light" w:cs="Calibri Light"/>
          <w:sz w:val="20"/>
          <w:szCs w:val="20"/>
        </w:rPr>
        <w:t xml:space="preserve"> </w:t>
      </w:r>
      <w:r w:rsidRPr="00F42204">
        <w:rPr>
          <w:rFonts w:ascii="Calibri Light" w:hAnsi="Calibri Light" w:cs="Calibri Light"/>
          <w:sz w:val="20"/>
          <w:szCs w:val="20"/>
        </w:rPr>
        <w:t>Social impact bond providing funds to subsidize social security contributions to increase female workforce participation on the labour market.</w:t>
      </w:r>
      <w:r>
        <w:rPr>
          <w:rFonts w:ascii="Calibri Light" w:hAnsi="Calibri Light" w:cs="Calibri Light"/>
          <w:sz w:val="20"/>
          <w:szCs w:val="20"/>
        </w:rPr>
        <w:t xml:space="preserve"> </w:t>
      </w:r>
      <w:r w:rsidRPr="00F42204">
        <w:rPr>
          <w:rFonts w:ascii="Calibri Light" w:hAnsi="Calibri Light" w:cs="Calibri Light"/>
          <w:sz w:val="20"/>
          <w:szCs w:val="20"/>
        </w:rPr>
        <w:t xml:space="preserve">If the number of female entrants is higher than the average for the past </w:t>
      </w:r>
      <w:r>
        <w:rPr>
          <w:rFonts w:ascii="Calibri Light" w:hAnsi="Calibri Light" w:cs="Calibri Light"/>
          <w:sz w:val="20"/>
          <w:szCs w:val="20"/>
        </w:rPr>
        <w:t>5 or 10</w:t>
      </w:r>
      <w:r w:rsidRPr="00F42204">
        <w:rPr>
          <w:rFonts w:ascii="Calibri Light" w:hAnsi="Calibri Light" w:cs="Calibri Light"/>
          <w:sz w:val="20"/>
          <w:szCs w:val="20"/>
        </w:rPr>
        <w:t xml:space="preserve"> years, the interest rate </w:t>
      </w:r>
      <w:r>
        <w:rPr>
          <w:rFonts w:ascii="Calibri Light" w:hAnsi="Calibri Light" w:cs="Calibri Light"/>
          <w:sz w:val="20"/>
          <w:szCs w:val="20"/>
        </w:rPr>
        <w:t>could</w:t>
      </w:r>
      <w:r w:rsidRPr="00F42204">
        <w:rPr>
          <w:rFonts w:ascii="Calibri Light" w:hAnsi="Calibri Light" w:cs="Calibri Light"/>
          <w:sz w:val="20"/>
          <w:szCs w:val="20"/>
        </w:rPr>
        <w:t xml:space="preserve"> be</w:t>
      </w:r>
      <w:r>
        <w:rPr>
          <w:rFonts w:ascii="Calibri Light" w:hAnsi="Calibri Light" w:cs="Calibri Light"/>
          <w:sz w:val="20"/>
          <w:szCs w:val="20"/>
        </w:rPr>
        <w:t xml:space="preserve"> much</w:t>
      </w:r>
      <w:r w:rsidRPr="00F42204">
        <w:rPr>
          <w:rFonts w:ascii="Calibri Light" w:hAnsi="Calibri Light" w:cs="Calibri Light"/>
          <w:sz w:val="20"/>
          <w:szCs w:val="20"/>
        </w:rPr>
        <w:t xml:space="preserve"> lower.</w:t>
      </w:r>
    </w:p>
    <w:p w14:paraId="26AF9D20" w14:textId="77777777" w:rsidR="00F305D8" w:rsidRDefault="00F305D8" w:rsidP="00F305D8">
      <w:pPr>
        <w:spacing w:after="0"/>
        <w:jc w:val="both"/>
        <w:rPr>
          <w:rFonts w:ascii="Calibri Light" w:hAnsi="Calibri Light" w:cs="Calibri Light"/>
          <w:sz w:val="20"/>
          <w:szCs w:val="20"/>
        </w:rPr>
      </w:pPr>
    </w:p>
    <w:p w14:paraId="77A75074" w14:textId="26EA2CFB" w:rsidR="004C2993" w:rsidRPr="00C56601" w:rsidRDefault="004C2993" w:rsidP="004C2993">
      <w:pPr>
        <w:pStyle w:val="Heading3"/>
        <w:numPr>
          <w:ilvl w:val="2"/>
          <w:numId w:val="1"/>
        </w:numPr>
        <w:rPr>
          <w:color w:val="0070C0"/>
        </w:rPr>
      </w:pPr>
      <w:bookmarkStart w:id="49" w:name="_Toc157427561"/>
      <w:r>
        <w:rPr>
          <w:color w:val="0070C0"/>
        </w:rPr>
        <w:t>B4SDGs</w:t>
      </w:r>
      <w:r w:rsidR="00D05646">
        <w:rPr>
          <w:color w:val="0070C0"/>
        </w:rPr>
        <w:t xml:space="preserve"> / Expenditure</w:t>
      </w:r>
      <w:r w:rsidR="00F42204">
        <w:rPr>
          <w:color w:val="0070C0"/>
        </w:rPr>
        <w:t xml:space="preserve"> for </w:t>
      </w:r>
      <w:r w:rsidR="00D05646">
        <w:rPr>
          <w:color w:val="0070C0"/>
        </w:rPr>
        <w:t>SDG</w:t>
      </w:r>
      <w:r w:rsidR="00F42204">
        <w:rPr>
          <w:color w:val="0070C0"/>
        </w:rPr>
        <w:t>s</w:t>
      </w:r>
      <w:bookmarkEnd w:id="49"/>
    </w:p>
    <w:p w14:paraId="6BD775E9" w14:textId="77777777" w:rsidR="005E0FE9" w:rsidRDefault="005E0FE9" w:rsidP="004C2993">
      <w:pPr>
        <w:jc w:val="both"/>
        <w:rPr>
          <w:rFonts w:ascii="Calibri Light" w:hAnsi="Calibri Light" w:cs="Calibri Light"/>
        </w:rPr>
      </w:pPr>
    </w:p>
    <w:p w14:paraId="6A62D7E5" w14:textId="7316C606" w:rsidR="000A3E9A" w:rsidRDefault="00D05646" w:rsidP="000A3E9A">
      <w:pPr>
        <w:jc w:val="both"/>
        <w:rPr>
          <w:rFonts w:ascii="Calibri Light" w:hAnsi="Calibri Light" w:cs="Calibri Light"/>
        </w:rPr>
      </w:pPr>
      <w:r>
        <w:rPr>
          <w:rFonts w:ascii="Calibri Light" w:hAnsi="Calibri Light" w:cs="Calibri Light"/>
        </w:rPr>
        <w:t>Budgeting for SDGs (B4SDGs) is also very important</w:t>
      </w:r>
      <w:r w:rsidR="006C0F8B">
        <w:rPr>
          <w:rFonts w:ascii="Calibri Light" w:hAnsi="Calibri Light" w:cs="Calibri Light"/>
        </w:rPr>
        <w:t>, as the public budget is the largest</w:t>
      </w:r>
      <w:r>
        <w:rPr>
          <w:rFonts w:ascii="Calibri Light" w:hAnsi="Calibri Light" w:cs="Calibri Light"/>
        </w:rPr>
        <w:t xml:space="preserve"> </w:t>
      </w:r>
      <w:r w:rsidR="006C0F8B">
        <w:rPr>
          <w:rFonts w:ascii="Calibri Light" w:hAnsi="Calibri Light" w:cs="Calibri Light"/>
        </w:rPr>
        <w:t>SDG</w:t>
      </w:r>
      <w:r>
        <w:rPr>
          <w:rFonts w:ascii="Calibri Light" w:hAnsi="Calibri Light" w:cs="Calibri Light"/>
        </w:rPr>
        <w:t xml:space="preserve"> fund</w:t>
      </w:r>
      <w:r w:rsidR="006C0F8B">
        <w:rPr>
          <w:rFonts w:ascii="Calibri Light" w:hAnsi="Calibri Light" w:cs="Calibri Light"/>
        </w:rPr>
        <w:t>.</w:t>
      </w:r>
      <w:r>
        <w:rPr>
          <w:rFonts w:ascii="Calibri Light" w:hAnsi="Calibri Light" w:cs="Calibri Light"/>
        </w:rPr>
        <w:t xml:space="preserve"> </w:t>
      </w:r>
      <w:r w:rsidR="000A3E9A">
        <w:rPr>
          <w:rFonts w:ascii="Calibri Light" w:hAnsi="Calibri Light" w:cs="Calibri Light"/>
        </w:rPr>
        <w:t>Some ideas for detoxification of subsidies and promoting environmentally friendly heating are viable policy options.</w:t>
      </w:r>
    </w:p>
    <w:p w14:paraId="08276809" w14:textId="4CAFC5B1" w:rsidR="004849C5" w:rsidRDefault="004849C5" w:rsidP="000A3E9A">
      <w:pPr>
        <w:jc w:val="both"/>
        <w:rPr>
          <w:bCs/>
        </w:rPr>
      </w:pPr>
      <w:r>
        <w:rPr>
          <w:rFonts w:ascii="Calibri Light" w:hAnsi="Calibri Light" w:cs="Calibri Light"/>
        </w:rPr>
        <w:lastRenderedPageBreak/>
        <w:t>The first recommendation is to conduct SDG tagging of the national budget and the local budgets (UNDP, 2002a; 2022b). Poghosyan et al. (2022) developed SDG tagging handbooks for a thorough SDG-aligned analysis of the budget expenditure to track their SDG focus.</w:t>
      </w:r>
    </w:p>
    <w:p w14:paraId="6D014C9F" w14:textId="61A3FCCF" w:rsidR="000A3E9A" w:rsidRPr="004849C5" w:rsidRDefault="000A3E9A" w:rsidP="000A3E9A">
      <w:pPr>
        <w:pStyle w:val="Caption"/>
        <w:shd w:val="clear" w:color="auto" w:fill="004E6C" w:themeFill="accent2" w:themeFillShade="80"/>
        <w:spacing w:after="0"/>
        <w:rPr>
          <w:rFonts w:asciiTheme="majorHAnsi" w:eastAsiaTheme="majorEastAsia" w:hAnsiTheme="majorHAnsi" w:cstheme="majorBidi"/>
          <w:i w:val="0"/>
          <w:iCs w:val="0"/>
          <w:color w:val="FFFFFF" w:themeColor="background1"/>
          <w:sz w:val="22"/>
          <w:szCs w:val="22"/>
        </w:rPr>
      </w:pPr>
      <w:bookmarkStart w:id="50" w:name="_Toc157427504"/>
      <w:r w:rsidRPr="004849C5">
        <w:rPr>
          <w:i w:val="0"/>
          <w:iCs w:val="0"/>
          <w:color w:val="FFFFFF" w:themeColor="background1"/>
          <w:sz w:val="22"/>
          <w:szCs w:val="22"/>
        </w:rPr>
        <w:t xml:space="preserve">Box </w:t>
      </w:r>
      <w:r w:rsidRPr="004849C5">
        <w:rPr>
          <w:i w:val="0"/>
          <w:iCs w:val="0"/>
          <w:color w:val="FFFFFF" w:themeColor="background1"/>
          <w:sz w:val="22"/>
          <w:szCs w:val="22"/>
        </w:rPr>
        <w:fldChar w:fldCharType="begin"/>
      </w:r>
      <w:r w:rsidRPr="004849C5">
        <w:rPr>
          <w:i w:val="0"/>
          <w:iCs w:val="0"/>
          <w:color w:val="FFFFFF" w:themeColor="background1"/>
          <w:sz w:val="22"/>
          <w:szCs w:val="22"/>
        </w:rPr>
        <w:instrText xml:space="preserve"> SEQ Box \* ARABIC </w:instrText>
      </w:r>
      <w:r w:rsidRPr="004849C5">
        <w:rPr>
          <w:i w:val="0"/>
          <w:iCs w:val="0"/>
          <w:color w:val="FFFFFF" w:themeColor="background1"/>
          <w:sz w:val="22"/>
          <w:szCs w:val="22"/>
        </w:rPr>
        <w:fldChar w:fldCharType="separate"/>
      </w:r>
      <w:r w:rsidRPr="004849C5">
        <w:rPr>
          <w:i w:val="0"/>
          <w:iCs w:val="0"/>
          <w:noProof/>
          <w:color w:val="FFFFFF" w:themeColor="background1"/>
          <w:sz w:val="22"/>
          <w:szCs w:val="22"/>
        </w:rPr>
        <w:t>4</w:t>
      </w:r>
      <w:r w:rsidRPr="004849C5">
        <w:rPr>
          <w:i w:val="0"/>
          <w:iCs w:val="0"/>
          <w:color w:val="FFFFFF" w:themeColor="background1"/>
          <w:sz w:val="22"/>
          <w:szCs w:val="22"/>
        </w:rPr>
        <w:fldChar w:fldCharType="end"/>
      </w:r>
      <w:r w:rsidRPr="004849C5">
        <w:rPr>
          <w:i w:val="0"/>
          <w:iCs w:val="0"/>
          <w:color w:val="FFFFFF" w:themeColor="background1"/>
          <w:sz w:val="22"/>
          <w:szCs w:val="22"/>
        </w:rPr>
        <w:t xml:space="preserve">. </w:t>
      </w:r>
      <w:r w:rsidRPr="004849C5">
        <w:rPr>
          <w:rFonts w:asciiTheme="majorHAnsi" w:eastAsiaTheme="majorEastAsia" w:hAnsiTheme="majorHAnsi" w:cstheme="majorBidi"/>
          <w:i w:val="0"/>
          <w:iCs w:val="0"/>
          <w:color w:val="FFFFFF" w:themeColor="background1"/>
          <w:sz w:val="22"/>
          <w:szCs w:val="22"/>
        </w:rPr>
        <w:t xml:space="preserve">Some ideas for improving </w:t>
      </w:r>
      <w:proofErr w:type="gramStart"/>
      <w:r w:rsidRPr="004849C5">
        <w:rPr>
          <w:rFonts w:asciiTheme="majorHAnsi" w:eastAsiaTheme="majorEastAsia" w:hAnsiTheme="majorHAnsi" w:cstheme="majorBidi"/>
          <w:i w:val="0"/>
          <w:iCs w:val="0"/>
          <w:color w:val="FFFFFF" w:themeColor="background1"/>
          <w:sz w:val="22"/>
          <w:szCs w:val="22"/>
        </w:rPr>
        <w:t>B4SDGs</w:t>
      </w:r>
      <w:bookmarkEnd w:id="50"/>
      <w:proofErr w:type="gramEnd"/>
    </w:p>
    <w:p w14:paraId="27B0BC02" w14:textId="77777777" w:rsidR="000A3E9A" w:rsidRPr="000A3E9A" w:rsidRDefault="000A3E9A" w:rsidP="000A3E9A">
      <w:pPr>
        <w:shd w:val="clear" w:color="auto" w:fill="C4EEFF" w:themeFill="accent2" w:themeFillTint="33"/>
        <w:tabs>
          <w:tab w:val="num" w:pos="720"/>
        </w:tabs>
        <w:spacing w:after="0" w:line="276" w:lineRule="auto"/>
        <w:jc w:val="both"/>
        <w:rPr>
          <w:rFonts w:ascii="Calibri Light" w:hAnsi="Calibri Light" w:cs="Calibri Light"/>
        </w:rPr>
      </w:pPr>
      <w:r w:rsidRPr="000A3E9A">
        <w:rPr>
          <w:bCs/>
          <w:color w:val="0070C0"/>
        </w:rPr>
        <w:t>Subsidies Detox (Detoxification of government subsidies).</w:t>
      </w:r>
      <w:r w:rsidRPr="000A3E9A">
        <w:rPr>
          <w:rFonts w:asciiTheme="majorHAnsi" w:eastAsiaTheme="majorEastAsia" w:hAnsiTheme="majorHAnsi" w:cstheme="majorBidi"/>
          <w:color w:val="073662" w:themeColor="accent1" w:themeShade="7F"/>
        </w:rPr>
        <w:t xml:space="preserve"> </w:t>
      </w:r>
      <w:r w:rsidR="006C0F8B" w:rsidRPr="006C0F8B">
        <w:rPr>
          <w:rFonts w:ascii="Calibri Light" w:hAnsi="Calibri Light" w:cs="Calibri Light"/>
        </w:rPr>
        <w:t>A comprehensive registry of the entire State Aid is being prepared in the Ministry of Economy with the help of the World Bank.</w:t>
      </w:r>
      <w:r w:rsidRPr="000A3E9A">
        <w:rPr>
          <w:rFonts w:ascii="Calibri Light" w:hAnsi="Calibri Light" w:cs="Calibri Light"/>
        </w:rPr>
        <w:t xml:space="preserve"> </w:t>
      </w:r>
      <w:r w:rsidR="006C0F8B" w:rsidRPr="006C0F8B">
        <w:rPr>
          <w:rFonts w:ascii="Calibri Light" w:hAnsi="Calibri Light" w:cs="Calibri Light"/>
        </w:rPr>
        <w:t>Subsidy reform is needed, and UNDP could help repurpose</w:t>
      </w:r>
      <w:r w:rsidRPr="000A3E9A">
        <w:rPr>
          <w:rFonts w:ascii="Calibri Light" w:hAnsi="Calibri Light" w:cs="Calibri Light"/>
        </w:rPr>
        <w:t xml:space="preserve"> </w:t>
      </w:r>
      <w:r w:rsidR="006C0F8B" w:rsidRPr="006C0F8B">
        <w:rPr>
          <w:rFonts w:ascii="Calibri Light" w:hAnsi="Calibri Light" w:cs="Calibri Light"/>
        </w:rPr>
        <w:t>environmentally harmful government subsidies.</w:t>
      </w:r>
      <w:r w:rsidRPr="000A3E9A">
        <w:rPr>
          <w:rFonts w:ascii="Calibri Light" w:hAnsi="Calibri Light" w:cs="Calibri Light"/>
        </w:rPr>
        <w:t xml:space="preserve"> </w:t>
      </w:r>
      <w:r w:rsidR="006C0F8B" w:rsidRPr="006C0F8B">
        <w:rPr>
          <w:rFonts w:ascii="Calibri Light" w:hAnsi="Calibri Light" w:cs="Calibri Light"/>
        </w:rPr>
        <w:t>Subsidies for carbon-intensive industries and for agriculture are driving environmental degradation and harming people, the planet, and economies.</w:t>
      </w:r>
    </w:p>
    <w:p w14:paraId="36D2F911" w14:textId="2E02B926" w:rsidR="000A3E9A" w:rsidRDefault="00F42204" w:rsidP="000A3E9A">
      <w:pPr>
        <w:shd w:val="clear" w:color="auto" w:fill="C4EEFF" w:themeFill="accent2" w:themeFillTint="33"/>
        <w:tabs>
          <w:tab w:val="num" w:pos="720"/>
        </w:tabs>
        <w:spacing w:after="0" w:line="276" w:lineRule="auto"/>
        <w:jc w:val="both"/>
        <w:rPr>
          <w:bCs/>
        </w:rPr>
      </w:pPr>
      <w:r w:rsidRPr="000A3E9A">
        <w:rPr>
          <w:bCs/>
          <w:color w:val="0070C0"/>
        </w:rPr>
        <w:t>Subsidies for Residential Heating Upgrades.</w:t>
      </w:r>
      <w:r w:rsidRPr="000A3E9A">
        <w:rPr>
          <w:bCs/>
        </w:rPr>
        <w:t xml:space="preserve"> The government of Poland has introduced subsidies and financial incentives for residential heating upgrades. </w:t>
      </w:r>
      <w:r w:rsidRPr="00F42204">
        <w:rPr>
          <w:bCs/>
        </w:rPr>
        <w:t>These programs encourage homeowners to invest in modern and energy-efficient heating systems, contributing to overall energy savings and reduced emissions.</w:t>
      </w:r>
      <w:r w:rsidRPr="000A3E9A">
        <w:rPr>
          <w:bCs/>
        </w:rPr>
        <w:t xml:space="preserve"> The Government of North Macedonia and the municipalities could subsidize the connection costs to the central heating systems in the City of Skopje and finance new central heating systems in other polluted cities.</w:t>
      </w:r>
    </w:p>
    <w:p w14:paraId="7800203D" w14:textId="135C11FF" w:rsidR="000A3E9A" w:rsidRPr="000A3E9A" w:rsidRDefault="000A3E9A" w:rsidP="000A3E9A">
      <w:pPr>
        <w:shd w:val="clear" w:color="auto" w:fill="C4EEFF" w:themeFill="accent2" w:themeFillTint="33"/>
        <w:tabs>
          <w:tab w:val="num" w:pos="720"/>
        </w:tabs>
        <w:spacing w:after="0" w:line="276" w:lineRule="auto"/>
        <w:jc w:val="both"/>
        <w:rPr>
          <w:bCs/>
        </w:rPr>
      </w:pPr>
      <w:r w:rsidRPr="000A3E9A">
        <w:rPr>
          <w:bCs/>
          <w:color w:val="0070C0"/>
        </w:rPr>
        <w:t>SDG finance for Mobile Mammography.</w:t>
      </w:r>
      <w:r>
        <w:rPr>
          <w:bCs/>
        </w:rPr>
        <w:t xml:space="preserve"> </w:t>
      </w:r>
      <w:r w:rsidRPr="000A3E9A">
        <w:rPr>
          <w:bCs/>
        </w:rPr>
        <w:t>Blended finance of the Government, UNDP, and some embassies could be used to finance a mobile mammograph</w:t>
      </w:r>
      <w:r>
        <w:rPr>
          <w:bCs/>
        </w:rPr>
        <w:t xml:space="preserve">y. </w:t>
      </w:r>
      <w:r w:rsidRPr="000A3E9A">
        <w:rPr>
          <w:bCs/>
        </w:rPr>
        <w:t>Breast cancer is amenable to successful therapeutic intervention when timely preventive measures are implemented. A comprehensive understanding of risk factors, coupled with proactive screening and early detection strategies, plays a pivotal role in the curative potential of this malignancy. The implementation of mobile mammography units in rural areas, featuring scheduled visits, would enhance accessibility to breast cancer screening services.</w:t>
      </w:r>
    </w:p>
    <w:p w14:paraId="494D99EC" w14:textId="77777777" w:rsidR="000A3E9A" w:rsidRPr="000A3E9A" w:rsidRDefault="00A168E6" w:rsidP="000A3E9A">
      <w:pPr>
        <w:shd w:val="clear" w:color="auto" w:fill="C4EEFF" w:themeFill="accent2" w:themeFillTint="33"/>
        <w:tabs>
          <w:tab w:val="num" w:pos="720"/>
        </w:tabs>
        <w:spacing w:after="0" w:line="276" w:lineRule="auto"/>
        <w:jc w:val="both"/>
        <w:rPr>
          <w:bCs/>
        </w:rPr>
      </w:pPr>
      <w:r w:rsidRPr="000A3E9A">
        <w:rPr>
          <w:bCs/>
        </w:rPr>
        <w:t>The Budget could also establish state funds for promotion of R&amp;D, energy efficiency and balanced regional development and territorial cohesion.</w:t>
      </w:r>
    </w:p>
    <w:p w14:paraId="264184C1" w14:textId="77777777" w:rsidR="000A3E9A" w:rsidRPr="000A3E9A" w:rsidRDefault="00784F56" w:rsidP="000A3E9A">
      <w:pPr>
        <w:shd w:val="clear" w:color="auto" w:fill="C4EEFF" w:themeFill="accent2" w:themeFillTint="33"/>
        <w:tabs>
          <w:tab w:val="num" w:pos="720"/>
        </w:tabs>
        <w:spacing w:after="0" w:line="276" w:lineRule="auto"/>
        <w:jc w:val="both"/>
        <w:rPr>
          <w:bCs/>
        </w:rPr>
      </w:pPr>
      <w:r w:rsidRPr="000A3E9A">
        <w:rPr>
          <w:bCs/>
          <w:color w:val="0070C0"/>
        </w:rPr>
        <w:t>Fund for Research and Development (R&amp;D).</w:t>
      </w:r>
      <w:r w:rsidRPr="000A3E9A">
        <w:rPr>
          <w:b/>
          <w:color w:val="0070C0"/>
        </w:rPr>
        <w:t xml:space="preserve"> </w:t>
      </w:r>
      <w:r w:rsidRPr="000A3E9A">
        <w:rPr>
          <w:bCs/>
        </w:rPr>
        <w:t xml:space="preserve">The Fund might be established within the Development Bank of North Macedonia. This Fund, through favourable (concessional) credit products, would support export-oriented companies in R&amp;D to boost exports, technological development, and the introduction of new products. The export support activities would also include a supplier development program aimed to increase technological readiness and capacities of domestic companies to take part in global value chains. Initially, the fund for supporting the companies in research and development could start with EUR 10 million. </w:t>
      </w:r>
    </w:p>
    <w:p w14:paraId="539F566A" w14:textId="77777777" w:rsidR="000A3E9A" w:rsidRPr="000A3E9A" w:rsidRDefault="00784F56" w:rsidP="000A3E9A">
      <w:pPr>
        <w:shd w:val="clear" w:color="auto" w:fill="C4EEFF" w:themeFill="accent2" w:themeFillTint="33"/>
        <w:tabs>
          <w:tab w:val="num" w:pos="720"/>
        </w:tabs>
        <w:spacing w:after="0" w:line="276" w:lineRule="auto"/>
        <w:jc w:val="both"/>
        <w:rPr>
          <w:bCs/>
        </w:rPr>
      </w:pPr>
      <w:r w:rsidRPr="000A3E9A">
        <w:rPr>
          <w:bCs/>
          <w:color w:val="0070C0"/>
        </w:rPr>
        <w:t>Energy efficiency fund.</w:t>
      </w:r>
      <w:r w:rsidRPr="000A3E9A">
        <w:rPr>
          <w:b/>
          <w:color w:val="0070C0"/>
        </w:rPr>
        <w:t xml:space="preserve"> </w:t>
      </w:r>
      <w:r w:rsidRPr="000A3E9A">
        <w:rPr>
          <w:bCs/>
        </w:rPr>
        <w:t>This fund is being established within the Development Bank of North Macedonia. The funding will be provided through the issuance of the first-ever self-labelled green government bond in the amount of EUR 10 million.</w:t>
      </w:r>
      <w:r w:rsidR="000A3E9A" w:rsidRPr="000A3E9A">
        <w:rPr>
          <w:bCs/>
        </w:rPr>
        <w:t xml:space="preserve"> </w:t>
      </w:r>
    </w:p>
    <w:p w14:paraId="7A109A6D" w14:textId="22C30E34" w:rsidR="006451BE" w:rsidRPr="000A3E9A" w:rsidRDefault="00784F56" w:rsidP="000A3E9A">
      <w:pPr>
        <w:shd w:val="clear" w:color="auto" w:fill="C4EEFF" w:themeFill="accent2" w:themeFillTint="33"/>
        <w:tabs>
          <w:tab w:val="num" w:pos="720"/>
        </w:tabs>
        <w:spacing w:after="0" w:line="276" w:lineRule="auto"/>
        <w:jc w:val="both"/>
        <w:rPr>
          <w:bCs/>
        </w:rPr>
      </w:pPr>
      <w:r w:rsidRPr="000A3E9A">
        <w:rPr>
          <w:bCs/>
          <w:color w:val="0070C0"/>
        </w:rPr>
        <w:t xml:space="preserve">Agency for Balanced Regional Development. </w:t>
      </w:r>
      <w:r w:rsidRPr="000A3E9A">
        <w:rPr>
          <w:bCs/>
        </w:rPr>
        <w:t>An agency of fund for balanced regional development is also highly important in reducing inter-regional socio-economic disparities and enhancing the cross-border territorial cohesion with the neighbouring regions.</w:t>
      </w:r>
    </w:p>
    <w:p w14:paraId="5FD92E63" w14:textId="77777777" w:rsidR="00784F56" w:rsidRPr="00784F56" w:rsidRDefault="00784F56" w:rsidP="00784F56">
      <w:pPr>
        <w:spacing w:after="0" w:line="276" w:lineRule="auto"/>
        <w:jc w:val="both"/>
        <w:rPr>
          <w:bCs/>
          <w:color w:val="538135"/>
        </w:rPr>
      </w:pPr>
    </w:p>
    <w:p w14:paraId="796A34F5" w14:textId="730EBD58" w:rsidR="003B7FBC" w:rsidRPr="001220AF" w:rsidRDefault="003B7FBC" w:rsidP="00F305D8">
      <w:pPr>
        <w:pStyle w:val="Heading2"/>
        <w:numPr>
          <w:ilvl w:val="1"/>
          <w:numId w:val="1"/>
        </w:numPr>
        <w:rPr>
          <w:color w:val="0070C0"/>
        </w:rPr>
      </w:pPr>
      <w:bookmarkStart w:id="51" w:name="_Toc157427562"/>
      <w:r w:rsidRPr="001220AF">
        <w:rPr>
          <w:color w:val="0070C0"/>
        </w:rPr>
        <w:t>Domestic Private Sources</w:t>
      </w:r>
      <w:r w:rsidR="001220AF" w:rsidRPr="001220AF">
        <w:rPr>
          <w:color w:val="0070C0"/>
        </w:rPr>
        <w:t xml:space="preserve">: </w:t>
      </w:r>
      <w:r w:rsidR="000A3E9A">
        <w:rPr>
          <w:color w:val="0070C0"/>
        </w:rPr>
        <w:t>Pr</w:t>
      </w:r>
      <w:r w:rsidR="001220AF" w:rsidRPr="001220AF">
        <w:rPr>
          <w:color w:val="0070C0"/>
        </w:rPr>
        <w:t>ivate sector</w:t>
      </w:r>
      <w:r w:rsidR="000A3E9A">
        <w:rPr>
          <w:color w:val="0070C0"/>
        </w:rPr>
        <w:t xml:space="preserve"> 4 SDGs</w:t>
      </w:r>
      <w:bookmarkEnd w:id="51"/>
    </w:p>
    <w:p w14:paraId="7F774368" w14:textId="77777777" w:rsidR="00EB7054" w:rsidRDefault="00EB7054" w:rsidP="00EB7054"/>
    <w:p w14:paraId="7D58EE61" w14:textId="24AB156F" w:rsidR="00EB7054" w:rsidRDefault="00EB7054" w:rsidP="00F305D8">
      <w:pPr>
        <w:pStyle w:val="Heading2"/>
        <w:numPr>
          <w:ilvl w:val="2"/>
          <w:numId w:val="1"/>
        </w:numPr>
        <w:rPr>
          <w:color w:val="0070C0"/>
          <w:sz w:val="24"/>
          <w:szCs w:val="24"/>
        </w:rPr>
      </w:pPr>
      <w:bookmarkStart w:id="52" w:name="_Toc157427563"/>
      <w:r>
        <w:rPr>
          <w:color w:val="0070C0"/>
          <w:sz w:val="24"/>
          <w:szCs w:val="24"/>
        </w:rPr>
        <w:t>B</w:t>
      </w:r>
      <w:r w:rsidRPr="004B3DF4">
        <w:rPr>
          <w:color w:val="0070C0"/>
          <w:sz w:val="24"/>
          <w:szCs w:val="24"/>
        </w:rPr>
        <w:t>usiness opportunities for delivering</w:t>
      </w:r>
      <w:r w:rsidRPr="00EB7054">
        <w:rPr>
          <w:color w:val="0070C0"/>
          <w:sz w:val="24"/>
          <w:szCs w:val="24"/>
        </w:rPr>
        <w:t xml:space="preserve"> </w:t>
      </w:r>
      <w:r w:rsidRPr="004B3DF4">
        <w:rPr>
          <w:color w:val="0070C0"/>
          <w:sz w:val="24"/>
          <w:szCs w:val="24"/>
        </w:rPr>
        <w:t xml:space="preserve">the </w:t>
      </w:r>
      <w:proofErr w:type="gramStart"/>
      <w:r w:rsidRPr="004B3DF4">
        <w:rPr>
          <w:color w:val="0070C0"/>
          <w:sz w:val="24"/>
          <w:szCs w:val="24"/>
        </w:rPr>
        <w:t>SDGs</w:t>
      </w:r>
      <w:bookmarkEnd w:id="52"/>
      <w:proofErr w:type="gramEnd"/>
    </w:p>
    <w:p w14:paraId="6C55E154" w14:textId="77777777" w:rsidR="00EB7054" w:rsidRDefault="00EB7054" w:rsidP="004B3DF4">
      <w:pPr>
        <w:spacing w:after="0" w:line="276" w:lineRule="auto"/>
        <w:jc w:val="both"/>
      </w:pPr>
    </w:p>
    <w:p w14:paraId="76E98441" w14:textId="77777777" w:rsidR="004B3DF4" w:rsidRDefault="004B3DF4" w:rsidP="004B3DF4">
      <w:pPr>
        <w:spacing w:after="0" w:line="276" w:lineRule="auto"/>
        <w:jc w:val="both"/>
      </w:pPr>
      <w:r w:rsidRPr="00EB7054">
        <w:lastRenderedPageBreak/>
        <w:t>The Business and Sustainable Development Commission (BSD</w:t>
      </w:r>
      <w:r>
        <w:t>C) has identified business opportunities for delivering the SDGs in 60 market “hot spots” of food and agriculture, cities, energy, and materials, as well as health and well-being (</w:t>
      </w:r>
      <w:r>
        <w:fldChar w:fldCharType="begin"/>
      </w:r>
      <w:r>
        <w:instrText xml:space="preserve"> REF _Ref146019761 \h </w:instrText>
      </w:r>
      <w:r>
        <w:fldChar w:fldCharType="separate"/>
      </w:r>
      <w:r w:rsidRPr="00BC6E04">
        <w:t xml:space="preserve">Table </w:t>
      </w:r>
      <w:r w:rsidRPr="00BC6E04">
        <w:rPr>
          <w:noProof/>
        </w:rPr>
        <w:t>3</w:t>
      </w:r>
      <w:r>
        <w:fldChar w:fldCharType="end"/>
      </w:r>
      <w:r>
        <w:t>). These SDG enabling areas could be inspiring for the UNDP CO leadership to shape the future portfolio accordingly.</w:t>
      </w:r>
    </w:p>
    <w:p w14:paraId="57E38CD8" w14:textId="77777777" w:rsidR="00BC6E04" w:rsidRDefault="00BC6E04" w:rsidP="004B3DF4">
      <w:pPr>
        <w:spacing w:after="0" w:line="276" w:lineRule="auto"/>
        <w:jc w:val="both"/>
      </w:pPr>
    </w:p>
    <w:p w14:paraId="759625BB" w14:textId="0C1C716D" w:rsidR="00EB7054" w:rsidRPr="004B3DF4" w:rsidRDefault="00BC6E04" w:rsidP="004B3DF4">
      <w:pPr>
        <w:pStyle w:val="Caption"/>
        <w:rPr>
          <w:color w:val="000000" w:themeColor="text1"/>
          <w:lang w:val="en-US"/>
        </w:rPr>
      </w:pPr>
      <w:bookmarkStart w:id="53" w:name="_Ref146019761"/>
      <w:bookmarkStart w:id="54" w:name="_Toc157427511"/>
      <w:r w:rsidRPr="004B3DF4">
        <w:rPr>
          <w:i w:val="0"/>
          <w:iCs w:val="0"/>
          <w:color w:val="000000" w:themeColor="text1"/>
          <w:sz w:val="22"/>
          <w:szCs w:val="22"/>
          <w:lang w:val="en-US"/>
        </w:rPr>
        <w:t xml:space="preserve">Table </w:t>
      </w:r>
      <w:r w:rsidRPr="004B3DF4">
        <w:rPr>
          <w:i w:val="0"/>
          <w:iCs w:val="0"/>
          <w:color w:val="000000" w:themeColor="text1"/>
          <w:sz w:val="22"/>
          <w:szCs w:val="22"/>
          <w:lang w:val="en-US"/>
        </w:rPr>
        <w:fldChar w:fldCharType="begin"/>
      </w:r>
      <w:r w:rsidRPr="004B3DF4">
        <w:rPr>
          <w:i w:val="0"/>
          <w:iCs w:val="0"/>
          <w:color w:val="000000" w:themeColor="text1"/>
          <w:sz w:val="22"/>
          <w:szCs w:val="22"/>
          <w:lang w:val="en-US"/>
        </w:rPr>
        <w:instrText xml:space="preserve"> SEQ Table \* ARABIC </w:instrText>
      </w:r>
      <w:r w:rsidRPr="004B3DF4">
        <w:rPr>
          <w:i w:val="0"/>
          <w:iCs w:val="0"/>
          <w:color w:val="000000" w:themeColor="text1"/>
          <w:sz w:val="22"/>
          <w:szCs w:val="22"/>
          <w:lang w:val="en-US"/>
        </w:rPr>
        <w:fldChar w:fldCharType="separate"/>
      </w:r>
      <w:r w:rsidRPr="004B3DF4">
        <w:rPr>
          <w:i w:val="0"/>
          <w:iCs w:val="0"/>
          <w:color w:val="000000" w:themeColor="text1"/>
          <w:sz w:val="22"/>
          <w:szCs w:val="22"/>
          <w:lang w:val="en-US"/>
        </w:rPr>
        <w:t>3</w:t>
      </w:r>
      <w:r w:rsidRPr="004B3DF4">
        <w:rPr>
          <w:i w:val="0"/>
          <w:iCs w:val="0"/>
          <w:color w:val="000000" w:themeColor="text1"/>
          <w:sz w:val="22"/>
          <w:szCs w:val="22"/>
          <w:lang w:val="en-US"/>
        </w:rPr>
        <w:fldChar w:fldCharType="end"/>
      </w:r>
      <w:bookmarkEnd w:id="53"/>
      <w:r w:rsidRPr="004B3DF4">
        <w:rPr>
          <w:i w:val="0"/>
          <w:iCs w:val="0"/>
          <w:color w:val="000000" w:themeColor="text1"/>
          <w:sz w:val="22"/>
          <w:szCs w:val="22"/>
          <w:lang w:val="en-US"/>
        </w:rPr>
        <w:t>. Hot spots and business opportunities for delivering the SDGs</w:t>
      </w:r>
      <w:r>
        <w:rPr>
          <w:i w:val="0"/>
          <w:iCs w:val="0"/>
          <w:color w:val="000000" w:themeColor="text1"/>
          <w:sz w:val="22"/>
          <w:szCs w:val="22"/>
          <w:lang w:val="en-US"/>
        </w:rPr>
        <w:t>.</w:t>
      </w:r>
      <w:bookmarkEnd w:id="54"/>
    </w:p>
    <w:tbl>
      <w:tblPr>
        <w:tblStyle w:val="TableGridLight"/>
        <w:tblW w:w="9408" w:type="dxa"/>
        <w:tblLook w:val="04A0" w:firstRow="1" w:lastRow="0" w:firstColumn="1" w:lastColumn="0" w:noHBand="0" w:noVBand="1"/>
      </w:tblPr>
      <w:tblGrid>
        <w:gridCol w:w="2549"/>
        <w:gridCol w:w="2156"/>
        <w:gridCol w:w="2130"/>
        <w:gridCol w:w="2573"/>
      </w:tblGrid>
      <w:tr w:rsidR="00713103" w14:paraId="24FA185D" w14:textId="77777777" w:rsidTr="004B3DF4">
        <w:tc>
          <w:tcPr>
            <w:tcW w:w="9408" w:type="dxa"/>
            <w:gridSpan w:val="4"/>
          </w:tcPr>
          <w:p w14:paraId="190D0EB6" w14:textId="4E057854" w:rsidR="00713103" w:rsidRDefault="00713103" w:rsidP="004B3DF4">
            <w:pPr>
              <w:jc w:val="center"/>
            </w:pPr>
            <w:r w:rsidRPr="00713103">
              <w:rPr>
                <w:noProof/>
              </w:rPr>
              <w:drawing>
                <wp:inline distT="0" distB="0" distL="0" distR="0" wp14:anchorId="4B682A47" wp14:editId="0EA3C858">
                  <wp:extent cx="5751959" cy="605307"/>
                  <wp:effectExtent l="0" t="0" r="1270" b="4445"/>
                  <wp:docPr id="3993860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386014" name=""/>
                          <pic:cNvPicPr/>
                        </pic:nvPicPr>
                        <pic:blipFill>
                          <a:blip r:embed="rId52"/>
                          <a:stretch>
                            <a:fillRect/>
                          </a:stretch>
                        </pic:blipFill>
                        <pic:spPr>
                          <a:xfrm>
                            <a:off x="0" y="0"/>
                            <a:ext cx="5916584" cy="622631"/>
                          </a:xfrm>
                          <a:prstGeom prst="rect">
                            <a:avLst/>
                          </a:prstGeom>
                        </pic:spPr>
                      </pic:pic>
                    </a:graphicData>
                  </a:graphic>
                </wp:inline>
              </w:drawing>
            </w:r>
          </w:p>
        </w:tc>
      </w:tr>
      <w:tr w:rsidR="00713103" w:rsidRPr="009805DB" w14:paraId="045F78A7" w14:textId="77777777" w:rsidTr="004B3DF4">
        <w:tc>
          <w:tcPr>
            <w:tcW w:w="2549" w:type="dxa"/>
          </w:tcPr>
          <w:p w14:paraId="29855CC3" w14:textId="054F9687" w:rsidR="00713103" w:rsidRPr="004B3DF4" w:rsidRDefault="00713103" w:rsidP="00713103">
            <w:pPr>
              <w:rPr>
                <w:rFonts w:asciiTheme="majorHAnsi" w:hAnsiTheme="majorHAnsi" w:cstheme="majorHAnsi"/>
                <w:sz w:val="18"/>
                <w:szCs w:val="18"/>
              </w:rPr>
            </w:pPr>
            <w:r w:rsidRPr="004B3DF4">
              <w:rPr>
                <w:rFonts w:asciiTheme="majorHAnsi" w:hAnsiTheme="majorHAnsi" w:cstheme="majorHAnsi"/>
                <w:sz w:val="18"/>
                <w:szCs w:val="18"/>
                <w:lang w:val="en-US"/>
              </w:rPr>
              <w:t>Reducing food waste in value chain</w:t>
            </w:r>
          </w:p>
        </w:tc>
        <w:tc>
          <w:tcPr>
            <w:tcW w:w="2156" w:type="dxa"/>
          </w:tcPr>
          <w:p w14:paraId="7C44686C" w14:textId="7312879D" w:rsidR="00713103" w:rsidRPr="004B3DF4" w:rsidRDefault="00713103" w:rsidP="00713103">
            <w:pPr>
              <w:rPr>
                <w:rFonts w:asciiTheme="majorHAnsi" w:hAnsiTheme="majorHAnsi" w:cstheme="majorHAnsi"/>
                <w:sz w:val="18"/>
                <w:szCs w:val="18"/>
              </w:rPr>
            </w:pPr>
            <w:r w:rsidRPr="004B3DF4">
              <w:rPr>
                <w:rFonts w:asciiTheme="majorHAnsi" w:hAnsiTheme="majorHAnsi" w:cstheme="majorHAnsi"/>
                <w:sz w:val="18"/>
                <w:szCs w:val="18"/>
                <w:lang w:val="en-US"/>
              </w:rPr>
              <w:t>Affordable housing</w:t>
            </w:r>
          </w:p>
        </w:tc>
        <w:tc>
          <w:tcPr>
            <w:tcW w:w="2130" w:type="dxa"/>
          </w:tcPr>
          <w:p w14:paraId="6766F14A" w14:textId="724A4E24" w:rsidR="00713103" w:rsidRPr="004B3DF4" w:rsidRDefault="00713103" w:rsidP="00713103">
            <w:pPr>
              <w:rPr>
                <w:rFonts w:asciiTheme="majorHAnsi" w:hAnsiTheme="majorHAnsi" w:cstheme="majorHAnsi"/>
                <w:sz w:val="18"/>
                <w:szCs w:val="18"/>
              </w:rPr>
            </w:pPr>
            <w:r w:rsidRPr="004B3DF4">
              <w:rPr>
                <w:rFonts w:asciiTheme="majorHAnsi" w:hAnsiTheme="majorHAnsi" w:cstheme="majorHAnsi"/>
                <w:sz w:val="18"/>
                <w:szCs w:val="18"/>
                <w:lang w:val="en-US"/>
              </w:rPr>
              <w:t>Circular models - automotive</w:t>
            </w:r>
          </w:p>
        </w:tc>
        <w:tc>
          <w:tcPr>
            <w:tcW w:w="2573" w:type="dxa"/>
          </w:tcPr>
          <w:p w14:paraId="7343A009" w14:textId="3042E573" w:rsidR="00713103" w:rsidRPr="004B3DF4" w:rsidRDefault="00713103" w:rsidP="00713103">
            <w:pPr>
              <w:rPr>
                <w:rFonts w:asciiTheme="majorHAnsi" w:hAnsiTheme="majorHAnsi" w:cstheme="majorHAnsi"/>
                <w:sz w:val="18"/>
                <w:szCs w:val="18"/>
              </w:rPr>
            </w:pPr>
            <w:r w:rsidRPr="004B3DF4">
              <w:rPr>
                <w:rFonts w:asciiTheme="majorHAnsi" w:hAnsiTheme="majorHAnsi" w:cstheme="majorHAnsi"/>
                <w:sz w:val="18"/>
                <w:szCs w:val="18"/>
                <w:lang w:val="en-US"/>
              </w:rPr>
              <w:t>Risk pooling</w:t>
            </w:r>
          </w:p>
        </w:tc>
      </w:tr>
      <w:tr w:rsidR="00713103" w:rsidRPr="009805DB" w14:paraId="33CD7D0F" w14:textId="77777777" w:rsidTr="004B3DF4">
        <w:tc>
          <w:tcPr>
            <w:tcW w:w="2549" w:type="dxa"/>
          </w:tcPr>
          <w:p w14:paraId="5DA44A0D" w14:textId="48355718" w:rsidR="00713103" w:rsidRPr="004B3DF4" w:rsidRDefault="00713103" w:rsidP="00713103">
            <w:pPr>
              <w:rPr>
                <w:rFonts w:asciiTheme="majorHAnsi" w:hAnsiTheme="majorHAnsi" w:cstheme="majorHAnsi"/>
                <w:sz w:val="18"/>
                <w:szCs w:val="18"/>
              </w:rPr>
            </w:pPr>
            <w:r w:rsidRPr="004B3DF4">
              <w:rPr>
                <w:rFonts w:asciiTheme="majorHAnsi" w:hAnsiTheme="majorHAnsi" w:cstheme="majorHAnsi"/>
                <w:sz w:val="18"/>
                <w:szCs w:val="18"/>
                <w:lang w:val="en-US"/>
              </w:rPr>
              <w:t>Forest ecosystem services</w:t>
            </w:r>
          </w:p>
        </w:tc>
        <w:tc>
          <w:tcPr>
            <w:tcW w:w="2156" w:type="dxa"/>
          </w:tcPr>
          <w:p w14:paraId="02B9B516" w14:textId="529D4F8F" w:rsidR="00713103" w:rsidRPr="004B3DF4" w:rsidRDefault="00713103" w:rsidP="00713103">
            <w:pPr>
              <w:rPr>
                <w:rFonts w:asciiTheme="majorHAnsi" w:hAnsiTheme="majorHAnsi" w:cstheme="majorHAnsi"/>
                <w:sz w:val="18"/>
                <w:szCs w:val="18"/>
              </w:rPr>
            </w:pPr>
            <w:r w:rsidRPr="004B3DF4">
              <w:rPr>
                <w:rFonts w:asciiTheme="majorHAnsi" w:hAnsiTheme="majorHAnsi" w:cstheme="majorHAnsi"/>
                <w:sz w:val="18"/>
                <w:szCs w:val="18"/>
                <w:lang w:val="en-US"/>
              </w:rPr>
              <w:t>Energy efficiency- buildings</w:t>
            </w:r>
          </w:p>
        </w:tc>
        <w:tc>
          <w:tcPr>
            <w:tcW w:w="2130" w:type="dxa"/>
          </w:tcPr>
          <w:p w14:paraId="2964B0BC" w14:textId="51CA9FDA" w:rsidR="00713103" w:rsidRPr="004B3DF4" w:rsidRDefault="00713103" w:rsidP="00713103">
            <w:pPr>
              <w:rPr>
                <w:rFonts w:asciiTheme="majorHAnsi" w:hAnsiTheme="majorHAnsi" w:cstheme="majorHAnsi"/>
                <w:sz w:val="18"/>
                <w:szCs w:val="18"/>
              </w:rPr>
            </w:pPr>
            <w:r w:rsidRPr="004B3DF4">
              <w:rPr>
                <w:rFonts w:asciiTheme="majorHAnsi" w:hAnsiTheme="majorHAnsi" w:cstheme="majorHAnsi"/>
                <w:sz w:val="18"/>
                <w:szCs w:val="18"/>
                <w:lang w:val="en-US"/>
              </w:rPr>
              <w:t>Expansion of renewables</w:t>
            </w:r>
          </w:p>
        </w:tc>
        <w:tc>
          <w:tcPr>
            <w:tcW w:w="2573" w:type="dxa"/>
          </w:tcPr>
          <w:p w14:paraId="16DCE86E" w14:textId="24EC329A" w:rsidR="00713103" w:rsidRPr="004B3DF4" w:rsidRDefault="00713103" w:rsidP="00713103">
            <w:pPr>
              <w:rPr>
                <w:rFonts w:asciiTheme="majorHAnsi" w:hAnsiTheme="majorHAnsi" w:cstheme="majorHAnsi"/>
                <w:sz w:val="18"/>
                <w:szCs w:val="18"/>
              </w:rPr>
            </w:pPr>
            <w:r w:rsidRPr="004B3DF4">
              <w:rPr>
                <w:rFonts w:asciiTheme="majorHAnsi" w:hAnsiTheme="majorHAnsi" w:cstheme="majorHAnsi"/>
                <w:sz w:val="18"/>
                <w:szCs w:val="18"/>
                <w:lang w:val="en-US"/>
              </w:rPr>
              <w:t>Remote patient monitoring</w:t>
            </w:r>
          </w:p>
        </w:tc>
      </w:tr>
      <w:tr w:rsidR="00713103" w:rsidRPr="009805DB" w14:paraId="0A5F61AE" w14:textId="77777777" w:rsidTr="004B3DF4">
        <w:tc>
          <w:tcPr>
            <w:tcW w:w="2549" w:type="dxa"/>
          </w:tcPr>
          <w:p w14:paraId="6D436BA8" w14:textId="590B48CD" w:rsidR="00713103" w:rsidRPr="004B3DF4" w:rsidRDefault="00713103" w:rsidP="00EB7054">
            <w:pPr>
              <w:rPr>
                <w:rFonts w:asciiTheme="majorHAnsi" w:hAnsiTheme="majorHAnsi" w:cstheme="majorHAnsi"/>
                <w:sz w:val="18"/>
                <w:szCs w:val="18"/>
              </w:rPr>
            </w:pPr>
            <w:r w:rsidRPr="004B3DF4">
              <w:rPr>
                <w:rFonts w:asciiTheme="majorHAnsi" w:hAnsiTheme="majorHAnsi" w:cstheme="majorHAnsi"/>
                <w:sz w:val="18"/>
                <w:szCs w:val="18"/>
                <w:lang w:val="en-US"/>
              </w:rPr>
              <w:t>Low-income food markets</w:t>
            </w:r>
          </w:p>
        </w:tc>
        <w:tc>
          <w:tcPr>
            <w:tcW w:w="2156" w:type="dxa"/>
          </w:tcPr>
          <w:p w14:paraId="4E86099C" w14:textId="780B8507" w:rsidR="00713103" w:rsidRPr="004B3DF4" w:rsidRDefault="00713103" w:rsidP="00EB7054">
            <w:pPr>
              <w:rPr>
                <w:rFonts w:asciiTheme="majorHAnsi" w:hAnsiTheme="majorHAnsi" w:cstheme="majorHAnsi"/>
                <w:sz w:val="18"/>
                <w:szCs w:val="18"/>
              </w:rPr>
            </w:pPr>
            <w:r w:rsidRPr="004B3DF4">
              <w:rPr>
                <w:rFonts w:asciiTheme="majorHAnsi" w:hAnsiTheme="majorHAnsi" w:cstheme="majorHAnsi"/>
                <w:sz w:val="18"/>
                <w:szCs w:val="18"/>
                <w:lang w:val="en-US"/>
              </w:rPr>
              <w:t>Electric and hybrid vehicles</w:t>
            </w:r>
          </w:p>
        </w:tc>
        <w:tc>
          <w:tcPr>
            <w:tcW w:w="2130" w:type="dxa"/>
          </w:tcPr>
          <w:p w14:paraId="072B9000" w14:textId="6D8A8FEE" w:rsidR="00713103" w:rsidRPr="004B3DF4" w:rsidRDefault="00713103" w:rsidP="00EB7054">
            <w:pPr>
              <w:rPr>
                <w:rFonts w:asciiTheme="majorHAnsi" w:hAnsiTheme="majorHAnsi" w:cstheme="majorHAnsi"/>
                <w:sz w:val="18"/>
                <w:szCs w:val="18"/>
              </w:rPr>
            </w:pPr>
            <w:r w:rsidRPr="004B3DF4">
              <w:rPr>
                <w:rFonts w:asciiTheme="majorHAnsi" w:hAnsiTheme="majorHAnsi" w:cstheme="majorHAnsi"/>
                <w:sz w:val="18"/>
                <w:szCs w:val="18"/>
                <w:lang w:val="en-US"/>
              </w:rPr>
              <w:t>Circular models - appliances</w:t>
            </w:r>
          </w:p>
        </w:tc>
        <w:tc>
          <w:tcPr>
            <w:tcW w:w="2573" w:type="dxa"/>
          </w:tcPr>
          <w:p w14:paraId="2D3FF9D0" w14:textId="49CDFCA1" w:rsidR="00713103" w:rsidRPr="004B3DF4" w:rsidRDefault="00713103" w:rsidP="00EB7054">
            <w:pPr>
              <w:rPr>
                <w:rFonts w:asciiTheme="majorHAnsi" w:hAnsiTheme="majorHAnsi" w:cstheme="majorHAnsi"/>
                <w:sz w:val="18"/>
                <w:szCs w:val="18"/>
              </w:rPr>
            </w:pPr>
            <w:r w:rsidRPr="004B3DF4">
              <w:rPr>
                <w:rFonts w:asciiTheme="majorHAnsi" w:hAnsiTheme="majorHAnsi" w:cstheme="majorHAnsi"/>
                <w:sz w:val="18"/>
                <w:szCs w:val="18"/>
              </w:rPr>
              <w:t>Telehealth</w:t>
            </w:r>
          </w:p>
        </w:tc>
      </w:tr>
      <w:tr w:rsidR="00713103" w:rsidRPr="009805DB" w14:paraId="0E524B35" w14:textId="77777777" w:rsidTr="004B3DF4">
        <w:tc>
          <w:tcPr>
            <w:tcW w:w="2549" w:type="dxa"/>
          </w:tcPr>
          <w:p w14:paraId="5C79A329" w14:textId="4683675F" w:rsidR="00713103" w:rsidRPr="004B3DF4" w:rsidRDefault="00713103" w:rsidP="00EB7054">
            <w:pPr>
              <w:rPr>
                <w:rFonts w:asciiTheme="majorHAnsi" w:hAnsiTheme="majorHAnsi" w:cstheme="majorHAnsi"/>
                <w:sz w:val="18"/>
                <w:szCs w:val="18"/>
                <w:lang w:val="en-US"/>
              </w:rPr>
            </w:pPr>
            <w:r w:rsidRPr="004B3DF4">
              <w:rPr>
                <w:rFonts w:asciiTheme="majorHAnsi" w:hAnsiTheme="majorHAnsi" w:cstheme="majorHAnsi"/>
                <w:sz w:val="18"/>
                <w:szCs w:val="18"/>
                <w:lang w:val="en-US"/>
              </w:rPr>
              <w:t>Reducing consumer food waste</w:t>
            </w:r>
          </w:p>
        </w:tc>
        <w:tc>
          <w:tcPr>
            <w:tcW w:w="2156" w:type="dxa"/>
          </w:tcPr>
          <w:p w14:paraId="41755461" w14:textId="3C52C41F" w:rsidR="00713103" w:rsidRPr="004B3DF4" w:rsidRDefault="00713103" w:rsidP="00EB7054">
            <w:pPr>
              <w:rPr>
                <w:rFonts w:asciiTheme="majorHAnsi" w:hAnsiTheme="majorHAnsi" w:cstheme="majorHAnsi"/>
                <w:sz w:val="18"/>
                <w:szCs w:val="18"/>
                <w:lang w:val="en-US"/>
              </w:rPr>
            </w:pPr>
            <w:r w:rsidRPr="004B3DF4">
              <w:rPr>
                <w:rFonts w:asciiTheme="majorHAnsi" w:hAnsiTheme="majorHAnsi" w:cstheme="majorHAnsi"/>
                <w:sz w:val="18"/>
                <w:szCs w:val="18"/>
                <w:lang w:val="en-US"/>
              </w:rPr>
              <w:t>Public transport in urban areas</w:t>
            </w:r>
          </w:p>
        </w:tc>
        <w:tc>
          <w:tcPr>
            <w:tcW w:w="2130" w:type="dxa"/>
          </w:tcPr>
          <w:p w14:paraId="4D32EA13" w14:textId="1D07059F" w:rsidR="00713103" w:rsidRPr="004B3DF4" w:rsidRDefault="00713103" w:rsidP="00EB7054">
            <w:pPr>
              <w:rPr>
                <w:rFonts w:asciiTheme="majorHAnsi" w:hAnsiTheme="majorHAnsi" w:cstheme="majorHAnsi"/>
                <w:sz w:val="18"/>
                <w:szCs w:val="18"/>
                <w:lang w:val="en-US"/>
              </w:rPr>
            </w:pPr>
            <w:r w:rsidRPr="004B3DF4">
              <w:rPr>
                <w:rFonts w:asciiTheme="majorHAnsi" w:hAnsiTheme="majorHAnsi" w:cstheme="majorHAnsi"/>
                <w:sz w:val="18"/>
                <w:szCs w:val="18"/>
                <w:lang w:val="en-US"/>
              </w:rPr>
              <w:t>Circular models - electronics</w:t>
            </w:r>
          </w:p>
        </w:tc>
        <w:tc>
          <w:tcPr>
            <w:tcW w:w="2573" w:type="dxa"/>
          </w:tcPr>
          <w:p w14:paraId="354AB6C4" w14:textId="0E3EBAB8" w:rsidR="00713103" w:rsidRPr="004B3DF4" w:rsidRDefault="00713103" w:rsidP="00EB7054">
            <w:pPr>
              <w:rPr>
                <w:rFonts w:asciiTheme="majorHAnsi" w:hAnsiTheme="majorHAnsi" w:cstheme="majorHAnsi"/>
                <w:sz w:val="18"/>
                <w:szCs w:val="18"/>
              </w:rPr>
            </w:pPr>
            <w:r w:rsidRPr="004B3DF4">
              <w:rPr>
                <w:rFonts w:asciiTheme="majorHAnsi" w:hAnsiTheme="majorHAnsi" w:cstheme="majorHAnsi"/>
                <w:sz w:val="18"/>
                <w:szCs w:val="18"/>
                <w:lang w:val="en-US"/>
              </w:rPr>
              <w:t>Advanced genomics</w:t>
            </w:r>
          </w:p>
        </w:tc>
      </w:tr>
      <w:tr w:rsidR="00713103" w:rsidRPr="009805DB" w14:paraId="592D32E4" w14:textId="77777777" w:rsidTr="00713103">
        <w:tc>
          <w:tcPr>
            <w:tcW w:w="2549" w:type="dxa"/>
          </w:tcPr>
          <w:p w14:paraId="219CE1CB" w14:textId="219D84B4" w:rsidR="00713103" w:rsidRPr="004B3DF4" w:rsidRDefault="00713103" w:rsidP="00EB7054">
            <w:pPr>
              <w:rPr>
                <w:rFonts w:asciiTheme="majorHAnsi" w:hAnsiTheme="majorHAnsi" w:cstheme="majorHAnsi"/>
                <w:sz w:val="18"/>
                <w:szCs w:val="18"/>
                <w:lang w:val="en-US"/>
              </w:rPr>
            </w:pPr>
            <w:r w:rsidRPr="004B3DF4">
              <w:rPr>
                <w:rFonts w:asciiTheme="majorHAnsi" w:hAnsiTheme="majorHAnsi" w:cstheme="majorHAnsi"/>
                <w:sz w:val="18"/>
                <w:szCs w:val="18"/>
                <w:lang w:val="en-US"/>
              </w:rPr>
              <w:t>Product reformulation</w:t>
            </w:r>
          </w:p>
        </w:tc>
        <w:tc>
          <w:tcPr>
            <w:tcW w:w="2156" w:type="dxa"/>
          </w:tcPr>
          <w:p w14:paraId="1A8EF4A7" w14:textId="5DB7C1D3" w:rsidR="00713103" w:rsidRPr="004B3DF4" w:rsidRDefault="00713103" w:rsidP="00EB7054">
            <w:pPr>
              <w:rPr>
                <w:rFonts w:asciiTheme="majorHAnsi" w:hAnsiTheme="majorHAnsi" w:cstheme="majorHAnsi"/>
                <w:sz w:val="18"/>
                <w:szCs w:val="18"/>
                <w:lang w:val="en-US"/>
              </w:rPr>
            </w:pPr>
            <w:r w:rsidRPr="004B3DF4">
              <w:rPr>
                <w:rFonts w:asciiTheme="majorHAnsi" w:hAnsiTheme="majorHAnsi" w:cstheme="majorHAnsi"/>
                <w:sz w:val="18"/>
                <w:szCs w:val="18"/>
                <w:lang w:val="en-US"/>
              </w:rPr>
              <w:t>Car sharing</w:t>
            </w:r>
          </w:p>
        </w:tc>
        <w:tc>
          <w:tcPr>
            <w:tcW w:w="2130" w:type="dxa"/>
          </w:tcPr>
          <w:p w14:paraId="4AECD76B" w14:textId="77777777" w:rsidR="00713103" w:rsidRPr="004B3DF4" w:rsidRDefault="00713103" w:rsidP="00713103">
            <w:pPr>
              <w:autoSpaceDE w:val="0"/>
              <w:autoSpaceDN w:val="0"/>
              <w:adjustRightInd w:val="0"/>
              <w:rPr>
                <w:rFonts w:asciiTheme="majorHAnsi" w:hAnsiTheme="majorHAnsi" w:cstheme="majorHAnsi"/>
                <w:sz w:val="18"/>
                <w:szCs w:val="18"/>
                <w:lang w:val="en-US"/>
              </w:rPr>
            </w:pPr>
            <w:r w:rsidRPr="004B3DF4">
              <w:rPr>
                <w:rFonts w:asciiTheme="majorHAnsi" w:hAnsiTheme="majorHAnsi" w:cstheme="majorHAnsi"/>
                <w:sz w:val="18"/>
                <w:szCs w:val="18"/>
                <w:lang w:val="en-US"/>
              </w:rPr>
              <w:t>Energy efficiency - nonenergy</w:t>
            </w:r>
          </w:p>
          <w:p w14:paraId="794C5E37" w14:textId="7B1110F7" w:rsidR="00713103" w:rsidRPr="004B3DF4" w:rsidRDefault="00713103" w:rsidP="00713103">
            <w:pPr>
              <w:rPr>
                <w:rFonts w:asciiTheme="majorHAnsi" w:hAnsiTheme="majorHAnsi" w:cstheme="majorHAnsi"/>
                <w:sz w:val="18"/>
                <w:szCs w:val="18"/>
                <w:lang w:val="en-US"/>
              </w:rPr>
            </w:pPr>
            <w:r w:rsidRPr="004B3DF4">
              <w:rPr>
                <w:rFonts w:asciiTheme="majorHAnsi" w:hAnsiTheme="majorHAnsi" w:cstheme="majorHAnsi"/>
                <w:sz w:val="18"/>
                <w:szCs w:val="18"/>
                <w:lang w:val="en-US"/>
              </w:rPr>
              <w:t>intensive industries</w:t>
            </w:r>
          </w:p>
        </w:tc>
        <w:tc>
          <w:tcPr>
            <w:tcW w:w="2573" w:type="dxa"/>
          </w:tcPr>
          <w:p w14:paraId="01C762FD" w14:textId="69A6FFFC" w:rsidR="00713103" w:rsidRPr="004B3DF4" w:rsidRDefault="00713103" w:rsidP="00EB7054">
            <w:pPr>
              <w:rPr>
                <w:rFonts w:asciiTheme="majorHAnsi" w:hAnsiTheme="majorHAnsi" w:cstheme="majorHAnsi"/>
                <w:sz w:val="18"/>
                <w:szCs w:val="18"/>
                <w:lang w:val="en-US"/>
              </w:rPr>
            </w:pPr>
            <w:r w:rsidRPr="004B3DF4">
              <w:rPr>
                <w:rFonts w:asciiTheme="majorHAnsi" w:hAnsiTheme="majorHAnsi" w:cstheme="majorHAnsi"/>
                <w:sz w:val="18"/>
                <w:szCs w:val="18"/>
                <w:lang w:val="en-US"/>
              </w:rPr>
              <w:t>Activity services</w:t>
            </w:r>
          </w:p>
        </w:tc>
      </w:tr>
      <w:tr w:rsidR="00713103" w:rsidRPr="009805DB" w14:paraId="05871937" w14:textId="77777777" w:rsidTr="00713103">
        <w:tc>
          <w:tcPr>
            <w:tcW w:w="2549" w:type="dxa"/>
          </w:tcPr>
          <w:p w14:paraId="07DDD246" w14:textId="03301015" w:rsidR="00713103" w:rsidRPr="004B3DF4" w:rsidRDefault="00713103" w:rsidP="00EB7054">
            <w:pPr>
              <w:rPr>
                <w:rFonts w:asciiTheme="majorHAnsi" w:hAnsiTheme="majorHAnsi" w:cstheme="majorHAnsi"/>
                <w:sz w:val="18"/>
                <w:szCs w:val="18"/>
                <w:lang w:val="en-US"/>
              </w:rPr>
            </w:pPr>
            <w:r w:rsidRPr="004B3DF4">
              <w:rPr>
                <w:rFonts w:asciiTheme="majorHAnsi" w:hAnsiTheme="majorHAnsi" w:cstheme="majorHAnsi"/>
                <w:sz w:val="18"/>
                <w:szCs w:val="18"/>
                <w:lang w:val="en-US"/>
              </w:rPr>
              <w:t>Technology in large-scale farms</w:t>
            </w:r>
          </w:p>
        </w:tc>
        <w:tc>
          <w:tcPr>
            <w:tcW w:w="2156" w:type="dxa"/>
          </w:tcPr>
          <w:p w14:paraId="63D8779B" w14:textId="7239CD71" w:rsidR="00713103" w:rsidRPr="004B3DF4" w:rsidRDefault="00713103" w:rsidP="00EB7054">
            <w:pPr>
              <w:rPr>
                <w:rFonts w:asciiTheme="majorHAnsi" w:hAnsiTheme="majorHAnsi" w:cstheme="majorHAnsi"/>
                <w:sz w:val="18"/>
                <w:szCs w:val="18"/>
                <w:lang w:val="en-US"/>
              </w:rPr>
            </w:pPr>
            <w:r w:rsidRPr="004B3DF4">
              <w:rPr>
                <w:rFonts w:asciiTheme="majorHAnsi" w:hAnsiTheme="majorHAnsi" w:cstheme="majorHAnsi"/>
                <w:sz w:val="18"/>
                <w:szCs w:val="18"/>
                <w:lang w:val="en-US"/>
              </w:rPr>
              <w:t>Road safety equipment</w:t>
            </w:r>
          </w:p>
        </w:tc>
        <w:tc>
          <w:tcPr>
            <w:tcW w:w="2130" w:type="dxa"/>
          </w:tcPr>
          <w:p w14:paraId="02716DA6" w14:textId="5DE0CCC7" w:rsidR="00713103" w:rsidRPr="004B3DF4" w:rsidRDefault="00713103" w:rsidP="00713103">
            <w:pPr>
              <w:autoSpaceDE w:val="0"/>
              <w:autoSpaceDN w:val="0"/>
              <w:adjustRightInd w:val="0"/>
              <w:rPr>
                <w:rFonts w:asciiTheme="majorHAnsi" w:hAnsiTheme="majorHAnsi" w:cstheme="majorHAnsi"/>
                <w:sz w:val="18"/>
                <w:szCs w:val="18"/>
                <w:lang w:val="en-US"/>
              </w:rPr>
            </w:pPr>
            <w:r w:rsidRPr="004B3DF4">
              <w:rPr>
                <w:rFonts w:asciiTheme="majorHAnsi" w:hAnsiTheme="majorHAnsi" w:cstheme="majorHAnsi"/>
                <w:sz w:val="18"/>
                <w:szCs w:val="18"/>
                <w:lang w:val="en-US"/>
              </w:rPr>
              <w:t>Energy storage systems</w:t>
            </w:r>
          </w:p>
        </w:tc>
        <w:tc>
          <w:tcPr>
            <w:tcW w:w="2573" w:type="dxa"/>
          </w:tcPr>
          <w:p w14:paraId="548821D7" w14:textId="7B159E54" w:rsidR="00713103" w:rsidRPr="004B3DF4" w:rsidRDefault="00713103" w:rsidP="00EB7054">
            <w:pPr>
              <w:rPr>
                <w:rFonts w:asciiTheme="majorHAnsi" w:hAnsiTheme="majorHAnsi" w:cstheme="majorHAnsi"/>
                <w:sz w:val="18"/>
                <w:szCs w:val="18"/>
                <w:lang w:val="en-US"/>
              </w:rPr>
            </w:pPr>
            <w:r w:rsidRPr="004B3DF4">
              <w:rPr>
                <w:rFonts w:asciiTheme="majorHAnsi" w:hAnsiTheme="majorHAnsi" w:cstheme="majorHAnsi"/>
                <w:sz w:val="18"/>
                <w:szCs w:val="18"/>
                <w:lang w:val="en-US"/>
              </w:rPr>
              <w:t>Detection of counterfeit drugs</w:t>
            </w:r>
          </w:p>
        </w:tc>
      </w:tr>
      <w:tr w:rsidR="00713103" w:rsidRPr="009805DB" w14:paraId="331AA497" w14:textId="77777777" w:rsidTr="00713103">
        <w:tc>
          <w:tcPr>
            <w:tcW w:w="2549" w:type="dxa"/>
          </w:tcPr>
          <w:p w14:paraId="420B585A" w14:textId="531813B8" w:rsidR="00713103" w:rsidRPr="004B3DF4" w:rsidRDefault="00713103" w:rsidP="00EB7054">
            <w:pPr>
              <w:rPr>
                <w:rFonts w:asciiTheme="majorHAnsi" w:hAnsiTheme="majorHAnsi" w:cstheme="majorHAnsi"/>
                <w:sz w:val="18"/>
                <w:szCs w:val="18"/>
                <w:lang w:val="en-US"/>
              </w:rPr>
            </w:pPr>
            <w:r w:rsidRPr="004B3DF4">
              <w:rPr>
                <w:rFonts w:asciiTheme="majorHAnsi" w:hAnsiTheme="majorHAnsi" w:cstheme="majorHAnsi"/>
                <w:sz w:val="18"/>
                <w:szCs w:val="18"/>
                <w:lang w:val="en-US"/>
              </w:rPr>
              <w:t>Dietary switch</w:t>
            </w:r>
          </w:p>
        </w:tc>
        <w:tc>
          <w:tcPr>
            <w:tcW w:w="2156" w:type="dxa"/>
          </w:tcPr>
          <w:p w14:paraId="4849519B" w14:textId="507CA631" w:rsidR="00713103" w:rsidRPr="004B3DF4" w:rsidRDefault="00713103" w:rsidP="00EB7054">
            <w:pPr>
              <w:rPr>
                <w:rFonts w:asciiTheme="majorHAnsi" w:hAnsiTheme="majorHAnsi" w:cstheme="majorHAnsi"/>
                <w:sz w:val="18"/>
                <w:szCs w:val="18"/>
                <w:lang w:val="en-US"/>
              </w:rPr>
            </w:pPr>
            <w:r w:rsidRPr="004B3DF4">
              <w:rPr>
                <w:rFonts w:asciiTheme="majorHAnsi" w:hAnsiTheme="majorHAnsi" w:cstheme="majorHAnsi"/>
                <w:sz w:val="18"/>
                <w:szCs w:val="18"/>
                <w:lang w:val="en-US"/>
              </w:rPr>
              <w:t>Autonomous vehicles</w:t>
            </w:r>
          </w:p>
        </w:tc>
        <w:tc>
          <w:tcPr>
            <w:tcW w:w="2130" w:type="dxa"/>
          </w:tcPr>
          <w:p w14:paraId="3FCC8A24" w14:textId="4D5BC920" w:rsidR="00713103" w:rsidRPr="004B3DF4" w:rsidRDefault="00713103" w:rsidP="00713103">
            <w:pPr>
              <w:autoSpaceDE w:val="0"/>
              <w:autoSpaceDN w:val="0"/>
              <w:adjustRightInd w:val="0"/>
              <w:rPr>
                <w:rFonts w:asciiTheme="majorHAnsi" w:hAnsiTheme="majorHAnsi" w:cstheme="majorHAnsi"/>
                <w:sz w:val="18"/>
                <w:szCs w:val="18"/>
                <w:lang w:val="en-US"/>
              </w:rPr>
            </w:pPr>
            <w:r w:rsidRPr="004B3DF4">
              <w:rPr>
                <w:rFonts w:asciiTheme="majorHAnsi" w:hAnsiTheme="majorHAnsi" w:cstheme="majorHAnsi"/>
                <w:sz w:val="18"/>
                <w:szCs w:val="18"/>
                <w:lang w:val="en-US"/>
              </w:rPr>
              <w:t>Resource recovery</w:t>
            </w:r>
          </w:p>
        </w:tc>
        <w:tc>
          <w:tcPr>
            <w:tcW w:w="2573" w:type="dxa"/>
          </w:tcPr>
          <w:p w14:paraId="24DC50F6" w14:textId="40F54A46" w:rsidR="00713103" w:rsidRPr="004B3DF4" w:rsidRDefault="00713103" w:rsidP="00EB7054">
            <w:pPr>
              <w:rPr>
                <w:rFonts w:asciiTheme="majorHAnsi" w:hAnsiTheme="majorHAnsi" w:cstheme="majorHAnsi"/>
                <w:sz w:val="18"/>
                <w:szCs w:val="18"/>
                <w:lang w:val="en-US"/>
              </w:rPr>
            </w:pPr>
            <w:r w:rsidRPr="004B3DF4">
              <w:rPr>
                <w:rFonts w:asciiTheme="majorHAnsi" w:hAnsiTheme="majorHAnsi" w:cstheme="majorHAnsi"/>
                <w:sz w:val="18"/>
                <w:szCs w:val="18"/>
                <w:lang w:val="en-US"/>
              </w:rPr>
              <w:t>Tobacco control</w:t>
            </w:r>
          </w:p>
        </w:tc>
      </w:tr>
      <w:tr w:rsidR="00713103" w:rsidRPr="009805DB" w14:paraId="16F85E79" w14:textId="77777777" w:rsidTr="00713103">
        <w:tc>
          <w:tcPr>
            <w:tcW w:w="2549" w:type="dxa"/>
          </w:tcPr>
          <w:p w14:paraId="1E380C41" w14:textId="6D6B7D65" w:rsidR="00713103" w:rsidRPr="009805DB" w:rsidRDefault="00713103" w:rsidP="00EB7054">
            <w:pPr>
              <w:rPr>
                <w:rFonts w:asciiTheme="majorHAnsi" w:hAnsiTheme="majorHAnsi" w:cstheme="majorHAnsi"/>
                <w:sz w:val="18"/>
                <w:szCs w:val="18"/>
                <w:lang w:val="en-US"/>
              </w:rPr>
            </w:pPr>
            <w:r w:rsidRPr="004B3DF4">
              <w:rPr>
                <w:rFonts w:asciiTheme="majorHAnsi" w:hAnsiTheme="majorHAnsi" w:cstheme="majorHAnsi"/>
                <w:sz w:val="18"/>
                <w:szCs w:val="18"/>
                <w:lang w:val="en-US"/>
              </w:rPr>
              <w:t>Sustainable aquaculture</w:t>
            </w:r>
          </w:p>
        </w:tc>
        <w:tc>
          <w:tcPr>
            <w:tcW w:w="2156" w:type="dxa"/>
          </w:tcPr>
          <w:p w14:paraId="673AEE21" w14:textId="238D50DB" w:rsidR="00713103" w:rsidRPr="009805DB" w:rsidRDefault="00713103" w:rsidP="00EB7054">
            <w:pPr>
              <w:rPr>
                <w:rFonts w:asciiTheme="majorHAnsi" w:hAnsiTheme="majorHAnsi" w:cstheme="majorHAnsi"/>
                <w:sz w:val="18"/>
                <w:szCs w:val="18"/>
                <w:lang w:val="en-US"/>
              </w:rPr>
            </w:pPr>
            <w:r w:rsidRPr="004B3DF4">
              <w:rPr>
                <w:rFonts w:asciiTheme="majorHAnsi" w:hAnsiTheme="majorHAnsi" w:cstheme="majorHAnsi"/>
                <w:sz w:val="18"/>
                <w:szCs w:val="18"/>
                <w:lang w:val="en-US"/>
              </w:rPr>
              <w:t>ICE vehicle fuel efficiency</w:t>
            </w:r>
          </w:p>
        </w:tc>
        <w:tc>
          <w:tcPr>
            <w:tcW w:w="2130" w:type="dxa"/>
          </w:tcPr>
          <w:p w14:paraId="5ACE63FE" w14:textId="178B9885" w:rsidR="00713103" w:rsidRPr="009805DB" w:rsidRDefault="00713103" w:rsidP="00713103">
            <w:pPr>
              <w:autoSpaceDE w:val="0"/>
              <w:autoSpaceDN w:val="0"/>
              <w:adjustRightInd w:val="0"/>
              <w:rPr>
                <w:rFonts w:asciiTheme="majorHAnsi" w:hAnsiTheme="majorHAnsi" w:cstheme="majorHAnsi"/>
                <w:sz w:val="18"/>
                <w:szCs w:val="18"/>
                <w:lang w:val="en-US"/>
              </w:rPr>
            </w:pPr>
            <w:r w:rsidRPr="004B3DF4">
              <w:rPr>
                <w:rFonts w:asciiTheme="majorHAnsi" w:hAnsiTheme="majorHAnsi" w:cstheme="majorHAnsi"/>
                <w:sz w:val="18"/>
                <w:szCs w:val="18"/>
                <w:lang w:val="en-US"/>
              </w:rPr>
              <w:t>End-use steel efficiency</w:t>
            </w:r>
          </w:p>
        </w:tc>
        <w:tc>
          <w:tcPr>
            <w:tcW w:w="2573" w:type="dxa"/>
          </w:tcPr>
          <w:p w14:paraId="3ADEF8B7" w14:textId="52965020" w:rsidR="00713103" w:rsidRPr="009805DB" w:rsidRDefault="00713103" w:rsidP="00EB7054">
            <w:pPr>
              <w:rPr>
                <w:rFonts w:asciiTheme="majorHAnsi" w:hAnsiTheme="majorHAnsi" w:cstheme="majorHAnsi"/>
                <w:sz w:val="18"/>
                <w:szCs w:val="18"/>
                <w:lang w:val="en-US"/>
              </w:rPr>
            </w:pPr>
            <w:r w:rsidRPr="004B3DF4">
              <w:rPr>
                <w:rFonts w:asciiTheme="majorHAnsi" w:hAnsiTheme="majorHAnsi" w:cstheme="majorHAnsi"/>
                <w:sz w:val="18"/>
                <w:szCs w:val="18"/>
                <w:lang w:val="en-US"/>
              </w:rPr>
              <w:t>Weight management programs</w:t>
            </w:r>
          </w:p>
        </w:tc>
      </w:tr>
      <w:tr w:rsidR="00713103" w:rsidRPr="009805DB" w14:paraId="4EA8326F" w14:textId="77777777" w:rsidTr="00713103">
        <w:tc>
          <w:tcPr>
            <w:tcW w:w="2549" w:type="dxa"/>
          </w:tcPr>
          <w:p w14:paraId="61167635" w14:textId="78B709F1" w:rsidR="00713103" w:rsidRPr="004B3DF4" w:rsidRDefault="00713103" w:rsidP="00EB7054">
            <w:pPr>
              <w:rPr>
                <w:rFonts w:asciiTheme="majorHAnsi" w:hAnsiTheme="majorHAnsi" w:cstheme="majorHAnsi"/>
                <w:sz w:val="18"/>
                <w:szCs w:val="18"/>
                <w:lang w:val="en-US"/>
              </w:rPr>
            </w:pPr>
            <w:r w:rsidRPr="004B3DF4">
              <w:rPr>
                <w:rFonts w:asciiTheme="majorHAnsi" w:hAnsiTheme="majorHAnsi" w:cstheme="majorHAnsi"/>
                <w:sz w:val="18"/>
                <w:szCs w:val="18"/>
                <w:lang w:val="en-US"/>
              </w:rPr>
              <w:t>Technology in smallholder farms</w:t>
            </w:r>
          </w:p>
        </w:tc>
        <w:tc>
          <w:tcPr>
            <w:tcW w:w="2156" w:type="dxa"/>
          </w:tcPr>
          <w:p w14:paraId="35C1B861" w14:textId="5D5757AC" w:rsidR="00713103" w:rsidRPr="004B3DF4" w:rsidRDefault="00713103" w:rsidP="00EB7054">
            <w:pPr>
              <w:rPr>
                <w:rFonts w:asciiTheme="majorHAnsi" w:hAnsiTheme="majorHAnsi" w:cstheme="majorHAnsi"/>
                <w:sz w:val="18"/>
                <w:szCs w:val="18"/>
                <w:lang w:val="en-US"/>
              </w:rPr>
            </w:pPr>
            <w:r w:rsidRPr="004B3DF4">
              <w:rPr>
                <w:rFonts w:asciiTheme="majorHAnsi" w:hAnsiTheme="majorHAnsi" w:cstheme="majorHAnsi"/>
                <w:sz w:val="18"/>
                <w:szCs w:val="18"/>
                <w:lang w:val="en-US"/>
              </w:rPr>
              <w:t>Building resilient cities</w:t>
            </w:r>
          </w:p>
        </w:tc>
        <w:tc>
          <w:tcPr>
            <w:tcW w:w="2130" w:type="dxa"/>
          </w:tcPr>
          <w:p w14:paraId="289E8D8E" w14:textId="77777777" w:rsidR="00713103" w:rsidRPr="004B3DF4" w:rsidRDefault="00713103" w:rsidP="00713103">
            <w:pPr>
              <w:autoSpaceDE w:val="0"/>
              <w:autoSpaceDN w:val="0"/>
              <w:adjustRightInd w:val="0"/>
              <w:rPr>
                <w:rFonts w:asciiTheme="majorHAnsi" w:hAnsiTheme="majorHAnsi" w:cstheme="majorHAnsi"/>
                <w:sz w:val="18"/>
                <w:szCs w:val="18"/>
                <w:lang w:val="en-US"/>
              </w:rPr>
            </w:pPr>
            <w:r w:rsidRPr="004B3DF4">
              <w:rPr>
                <w:rFonts w:asciiTheme="majorHAnsi" w:hAnsiTheme="majorHAnsi" w:cstheme="majorHAnsi"/>
                <w:sz w:val="18"/>
                <w:szCs w:val="18"/>
                <w:lang w:val="en-US"/>
              </w:rPr>
              <w:t>Energy efficiency-energy</w:t>
            </w:r>
          </w:p>
          <w:p w14:paraId="63CB3502" w14:textId="65A94046" w:rsidR="00713103" w:rsidRPr="004B3DF4" w:rsidRDefault="00713103" w:rsidP="00713103">
            <w:pPr>
              <w:autoSpaceDE w:val="0"/>
              <w:autoSpaceDN w:val="0"/>
              <w:adjustRightInd w:val="0"/>
              <w:rPr>
                <w:rFonts w:asciiTheme="majorHAnsi" w:hAnsiTheme="majorHAnsi" w:cstheme="majorHAnsi"/>
                <w:sz w:val="18"/>
                <w:szCs w:val="18"/>
                <w:lang w:val="en-US"/>
              </w:rPr>
            </w:pPr>
            <w:r w:rsidRPr="004B3DF4">
              <w:rPr>
                <w:rFonts w:asciiTheme="majorHAnsi" w:hAnsiTheme="majorHAnsi" w:cstheme="majorHAnsi"/>
                <w:sz w:val="18"/>
                <w:szCs w:val="18"/>
                <w:lang w:val="en-US"/>
              </w:rPr>
              <w:t>intensive industries</w:t>
            </w:r>
          </w:p>
        </w:tc>
        <w:tc>
          <w:tcPr>
            <w:tcW w:w="2573" w:type="dxa"/>
          </w:tcPr>
          <w:p w14:paraId="05BD6A6B" w14:textId="36435605" w:rsidR="00713103" w:rsidRPr="004B3DF4" w:rsidRDefault="00713103" w:rsidP="004B3DF4">
            <w:pPr>
              <w:autoSpaceDE w:val="0"/>
              <w:autoSpaceDN w:val="0"/>
              <w:adjustRightInd w:val="0"/>
              <w:rPr>
                <w:rFonts w:asciiTheme="majorHAnsi" w:hAnsiTheme="majorHAnsi" w:cstheme="majorHAnsi"/>
                <w:sz w:val="18"/>
                <w:szCs w:val="18"/>
                <w:lang w:val="en-US"/>
              </w:rPr>
            </w:pPr>
            <w:r w:rsidRPr="004B3DF4">
              <w:rPr>
                <w:rFonts w:asciiTheme="majorHAnsi" w:hAnsiTheme="majorHAnsi" w:cstheme="majorHAnsi"/>
                <w:sz w:val="18"/>
                <w:szCs w:val="18"/>
                <w:lang w:val="en-US"/>
              </w:rPr>
              <w:t>Better disease</w:t>
            </w:r>
            <w:r w:rsidRPr="009805DB">
              <w:rPr>
                <w:rFonts w:asciiTheme="majorHAnsi" w:hAnsiTheme="majorHAnsi" w:cstheme="majorHAnsi"/>
                <w:sz w:val="18"/>
                <w:szCs w:val="18"/>
                <w:lang w:val="en-US"/>
              </w:rPr>
              <w:t xml:space="preserve"> </w:t>
            </w:r>
            <w:r w:rsidRPr="004B3DF4">
              <w:rPr>
                <w:rFonts w:asciiTheme="majorHAnsi" w:hAnsiTheme="majorHAnsi" w:cstheme="majorHAnsi"/>
                <w:sz w:val="18"/>
                <w:szCs w:val="18"/>
                <w:lang w:val="en-US"/>
              </w:rPr>
              <w:t>management</w:t>
            </w:r>
          </w:p>
        </w:tc>
      </w:tr>
      <w:tr w:rsidR="00713103" w:rsidRPr="009805DB" w14:paraId="4B26DC53" w14:textId="77777777" w:rsidTr="00713103">
        <w:tc>
          <w:tcPr>
            <w:tcW w:w="2549" w:type="dxa"/>
          </w:tcPr>
          <w:p w14:paraId="2074430D" w14:textId="5A9EB477" w:rsidR="00713103" w:rsidRPr="009805DB" w:rsidRDefault="009805DB" w:rsidP="00EB7054">
            <w:pPr>
              <w:rPr>
                <w:rFonts w:asciiTheme="majorHAnsi" w:hAnsiTheme="majorHAnsi" w:cstheme="majorHAnsi"/>
                <w:sz w:val="18"/>
                <w:szCs w:val="18"/>
                <w:lang w:val="en-US"/>
              </w:rPr>
            </w:pPr>
            <w:r w:rsidRPr="004B3DF4">
              <w:rPr>
                <w:rFonts w:asciiTheme="majorHAnsi" w:hAnsiTheme="majorHAnsi" w:cstheme="majorHAnsi"/>
                <w:sz w:val="18"/>
                <w:szCs w:val="18"/>
                <w:lang w:val="en-US"/>
              </w:rPr>
              <w:t>Micro-irrigation</w:t>
            </w:r>
          </w:p>
        </w:tc>
        <w:tc>
          <w:tcPr>
            <w:tcW w:w="2156" w:type="dxa"/>
          </w:tcPr>
          <w:p w14:paraId="273D0B83" w14:textId="6E06B7E1" w:rsidR="00713103" w:rsidRPr="009805DB" w:rsidRDefault="009805DB" w:rsidP="00EB7054">
            <w:pPr>
              <w:rPr>
                <w:rFonts w:asciiTheme="majorHAnsi" w:hAnsiTheme="majorHAnsi" w:cstheme="majorHAnsi"/>
                <w:sz w:val="18"/>
                <w:szCs w:val="18"/>
                <w:lang w:val="en-US"/>
              </w:rPr>
            </w:pPr>
            <w:r w:rsidRPr="004B3DF4">
              <w:rPr>
                <w:rFonts w:asciiTheme="majorHAnsi" w:hAnsiTheme="majorHAnsi" w:cstheme="majorHAnsi"/>
                <w:sz w:val="18"/>
                <w:szCs w:val="18"/>
                <w:lang w:val="en-US"/>
              </w:rPr>
              <w:t>Municipal water leakage</w:t>
            </w:r>
          </w:p>
        </w:tc>
        <w:tc>
          <w:tcPr>
            <w:tcW w:w="2130" w:type="dxa"/>
          </w:tcPr>
          <w:p w14:paraId="4CCA7DB0" w14:textId="77777777" w:rsidR="009805DB" w:rsidRPr="004B3DF4" w:rsidRDefault="009805DB" w:rsidP="009805DB">
            <w:pPr>
              <w:autoSpaceDE w:val="0"/>
              <w:autoSpaceDN w:val="0"/>
              <w:adjustRightInd w:val="0"/>
              <w:rPr>
                <w:rFonts w:asciiTheme="majorHAnsi" w:hAnsiTheme="majorHAnsi" w:cstheme="majorHAnsi"/>
                <w:sz w:val="18"/>
                <w:szCs w:val="18"/>
                <w:lang w:val="en-US"/>
              </w:rPr>
            </w:pPr>
            <w:r w:rsidRPr="004B3DF4">
              <w:rPr>
                <w:rFonts w:asciiTheme="majorHAnsi" w:hAnsiTheme="majorHAnsi" w:cstheme="majorHAnsi"/>
                <w:sz w:val="18"/>
                <w:szCs w:val="18"/>
                <w:lang w:val="en-US"/>
              </w:rPr>
              <w:t>Carbon capture and</w:t>
            </w:r>
          </w:p>
          <w:p w14:paraId="6BEF667F" w14:textId="0F44A9AC" w:rsidR="00713103" w:rsidRPr="009805DB" w:rsidRDefault="009805DB" w:rsidP="009805DB">
            <w:pPr>
              <w:autoSpaceDE w:val="0"/>
              <w:autoSpaceDN w:val="0"/>
              <w:adjustRightInd w:val="0"/>
              <w:rPr>
                <w:rFonts w:asciiTheme="majorHAnsi" w:hAnsiTheme="majorHAnsi" w:cstheme="majorHAnsi"/>
                <w:sz w:val="18"/>
                <w:szCs w:val="18"/>
                <w:lang w:val="en-US"/>
              </w:rPr>
            </w:pPr>
            <w:r w:rsidRPr="004B3DF4">
              <w:rPr>
                <w:rFonts w:asciiTheme="majorHAnsi" w:hAnsiTheme="majorHAnsi" w:cstheme="majorHAnsi"/>
                <w:sz w:val="18"/>
                <w:szCs w:val="18"/>
                <w:lang w:val="en-US"/>
              </w:rPr>
              <w:t>storage</w:t>
            </w:r>
          </w:p>
        </w:tc>
        <w:tc>
          <w:tcPr>
            <w:tcW w:w="2573" w:type="dxa"/>
          </w:tcPr>
          <w:p w14:paraId="5A3C0208" w14:textId="55B9556B" w:rsidR="00713103" w:rsidRPr="009805DB" w:rsidRDefault="009805DB" w:rsidP="00713103">
            <w:pPr>
              <w:autoSpaceDE w:val="0"/>
              <w:autoSpaceDN w:val="0"/>
              <w:adjustRightInd w:val="0"/>
              <w:rPr>
                <w:rFonts w:asciiTheme="majorHAnsi" w:hAnsiTheme="majorHAnsi" w:cstheme="majorHAnsi"/>
                <w:sz w:val="18"/>
                <w:szCs w:val="18"/>
                <w:lang w:val="en-US"/>
              </w:rPr>
            </w:pPr>
            <w:r w:rsidRPr="004B3DF4">
              <w:rPr>
                <w:rFonts w:asciiTheme="majorHAnsi" w:hAnsiTheme="majorHAnsi" w:cstheme="majorHAnsi"/>
                <w:sz w:val="18"/>
                <w:szCs w:val="18"/>
                <w:lang w:val="en-US"/>
              </w:rPr>
              <w:t>Electronic medical records</w:t>
            </w:r>
          </w:p>
        </w:tc>
      </w:tr>
      <w:tr w:rsidR="009805DB" w:rsidRPr="009805DB" w14:paraId="1A1DF2CD" w14:textId="77777777" w:rsidTr="00713103">
        <w:tc>
          <w:tcPr>
            <w:tcW w:w="2549" w:type="dxa"/>
          </w:tcPr>
          <w:p w14:paraId="2D947C0A" w14:textId="72C22CCE" w:rsidR="009805DB" w:rsidRPr="004B3DF4" w:rsidRDefault="009805DB" w:rsidP="00EB7054">
            <w:pPr>
              <w:rPr>
                <w:rFonts w:asciiTheme="majorHAnsi" w:hAnsiTheme="majorHAnsi" w:cstheme="majorHAnsi"/>
                <w:sz w:val="18"/>
                <w:szCs w:val="18"/>
                <w:lang w:val="en-US"/>
              </w:rPr>
            </w:pPr>
            <w:r w:rsidRPr="004B3DF4">
              <w:rPr>
                <w:rFonts w:asciiTheme="majorHAnsi" w:hAnsiTheme="majorHAnsi" w:cstheme="majorHAnsi"/>
                <w:sz w:val="18"/>
                <w:szCs w:val="18"/>
                <w:lang w:val="en-US"/>
              </w:rPr>
              <w:t>Restoring degraded land</w:t>
            </w:r>
          </w:p>
        </w:tc>
        <w:tc>
          <w:tcPr>
            <w:tcW w:w="2156" w:type="dxa"/>
          </w:tcPr>
          <w:p w14:paraId="3467494D" w14:textId="17B2CF4F" w:rsidR="009805DB" w:rsidRPr="004B3DF4" w:rsidRDefault="009805DB" w:rsidP="00EB7054">
            <w:pPr>
              <w:rPr>
                <w:rFonts w:asciiTheme="majorHAnsi" w:hAnsiTheme="majorHAnsi" w:cstheme="majorHAnsi"/>
                <w:sz w:val="18"/>
                <w:szCs w:val="18"/>
                <w:lang w:val="en-US"/>
              </w:rPr>
            </w:pPr>
            <w:r w:rsidRPr="004B3DF4">
              <w:rPr>
                <w:rFonts w:asciiTheme="majorHAnsi" w:hAnsiTheme="majorHAnsi" w:cstheme="majorHAnsi"/>
                <w:sz w:val="18"/>
                <w:szCs w:val="18"/>
                <w:lang w:val="en-US"/>
              </w:rPr>
              <w:t>Cultural tourism</w:t>
            </w:r>
          </w:p>
        </w:tc>
        <w:tc>
          <w:tcPr>
            <w:tcW w:w="2130" w:type="dxa"/>
          </w:tcPr>
          <w:p w14:paraId="7973D541" w14:textId="6989395A" w:rsidR="009805DB" w:rsidRPr="004B3DF4" w:rsidRDefault="009805DB" w:rsidP="009805DB">
            <w:pPr>
              <w:autoSpaceDE w:val="0"/>
              <w:autoSpaceDN w:val="0"/>
              <w:adjustRightInd w:val="0"/>
              <w:rPr>
                <w:rFonts w:asciiTheme="majorHAnsi" w:hAnsiTheme="majorHAnsi" w:cstheme="majorHAnsi"/>
                <w:sz w:val="18"/>
                <w:szCs w:val="18"/>
                <w:lang w:val="en-US"/>
              </w:rPr>
            </w:pPr>
            <w:r w:rsidRPr="004B3DF4">
              <w:rPr>
                <w:rFonts w:asciiTheme="majorHAnsi" w:hAnsiTheme="majorHAnsi" w:cstheme="majorHAnsi"/>
                <w:sz w:val="18"/>
                <w:szCs w:val="18"/>
                <w:lang w:val="en-US"/>
              </w:rPr>
              <w:t>Energy access</w:t>
            </w:r>
          </w:p>
        </w:tc>
        <w:tc>
          <w:tcPr>
            <w:tcW w:w="2573" w:type="dxa"/>
          </w:tcPr>
          <w:p w14:paraId="6BC906FC" w14:textId="131F075A" w:rsidR="009805DB" w:rsidRPr="004B3DF4" w:rsidRDefault="009805DB" w:rsidP="00713103">
            <w:pPr>
              <w:autoSpaceDE w:val="0"/>
              <w:autoSpaceDN w:val="0"/>
              <w:adjustRightInd w:val="0"/>
              <w:rPr>
                <w:rFonts w:asciiTheme="majorHAnsi" w:hAnsiTheme="majorHAnsi" w:cstheme="majorHAnsi"/>
                <w:sz w:val="18"/>
                <w:szCs w:val="18"/>
                <w:lang w:val="en-US"/>
              </w:rPr>
            </w:pPr>
            <w:r w:rsidRPr="004B3DF4">
              <w:rPr>
                <w:rFonts w:asciiTheme="majorHAnsi" w:hAnsiTheme="majorHAnsi" w:cstheme="majorHAnsi"/>
                <w:sz w:val="18"/>
                <w:szCs w:val="18"/>
                <w:lang w:val="en-US"/>
              </w:rPr>
              <w:t>Better maternal and child health</w:t>
            </w:r>
          </w:p>
        </w:tc>
      </w:tr>
      <w:tr w:rsidR="009805DB" w:rsidRPr="009805DB" w14:paraId="05D03EE6" w14:textId="77777777" w:rsidTr="00713103">
        <w:tc>
          <w:tcPr>
            <w:tcW w:w="2549" w:type="dxa"/>
          </w:tcPr>
          <w:p w14:paraId="4F5FA75E" w14:textId="0C4AEC76" w:rsidR="009805DB" w:rsidRPr="004B3DF4" w:rsidRDefault="009805DB" w:rsidP="00EB7054">
            <w:pPr>
              <w:rPr>
                <w:rFonts w:asciiTheme="majorHAnsi" w:hAnsiTheme="majorHAnsi" w:cstheme="majorHAnsi"/>
                <w:sz w:val="18"/>
                <w:szCs w:val="18"/>
                <w:lang w:val="en-US"/>
              </w:rPr>
            </w:pPr>
            <w:r w:rsidRPr="004B3DF4">
              <w:rPr>
                <w:rFonts w:asciiTheme="majorHAnsi" w:hAnsiTheme="majorHAnsi" w:cstheme="majorHAnsi"/>
                <w:sz w:val="18"/>
                <w:szCs w:val="18"/>
                <w:lang w:val="en-US"/>
              </w:rPr>
              <w:t>Reducing packaging waste</w:t>
            </w:r>
          </w:p>
        </w:tc>
        <w:tc>
          <w:tcPr>
            <w:tcW w:w="2156" w:type="dxa"/>
          </w:tcPr>
          <w:p w14:paraId="23A4A27B" w14:textId="400C8D69" w:rsidR="009805DB" w:rsidRPr="004B3DF4" w:rsidRDefault="009805DB" w:rsidP="00EB7054">
            <w:pPr>
              <w:rPr>
                <w:rFonts w:asciiTheme="majorHAnsi" w:hAnsiTheme="majorHAnsi" w:cstheme="majorHAnsi"/>
                <w:sz w:val="18"/>
                <w:szCs w:val="18"/>
                <w:lang w:val="en-US"/>
              </w:rPr>
            </w:pPr>
            <w:r w:rsidRPr="004B3DF4">
              <w:rPr>
                <w:rFonts w:asciiTheme="majorHAnsi" w:hAnsiTheme="majorHAnsi" w:cstheme="majorHAnsi"/>
                <w:sz w:val="18"/>
                <w:szCs w:val="18"/>
                <w:lang w:val="en-US"/>
              </w:rPr>
              <w:t>Smart metering</w:t>
            </w:r>
          </w:p>
        </w:tc>
        <w:tc>
          <w:tcPr>
            <w:tcW w:w="2130" w:type="dxa"/>
          </w:tcPr>
          <w:p w14:paraId="7DFA20A5" w14:textId="6B5FFDF4" w:rsidR="009805DB" w:rsidRPr="004B3DF4" w:rsidRDefault="009805DB" w:rsidP="009805DB">
            <w:pPr>
              <w:autoSpaceDE w:val="0"/>
              <w:autoSpaceDN w:val="0"/>
              <w:adjustRightInd w:val="0"/>
              <w:rPr>
                <w:rFonts w:asciiTheme="majorHAnsi" w:hAnsiTheme="majorHAnsi" w:cstheme="majorHAnsi"/>
                <w:sz w:val="18"/>
                <w:szCs w:val="18"/>
                <w:lang w:val="en-US"/>
              </w:rPr>
            </w:pPr>
            <w:r w:rsidRPr="004B3DF4">
              <w:rPr>
                <w:rFonts w:asciiTheme="majorHAnsi" w:hAnsiTheme="majorHAnsi" w:cstheme="majorHAnsi"/>
                <w:sz w:val="18"/>
                <w:szCs w:val="18"/>
                <w:lang w:val="en-US"/>
              </w:rPr>
              <w:t>Green chemicals</w:t>
            </w:r>
          </w:p>
        </w:tc>
        <w:tc>
          <w:tcPr>
            <w:tcW w:w="2573" w:type="dxa"/>
          </w:tcPr>
          <w:p w14:paraId="7FC36395" w14:textId="7365F44F" w:rsidR="009805DB" w:rsidRPr="004B3DF4" w:rsidRDefault="009805DB" w:rsidP="00713103">
            <w:pPr>
              <w:autoSpaceDE w:val="0"/>
              <w:autoSpaceDN w:val="0"/>
              <w:adjustRightInd w:val="0"/>
              <w:rPr>
                <w:rFonts w:asciiTheme="majorHAnsi" w:hAnsiTheme="majorHAnsi" w:cstheme="majorHAnsi"/>
                <w:sz w:val="18"/>
                <w:szCs w:val="18"/>
                <w:lang w:val="en-US"/>
              </w:rPr>
            </w:pPr>
            <w:r w:rsidRPr="004B3DF4">
              <w:rPr>
                <w:rFonts w:asciiTheme="majorHAnsi" w:hAnsiTheme="majorHAnsi" w:cstheme="majorHAnsi"/>
                <w:sz w:val="18"/>
                <w:szCs w:val="18"/>
                <w:lang w:val="en-US"/>
              </w:rPr>
              <w:t>Healthcare training</w:t>
            </w:r>
          </w:p>
        </w:tc>
      </w:tr>
      <w:tr w:rsidR="009805DB" w:rsidRPr="009805DB" w14:paraId="15E44935" w14:textId="77777777" w:rsidTr="00713103">
        <w:tc>
          <w:tcPr>
            <w:tcW w:w="2549" w:type="dxa"/>
          </w:tcPr>
          <w:p w14:paraId="42699768" w14:textId="04D6353E" w:rsidR="009805DB" w:rsidRPr="004B3DF4" w:rsidRDefault="009805DB" w:rsidP="00EB7054">
            <w:pPr>
              <w:rPr>
                <w:rFonts w:asciiTheme="majorHAnsi" w:hAnsiTheme="majorHAnsi" w:cstheme="majorHAnsi"/>
                <w:sz w:val="18"/>
                <w:szCs w:val="18"/>
                <w:lang w:val="en-US"/>
              </w:rPr>
            </w:pPr>
            <w:r w:rsidRPr="004B3DF4">
              <w:rPr>
                <w:rFonts w:asciiTheme="majorHAnsi" w:hAnsiTheme="majorHAnsi" w:cstheme="majorHAnsi"/>
                <w:sz w:val="18"/>
                <w:szCs w:val="18"/>
                <w:lang w:val="en-US"/>
              </w:rPr>
              <w:t>Cattle intensification</w:t>
            </w:r>
          </w:p>
        </w:tc>
        <w:tc>
          <w:tcPr>
            <w:tcW w:w="2156" w:type="dxa"/>
          </w:tcPr>
          <w:p w14:paraId="4A806A78" w14:textId="77777777" w:rsidR="009805DB" w:rsidRPr="004B3DF4" w:rsidRDefault="009805DB" w:rsidP="009805DB">
            <w:pPr>
              <w:autoSpaceDE w:val="0"/>
              <w:autoSpaceDN w:val="0"/>
              <w:adjustRightInd w:val="0"/>
              <w:rPr>
                <w:rFonts w:asciiTheme="majorHAnsi" w:hAnsiTheme="majorHAnsi" w:cstheme="majorHAnsi"/>
                <w:sz w:val="18"/>
                <w:szCs w:val="18"/>
                <w:lang w:val="en-US"/>
              </w:rPr>
            </w:pPr>
            <w:r w:rsidRPr="004B3DF4">
              <w:rPr>
                <w:rFonts w:asciiTheme="majorHAnsi" w:hAnsiTheme="majorHAnsi" w:cstheme="majorHAnsi"/>
                <w:sz w:val="18"/>
                <w:szCs w:val="18"/>
                <w:lang w:val="en-US"/>
              </w:rPr>
              <w:t>Water and sanitation</w:t>
            </w:r>
          </w:p>
          <w:p w14:paraId="67E23903" w14:textId="3B81564F" w:rsidR="009805DB" w:rsidRPr="004B3DF4" w:rsidRDefault="009805DB" w:rsidP="009805DB">
            <w:pPr>
              <w:rPr>
                <w:rFonts w:asciiTheme="majorHAnsi" w:hAnsiTheme="majorHAnsi" w:cstheme="majorHAnsi"/>
                <w:sz w:val="18"/>
                <w:szCs w:val="18"/>
                <w:lang w:val="en-US"/>
              </w:rPr>
            </w:pPr>
            <w:r w:rsidRPr="004B3DF4">
              <w:rPr>
                <w:rFonts w:asciiTheme="majorHAnsi" w:hAnsiTheme="majorHAnsi" w:cstheme="majorHAnsi"/>
                <w:sz w:val="18"/>
                <w:szCs w:val="18"/>
                <w:lang w:val="en-US"/>
              </w:rPr>
              <w:t>Infrastructure</w:t>
            </w:r>
          </w:p>
        </w:tc>
        <w:tc>
          <w:tcPr>
            <w:tcW w:w="2130" w:type="dxa"/>
          </w:tcPr>
          <w:p w14:paraId="6CB205D3" w14:textId="6A8A1ED7" w:rsidR="009805DB" w:rsidRPr="004B3DF4" w:rsidRDefault="009805DB" w:rsidP="009805DB">
            <w:pPr>
              <w:autoSpaceDE w:val="0"/>
              <w:autoSpaceDN w:val="0"/>
              <w:adjustRightInd w:val="0"/>
              <w:rPr>
                <w:rFonts w:asciiTheme="majorHAnsi" w:hAnsiTheme="majorHAnsi" w:cstheme="majorHAnsi"/>
                <w:sz w:val="18"/>
                <w:szCs w:val="18"/>
                <w:lang w:val="en-US"/>
              </w:rPr>
            </w:pPr>
            <w:r w:rsidRPr="004B3DF4">
              <w:rPr>
                <w:rFonts w:asciiTheme="majorHAnsi" w:hAnsiTheme="majorHAnsi" w:cstheme="majorHAnsi"/>
                <w:sz w:val="18"/>
                <w:szCs w:val="18"/>
                <w:lang w:val="en-US"/>
              </w:rPr>
              <w:t>Additive manufacturing</w:t>
            </w:r>
          </w:p>
        </w:tc>
        <w:tc>
          <w:tcPr>
            <w:tcW w:w="2573" w:type="dxa"/>
          </w:tcPr>
          <w:p w14:paraId="04965269" w14:textId="736A1456" w:rsidR="009805DB" w:rsidRPr="004B3DF4" w:rsidRDefault="009805DB" w:rsidP="00713103">
            <w:pPr>
              <w:autoSpaceDE w:val="0"/>
              <w:autoSpaceDN w:val="0"/>
              <w:adjustRightInd w:val="0"/>
              <w:rPr>
                <w:rFonts w:asciiTheme="majorHAnsi" w:hAnsiTheme="majorHAnsi" w:cstheme="majorHAnsi"/>
                <w:sz w:val="18"/>
                <w:szCs w:val="18"/>
                <w:lang w:val="en-US"/>
              </w:rPr>
            </w:pPr>
            <w:r w:rsidRPr="004B3DF4">
              <w:rPr>
                <w:rFonts w:asciiTheme="majorHAnsi" w:hAnsiTheme="majorHAnsi" w:cstheme="majorHAnsi"/>
                <w:sz w:val="18"/>
                <w:szCs w:val="18"/>
                <w:lang w:val="en-US"/>
              </w:rPr>
              <w:t>Low-cost surgery</w:t>
            </w:r>
          </w:p>
        </w:tc>
      </w:tr>
      <w:tr w:rsidR="009805DB" w:rsidRPr="009805DB" w14:paraId="104D74DB" w14:textId="77777777" w:rsidTr="00713103">
        <w:tc>
          <w:tcPr>
            <w:tcW w:w="2549" w:type="dxa"/>
          </w:tcPr>
          <w:p w14:paraId="18038958" w14:textId="2F1F7458" w:rsidR="009805DB" w:rsidRPr="004B3DF4" w:rsidRDefault="009805DB" w:rsidP="00EB7054">
            <w:pPr>
              <w:rPr>
                <w:rFonts w:asciiTheme="majorHAnsi" w:hAnsiTheme="majorHAnsi" w:cstheme="majorHAnsi"/>
                <w:sz w:val="18"/>
                <w:szCs w:val="18"/>
                <w:lang w:val="en-US"/>
              </w:rPr>
            </w:pPr>
            <w:r w:rsidRPr="004B3DF4">
              <w:rPr>
                <w:rFonts w:asciiTheme="majorHAnsi" w:hAnsiTheme="majorHAnsi" w:cstheme="majorHAnsi"/>
                <w:sz w:val="18"/>
                <w:szCs w:val="18"/>
                <w:lang w:val="en-US"/>
              </w:rPr>
              <w:t>Urban agriculture</w:t>
            </w:r>
          </w:p>
        </w:tc>
        <w:tc>
          <w:tcPr>
            <w:tcW w:w="2156" w:type="dxa"/>
          </w:tcPr>
          <w:p w14:paraId="5AB8C597" w14:textId="304A5CBD" w:rsidR="009805DB" w:rsidRPr="004B3DF4" w:rsidRDefault="009805DB" w:rsidP="009805DB">
            <w:pPr>
              <w:autoSpaceDE w:val="0"/>
              <w:autoSpaceDN w:val="0"/>
              <w:adjustRightInd w:val="0"/>
              <w:rPr>
                <w:rFonts w:asciiTheme="majorHAnsi" w:hAnsiTheme="majorHAnsi" w:cstheme="majorHAnsi"/>
                <w:sz w:val="18"/>
                <w:szCs w:val="18"/>
                <w:lang w:val="en-US"/>
              </w:rPr>
            </w:pPr>
            <w:r w:rsidRPr="004B3DF4">
              <w:rPr>
                <w:rFonts w:asciiTheme="majorHAnsi" w:hAnsiTheme="majorHAnsi" w:cstheme="majorHAnsi"/>
                <w:sz w:val="18"/>
                <w:szCs w:val="18"/>
                <w:lang w:val="en-US"/>
              </w:rPr>
              <w:t>Office sharing</w:t>
            </w:r>
          </w:p>
        </w:tc>
        <w:tc>
          <w:tcPr>
            <w:tcW w:w="2130" w:type="dxa"/>
          </w:tcPr>
          <w:p w14:paraId="7D811CC6" w14:textId="327D2EAA" w:rsidR="009805DB" w:rsidRPr="004B3DF4" w:rsidRDefault="009805DB" w:rsidP="009805DB">
            <w:pPr>
              <w:autoSpaceDE w:val="0"/>
              <w:autoSpaceDN w:val="0"/>
              <w:adjustRightInd w:val="0"/>
              <w:rPr>
                <w:rFonts w:asciiTheme="majorHAnsi" w:hAnsiTheme="majorHAnsi" w:cstheme="majorHAnsi"/>
                <w:sz w:val="18"/>
                <w:szCs w:val="18"/>
                <w:lang w:val="en-US"/>
              </w:rPr>
            </w:pPr>
            <w:r w:rsidRPr="004B3DF4">
              <w:rPr>
                <w:rFonts w:asciiTheme="majorHAnsi" w:hAnsiTheme="majorHAnsi" w:cstheme="majorHAnsi"/>
                <w:sz w:val="18"/>
                <w:szCs w:val="18"/>
                <w:lang w:val="en-US"/>
              </w:rPr>
              <w:t>Local content in extractives</w:t>
            </w:r>
          </w:p>
        </w:tc>
        <w:tc>
          <w:tcPr>
            <w:tcW w:w="2573" w:type="dxa"/>
          </w:tcPr>
          <w:p w14:paraId="5D39DFD9" w14:textId="77777777" w:rsidR="009805DB" w:rsidRPr="004B3DF4" w:rsidRDefault="009805DB" w:rsidP="00713103">
            <w:pPr>
              <w:autoSpaceDE w:val="0"/>
              <w:autoSpaceDN w:val="0"/>
              <w:adjustRightInd w:val="0"/>
              <w:rPr>
                <w:rFonts w:asciiTheme="majorHAnsi" w:hAnsiTheme="majorHAnsi" w:cstheme="majorHAnsi"/>
                <w:sz w:val="18"/>
                <w:szCs w:val="18"/>
                <w:lang w:val="en-US"/>
              </w:rPr>
            </w:pPr>
          </w:p>
        </w:tc>
      </w:tr>
      <w:tr w:rsidR="009805DB" w:rsidRPr="009805DB" w14:paraId="62E20481" w14:textId="77777777" w:rsidTr="00713103">
        <w:tc>
          <w:tcPr>
            <w:tcW w:w="2549" w:type="dxa"/>
          </w:tcPr>
          <w:p w14:paraId="33181F2B" w14:textId="77777777" w:rsidR="009805DB" w:rsidRPr="004B3DF4" w:rsidRDefault="009805DB" w:rsidP="00EB7054">
            <w:pPr>
              <w:rPr>
                <w:rFonts w:asciiTheme="majorHAnsi" w:hAnsiTheme="majorHAnsi" w:cstheme="majorHAnsi"/>
                <w:sz w:val="18"/>
                <w:szCs w:val="18"/>
                <w:lang w:val="en-US"/>
              </w:rPr>
            </w:pPr>
          </w:p>
        </w:tc>
        <w:tc>
          <w:tcPr>
            <w:tcW w:w="2156" w:type="dxa"/>
          </w:tcPr>
          <w:p w14:paraId="3F707271" w14:textId="6279CFC9" w:rsidR="009805DB" w:rsidRPr="004B3DF4" w:rsidRDefault="009805DB" w:rsidP="009805DB">
            <w:pPr>
              <w:autoSpaceDE w:val="0"/>
              <w:autoSpaceDN w:val="0"/>
              <w:adjustRightInd w:val="0"/>
              <w:rPr>
                <w:rFonts w:asciiTheme="majorHAnsi" w:hAnsiTheme="majorHAnsi" w:cstheme="majorHAnsi"/>
                <w:sz w:val="18"/>
                <w:szCs w:val="18"/>
                <w:lang w:val="en-US"/>
              </w:rPr>
            </w:pPr>
            <w:r w:rsidRPr="004B3DF4">
              <w:rPr>
                <w:rFonts w:asciiTheme="majorHAnsi" w:hAnsiTheme="majorHAnsi" w:cstheme="majorHAnsi"/>
                <w:sz w:val="18"/>
                <w:szCs w:val="18"/>
                <w:lang w:val="en-US"/>
              </w:rPr>
              <w:t>Timber buildings</w:t>
            </w:r>
          </w:p>
        </w:tc>
        <w:tc>
          <w:tcPr>
            <w:tcW w:w="2130" w:type="dxa"/>
          </w:tcPr>
          <w:p w14:paraId="57E31DE9" w14:textId="046E7881" w:rsidR="009805DB" w:rsidRPr="004B3DF4" w:rsidRDefault="009805DB" w:rsidP="009805DB">
            <w:pPr>
              <w:autoSpaceDE w:val="0"/>
              <w:autoSpaceDN w:val="0"/>
              <w:adjustRightInd w:val="0"/>
              <w:rPr>
                <w:rFonts w:asciiTheme="majorHAnsi" w:hAnsiTheme="majorHAnsi" w:cstheme="majorHAnsi"/>
                <w:sz w:val="18"/>
                <w:szCs w:val="18"/>
                <w:lang w:val="en-US"/>
              </w:rPr>
            </w:pPr>
            <w:r w:rsidRPr="004B3DF4">
              <w:rPr>
                <w:rFonts w:asciiTheme="majorHAnsi" w:hAnsiTheme="majorHAnsi" w:cstheme="majorHAnsi"/>
                <w:sz w:val="18"/>
                <w:szCs w:val="18"/>
                <w:lang w:val="en-US"/>
              </w:rPr>
              <w:t>Shared infrastructure</w:t>
            </w:r>
          </w:p>
        </w:tc>
        <w:tc>
          <w:tcPr>
            <w:tcW w:w="2573" w:type="dxa"/>
          </w:tcPr>
          <w:p w14:paraId="3EFF4AB6" w14:textId="77777777" w:rsidR="009805DB" w:rsidRPr="004B3DF4" w:rsidRDefault="009805DB" w:rsidP="00713103">
            <w:pPr>
              <w:autoSpaceDE w:val="0"/>
              <w:autoSpaceDN w:val="0"/>
              <w:adjustRightInd w:val="0"/>
              <w:rPr>
                <w:rFonts w:asciiTheme="majorHAnsi" w:hAnsiTheme="majorHAnsi" w:cstheme="majorHAnsi"/>
                <w:sz w:val="18"/>
                <w:szCs w:val="18"/>
                <w:lang w:val="en-US"/>
              </w:rPr>
            </w:pPr>
          </w:p>
        </w:tc>
      </w:tr>
      <w:tr w:rsidR="009805DB" w:rsidRPr="009805DB" w14:paraId="0B45E942" w14:textId="77777777" w:rsidTr="00713103">
        <w:tc>
          <w:tcPr>
            <w:tcW w:w="2549" w:type="dxa"/>
          </w:tcPr>
          <w:p w14:paraId="59168F00" w14:textId="77777777" w:rsidR="009805DB" w:rsidRPr="004B3DF4" w:rsidRDefault="009805DB" w:rsidP="00EB7054">
            <w:pPr>
              <w:rPr>
                <w:rFonts w:asciiTheme="majorHAnsi" w:hAnsiTheme="majorHAnsi" w:cstheme="majorHAnsi"/>
                <w:sz w:val="18"/>
                <w:szCs w:val="18"/>
                <w:lang w:val="en-US"/>
              </w:rPr>
            </w:pPr>
          </w:p>
        </w:tc>
        <w:tc>
          <w:tcPr>
            <w:tcW w:w="2156" w:type="dxa"/>
          </w:tcPr>
          <w:p w14:paraId="5178C8F1" w14:textId="566A68E8" w:rsidR="009805DB" w:rsidRPr="004B3DF4" w:rsidRDefault="009805DB" w:rsidP="009805DB">
            <w:pPr>
              <w:autoSpaceDE w:val="0"/>
              <w:autoSpaceDN w:val="0"/>
              <w:adjustRightInd w:val="0"/>
              <w:rPr>
                <w:rFonts w:asciiTheme="majorHAnsi" w:hAnsiTheme="majorHAnsi" w:cstheme="majorHAnsi"/>
                <w:sz w:val="18"/>
                <w:szCs w:val="18"/>
                <w:lang w:val="en-US"/>
              </w:rPr>
            </w:pPr>
            <w:r w:rsidRPr="004B3DF4">
              <w:rPr>
                <w:rFonts w:asciiTheme="majorHAnsi" w:hAnsiTheme="majorHAnsi" w:cstheme="majorHAnsi"/>
                <w:sz w:val="18"/>
                <w:szCs w:val="18"/>
                <w:lang w:val="en-US"/>
              </w:rPr>
              <w:t>Durable and modular buildings</w:t>
            </w:r>
          </w:p>
        </w:tc>
        <w:tc>
          <w:tcPr>
            <w:tcW w:w="2130" w:type="dxa"/>
          </w:tcPr>
          <w:p w14:paraId="21C1AC81" w14:textId="01C0AA06" w:rsidR="009805DB" w:rsidRPr="004B3DF4" w:rsidRDefault="009805DB" w:rsidP="009805DB">
            <w:pPr>
              <w:autoSpaceDE w:val="0"/>
              <w:autoSpaceDN w:val="0"/>
              <w:adjustRightInd w:val="0"/>
              <w:rPr>
                <w:rFonts w:asciiTheme="majorHAnsi" w:hAnsiTheme="majorHAnsi" w:cstheme="majorHAnsi"/>
                <w:sz w:val="18"/>
                <w:szCs w:val="18"/>
                <w:lang w:val="en-US"/>
              </w:rPr>
            </w:pPr>
            <w:r w:rsidRPr="004B3DF4">
              <w:rPr>
                <w:rFonts w:asciiTheme="majorHAnsi" w:hAnsiTheme="majorHAnsi" w:cstheme="majorHAnsi"/>
                <w:sz w:val="18"/>
                <w:szCs w:val="18"/>
                <w:lang w:val="en-US"/>
              </w:rPr>
              <w:t>Mine rehabilitation</w:t>
            </w:r>
          </w:p>
        </w:tc>
        <w:tc>
          <w:tcPr>
            <w:tcW w:w="2573" w:type="dxa"/>
          </w:tcPr>
          <w:p w14:paraId="1E039A5F" w14:textId="77777777" w:rsidR="009805DB" w:rsidRPr="004B3DF4" w:rsidRDefault="009805DB" w:rsidP="00713103">
            <w:pPr>
              <w:autoSpaceDE w:val="0"/>
              <w:autoSpaceDN w:val="0"/>
              <w:adjustRightInd w:val="0"/>
              <w:rPr>
                <w:rFonts w:asciiTheme="majorHAnsi" w:hAnsiTheme="majorHAnsi" w:cstheme="majorHAnsi"/>
                <w:sz w:val="18"/>
                <w:szCs w:val="18"/>
                <w:lang w:val="en-US"/>
              </w:rPr>
            </w:pPr>
          </w:p>
        </w:tc>
      </w:tr>
      <w:tr w:rsidR="009805DB" w:rsidRPr="009805DB" w14:paraId="042946EC" w14:textId="77777777" w:rsidTr="00713103">
        <w:tc>
          <w:tcPr>
            <w:tcW w:w="2549" w:type="dxa"/>
          </w:tcPr>
          <w:p w14:paraId="7EA00262" w14:textId="77777777" w:rsidR="009805DB" w:rsidRPr="004B3DF4" w:rsidRDefault="009805DB" w:rsidP="00EB7054">
            <w:pPr>
              <w:rPr>
                <w:rFonts w:asciiTheme="majorHAnsi" w:hAnsiTheme="majorHAnsi" w:cstheme="majorHAnsi"/>
                <w:sz w:val="18"/>
                <w:szCs w:val="18"/>
                <w:lang w:val="en-US"/>
              </w:rPr>
            </w:pPr>
          </w:p>
        </w:tc>
        <w:tc>
          <w:tcPr>
            <w:tcW w:w="2156" w:type="dxa"/>
          </w:tcPr>
          <w:p w14:paraId="5B8869F4" w14:textId="77777777" w:rsidR="009805DB" w:rsidRPr="004B3DF4" w:rsidRDefault="009805DB" w:rsidP="009805DB">
            <w:pPr>
              <w:autoSpaceDE w:val="0"/>
              <w:autoSpaceDN w:val="0"/>
              <w:adjustRightInd w:val="0"/>
              <w:rPr>
                <w:rFonts w:asciiTheme="majorHAnsi" w:hAnsiTheme="majorHAnsi" w:cstheme="majorHAnsi"/>
                <w:sz w:val="18"/>
                <w:szCs w:val="18"/>
                <w:lang w:val="en-US"/>
              </w:rPr>
            </w:pPr>
          </w:p>
        </w:tc>
        <w:tc>
          <w:tcPr>
            <w:tcW w:w="2130" w:type="dxa"/>
          </w:tcPr>
          <w:p w14:paraId="1B559554" w14:textId="086FD310" w:rsidR="009805DB" w:rsidRPr="004B3DF4" w:rsidRDefault="009805DB" w:rsidP="009805DB">
            <w:pPr>
              <w:autoSpaceDE w:val="0"/>
              <w:autoSpaceDN w:val="0"/>
              <w:adjustRightInd w:val="0"/>
              <w:rPr>
                <w:rFonts w:asciiTheme="majorHAnsi" w:hAnsiTheme="majorHAnsi" w:cstheme="majorHAnsi"/>
                <w:sz w:val="18"/>
                <w:szCs w:val="18"/>
                <w:lang w:val="en-US"/>
              </w:rPr>
            </w:pPr>
            <w:r w:rsidRPr="004B3DF4">
              <w:rPr>
                <w:rFonts w:asciiTheme="majorHAnsi" w:hAnsiTheme="majorHAnsi" w:cstheme="majorHAnsi"/>
                <w:sz w:val="18"/>
                <w:szCs w:val="18"/>
                <w:lang w:val="en-US"/>
              </w:rPr>
              <w:t>Grid interconnection</w:t>
            </w:r>
          </w:p>
        </w:tc>
        <w:tc>
          <w:tcPr>
            <w:tcW w:w="2573" w:type="dxa"/>
          </w:tcPr>
          <w:p w14:paraId="3D4E6945" w14:textId="77777777" w:rsidR="009805DB" w:rsidRPr="004B3DF4" w:rsidRDefault="009805DB" w:rsidP="00713103">
            <w:pPr>
              <w:autoSpaceDE w:val="0"/>
              <w:autoSpaceDN w:val="0"/>
              <w:adjustRightInd w:val="0"/>
              <w:rPr>
                <w:rFonts w:asciiTheme="majorHAnsi" w:hAnsiTheme="majorHAnsi" w:cstheme="majorHAnsi"/>
                <w:sz w:val="18"/>
                <w:szCs w:val="18"/>
                <w:lang w:val="en-US"/>
              </w:rPr>
            </w:pPr>
          </w:p>
        </w:tc>
      </w:tr>
    </w:tbl>
    <w:p w14:paraId="76EA8C69" w14:textId="1E9FBF34" w:rsidR="001220AF" w:rsidRDefault="00BC6E04" w:rsidP="00774536">
      <w:r w:rsidRPr="004B3DF4">
        <w:rPr>
          <w:sz w:val="20"/>
          <w:szCs w:val="20"/>
        </w:rPr>
        <w:t xml:space="preserve">Source: UNDP (2020, </w:t>
      </w:r>
      <w:r>
        <w:rPr>
          <w:sz w:val="20"/>
          <w:szCs w:val="20"/>
        </w:rPr>
        <w:t>p. 6</w:t>
      </w:r>
      <w:r w:rsidRPr="004B3DF4">
        <w:rPr>
          <w:sz w:val="20"/>
          <w:szCs w:val="20"/>
        </w:rPr>
        <w:t>).</w:t>
      </w:r>
    </w:p>
    <w:p w14:paraId="0F3E0F79" w14:textId="0649157D" w:rsidR="00246BD3" w:rsidRDefault="00246BD3" w:rsidP="00F305D8">
      <w:pPr>
        <w:pStyle w:val="Heading2"/>
        <w:numPr>
          <w:ilvl w:val="2"/>
          <w:numId w:val="1"/>
        </w:numPr>
        <w:rPr>
          <w:color w:val="0070C0"/>
          <w:sz w:val="24"/>
          <w:szCs w:val="24"/>
        </w:rPr>
      </w:pPr>
      <w:bookmarkStart w:id="55" w:name="_Toc157427564"/>
      <w:r>
        <w:rPr>
          <w:color w:val="0070C0"/>
          <w:sz w:val="24"/>
          <w:szCs w:val="24"/>
        </w:rPr>
        <w:t>Supporting the Innovation Eco-System</w:t>
      </w:r>
      <w:bookmarkEnd w:id="55"/>
    </w:p>
    <w:p w14:paraId="2DCD94C7" w14:textId="77777777" w:rsidR="00246BD3" w:rsidRDefault="00246BD3" w:rsidP="00246BD3"/>
    <w:p w14:paraId="5A0FD853" w14:textId="7E09B972" w:rsidR="00246BD3" w:rsidRPr="00835717" w:rsidRDefault="00246BD3" w:rsidP="00835717">
      <w:pPr>
        <w:tabs>
          <w:tab w:val="num" w:pos="1440"/>
        </w:tabs>
        <w:spacing w:after="0" w:line="276" w:lineRule="auto"/>
        <w:jc w:val="both"/>
        <w:rPr>
          <w:rFonts w:ascii="Calibri Light" w:hAnsi="Calibri Light" w:cs="Calibri Light"/>
        </w:rPr>
      </w:pPr>
      <w:r w:rsidRPr="00835717">
        <w:rPr>
          <w:rFonts w:ascii="Calibri Light" w:hAnsi="Calibri Light" w:cs="Calibri Light"/>
          <w:color w:val="2E74B5"/>
        </w:rPr>
        <w:t>The startup ecosystem in the country</w:t>
      </w:r>
      <w:r w:rsidRPr="00835717">
        <w:rPr>
          <w:rFonts w:ascii="Calibri Light" w:hAnsi="Calibri Light" w:cs="Calibri Light"/>
        </w:rPr>
        <w:t xml:space="preserve"> is still in its early stages, with both venture capital investors and angel investors asserting that local startups are not adequately prepared for global competition. Currently, it is estimated that there are around 300 startups in the Macedonian economy, which is still relatively high compared to other Western Balkan countries (World Bank, 2021). Most startups secure </w:t>
      </w:r>
      <w:proofErr w:type="gramStart"/>
      <w:r w:rsidRPr="00835717">
        <w:rPr>
          <w:rFonts w:ascii="Calibri Light" w:hAnsi="Calibri Light" w:cs="Calibri Light"/>
        </w:rPr>
        <w:t>the majority of</w:t>
      </w:r>
      <w:proofErr w:type="gramEnd"/>
      <w:r w:rsidRPr="00835717">
        <w:rPr>
          <w:rFonts w:ascii="Calibri Light" w:hAnsi="Calibri Light" w:cs="Calibri Light"/>
        </w:rPr>
        <w:t xml:space="preserve"> their financial support from personal, familial, or friends' contributions (44%), grants obtained from the Fund for Innovation and Technological Development (FITR) (21%), and various other public funding sources and grants (13%).</w:t>
      </w:r>
    </w:p>
    <w:p w14:paraId="371C8629" w14:textId="77777777" w:rsidR="00246BD3" w:rsidRPr="00835717" w:rsidRDefault="00246BD3" w:rsidP="00835717">
      <w:pPr>
        <w:spacing w:after="0" w:line="276" w:lineRule="auto"/>
        <w:jc w:val="both"/>
        <w:rPr>
          <w:rFonts w:ascii="Calibri Light" w:hAnsi="Calibri Light" w:cs="Calibri Light"/>
          <w:color w:val="2E74B5"/>
        </w:rPr>
      </w:pPr>
    </w:p>
    <w:p w14:paraId="6F03E4CF" w14:textId="112AEEEC" w:rsidR="00246BD3" w:rsidRPr="00835717" w:rsidRDefault="00246BD3" w:rsidP="00835717">
      <w:pPr>
        <w:spacing w:after="0" w:line="276" w:lineRule="auto"/>
        <w:jc w:val="both"/>
        <w:rPr>
          <w:rFonts w:ascii="Calibri Light" w:hAnsi="Calibri Light" w:cs="Calibri Light"/>
        </w:rPr>
      </w:pPr>
      <w:r w:rsidRPr="00835717">
        <w:rPr>
          <w:rFonts w:ascii="Calibri Light" w:hAnsi="Calibri Light" w:cs="Calibri Light"/>
          <w:color w:val="2E74B5"/>
        </w:rPr>
        <w:lastRenderedPageBreak/>
        <w:t>Untapped potential of European venture capital funds</w:t>
      </w:r>
      <w:r w:rsidRPr="00835717">
        <w:rPr>
          <w:rFonts w:ascii="Calibri Light" w:hAnsi="Calibri Light" w:cs="Calibri Light"/>
        </w:rPr>
        <w:t>. There is a large unused financial potential of international (global, European, and regional) funds to support startups. For a large part of them, the Macedonian economy is still an unknown country (</w:t>
      </w:r>
      <w:r w:rsidRPr="00835717">
        <w:rPr>
          <w:rFonts w:ascii="Calibri Light" w:hAnsi="Calibri Light" w:cs="Calibri Light"/>
          <w:i/>
        </w:rPr>
        <w:t>terra incognita</w:t>
      </w:r>
      <w:r w:rsidRPr="00835717">
        <w:rPr>
          <w:rFonts w:ascii="Calibri Light" w:hAnsi="Calibri Light" w:cs="Calibri Light"/>
        </w:rPr>
        <w:t>). The National Innovation Fund (especially in the context of the announced Hybrid Fund for Green and Digital Transformation for small and medium-sized enterprises) and the Directorate for Technological Industrial Development Zones (through the announced Hybrid Strategic Fund for Green Investments) should approach with concrete initiatives. European venture capital funds are backed by governments or the private sector and are led by professional fund management companies that combine public and private funding. Considering that it is a small market, these funds can easily be included in the financing of national and regional business initiatives.</w:t>
      </w:r>
    </w:p>
    <w:p w14:paraId="75CDB0C8" w14:textId="77777777" w:rsidR="00246BD3" w:rsidRPr="00835717" w:rsidRDefault="00246BD3" w:rsidP="00835717">
      <w:pPr>
        <w:spacing w:after="0" w:line="276" w:lineRule="auto"/>
      </w:pPr>
    </w:p>
    <w:p w14:paraId="4DF9A49E" w14:textId="465342E9" w:rsidR="00246BD3" w:rsidRPr="00835717" w:rsidRDefault="00246BD3" w:rsidP="00835717">
      <w:pPr>
        <w:spacing w:after="0" w:line="276" w:lineRule="auto"/>
        <w:jc w:val="both"/>
        <w:rPr>
          <w:rFonts w:ascii="Calibri Light" w:hAnsi="Calibri Light" w:cs="Calibri Light"/>
        </w:rPr>
      </w:pPr>
      <w:r w:rsidRPr="00835717">
        <w:rPr>
          <w:rFonts w:ascii="Calibri Light" w:hAnsi="Calibri Light" w:cs="Calibri Light"/>
          <w:color w:val="2E74B5"/>
        </w:rPr>
        <w:t>Stronger support by the public sector and international development partners</w:t>
      </w:r>
      <w:r w:rsidRPr="00835717">
        <w:rPr>
          <w:rFonts w:ascii="Calibri Light" w:hAnsi="Calibri Light" w:cs="Calibri Light"/>
        </w:rPr>
        <w:t xml:space="preserve">. In terms of the </w:t>
      </w:r>
      <w:r w:rsidRPr="00835717">
        <w:rPr>
          <w:rFonts w:ascii="Calibri Light" w:hAnsi="Calibri Light" w:cs="Calibri Light"/>
          <w:i/>
          <w:color w:val="2E74B5"/>
        </w:rPr>
        <w:t>business environment</w:t>
      </w:r>
      <w:r w:rsidRPr="00835717">
        <w:rPr>
          <w:rFonts w:ascii="Calibri Light" w:hAnsi="Calibri Light" w:cs="Calibri Light"/>
        </w:rPr>
        <w:t xml:space="preserve">, Enhanced involvement of the public sector is necessary to align national legislation more closely with EU standards. This involves expediting and improving the efficiency of legal procedures to safeguard private interests and reducing the prevalence of corruption. In terms of </w:t>
      </w:r>
      <w:r w:rsidRPr="00835717">
        <w:rPr>
          <w:rFonts w:ascii="Calibri Light" w:hAnsi="Calibri Light" w:cs="Calibri Light"/>
          <w:i/>
          <w:color w:val="2E74B5"/>
        </w:rPr>
        <w:t>direct financial support</w:t>
      </w:r>
      <w:r w:rsidRPr="00835717">
        <w:rPr>
          <w:rFonts w:ascii="Calibri Light" w:hAnsi="Calibri Light" w:cs="Calibri Light"/>
        </w:rPr>
        <w:t xml:space="preserve">, the proposals for greater reliance on external sources for awarding grants through the Fund for Innovation and Technological Development and for subsidizing interest rates through the Public Development Bank are fully justified, considering that they reduce the risk for financial institutions of misallocation of credits towards riskier SMEs. Those two measures should be the main pillars of the government's policy to improve the access to financing for the SMEs, that is, to allocate more budget funds for both institutions. The awarding of innovation grants should be performed with increased participation of foreign experts, preferably from the World Bank Group and other independent foreign experts. </w:t>
      </w:r>
    </w:p>
    <w:p w14:paraId="7EB3ACD0" w14:textId="77777777" w:rsidR="00246BD3" w:rsidRPr="00835717" w:rsidRDefault="00246BD3" w:rsidP="00835717">
      <w:pPr>
        <w:spacing w:after="0" w:line="276" w:lineRule="auto"/>
      </w:pPr>
    </w:p>
    <w:p w14:paraId="7B8B923D" w14:textId="7E048A64" w:rsidR="00E66D56" w:rsidRPr="00C56601" w:rsidRDefault="00E66D56" w:rsidP="00F305D8">
      <w:pPr>
        <w:pStyle w:val="Heading2"/>
        <w:numPr>
          <w:ilvl w:val="2"/>
          <w:numId w:val="1"/>
        </w:numPr>
        <w:rPr>
          <w:color w:val="0070C0"/>
          <w:sz w:val="24"/>
          <w:szCs w:val="24"/>
        </w:rPr>
      </w:pPr>
      <w:bookmarkStart w:id="56" w:name="_Toc157427565"/>
      <w:r w:rsidRPr="00C56601">
        <w:rPr>
          <w:color w:val="0070C0"/>
          <w:sz w:val="24"/>
          <w:szCs w:val="24"/>
        </w:rPr>
        <w:t>Guarantee funds for Green Economy and Inclusive Prosperity</w:t>
      </w:r>
      <w:bookmarkEnd w:id="56"/>
    </w:p>
    <w:p w14:paraId="34762D2A" w14:textId="77777777" w:rsidR="00E66D56" w:rsidRPr="00C56601" w:rsidRDefault="00E66D56" w:rsidP="00E66D56">
      <w:pPr>
        <w:spacing w:after="0" w:line="240" w:lineRule="auto"/>
        <w:jc w:val="both"/>
        <w:rPr>
          <w:sz w:val="24"/>
          <w:szCs w:val="24"/>
        </w:rPr>
      </w:pPr>
    </w:p>
    <w:p w14:paraId="34AF799A" w14:textId="77777777" w:rsidR="00E66D56" w:rsidRPr="00C56601" w:rsidRDefault="00E66D56" w:rsidP="00E66D56">
      <w:pPr>
        <w:spacing w:after="0" w:line="276" w:lineRule="auto"/>
        <w:jc w:val="both"/>
      </w:pPr>
      <w:r w:rsidRPr="00C56601">
        <w:t>In the next two decades, there is a huge potential to enrich the supply of guarantee funds. Following the example of the European Guarantee Fund, several sub-products or segments related to sustainable development should be distinguished:</w:t>
      </w:r>
    </w:p>
    <w:p w14:paraId="4AD8DE83" w14:textId="77777777" w:rsidR="00E66D56" w:rsidRPr="00C56601" w:rsidRDefault="00E66D56" w:rsidP="00E66D56">
      <w:pPr>
        <w:pStyle w:val="ListParagraph"/>
        <w:numPr>
          <w:ilvl w:val="0"/>
          <w:numId w:val="12"/>
        </w:numPr>
        <w:spacing w:after="0" w:line="276" w:lineRule="auto"/>
        <w:jc w:val="both"/>
      </w:pPr>
      <w:r w:rsidRPr="00C56601">
        <w:t>Guarantees for improving the competitiveness of SMEs (better terms, longer repayment period, lower acceptable mortgage value, recapitalization, etc.)</w:t>
      </w:r>
    </w:p>
    <w:p w14:paraId="7CDD320F" w14:textId="77777777" w:rsidR="00E66D56" w:rsidRPr="00C56601" w:rsidRDefault="00E66D56" w:rsidP="00E66D56">
      <w:pPr>
        <w:pStyle w:val="ListParagraph"/>
        <w:numPr>
          <w:ilvl w:val="0"/>
          <w:numId w:val="12"/>
        </w:numPr>
        <w:spacing w:after="0" w:line="276" w:lineRule="auto"/>
        <w:jc w:val="both"/>
      </w:pPr>
      <w:r w:rsidRPr="00C56601">
        <w:t>Sustainability guarantees, which would support the green and sustainable transition of SMEs in line with the EU Taxonomy for Sustainable Investments</w:t>
      </w:r>
    </w:p>
    <w:p w14:paraId="4CD66DEC" w14:textId="77777777" w:rsidR="00E66D56" w:rsidRPr="00C56601" w:rsidRDefault="00E66D56" w:rsidP="00E66D56">
      <w:pPr>
        <w:pStyle w:val="ListParagraph"/>
        <w:numPr>
          <w:ilvl w:val="0"/>
          <w:numId w:val="12"/>
        </w:numPr>
        <w:spacing w:after="0" w:line="276" w:lineRule="auto"/>
        <w:jc w:val="both"/>
      </w:pPr>
      <w:r w:rsidRPr="00C56601">
        <w:t>Guarantees for innovation and digitization, namely for:</w:t>
      </w:r>
    </w:p>
    <w:p w14:paraId="5943D5F8" w14:textId="5BD84399" w:rsidR="00E66D56" w:rsidRPr="00C56601" w:rsidRDefault="00E66D56" w:rsidP="00E66D56">
      <w:pPr>
        <w:pStyle w:val="ListParagraph"/>
        <w:numPr>
          <w:ilvl w:val="1"/>
          <w:numId w:val="12"/>
        </w:numPr>
        <w:spacing w:after="0" w:line="276" w:lineRule="auto"/>
        <w:jc w:val="both"/>
      </w:pPr>
      <w:r w:rsidRPr="00C56601">
        <w:t>innovation: significantly improved products, processes, services, investments in new intellectual property rights or a new organizational approach, with a focus on fast-growing enterprises or enterprises focused on research and development</w:t>
      </w:r>
      <w:r w:rsidR="00647FD8">
        <w:t>.</w:t>
      </w:r>
    </w:p>
    <w:p w14:paraId="1A745FC4" w14:textId="77777777" w:rsidR="00E66D56" w:rsidRPr="00C56601" w:rsidRDefault="00E66D56" w:rsidP="00E66D56">
      <w:pPr>
        <w:pStyle w:val="ListParagraph"/>
        <w:numPr>
          <w:ilvl w:val="1"/>
          <w:numId w:val="12"/>
        </w:numPr>
        <w:spacing w:after="0" w:line="276" w:lineRule="auto"/>
        <w:jc w:val="both"/>
      </w:pPr>
      <w:r w:rsidRPr="00C56601">
        <w:t>digitization: digitization of business models, supply chain management, customer relations management, business development, cyber security, training, upgrading and more.</w:t>
      </w:r>
    </w:p>
    <w:p w14:paraId="7D8A9F6B" w14:textId="444E6A88" w:rsidR="00E66D56" w:rsidRPr="00C56601" w:rsidRDefault="00E66D56" w:rsidP="00E66D56">
      <w:pPr>
        <w:pStyle w:val="ListParagraph"/>
        <w:numPr>
          <w:ilvl w:val="0"/>
          <w:numId w:val="12"/>
        </w:numPr>
        <w:spacing w:after="0" w:line="276" w:lineRule="auto"/>
        <w:jc w:val="both"/>
      </w:pPr>
      <w:r w:rsidRPr="00C56601">
        <w:t>Guarantees for the support of culture and creative industries</w:t>
      </w:r>
      <w:r w:rsidR="00647FD8">
        <w:t>.</w:t>
      </w:r>
    </w:p>
    <w:p w14:paraId="4A12B512" w14:textId="70EA6400" w:rsidR="00E66D56" w:rsidRPr="00C56601" w:rsidRDefault="00E66D56" w:rsidP="00E66D56">
      <w:pPr>
        <w:pStyle w:val="ListParagraph"/>
        <w:numPr>
          <w:ilvl w:val="0"/>
          <w:numId w:val="12"/>
        </w:numPr>
        <w:spacing w:after="0" w:line="276" w:lineRule="auto"/>
        <w:jc w:val="both"/>
      </w:pPr>
      <w:r w:rsidRPr="00C56601">
        <w:t>Guarantees for micro enterprises and social enterprises</w:t>
      </w:r>
      <w:r w:rsidR="00647FD8">
        <w:t>.</w:t>
      </w:r>
    </w:p>
    <w:p w14:paraId="4AB94E47" w14:textId="02E44C36" w:rsidR="00E66D56" w:rsidRPr="00C56601" w:rsidRDefault="00E66D56" w:rsidP="00E66D56">
      <w:pPr>
        <w:pStyle w:val="ListParagraph"/>
        <w:numPr>
          <w:ilvl w:val="1"/>
          <w:numId w:val="12"/>
        </w:numPr>
        <w:spacing w:after="0" w:line="276" w:lineRule="auto"/>
        <w:jc w:val="both"/>
      </w:pPr>
      <w:r w:rsidRPr="00C56601">
        <w:t>microfinancing: to ensure sustainable employment and social inclusion, especially for vulnerable groups</w:t>
      </w:r>
      <w:r w:rsidR="00647FD8">
        <w:t>.</w:t>
      </w:r>
    </w:p>
    <w:p w14:paraId="41FCD25C" w14:textId="68512473" w:rsidR="00E66D56" w:rsidRPr="00C56601" w:rsidRDefault="00E66D56" w:rsidP="00E66D56">
      <w:pPr>
        <w:pStyle w:val="ListParagraph"/>
        <w:numPr>
          <w:ilvl w:val="1"/>
          <w:numId w:val="12"/>
        </w:numPr>
        <w:spacing w:after="0" w:line="276" w:lineRule="auto"/>
        <w:jc w:val="both"/>
      </w:pPr>
      <w:r w:rsidRPr="00C56601">
        <w:lastRenderedPageBreak/>
        <w:t>social enterprises: to support the active participation in the labo</w:t>
      </w:r>
      <w:r w:rsidR="00647FD8">
        <w:t>u</w:t>
      </w:r>
      <w:r w:rsidRPr="00C56601">
        <w:t>r market and job creation of enterprises that increase inclusivity.</w:t>
      </w:r>
    </w:p>
    <w:p w14:paraId="1B1EE1B9" w14:textId="51F30BFE" w:rsidR="00E66D56" w:rsidRPr="00C56601" w:rsidRDefault="00E66D56" w:rsidP="00E66D56">
      <w:pPr>
        <w:pStyle w:val="ListParagraph"/>
        <w:numPr>
          <w:ilvl w:val="0"/>
          <w:numId w:val="12"/>
        </w:numPr>
        <w:spacing w:after="0" w:line="276" w:lineRule="auto"/>
        <w:jc w:val="both"/>
      </w:pPr>
      <w:r w:rsidRPr="00C56601">
        <w:t>Guarantees for upgrading skills and education, mainly for financing students, apprentices, enterprises that invest in new skills; educational service providers to better respond to new skills needs.</w:t>
      </w:r>
    </w:p>
    <w:p w14:paraId="0AC648EE" w14:textId="62917E57" w:rsidR="00E66D56" w:rsidRPr="00C56601" w:rsidRDefault="00E66D56" w:rsidP="00E66D56">
      <w:pPr>
        <w:spacing w:after="0" w:line="276" w:lineRule="auto"/>
        <w:jc w:val="both"/>
      </w:pPr>
      <w:r w:rsidRPr="00C56601">
        <w:t>The development of new guarantee funds will lead to an increase in private financing, which is also a priority in the EU, as well as to greater credit activity of banks.</w:t>
      </w:r>
      <w:r w:rsidR="00BC6E04">
        <w:t xml:space="preserve"> </w:t>
      </w:r>
      <w:r w:rsidR="00BC6E04" w:rsidRPr="00BC6E04">
        <w:t>UNDP guarantee policy sets certain limits for financing for instance micro enterprises. Kazakhstan is now facing difficulties complying the regulation. It is more feasible to partner with</w:t>
      </w:r>
      <w:r w:rsidR="00F251A6">
        <w:t xml:space="preserve"> the</w:t>
      </w:r>
      <w:r w:rsidR="00BC6E04" w:rsidRPr="00BC6E04">
        <w:t xml:space="preserve"> </w:t>
      </w:r>
      <w:r w:rsidR="00F251A6" w:rsidRPr="00F251A6">
        <w:t xml:space="preserve">United Nations Capital Development Fund </w:t>
      </w:r>
      <w:r w:rsidR="00F251A6">
        <w:t>(</w:t>
      </w:r>
      <w:r w:rsidR="00BC6E04" w:rsidRPr="00BC6E04">
        <w:t>UNCDF</w:t>
      </w:r>
      <w:r w:rsidR="00F251A6">
        <w:t>)</w:t>
      </w:r>
      <w:r w:rsidR="00BC6E04" w:rsidRPr="00BC6E04">
        <w:t xml:space="preserve"> to set up guarantee fund or have the finance directly from donor. Therefore</w:t>
      </w:r>
      <w:r w:rsidR="00F251A6">
        <w:t>, the</w:t>
      </w:r>
      <w:r w:rsidR="00BC6E04" w:rsidRPr="00BC6E04">
        <w:t xml:space="preserve"> </w:t>
      </w:r>
      <w:r w:rsidR="00F251A6" w:rsidRPr="00BC6E04">
        <w:t>guaranteed</w:t>
      </w:r>
      <w:r w:rsidR="00BC6E04" w:rsidRPr="00BC6E04">
        <w:t xml:space="preserve"> projects need to be </w:t>
      </w:r>
      <w:r w:rsidR="00F251A6" w:rsidRPr="00BC6E04">
        <w:t>fine-tuned</w:t>
      </w:r>
      <w:r w:rsidR="00BC6E04" w:rsidRPr="00BC6E04">
        <w:t>.</w:t>
      </w:r>
    </w:p>
    <w:p w14:paraId="3885A78A" w14:textId="77777777" w:rsidR="006C0F8B" w:rsidRDefault="006C0F8B" w:rsidP="006C0F8B">
      <w:pPr>
        <w:spacing w:after="0" w:line="276" w:lineRule="auto"/>
        <w:jc w:val="both"/>
        <w:rPr>
          <w:bCs/>
        </w:rPr>
      </w:pPr>
    </w:p>
    <w:p w14:paraId="7A792495" w14:textId="28257DF5" w:rsidR="006C0F8B" w:rsidRPr="004849C5" w:rsidRDefault="006C0F8B" w:rsidP="006C0F8B">
      <w:pPr>
        <w:pStyle w:val="Caption"/>
        <w:shd w:val="clear" w:color="auto" w:fill="004E6C" w:themeFill="accent2" w:themeFillShade="80"/>
        <w:spacing w:after="0"/>
        <w:rPr>
          <w:rFonts w:asciiTheme="majorHAnsi" w:eastAsiaTheme="majorEastAsia" w:hAnsiTheme="majorHAnsi" w:cstheme="majorBidi"/>
          <w:i w:val="0"/>
          <w:iCs w:val="0"/>
          <w:color w:val="FFFFFF" w:themeColor="background1"/>
          <w:sz w:val="22"/>
          <w:szCs w:val="22"/>
        </w:rPr>
      </w:pPr>
      <w:bookmarkStart w:id="57" w:name="_Toc157427505"/>
      <w:r w:rsidRPr="004849C5">
        <w:rPr>
          <w:i w:val="0"/>
          <w:iCs w:val="0"/>
          <w:color w:val="FFFFFF" w:themeColor="background1"/>
          <w:sz w:val="22"/>
          <w:szCs w:val="22"/>
        </w:rPr>
        <w:t xml:space="preserve">Box </w:t>
      </w:r>
      <w:r w:rsidRPr="004849C5">
        <w:rPr>
          <w:i w:val="0"/>
          <w:iCs w:val="0"/>
          <w:color w:val="FFFFFF" w:themeColor="background1"/>
          <w:sz w:val="22"/>
          <w:szCs w:val="22"/>
        </w:rPr>
        <w:fldChar w:fldCharType="begin"/>
      </w:r>
      <w:r w:rsidRPr="004849C5">
        <w:rPr>
          <w:i w:val="0"/>
          <w:iCs w:val="0"/>
          <w:color w:val="FFFFFF" w:themeColor="background1"/>
          <w:sz w:val="22"/>
          <w:szCs w:val="22"/>
        </w:rPr>
        <w:instrText xml:space="preserve"> SEQ Box \* ARABIC </w:instrText>
      </w:r>
      <w:r w:rsidRPr="004849C5">
        <w:rPr>
          <w:i w:val="0"/>
          <w:iCs w:val="0"/>
          <w:color w:val="FFFFFF" w:themeColor="background1"/>
          <w:sz w:val="22"/>
          <w:szCs w:val="22"/>
        </w:rPr>
        <w:fldChar w:fldCharType="separate"/>
      </w:r>
      <w:r w:rsidR="00041D0A" w:rsidRPr="004849C5">
        <w:rPr>
          <w:i w:val="0"/>
          <w:iCs w:val="0"/>
          <w:noProof/>
          <w:color w:val="FFFFFF" w:themeColor="background1"/>
          <w:sz w:val="22"/>
          <w:szCs w:val="22"/>
        </w:rPr>
        <w:t>5</w:t>
      </w:r>
      <w:r w:rsidRPr="004849C5">
        <w:rPr>
          <w:i w:val="0"/>
          <w:iCs w:val="0"/>
          <w:color w:val="FFFFFF" w:themeColor="background1"/>
          <w:sz w:val="22"/>
          <w:szCs w:val="22"/>
        </w:rPr>
        <w:fldChar w:fldCharType="end"/>
      </w:r>
      <w:r w:rsidRPr="004849C5">
        <w:rPr>
          <w:i w:val="0"/>
          <w:iCs w:val="0"/>
          <w:color w:val="FFFFFF" w:themeColor="background1"/>
          <w:sz w:val="22"/>
          <w:szCs w:val="22"/>
        </w:rPr>
        <w:t xml:space="preserve">. </w:t>
      </w:r>
      <w:r w:rsidRPr="004849C5">
        <w:rPr>
          <w:rFonts w:asciiTheme="majorHAnsi" w:eastAsiaTheme="majorEastAsia" w:hAnsiTheme="majorHAnsi" w:cstheme="majorBidi"/>
          <w:i w:val="0"/>
          <w:iCs w:val="0"/>
          <w:color w:val="FFFFFF" w:themeColor="background1"/>
          <w:sz w:val="22"/>
          <w:szCs w:val="22"/>
        </w:rPr>
        <w:t>Some ideas for improving Private Sector 4 SDGs</w:t>
      </w:r>
      <w:bookmarkEnd w:id="57"/>
    </w:p>
    <w:p w14:paraId="147D64F6" w14:textId="77777777" w:rsidR="006C0F8B" w:rsidRPr="006C0F8B" w:rsidRDefault="006C0F8B" w:rsidP="006C0F8B">
      <w:pPr>
        <w:shd w:val="clear" w:color="auto" w:fill="C4EEFF" w:themeFill="accent2" w:themeFillTint="33"/>
        <w:tabs>
          <w:tab w:val="num" w:pos="720"/>
        </w:tabs>
        <w:spacing w:after="0" w:line="276" w:lineRule="auto"/>
        <w:jc w:val="both"/>
        <w:rPr>
          <w:rFonts w:asciiTheme="majorHAnsi" w:eastAsiaTheme="majorEastAsia" w:hAnsiTheme="majorHAnsi" w:cstheme="majorBidi"/>
          <w:color w:val="073662" w:themeColor="accent1" w:themeShade="7F"/>
          <w:sz w:val="20"/>
          <w:szCs w:val="20"/>
        </w:rPr>
      </w:pPr>
    </w:p>
    <w:p w14:paraId="6AEA45D3" w14:textId="1D17424E" w:rsidR="006C0F8B" w:rsidRDefault="00041D0A" w:rsidP="00041D0A">
      <w:pPr>
        <w:shd w:val="clear" w:color="auto" w:fill="C4EEFF" w:themeFill="accent2" w:themeFillTint="33"/>
        <w:tabs>
          <w:tab w:val="num" w:pos="720"/>
        </w:tabs>
        <w:spacing w:after="0" w:line="276" w:lineRule="auto"/>
        <w:jc w:val="both"/>
        <w:rPr>
          <w:rFonts w:asciiTheme="majorHAnsi" w:eastAsiaTheme="majorEastAsia" w:hAnsiTheme="majorHAnsi" w:cstheme="majorBidi"/>
          <w:sz w:val="20"/>
          <w:szCs w:val="20"/>
        </w:rPr>
      </w:pPr>
      <w:r w:rsidRPr="00041D0A">
        <w:rPr>
          <w:rFonts w:asciiTheme="majorHAnsi" w:eastAsiaTheme="majorEastAsia" w:hAnsiTheme="majorHAnsi" w:cstheme="majorBidi"/>
          <w:color w:val="073662" w:themeColor="accent1" w:themeShade="7F"/>
          <w:sz w:val="20"/>
          <w:szCs w:val="20"/>
        </w:rPr>
        <w:t>Escaping the poverty trap and</w:t>
      </w:r>
      <w:r>
        <w:rPr>
          <w:rFonts w:asciiTheme="majorHAnsi" w:eastAsiaTheme="majorEastAsia" w:hAnsiTheme="majorHAnsi" w:cstheme="majorBidi"/>
          <w:color w:val="073662" w:themeColor="accent1" w:themeShade="7F"/>
          <w:sz w:val="20"/>
          <w:szCs w:val="20"/>
        </w:rPr>
        <w:t xml:space="preserve"> </w:t>
      </w:r>
      <w:r w:rsidRPr="00041D0A">
        <w:rPr>
          <w:rFonts w:asciiTheme="majorHAnsi" w:eastAsiaTheme="majorEastAsia" w:hAnsiTheme="majorHAnsi" w:cstheme="majorBidi"/>
          <w:color w:val="073662" w:themeColor="accent1" w:themeShade="7F"/>
          <w:sz w:val="20"/>
          <w:szCs w:val="20"/>
        </w:rPr>
        <w:t>debt “slavery”</w:t>
      </w:r>
      <w:r w:rsidR="006C0F8B" w:rsidRPr="006C0F8B">
        <w:rPr>
          <w:rFonts w:asciiTheme="majorHAnsi" w:eastAsiaTheme="majorEastAsia" w:hAnsiTheme="majorHAnsi" w:cstheme="majorBidi"/>
          <w:color w:val="073662" w:themeColor="accent1" w:themeShade="7F"/>
          <w:sz w:val="20"/>
          <w:szCs w:val="20"/>
        </w:rPr>
        <w:t xml:space="preserve">. </w:t>
      </w:r>
      <w:r w:rsidR="006C0F8B" w:rsidRPr="006C0F8B">
        <w:rPr>
          <w:rFonts w:asciiTheme="majorHAnsi" w:eastAsiaTheme="majorEastAsia" w:hAnsiTheme="majorHAnsi" w:cstheme="majorBidi"/>
          <w:sz w:val="20"/>
          <w:szCs w:val="20"/>
        </w:rPr>
        <w:t xml:space="preserve">So called “financial companies” are charging 30%-50% interest rate per annum and making profits (return on assets) </w:t>
      </w:r>
      <w:proofErr w:type="gramStart"/>
      <w:r w:rsidR="006C0F8B" w:rsidRPr="006C0F8B">
        <w:rPr>
          <w:rFonts w:asciiTheme="majorHAnsi" w:eastAsiaTheme="majorEastAsia" w:hAnsiTheme="majorHAnsi" w:cstheme="majorBidi"/>
          <w:sz w:val="20"/>
          <w:szCs w:val="20"/>
        </w:rPr>
        <w:t>in excess of</w:t>
      </w:r>
      <w:proofErr w:type="gramEnd"/>
      <w:r w:rsidR="006C0F8B" w:rsidRPr="006C0F8B">
        <w:rPr>
          <w:rFonts w:asciiTheme="majorHAnsi" w:eastAsiaTheme="majorEastAsia" w:hAnsiTheme="majorHAnsi" w:cstheme="majorBidi"/>
          <w:sz w:val="20"/>
          <w:szCs w:val="20"/>
        </w:rPr>
        <w:t xml:space="preserve"> 30% with total assets of 1% of GDP</w:t>
      </w:r>
      <w:r w:rsidR="006C0F8B">
        <w:rPr>
          <w:rFonts w:asciiTheme="majorHAnsi" w:eastAsiaTheme="majorEastAsia" w:hAnsiTheme="majorHAnsi" w:cstheme="majorBidi"/>
          <w:sz w:val="20"/>
          <w:szCs w:val="20"/>
        </w:rPr>
        <w:t xml:space="preserve"> </w:t>
      </w:r>
      <w:r w:rsidR="006C0F8B" w:rsidRPr="006C0F8B">
        <w:rPr>
          <w:rFonts w:asciiTheme="majorHAnsi" w:eastAsiaTheme="majorEastAsia" w:hAnsiTheme="majorHAnsi" w:cstheme="majorBidi"/>
          <w:sz w:val="20"/>
          <w:szCs w:val="20"/>
        </w:rPr>
        <w:t>More than 60% of the fast-track loans are repaid with considerable difficulties and delays (National Bank, August 2023)</w:t>
      </w:r>
      <w:r w:rsidR="006C0F8B">
        <w:rPr>
          <w:rFonts w:asciiTheme="majorHAnsi" w:eastAsiaTheme="majorEastAsia" w:hAnsiTheme="majorHAnsi" w:cstheme="majorBidi"/>
          <w:sz w:val="20"/>
          <w:szCs w:val="20"/>
        </w:rPr>
        <w:t xml:space="preserve">. </w:t>
      </w:r>
      <w:r w:rsidR="006C0F8B" w:rsidRPr="006C0F8B">
        <w:rPr>
          <w:rFonts w:asciiTheme="majorHAnsi" w:eastAsiaTheme="majorEastAsia" w:hAnsiTheme="majorHAnsi" w:cstheme="majorBidi"/>
          <w:sz w:val="20"/>
          <w:szCs w:val="20"/>
        </w:rPr>
        <w:t>Poor individuals cannot escape poverty trap and meet their financial obligations</w:t>
      </w:r>
      <w:r w:rsidR="006C0F8B">
        <w:rPr>
          <w:rFonts w:asciiTheme="majorHAnsi" w:eastAsiaTheme="majorEastAsia" w:hAnsiTheme="majorHAnsi" w:cstheme="majorBidi"/>
          <w:sz w:val="20"/>
          <w:szCs w:val="20"/>
        </w:rPr>
        <w:t xml:space="preserve">. </w:t>
      </w:r>
      <w:r w:rsidR="006C0F8B" w:rsidRPr="006C0F8B">
        <w:rPr>
          <w:rFonts w:asciiTheme="majorHAnsi" w:eastAsiaTheme="majorEastAsia" w:hAnsiTheme="majorHAnsi" w:cstheme="majorBidi"/>
          <w:sz w:val="20"/>
          <w:szCs w:val="20"/>
        </w:rPr>
        <w:t>Micro-credit institutions count on client’s financial illiteracy and/or inability to get a bank loan.</w:t>
      </w:r>
      <w:r>
        <w:rPr>
          <w:rFonts w:asciiTheme="majorHAnsi" w:eastAsiaTheme="majorEastAsia" w:hAnsiTheme="majorHAnsi" w:cstheme="majorBidi"/>
          <w:sz w:val="20"/>
          <w:szCs w:val="20"/>
        </w:rPr>
        <w:t xml:space="preserve"> </w:t>
      </w:r>
      <w:r w:rsidRPr="00041D0A">
        <w:rPr>
          <w:rFonts w:asciiTheme="majorHAnsi" w:eastAsiaTheme="majorEastAsia" w:hAnsiTheme="majorHAnsi" w:cstheme="majorBidi"/>
          <w:sz w:val="20"/>
          <w:szCs w:val="20"/>
        </w:rPr>
        <w:t>UNDP could step in via some of these options:</w:t>
      </w:r>
      <w:r>
        <w:rPr>
          <w:rFonts w:asciiTheme="majorHAnsi" w:eastAsiaTheme="majorEastAsia" w:hAnsiTheme="majorHAnsi" w:cstheme="majorBidi"/>
          <w:sz w:val="20"/>
          <w:szCs w:val="20"/>
        </w:rPr>
        <w:t xml:space="preserve"> (1) </w:t>
      </w:r>
      <w:r w:rsidRPr="00041D0A">
        <w:rPr>
          <w:rFonts w:asciiTheme="majorHAnsi" w:eastAsiaTheme="majorEastAsia" w:hAnsiTheme="majorHAnsi" w:cstheme="majorBidi"/>
          <w:sz w:val="20"/>
          <w:szCs w:val="20"/>
        </w:rPr>
        <w:t>Joining donor funds to provide financial advisory for debt restructuring</w:t>
      </w:r>
      <w:r>
        <w:rPr>
          <w:rFonts w:asciiTheme="majorHAnsi" w:eastAsiaTheme="majorEastAsia" w:hAnsiTheme="majorHAnsi" w:cstheme="majorBidi"/>
          <w:sz w:val="20"/>
          <w:szCs w:val="20"/>
        </w:rPr>
        <w:t xml:space="preserve"> or (2) a more preferred option, c</w:t>
      </w:r>
      <w:r w:rsidRPr="00041D0A">
        <w:rPr>
          <w:rFonts w:asciiTheme="majorHAnsi" w:eastAsiaTheme="majorEastAsia" w:hAnsiTheme="majorHAnsi" w:cstheme="majorBidi"/>
          <w:sz w:val="20"/>
          <w:szCs w:val="20"/>
        </w:rPr>
        <w:t>ollaborating with commercial banks to see which clients can be saved from the debt “slavery”.</w:t>
      </w:r>
      <w:r>
        <w:rPr>
          <w:rFonts w:asciiTheme="majorHAnsi" w:eastAsiaTheme="majorEastAsia" w:hAnsiTheme="majorHAnsi" w:cstheme="majorBidi"/>
          <w:sz w:val="20"/>
          <w:szCs w:val="20"/>
        </w:rPr>
        <w:t xml:space="preserve"> </w:t>
      </w:r>
      <w:r w:rsidRPr="00041D0A">
        <w:rPr>
          <w:rFonts w:asciiTheme="majorHAnsi" w:eastAsiaTheme="majorEastAsia" w:hAnsiTheme="majorHAnsi" w:cstheme="majorBidi"/>
          <w:sz w:val="20"/>
          <w:szCs w:val="20"/>
        </w:rPr>
        <w:t>There could be a call for voluntary application for financial advisory services for personal finance.</w:t>
      </w:r>
      <w:r>
        <w:rPr>
          <w:rFonts w:asciiTheme="majorHAnsi" w:eastAsiaTheme="majorEastAsia" w:hAnsiTheme="majorHAnsi" w:cstheme="majorBidi"/>
          <w:sz w:val="20"/>
          <w:szCs w:val="20"/>
        </w:rPr>
        <w:t xml:space="preserve"> </w:t>
      </w:r>
      <w:r w:rsidRPr="00041D0A">
        <w:rPr>
          <w:rFonts w:asciiTheme="majorHAnsi" w:eastAsiaTheme="majorEastAsia" w:hAnsiTheme="majorHAnsi" w:cstheme="majorBidi"/>
          <w:sz w:val="20"/>
          <w:szCs w:val="20"/>
        </w:rPr>
        <w:t>Microfinance institutions could play a crucial role in poverty alleviation and empowering women, contributing to SDGs related to poverty reduction, decent work and economic growth, and gender equality.</w:t>
      </w:r>
    </w:p>
    <w:p w14:paraId="4368E69C" w14:textId="77777777" w:rsidR="00F42204" w:rsidRDefault="00F42204" w:rsidP="00041D0A">
      <w:pPr>
        <w:shd w:val="clear" w:color="auto" w:fill="C4EEFF" w:themeFill="accent2" w:themeFillTint="33"/>
        <w:tabs>
          <w:tab w:val="num" w:pos="720"/>
        </w:tabs>
        <w:spacing w:after="0" w:line="276" w:lineRule="auto"/>
        <w:jc w:val="both"/>
        <w:rPr>
          <w:rFonts w:asciiTheme="majorHAnsi" w:eastAsiaTheme="majorEastAsia" w:hAnsiTheme="majorHAnsi" w:cstheme="majorBidi"/>
          <w:sz w:val="20"/>
          <w:szCs w:val="20"/>
        </w:rPr>
      </w:pPr>
    </w:p>
    <w:p w14:paraId="4FCE29BF" w14:textId="47A632BC" w:rsidR="00F42204" w:rsidRDefault="00F42204" w:rsidP="00F42204">
      <w:pPr>
        <w:shd w:val="clear" w:color="auto" w:fill="C4EEFF" w:themeFill="accent2" w:themeFillTint="33"/>
        <w:tabs>
          <w:tab w:val="num" w:pos="720"/>
        </w:tabs>
        <w:spacing w:after="0" w:line="276" w:lineRule="auto"/>
        <w:jc w:val="both"/>
        <w:rPr>
          <w:rFonts w:asciiTheme="majorHAnsi" w:eastAsiaTheme="majorEastAsia" w:hAnsiTheme="majorHAnsi" w:cstheme="majorBidi"/>
          <w:sz w:val="20"/>
          <w:szCs w:val="20"/>
        </w:rPr>
      </w:pPr>
      <w:r w:rsidRPr="00F42204">
        <w:rPr>
          <w:rFonts w:asciiTheme="majorHAnsi" w:eastAsiaTheme="majorEastAsia" w:hAnsiTheme="majorHAnsi" w:cstheme="majorBidi"/>
          <w:color w:val="073662" w:themeColor="accent1" w:themeShade="7F"/>
          <w:sz w:val="20"/>
          <w:szCs w:val="20"/>
        </w:rPr>
        <w:t>Inclusion of sustainability information in annual reports of companies</w:t>
      </w:r>
      <w:r>
        <w:rPr>
          <w:rFonts w:asciiTheme="majorHAnsi" w:eastAsiaTheme="majorEastAsia" w:hAnsiTheme="majorHAnsi" w:cstheme="majorBidi"/>
          <w:color w:val="073662" w:themeColor="accent1" w:themeShade="7F"/>
          <w:sz w:val="20"/>
          <w:szCs w:val="20"/>
        </w:rPr>
        <w:t xml:space="preserve">. </w:t>
      </w:r>
      <w:r w:rsidRPr="00F42204">
        <w:rPr>
          <w:rFonts w:asciiTheme="majorHAnsi" w:eastAsiaTheme="majorEastAsia" w:hAnsiTheme="majorHAnsi" w:cstheme="majorBidi"/>
          <w:sz w:val="20"/>
          <w:szCs w:val="20"/>
        </w:rPr>
        <w:t>A proposal for amendments to the Law on Companies can be drafted to suggest a provision to have a mandatory disclosure of sustainability information in the annual reports. For example, the Swedish Companies Act requires large companies to include sustainability information in their annual reports. The government encourages businesses to adopt environmentally friendly and socially responsible practices, reflecting the principles of the SDGs.</w:t>
      </w:r>
    </w:p>
    <w:p w14:paraId="35170ADA" w14:textId="77777777" w:rsidR="00F42204" w:rsidRDefault="00F42204" w:rsidP="00F42204">
      <w:pPr>
        <w:shd w:val="clear" w:color="auto" w:fill="C4EEFF" w:themeFill="accent2" w:themeFillTint="33"/>
        <w:tabs>
          <w:tab w:val="num" w:pos="720"/>
        </w:tabs>
        <w:spacing w:after="0" w:line="276" w:lineRule="auto"/>
        <w:jc w:val="both"/>
        <w:rPr>
          <w:rFonts w:asciiTheme="majorHAnsi" w:eastAsiaTheme="majorEastAsia" w:hAnsiTheme="majorHAnsi" w:cstheme="majorBidi"/>
          <w:sz w:val="20"/>
          <w:szCs w:val="20"/>
        </w:rPr>
      </w:pPr>
    </w:p>
    <w:p w14:paraId="62476787" w14:textId="5F9B022F" w:rsidR="00F42204" w:rsidRPr="00F42204" w:rsidRDefault="00F42204" w:rsidP="00F42204">
      <w:pPr>
        <w:shd w:val="clear" w:color="auto" w:fill="C4EEFF" w:themeFill="accent2" w:themeFillTint="33"/>
        <w:tabs>
          <w:tab w:val="num" w:pos="720"/>
        </w:tabs>
        <w:spacing w:after="0" w:line="276" w:lineRule="auto"/>
        <w:jc w:val="both"/>
        <w:rPr>
          <w:rFonts w:asciiTheme="majorHAnsi" w:eastAsiaTheme="majorEastAsia" w:hAnsiTheme="majorHAnsi" w:cstheme="majorBidi"/>
          <w:sz w:val="20"/>
          <w:szCs w:val="20"/>
        </w:rPr>
      </w:pPr>
      <w:r w:rsidRPr="00F42204">
        <w:rPr>
          <w:rFonts w:asciiTheme="majorHAnsi" w:eastAsiaTheme="majorEastAsia" w:hAnsiTheme="majorHAnsi" w:cstheme="majorBidi"/>
          <w:color w:val="073662" w:themeColor="accent1" w:themeShade="7F"/>
          <w:sz w:val="20"/>
          <w:szCs w:val="20"/>
        </w:rPr>
        <w:t>The road to reaching 50% female leadership.</w:t>
      </w:r>
      <w:r>
        <w:rPr>
          <w:rFonts w:asciiTheme="majorHAnsi" w:eastAsiaTheme="majorEastAsia" w:hAnsiTheme="majorHAnsi" w:cstheme="majorBidi"/>
          <w:sz w:val="20"/>
          <w:szCs w:val="20"/>
        </w:rPr>
        <w:t xml:space="preserve"> The s</w:t>
      </w:r>
      <w:r w:rsidRPr="00F42204">
        <w:rPr>
          <w:rFonts w:asciiTheme="majorHAnsi" w:eastAsiaTheme="majorEastAsia" w:hAnsiTheme="majorHAnsi" w:cstheme="majorBidi"/>
          <w:sz w:val="20"/>
          <w:szCs w:val="20"/>
        </w:rPr>
        <w:t>oft approach</w:t>
      </w:r>
      <w:r>
        <w:rPr>
          <w:rFonts w:asciiTheme="majorHAnsi" w:eastAsiaTheme="majorEastAsia" w:hAnsiTheme="majorHAnsi" w:cstheme="majorBidi"/>
          <w:sz w:val="20"/>
          <w:szCs w:val="20"/>
        </w:rPr>
        <w:t xml:space="preserve"> is to do a </w:t>
      </w:r>
      <w:r w:rsidRPr="00F42204">
        <w:rPr>
          <w:rFonts w:asciiTheme="majorHAnsi" w:eastAsiaTheme="majorEastAsia" w:hAnsiTheme="majorHAnsi" w:cstheme="majorBidi"/>
          <w:sz w:val="20"/>
          <w:szCs w:val="20"/>
        </w:rPr>
        <w:t>study of companies with at least 50% female leadership with recommendations for other companies</w:t>
      </w:r>
      <w:r>
        <w:rPr>
          <w:rFonts w:asciiTheme="majorHAnsi" w:eastAsiaTheme="majorEastAsia" w:hAnsiTheme="majorHAnsi" w:cstheme="majorBidi"/>
          <w:sz w:val="20"/>
          <w:szCs w:val="20"/>
        </w:rPr>
        <w:t>. The h</w:t>
      </w:r>
      <w:r w:rsidRPr="00F42204">
        <w:rPr>
          <w:rFonts w:asciiTheme="majorHAnsi" w:eastAsiaTheme="majorEastAsia" w:hAnsiTheme="majorHAnsi" w:cstheme="majorBidi"/>
          <w:sz w:val="20"/>
          <w:szCs w:val="20"/>
        </w:rPr>
        <w:t>ard</w:t>
      </w:r>
      <w:r>
        <w:rPr>
          <w:rFonts w:asciiTheme="majorHAnsi" w:eastAsiaTheme="majorEastAsia" w:hAnsiTheme="majorHAnsi" w:cstheme="majorBidi"/>
          <w:sz w:val="20"/>
          <w:szCs w:val="20"/>
        </w:rPr>
        <w:t xml:space="preserve"> (regulatory)</w:t>
      </w:r>
      <w:r w:rsidRPr="00F42204">
        <w:rPr>
          <w:rFonts w:asciiTheme="majorHAnsi" w:eastAsiaTheme="majorEastAsia" w:hAnsiTheme="majorHAnsi" w:cstheme="majorBidi"/>
          <w:sz w:val="20"/>
          <w:szCs w:val="20"/>
        </w:rPr>
        <w:t xml:space="preserve"> approach</w:t>
      </w:r>
      <w:r>
        <w:rPr>
          <w:rFonts w:asciiTheme="majorHAnsi" w:eastAsiaTheme="majorEastAsia" w:hAnsiTheme="majorHAnsi" w:cstheme="majorBidi"/>
          <w:sz w:val="20"/>
          <w:szCs w:val="20"/>
        </w:rPr>
        <w:t xml:space="preserve"> is to introduce r</w:t>
      </w:r>
      <w:r w:rsidRPr="00F42204">
        <w:rPr>
          <w:rFonts w:asciiTheme="majorHAnsi" w:eastAsiaTheme="majorEastAsia" w:hAnsiTheme="majorHAnsi" w:cstheme="majorBidi"/>
          <w:sz w:val="20"/>
          <w:szCs w:val="20"/>
        </w:rPr>
        <w:t>egulatory requirement for minimum participation of women in management and supervisory boards of listed companies on the stock exchange</w:t>
      </w:r>
      <w:r>
        <w:rPr>
          <w:rFonts w:asciiTheme="majorHAnsi" w:eastAsiaTheme="majorEastAsia" w:hAnsiTheme="majorHAnsi" w:cstheme="majorBidi"/>
          <w:sz w:val="20"/>
          <w:szCs w:val="20"/>
        </w:rPr>
        <w:t xml:space="preserve">. </w:t>
      </w:r>
      <w:r w:rsidRPr="00F42204">
        <w:rPr>
          <w:rFonts w:asciiTheme="majorHAnsi" w:eastAsiaTheme="majorEastAsia" w:hAnsiTheme="majorHAnsi" w:cstheme="majorBidi"/>
          <w:sz w:val="20"/>
          <w:szCs w:val="20"/>
        </w:rPr>
        <w:t>Norway was one of the pioneers in implementing gender quotas. The country introduced a law in 2003 that requires public limited companies to have at least 40% of each gender on their boards.</w:t>
      </w:r>
      <w:r>
        <w:rPr>
          <w:rFonts w:asciiTheme="majorHAnsi" w:eastAsiaTheme="majorEastAsia" w:hAnsiTheme="majorHAnsi" w:cstheme="majorBidi"/>
          <w:sz w:val="20"/>
          <w:szCs w:val="20"/>
        </w:rPr>
        <w:t xml:space="preserve"> </w:t>
      </w:r>
      <w:r w:rsidRPr="00F42204">
        <w:rPr>
          <w:rFonts w:asciiTheme="majorHAnsi" w:eastAsiaTheme="majorEastAsia" w:hAnsiTheme="majorHAnsi" w:cstheme="majorBidi"/>
          <w:sz w:val="20"/>
          <w:szCs w:val="20"/>
        </w:rPr>
        <w:t>France has implemented gender quotas for boards of directors. Since 2011, French companies have been required to have at least 40% of each gender on their boards.</w:t>
      </w:r>
      <w:r>
        <w:rPr>
          <w:rFonts w:asciiTheme="majorHAnsi" w:eastAsiaTheme="majorEastAsia" w:hAnsiTheme="majorHAnsi" w:cstheme="majorBidi"/>
          <w:sz w:val="20"/>
          <w:szCs w:val="20"/>
        </w:rPr>
        <w:t xml:space="preserve"> </w:t>
      </w:r>
      <w:r w:rsidRPr="00F42204">
        <w:rPr>
          <w:rFonts w:asciiTheme="majorHAnsi" w:eastAsiaTheme="majorEastAsia" w:hAnsiTheme="majorHAnsi" w:cstheme="majorBidi"/>
          <w:sz w:val="20"/>
          <w:szCs w:val="20"/>
        </w:rPr>
        <w:t>Germany adopted a law in 2015 that set a 30% gender quota for supervisory boards of large companies. The law applies to companies listed on the German stock exchange.</w:t>
      </w:r>
      <w:r>
        <w:rPr>
          <w:rFonts w:asciiTheme="majorHAnsi" w:eastAsiaTheme="majorEastAsia" w:hAnsiTheme="majorHAnsi" w:cstheme="majorBidi"/>
          <w:sz w:val="20"/>
          <w:szCs w:val="20"/>
        </w:rPr>
        <w:t xml:space="preserve"> </w:t>
      </w:r>
      <w:r w:rsidRPr="00F42204">
        <w:rPr>
          <w:rFonts w:asciiTheme="majorHAnsi" w:eastAsiaTheme="majorEastAsia" w:hAnsiTheme="majorHAnsi" w:cstheme="majorBidi"/>
          <w:sz w:val="20"/>
          <w:szCs w:val="20"/>
        </w:rPr>
        <w:t>Italy introduced a gender quota law in 2011 that mandates a minimum of 33% of women on boards of listed companies.</w:t>
      </w:r>
    </w:p>
    <w:p w14:paraId="02A20E55" w14:textId="77777777" w:rsidR="006C0F8B" w:rsidRPr="006C0F8B" w:rsidRDefault="006C0F8B" w:rsidP="004849C5">
      <w:pPr>
        <w:tabs>
          <w:tab w:val="num" w:pos="720"/>
        </w:tabs>
        <w:spacing w:after="0" w:line="276" w:lineRule="auto"/>
        <w:jc w:val="both"/>
        <w:rPr>
          <w:rFonts w:asciiTheme="majorHAnsi" w:eastAsiaTheme="majorEastAsia" w:hAnsiTheme="majorHAnsi" w:cstheme="majorBidi"/>
          <w:sz w:val="20"/>
          <w:szCs w:val="20"/>
        </w:rPr>
      </w:pPr>
    </w:p>
    <w:p w14:paraId="19CACF0E" w14:textId="67D536D8" w:rsidR="003B7FBC" w:rsidRPr="00C56601" w:rsidRDefault="003B7FBC" w:rsidP="00F305D8">
      <w:pPr>
        <w:pStyle w:val="Heading2"/>
        <w:numPr>
          <w:ilvl w:val="2"/>
          <w:numId w:val="1"/>
        </w:numPr>
        <w:rPr>
          <w:color w:val="0070C0"/>
          <w:sz w:val="24"/>
          <w:szCs w:val="24"/>
        </w:rPr>
      </w:pPr>
      <w:bookmarkStart w:id="58" w:name="_Toc157427566"/>
      <w:r w:rsidRPr="00C56601">
        <w:rPr>
          <w:color w:val="0070C0"/>
          <w:sz w:val="24"/>
          <w:szCs w:val="24"/>
        </w:rPr>
        <w:t xml:space="preserve">UNDP and the Development Bank: </w:t>
      </w:r>
      <w:r w:rsidR="00E66D56" w:rsidRPr="00C56601">
        <w:rPr>
          <w:color w:val="0070C0"/>
          <w:sz w:val="24"/>
          <w:szCs w:val="24"/>
        </w:rPr>
        <w:t xml:space="preserve">A </w:t>
      </w:r>
      <w:r w:rsidR="00852D32" w:rsidRPr="00C56601">
        <w:rPr>
          <w:color w:val="0070C0"/>
          <w:sz w:val="24"/>
          <w:szCs w:val="24"/>
        </w:rPr>
        <w:t>Developing</w:t>
      </w:r>
      <w:r w:rsidR="00E66D56" w:rsidRPr="00C56601">
        <w:rPr>
          <w:color w:val="0070C0"/>
          <w:sz w:val="24"/>
          <w:szCs w:val="24"/>
        </w:rPr>
        <w:t xml:space="preserve"> </w:t>
      </w:r>
      <w:r w:rsidR="00852D32" w:rsidRPr="00C56601">
        <w:rPr>
          <w:color w:val="0070C0"/>
          <w:sz w:val="24"/>
          <w:szCs w:val="24"/>
        </w:rPr>
        <w:t>S</w:t>
      </w:r>
      <w:r w:rsidR="00E66D56" w:rsidRPr="00C56601">
        <w:rPr>
          <w:color w:val="0070C0"/>
          <w:sz w:val="24"/>
          <w:szCs w:val="24"/>
        </w:rPr>
        <w:t>tory</w:t>
      </w:r>
      <w:r w:rsidR="00852D32" w:rsidRPr="00C56601">
        <w:rPr>
          <w:color w:val="0070C0"/>
          <w:sz w:val="24"/>
          <w:szCs w:val="24"/>
        </w:rPr>
        <w:t>?</w:t>
      </w:r>
      <w:bookmarkEnd w:id="58"/>
    </w:p>
    <w:p w14:paraId="19E49E61" w14:textId="77777777" w:rsidR="00E66D56" w:rsidRPr="00C56601" w:rsidRDefault="00E66D56" w:rsidP="003B7FBC">
      <w:pPr>
        <w:spacing w:after="0" w:line="276" w:lineRule="auto"/>
        <w:jc w:val="both"/>
      </w:pPr>
    </w:p>
    <w:p w14:paraId="284BD4C2" w14:textId="0FC2E6E6" w:rsidR="00201D7E" w:rsidRPr="00C56601" w:rsidRDefault="00E86FD5" w:rsidP="00201D7E">
      <w:pPr>
        <w:spacing w:after="0" w:line="276" w:lineRule="auto"/>
        <w:jc w:val="both"/>
      </w:pPr>
      <w:r w:rsidRPr="00C56601">
        <w:rPr>
          <w:b/>
          <w:bCs/>
          <w:color w:val="0070C0"/>
        </w:rPr>
        <w:t>UNDP and the Development Bank of North Macedonia</w:t>
      </w:r>
      <w:r w:rsidRPr="00C56601">
        <w:t xml:space="preserve"> </w:t>
      </w:r>
      <w:r w:rsidR="003B7FBC" w:rsidRPr="00C56601">
        <w:t>(hereinafter: Development Bank)</w:t>
      </w:r>
      <w:r w:rsidRPr="00C56601">
        <w:t xml:space="preserve">. The potential of this public development bank </w:t>
      </w:r>
      <w:r w:rsidR="00373BD2" w:rsidRPr="00C56601">
        <w:t xml:space="preserve">to increase SDG finance is immense. </w:t>
      </w:r>
      <w:r w:rsidR="00201D7E" w:rsidRPr="00C56601">
        <w:t xml:space="preserve">This bank provides financing of </w:t>
      </w:r>
      <w:r w:rsidR="00201D7E" w:rsidRPr="00C56601">
        <w:lastRenderedPageBreak/>
        <w:t>infrastructure, supports the development of small and medium-sized enterprises, supports initiating exports and initiating environment protection, provides export credit insurance against commercial and political risks, and supports a more balanced regional development.</w:t>
      </w:r>
      <w:r w:rsidR="008472D8" w:rsidRPr="00C56601">
        <w:t xml:space="preserve"> Among the numerous activities, the Development Bank partially or fully subsidizes interest rates on bank loans provided by commercial banks. In the preliminary stage, commercial banks approve loan applications of viable projects and offer market-based interest rate on a loan. The Development Bank subsidizes part of the interest rate on loans.</w:t>
      </w:r>
    </w:p>
    <w:p w14:paraId="7B7ABB57" w14:textId="77777777" w:rsidR="00201D7E" w:rsidRPr="00C56601" w:rsidRDefault="00201D7E" w:rsidP="003B7FBC">
      <w:pPr>
        <w:spacing w:after="0" w:line="276" w:lineRule="auto"/>
        <w:jc w:val="both"/>
      </w:pPr>
    </w:p>
    <w:p w14:paraId="10EAC5AE" w14:textId="643DD42C" w:rsidR="003B7FBC" w:rsidRPr="00C56601" w:rsidRDefault="00373BD2" w:rsidP="003B7FBC">
      <w:pPr>
        <w:spacing w:after="0" w:line="276" w:lineRule="auto"/>
        <w:jc w:val="both"/>
      </w:pPr>
      <w:r w:rsidRPr="00C56601">
        <w:t>The collaboration should begin with</w:t>
      </w:r>
      <w:r w:rsidR="003B7FBC" w:rsidRPr="00C56601">
        <w:t xml:space="preserve"> a Memorandum of Understanding (MoU) </w:t>
      </w:r>
      <w:r w:rsidRPr="00C56601">
        <w:t xml:space="preserve">between the UNDP and </w:t>
      </w:r>
      <w:r w:rsidR="003B7FBC" w:rsidRPr="00C56601">
        <w:t xml:space="preserve">the </w:t>
      </w:r>
      <w:r w:rsidR="00201D7E" w:rsidRPr="00C56601">
        <w:t xml:space="preserve">national </w:t>
      </w:r>
      <w:r w:rsidR="003B7FBC" w:rsidRPr="00C56601">
        <w:t>Development Bank</w:t>
      </w:r>
      <w:r w:rsidRPr="00C56601">
        <w:t xml:space="preserve">. </w:t>
      </w:r>
      <w:r w:rsidR="00D57678" w:rsidRPr="00C56601">
        <w:t xml:space="preserve">UNDP alone – or together with </w:t>
      </w:r>
      <w:proofErr w:type="spellStart"/>
      <w:r w:rsidR="001B423A" w:rsidRPr="00C56601">
        <w:t>KfW</w:t>
      </w:r>
      <w:proofErr w:type="spellEnd"/>
      <w:r w:rsidR="001B423A" w:rsidRPr="00C56601">
        <w:t xml:space="preserve"> – could provide</w:t>
      </w:r>
      <w:r w:rsidR="00E71903" w:rsidRPr="00C56601">
        <w:t xml:space="preserve"> financing and/or</w:t>
      </w:r>
      <w:r w:rsidR="001B423A" w:rsidRPr="00C56601">
        <w:t xml:space="preserve"> technical expertise in offering a </w:t>
      </w:r>
      <w:r w:rsidR="003B7FBC" w:rsidRPr="00C56601">
        <w:t>portfolio of SDG-linked loans</w:t>
      </w:r>
      <w:r w:rsidR="00C578E0" w:rsidRPr="00C56601">
        <w:t xml:space="preserve"> through the Development Bank</w:t>
      </w:r>
      <w:r w:rsidR="003B7FBC" w:rsidRPr="00C56601">
        <w:t xml:space="preserve">. </w:t>
      </w:r>
      <w:r w:rsidR="001B423A" w:rsidRPr="00C56601">
        <w:t>The criteria whether</w:t>
      </w:r>
      <w:r w:rsidR="00C578E0" w:rsidRPr="00C56601">
        <w:t xml:space="preserve"> a</w:t>
      </w:r>
      <w:r w:rsidR="001B423A" w:rsidRPr="00C56601">
        <w:t xml:space="preserve"> certain project contribute</w:t>
      </w:r>
      <w:r w:rsidR="00C578E0" w:rsidRPr="00C56601">
        <w:t>s</w:t>
      </w:r>
      <w:r w:rsidR="001B423A" w:rsidRPr="00C56601">
        <w:t xml:space="preserve"> to higher attainment of SDGs should be transparent and objective. </w:t>
      </w:r>
      <w:r w:rsidR="003B7FBC" w:rsidRPr="00C56601">
        <w:t>Loans tackling multiple SDGs should have a priority.</w:t>
      </w:r>
      <w:r w:rsidR="00E71903" w:rsidRPr="00C56601">
        <w:t xml:space="preserve"> This approach can make financing of SDG-related investment projects more affordable and accessible, particularly for projects that have a strong developmental impact but may not be able to secure commercial loans at market interest rates. Subsidizing interest rates can help attract investment, stimulate economic growth, and address sustainable development challenges.</w:t>
      </w:r>
      <w:r w:rsidR="00FF3A76" w:rsidRPr="00C56601">
        <w:t xml:space="preserve"> UNDP has subsidized interest rates in Georgia to support projects related to sustainable energy, climate change mitigation and adaptation, and private sector development.</w:t>
      </w:r>
    </w:p>
    <w:p w14:paraId="68914AAA" w14:textId="77777777" w:rsidR="003B7FBC" w:rsidRPr="00C56601" w:rsidRDefault="003B7FBC" w:rsidP="003B7FBC">
      <w:pPr>
        <w:tabs>
          <w:tab w:val="left" w:pos="7366"/>
        </w:tabs>
        <w:spacing w:after="0" w:line="360" w:lineRule="auto"/>
        <w:jc w:val="both"/>
      </w:pPr>
    </w:p>
    <w:p w14:paraId="33F0E4A8" w14:textId="77777777" w:rsidR="005063A4" w:rsidRPr="00C56601" w:rsidRDefault="005063A4" w:rsidP="00F305D8">
      <w:pPr>
        <w:pStyle w:val="Heading2"/>
        <w:numPr>
          <w:ilvl w:val="2"/>
          <w:numId w:val="1"/>
        </w:numPr>
        <w:rPr>
          <w:color w:val="0070C0"/>
          <w:sz w:val="24"/>
          <w:szCs w:val="24"/>
        </w:rPr>
      </w:pPr>
      <w:bookmarkStart w:id="59" w:name="_Toc157427567"/>
      <w:r w:rsidRPr="00C56601">
        <w:rPr>
          <w:color w:val="0070C0"/>
          <w:sz w:val="24"/>
          <w:szCs w:val="24"/>
        </w:rPr>
        <w:t>Joining the Forces with the Banks</w:t>
      </w:r>
      <w:bookmarkEnd w:id="59"/>
    </w:p>
    <w:p w14:paraId="3B80DF71" w14:textId="77777777" w:rsidR="005063A4" w:rsidRPr="00C56601" w:rsidRDefault="005063A4" w:rsidP="005063A4">
      <w:pPr>
        <w:spacing w:after="0" w:line="360" w:lineRule="auto"/>
        <w:jc w:val="both"/>
      </w:pPr>
    </w:p>
    <w:p w14:paraId="5A08C6CB" w14:textId="77777777" w:rsidR="005063A4" w:rsidRPr="00C56601" w:rsidRDefault="005063A4" w:rsidP="005063A4">
      <w:pPr>
        <w:spacing w:after="0" w:line="276" w:lineRule="auto"/>
        <w:jc w:val="both"/>
      </w:pPr>
      <w:r w:rsidRPr="00C56601">
        <w:rPr>
          <w:b/>
          <w:bCs/>
          <w:color w:val="0070C0"/>
        </w:rPr>
        <w:t>Greater commercial banks’ involvement.</w:t>
      </w:r>
      <w:r w:rsidRPr="00C56601">
        <w:t xml:space="preserve"> North Macedonia has a bank-centric financial system, given that the banks’ assets constitute 79% of the assets of the entire financial system. Therefore, it is especially important to involve commercial banks as development partners. We identify two channels of desirable involvement of commercial banks: (1) by SDG-izing their loan portfolios; and (2) by improving the financial intermediation and reducing the grey economy.</w:t>
      </w:r>
    </w:p>
    <w:p w14:paraId="1DBF444C" w14:textId="77777777" w:rsidR="005063A4" w:rsidRPr="00C56601" w:rsidRDefault="005063A4" w:rsidP="005063A4">
      <w:pPr>
        <w:spacing w:after="0" w:line="276" w:lineRule="auto"/>
        <w:jc w:val="both"/>
      </w:pPr>
    </w:p>
    <w:bookmarkEnd w:id="37"/>
    <w:p w14:paraId="4DABD653" w14:textId="77777777" w:rsidR="005063A4" w:rsidRPr="00C56601" w:rsidRDefault="005063A4" w:rsidP="005063A4">
      <w:pPr>
        <w:spacing w:after="0" w:line="276" w:lineRule="auto"/>
        <w:jc w:val="both"/>
      </w:pPr>
      <w:r w:rsidRPr="00C56601">
        <w:rPr>
          <w:i/>
          <w:iCs/>
          <w:color w:val="0070C0"/>
        </w:rPr>
        <w:t>SDG-izing the bank loan portfolios</w:t>
      </w:r>
      <w:r w:rsidRPr="00C56601">
        <w:t>. Presently, commercial banks are separately classifying only the “green loans”.</w:t>
      </w:r>
      <w:r w:rsidRPr="00C56601">
        <w:rPr>
          <w:rStyle w:val="FootnoteReference"/>
        </w:rPr>
        <w:footnoteReference w:id="2"/>
      </w:r>
      <w:r w:rsidRPr="00C56601">
        <w:t xml:space="preserve"> Only 11.8% of the bank loans are classified as green loans. At the end of March 2023, the largest shares of green loans were observed among small banks (23.8%) and large banks (20.8%).</w:t>
      </w:r>
    </w:p>
    <w:p w14:paraId="544A0944" w14:textId="005CF611" w:rsidR="005063A4" w:rsidRPr="00C56601" w:rsidRDefault="005063A4" w:rsidP="005063A4"/>
    <w:p w14:paraId="37524ABF" w14:textId="60BAD5D3" w:rsidR="005063A4" w:rsidRPr="00C56601" w:rsidRDefault="005063A4" w:rsidP="005063A4">
      <w:pPr>
        <w:spacing w:after="0" w:line="240" w:lineRule="auto"/>
        <w:jc w:val="both"/>
        <w:rPr>
          <w:sz w:val="24"/>
          <w:szCs w:val="24"/>
        </w:rPr>
      </w:pPr>
      <w:bookmarkStart w:id="60" w:name="_Toc157427583"/>
      <w:r w:rsidRPr="00C56601">
        <w:rPr>
          <w:color w:val="0070C0"/>
        </w:rPr>
        <w:t xml:space="preserve">Figure </w:t>
      </w:r>
      <w:r w:rsidRPr="00C56601">
        <w:rPr>
          <w:i/>
          <w:iCs/>
          <w:color w:val="0070C0"/>
        </w:rPr>
        <w:fldChar w:fldCharType="begin"/>
      </w:r>
      <w:r w:rsidRPr="00C56601">
        <w:rPr>
          <w:color w:val="0070C0"/>
        </w:rPr>
        <w:instrText xml:space="preserve"> SEQ Figure \* ARABIC </w:instrText>
      </w:r>
      <w:r w:rsidRPr="00C56601">
        <w:rPr>
          <w:i/>
          <w:iCs/>
          <w:color w:val="0070C0"/>
        </w:rPr>
        <w:fldChar w:fldCharType="separate"/>
      </w:r>
      <w:r w:rsidR="00227165">
        <w:rPr>
          <w:noProof/>
          <w:color w:val="0070C0"/>
        </w:rPr>
        <w:t>8</w:t>
      </w:r>
      <w:r w:rsidRPr="00C56601">
        <w:rPr>
          <w:i/>
          <w:iCs/>
          <w:color w:val="0070C0"/>
        </w:rPr>
        <w:fldChar w:fldCharType="end"/>
      </w:r>
      <w:r w:rsidRPr="00C56601">
        <w:rPr>
          <w:color w:val="0070C0"/>
        </w:rPr>
        <w:t>. Shares of green loans in the banking system, December 2019 – March 2023</w:t>
      </w:r>
      <w:bookmarkEnd w:id="60"/>
      <w:r w:rsidRPr="00C56601">
        <w:rPr>
          <w:color w:val="0070C0"/>
        </w:rPr>
        <w:t xml:space="preserve"> </w:t>
      </w:r>
    </w:p>
    <w:p w14:paraId="6B0A6171" w14:textId="77777777" w:rsidR="005063A4" w:rsidRPr="00C56601" w:rsidRDefault="005063A4" w:rsidP="005063A4">
      <w:pPr>
        <w:spacing w:after="0" w:line="360" w:lineRule="auto"/>
        <w:jc w:val="both"/>
      </w:pPr>
      <w:r w:rsidRPr="00C56601">
        <w:rPr>
          <w:noProof/>
        </w:rPr>
        <w:lastRenderedPageBreak/>
        <w:drawing>
          <wp:inline distT="0" distB="0" distL="0" distR="0" wp14:anchorId="5C265AB2" wp14:editId="46724577">
            <wp:extent cx="5943600" cy="2345055"/>
            <wp:effectExtent l="0" t="0" r="0" b="17145"/>
            <wp:docPr id="862836903" name="Chart 1">
              <a:extLst xmlns:a="http://schemas.openxmlformats.org/drawingml/2006/main">
                <a:ext uri="{FF2B5EF4-FFF2-40B4-BE49-F238E27FC236}">
                  <a16:creationId xmlns:a16="http://schemas.microsoft.com/office/drawing/2014/main" id="{88C55AF1-43E7-A018-66EA-4D03AC49DF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08492703" w14:textId="77777777" w:rsidR="005063A4" w:rsidRPr="00C56601" w:rsidRDefault="005063A4" w:rsidP="005063A4">
      <w:pPr>
        <w:spacing w:after="0" w:line="360" w:lineRule="auto"/>
        <w:jc w:val="both"/>
        <w:rPr>
          <w:sz w:val="20"/>
          <w:szCs w:val="20"/>
        </w:rPr>
      </w:pPr>
      <w:r w:rsidRPr="00C56601">
        <w:rPr>
          <w:sz w:val="20"/>
          <w:szCs w:val="20"/>
        </w:rPr>
        <w:t>Source: National Bank of the Republic of North Macedonia (June 2023).</w:t>
      </w:r>
    </w:p>
    <w:p w14:paraId="652B635E" w14:textId="77777777" w:rsidR="007D16CA" w:rsidRDefault="007D16CA" w:rsidP="00592E0C">
      <w:pPr>
        <w:spacing w:after="0" w:line="276" w:lineRule="auto"/>
        <w:jc w:val="both"/>
      </w:pPr>
    </w:p>
    <w:p w14:paraId="7F35346E" w14:textId="29D18015" w:rsidR="005063A4" w:rsidRDefault="005063A4" w:rsidP="00592E0C">
      <w:pPr>
        <w:spacing w:after="0" w:line="276" w:lineRule="auto"/>
        <w:jc w:val="both"/>
      </w:pPr>
      <w:r w:rsidRPr="00C56601">
        <w:t>It is extremely important to continue the classification and SDG tagging of bank loan portfolios and expand the classification by tracking the other SDG-related loans. This will create a competitive environment for SDG responsibility and SDG-responsive banking. Having said that, the UNDP could give an annual award for the commercial bank having the largest shares of green - or even better, if SDG tagging is fully implemented -SDG-related loans.</w:t>
      </w:r>
      <w:r w:rsidR="003F1522">
        <w:t xml:space="preserve"> The ground-breaking </w:t>
      </w:r>
      <w:hyperlink r:id="rId54" w:history="1">
        <w:r w:rsidR="003F1522" w:rsidRPr="00041D0A">
          <w:rPr>
            <w:rStyle w:val="Hyperlink"/>
          </w:rPr>
          <w:t>Technical Report on SDG Finance Taxonomy</w:t>
        </w:r>
      </w:hyperlink>
      <w:r w:rsidR="003F1522">
        <w:t xml:space="preserve"> (China) </w:t>
      </w:r>
      <w:r w:rsidR="00592E0C">
        <w:t xml:space="preserve">(UNDP, </w:t>
      </w:r>
      <w:r w:rsidR="003F1522">
        <w:t>2020</w:t>
      </w:r>
      <w:r w:rsidR="00592E0C">
        <w:t>)</w:t>
      </w:r>
      <w:r w:rsidR="003F1522">
        <w:t xml:space="preserve"> should be </w:t>
      </w:r>
      <w:r w:rsidR="00592E0C">
        <w:t>considered as a</w:t>
      </w:r>
      <w:r w:rsidR="003F1522">
        <w:t xml:space="preserve"> guiding example. </w:t>
      </w:r>
      <w:r w:rsidR="00592E0C">
        <w:t>By providing a complement to the UNDP SDG Impact,</w:t>
      </w:r>
      <w:r w:rsidR="003F1522">
        <w:t xml:space="preserve"> </w:t>
      </w:r>
      <w:r w:rsidR="00592E0C">
        <w:t>it provides an adaptable taxonomy for classifying</w:t>
      </w:r>
      <w:r w:rsidR="003F1522">
        <w:t xml:space="preserve"> not only loans, but also </w:t>
      </w:r>
      <w:r w:rsidR="00592E0C">
        <w:t xml:space="preserve">SDG enabling </w:t>
      </w:r>
      <w:r w:rsidR="003F1522">
        <w:t>investments.</w:t>
      </w:r>
      <w:r w:rsidR="00592E0C">
        <w:t xml:space="preserve"> This is the first project classification system with impact assessment and reporting criteria that “allows investors and project developers to clearly identify SDG enabling projects.”</w:t>
      </w:r>
      <w:r w:rsidR="00041D0A">
        <w:t xml:space="preserve"> </w:t>
      </w:r>
    </w:p>
    <w:p w14:paraId="0C8F78CA" w14:textId="77777777" w:rsidR="00041D0A" w:rsidRDefault="00041D0A" w:rsidP="00592E0C">
      <w:pPr>
        <w:spacing w:after="0" w:line="276" w:lineRule="auto"/>
        <w:jc w:val="both"/>
      </w:pPr>
    </w:p>
    <w:p w14:paraId="6CA3191C" w14:textId="3AEEF787" w:rsidR="00041D0A" w:rsidRPr="004849C5" w:rsidRDefault="00041D0A" w:rsidP="00041D0A">
      <w:pPr>
        <w:pStyle w:val="Caption"/>
        <w:shd w:val="clear" w:color="auto" w:fill="004E6C" w:themeFill="accent2" w:themeFillShade="80"/>
        <w:spacing w:after="0"/>
        <w:rPr>
          <w:rFonts w:asciiTheme="majorHAnsi" w:eastAsiaTheme="majorEastAsia" w:hAnsiTheme="majorHAnsi" w:cstheme="majorBidi"/>
          <w:i w:val="0"/>
          <w:iCs w:val="0"/>
          <w:color w:val="FFFFFF" w:themeColor="background1"/>
          <w:sz w:val="22"/>
          <w:szCs w:val="22"/>
        </w:rPr>
      </w:pPr>
      <w:bookmarkStart w:id="61" w:name="_Toc157427506"/>
      <w:r w:rsidRPr="004849C5">
        <w:rPr>
          <w:i w:val="0"/>
          <w:iCs w:val="0"/>
          <w:color w:val="FFFFFF" w:themeColor="background1"/>
          <w:sz w:val="22"/>
          <w:szCs w:val="22"/>
        </w:rPr>
        <w:t xml:space="preserve">Box </w:t>
      </w:r>
      <w:r w:rsidRPr="004849C5">
        <w:rPr>
          <w:i w:val="0"/>
          <w:iCs w:val="0"/>
          <w:color w:val="FFFFFF" w:themeColor="background1"/>
          <w:sz w:val="22"/>
          <w:szCs w:val="22"/>
        </w:rPr>
        <w:fldChar w:fldCharType="begin"/>
      </w:r>
      <w:r w:rsidRPr="004849C5">
        <w:rPr>
          <w:i w:val="0"/>
          <w:iCs w:val="0"/>
          <w:color w:val="FFFFFF" w:themeColor="background1"/>
          <w:sz w:val="22"/>
          <w:szCs w:val="22"/>
        </w:rPr>
        <w:instrText xml:space="preserve"> SEQ Box \* ARABIC </w:instrText>
      </w:r>
      <w:r w:rsidRPr="004849C5">
        <w:rPr>
          <w:i w:val="0"/>
          <w:iCs w:val="0"/>
          <w:color w:val="FFFFFF" w:themeColor="background1"/>
          <w:sz w:val="22"/>
          <w:szCs w:val="22"/>
        </w:rPr>
        <w:fldChar w:fldCharType="separate"/>
      </w:r>
      <w:r w:rsidRPr="004849C5">
        <w:rPr>
          <w:i w:val="0"/>
          <w:iCs w:val="0"/>
          <w:noProof/>
          <w:color w:val="FFFFFF" w:themeColor="background1"/>
          <w:sz w:val="22"/>
          <w:szCs w:val="22"/>
        </w:rPr>
        <w:t>6</w:t>
      </w:r>
      <w:r w:rsidRPr="004849C5">
        <w:rPr>
          <w:i w:val="0"/>
          <w:iCs w:val="0"/>
          <w:color w:val="FFFFFF" w:themeColor="background1"/>
          <w:sz w:val="22"/>
          <w:szCs w:val="22"/>
        </w:rPr>
        <w:fldChar w:fldCharType="end"/>
      </w:r>
      <w:r w:rsidRPr="004849C5">
        <w:rPr>
          <w:i w:val="0"/>
          <w:iCs w:val="0"/>
          <w:color w:val="FFFFFF" w:themeColor="background1"/>
          <w:sz w:val="22"/>
          <w:szCs w:val="22"/>
        </w:rPr>
        <w:t xml:space="preserve">. </w:t>
      </w:r>
      <w:r w:rsidRPr="004849C5">
        <w:rPr>
          <w:rFonts w:asciiTheme="majorHAnsi" w:eastAsiaTheme="majorEastAsia" w:hAnsiTheme="majorHAnsi" w:cstheme="majorBidi"/>
          <w:i w:val="0"/>
          <w:iCs w:val="0"/>
          <w:color w:val="FFFFFF" w:themeColor="background1"/>
          <w:sz w:val="22"/>
          <w:szCs w:val="22"/>
        </w:rPr>
        <w:t xml:space="preserve">SDG tagging of bank </w:t>
      </w:r>
      <w:proofErr w:type="gramStart"/>
      <w:r w:rsidRPr="004849C5">
        <w:rPr>
          <w:rFonts w:asciiTheme="majorHAnsi" w:eastAsiaTheme="majorEastAsia" w:hAnsiTheme="majorHAnsi" w:cstheme="majorBidi"/>
          <w:i w:val="0"/>
          <w:iCs w:val="0"/>
          <w:color w:val="FFFFFF" w:themeColor="background1"/>
          <w:sz w:val="22"/>
          <w:szCs w:val="22"/>
        </w:rPr>
        <w:t>loans</w:t>
      </w:r>
      <w:bookmarkEnd w:id="61"/>
      <w:proofErr w:type="gramEnd"/>
    </w:p>
    <w:p w14:paraId="4807340B" w14:textId="77777777" w:rsidR="00041D0A" w:rsidRPr="006C0F8B" w:rsidRDefault="00041D0A" w:rsidP="00041D0A">
      <w:pPr>
        <w:shd w:val="clear" w:color="auto" w:fill="C4EEFF" w:themeFill="accent2" w:themeFillTint="33"/>
        <w:tabs>
          <w:tab w:val="num" w:pos="720"/>
        </w:tabs>
        <w:spacing w:after="0" w:line="276" w:lineRule="auto"/>
        <w:jc w:val="both"/>
        <w:rPr>
          <w:rFonts w:asciiTheme="majorHAnsi" w:eastAsiaTheme="majorEastAsia" w:hAnsiTheme="majorHAnsi" w:cstheme="majorBidi"/>
          <w:color w:val="073662" w:themeColor="accent1" w:themeShade="7F"/>
          <w:sz w:val="20"/>
          <w:szCs w:val="20"/>
        </w:rPr>
      </w:pPr>
    </w:p>
    <w:p w14:paraId="7C0B21D7" w14:textId="1C4B7EFB" w:rsidR="00041D0A" w:rsidRPr="00C56601" w:rsidRDefault="00041D0A" w:rsidP="00041D0A">
      <w:pPr>
        <w:shd w:val="clear" w:color="auto" w:fill="C4EEFF" w:themeFill="accent2" w:themeFillTint="33"/>
        <w:spacing w:after="0" w:line="276" w:lineRule="auto"/>
        <w:jc w:val="both"/>
      </w:pPr>
      <w:r>
        <w:rPr>
          <w:rFonts w:asciiTheme="majorHAnsi" w:eastAsiaTheme="majorEastAsia" w:hAnsiTheme="majorHAnsi" w:cstheme="majorBidi"/>
          <w:color w:val="073662" w:themeColor="accent1" w:themeShade="7F"/>
          <w:sz w:val="20"/>
          <w:szCs w:val="20"/>
        </w:rPr>
        <w:t>Some large European banks have started to use Artificial Intelligence (AI) and Machine Learning Algorithms (MLAs) to conduct text analysis of the successful applications for bank loans. They have accordingly classified their loans according to the focus on SDGs. The results indicate that SDG#13 Climate Action and SDG#5 Gender Equality were the primary goals of most commercial loans during the past decade.</w:t>
      </w:r>
    </w:p>
    <w:p w14:paraId="37295C91" w14:textId="77777777" w:rsidR="005063A4" w:rsidRDefault="005063A4" w:rsidP="00041D0A">
      <w:pPr>
        <w:spacing w:after="0" w:line="276" w:lineRule="auto"/>
        <w:jc w:val="both"/>
        <w:rPr>
          <w:color w:val="0070C0"/>
        </w:rPr>
      </w:pPr>
    </w:p>
    <w:p w14:paraId="52522AC3" w14:textId="6BE96B28" w:rsidR="00041D0A" w:rsidRPr="00C56601" w:rsidRDefault="00041D0A" w:rsidP="00041D0A">
      <w:pPr>
        <w:spacing w:after="0" w:line="276" w:lineRule="auto"/>
        <w:jc w:val="both"/>
        <w:rPr>
          <w:color w:val="0070C0"/>
        </w:rPr>
      </w:pPr>
      <w:r w:rsidRPr="00041D0A">
        <w:rPr>
          <w:noProof/>
          <w:color w:val="0070C0"/>
        </w:rPr>
        <w:lastRenderedPageBreak/>
        <w:drawing>
          <wp:inline distT="0" distB="0" distL="0" distR="0" wp14:anchorId="74C0D963" wp14:editId="7BB8B4A7">
            <wp:extent cx="3492500" cy="3235040"/>
            <wp:effectExtent l="0" t="0" r="0" b="3810"/>
            <wp:docPr id="8" name="Picture 7" descr="A graph of different colored lines&#10;&#10;Description automatically generated">
              <a:extLst xmlns:a="http://schemas.openxmlformats.org/drawingml/2006/main">
                <a:ext uri="{FF2B5EF4-FFF2-40B4-BE49-F238E27FC236}">
                  <a16:creationId xmlns:a16="http://schemas.microsoft.com/office/drawing/2014/main" id="{C5E5D4BF-9D67-FAB5-09F8-81DE05AD16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graph of different colored lines&#10;&#10;Description automatically generated">
                      <a:extLst>
                        <a:ext uri="{FF2B5EF4-FFF2-40B4-BE49-F238E27FC236}">
                          <a16:creationId xmlns:a16="http://schemas.microsoft.com/office/drawing/2014/main" id="{C5E5D4BF-9D67-FAB5-09F8-81DE05AD16EE}"/>
                        </a:ext>
                      </a:extLst>
                    </pic:cNvPr>
                    <pic:cNvPicPr>
                      <a:picLocks noChangeAspect="1"/>
                    </pic:cNvPicPr>
                  </pic:nvPicPr>
                  <pic:blipFill>
                    <a:blip r:embed="rId55"/>
                    <a:stretch>
                      <a:fillRect/>
                    </a:stretch>
                  </pic:blipFill>
                  <pic:spPr>
                    <a:xfrm>
                      <a:off x="0" y="0"/>
                      <a:ext cx="3495341" cy="3237671"/>
                    </a:xfrm>
                    <a:prstGeom prst="rect">
                      <a:avLst/>
                    </a:prstGeom>
                  </pic:spPr>
                </pic:pic>
              </a:graphicData>
            </a:graphic>
          </wp:inline>
        </w:drawing>
      </w:r>
    </w:p>
    <w:p w14:paraId="69FDBE8A" w14:textId="77777777" w:rsidR="00041D0A" w:rsidRDefault="00041D0A" w:rsidP="005063A4">
      <w:pPr>
        <w:spacing w:after="0" w:line="276" w:lineRule="auto"/>
        <w:jc w:val="both"/>
        <w:rPr>
          <w:i/>
          <w:iCs/>
          <w:color w:val="0070C0"/>
        </w:rPr>
      </w:pPr>
    </w:p>
    <w:p w14:paraId="48D10336" w14:textId="17531949" w:rsidR="005063A4" w:rsidRPr="00C56601" w:rsidRDefault="005063A4" w:rsidP="005063A4">
      <w:pPr>
        <w:spacing w:after="0" w:line="276" w:lineRule="auto"/>
        <w:jc w:val="both"/>
      </w:pPr>
      <w:r w:rsidRPr="00C56601">
        <w:rPr>
          <w:i/>
          <w:iCs/>
          <w:color w:val="0070C0"/>
        </w:rPr>
        <w:t>Improving the financial intermediation and reducing the grey economy</w:t>
      </w:r>
      <w:r w:rsidRPr="00C56601">
        <w:t>. It is worth noting that there is a significant cash in circulation held outside the official financial flows. The high share of cash in circulation is one of the indicators of the informal (grey) economy. The use of these funds is not reflected in official statistics. Hence, combatting the grey economy and tax evasion can bring a large addition to domestic private and public sources. The UNDP involvement in combatting the grey economy – together with the Ministry of Finance – is the right step in that direction.</w:t>
      </w:r>
    </w:p>
    <w:p w14:paraId="157514F9" w14:textId="77777777" w:rsidR="005063A4" w:rsidRPr="00C56601" w:rsidRDefault="005063A4" w:rsidP="005063A4">
      <w:pPr>
        <w:spacing w:after="0" w:line="276" w:lineRule="auto"/>
        <w:jc w:val="both"/>
      </w:pPr>
    </w:p>
    <w:p w14:paraId="4B491FBF" w14:textId="264D0436" w:rsidR="005063A4" w:rsidRDefault="005063A4" w:rsidP="005063A4">
      <w:pPr>
        <w:spacing w:after="0" w:line="276" w:lineRule="auto"/>
        <w:jc w:val="both"/>
      </w:pPr>
      <w:r w:rsidRPr="00C56601">
        <w:t xml:space="preserve">A joint workshop with the Macedonian Banking Association </w:t>
      </w:r>
      <w:r w:rsidR="00041D0A">
        <w:t>would</w:t>
      </w:r>
      <w:r w:rsidRPr="00C56601">
        <w:t xml:space="preserve"> reveal </w:t>
      </w:r>
      <w:proofErr w:type="gramStart"/>
      <w:r w:rsidRPr="00C56601">
        <w:t>a number of</w:t>
      </w:r>
      <w:proofErr w:type="gramEnd"/>
      <w:r w:rsidRPr="00C56601">
        <w:t xml:space="preserve"> SDG-related or ESG-related loans whose interest rates could be subsidized by the Government, foreign governments, or UN organizations. A </w:t>
      </w:r>
      <w:r w:rsidRPr="00C56601">
        <w:rPr>
          <w:i/>
          <w:iCs/>
          <w:color w:val="0070C0"/>
        </w:rPr>
        <w:t>Guidance note</w:t>
      </w:r>
      <w:r w:rsidRPr="00C56601">
        <w:t xml:space="preserve"> from the National Bank of the Republic of North Macedonia would significantly increase the SDG-alignment of bank portfolios, at least of medium-sized and large commercial banks.</w:t>
      </w:r>
    </w:p>
    <w:p w14:paraId="4B7A1D18" w14:textId="77777777" w:rsidR="007D16CA" w:rsidRDefault="007D16CA" w:rsidP="005063A4">
      <w:pPr>
        <w:spacing w:after="0" w:line="276" w:lineRule="auto"/>
        <w:jc w:val="both"/>
      </w:pPr>
    </w:p>
    <w:p w14:paraId="6E852C4A" w14:textId="4FACCFBE" w:rsidR="007D16CA" w:rsidRDefault="007D16CA" w:rsidP="005063A4">
      <w:pPr>
        <w:spacing w:after="0" w:line="276" w:lineRule="auto"/>
        <w:jc w:val="both"/>
      </w:pPr>
      <w:r w:rsidRPr="007D16CA">
        <w:rPr>
          <w:b/>
          <w:bCs/>
          <w:color w:val="0070C0"/>
        </w:rPr>
        <w:t xml:space="preserve">Cooperation with the World Bank Group. </w:t>
      </w:r>
      <w:r w:rsidRPr="007D16CA">
        <w:t xml:space="preserve">Although not a classical bank, but an International Financial Institution with </w:t>
      </w:r>
      <w:r>
        <w:t xml:space="preserve">strong expertise and outstanding reputation, there is a strong potential for cooperation between UNDP and the World Bank group. </w:t>
      </w:r>
      <w:r w:rsidR="00835717">
        <w:t>World Bank Group’s lending operations and technical support span a vast range of areas from supporting the innovation ecosystem to reforming social security safety nets to local infrastructure projects to environment and climate finance. There is a high degree of mission overlap in certain areas, where both institutions could leverage their support in areas in line with the Country’s Partnership Framework 2024-2028 between the Government and the World Bank Group.</w:t>
      </w:r>
    </w:p>
    <w:p w14:paraId="3198ED0B" w14:textId="77777777" w:rsidR="00835717" w:rsidRDefault="00835717" w:rsidP="005063A4">
      <w:pPr>
        <w:spacing w:after="0" w:line="276" w:lineRule="auto"/>
        <w:jc w:val="both"/>
      </w:pPr>
    </w:p>
    <w:p w14:paraId="3E25C025" w14:textId="77777777" w:rsidR="00835717" w:rsidRPr="007D16CA" w:rsidRDefault="00835717" w:rsidP="005063A4">
      <w:pPr>
        <w:spacing w:after="0" w:line="276" w:lineRule="auto"/>
        <w:jc w:val="both"/>
      </w:pPr>
    </w:p>
    <w:p w14:paraId="4BE057AD" w14:textId="77777777" w:rsidR="00DE273C" w:rsidRDefault="00DE273C" w:rsidP="005063A4">
      <w:pPr>
        <w:spacing w:after="0" w:line="276" w:lineRule="auto"/>
        <w:jc w:val="both"/>
      </w:pPr>
    </w:p>
    <w:p w14:paraId="4843FFC3" w14:textId="60240478" w:rsidR="00DE273C" w:rsidRDefault="00DE273C" w:rsidP="00F305D8">
      <w:pPr>
        <w:pStyle w:val="Heading2"/>
        <w:numPr>
          <w:ilvl w:val="2"/>
          <w:numId w:val="1"/>
        </w:numPr>
        <w:rPr>
          <w:color w:val="0070C0"/>
          <w:sz w:val="24"/>
          <w:szCs w:val="24"/>
        </w:rPr>
      </w:pPr>
      <w:bookmarkStart w:id="62" w:name="_Toc157427568"/>
      <w:r w:rsidRPr="00DE273C">
        <w:rPr>
          <w:color w:val="0070C0"/>
          <w:sz w:val="24"/>
          <w:szCs w:val="24"/>
        </w:rPr>
        <w:lastRenderedPageBreak/>
        <w:t>Corporate bonds</w:t>
      </w:r>
      <w:bookmarkEnd w:id="62"/>
    </w:p>
    <w:p w14:paraId="75FAC18C" w14:textId="77777777" w:rsidR="004849C5" w:rsidRDefault="004849C5" w:rsidP="00041D0A">
      <w:pPr>
        <w:spacing w:line="276" w:lineRule="auto"/>
        <w:jc w:val="both"/>
      </w:pPr>
    </w:p>
    <w:p w14:paraId="4399A984" w14:textId="73A7587E" w:rsidR="002414BA" w:rsidRDefault="00DE273C" w:rsidP="00041D0A">
      <w:pPr>
        <w:spacing w:line="276" w:lineRule="auto"/>
        <w:jc w:val="both"/>
      </w:pPr>
      <w:r>
        <w:t xml:space="preserve">Despite their wide use in the developed economies, corporate bonds have never been considered as a viable financial option in North Macedonia. In the last three decades, there have been only several issuances of corporate bonds. </w:t>
      </w:r>
      <w:proofErr w:type="gramStart"/>
      <w:r>
        <w:t>First of all</w:t>
      </w:r>
      <w:proofErr w:type="gramEnd"/>
      <w:r>
        <w:t>, the level of financial literacy and knowledge is an obstacle. Second, the procedure is time-consuming</w:t>
      </w:r>
      <w:r w:rsidR="00D01F78">
        <w:t xml:space="preserve"> and lengthy</w:t>
      </w:r>
      <w:r>
        <w:t>, especially when considered against the option of a two-day approval of a commercial loan.</w:t>
      </w:r>
      <w:r w:rsidR="00D01F78">
        <w:t xml:space="preserve"> Third, entrepreneurs have been afraid of a failure during</w:t>
      </w:r>
      <w:r w:rsidR="006B5906">
        <w:rPr>
          <w:lang w:val="mk-MK"/>
        </w:rPr>
        <w:t xml:space="preserve"> </w:t>
      </w:r>
      <w:r w:rsidR="006B5906">
        <w:rPr>
          <w:lang w:val="en-US"/>
        </w:rPr>
        <w:t>any stage of</w:t>
      </w:r>
      <w:r w:rsidR="00D01F78">
        <w:t xml:space="preserve"> the issuance process.</w:t>
      </w:r>
      <w:r w:rsidR="00014B95">
        <w:t xml:space="preserve"> Nevertheless, the generational rejuvenation of the business leadership will inevitably lead to greater use of corporate bonds for financing SDG enabling investments.</w:t>
      </w:r>
    </w:p>
    <w:p w14:paraId="2FF7B1ED" w14:textId="77777777" w:rsidR="00041D0A" w:rsidRPr="00041D0A" w:rsidRDefault="00041D0A" w:rsidP="00041D0A">
      <w:pPr>
        <w:spacing w:line="276" w:lineRule="auto"/>
        <w:jc w:val="both"/>
      </w:pPr>
    </w:p>
    <w:p w14:paraId="7909060A" w14:textId="1B162369" w:rsidR="002414BA" w:rsidRPr="00041D0A" w:rsidRDefault="00041D0A" w:rsidP="00041D0A">
      <w:pPr>
        <w:pStyle w:val="Caption"/>
        <w:shd w:val="clear" w:color="auto" w:fill="004E6C" w:themeFill="accent2" w:themeFillShade="80"/>
        <w:spacing w:after="0"/>
        <w:rPr>
          <w:i w:val="0"/>
          <w:iCs w:val="0"/>
          <w:color w:val="FFFFFF" w:themeColor="background1"/>
          <w:sz w:val="22"/>
          <w:szCs w:val="22"/>
          <w:lang w:val="en-US"/>
        </w:rPr>
      </w:pPr>
      <w:bookmarkStart w:id="63" w:name="_Toc157427507"/>
      <w:r w:rsidRPr="00041D0A">
        <w:rPr>
          <w:i w:val="0"/>
          <w:iCs w:val="0"/>
          <w:color w:val="FFFFFF" w:themeColor="background1"/>
          <w:sz w:val="22"/>
          <w:szCs w:val="22"/>
        </w:rPr>
        <w:t xml:space="preserve">Box </w:t>
      </w:r>
      <w:r w:rsidRPr="00041D0A">
        <w:rPr>
          <w:i w:val="0"/>
          <w:iCs w:val="0"/>
          <w:color w:val="FFFFFF" w:themeColor="background1"/>
          <w:sz w:val="22"/>
          <w:szCs w:val="22"/>
        </w:rPr>
        <w:fldChar w:fldCharType="begin"/>
      </w:r>
      <w:r w:rsidRPr="00041D0A">
        <w:rPr>
          <w:i w:val="0"/>
          <w:iCs w:val="0"/>
          <w:color w:val="FFFFFF" w:themeColor="background1"/>
          <w:sz w:val="22"/>
          <w:szCs w:val="22"/>
        </w:rPr>
        <w:instrText xml:space="preserve"> SEQ Box \* ARABIC </w:instrText>
      </w:r>
      <w:r w:rsidRPr="00041D0A">
        <w:rPr>
          <w:i w:val="0"/>
          <w:iCs w:val="0"/>
          <w:color w:val="FFFFFF" w:themeColor="background1"/>
          <w:sz w:val="22"/>
          <w:szCs w:val="22"/>
        </w:rPr>
        <w:fldChar w:fldCharType="separate"/>
      </w:r>
      <w:r w:rsidRPr="00041D0A">
        <w:rPr>
          <w:i w:val="0"/>
          <w:iCs w:val="0"/>
          <w:noProof/>
          <w:color w:val="FFFFFF" w:themeColor="background1"/>
          <w:sz w:val="22"/>
          <w:szCs w:val="22"/>
        </w:rPr>
        <w:t>7</w:t>
      </w:r>
      <w:r w:rsidRPr="00041D0A">
        <w:rPr>
          <w:i w:val="0"/>
          <w:iCs w:val="0"/>
          <w:color w:val="FFFFFF" w:themeColor="background1"/>
          <w:sz w:val="22"/>
          <w:szCs w:val="22"/>
        </w:rPr>
        <w:fldChar w:fldCharType="end"/>
      </w:r>
      <w:r w:rsidRPr="00041D0A">
        <w:rPr>
          <w:i w:val="0"/>
          <w:iCs w:val="0"/>
          <w:color w:val="FFFFFF" w:themeColor="background1"/>
          <w:sz w:val="22"/>
          <w:szCs w:val="22"/>
        </w:rPr>
        <w:t xml:space="preserve">. </w:t>
      </w:r>
      <w:r w:rsidRPr="00041D0A">
        <w:rPr>
          <w:i w:val="0"/>
          <w:iCs w:val="0"/>
          <w:color w:val="FFFFFF" w:themeColor="background1"/>
          <w:sz w:val="22"/>
          <w:szCs w:val="22"/>
          <w:lang w:val="en-US"/>
        </w:rPr>
        <w:t>Green Investment - The Solar Roofs Cooperative (Croatia)</w:t>
      </w:r>
      <w:bookmarkEnd w:id="63"/>
    </w:p>
    <w:p w14:paraId="41A39E5B" w14:textId="66A5734A" w:rsidR="002414BA" w:rsidRPr="004849C5" w:rsidRDefault="002414BA" w:rsidP="004849C5">
      <w:pPr>
        <w:shd w:val="clear" w:color="auto" w:fill="C4EEFF" w:themeFill="accent2" w:themeFillTint="33"/>
        <w:tabs>
          <w:tab w:val="num" w:pos="720"/>
        </w:tabs>
        <w:spacing w:after="0" w:line="276" w:lineRule="auto"/>
        <w:jc w:val="both"/>
        <w:rPr>
          <w:rFonts w:asciiTheme="majorHAnsi" w:eastAsiaTheme="majorEastAsia" w:hAnsiTheme="majorHAnsi" w:cstheme="majorBidi"/>
          <w:color w:val="073662" w:themeColor="accent1" w:themeShade="7F"/>
          <w:sz w:val="20"/>
          <w:szCs w:val="20"/>
        </w:rPr>
      </w:pPr>
      <w:r w:rsidRPr="004849C5">
        <w:rPr>
          <w:rFonts w:asciiTheme="majorHAnsi" w:eastAsiaTheme="majorEastAsia" w:hAnsiTheme="majorHAnsi" w:cstheme="majorBidi"/>
          <w:color w:val="073662" w:themeColor="accent1" w:themeShade="7F"/>
          <w:sz w:val="20"/>
          <w:szCs w:val="20"/>
        </w:rPr>
        <w:t xml:space="preserve">In Croatia in 2014, citizens financed a 30-kW photovoltaic installation on an administrative building in </w:t>
      </w:r>
      <w:proofErr w:type="spellStart"/>
      <w:r w:rsidRPr="004849C5">
        <w:rPr>
          <w:rFonts w:asciiTheme="majorHAnsi" w:eastAsiaTheme="majorEastAsia" w:hAnsiTheme="majorHAnsi" w:cstheme="majorBidi"/>
          <w:color w:val="073662" w:themeColor="accent1" w:themeShade="7F"/>
          <w:sz w:val="20"/>
          <w:szCs w:val="20"/>
        </w:rPr>
        <w:t>Križevci</w:t>
      </w:r>
      <w:proofErr w:type="spellEnd"/>
      <w:r w:rsidRPr="004849C5">
        <w:rPr>
          <w:rFonts w:asciiTheme="majorHAnsi" w:eastAsiaTheme="majorEastAsia" w:hAnsiTheme="majorHAnsi" w:cstheme="majorBidi"/>
          <w:color w:val="073662" w:themeColor="accent1" w:themeShade="7F"/>
          <w:sz w:val="20"/>
          <w:szCs w:val="20"/>
        </w:rPr>
        <w:t xml:space="preserve"> via a cooperative. The municipality of approximately 21,000 inhabitants partnered with the energy cooperative Zelena </w:t>
      </w:r>
      <w:proofErr w:type="spellStart"/>
      <w:r w:rsidRPr="004849C5">
        <w:rPr>
          <w:rFonts w:asciiTheme="majorHAnsi" w:eastAsiaTheme="majorEastAsia" w:hAnsiTheme="majorHAnsi" w:cstheme="majorBidi"/>
          <w:color w:val="073662" w:themeColor="accent1" w:themeShade="7F"/>
          <w:sz w:val="20"/>
          <w:szCs w:val="20"/>
        </w:rPr>
        <w:t>Energetska</w:t>
      </w:r>
      <w:proofErr w:type="spellEnd"/>
      <w:r w:rsidRPr="004849C5">
        <w:rPr>
          <w:rFonts w:asciiTheme="majorHAnsi" w:eastAsiaTheme="majorEastAsia" w:hAnsiTheme="majorHAnsi" w:cstheme="majorBidi"/>
          <w:color w:val="073662" w:themeColor="accent1" w:themeShade="7F"/>
          <w:sz w:val="20"/>
          <w:szCs w:val="20"/>
        </w:rPr>
        <w:t xml:space="preserve"> Zadruga (ZEZ), the United Nations Development Program (UNDP) and others to finance and implement the project.</w:t>
      </w:r>
      <w:r w:rsidR="00041D0A" w:rsidRPr="004849C5">
        <w:rPr>
          <w:rFonts w:asciiTheme="majorHAnsi" w:eastAsiaTheme="majorEastAsia" w:hAnsiTheme="majorHAnsi" w:cstheme="majorBidi"/>
          <w:color w:val="073662" w:themeColor="accent1" w:themeShade="7F"/>
          <w:sz w:val="20"/>
          <w:szCs w:val="20"/>
        </w:rPr>
        <w:t xml:space="preserve"> </w:t>
      </w:r>
      <w:r w:rsidRPr="004849C5">
        <w:rPr>
          <w:rFonts w:asciiTheme="majorHAnsi" w:eastAsiaTheme="majorEastAsia" w:hAnsiTheme="majorHAnsi" w:cstheme="majorBidi"/>
          <w:color w:val="073662" w:themeColor="accent1" w:themeShade="7F"/>
          <w:sz w:val="20"/>
          <w:szCs w:val="20"/>
        </w:rPr>
        <w:t>The building's own energy requirements are mostly covered by the solar roof. At predetermined purchase prices, the surplus is fed into the grid. The cooperative, which purchases, owns, and maintains the hardware, leases the photovoltaic system to the building's owner. This was the first Croatian solar project primarily financed by citizens. Within ten days, 53 small investors invested into the project via a micro-loans model, ranging from EUR 130 to EUR 1,300. Over a ten-year period, citizens earn 4.5% annual interest rates in return. A Special Purpose Vehicle (SPV) structure was used to set up the project's financial arrangements. Another positive effect was citizen engagement. ZEZ was established in 2013 as part of the project ‘Development of Energy Cooperatives in Croatia’ implemented by UNDP.</w:t>
      </w:r>
    </w:p>
    <w:p w14:paraId="078EBD40" w14:textId="77777777" w:rsidR="002414BA" w:rsidRPr="00C56601" w:rsidRDefault="002414BA" w:rsidP="005063A4">
      <w:pPr>
        <w:tabs>
          <w:tab w:val="left" w:pos="7366"/>
        </w:tabs>
        <w:spacing w:after="0" w:line="360" w:lineRule="auto"/>
        <w:jc w:val="both"/>
      </w:pPr>
    </w:p>
    <w:p w14:paraId="60AE619E" w14:textId="0832A00A" w:rsidR="003B7FBC" w:rsidRPr="00C56601" w:rsidRDefault="003B7FBC" w:rsidP="00F305D8">
      <w:pPr>
        <w:pStyle w:val="Heading2"/>
        <w:numPr>
          <w:ilvl w:val="1"/>
          <w:numId w:val="1"/>
        </w:numPr>
        <w:rPr>
          <w:color w:val="0070C0"/>
        </w:rPr>
      </w:pPr>
      <w:bookmarkStart w:id="64" w:name="_Toc157427569"/>
      <w:r w:rsidRPr="00C56601">
        <w:rPr>
          <w:color w:val="0070C0"/>
        </w:rPr>
        <w:t>Foreign Public Sources</w:t>
      </w:r>
      <w:bookmarkEnd w:id="64"/>
      <w:r w:rsidRPr="00C56601">
        <w:rPr>
          <w:color w:val="0070C0"/>
        </w:rPr>
        <w:tab/>
      </w:r>
    </w:p>
    <w:p w14:paraId="026D7A32" w14:textId="77777777" w:rsidR="003B7FBC" w:rsidRPr="00C56601" w:rsidRDefault="003B7FBC" w:rsidP="003B7FBC">
      <w:pPr>
        <w:spacing w:after="0" w:line="360" w:lineRule="auto"/>
        <w:jc w:val="both"/>
        <w:rPr>
          <w:b/>
          <w:bCs/>
          <w:color w:val="0070C0"/>
        </w:rPr>
      </w:pPr>
    </w:p>
    <w:p w14:paraId="1AF111FF" w14:textId="2BAA9FAD" w:rsidR="00CE411B" w:rsidRPr="00C56601" w:rsidRDefault="00CE411B" w:rsidP="00CE411B">
      <w:pPr>
        <w:spacing w:after="0" w:line="276" w:lineRule="auto"/>
        <w:jc w:val="both"/>
        <w:rPr>
          <w:lang w:val="en-US"/>
        </w:rPr>
      </w:pPr>
      <w:r w:rsidRPr="00C56601">
        <w:t>In the next decade, it is desirable for the Government to renew cooperation with the Multilateral Investment Guarantee Agency (MIGA) and the International Finance Corporation (IFC).</w:t>
      </w:r>
      <w:r w:rsidR="00F0184B" w:rsidRPr="00C56601">
        <w:t xml:space="preserve"> </w:t>
      </w:r>
      <w:r w:rsidRPr="00C56601">
        <w:rPr>
          <w:lang w:val="en-US"/>
        </w:rPr>
        <w:t>During the period</w:t>
      </w:r>
      <w:r w:rsidR="00F0184B" w:rsidRPr="00C56601">
        <w:rPr>
          <w:lang w:val="en-US"/>
        </w:rPr>
        <w:t xml:space="preserve"> of remaining EU candidate status of </w:t>
      </w:r>
      <w:r w:rsidRPr="00C56601">
        <w:rPr>
          <w:lang w:val="en-US"/>
        </w:rPr>
        <w:t xml:space="preserve">North Macedonia, part of the pre-accession funds from the EU budget will be available within the Instrument for Pre-Accession (IPA) III and IPA IV </w:t>
      </w:r>
      <w:proofErr w:type="spellStart"/>
      <w:r w:rsidRPr="00C56601">
        <w:rPr>
          <w:lang w:val="en-US"/>
        </w:rPr>
        <w:t>programmes</w:t>
      </w:r>
      <w:proofErr w:type="spellEnd"/>
      <w:r w:rsidRPr="00C56601">
        <w:rPr>
          <w:lang w:val="en-US"/>
        </w:rPr>
        <w:t>.</w:t>
      </w:r>
    </w:p>
    <w:p w14:paraId="1A401F05" w14:textId="77777777" w:rsidR="00F0184B" w:rsidRPr="00C56601" w:rsidRDefault="00F0184B" w:rsidP="00CE411B">
      <w:pPr>
        <w:spacing w:after="0" w:line="276" w:lineRule="auto"/>
        <w:jc w:val="both"/>
        <w:rPr>
          <w:lang w:val="en-US"/>
        </w:rPr>
      </w:pPr>
    </w:p>
    <w:p w14:paraId="06BD362D" w14:textId="23346FF6" w:rsidR="00CE411B" w:rsidRPr="00C56601" w:rsidRDefault="00CE411B" w:rsidP="00F0184B">
      <w:pPr>
        <w:spacing w:after="0" w:line="276" w:lineRule="auto"/>
        <w:jc w:val="both"/>
        <w:rPr>
          <w:lang w:val="en-US"/>
        </w:rPr>
      </w:pPr>
      <w:r w:rsidRPr="00C56601">
        <w:rPr>
          <w:lang w:val="en-US"/>
        </w:rPr>
        <w:t>Prospective membership in the Union will also mean that North Macedonia will be a net beneficiary of funds from the EU budget. Funds between the EU budget and an EU member state move in two directions – in and out of the member state. On the one hand, there are cash flows from the EU budget to EU member states. The flows consist of funds coming primarily in the fields of agriculture, cohesion, and competitiveness (Mrak, 2019). On the other hand, there are flows of funds from the national budgets of EU member states to the EU budget.</w:t>
      </w:r>
      <w:r w:rsidR="004849C5">
        <w:rPr>
          <w:lang w:val="en-US"/>
        </w:rPr>
        <w:t xml:space="preserve"> </w:t>
      </w:r>
      <w:r w:rsidRPr="00C56601">
        <w:rPr>
          <w:lang w:val="en-US"/>
        </w:rPr>
        <w:t>When – or if - North Macedonia becomes a member of the EU in the next 20 years, additional inflows will come from the Structural and Cohesion Funds, as a significant financial instrument of the EU's regional policy.</w:t>
      </w:r>
    </w:p>
    <w:p w14:paraId="4946C765" w14:textId="77777777" w:rsidR="00F0184B" w:rsidRPr="00C56601" w:rsidRDefault="00F0184B" w:rsidP="00F0184B">
      <w:pPr>
        <w:spacing w:after="0" w:line="276" w:lineRule="auto"/>
        <w:jc w:val="both"/>
        <w:rPr>
          <w:lang w:val="en-US"/>
        </w:rPr>
      </w:pPr>
    </w:p>
    <w:p w14:paraId="7AC5A261" w14:textId="6D33DD71" w:rsidR="00373BD2" w:rsidRPr="00C56601" w:rsidRDefault="00373BD2" w:rsidP="00F305D8">
      <w:pPr>
        <w:pStyle w:val="Heading3"/>
        <w:numPr>
          <w:ilvl w:val="2"/>
          <w:numId w:val="1"/>
        </w:numPr>
        <w:rPr>
          <w:color w:val="0070C0"/>
        </w:rPr>
      </w:pPr>
      <w:bookmarkStart w:id="65" w:name="_Toc157427570"/>
      <w:r w:rsidRPr="00C56601">
        <w:rPr>
          <w:color w:val="0070C0"/>
        </w:rPr>
        <w:lastRenderedPageBreak/>
        <w:t>Expanding the UNDP-EBRD partnership</w:t>
      </w:r>
      <w:bookmarkEnd w:id="65"/>
    </w:p>
    <w:p w14:paraId="3EF29762" w14:textId="77777777" w:rsidR="00373BD2" w:rsidRPr="00C56601" w:rsidRDefault="00373BD2" w:rsidP="003B7FBC">
      <w:pPr>
        <w:spacing w:after="0" w:line="360" w:lineRule="auto"/>
        <w:jc w:val="both"/>
        <w:rPr>
          <w:b/>
          <w:bCs/>
          <w:color w:val="0070C0"/>
        </w:rPr>
      </w:pPr>
    </w:p>
    <w:p w14:paraId="1CE3CA29" w14:textId="0F1F4F85" w:rsidR="003B7FBC" w:rsidRPr="00C56601" w:rsidRDefault="003B7FBC" w:rsidP="00373BD2">
      <w:pPr>
        <w:spacing w:after="0" w:line="276" w:lineRule="auto"/>
        <w:jc w:val="both"/>
      </w:pPr>
      <w:r w:rsidRPr="00C56601">
        <w:t xml:space="preserve">The recently signed partnership agreement between UNDP CO and EBRD for launching the Green Financing Facility (GFF) is an excellent example and certainly, this can be a lesson for other UN country offices. Expansion of the collaboration </w:t>
      </w:r>
      <w:proofErr w:type="gramStart"/>
      <w:r w:rsidRPr="00C56601">
        <w:t>in the area of</w:t>
      </w:r>
      <w:proofErr w:type="gramEnd"/>
      <w:r w:rsidRPr="00C56601">
        <w:t xml:space="preserve"> environmental sustainability is one of the promising fields for UNDP.</w:t>
      </w:r>
      <w:r w:rsidR="00041D0A">
        <w:t xml:space="preserve"> The project is in a very early stage and lessons will be learnt soon. </w:t>
      </w:r>
      <w:r w:rsidR="00041D0A" w:rsidRPr="00041D0A">
        <w:t xml:space="preserve">With blended finance, a small amount of public capital is expected to catalyse private investment </w:t>
      </w:r>
      <w:r w:rsidR="00041D0A">
        <w:t>at</w:t>
      </w:r>
      <w:r w:rsidR="00041D0A" w:rsidRPr="00041D0A">
        <w:t xml:space="preserve"> a larger scale.</w:t>
      </w:r>
    </w:p>
    <w:p w14:paraId="57D91DD9" w14:textId="77777777" w:rsidR="00373BD2" w:rsidRPr="00C56601" w:rsidRDefault="00373BD2" w:rsidP="00373BD2">
      <w:pPr>
        <w:spacing w:after="0" w:line="276" w:lineRule="auto"/>
        <w:jc w:val="both"/>
      </w:pPr>
    </w:p>
    <w:p w14:paraId="0F698E6F" w14:textId="3833A7EF" w:rsidR="00373BD2" w:rsidRPr="00C56601" w:rsidRDefault="00373BD2" w:rsidP="00373BD2">
      <w:pPr>
        <w:spacing w:after="0" w:line="276" w:lineRule="auto"/>
        <w:jc w:val="both"/>
      </w:pPr>
      <w:r w:rsidRPr="00C56601">
        <w:rPr>
          <w:b/>
          <w:bCs/>
          <w:color w:val="0070C0"/>
        </w:rPr>
        <w:t>Green Cities Programme</w:t>
      </w:r>
      <w:r w:rsidRPr="00C56601">
        <w:t xml:space="preserve"> is a joint initiative between UNDP and EBRD aimed at promoting sustainable urban development in cities across Europe. The program provides financial resources, technical assistance, and capacity-building support to help cities implement green infrastructure projects, improve energy efficiency, and enhance environmental sustainability. It combines EBRD's financing expertise with UNDP's technical knowledge and project implementation support. This is one possible area of cooperation.</w:t>
      </w:r>
    </w:p>
    <w:p w14:paraId="5F89FB15" w14:textId="77777777" w:rsidR="00373BD2" w:rsidRPr="00C56601" w:rsidRDefault="00373BD2" w:rsidP="00373BD2">
      <w:pPr>
        <w:spacing w:after="0" w:line="276" w:lineRule="auto"/>
        <w:jc w:val="both"/>
      </w:pPr>
    </w:p>
    <w:p w14:paraId="4B724EC3" w14:textId="429D9896" w:rsidR="00373BD2" w:rsidRPr="00C56601" w:rsidRDefault="00373BD2" w:rsidP="00373BD2">
      <w:pPr>
        <w:spacing w:after="0" w:line="276" w:lineRule="auto"/>
        <w:jc w:val="both"/>
      </w:pPr>
      <w:r w:rsidRPr="00C56601">
        <w:rPr>
          <w:b/>
          <w:bCs/>
          <w:color w:val="0070C0"/>
        </w:rPr>
        <w:t>Western Balkans Sustainable Energy Financing Facility (WeBSEFF)</w:t>
      </w:r>
      <w:r w:rsidRPr="00C56601">
        <w:t xml:space="preserve"> is a partnership between UNDP, EBRD, and other international development partners to support sustainable energy investments in the Western Balkans region. The facility provides financing and technical assistance to private businesses and public entities for energy efficiency and renewable energy projects. UNDP and EBRD work together to mobilize investments, provide technical support, and enhance the capacity of local financial institutions to promote sustainable energy financing.</w:t>
      </w:r>
    </w:p>
    <w:p w14:paraId="7B446B86" w14:textId="77777777" w:rsidR="00373BD2" w:rsidRPr="00C56601" w:rsidRDefault="00373BD2" w:rsidP="00373BD2">
      <w:pPr>
        <w:spacing w:after="0" w:line="276" w:lineRule="auto"/>
        <w:jc w:val="both"/>
      </w:pPr>
    </w:p>
    <w:p w14:paraId="3970B456" w14:textId="426E4218" w:rsidR="00373BD2" w:rsidRPr="00C56601" w:rsidRDefault="00373BD2" w:rsidP="00373BD2">
      <w:pPr>
        <w:spacing w:after="0" w:line="276" w:lineRule="auto"/>
        <w:jc w:val="both"/>
      </w:pPr>
      <w:r w:rsidRPr="00C56601">
        <w:rPr>
          <w:b/>
          <w:bCs/>
          <w:color w:val="0070C0"/>
        </w:rPr>
        <w:t>Access to Renewable and Efficient Energy in Municipalities (AREEM)</w:t>
      </w:r>
      <w:r w:rsidR="00935F9A" w:rsidRPr="00C56601">
        <w:t xml:space="preserve"> </w:t>
      </w:r>
      <w:r w:rsidRPr="00C56601">
        <w:t>is a</w:t>
      </w:r>
      <w:r w:rsidR="00935F9A" w:rsidRPr="00C56601">
        <w:t>nother</w:t>
      </w:r>
      <w:r w:rsidRPr="00C56601">
        <w:t xml:space="preserve"> joint initiative between UNDP and EBRD that aims to improve energy efficiency and promote renewable energy use in municipalities across Europe. The program provides financing and technical assistance to local governments for energy efficiency, renewable energy installations, and capacity-building activities. UNDP and EBRD collaborate to mobilize investments, provide technical expertise, and support the implementation of sustainable energy projects.</w:t>
      </w:r>
    </w:p>
    <w:p w14:paraId="69E516D0" w14:textId="77777777" w:rsidR="0040578A" w:rsidRPr="00C56601" w:rsidRDefault="0040578A" w:rsidP="00373BD2">
      <w:pPr>
        <w:spacing w:after="0" w:line="276" w:lineRule="auto"/>
        <w:jc w:val="both"/>
      </w:pPr>
    </w:p>
    <w:p w14:paraId="27482696" w14:textId="340CF5F0" w:rsidR="0040578A" w:rsidRPr="00C56601" w:rsidRDefault="0040578A" w:rsidP="00F305D8">
      <w:pPr>
        <w:pStyle w:val="Heading3"/>
        <w:numPr>
          <w:ilvl w:val="2"/>
          <w:numId w:val="1"/>
        </w:numPr>
        <w:rPr>
          <w:color w:val="0070C0"/>
        </w:rPr>
      </w:pPr>
      <w:bookmarkStart w:id="66" w:name="_Toc157427571"/>
      <w:r w:rsidRPr="00C56601">
        <w:rPr>
          <w:color w:val="0070C0"/>
        </w:rPr>
        <w:t>Other foreign public sources</w:t>
      </w:r>
      <w:bookmarkEnd w:id="66"/>
    </w:p>
    <w:p w14:paraId="3627933C" w14:textId="77777777" w:rsidR="0040578A" w:rsidRPr="00C56601" w:rsidRDefault="0040578A" w:rsidP="00373BD2">
      <w:pPr>
        <w:spacing w:after="0" w:line="276" w:lineRule="auto"/>
        <w:jc w:val="both"/>
      </w:pPr>
    </w:p>
    <w:p w14:paraId="27CD35D5" w14:textId="77777777" w:rsidR="008472D8" w:rsidRPr="00C56601" w:rsidRDefault="008472D8" w:rsidP="008472D8">
      <w:pPr>
        <w:spacing w:after="0" w:line="276" w:lineRule="auto"/>
        <w:jc w:val="both"/>
      </w:pPr>
      <w:r w:rsidRPr="00C56601">
        <w:rPr>
          <w:b/>
          <w:bCs/>
          <w:color w:val="0070C0"/>
        </w:rPr>
        <w:t xml:space="preserve">UNDP and </w:t>
      </w:r>
      <w:proofErr w:type="spellStart"/>
      <w:r w:rsidRPr="00C56601">
        <w:rPr>
          <w:b/>
          <w:bCs/>
          <w:color w:val="0070C0"/>
        </w:rPr>
        <w:t>KfW</w:t>
      </w:r>
      <w:proofErr w:type="spellEnd"/>
      <w:r w:rsidRPr="00C56601">
        <w:rPr>
          <w:b/>
          <w:bCs/>
          <w:color w:val="0070C0"/>
        </w:rPr>
        <w:t xml:space="preserve">. </w:t>
      </w:r>
      <w:r w:rsidRPr="00C56601">
        <w:t>In Europe, UNDP has excellent cooperation with the German Development Bank (</w:t>
      </w:r>
      <w:proofErr w:type="spellStart"/>
      <w:r w:rsidRPr="00C56601">
        <w:t>KFw</w:t>
      </w:r>
      <w:proofErr w:type="spellEnd"/>
      <w:r w:rsidRPr="00C56601">
        <w:t xml:space="preserve">). UNDP and </w:t>
      </w:r>
      <w:proofErr w:type="spellStart"/>
      <w:r w:rsidRPr="00C56601">
        <w:t>KfW</w:t>
      </w:r>
      <w:proofErr w:type="spellEnd"/>
      <w:r w:rsidRPr="00C56601">
        <w:t xml:space="preserve"> have partnered on numerous initiatives to promote sustainable development in Germany and other European countries. They collaborate on projects related to renewable energy, energy efficiency, climate change adaptation, sustainable urban development, and private sector development. UNDP provides technical expertise, project implementation support, and capacity-building assistance, while </w:t>
      </w:r>
      <w:proofErr w:type="spellStart"/>
      <w:r w:rsidRPr="00C56601">
        <w:t>KfW</w:t>
      </w:r>
      <w:proofErr w:type="spellEnd"/>
      <w:r w:rsidRPr="00C56601">
        <w:t xml:space="preserve"> offers financial resources and financing solutions. </w:t>
      </w:r>
    </w:p>
    <w:p w14:paraId="06970207" w14:textId="77777777" w:rsidR="008472D8" w:rsidRPr="00C56601" w:rsidRDefault="008472D8" w:rsidP="008472D8">
      <w:pPr>
        <w:spacing w:after="0" w:line="276" w:lineRule="auto"/>
        <w:jc w:val="both"/>
      </w:pPr>
    </w:p>
    <w:p w14:paraId="6A356B41" w14:textId="77777777" w:rsidR="008472D8" w:rsidRPr="00C56601" w:rsidRDefault="008472D8" w:rsidP="008472D8">
      <w:pPr>
        <w:spacing w:after="0" w:line="276" w:lineRule="auto"/>
        <w:jc w:val="both"/>
      </w:pPr>
      <w:r w:rsidRPr="00C56601">
        <w:rPr>
          <w:b/>
          <w:bCs/>
          <w:color w:val="0070C0"/>
        </w:rPr>
        <w:t>UNDP and the Austrian Development Agency.</w:t>
      </w:r>
      <w:r w:rsidRPr="00C56601">
        <w:t xml:space="preserve"> ADA works towards combating poverty, ensuring peace, and preserving the environment. It is primarily engaged in sectors: water supply and sanitation, renewable energy, climate protection, agriculture and forestry, private </w:t>
      </w:r>
      <w:proofErr w:type="gramStart"/>
      <w:r w:rsidRPr="00C56601">
        <w:t>sector</w:t>
      </w:r>
      <w:proofErr w:type="gramEnd"/>
      <w:r w:rsidRPr="00C56601">
        <w:t xml:space="preserve"> and development as well as human </w:t>
      </w:r>
      <w:r w:rsidRPr="00C56601">
        <w:lastRenderedPageBreak/>
        <w:t xml:space="preserve">security, human rights and rule of law. Southeast Europe is in the focus of </w:t>
      </w:r>
      <w:proofErr w:type="gramStart"/>
      <w:r w:rsidRPr="00C56601">
        <w:t>ADA</w:t>
      </w:r>
      <w:proofErr w:type="gramEnd"/>
      <w:r w:rsidRPr="00C56601">
        <w:t xml:space="preserve"> and this is another viable cooperation.</w:t>
      </w:r>
    </w:p>
    <w:p w14:paraId="5CE76420" w14:textId="77777777" w:rsidR="0013687F" w:rsidRPr="00C56601" w:rsidRDefault="0013687F" w:rsidP="002B70AE">
      <w:pPr>
        <w:spacing w:after="0" w:line="276" w:lineRule="auto"/>
        <w:jc w:val="both"/>
      </w:pPr>
    </w:p>
    <w:p w14:paraId="0BCD832C" w14:textId="7E8E1B31" w:rsidR="002B70AE" w:rsidRPr="00C56601" w:rsidRDefault="002B70AE" w:rsidP="002B70AE">
      <w:pPr>
        <w:spacing w:after="0" w:line="276" w:lineRule="auto"/>
        <w:jc w:val="both"/>
      </w:pPr>
      <w:r w:rsidRPr="00C56601">
        <w:rPr>
          <w:b/>
          <w:bCs/>
          <w:color w:val="0070C0"/>
        </w:rPr>
        <w:t>Green for Growth Fund (GGF)</w:t>
      </w:r>
      <w:r w:rsidR="00B434C7" w:rsidRPr="00C56601">
        <w:rPr>
          <w:b/>
          <w:bCs/>
          <w:color w:val="0070C0"/>
        </w:rPr>
        <w:t xml:space="preserve">. </w:t>
      </w:r>
      <w:r w:rsidR="00B434C7" w:rsidRPr="00C56601">
        <w:t>This impact investment fund and the UNDP have cooperated on various initiatives related to sustainable finance and green investments. The GGF is an impact investment fund that promotes sustainable energy and resource use in Southeast Europe and other regions. The GGF has invested in various projects in Southeast Europe aimed at improving energy efficiency and promoting renewable energy. For instance, the fund has supported initiatives such as energy-efficient building retrofits, renewable energy installations, and sustainable transport projects in countries like Albania, Bosnia and Herzegovina, Croatia, Montenegro, North Macedonia, and Serbia.</w:t>
      </w:r>
    </w:p>
    <w:p w14:paraId="32C4EE93" w14:textId="77777777" w:rsidR="002B70AE" w:rsidRPr="00C56601" w:rsidRDefault="002B70AE" w:rsidP="002B70AE">
      <w:pPr>
        <w:spacing w:after="0" w:line="276" w:lineRule="auto"/>
        <w:jc w:val="both"/>
      </w:pPr>
    </w:p>
    <w:p w14:paraId="532F3573" w14:textId="18B296E9" w:rsidR="002B70AE" w:rsidRPr="00C56601" w:rsidRDefault="002B70AE" w:rsidP="002B70AE">
      <w:pPr>
        <w:spacing w:after="0" w:line="276" w:lineRule="auto"/>
        <w:jc w:val="both"/>
      </w:pPr>
      <w:r w:rsidRPr="00C56601">
        <w:rPr>
          <w:b/>
          <w:bCs/>
          <w:color w:val="0070C0"/>
        </w:rPr>
        <w:t>European Investment Bank (EIB).</w:t>
      </w:r>
      <w:r w:rsidRPr="00C56601">
        <w:t xml:space="preserve"> UNDP and EIB have cooperated on climate action, sustainable infrastructure, sustainable transport, private sector development, urban development and resilience, and social and economic inclusion. The case of the Energy Efficiency Finance Facility is a relevant initiative for Western Balkans. UNDP and EIB are working together to promote energy efficiency in Eastern Partnership countries (Armenia, Georgia, and Moldova). They have established the Energy Efficiency Finance Facility to provide financing and technical assistance for energy efficiency projects in buildings, industry, and municipal infrastructure. The EEFF aims to improve energy efficiency, reduce greenhouse gas emissions, and promote sustainable development. This experience should be replicated in Western Balkans and the UNDP CO in North Macedonia could take the lead.</w:t>
      </w:r>
    </w:p>
    <w:p w14:paraId="66219ABA" w14:textId="77777777" w:rsidR="002B70AE" w:rsidRPr="00C56601" w:rsidRDefault="002B70AE" w:rsidP="002B70AE">
      <w:pPr>
        <w:spacing w:after="0" w:line="276" w:lineRule="auto"/>
        <w:jc w:val="both"/>
      </w:pPr>
    </w:p>
    <w:p w14:paraId="749218DA" w14:textId="4EBD6B45" w:rsidR="0013687F" w:rsidRPr="00C56601" w:rsidRDefault="0013687F" w:rsidP="0013687F">
      <w:pPr>
        <w:spacing w:after="0" w:line="276" w:lineRule="auto"/>
        <w:jc w:val="both"/>
      </w:pPr>
      <w:r w:rsidRPr="00C56601">
        <w:rPr>
          <w:b/>
          <w:bCs/>
          <w:color w:val="0070C0"/>
        </w:rPr>
        <w:t>Swedish International Development Cooperation Agency (SIDA).</w:t>
      </w:r>
      <w:r w:rsidRPr="00C56601">
        <w:t xml:space="preserve"> UNDP and the Swedish International Development Cooperation Agency (SIDA) have cooperated in Southeast Europe on various initiatives aimed at promoting sustainable development, democratic governance, and inclusive growth.</w:t>
      </w:r>
    </w:p>
    <w:p w14:paraId="718FBD93" w14:textId="77777777" w:rsidR="0040578A" w:rsidRPr="00C56601" w:rsidRDefault="0040578A" w:rsidP="003B7FBC">
      <w:pPr>
        <w:spacing w:after="0" w:line="360" w:lineRule="auto"/>
        <w:jc w:val="both"/>
      </w:pPr>
    </w:p>
    <w:p w14:paraId="0663F4E3" w14:textId="315FE23A" w:rsidR="0090539D" w:rsidRPr="00C56601" w:rsidRDefault="0090539D" w:rsidP="00F305D8">
      <w:pPr>
        <w:pStyle w:val="Heading2"/>
        <w:numPr>
          <w:ilvl w:val="1"/>
          <w:numId w:val="1"/>
        </w:numPr>
        <w:rPr>
          <w:color w:val="0070C0"/>
        </w:rPr>
      </w:pPr>
      <w:bookmarkStart w:id="67" w:name="_Toc157427572"/>
      <w:r w:rsidRPr="00C56601">
        <w:rPr>
          <w:color w:val="0070C0"/>
        </w:rPr>
        <w:t>Foreign Private Sources</w:t>
      </w:r>
      <w:bookmarkEnd w:id="67"/>
      <w:r w:rsidRPr="00C56601">
        <w:rPr>
          <w:color w:val="0070C0"/>
        </w:rPr>
        <w:tab/>
      </w:r>
    </w:p>
    <w:p w14:paraId="33FCBA74" w14:textId="77777777" w:rsidR="008C31FA" w:rsidRPr="00C56601" w:rsidRDefault="008C31FA">
      <w:pPr>
        <w:rPr>
          <w:rFonts w:asciiTheme="majorHAnsi" w:eastAsiaTheme="majorEastAsia" w:hAnsiTheme="majorHAnsi" w:cstheme="majorBidi"/>
          <w:color w:val="073662" w:themeColor="accent1" w:themeShade="7F"/>
          <w:sz w:val="24"/>
          <w:szCs w:val="24"/>
        </w:rPr>
      </w:pPr>
    </w:p>
    <w:p w14:paraId="51084986" w14:textId="6813C810" w:rsidR="00AA5205" w:rsidRDefault="00AA5205" w:rsidP="00041D0A">
      <w:pPr>
        <w:spacing w:after="0" w:line="276" w:lineRule="auto"/>
        <w:jc w:val="both"/>
        <w:rPr>
          <w:i/>
          <w:iCs/>
        </w:rPr>
      </w:pPr>
      <w:r w:rsidRPr="00C56601">
        <w:rPr>
          <w:rStyle w:val="markedcontent"/>
          <w:rFonts w:cstheme="minorHAnsi"/>
          <w:b/>
          <w:bCs/>
          <w:color w:val="0070C0"/>
          <w:lang w:val="en-US"/>
        </w:rPr>
        <w:t>Foreign Direct and Portfolio Investment.</w:t>
      </w:r>
      <w:r w:rsidRPr="00C56601">
        <w:t xml:space="preserve"> Due to the limited domestic savings, North Macedonia as a small and open economy is dependent on the import of foreign savings (capital). Foreign private capital enters the Macedonian economy in the form of Foreign Direct Investment (FDI) and Foreign Portfolio Investments, foreign loans from private entities (</w:t>
      </w:r>
      <w:proofErr w:type="spellStart"/>
      <w:r w:rsidRPr="00C56601">
        <w:t>eg</w:t>
      </w:r>
      <w:proofErr w:type="spellEnd"/>
      <w:r w:rsidRPr="00C56601">
        <w:t xml:space="preserve">, a loan from Deutsche Bank), trade loans and advances, etc. Although they do not have the accounting treatment of capital imports, but of transactions in the current account of the balance of payments, remittances are also a significant international private inflow of funds, which can be used not only for consumption, but also for investment. Innovative approaches to FDI attraction – aligned with the SDGs – are more extensively discussed in the UNDP study </w:t>
      </w:r>
      <w:hyperlink r:id="rId56" w:history="1">
        <w:r w:rsidRPr="00C56601">
          <w:rPr>
            <w:rStyle w:val="Hyperlink"/>
            <w:i/>
            <w:iCs/>
          </w:rPr>
          <w:t>Innovative Mechanisms and Instruments for Financing Strategic National Documents</w:t>
        </w:r>
      </w:hyperlink>
      <w:r w:rsidRPr="00C56601">
        <w:rPr>
          <w:i/>
          <w:iCs/>
        </w:rPr>
        <w:t>.</w:t>
      </w:r>
    </w:p>
    <w:p w14:paraId="4B39A0FA" w14:textId="77777777" w:rsidR="00041D0A" w:rsidRPr="00C56601" w:rsidRDefault="00041D0A" w:rsidP="00041D0A">
      <w:pPr>
        <w:spacing w:after="0" w:line="276" w:lineRule="auto"/>
        <w:jc w:val="both"/>
        <w:rPr>
          <w:i/>
          <w:iCs/>
        </w:rPr>
      </w:pPr>
    </w:p>
    <w:p w14:paraId="60711BDB" w14:textId="675846B7" w:rsidR="00E9752F" w:rsidRDefault="00E9752F" w:rsidP="00041D0A">
      <w:pPr>
        <w:spacing w:after="0" w:line="276" w:lineRule="auto"/>
        <w:contextualSpacing/>
        <w:jc w:val="both"/>
        <w:rPr>
          <w:rStyle w:val="markedcontent"/>
          <w:rFonts w:cstheme="minorHAnsi"/>
          <w:lang w:val="en-US"/>
        </w:rPr>
      </w:pPr>
      <w:r w:rsidRPr="00C56601">
        <w:rPr>
          <w:rStyle w:val="markedcontent"/>
          <w:rFonts w:cstheme="minorHAnsi"/>
          <w:b/>
          <w:bCs/>
          <w:color w:val="0070C0"/>
          <w:lang w:val="en-US"/>
        </w:rPr>
        <w:t xml:space="preserve">Diaspora finance. </w:t>
      </w:r>
      <w:r w:rsidRPr="00C56601">
        <w:rPr>
          <w:rStyle w:val="markedcontent"/>
          <w:rFonts w:cstheme="minorHAnsi"/>
          <w:lang w:val="en-US"/>
        </w:rPr>
        <w:t xml:space="preserve">The Diaspora has a strong potential to demonstrate solidarity and build bridges of cooperation with the native country, through transfer of knowledge, skills, financial resources, cultural expressions. While remittances from abroad are mainly being used for private consumption, patriotism-based solidarity of diaspora entrepreneurs can also augment the capital stock and accelerate the </w:t>
      </w:r>
      <w:r w:rsidRPr="00C56601">
        <w:rPr>
          <w:rStyle w:val="markedcontent"/>
          <w:rFonts w:cstheme="minorHAnsi"/>
        </w:rPr>
        <w:t xml:space="preserve">country’s </w:t>
      </w:r>
      <w:r w:rsidRPr="00C56601">
        <w:rPr>
          <w:rStyle w:val="markedcontent"/>
          <w:rFonts w:cstheme="minorHAnsi"/>
        </w:rPr>
        <w:lastRenderedPageBreak/>
        <w:t xml:space="preserve">socio-economic and cultural development. The birthplace </w:t>
      </w:r>
      <w:r w:rsidRPr="00C56601">
        <w:rPr>
          <w:rStyle w:val="markedcontent"/>
          <w:rFonts w:cstheme="minorHAnsi"/>
          <w:lang w:val="en-US"/>
        </w:rPr>
        <w:t>bias of Diaspora investors is more likely to be felt beyond a certain threshold of institutional and financial development in the homeland. The solidarity of the Diaspora is in a sense conditional, i.e., dependent on providing credible assurances by successive governments that their capital will be safe and productively used in the interest of future generations. It also implies that the authorities should embark on an ambitious reform agenda to successfully transform society and assure the Diaspora finance will be allocated for improving the quality of life of future generations.</w:t>
      </w:r>
    </w:p>
    <w:p w14:paraId="0DAEA979" w14:textId="77777777" w:rsidR="00EC12B4" w:rsidRDefault="00EC12B4" w:rsidP="00041D0A">
      <w:pPr>
        <w:spacing w:after="0" w:line="276" w:lineRule="auto"/>
        <w:contextualSpacing/>
        <w:jc w:val="both"/>
        <w:rPr>
          <w:rStyle w:val="markedcontent"/>
          <w:rFonts w:cstheme="minorHAnsi"/>
          <w:lang w:val="en-US"/>
        </w:rPr>
      </w:pPr>
    </w:p>
    <w:p w14:paraId="05FCF196" w14:textId="3D2FCC4B" w:rsidR="00EC12B4" w:rsidRDefault="00EC12B4" w:rsidP="00041D0A">
      <w:pPr>
        <w:spacing w:after="0" w:line="276" w:lineRule="auto"/>
        <w:contextualSpacing/>
        <w:jc w:val="both"/>
        <w:rPr>
          <w:rStyle w:val="markedcontent"/>
          <w:rFonts w:cstheme="minorHAnsi"/>
          <w:lang w:val="en-US"/>
        </w:rPr>
      </w:pPr>
      <w:r w:rsidRPr="00EC12B4">
        <w:rPr>
          <w:rStyle w:val="markedcontent"/>
          <w:rFonts w:cstheme="minorHAnsi"/>
          <w:b/>
          <w:bCs/>
          <w:color w:val="0070C0"/>
          <w:lang w:val="en-US"/>
        </w:rPr>
        <w:t>Crowdfunding</w:t>
      </w:r>
      <w:r w:rsidRPr="00EC12B4">
        <w:rPr>
          <w:rStyle w:val="markedcontent"/>
          <w:rFonts w:cstheme="minorHAnsi"/>
          <w:lang w:val="en-US"/>
        </w:rPr>
        <w:t xml:space="preserve"> is a practice of funding a</w:t>
      </w:r>
      <w:r w:rsidR="004B3DF4">
        <w:rPr>
          <w:rStyle w:val="markedcontent"/>
          <w:rFonts w:cstheme="minorHAnsi"/>
          <w:lang w:val="en-US"/>
        </w:rPr>
        <w:t>n SDG enabling</w:t>
      </w:r>
      <w:r w:rsidRPr="00EC12B4">
        <w:rPr>
          <w:rStyle w:val="markedcontent"/>
          <w:rFonts w:cstheme="minorHAnsi"/>
          <w:lang w:val="en-US"/>
        </w:rPr>
        <w:t xml:space="preserve"> project by raising </w:t>
      </w:r>
      <w:r w:rsidR="004B3DF4">
        <w:rPr>
          <w:rStyle w:val="markedcontent"/>
          <w:rFonts w:cstheme="minorHAnsi"/>
          <w:lang w:val="en-US"/>
        </w:rPr>
        <w:t xml:space="preserve">various </w:t>
      </w:r>
      <w:r w:rsidRPr="00EC12B4">
        <w:rPr>
          <w:rStyle w:val="markedcontent"/>
          <w:rFonts w:cstheme="minorHAnsi"/>
          <w:lang w:val="en-US"/>
        </w:rPr>
        <w:t>amount</w:t>
      </w:r>
      <w:r w:rsidR="004B3DF4">
        <w:rPr>
          <w:rStyle w:val="markedcontent"/>
          <w:rFonts w:cstheme="minorHAnsi"/>
          <w:lang w:val="en-US"/>
        </w:rPr>
        <w:t>s</w:t>
      </w:r>
      <w:r w:rsidRPr="00EC12B4">
        <w:rPr>
          <w:rStyle w:val="markedcontent"/>
          <w:rFonts w:cstheme="minorHAnsi"/>
          <w:lang w:val="en-US"/>
        </w:rPr>
        <w:t xml:space="preserve"> from </w:t>
      </w:r>
      <w:proofErr w:type="gramStart"/>
      <w:r w:rsidRPr="00EC12B4">
        <w:rPr>
          <w:rStyle w:val="markedcontent"/>
          <w:rFonts w:cstheme="minorHAnsi"/>
          <w:lang w:val="en-US"/>
        </w:rPr>
        <w:t>a large number of</w:t>
      </w:r>
      <w:proofErr w:type="gramEnd"/>
      <w:r w:rsidRPr="00EC12B4">
        <w:rPr>
          <w:rStyle w:val="markedcontent"/>
          <w:rFonts w:cstheme="minorHAnsi"/>
          <w:lang w:val="en-US"/>
        </w:rPr>
        <w:t xml:space="preserve"> </w:t>
      </w:r>
      <w:r>
        <w:rPr>
          <w:rStyle w:val="markedcontent"/>
          <w:rFonts w:cstheme="minorHAnsi"/>
          <w:lang w:val="en-US"/>
        </w:rPr>
        <w:t>stakeholders (interested parties)</w:t>
      </w:r>
      <w:r w:rsidRPr="00EC12B4">
        <w:rPr>
          <w:rStyle w:val="markedcontent"/>
          <w:rFonts w:cstheme="minorHAnsi"/>
          <w:lang w:val="en-US"/>
        </w:rPr>
        <w:t xml:space="preserve">. Crowdfunding </w:t>
      </w:r>
      <w:r w:rsidR="004B3DF4">
        <w:rPr>
          <w:rStyle w:val="markedcontent"/>
          <w:rFonts w:cstheme="minorHAnsi"/>
          <w:lang w:val="en-US"/>
        </w:rPr>
        <w:t>could provide finance for</w:t>
      </w:r>
      <w:r>
        <w:rPr>
          <w:rStyle w:val="markedcontent"/>
          <w:rFonts w:cstheme="minorHAnsi"/>
          <w:lang w:val="en-US"/>
        </w:rPr>
        <w:t xml:space="preserve"> specific SDG enabling investment projects</w:t>
      </w:r>
      <w:r w:rsidRPr="00EC12B4">
        <w:rPr>
          <w:rStyle w:val="markedcontent"/>
          <w:rFonts w:cstheme="minorHAnsi"/>
          <w:lang w:val="en-US"/>
        </w:rPr>
        <w:t xml:space="preserve">. Potential users of this platform </w:t>
      </w:r>
      <w:r w:rsidR="004B3DF4">
        <w:rPr>
          <w:rStyle w:val="markedcontent"/>
          <w:rFonts w:cstheme="minorHAnsi"/>
          <w:lang w:val="en-US"/>
        </w:rPr>
        <w:t>will be</w:t>
      </w:r>
      <w:r w:rsidRPr="00EC12B4">
        <w:rPr>
          <w:rStyle w:val="markedcontent"/>
          <w:rFonts w:cstheme="minorHAnsi"/>
          <w:lang w:val="en-US"/>
        </w:rPr>
        <w:t xml:space="preserve"> legal entities not established as joint stock companies. The establishment of </w:t>
      </w:r>
      <w:r w:rsidR="004B3DF4">
        <w:rPr>
          <w:rStyle w:val="markedcontent"/>
          <w:rFonts w:cstheme="minorHAnsi"/>
          <w:lang w:val="en-US"/>
        </w:rPr>
        <w:t>crowdfunding</w:t>
      </w:r>
      <w:r w:rsidRPr="00EC12B4">
        <w:rPr>
          <w:rStyle w:val="markedcontent"/>
          <w:rFonts w:cstheme="minorHAnsi"/>
          <w:lang w:val="en-US"/>
        </w:rPr>
        <w:t xml:space="preserve"> </w:t>
      </w:r>
      <w:r>
        <w:rPr>
          <w:rStyle w:val="markedcontent"/>
          <w:rFonts w:cstheme="minorHAnsi"/>
          <w:lang w:val="en-US"/>
        </w:rPr>
        <w:t>would</w:t>
      </w:r>
      <w:r w:rsidRPr="00EC12B4">
        <w:rPr>
          <w:rStyle w:val="markedcontent"/>
          <w:rFonts w:cstheme="minorHAnsi"/>
          <w:lang w:val="en-US"/>
        </w:rPr>
        <w:t xml:space="preserve"> require </w:t>
      </w:r>
      <w:r w:rsidR="004B3DF4">
        <w:rPr>
          <w:rStyle w:val="markedcontent"/>
          <w:rFonts w:cstheme="minorHAnsi"/>
          <w:lang w:val="en-US"/>
        </w:rPr>
        <w:t xml:space="preserve">initial </w:t>
      </w:r>
      <w:r w:rsidRPr="00EC12B4">
        <w:rPr>
          <w:rStyle w:val="markedcontent"/>
          <w:rFonts w:cstheme="minorHAnsi"/>
          <w:lang w:val="en-US"/>
        </w:rPr>
        <w:t>assess</w:t>
      </w:r>
      <w:r w:rsidR="004B3DF4">
        <w:rPr>
          <w:rStyle w:val="markedcontent"/>
          <w:rFonts w:cstheme="minorHAnsi"/>
          <w:lang w:val="en-US"/>
        </w:rPr>
        <w:t>ment of</w:t>
      </w:r>
      <w:r w:rsidRPr="00EC12B4">
        <w:rPr>
          <w:rStyle w:val="markedcontent"/>
          <w:rFonts w:cstheme="minorHAnsi"/>
          <w:lang w:val="en-US"/>
        </w:rPr>
        <w:t xml:space="preserve"> the existing regulation and </w:t>
      </w:r>
      <w:r w:rsidR="00B55498">
        <w:rPr>
          <w:rStyle w:val="markedcontent"/>
          <w:rFonts w:cstheme="minorHAnsi"/>
          <w:lang w:val="en-US"/>
        </w:rPr>
        <w:t>a</w:t>
      </w:r>
      <w:r w:rsidRPr="00EC12B4">
        <w:rPr>
          <w:rStyle w:val="markedcontent"/>
          <w:rFonts w:cstheme="minorHAnsi"/>
          <w:lang w:val="en-US"/>
        </w:rPr>
        <w:t xml:space="preserve"> legal framework and organizational requirements for </w:t>
      </w:r>
      <w:r w:rsidR="00B55498">
        <w:rPr>
          <w:rStyle w:val="markedcontent"/>
          <w:rFonts w:cstheme="minorHAnsi"/>
          <w:lang w:val="en-US"/>
        </w:rPr>
        <w:t>successful implementation</w:t>
      </w:r>
      <w:r w:rsidRPr="00EC12B4">
        <w:rPr>
          <w:rStyle w:val="markedcontent"/>
          <w:rFonts w:cstheme="minorHAnsi"/>
          <w:lang w:val="en-US"/>
        </w:rPr>
        <w:t>.</w:t>
      </w:r>
    </w:p>
    <w:p w14:paraId="5154ECA6" w14:textId="77777777" w:rsidR="00EC12B4" w:rsidRDefault="00EC12B4" w:rsidP="00041D0A">
      <w:pPr>
        <w:spacing w:after="0" w:line="276" w:lineRule="auto"/>
        <w:contextualSpacing/>
        <w:jc w:val="both"/>
        <w:rPr>
          <w:rStyle w:val="markedcontent"/>
          <w:rFonts w:cstheme="minorHAnsi"/>
          <w:lang w:val="en-US"/>
        </w:rPr>
      </w:pPr>
    </w:p>
    <w:p w14:paraId="24EE67BD" w14:textId="0D952ADA" w:rsidR="00EC12B4" w:rsidRDefault="00EC12B4" w:rsidP="00041D0A">
      <w:pPr>
        <w:spacing w:after="0" w:line="276" w:lineRule="auto"/>
        <w:jc w:val="both"/>
        <w:rPr>
          <w:b/>
          <w:color w:val="538135"/>
        </w:rPr>
      </w:pPr>
      <w:r w:rsidRPr="00041D0A">
        <w:rPr>
          <w:rStyle w:val="markedcontent"/>
          <w:rFonts w:cstheme="minorHAnsi"/>
          <w:b/>
          <w:color w:val="0070C0"/>
          <w:lang w:val="en-US"/>
        </w:rPr>
        <w:t xml:space="preserve">Hybrid </w:t>
      </w:r>
      <w:r w:rsidR="00B55498" w:rsidRPr="00041D0A">
        <w:rPr>
          <w:rStyle w:val="markedcontent"/>
          <w:rFonts w:cstheme="minorHAnsi"/>
          <w:b/>
          <w:color w:val="0070C0"/>
          <w:lang w:val="en-US"/>
        </w:rPr>
        <w:t>G</w:t>
      </w:r>
      <w:r w:rsidRPr="00041D0A">
        <w:rPr>
          <w:rStyle w:val="markedcontent"/>
          <w:rFonts w:cstheme="minorHAnsi"/>
          <w:b/>
          <w:color w:val="0070C0"/>
          <w:lang w:val="en-US"/>
        </w:rPr>
        <w:t xml:space="preserve">reen and </w:t>
      </w:r>
      <w:r w:rsidR="00B55498" w:rsidRPr="00041D0A">
        <w:rPr>
          <w:rStyle w:val="markedcontent"/>
          <w:rFonts w:cstheme="minorHAnsi"/>
          <w:b/>
          <w:color w:val="0070C0"/>
          <w:lang w:val="en-US"/>
        </w:rPr>
        <w:t>D</w:t>
      </w:r>
      <w:r w:rsidRPr="00041D0A">
        <w:rPr>
          <w:rStyle w:val="markedcontent"/>
          <w:rFonts w:cstheme="minorHAnsi"/>
          <w:b/>
          <w:color w:val="0070C0"/>
          <w:lang w:val="en-US"/>
        </w:rPr>
        <w:t>igital economy MSME Fund.</w:t>
      </w:r>
      <w:r>
        <w:rPr>
          <w:b/>
          <w:color w:val="538135"/>
        </w:rPr>
        <w:t xml:space="preserve"> </w:t>
      </w:r>
      <w:r>
        <w:t xml:space="preserve">This </w:t>
      </w:r>
      <w:r w:rsidR="004B3DF4">
        <w:t xml:space="preserve">fund is </w:t>
      </w:r>
      <w:r w:rsidR="00B55498">
        <w:t xml:space="preserve">currently </w:t>
      </w:r>
      <w:r w:rsidR="004B3DF4">
        <w:t xml:space="preserve">being designed by the World Bank Group. It </w:t>
      </w:r>
      <w:r>
        <w:t>will be established for the purpose of investing in minority equity and quasi-equity stakes in green and digital startups and SMEs. The structure of the fund would be establish</w:t>
      </w:r>
      <w:r w:rsidR="00B55498">
        <w:t>ed by</w:t>
      </w:r>
      <w:r>
        <w:t xml:space="preserve"> a</w:t>
      </w:r>
      <w:r w:rsidR="00B55498">
        <w:t xml:space="preserve"> so-called</w:t>
      </w:r>
      <w:r>
        <w:t xml:space="preserve"> Feeder fund, </w:t>
      </w:r>
      <w:r w:rsidR="00B55498">
        <w:t>whereas the</w:t>
      </w:r>
      <w:r>
        <w:t xml:space="preserve"> financing will be provided by international investors. Additionally, a domestic fund </w:t>
      </w:r>
      <w:r w:rsidR="00B55498">
        <w:t>could</w:t>
      </w:r>
      <w:r>
        <w:t xml:space="preserve"> be established </w:t>
      </w:r>
      <w:r w:rsidR="00B55498">
        <w:t>to</w:t>
      </w:r>
      <w:r>
        <w:t xml:space="preserve"> attract contributions from the Ministry of Finance (budget), domestic institutional investors and the Feeder fund. The governance structure of the domestic fund </w:t>
      </w:r>
      <w:r w:rsidR="00B55498">
        <w:t xml:space="preserve">would </w:t>
      </w:r>
      <w:r>
        <w:t xml:space="preserve">consist of an advisory committee, </w:t>
      </w:r>
      <w:r w:rsidR="00B55498">
        <w:t xml:space="preserve">an </w:t>
      </w:r>
      <w:r>
        <w:t>investment committee</w:t>
      </w:r>
      <w:r w:rsidR="00B55498">
        <w:t>,</w:t>
      </w:r>
      <w:r>
        <w:t xml:space="preserve"> and </w:t>
      </w:r>
      <w:r w:rsidR="00B55498">
        <w:t xml:space="preserve">a </w:t>
      </w:r>
      <w:r>
        <w:t>fund manager</w:t>
      </w:r>
      <w:r w:rsidR="00B55498">
        <w:t xml:space="preserve">. Such a fund was designed in Kazakhstan within the </w:t>
      </w:r>
      <w:hyperlink r:id="rId57" w:history="1">
        <w:r w:rsidR="00B55498" w:rsidRPr="00B55498">
          <w:rPr>
            <w:rStyle w:val="Hyperlink"/>
          </w:rPr>
          <w:t>Kazakhstan MSME Financing, Digitalization, and Greening for Sustained Productivity project</w:t>
        </w:r>
      </w:hyperlink>
      <w:r w:rsidR="00B55498">
        <w:t xml:space="preserve"> (World Bank, 2022).</w:t>
      </w:r>
    </w:p>
    <w:p w14:paraId="33ADA817" w14:textId="77777777" w:rsidR="00EC12B4" w:rsidRDefault="00EC12B4" w:rsidP="00041D0A">
      <w:pPr>
        <w:spacing w:after="0" w:line="276" w:lineRule="auto"/>
        <w:contextualSpacing/>
        <w:jc w:val="both"/>
        <w:rPr>
          <w:rStyle w:val="markedcontent"/>
          <w:rFonts w:cstheme="minorHAnsi"/>
          <w:lang w:val="en-US"/>
        </w:rPr>
      </w:pPr>
    </w:p>
    <w:p w14:paraId="36C03628" w14:textId="5E21190E" w:rsidR="00EC12B4" w:rsidRDefault="00EC12B4" w:rsidP="00041D0A">
      <w:pPr>
        <w:spacing w:after="0" w:line="276" w:lineRule="auto"/>
        <w:jc w:val="both"/>
      </w:pPr>
      <w:r w:rsidRPr="00041D0A">
        <w:rPr>
          <w:rStyle w:val="markedcontent"/>
          <w:rFonts w:cstheme="minorHAnsi"/>
          <w:b/>
          <w:color w:val="0070C0"/>
          <w:lang w:val="en-US"/>
        </w:rPr>
        <w:t xml:space="preserve">The </w:t>
      </w:r>
      <w:r w:rsidR="00B55498" w:rsidRPr="00041D0A">
        <w:rPr>
          <w:rStyle w:val="markedcontent"/>
          <w:rFonts w:cstheme="minorHAnsi"/>
          <w:b/>
          <w:color w:val="0070C0"/>
          <w:lang w:val="en-US"/>
        </w:rPr>
        <w:t>Hybrid Strategic Green Investment Fund</w:t>
      </w:r>
      <w:r w:rsidRPr="00041D0A">
        <w:rPr>
          <w:rStyle w:val="markedcontent"/>
          <w:rFonts w:cstheme="minorHAnsi"/>
          <w:b/>
          <w:color w:val="0070C0"/>
          <w:lang w:val="en-US"/>
        </w:rPr>
        <w:t>.</w:t>
      </w:r>
      <w:r w:rsidRPr="00041D0A">
        <w:rPr>
          <w:b/>
        </w:rPr>
        <w:t xml:space="preserve"> </w:t>
      </w:r>
      <w:r>
        <w:t xml:space="preserve">This Fund is </w:t>
      </w:r>
      <w:r w:rsidR="004B3DF4">
        <w:t xml:space="preserve">also </w:t>
      </w:r>
      <w:r>
        <w:t>being designed by the World Bank Group for the purpose of investing in large enterprises and infrastructure P</w:t>
      </w:r>
      <w:r w:rsidR="00B55498">
        <w:t>ublic-Private Partnerships (PP</w:t>
      </w:r>
      <w:r>
        <w:t>P</w:t>
      </w:r>
      <w:r w:rsidR="00B55498">
        <w:t>s)</w:t>
      </w:r>
      <w:r>
        <w:t xml:space="preserve"> and Special Purpose Vehicles (SPVs)</w:t>
      </w:r>
      <w:r w:rsidR="00B55498">
        <w:t xml:space="preserve">, in areas covered by the </w:t>
      </w:r>
      <w:r>
        <w:t xml:space="preserve">European Green Deal. </w:t>
      </w:r>
      <w:r w:rsidR="00B55498">
        <w:t>P</w:t>
      </w:r>
      <w:r>
        <w:t xml:space="preserve">re-feasibility study </w:t>
      </w:r>
      <w:r w:rsidR="00B55498">
        <w:t>of the</w:t>
      </w:r>
      <w:r>
        <w:t xml:space="preserve"> model of investment funds </w:t>
      </w:r>
      <w:r w:rsidR="00B55498">
        <w:t>will be conducted by</w:t>
      </w:r>
      <w:r>
        <w:t xml:space="preserve"> the World Bank, which will </w:t>
      </w:r>
      <w:r w:rsidR="00B55498">
        <w:t>outline</w:t>
      </w:r>
      <w:r>
        <w:t xml:space="preserve"> policy framework; governance and institutional setup; and proposed financial models for each fund (including the scope of financing, fund model size and sustainability of each proposed model, government, and private sectors’ internal rate of return (IRR) </w:t>
      </w:r>
      <w:proofErr w:type="gramStart"/>
      <w:r>
        <w:t>and etc.</w:t>
      </w:r>
      <w:proofErr w:type="gramEnd"/>
    </w:p>
    <w:p w14:paraId="06EA7028" w14:textId="77777777" w:rsidR="00EC12B4" w:rsidRDefault="00EC12B4" w:rsidP="00041D0A">
      <w:pPr>
        <w:spacing w:after="0" w:line="276" w:lineRule="auto"/>
        <w:jc w:val="both"/>
      </w:pPr>
    </w:p>
    <w:p w14:paraId="6ADD56EA" w14:textId="30D1ACC5" w:rsidR="00EC12B4" w:rsidRDefault="00EC12B4" w:rsidP="00041D0A">
      <w:pPr>
        <w:keepNext/>
        <w:spacing w:after="0" w:line="276" w:lineRule="auto"/>
        <w:jc w:val="both"/>
        <w:rPr>
          <w:b/>
          <w:color w:val="538135"/>
        </w:rPr>
      </w:pPr>
      <w:r w:rsidRPr="000A3E9A">
        <w:rPr>
          <w:rStyle w:val="markedcontent"/>
          <w:rFonts w:cstheme="minorHAnsi"/>
          <w:b/>
          <w:color w:val="0070C0"/>
          <w:lang w:val="en-US"/>
        </w:rPr>
        <w:t>Fund of Funds.</w:t>
      </w:r>
      <w:r>
        <w:rPr>
          <w:b/>
          <w:color w:val="538135"/>
        </w:rPr>
        <w:t xml:space="preserve"> </w:t>
      </w:r>
      <w:r>
        <w:t>Multi-manager investment, pooled investment fund that invests in other types of funds. The portfolio of the fund contains different underlined portfolios of other funds. The focus of this Fund will be to stimulate large investments by growth-</w:t>
      </w:r>
      <w:r w:rsidR="00B55498">
        <w:t>oriented</w:t>
      </w:r>
      <w:r>
        <w:t xml:space="preserve"> businesses. The target group of beneficiaries </w:t>
      </w:r>
      <w:r w:rsidR="00B55498">
        <w:t>are</w:t>
      </w:r>
      <w:r>
        <w:t xml:space="preserve"> Small and Medium Enterprises (SMEs) in the </w:t>
      </w:r>
      <w:r w:rsidR="00B55498">
        <w:t>stage</w:t>
      </w:r>
      <w:r>
        <w:t xml:space="preserve"> of development and expansion of business activities.</w:t>
      </w:r>
      <w:r w:rsidRPr="00E22956">
        <w:rPr>
          <w:color w:val="FF0000"/>
        </w:rPr>
        <w:t xml:space="preserve"> </w:t>
      </w:r>
      <w:r>
        <w:t xml:space="preserve">The seed investment by the Fund of Funds </w:t>
      </w:r>
      <w:r w:rsidR="00B55498">
        <w:t>could be</w:t>
      </w:r>
      <w:r>
        <w:t xml:space="preserve"> up to EUR 100,000 per company, including innovation advisory support and other forms of technical assistance. </w:t>
      </w:r>
      <w:r w:rsidR="00B55498">
        <w:t>The establishment of the Fund of Funds is conditional on the</w:t>
      </w:r>
      <w:r>
        <w:t xml:space="preserve"> prepar</w:t>
      </w:r>
      <w:r w:rsidR="00B55498">
        <w:t>ation</w:t>
      </w:r>
      <w:r>
        <w:t xml:space="preserve"> and adopt</w:t>
      </w:r>
      <w:r w:rsidR="00B55498">
        <w:t>ion of</w:t>
      </w:r>
      <w:r>
        <w:t xml:space="preserve"> </w:t>
      </w:r>
      <w:r w:rsidR="004B3DF4">
        <w:t>a</w:t>
      </w:r>
      <w:r>
        <w:t xml:space="preserve"> Law on Alternative Investment Funds.</w:t>
      </w:r>
    </w:p>
    <w:p w14:paraId="485C4B8A" w14:textId="77777777" w:rsidR="00EC12B4" w:rsidRDefault="00EC12B4" w:rsidP="00041D0A">
      <w:pPr>
        <w:spacing w:after="0" w:line="276" w:lineRule="auto"/>
        <w:ind w:firstLine="720"/>
        <w:jc w:val="both"/>
      </w:pPr>
    </w:p>
    <w:p w14:paraId="17CAC2C7" w14:textId="4F09FD0B" w:rsidR="00EC12B4" w:rsidRDefault="00EC12B4" w:rsidP="00041D0A">
      <w:pPr>
        <w:spacing w:after="0" w:line="276" w:lineRule="auto"/>
        <w:jc w:val="both"/>
        <w:rPr>
          <w:b/>
          <w:color w:val="538135"/>
        </w:rPr>
      </w:pPr>
      <w:r w:rsidRPr="00041D0A">
        <w:rPr>
          <w:b/>
          <w:color w:val="0070C0"/>
        </w:rPr>
        <w:t xml:space="preserve">Venture capital funds. </w:t>
      </w:r>
      <w:r>
        <w:t>Pooled investment funds that manage the money of investors who seek private equity, stakes in startups and SM</w:t>
      </w:r>
      <w:r w:rsidR="00B55498">
        <w:t>Es</w:t>
      </w:r>
      <w:r>
        <w:t xml:space="preserve"> with strong growth potential. These investments are generally </w:t>
      </w:r>
      <w:r>
        <w:lastRenderedPageBreak/>
        <w:t xml:space="preserve">characterized as very high risk - high return opportunities. For establishment of this type of funds, the Fund Manager </w:t>
      </w:r>
      <w:r w:rsidR="00B55498">
        <w:t>might</w:t>
      </w:r>
      <w:r>
        <w:t xml:space="preserve"> conclude limited partnership agreements with potential investors. The assets raised in accordance with the Limited Partnership Agreements will be invested in different types of funds, as follows: (</w:t>
      </w:r>
      <w:proofErr w:type="spellStart"/>
      <w:r>
        <w:t>i</w:t>
      </w:r>
      <w:proofErr w:type="spellEnd"/>
      <w:r>
        <w:t>) venture capital funds that will invest in small and medium enterprises in order to encourage their growth and development; (ii) venture capital funds that will invest in companies with established social responsiveness, and (iii) regional venture capital fund, in which investors from the countries in the region will invest, including the Republic of North Macedonia.</w:t>
      </w:r>
    </w:p>
    <w:p w14:paraId="1D20C15E" w14:textId="77777777" w:rsidR="00EC12B4" w:rsidRPr="00C56601" w:rsidRDefault="00EC12B4" w:rsidP="00E9752F">
      <w:pPr>
        <w:spacing w:after="0" w:line="240" w:lineRule="auto"/>
        <w:contextualSpacing/>
        <w:jc w:val="both"/>
        <w:rPr>
          <w:rStyle w:val="markedcontent"/>
          <w:rFonts w:cstheme="minorHAnsi"/>
          <w:lang w:val="en-US"/>
        </w:rPr>
      </w:pPr>
    </w:p>
    <w:p w14:paraId="147C49DE" w14:textId="240FF5E8" w:rsidR="00431706" w:rsidRPr="00C56601" w:rsidRDefault="00445F36" w:rsidP="000A3E9A">
      <w:pPr>
        <w:pStyle w:val="Heading1"/>
        <w:numPr>
          <w:ilvl w:val="0"/>
          <w:numId w:val="1"/>
        </w:numPr>
      </w:pPr>
      <w:bookmarkStart w:id="68" w:name="_Toc157427573"/>
      <w:r>
        <w:t>DEVELOPING A CHANGE MANAGEMENT PLAN FOR THE UNDP COUNTRY OFFICE</w:t>
      </w:r>
      <w:bookmarkEnd w:id="68"/>
    </w:p>
    <w:p w14:paraId="3D4B800D" w14:textId="0F5BC1B5" w:rsidR="00431706" w:rsidRDefault="00431706" w:rsidP="001D5700">
      <w:pPr>
        <w:spacing w:after="0" w:line="240" w:lineRule="auto"/>
      </w:pPr>
    </w:p>
    <w:p w14:paraId="5283CFD0" w14:textId="4EECD35F" w:rsidR="002B5DC2" w:rsidRDefault="002B5DC2" w:rsidP="002B5DC2">
      <w:pPr>
        <w:pStyle w:val="Heading2"/>
        <w:numPr>
          <w:ilvl w:val="1"/>
          <w:numId w:val="1"/>
        </w:numPr>
      </w:pPr>
      <w:bookmarkStart w:id="69" w:name="_Toc157427574"/>
      <w:r>
        <w:t>General recommendations</w:t>
      </w:r>
      <w:bookmarkEnd w:id="69"/>
    </w:p>
    <w:p w14:paraId="36BFCDED" w14:textId="77777777" w:rsidR="002B5DC2" w:rsidRDefault="002B5DC2" w:rsidP="002B5DC2"/>
    <w:p w14:paraId="21FA9246" w14:textId="514EA94F" w:rsidR="00445F36" w:rsidRPr="00246BD3" w:rsidRDefault="00F54AE3" w:rsidP="002B5DC2">
      <w:pPr>
        <w:rPr>
          <w:b/>
          <w:bCs/>
          <w:color w:val="0070C0"/>
        </w:rPr>
      </w:pPr>
      <w:r w:rsidRPr="00246BD3">
        <w:rPr>
          <w:rStyle w:val="Strong"/>
          <w:b w:val="0"/>
          <w:bCs w:val="0"/>
          <w:color w:val="0070C0"/>
        </w:rPr>
        <w:t>STAKEHOLDER ANALYSIS AND ENGAGEMENT</w:t>
      </w:r>
    </w:p>
    <w:p w14:paraId="7ED39195" w14:textId="43B1D08E" w:rsidR="00431706" w:rsidRDefault="00A040B9" w:rsidP="00F54AE3">
      <w:pPr>
        <w:spacing w:after="0" w:line="276" w:lineRule="auto"/>
        <w:ind w:left="720"/>
        <w:jc w:val="both"/>
      </w:pPr>
      <w:r w:rsidRPr="00C56601">
        <w:rPr>
          <w:b/>
          <w:bCs/>
          <w:color w:val="0070C0"/>
        </w:rPr>
        <w:t xml:space="preserve">Continue </w:t>
      </w:r>
      <w:r w:rsidR="00B5245E" w:rsidRPr="00C56601">
        <w:rPr>
          <w:b/>
          <w:bCs/>
          <w:color w:val="0070C0"/>
        </w:rPr>
        <w:t>the</w:t>
      </w:r>
      <w:r w:rsidRPr="00C56601">
        <w:rPr>
          <w:b/>
          <w:bCs/>
          <w:color w:val="0070C0"/>
        </w:rPr>
        <w:t xml:space="preserve"> expansion</w:t>
      </w:r>
      <w:r w:rsidR="00370523" w:rsidRPr="00C56601">
        <w:rPr>
          <w:b/>
          <w:bCs/>
          <w:color w:val="0070C0"/>
        </w:rPr>
        <w:t xml:space="preserve"> of activities</w:t>
      </w:r>
      <w:r w:rsidRPr="00C56601">
        <w:rPr>
          <w:b/>
          <w:bCs/>
          <w:color w:val="0070C0"/>
        </w:rPr>
        <w:t xml:space="preserve"> </w:t>
      </w:r>
      <w:r w:rsidR="00946585" w:rsidRPr="00C56601">
        <w:rPr>
          <w:b/>
          <w:bCs/>
          <w:color w:val="0070C0"/>
        </w:rPr>
        <w:t>through</w:t>
      </w:r>
      <w:r w:rsidRPr="00C56601">
        <w:rPr>
          <w:b/>
          <w:bCs/>
          <w:color w:val="0070C0"/>
        </w:rPr>
        <w:t xml:space="preserve"> </w:t>
      </w:r>
      <w:r w:rsidR="00B5245E" w:rsidRPr="00C56601">
        <w:rPr>
          <w:b/>
          <w:bCs/>
          <w:color w:val="0070C0"/>
        </w:rPr>
        <w:t xml:space="preserve">new </w:t>
      </w:r>
      <w:r w:rsidRPr="00C56601">
        <w:rPr>
          <w:b/>
          <w:bCs/>
          <w:color w:val="0070C0"/>
        </w:rPr>
        <w:t>partner</w:t>
      </w:r>
      <w:r w:rsidR="00946585" w:rsidRPr="00C56601">
        <w:rPr>
          <w:b/>
          <w:bCs/>
          <w:color w:val="0070C0"/>
        </w:rPr>
        <w:t>ships</w:t>
      </w:r>
      <w:r w:rsidR="00AC15AE" w:rsidRPr="00C56601">
        <w:rPr>
          <w:b/>
          <w:bCs/>
          <w:color w:val="0070C0"/>
        </w:rPr>
        <w:t xml:space="preserve">. </w:t>
      </w:r>
      <w:r w:rsidR="00142BAD" w:rsidRPr="00C56601">
        <w:t xml:space="preserve">UNDP CO has become one of the most </w:t>
      </w:r>
      <w:r w:rsidR="00E45CC0" w:rsidRPr="00C56601">
        <w:t>active international development partners in</w:t>
      </w:r>
      <w:r w:rsidR="00142BAD" w:rsidRPr="00C56601">
        <w:t xml:space="preserve"> </w:t>
      </w:r>
      <w:r w:rsidR="00BD1DE7" w:rsidRPr="00C56601">
        <w:t>North Macedonia</w:t>
      </w:r>
      <w:r w:rsidR="00142BAD" w:rsidRPr="00C56601">
        <w:t>.</w:t>
      </w:r>
      <w:r w:rsidR="00D32CC5" w:rsidRPr="00C56601">
        <w:t xml:space="preserve"> </w:t>
      </w:r>
      <w:r w:rsidR="00A62B10" w:rsidRPr="00C56601">
        <w:t>Even so</w:t>
      </w:r>
      <w:r w:rsidR="00D32CC5" w:rsidRPr="00C56601">
        <w:t xml:space="preserve">, there is </w:t>
      </w:r>
      <w:r w:rsidR="00946585" w:rsidRPr="00C56601">
        <w:t>a</w:t>
      </w:r>
      <w:r w:rsidR="00BD1DE7" w:rsidRPr="00C56601">
        <w:t xml:space="preserve"> </w:t>
      </w:r>
      <w:r w:rsidR="00D70859" w:rsidRPr="00C56601">
        <w:t>manoeuvre</w:t>
      </w:r>
      <w:r w:rsidR="00BD1DE7" w:rsidRPr="00C56601">
        <w:t xml:space="preserve"> </w:t>
      </w:r>
      <w:r w:rsidR="00946585" w:rsidRPr="00C56601">
        <w:t xml:space="preserve">space </w:t>
      </w:r>
      <w:r w:rsidR="00D32CC5" w:rsidRPr="00C56601">
        <w:t xml:space="preserve">for </w:t>
      </w:r>
      <w:r w:rsidR="00A62B10" w:rsidRPr="00C56601">
        <w:t xml:space="preserve">expanding its outreach by </w:t>
      </w:r>
      <w:r w:rsidR="00946585" w:rsidRPr="00C56601">
        <w:t xml:space="preserve">further expansion and innovation of </w:t>
      </w:r>
      <w:r w:rsidR="00A62B10" w:rsidRPr="00C56601">
        <w:t>partner</w:t>
      </w:r>
      <w:r w:rsidR="00946585" w:rsidRPr="00C56601">
        <w:t>ships</w:t>
      </w:r>
      <w:r w:rsidR="00D32CC5" w:rsidRPr="00C56601">
        <w:t>.</w:t>
      </w:r>
      <w:r w:rsidR="00142BAD" w:rsidRPr="00C56601">
        <w:t xml:space="preserve"> </w:t>
      </w:r>
      <w:r w:rsidR="00D32CC5" w:rsidRPr="00C56601">
        <w:t>Other international organizations</w:t>
      </w:r>
      <w:r w:rsidR="00142BAD" w:rsidRPr="00C56601">
        <w:t xml:space="preserve"> have a similar mandate </w:t>
      </w:r>
      <w:proofErr w:type="gramStart"/>
      <w:r w:rsidR="00D32CC5" w:rsidRPr="00C56601">
        <w:t>with regard to</w:t>
      </w:r>
      <w:proofErr w:type="gramEnd"/>
      <w:r w:rsidR="00D32CC5" w:rsidRPr="00C56601">
        <w:t xml:space="preserve"> </w:t>
      </w:r>
      <w:r w:rsidR="00142BAD" w:rsidRPr="00C56601">
        <w:t>some UNDP-led initiatives</w:t>
      </w:r>
      <w:r w:rsidR="00BD1DE7" w:rsidRPr="00C56601">
        <w:t xml:space="preserve"> and </w:t>
      </w:r>
      <w:r w:rsidR="00946585" w:rsidRPr="00C56601">
        <w:t xml:space="preserve">hence, </w:t>
      </w:r>
      <w:r w:rsidR="00BD1DE7" w:rsidRPr="00C56601">
        <w:t>t</w:t>
      </w:r>
      <w:r w:rsidR="00D32CC5" w:rsidRPr="00C56601">
        <w:t xml:space="preserve">here </w:t>
      </w:r>
      <w:r w:rsidR="00142BAD" w:rsidRPr="00C56601">
        <w:t xml:space="preserve">is some inevitable overlap of activities. The UNDP CO could jointly support some </w:t>
      </w:r>
      <w:r w:rsidR="00D32CC5" w:rsidRPr="00C56601">
        <w:t xml:space="preserve">of these </w:t>
      </w:r>
      <w:r w:rsidR="00142BAD" w:rsidRPr="00C56601">
        <w:t>activities</w:t>
      </w:r>
      <w:r w:rsidR="00D32CC5" w:rsidRPr="00C56601">
        <w:t xml:space="preserve"> and have a greater outreach. For example, t</w:t>
      </w:r>
      <w:r w:rsidR="00142BAD" w:rsidRPr="00C56601">
        <w:t xml:space="preserve">he United Stated Agency for International Development (USAID) </w:t>
      </w:r>
      <w:r w:rsidR="00D32CC5" w:rsidRPr="00C56601">
        <w:t xml:space="preserve">has </w:t>
      </w:r>
      <w:r w:rsidR="00946585" w:rsidRPr="00C56601">
        <w:t>certain</w:t>
      </w:r>
      <w:r w:rsidR="00D32CC5" w:rsidRPr="00C56601">
        <w:t xml:space="preserve"> activities </w:t>
      </w:r>
      <w:proofErr w:type="gramStart"/>
      <w:r w:rsidR="00D32CC5" w:rsidRPr="00C56601">
        <w:t>in the area of</w:t>
      </w:r>
      <w:proofErr w:type="gramEnd"/>
      <w:r w:rsidR="00D32CC5" w:rsidRPr="00C56601">
        <w:t xml:space="preserve"> fiscal decentralization, whereas </w:t>
      </w:r>
      <w:r w:rsidR="00142BAD" w:rsidRPr="00C56601">
        <w:t xml:space="preserve">OSCE </w:t>
      </w:r>
      <w:r w:rsidR="00D32CC5" w:rsidRPr="00C56601">
        <w:t xml:space="preserve">Skopje has activities in the domain of </w:t>
      </w:r>
      <w:r w:rsidR="00946585" w:rsidRPr="00C56601">
        <w:t xml:space="preserve">institutions, </w:t>
      </w:r>
      <w:r w:rsidR="00D32CC5" w:rsidRPr="00C56601">
        <w:t>rule of law</w:t>
      </w:r>
      <w:r w:rsidR="00946585" w:rsidRPr="00C56601">
        <w:t>, and local democracy</w:t>
      </w:r>
      <w:r w:rsidR="00142BAD" w:rsidRPr="00C56601">
        <w:t>.</w:t>
      </w:r>
      <w:r w:rsidR="00946585" w:rsidRPr="00C56601">
        <w:t xml:space="preserve"> The focus of European Bank for Reconstruction and Development (EBRD) is on infrastructure and green transition.</w:t>
      </w:r>
      <w:r w:rsidR="00D32CC5" w:rsidRPr="00C56601">
        <w:t xml:space="preserve"> </w:t>
      </w:r>
      <w:r w:rsidR="00946585" w:rsidRPr="00C56601">
        <w:t xml:space="preserve">The World Bank Group is designing – together with the national Fund for Innovation and Technological Development – a </w:t>
      </w:r>
      <w:r w:rsidR="006C0A9B" w:rsidRPr="00C56601">
        <w:t xml:space="preserve">Hybrid National </w:t>
      </w:r>
      <w:r w:rsidR="00946585" w:rsidRPr="00C56601">
        <w:t xml:space="preserve">Green and Digital Micro, Small, and Medium-Sized (MSME) Fund for start-ups and innovative enterprises. </w:t>
      </w:r>
      <w:r w:rsidR="00D32CC5" w:rsidRPr="00C56601">
        <w:t>All partner organizations will benefit from joint projects or blended finance</w:t>
      </w:r>
      <w:r w:rsidR="00445F36">
        <w:t xml:space="preserve"> initiatives</w:t>
      </w:r>
      <w:r w:rsidR="008866D3" w:rsidRPr="00C56601">
        <w:t xml:space="preserve"> </w:t>
      </w:r>
      <w:r w:rsidR="006F72F7" w:rsidRPr="00C56601">
        <w:t>(</w:t>
      </w:r>
      <w:r w:rsidR="008866D3" w:rsidRPr="00C56601">
        <w:t xml:space="preserve">Box </w:t>
      </w:r>
      <w:r w:rsidR="00445F36">
        <w:t>8</w:t>
      </w:r>
      <w:r w:rsidR="008866D3" w:rsidRPr="00C56601">
        <w:t>)</w:t>
      </w:r>
      <w:r w:rsidR="00D32CC5" w:rsidRPr="00C56601">
        <w:t>.</w:t>
      </w:r>
      <w:r w:rsidR="00BD1DE7" w:rsidRPr="00C56601">
        <w:t xml:space="preserve"> UNDP will be even more impactful and more involved in the reform processes</w:t>
      </w:r>
      <w:r w:rsidR="00EC4186" w:rsidRPr="00C56601">
        <w:t xml:space="preserve"> geared towards the UN 2030 agenda for sustainable development</w:t>
      </w:r>
      <w:r w:rsidR="00BD1DE7" w:rsidRPr="00C56601">
        <w:t>.</w:t>
      </w:r>
    </w:p>
    <w:p w14:paraId="2153A94C" w14:textId="77777777" w:rsidR="00F54AE3" w:rsidRDefault="00F54AE3" w:rsidP="00946585">
      <w:pPr>
        <w:spacing w:after="0" w:line="276" w:lineRule="auto"/>
        <w:jc w:val="both"/>
      </w:pPr>
    </w:p>
    <w:p w14:paraId="6F32BC69" w14:textId="15CE34E5" w:rsidR="00F54AE3" w:rsidRPr="00C56601" w:rsidRDefault="00F54AE3" w:rsidP="00F54AE3">
      <w:pPr>
        <w:spacing w:after="0" w:line="276" w:lineRule="auto"/>
        <w:ind w:left="720"/>
        <w:jc w:val="both"/>
      </w:pPr>
      <w:r w:rsidRPr="00C56601">
        <w:rPr>
          <w:b/>
          <w:bCs/>
          <w:color w:val="0070C0"/>
        </w:rPr>
        <w:t>Preserving the national ownership</w:t>
      </w:r>
      <w:r>
        <w:rPr>
          <w:b/>
          <w:bCs/>
          <w:color w:val="0070C0"/>
        </w:rPr>
        <w:t xml:space="preserve">. </w:t>
      </w:r>
      <w:r w:rsidRPr="00C56601">
        <w:t>While there is a high level of satisfaction from the UNDP professionalism, the Independent Evaluation Office (IEO) (2020) highlights the risk that the UNDP CO might become another arm of the executive branch, by doing entire (or substantial portion of) tasks and responsibilities for certain line ministries or institutions. It might weaken the capacities of these institutions if they treat UNDP as a sub-contractor paid by the global taxpayers and simply wait for ready-made solutions. The capacity building requires joint work between UNDP CO Office and relevant ministries. The main corollary is that working together with the government teams, not working for them, will strengthen the long-lasting impact of the UNDP activities.</w:t>
      </w:r>
    </w:p>
    <w:p w14:paraId="04147317" w14:textId="77777777" w:rsidR="00F54AE3" w:rsidRPr="00C56601" w:rsidRDefault="00F54AE3" w:rsidP="00946585">
      <w:pPr>
        <w:spacing w:after="0" w:line="276" w:lineRule="auto"/>
        <w:jc w:val="both"/>
      </w:pPr>
    </w:p>
    <w:p w14:paraId="18C91E25" w14:textId="076F79E3" w:rsidR="00EC4186" w:rsidRPr="00C56601" w:rsidRDefault="00EC4186" w:rsidP="00EC4186">
      <w:pPr>
        <w:pStyle w:val="Caption"/>
        <w:shd w:val="clear" w:color="auto" w:fill="104864" w:themeFill="background2" w:themeFillShade="40"/>
        <w:spacing w:after="0"/>
        <w:rPr>
          <w:i w:val="0"/>
          <w:iCs w:val="0"/>
          <w:color w:val="FFFFFF" w:themeColor="background1"/>
          <w:sz w:val="22"/>
          <w:szCs w:val="22"/>
        </w:rPr>
      </w:pPr>
      <w:bookmarkStart w:id="70" w:name="_Toc157427508"/>
      <w:r w:rsidRPr="00C56601">
        <w:rPr>
          <w:i w:val="0"/>
          <w:iCs w:val="0"/>
          <w:color w:val="FFFFFF" w:themeColor="background1"/>
          <w:sz w:val="22"/>
          <w:szCs w:val="22"/>
        </w:rPr>
        <w:lastRenderedPageBreak/>
        <w:t xml:space="preserve">Box </w:t>
      </w:r>
      <w:r w:rsidRPr="00C56601">
        <w:rPr>
          <w:i w:val="0"/>
          <w:iCs w:val="0"/>
          <w:color w:val="FFFFFF" w:themeColor="background1"/>
          <w:sz w:val="22"/>
          <w:szCs w:val="22"/>
        </w:rPr>
        <w:fldChar w:fldCharType="begin"/>
      </w:r>
      <w:r w:rsidRPr="00C56601">
        <w:rPr>
          <w:i w:val="0"/>
          <w:iCs w:val="0"/>
          <w:color w:val="FFFFFF" w:themeColor="background1"/>
          <w:sz w:val="22"/>
          <w:szCs w:val="22"/>
        </w:rPr>
        <w:instrText xml:space="preserve"> SEQ Box \* ARABIC </w:instrText>
      </w:r>
      <w:r w:rsidRPr="00C56601">
        <w:rPr>
          <w:i w:val="0"/>
          <w:iCs w:val="0"/>
          <w:color w:val="FFFFFF" w:themeColor="background1"/>
          <w:sz w:val="22"/>
          <w:szCs w:val="22"/>
        </w:rPr>
        <w:fldChar w:fldCharType="separate"/>
      </w:r>
      <w:r w:rsidR="00041D0A">
        <w:rPr>
          <w:i w:val="0"/>
          <w:iCs w:val="0"/>
          <w:noProof/>
          <w:color w:val="FFFFFF" w:themeColor="background1"/>
          <w:sz w:val="22"/>
          <w:szCs w:val="22"/>
        </w:rPr>
        <w:t>8</w:t>
      </w:r>
      <w:r w:rsidRPr="00C56601">
        <w:rPr>
          <w:i w:val="0"/>
          <w:iCs w:val="0"/>
          <w:color w:val="FFFFFF" w:themeColor="background1"/>
          <w:sz w:val="22"/>
          <w:szCs w:val="22"/>
        </w:rPr>
        <w:fldChar w:fldCharType="end"/>
      </w:r>
      <w:r w:rsidRPr="00C56601">
        <w:rPr>
          <w:i w:val="0"/>
          <w:iCs w:val="0"/>
          <w:color w:val="FFFFFF" w:themeColor="background1"/>
          <w:sz w:val="22"/>
          <w:szCs w:val="22"/>
        </w:rPr>
        <w:t>. The Green Financing Facility: A</w:t>
      </w:r>
      <w:r w:rsidR="00370523" w:rsidRPr="00C56601">
        <w:rPr>
          <w:i w:val="0"/>
          <w:iCs w:val="0"/>
          <w:color w:val="FFFFFF" w:themeColor="background1"/>
          <w:sz w:val="22"/>
          <w:szCs w:val="22"/>
        </w:rPr>
        <w:t xml:space="preserve"> Successful</w:t>
      </w:r>
      <w:r w:rsidRPr="00C56601">
        <w:rPr>
          <w:i w:val="0"/>
          <w:iCs w:val="0"/>
          <w:color w:val="FFFFFF" w:themeColor="background1"/>
          <w:sz w:val="22"/>
          <w:szCs w:val="22"/>
        </w:rPr>
        <w:t xml:space="preserve"> Example of Blended Finance</w:t>
      </w:r>
      <w:bookmarkEnd w:id="70"/>
    </w:p>
    <w:p w14:paraId="76962A16" w14:textId="77777777" w:rsidR="00EC4186" w:rsidRPr="00C56601" w:rsidRDefault="00EC4186" w:rsidP="00EC4186">
      <w:pPr>
        <w:shd w:val="clear" w:color="auto" w:fill="76C2E8" w:themeFill="background2" w:themeFillShade="BF"/>
        <w:spacing w:after="0" w:line="240" w:lineRule="auto"/>
        <w:jc w:val="both"/>
        <w:rPr>
          <w:color w:val="000000" w:themeColor="text1"/>
          <w:sz w:val="20"/>
          <w:szCs w:val="20"/>
        </w:rPr>
      </w:pPr>
    </w:p>
    <w:p w14:paraId="6E6B9796" w14:textId="5E7E1E3D" w:rsidR="00EC4186" w:rsidRPr="00C56601" w:rsidRDefault="00EC4186" w:rsidP="00EC4186">
      <w:pPr>
        <w:shd w:val="clear" w:color="auto" w:fill="76C2E8" w:themeFill="background2" w:themeFillShade="BF"/>
        <w:spacing w:after="0" w:line="240" w:lineRule="auto"/>
        <w:jc w:val="both"/>
        <w:rPr>
          <w:color w:val="000000" w:themeColor="text1"/>
          <w:sz w:val="20"/>
          <w:szCs w:val="20"/>
        </w:rPr>
      </w:pPr>
      <w:r w:rsidRPr="00C56601">
        <w:rPr>
          <w:color w:val="000000" w:themeColor="text1"/>
          <w:sz w:val="20"/>
          <w:szCs w:val="20"/>
        </w:rPr>
        <w:t xml:space="preserve">Through the </w:t>
      </w:r>
      <w:hyperlink r:id="rId58" w:history="1">
        <w:r w:rsidRPr="00C56601">
          <w:rPr>
            <w:rStyle w:val="Hyperlink"/>
            <w:sz w:val="20"/>
            <w:szCs w:val="20"/>
          </w:rPr>
          <w:t>Green Financing Facility</w:t>
        </w:r>
      </w:hyperlink>
      <w:r w:rsidRPr="00C56601">
        <w:rPr>
          <w:color w:val="000000" w:themeColor="text1"/>
          <w:sz w:val="20"/>
          <w:szCs w:val="20"/>
        </w:rPr>
        <w:t>, EBRD provide</w:t>
      </w:r>
      <w:r w:rsidR="00B5245E" w:rsidRPr="00C56601">
        <w:rPr>
          <w:color w:val="000000" w:themeColor="text1"/>
          <w:sz w:val="20"/>
          <w:szCs w:val="20"/>
        </w:rPr>
        <w:t>s</w:t>
      </w:r>
      <w:r w:rsidRPr="00C56601">
        <w:rPr>
          <w:color w:val="000000" w:themeColor="text1"/>
          <w:sz w:val="20"/>
          <w:szCs w:val="20"/>
        </w:rPr>
        <w:t xml:space="preserve"> finance to participating local banks which will on-lend these funds in the form of sub-loans to SMEs for investments into renewable energy (RE) and energy efficient (EE) solutions in their business. UNDP, with funds from the Joint SDG Fund, contributes support in the form of performance-based payments for verified investments and technical assistance for loan application development and project verification. By developing and operationalizing the Green Finance Facility project, access to finance for SMEs and households to purchase RE and EE investments will be significantly enhanced.</w:t>
      </w:r>
    </w:p>
    <w:p w14:paraId="6692DC85" w14:textId="77777777" w:rsidR="00B5245E" w:rsidRPr="00C56601" w:rsidRDefault="00B5245E" w:rsidP="00EC4186">
      <w:pPr>
        <w:shd w:val="clear" w:color="auto" w:fill="76C2E8" w:themeFill="background2" w:themeFillShade="BF"/>
        <w:spacing w:after="0" w:line="240" w:lineRule="auto"/>
        <w:jc w:val="both"/>
        <w:rPr>
          <w:color w:val="000000" w:themeColor="text1"/>
          <w:sz w:val="20"/>
          <w:szCs w:val="20"/>
        </w:rPr>
      </w:pPr>
    </w:p>
    <w:p w14:paraId="2CDFDA24" w14:textId="77777777" w:rsidR="00946585" w:rsidRPr="00C56601" w:rsidRDefault="00946585" w:rsidP="00946585">
      <w:pPr>
        <w:spacing w:after="0" w:line="276" w:lineRule="auto"/>
        <w:jc w:val="both"/>
      </w:pPr>
    </w:p>
    <w:p w14:paraId="667C1390" w14:textId="15B4A7F1" w:rsidR="00B5245E" w:rsidRDefault="00B5245E" w:rsidP="00946585">
      <w:pPr>
        <w:spacing w:after="0" w:line="276" w:lineRule="auto"/>
        <w:jc w:val="both"/>
      </w:pPr>
      <w:r w:rsidRPr="00C56601">
        <w:t xml:space="preserve">In </w:t>
      </w:r>
      <w:r w:rsidR="00445F36">
        <w:t>Annex 1</w:t>
      </w:r>
      <w:r w:rsidRPr="00C56601">
        <w:t>, we provide an overview of partnering strategies of the UNDP COs in Southeastern Europe as</w:t>
      </w:r>
      <w:r w:rsidR="00445F36">
        <w:t xml:space="preserve"> a</w:t>
      </w:r>
      <w:r w:rsidRPr="00C56601">
        <w:t xml:space="preserve"> potential inspiration for finding new development partners.</w:t>
      </w:r>
    </w:p>
    <w:p w14:paraId="56CC0A5F" w14:textId="77777777" w:rsidR="00F54AE3" w:rsidRDefault="00F54AE3" w:rsidP="00946585">
      <w:pPr>
        <w:spacing w:after="0" w:line="276" w:lineRule="auto"/>
        <w:jc w:val="both"/>
      </w:pPr>
    </w:p>
    <w:p w14:paraId="4B3189D6" w14:textId="1C46C4CC" w:rsidR="00F54AE3" w:rsidRPr="00246BD3" w:rsidRDefault="00F54AE3" w:rsidP="00F54AE3">
      <w:pPr>
        <w:rPr>
          <w:rStyle w:val="Strong"/>
          <w:b w:val="0"/>
          <w:bCs w:val="0"/>
          <w:color w:val="0070C0"/>
        </w:rPr>
      </w:pPr>
      <w:r w:rsidRPr="00246BD3">
        <w:rPr>
          <w:rStyle w:val="Strong"/>
          <w:b w:val="0"/>
          <w:bCs w:val="0"/>
          <w:color w:val="0070C0"/>
        </w:rPr>
        <w:t>INCREASING THE VISIBILITY</w:t>
      </w:r>
      <w:r w:rsidR="00246BD3">
        <w:rPr>
          <w:rStyle w:val="Strong"/>
          <w:b w:val="0"/>
          <w:bCs w:val="0"/>
          <w:color w:val="0070C0"/>
        </w:rPr>
        <w:t xml:space="preserve"> AND THE PUBLIC AWARENESS ON THE SDGs</w:t>
      </w:r>
    </w:p>
    <w:p w14:paraId="78A615A8" w14:textId="77777777" w:rsidR="00F54AE3" w:rsidRDefault="00F54AE3" w:rsidP="00F54AE3">
      <w:pPr>
        <w:spacing w:after="0" w:line="276" w:lineRule="auto"/>
        <w:ind w:left="720"/>
        <w:jc w:val="both"/>
      </w:pPr>
      <w:r w:rsidRPr="00F54AE3">
        <w:rPr>
          <w:b/>
          <w:bCs/>
          <w:color w:val="0070C0"/>
        </w:rPr>
        <w:t>Stronger Public Relations campaign.</w:t>
      </w:r>
      <w:r>
        <w:t xml:space="preserve"> </w:t>
      </w:r>
      <w:r w:rsidRPr="00C56601">
        <w:t>UNDP CO in North Macedonia could prepare an Annual Report of Activities to increase the visibility of its operations and outreach. The report need not be a long one and can be prepared in a reader-friendly format. The timing of publication could be in April-May and refer to the previous calendar year. There are so many activities performed by various UNDP teams and taskforces which need to be assembled in a comprehensive document to get a better impression about the scope and magnitude of all UNDP activities.</w:t>
      </w:r>
      <w:r>
        <w:t xml:space="preserve"> </w:t>
      </w:r>
    </w:p>
    <w:p w14:paraId="23DA78F2" w14:textId="77777777" w:rsidR="00F54AE3" w:rsidRDefault="00F54AE3" w:rsidP="00946585">
      <w:pPr>
        <w:spacing w:after="0" w:line="276" w:lineRule="auto"/>
        <w:jc w:val="both"/>
      </w:pPr>
    </w:p>
    <w:p w14:paraId="5A9BC454" w14:textId="42B954BD" w:rsidR="00F54AE3" w:rsidRDefault="00F54AE3" w:rsidP="00F54AE3">
      <w:pPr>
        <w:spacing w:after="0" w:line="276" w:lineRule="auto"/>
        <w:ind w:left="720"/>
        <w:jc w:val="both"/>
      </w:pPr>
      <w:r w:rsidRPr="00F54AE3">
        <w:rPr>
          <w:b/>
          <w:bCs/>
          <w:color w:val="0070C0"/>
        </w:rPr>
        <w:t>SDG coalition or SDG network.</w:t>
      </w:r>
      <w:r>
        <w:t xml:space="preserve"> </w:t>
      </w:r>
      <w:r w:rsidRPr="00C56601">
        <w:t xml:space="preserve">The establishment of SDG coalition or SDG network </w:t>
      </w:r>
      <w:r>
        <w:t>would</w:t>
      </w:r>
      <w:r w:rsidRPr="00C56601">
        <w:t xml:space="preserve"> create a powerful open coalition committed to achieving the UN Sustainable Development Goals (SDGs) and promoting the SDG push.</w:t>
      </w:r>
    </w:p>
    <w:p w14:paraId="6D552309" w14:textId="77777777" w:rsidR="00F54AE3" w:rsidRDefault="00F54AE3" w:rsidP="00F54AE3">
      <w:pPr>
        <w:spacing w:after="0" w:line="276" w:lineRule="auto"/>
        <w:jc w:val="both"/>
      </w:pPr>
    </w:p>
    <w:p w14:paraId="762E1018" w14:textId="77777777" w:rsidR="00F54AE3" w:rsidRPr="00C56601" w:rsidRDefault="00F54AE3" w:rsidP="00F54AE3">
      <w:pPr>
        <w:spacing w:after="0" w:line="276" w:lineRule="auto"/>
        <w:ind w:left="720"/>
        <w:jc w:val="both"/>
      </w:pPr>
      <w:r w:rsidRPr="00C56601">
        <w:rPr>
          <w:b/>
          <w:bCs/>
          <w:color w:val="0070C0"/>
        </w:rPr>
        <w:t xml:space="preserve">Producing National report on the implementation of the 2030 Agenda for Sustainable Development. </w:t>
      </w:r>
      <w:r w:rsidRPr="00C56601">
        <w:t>To raise public awareness on the importance of the 2030 Agenda, the UNDP – or partnering UN organizations (PUNO) – could publish a short publication stating the progress towards fulfilling SDGs.</w:t>
      </w:r>
    </w:p>
    <w:p w14:paraId="0EC088D6" w14:textId="77777777" w:rsidR="00F54AE3" w:rsidRPr="00C56601" w:rsidRDefault="00F54AE3" w:rsidP="00946585">
      <w:pPr>
        <w:spacing w:after="0" w:line="276" w:lineRule="auto"/>
        <w:jc w:val="both"/>
      </w:pPr>
    </w:p>
    <w:p w14:paraId="1A23377A" w14:textId="19CE756E" w:rsidR="00576413" w:rsidRPr="00246BD3" w:rsidRDefault="00F54AE3" w:rsidP="00B5245E">
      <w:pPr>
        <w:spacing w:after="0" w:line="276" w:lineRule="auto"/>
        <w:jc w:val="both"/>
        <w:rPr>
          <w:color w:val="0070C0"/>
        </w:rPr>
      </w:pPr>
      <w:r w:rsidRPr="00246BD3">
        <w:rPr>
          <w:color w:val="0070C0"/>
        </w:rPr>
        <w:t>POTENTIAL PROJECTS</w:t>
      </w:r>
      <w:r w:rsidR="00246BD3">
        <w:rPr>
          <w:color w:val="0070C0"/>
        </w:rPr>
        <w:t xml:space="preserve"> IN THE NEW COUNTRY DOCUMENT</w:t>
      </w:r>
    </w:p>
    <w:p w14:paraId="5F2EBB0C" w14:textId="77777777" w:rsidR="00F54AE3" w:rsidRPr="00C56601" w:rsidRDefault="00F54AE3" w:rsidP="00B5245E">
      <w:pPr>
        <w:spacing w:after="0" w:line="276" w:lineRule="auto"/>
        <w:jc w:val="both"/>
      </w:pPr>
    </w:p>
    <w:p w14:paraId="47EE2EB2" w14:textId="5548D44E" w:rsidR="00A21AAB" w:rsidRPr="00C56601" w:rsidRDefault="00A21AAB" w:rsidP="00B5245E">
      <w:pPr>
        <w:pStyle w:val="ListParagraph"/>
        <w:numPr>
          <w:ilvl w:val="1"/>
          <w:numId w:val="22"/>
        </w:numPr>
        <w:spacing w:after="0" w:line="276" w:lineRule="auto"/>
        <w:ind w:left="720"/>
        <w:jc w:val="both"/>
        <w:rPr>
          <w:b/>
          <w:bCs/>
          <w:color w:val="0070C0"/>
        </w:rPr>
      </w:pPr>
      <w:r w:rsidRPr="00C56601">
        <w:rPr>
          <w:b/>
          <w:bCs/>
          <w:color w:val="0070C0"/>
        </w:rPr>
        <w:t>Building Institutional Capacities</w:t>
      </w:r>
    </w:p>
    <w:p w14:paraId="22CE8A68" w14:textId="77777777" w:rsidR="007D6032" w:rsidRPr="00C56601" w:rsidRDefault="0083068B" w:rsidP="007D6032">
      <w:pPr>
        <w:pStyle w:val="ListParagraph"/>
        <w:numPr>
          <w:ilvl w:val="2"/>
          <w:numId w:val="22"/>
        </w:numPr>
        <w:tabs>
          <w:tab w:val="left" w:pos="1980"/>
        </w:tabs>
        <w:spacing w:after="0" w:line="276" w:lineRule="auto"/>
        <w:ind w:left="1440" w:hanging="630"/>
        <w:jc w:val="both"/>
        <w:rPr>
          <w:b/>
          <w:bCs/>
          <w:color w:val="073763" w:themeColor="accent1" w:themeShade="80"/>
        </w:rPr>
      </w:pPr>
      <w:r w:rsidRPr="00C56601">
        <w:t xml:space="preserve">Fiscal Decentralization </w:t>
      </w:r>
      <w:r w:rsidR="00B5245E" w:rsidRPr="00C56601">
        <w:t>S</w:t>
      </w:r>
      <w:r w:rsidRPr="00C56601">
        <w:t>trategy (together with the Ministry of Local Self-Government, the Ministry of Finance, and possibly USAID)</w:t>
      </w:r>
      <w:r w:rsidR="007D6032" w:rsidRPr="00C56601">
        <w:t xml:space="preserve">, which will outline the developments in municipal finance in the next five to ten years and will be </w:t>
      </w:r>
      <w:r w:rsidR="00B5245E" w:rsidRPr="00C56601">
        <w:t>in line with the National Development Strategy</w:t>
      </w:r>
      <w:r w:rsidR="007D6032" w:rsidRPr="00C56601">
        <w:t>.</w:t>
      </w:r>
    </w:p>
    <w:p w14:paraId="4AC4904D" w14:textId="77777777" w:rsidR="007D6032" w:rsidRPr="00F54AE3" w:rsidRDefault="0083068B" w:rsidP="007D6032">
      <w:pPr>
        <w:pStyle w:val="ListParagraph"/>
        <w:numPr>
          <w:ilvl w:val="2"/>
          <w:numId w:val="22"/>
        </w:numPr>
        <w:tabs>
          <w:tab w:val="left" w:pos="1980"/>
        </w:tabs>
        <w:spacing w:after="0" w:line="276" w:lineRule="auto"/>
        <w:ind w:left="1440" w:hanging="630"/>
        <w:jc w:val="both"/>
        <w:rPr>
          <w:b/>
          <w:bCs/>
          <w:color w:val="073763" w:themeColor="accent1" w:themeShade="80"/>
        </w:rPr>
      </w:pPr>
      <w:r w:rsidRPr="00C56601">
        <w:t>Building a comprehensive registry of beneficiaries of Guaranteed Minimum Support (together with the Ministry of Labour and Social Policy, the Ministry of Finance, and the World Bank Group)</w:t>
      </w:r>
      <w:r w:rsidR="00B5245E" w:rsidRPr="00C56601">
        <w:t>.</w:t>
      </w:r>
      <w:r w:rsidR="002A222E" w:rsidRPr="00C56601">
        <w:t xml:space="preserve"> The registry covers </w:t>
      </w:r>
      <w:r w:rsidR="00A21AAB" w:rsidRPr="00C56601">
        <w:t xml:space="preserve">around 38,000 recipients which is </w:t>
      </w:r>
      <w:r w:rsidR="002A222E" w:rsidRPr="00C56601">
        <w:t xml:space="preserve">a small portion of the </w:t>
      </w:r>
      <w:r w:rsidR="00A21AAB" w:rsidRPr="00C56601">
        <w:t>population</w:t>
      </w:r>
      <w:r w:rsidR="002A222E" w:rsidRPr="00C56601">
        <w:t xml:space="preserve"> at risk of social exclusion and poverty</w:t>
      </w:r>
      <w:r w:rsidR="00A21AAB" w:rsidRPr="00C56601">
        <w:t xml:space="preserve"> (455,000 individuals)</w:t>
      </w:r>
    </w:p>
    <w:p w14:paraId="612F458F" w14:textId="7ECAFD71" w:rsidR="00F54AE3" w:rsidRPr="00C56601" w:rsidRDefault="00F54AE3" w:rsidP="007D6032">
      <w:pPr>
        <w:pStyle w:val="ListParagraph"/>
        <w:numPr>
          <w:ilvl w:val="2"/>
          <w:numId w:val="22"/>
        </w:numPr>
        <w:tabs>
          <w:tab w:val="left" w:pos="1980"/>
        </w:tabs>
        <w:spacing w:after="0" w:line="276" w:lineRule="auto"/>
        <w:ind w:left="1440" w:hanging="630"/>
        <w:jc w:val="both"/>
        <w:rPr>
          <w:b/>
          <w:bCs/>
          <w:color w:val="073763" w:themeColor="accent1" w:themeShade="80"/>
        </w:rPr>
      </w:pPr>
      <w:r>
        <w:t>Supporting the issuance of social impact bonds and other thematic bonds as outlined in section 5.2.2. of this report.</w:t>
      </w:r>
    </w:p>
    <w:p w14:paraId="5B1A6AE5" w14:textId="77777777" w:rsidR="007D6032" w:rsidRPr="00C56601" w:rsidRDefault="0083068B" w:rsidP="007D6032">
      <w:pPr>
        <w:pStyle w:val="ListParagraph"/>
        <w:numPr>
          <w:ilvl w:val="2"/>
          <w:numId w:val="22"/>
        </w:numPr>
        <w:tabs>
          <w:tab w:val="left" w:pos="1980"/>
        </w:tabs>
        <w:spacing w:after="0" w:line="276" w:lineRule="auto"/>
        <w:ind w:left="1440" w:hanging="630"/>
        <w:jc w:val="both"/>
        <w:rPr>
          <w:b/>
          <w:bCs/>
          <w:color w:val="073763" w:themeColor="accent1" w:themeShade="80"/>
        </w:rPr>
      </w:pPr>
      <w:r w:rsidRPr="00C56601">
        <w:lastRenderedPageBreak/>
        <w:t xml:space="preserve">Mapping the </w:t>
      </w:r>
      <w:r w:rsidR="007D6032" w:rsidRPr="00C56601">
        <w:t>Most Significant</w:t>
      </w:r>
      <w:r w:rsidR="00B852CC" w:rsidRPr="00C56601">
        <w:t xml:space="preserve"> </w:t>
      </w:r>
      <w:r w:rsidRPr="00C56601">
        <w:t>Polluters (together with the Ministry of Environment and the Delegation of the European Union)</w:t>
      </w:r>
    </w:p>
    <w:p w14:paraId="79F7DC43" w14:textId="77777777" w:rsidR="00E71849" w:rsidRPr="00C56601" w:rsidRDefault="00B852CC" w:rsidP="00E71849">
      <w:pPr>
        <w:pStyle w:val="ListParagraph"/>
        <w:numPr>
          <w:ilvl w:val="2"/>
          <w:numId w:val="22"/>
        </w:numPr>
        <w:tabs>
          <w:tab w:val="left" w:pos="1980"/>
        </w:tabs>
        <w:spacing w:after="0" w:line="276" w:lineRule="auto"/>
        <w:ind w:left="1440" w:hanging="630"/>
        <w:jc w:val="both"/>
        <w:rPr>
          <w:b/>
          <w:bCs/>
          <w:color w:val="073763" w:themeColor="accent1" w:themeShade="80"/>
        </w:rPr>
      </w:pPr>
      <w:r w:rsidRPr="00C56601">
        <w:t xml:space="preserve">Mapping the </w:t>
      </w:r>
      <w:r w:rsidR="00A21AAB" w:rsidRPr="00C56601">
        <w:t>illegal dumping sites in North Macedonia (the authorities and the public do not have a registry (map) of the illegal dumping sites, which cause environmental degradation.</w:t>
      </w:r>
    </w:p>
    <w:p w14:paraId="4F780AF3" w14:textId="1EBAA926" w:rsidR="00576413" w:rsidRPr="00C56601" w:rsidRDefault="0083068B" w:rsidP="00E71849">
      <w:pPr>
        <w:pStyle w:val="ListParagraph"/>
        <w:numPr>
          <w:ilvl w:val="2"/>
          <w:numId w:val="22"/>
        </w:numPr>
        <w:tabs>
          <w:tab w:val="left" w:pos="1980"/>
        </w:tabs>
        <w:spacing w:after="0" w:line="276" w:lineRule="auto"/>
        <w:ind w:left="1440" w:hanging="630"/>
        <w:jc w:val="both"/>
        <w:rPr>
          <w:b/>
          <w:bCs/>
          <w:color w:val="073763" w:themeColor="accent1" w:themeShade="80"/>
        </w:rPr>
      </w:pPr>
      <w:r w:rsidRPr="00C56601">
        <w:t xml:space="preserve">Building a </w:t>
      </w:r>
      <w:r w:rsidR="00BD1DE7" w:rsidRPr="00C56601">
        <w:t xml:space="preserve">comprehensive </w:t>
      </w:r>
      <w:r w:rsidRPr="00C56601">
        <w:t xml:space="preserve">registry of renewable energy producers (with an </w:t>
      </w:r>
      <w:r w:rsidR="00BD1DE7" w:rsidRPr="00C56601">
        <w:t>intention to support them in the medium term with</w:t>
      </w:r>
      <w:r w:rsidRPr="00C56601">
        <w:t xml:space="preserve"> tax incentives</w:t>
      </w:r>
      <w:r w:rsidR="00BD1DE7" w:rsidRPr="00C56601">
        <w:t xml:space="preserve"> or subsidies</w:t>
      </w:r>
      <w:r w:rsidRPr="00C56601">
        <w:t>)</w:t>
      </w:r>
      <w:r w:rsidR="00BD1DE7" w:rsidRPr="00C56601">
        <w:t xml:space="preserve"> (together with the Ministry of Environment and the Delegation of the European Union)</w:t>
      </w:r>
    </w:p>
    <w:p w14:paraId="465E8113" w14:textId="5868F472" w:rsidR="00246BD3" w:rsidRDefault="00246BD3" w:rsidP="00E71849">
      <w:pPr>
        <w:pStyle w:val="ListParagraph"/>
        <w:numPr>
          <w:ilvl w:val="1"/>
          <w:numId w:val="22"/>
        </w:numPr>
        <w:spacing w:after="0" w:line="276" w:lineRule="auto"/>
        <w:ind w:left="720"/>
        <w:jc w:val="both"/>
        <w:rPr>
          <w:b/>
          <w:bCs/>
          <w:color w:val="0070C0"/>
        </w:rPr>
      </w:pPr>
      <w:r>
        <w:rPr>
          <w:b/>
          <w:bCs/>
          <w:color w:val="0070C0"/>
        </w:rPr>
        <w:t>E</w:t>
      </w:r>
      <w:r w:rsidR="00F33E4F">
        <w:rPr>
          <w:b/>
          <w:bCs/>
          <w:color w:val="0070C0"/>
        </w:rPr>
        <w:t>ven stronger e</w:t>
      </w:r>
      <w:r>
        <w:rPr>
          <w:b/>
          <w:bCs/>
          <w:color w:val="0070C0"/>
        </w:rPr>
        <w:t>nvironmental focus</w:t>
      </w:r>
    </w:p>
    <w:p w14:paraId="2A19AFD7" w14:textId="17724DDF" w:rsidR="00246BD3" w:rsidRPr="00F33E4F" w:rsidRDefault="00F33E4F" w:rsidP="00F33E4F">
      <w:pPr>
        <w:pStyle w:val="ListParagraph"/>
        <w:numPr>
          <w:ilvl w:val="2"/>
          <w:numId w:val="22"/>
        </w:numPr>
        <w:tabs>
          <w:tab w:val="left" w:pos="1980"/>
        </w:tabs>
        <w:spacing w:after="0" w:line="276" w:lineRule="auto"/>
        <w:ind w:left="1440" w:hanging="630"/>
        <w:jc w:val="both"/>
      </w:pPr>
      <w:r w:rsidRPr="00F33E4F">
        <w:t>Supporting the green transition involves adopting and promoting practices that contribute to environmental sustainability and address climate change. Future UNDP projects should focus on renewable energy adoption; energy efficiency; sustainable transportation; circular economy; conservation and biodiversity; green and resilient infrastructure; policy advocacy; education and awareness; improving corporate social responsibility; investment in green technologies; community engagement; green finance and greening the financial system, etc.</w:t>
      </w:r>
    </w:p>
    <w:p w14:paraId="5D64D2AF" w14:textId="207BBF16" w:rsidR="00E71849" w:rsidRPr="00C56601" w:rsidRDefault="00E71849" w:rsidP="00E71849">
      <w:pPr>
        <w:pStyle w:val="ListParagraph"/>
        <w:numPr>
          <w:ilvl w:val="1"/>
          <w:numId w:val="22"/>
        </w:numPr>
        <w:spacing w:after="0" w:line="276" w:lineRule="auto"/>
        <w:ind w:left="720"/>
        <w:jc w:val="both"/>
        <w:rPr>
          <w:b/>
          <w:bCs/>
          <w:color w:val="0070C0"/>
        </w:rPr>
      </w:pPr>
      <w:r w:rsidRPr="00C56601">
        <w:rPr>
          <w:b/>
          <w:bCs/>
          <w:color w:val="0070C0"/>
        </w:rPr>
        <w:t xml:space="preserve">Tackling both </w:t>
      </w:r>
      <w:r w:rsidR="003667EF" w:rsidRPr="00C56601">
        <w:rPr>
          <w:b/>
          <w:bCs/>
          <w:color w:val="0070C0"/>
        </w:rPr>
        <w:t>SDG</w:t>
      </w:r>
      <w:r w:rsidR="00AA5205" w:rsidRPr="00C56601">
        <w:rPr>
          <w:b/>
          <w:bCs/>
          <w:color w:val="0070C0"/>
        </w:rPr>
        <w:t xml:space="preserve"> </w:t>
      </w:r>
      <w:r w:rsidR="003667EF" w:rsidRPr="00C56601">
        <w:rPr>
          <w:b/>
          <w:bCs/>
          <w:color w:val="0070C0"/>
        </w:rPr>
        <w:t xml:space="preserve">#5 </w:t>
      </w:r>
      <w:r w:rsidRPr="00C56601">
        <w:rPr>
          <w:b/>
          <w:bCs/>
          <w:color w:val="0070C0"/>
        </w:rPr>
        <w:t xml:space="preserve">Gender equality and </w:t>
      </w:r>
      <w:r w:rsidR="003667EF" w:rsidRPr="00C56601">
        <w:rPr>
          <w:b/>
          <w:bCs/>
          <w:color w:val="0070C0"/>
        </w:rPr>
        <w:t xml:space="preserve">SDG#8 </w:t>
      </w:r>
      <w:r w:rsidRPr="00C56601">
        <w:rPr>
          <w:b/>
          <w:bCs/>
          <w:color w:val="0070C0"/>
        </w:rPr>
        <w:t xml:space="preserve">Decent work and </w:t>
      </w:r>
      <w:r w:rsidR="003667EF" w:rsidRPr="00C56601">
        <w:rPr>
          <w:b/>
          <w:bCs/>
          <w:color w:val="0070C0"/>
        </w:rPr>
        <w:t>e</w:t>
      </w:r>
      <w:r w:rsidRPr="00C56601">
        <w:rPr>
          <w:b/>
          <w:bCs/>
          <w:color w:val="0070C0"/>
        </w:rPr>
        <w:t xml:space="preserve">conomic </w:t>
      </w:r>
      <w:r w:rsidR="003667EF" w:rsidRPr="00C56601">
        <w:rPr>
          <w:b/>
          <w:bCs/>
          <w:color w:val="0070C0"/>
        </w:rPr>
        <w:t>g</w:t>
      </w:r>
      <w:r w:rsidRPr="00C56601">
        <w:rPr>
          <w:b/>
          <w:bCs/>
          <w:color w:val="0070C0"/>
        </w:rPr>
        <w:t>rowth</w:t>
      </w:r>
    </w:p>
    <w:p w14:paraId="2F0E85DD" w14:textId="4A5D29AD" w:rsidR="00AA5205" w:rsidRPr="00C56601" w:rsidRDefault="00E71849" w:rsidP="0095731D">
      <w:pPr>
        <w:pStyle w:val="ListParagraph"/>
        <w:numPr>
          <w:ilvl w:val="2"/>
          <w:numId w:val="22"/>
        </w:numPr>
        <w:tabs>
          <w:tab w:val="left" w:pos="1980"/>
        </w:tabs>
        <w:spacing w:after="0" w:line="276" w:lineRule="auto"/>
        <w:ind w:left="1440" w:hanging="630"/>
        <w:jc w:val="both"/>
      </w:pPr>
      <w:r w:rsidRPr="00C56601">
        <w:t xml:space="preserve">Increasing Female Labour Force Participation (together UN Women and </w:t>
      </w:r>
      <w:r w:rsidR="00955BC9" w:rsidRPr="00C56601">
        <w:t xml:space="preserve">possibly, </w:t>
      </w:r>
      <w:r w:rsidRPr="00C56601">
        <w:t>embassies of EU member states)</w:t>
      </w:r>
      <w:r w:rsidR="003667EF" w:rsidRPr="00C56601">
        <w:t xml:space="preserve">. </w:t>
      </w:r>
      <w:r w:rsidR="008866D3" w:rsidRPr="00C56601">
        <w:t>For example, t</w:t>
      </w:r>
      <w:r w:rsidR="00AA5205" w:rsidRPr="00C56601">
        <w:t>he Ministry of Economy provides subsidies for women entrepreneurs. If not contributing financially, UNDP C</w:t>
      </w:r>
      <w:r w:rsidR="008E036C" w:rsidRPr="00C56601">
        <w:t>ountry Office</w:t>
      </w:r>
      <w:r w:rsidR="00AA5205" w:rsidRPr="00C56601">
        <w:t xml:space="preserve"> in Skopje could participate by nominating representatives in the selection committee. This will strengthen the credibility of the process and improve the transparency of the overall programme, which is not well promoted in the public. Without sufficient transparency, there is risk of limited demand for this programme and rent-seeking behaviour among public administration employees.</w:t>
      </w:r>
    </w:p>
    <w:p w14:paraId="2F085336" w14:textId="77777777" w:rsidR="003667EF" w:rsidRPr="00C56601" w:rsidRDefault="00720BC4" w:rsidP="00B5245E">
      <w:pPr>
        <w:pStyle w:val="ListParagraph"/>
        <w:numPr>
          <w:ilvl w:val="1"/>
          <w:numId w:val="22"/>
        </w:numPr>
        <w:spacing w:after="0" w:line="276" w:lineRule="auto"/>
        <w:ind w:left="720"/>
        <w:jc w:val="both"/>
        <w:rPr>
          <w:b/>
          <w:bCs/>
          <w:color w:val="0070C0"/>
        </w:rPr>
      </w:pPr>
      <w:r w:rsidRPr="00C56601">
        <w:rPr>
          <w:b/>
          <w:bCs/>
          <w:color w:val="0070C0"/>
        </w:rPr>
        <w:t>Disaster risk reduction and recovery</w:t>
      </w:r>
    </w:p>
    <w:p w14:paraId="1FA466C2" w14:textId="455756FC" w:rsidR="00BD1DE7" w:rsidRPr="00C56601" w:rsidRDefault="00720BC4" w:rsidP="003667EF">
      <w:pPr>
        <w:pStyle w:val="ListParagraph"/>
        <w:numPr>
          <w:ilvl w:val="2"/>
          <w:numId w:val="22"/>
        </w:numPr>
        <w:tabs>
          <w:tab w:val="left" w:pos="1980"/>
        </w:tabs>
        <w:spacing w:after="0" w:line="276" w:lineRule="auto"/>
        <w:ind w:left="1440" w:hanging="630"/>
        <w:jc w:val="both"/>
      </w:pPr>
      <w:r w:rsidRPr="00C56601">
        <w:t xml:space="preserve">UNDP has worked with UN System agencies and the government to increase </w:t>
      </w:r>
      <w:r w:rsidR="006C0A9B" w:rsidRPr="00C56601">
        <w:t>high-level institutional</w:t>
      </w:r>
      <w:r w:rsidRPr="00C56601">
        <w:t xml:space="preserve"> commitment to integrating disaster risk reduction into economic and social planning processes.</w:t>
      </w:r>
    </w:p>
    <w:p w14:paraId="27ECD9D6" w14:textId="2706A129" w:rsidR="003667EF" w:rsidRPr="00C56601" w:rsidRDefault="003667EF" w:rsidP="00B5245E">
      <w:pPr>
        <w:pStyle w:val="ListParagraph"/>
        <w:numPr>
          <w:ilvl w:val="1"/>
          <w:numId w:val="22"/>
        </w:numPr>
        <w:spacing w:after="0" w:line="276" w:lineRule="auto"/>
        <w:ind w:left="720"/>
        <w:jc w:val="both"/>
        <w:rPr>
          <w:b/>
          <w:bCs/>
          <w:color w:val="0070C0"/>
        </w:rPr>
      </w:pPr>
      <w:r w:rsidRPr="00C56601">
        <w:rPr>
          <w:b/>
          <w:bCs/>
          <w:color w:val="0070C0"/>
        </w:rPr>
        <w:t>Improving the access to justice</w:t>
      </w:r>
    </w:p>
    <w:p w14:paraId="29CC0DFE" w14:textId="6AF0880B" w:rsidR="002B6D0F" w:rsidRDefault="002B6D0F" w:rsidP="003667EF">
      <w:pPr>
        <w:pStyle w:val="ListParagraph"/>
        <w:numPr>
          <w:ilvl w:val="2"/>
          <w:numId w:val="22"/>
        </w:numPr>
        <w:tabs>
          <w:tab w:val="left" w:pos="1980"/>
        </w:tabs>
        <w:spacing w:after="0" w:line="276" w:lineRule="auto"/>
        <w:ind w:left="1440" w:hanging="630"/>
        <w:jc w:val="both"/>
      </w:pPr>
      <w:r w:rsidRPr="00C56601">
        <w:t>Improving access to and affordability of justice – a project supporting lawyers and</w:t>
      </w:r>
      <w:r w:rsidR="003667EF" w:rsidRPr="00C56601">
        <w:t>/or</w:t>
      </w:r>
      <w:r w:rsidRPr="00C56601">
        <w:t xml:space="preserve"> law faculties to improve the access to justice for low-income households (together with Ministry of Justice and possibly, OSCE</w:t>
      </w:r>
      <w:r w:rsidR="003667EF" w:rsidRPr="00C56601">
        <w:t>, and/</w:t>
      </w:r>
      <w:r w:rsidRPr="00C56601">
        <w:t>or USAID)</w:t>
      </w:r>
    </w:p>
    <w:p w14:paraId="5AF5DF86" w14:textId="31ABE216" w:rsidR="00F33E4F" w:rsidRPr="00F33E4F" w:rsidRDefault="00F33E4F" w:rsidP="00F33E4F">
      <w:pPr>
        <w:pStyle w:val="ListParagraph"/>
        <w:numPr>
          <w:ilvl w:val="1"/>
          <w:numId w:val="22"/>
        </w:numPr>
        <w:spacing w:after="0" w:line="276" w:lineRule="auto"/>
        <w:ind w:left="720"/>
        <w:jc w:val="both"/>
        <w:rPr>
          <w:b/>
          <w:bCs/>
          <w:color w:val="0070C0"/>
        </w:rPr>
      </w:pPr>
      <w:r w:rsidRPr="00F33E4F">
        <w:rPr>
          <w:b/>
          <w:bCs/>
          <w:color w:val="0070C0"/>
        </w:rPr>
        <w:t>Thematic bonds</w:t>
      </w:r>
      <w:r>
        <w:rPr>
          <w:b/>
          <w:bCs/>
          <w:color w:val="0070C0"/>
        </w:rPr>
        <w:t xml:space="preserve"> and Social Impact Bonds</w:t>
      </w:r>
    </w:p>
    <w:p w14:paraId="1F469B36" w14:textId="77777777" w:rsidR="00720BC4" w:rsidRPr="00C56601" w:rsidRDefault="00720BC4" w:rsidP="00B5245E">
      <w:pPr>
        <w:spacing w:after="0" w:line="276" w:lineRule="auto"/>
        <w:jc w:val="both"/>
      </w:pPr>
    </w:p>
    <w:p w14:paraId="5E1AE811" w14:textId="2321534C" w:rsidR="00F54AE3" w:rsidRDefault="00F54AE3" w:rsidP="00B5245E">
      <w:pPr>
        <w:spacing w:after="0" w:line="276" w:lineRule="auto"/>
        <w:jc w:val="both"/>
        <w:rPr>
          <w:b/>
          <w:bCs/>
          <w:color w:val="0070C0"/>
        </w:rPr>
      </w:pPr>
      <w:r>
        <w:rPr>
          <w:b/>
          <w:bCs/>
          <w:color w:val="0070C0"/>
        </w:rPr>
        <w:t>STRATEGIC FOCUS AND POLICY COHERENCE</w:t>
      </w:r>
    </w:p>
    <w:p w14:paraId="233B5D33" w14:textId="77777777" w:rsidR="00F54AE3" w:rsidRDefault="00F54AE3" w:rsidP="00B5245E">
      <w:pPr>
        <w:spacing w:after="0" w:line="276" w:lineRule="auto"/>
        <w:jc w:val="both"/>
        <w:rPr>
          <w:b/>
          <w:bCs/>
          <w:color w:val="0070C0"/>
        </w:rPr>
      </w:pPr>
    </w:p>
    <w:p w14:paraId="183D6D44" w14:textId="13395EFB" w:rsidR="00F54AE3" w:rsidRPr="00C56601" w:rsidRDefault="00F54AE3" w:rsidP="00F54AE3">
      <w:pPr>
        <w:spacing w:after="0" w:line="276" w:lineRule="auto"/>
        <w:ind w:left="720"/>
        <w:jc w:val="both"/>
      </w:pPr>
      <w:r w:rsidRPr="00C56601">
        <w:rPr>
          <w:b/>
          <w:bCs/>
          <w:color w:val="0070C0"/>
        </w:rPr>
        <w:t>Tackling the “Lack of Conditionality” Problem.</w:t>
      </w:r>
      <w:r w:rsidRPr="00C56601">
        <w:t xml:space="preserve"> One of the top three internal challenges that the Country Office faces in operationalization of SDG finance approaches and tools – according to the UNDP survey – is that “SDGs are not perceived as a priority for stakeholders”.</w:t>
      </w:r>
      <w:r>
        <w:t xml:space="preserve"> </w:t>
      </w:r>
      <w:r w:rsidRPr="00C56601">
        <w:rPr>
          <w:color w:val="000000" w:themeColor="text1"/>
        </w:rPr>
        <w:t>SDGs may not become a high policy priority</w:t>
      </w:r>
      <w:r>
        <w:rPr>
          <w:color w:val="000000" w:themeColor="text1"/>
        </w:rPr>
        <w:t xml:space="preserve"> </w:t>
      </w:r>
      <w:r w:rsidRPr="00F54AE3">
        <w:rPr>
          <w:i/>
          <w:iCs/>
          <w:color w:val="000000" w:themeColor="text1"/>
        </w:rPr>
        <w:t>per se</w:t>
      </w:r>
      <w:r w:rsidRPr="00C56601">
        <w:rPr>
          <w:color w:val="000000" w:themeColor="text1"/>
        </w:rPr>
        <w:t xml:space="preserve">, but tying the SDGs to the European accession </w:t>
      </w:r>
      <w:r>
        <w:rPr>
          <w:color w:val="000000" w:themeColor="text1"/>
        </w:rPr>
        <w:t>process</w:t>
      </w:r>
      <w:r w:rsidRPr="00C56601">
        <w:rPr>
          <w:color w:val="000000" w:themeColor="text1"/>
        </w:rPr>
        <w:t xml:space="preserve"> will effectively make them a </w:t>
      </w:r>
      <w:r w:rsidRPr="00C56601">
        <w:rPr>
          <w:i/>
          <w:iCs/>
          <w:color w:val="000000" w:themeColor="text1"/>
        </w:rPr>
        <w:t xml:space="preserve">de facto </w:t>
      </w:r>
      <w:r w:rsidRPr="00C56601">
        <w:rPr>
          <w:color w:val="000000" w:themeColor="text1"/>
        </w:rPr>
        <w:t>high priority.</w:t>
      </w:r>
    </w:p>
    <w:p w14:paraId="45097E41" w14:textId="77777777" w:rsidR="00F54AE3" w:rsidRDefault="00F54AE3" w:rsidP="00B5245E">
      <w:pPr>
        <w:spacing w:after="0" w:line="276" w:lineRule="auto"/>
        <w:jc w:val="both"/>
        <w:rPr>
          <w:b/>
          <w:bCs/>
          <w:color w:val="0070C0"/>
        </w:rPr>
      </w:pPr>
    </w:p>
    <w:p w14:paraId="2C94E28D" w14:textId="06B8C2D1" w:rsidR="00F54AE3" w:rsidRPr="00C56601" w:rsidRDefault="002A0D62" w:rsidP="00F54AE3">
      <w:pPr>
        <w:spacing w:after="0" w:line="276" w:lineRule="auto"/>
        <w:ind w:left="720"/>
        <w:jc w:val="both"/>
      </w:pPr>
      <w:r w:rsidRPr="00C56601">
        <w:rPr>
          <w:b/>
          <w:bCs/>
          <w:color w:val="0070C0"/>
        </w:rPr>
        <w:t xml:space="preserve">Greater </w:t>
      </w:r>
      <w:r w:rsidR="00B5245E" w:rsidRPr="00C56601">
        <w:rPr>
          <w:b/>
          <w:bCs/>
          <w:color w:val="0070C0"/>
        </w:rPr>
        <w:t xml:space="preserve">alignment of </w:t>
      </w:r>
      <w:r w:rsidR="006C0A9B" w:rsidRPr="00C56601">
        <w:rPr>
          <w:b/>
          <w:bCs/>
          <w:color w:val="0070C0"/>
        </w:rPr>
        <w:t>national strategies, policies, initiatives, and projects with the SDGs</w:t>
      </w:r>
      <w:r w:rsidR="008E3212" w:rsidRPr="00C56601">
        <w:rPr>
          <w:b/>
          <w:bCs/>
          <w:color w:val="0070C0"/>
        </w:rPr>
        <w:t>.</w:t>
      </w:r>
      <w:r w:rsidR="00CF5954" w:rsidRPr="00C56601">
        <w:t xml:space="preserve"> </w:t>
      </w:r>
      <w:r w:rsidR="00153228" w:rsidRPr="00C56601">
        <w:t xml:space="preserve">It is highly advisable to conduct an initial “SDG screening” or “SDG mapping” of UNDP internal documents, funding proposals, and other </w:t>
      </w:r>
      <w:r w:rsidR="00B5245E" w:rsidRPr="00C56601">
        <w:t xml:space="preserve">important </w:t>
      </w:r>
      <w:r w:rsidR="00153228" w:rsidRPr="00C56601">
        <w:t>external policy documents or initiatives. While the importance of UNDP’s in-house expert judgment is undisputed, this tool could be used as supplementary evidence in the analysis of policy proposals and other important documents</w:t>
      </w:r>
      <w:r w:rsidR="00F54AE3" w:rsidRPr="00C56601">
        <w:rPr>
          <w:b/>
          <w:bCs/>
          <w:color w:val="0070C0"/>
        </w:rPr>
        <w:t>.</w:t>
      </w:r>
      <w:r w:rsidR="00F54AE3" w:rsidRPr="00C56601">
        <w:t xml:space="preserve"> UNDP Country Office (CO) should ensure consistency and alignment not only with the internal </w:t>
      </w:r>
      <w:hyperlink r:id="rId59" w:tgtFrame="_blank" w:history="1">
        <w:r w:rsidR="00F54AE3" w:rsidRPr="00C56601">
          <w:rPr>
            <w:rStyle w:val="Hyperlink"/>
          </w:rPr>
          <w:t>Strategic Plan 2022-2025</w:t>
        </w:r>
      </w:hyperlink>
      <w:r w:rsidR="00F54AE3" w:rsidRPr="00C56601">
        <w:rPr>
          <w:rStyle w:val="Hyperlink"/>
        </w:rPr>
        <w:t xml:space="preserve"> </w:t>
      </w:r>
      <w:r w:rsidR="00F54AE3" w:rsidRPr="00C56601">
        <w:t xml:space="preserve">and thematic strategies, but also with the NDS </w:t>
      </w:r>
      <w:r w:rsidR="00F54AE3">
        <w:t>2024-</w:t>
      </w:r>
      <w:r w:rsidR="00F54AE3" w:rsidRPr="00C56601">
        <w:t>204</w:t>
      </w:r>
      <w:r w:rsidR="00F54AE3">
        <w:t>4</w:t>
      </w:r>
      <w:r w:rsidR="00F54AE3" w:rsidRPr="00C56601">
        <w:t xml:space="preserve"> and other key national strategic documents, the 2021‐2025 United Nations Sustainable Development Cooperation Framework (SDCF), UNDP Strategic Plan (2022-2025), the EU accession agenda.</w:t>
      </w:r>
    </w:p>
    <w:p w14:paraId="5C6F951A" w14:textId="66C3F9B6" w:rsidR="00153228" w:rsidRPr="00C56601" w:rsidRDefault="00153228" w:rsidP="00F54AE3">
      <w:pPr>
        <w:spacing w:after="0" w:line="276" w:lineRule="auto"/>
        <w:ind w:left="720"/>
        <w:jc w:val="both"/>
      </w:pPr>
    </w:p>
    <w:p w14:paraId="0C9E578A" w14:textId="2548567A" w:rsidR="00370523" w:rsidRPr="00C56601" w:rsidRDefault="00CF5954" w:rsidP="00F54AE3">
      <w:pPr>
        <w:spacing w:after="0" w:line="276" w:lineRule="auto"/>
        <w:ind w:left="720"/>
        <w:jc w:val="both"/>
      </w:pPr>
      <w:r w:rsidRPr="00C56601">
        <w:rPr>
          <w:b/>
          <w:bCs/>
          <w:color w:val="0070C0"/>
        </w:rPr>
        <w:t xml:space="preserve">Addressing </w:t>
      </w:r>
      <w:r w:rsidR="00A21AAB" w:rsidRPr="00C56601">
        <w:rPr>
          <w:b/>
          <w:bCs/>
          <w:color w:val="0070C0"/>
        </w:rPr>
        <w:t>the gaps in the attainment of SDGs</w:t>
      </w:r>
      <w:r w:rsidRPr="00C56601">
        <w:rPr>
          <w:b/>
          <w:bCs/>
          <w:color w:val="0070C0"/>
        </w:rPr>
        <w:t xml:space="preserve">. </w:t>
      </w:r>
      <w:r w:rsidR="00246BD3" w:rsidRPr="00C56601">
        <w:t>Some of the SDGs that may be difficult to achieve include eliminating poverty, providing affordable and clean energy, and providing access to quality education. Additionally, the country may struggle to achieve the goal of reducing income and gender inequalities.</w:t>
      </w:r>
      <w:r w:rsidR="00246BD3">
        <w:t xml:space="preserve"> </w:t>
      </w:r>
      <w:r w:rsidRPr="00C56601">
        <w:t xml:space="preserve">Both the text analysis of the official rhetoric of UNDP CO Office and the expenditure analysis of the Independent Evaluation Office </w:t>
      </w:r>
      <w:r w:rsidR="006F3DAF" w:rsidRPr="00C56601">
        <w:t xml:space="preserve">do </w:t>
      </w:r>
      <w:r w:rsidRPr="00C56601">
        <w:t>indicate higher focus on certain SDGs. Presently, there seems to be:</w:t>
      </w:r>
      <w:r w:rsidR="00A21AAB" w:rsidRPr="00C56601">
        <w:t xml:space="preserve"> (1) </w:t>
      </w:r>
      <w:r w:rsidRPr="00C56601">
        <w:t>A somewhat lower focus on SDG #1 No poverty and SDG#2 Zero Hunger, and in general, on the social inclusion</w:t>
      </w:r>
      <w:r w:rsidR="00A21AAB" w:rsidRPr="00C56601">
        <w:t xml:space="preserve">; (2) </w:t>
      </w:r>
      <w:r w:rsidR="00D07634" w:rsidRPr="00C56601">
        <w:t>G</w:t>
      </w:r>
      <w:r w:rsidRPr="00C56601">
        <w:t>ender equality –</w:t>
      </w:r>
      <w:r w:rsidR="00370523" w:rsidRPr="00C56601">
        <w:t xml:space="preserve">one of the </w:t>
      </w:r>
      <w:r w:rsidRPr="00C56601">
        <w:t>top priori</w:t>
      </w:r>
      <w:r w:rsidR="00370523" w:rsidRPr="00C56601">
        <w:t>ties</w:t>
      </w:r>
      <w:r w:rsidRPr="00C56601">
        <w:t xml:space="preserve"> – </w:t>
      </w:r>
      <w:r w:rsidR="00370523" w:rsidRPr="00C56601">
        <w:t>should be more</w:t>
      </w:r>
      <w:r w:rsidRPr="00C56601">
        <w:t xml:space="preserve"> addressed in the project portfolio</w:t>
      </w:r>
      <w:r w:rsidR="00A21AAB" w:rsidRPr="00C56601">
        <w:t xml:space="preserve">; (3) </w:t>
      </w:r>
      <w:r w:rsidRPr="00C56601">
        <w:t xml:space="preserve">Insufficient attention </w:t>
      </w:r>
      <w:r w:rsidR="00D07634" w:rsidRPr="00C56601">
        <w:t>to</w:t>
      </w:r>
      <w:r w:rsidRPr="00C56601">
        <w:t xml:space="preserve"> certain SDGs should be addressed either by project portfolio reallocation</w:t>
      </w:r>
      <w:r w:rsidR="00D07634" w:rsidRPr="00C56601">
        <w:t xml:space="preserve">/ </w:t>
      </w:r>
      <w:r w:rsidR="002A0D62" w:rsidRPr="00C56601">
        <w:t>redesign</w:t>
      </w:r>
      <w:r w:rsidRPr="00C56601">
        <w:t xml:space="preserve"> or by partnering with other International Financial Institutions (World Bank, EBRD, USAID, etc.).</w:t>
      </w:r>
    </w:p>
    <w:p w14:paraId="6A252E69" w14:textId="77777777" w:rsidR="001D5700" w:rsidRPr="00C56601" w:rsidRDefault="001D5700" w:rsidP="00B5245E">
      <w:pPr>
        <w:spacing w:after="0" w:line="276" w:lineRule="auto"/>
        <w:jc w:val="both"/>
        <w:rPr>
          <w:b/>
          <w:bCs/>
          <w:color w:val="073763" w:themeColor="accent1" w:themeShade="80"/>
        </w:rPr>
      </w:pPr>
    </w:p>
    <w:p w14:paraId="2E947289" w14:textId="6FA243F4" w:rsidR="00A21AAB" w:rsidRPr="00C56601" w:rsidRDefault="000E6894" w:rsidP="00F54AE3">
      <w:pPr>
        <w:spacing w:after="0" w:line="276" w:lineRule="auto"/>
        <w:ind w:left="720"/>
        <w:jc w:val="both"/>
      </w:pPr>
      <w:r w:rsidRPr="00C56601">
        <w:rPr>
          <w:b/>
          <w:bCs/>
          <w:color w:val="276DBB" w:themeColor="text2" w:themeTint="BF"/>
        </w:rPr>
        <w:t>Adopt</w:t>
      </w:r>
      <w:r w:rsidR="00E45E38" w:rsidRPr="00C56601">
        <w:rPr>
          <w:b/>
          <w:bCs/>
          <w:color w:val="276DBB" w:themeColor="text2" w:themeTint="BF"/>
        </w:rPr>
        <w:t>ing</w:t>
      </w:r>
      <w:r w:rsidRPr="00C56601">
        <w:rPr>
          <w:b/>
          <w:bCs/>
          <w:color w:val="276DBB" w:themeColor="text2" w:themeTint="BF"/>
        </w:rPr>
        <w:t xml:space="preserve"> a </w:t>
      </w:r>
      <w:r w:rsidR="006C0A9B" w:rsidRPr="00C56601">
        <w:rPr>
          <w:b/>
          <w:bCs/>
          <w:color w:val="276DBB" w:themeColor="text2" w:themeTint="BF"/>
        </w:rPr>
        <w:t>system</w:t>
      </w:r>
      <w:r w:rsidRPr="00C56601">
        <w:rPr>
          <w:b/>
          <w:bCs/>
          <w:color w:val="276DBB" w:themeColor="text2" w:themeTint="BF"/>
        </w:rPr>
        <w:t xml:space="preserve"> thinking approach</w:t>
      </w:r>
      <w:r w:rsidR="00A21AAB" w:rsidRPr="00C56601">
        <w:rPr>
          <w:b/>
          <w:bCs/>
          <w:color w:val="276DBB" w:themeColor="text2" w:themeTint="BF"/>
        </w:rPr>
        <w:t xml:space="preserve"> and addressing multiple SDGs</w:t>
      </w:r>
      <w:r w:rsidR="00745F03" w:rsidRPr="00C56601">
        <w:rPr>
          <w:b/>
          <w:bCs/>
          <w:color w:val="276DBB" w:themeColor="text2" w:themeTint="BF"/>
        </w:rPr>
        <w:t>.</w:t>
      </w:r>
      <w:r w:rsidR="00745F03" w:rsidRPr="00C56601">
        <w:rPr>
          <w:b/>
          <w:bCs/>
        </w:rPr>
        <w:t xml:space="preserve"> </w:t>
      </w:r>
      <w:r w:rsidRPr="00C56601">
        <w:t>It is important to recognize that the SDGs are interconnected and that progress in one area can have positive or negative impacts on others. The UNDP team should consider the potential trade-offs and unintended consequences of certain projects. It is therefore advisable to aim for holistic solutions that address multiple goals without compromising the achievement of others.</w:t>
      </w:r>
      <w:r w:rsidR="00A21AAB" w:rsidRPr="00C56601">
        <w:t xml:space="preserve"> Tackling several SDGs with a single UNDP-sponsored project is highly advisable strategy. For example, implementing renewable energy projects can contribute to SDG 7 (Affordable and Clean Energy), SDG 13 (Climate Action), and SDG 8 (Decent Work and Economic Growth).</w:t>
      </w:r>
    </w:p>
    <w:p w14:paraId="25C785FE" w14:textId="0FFAB416" w:rsidR="00745F03" w:rsidRDefault="00745F03" w:rsidP="00B5245E">
      <w:pPr>
        <w:spacing w:after="0" w:line="276" w:lineRule="auto"/>
        <w:jc w:val="both"/>
      </w:pPr>
    </w:p>
    <w:p w14:paraId="36E5FB93" w14:textId="4A08E6D5" w:rsidR="00576413" w:rsidRPr="00C56601" w:rsidRDefault="00576413" w:rsidP="00F54AE3">
      <w:pPr>
        <w:spacing w:after="0" w:line="276" w:lineRule="auto"/>
        <w:ind w:left="720"/>
        <w:jc w:val="both"/>
      </w:pPr>
      <w:r w:rsidRPr="00C56601">
        <w:rPr>
          <w:b/>
          <w:bCs/>
          <w:color w:val="0070C0"/>
        </w:rPr>
        <w:t>Strengthening the links between the project portfolio and the UNDP Country Programme Document 202</w:t>
      </w:r>
      <w:r w:rsidR="002B5DC2">
        <w:rPr>
          <w:b/>
          <w:bCs/>
          <w:color w:val="0070C0"/>
        </w:rPr>
        <w:t>6</w:t>
      </w:r>
      <w:r w:rsidRPr="00C56601">
        <w:rPr>
          <w:b/>
          <w:bCs/>
          <w:color w:val="0070C0"/>
        </w:rPr>
        <w:t>-20</w:t>
      </w:r>
      <w:r w:rsidR="002B5DC2">
        <w:rPr>
          <w:b/>
          <w:bCs/>
          <w:color w:val="0070C0"/>
        </w:rPr>
        <w:t>30</w:t>
      </w:r>
      <w:r w:rsidRPr="00C56601">
        <w:rPr>
          <w:b/>
          <w:bCs/>
          <w:color w:val="0070C0"/>
        </w:rPr>
        <w:t>.</w:t>
      </w:r>
      <w:r w:rsidRPr="00C56601">
        <w:rPr>
          <w:b/>
          <w:bCs/>
          <w:color w:val="073763" w:themeColor="accent1" w:themeShade="80"/>
        </w:rPr>
        <w:t xml:space="preserve"> </w:t>
      </w:r>
      <w:r w:rsidRPr="00C56601">
        <w:t>The analysis of the Country Programme Document 2021-2025 reveals somewhat different focus on the SDGs. For example, SDG #1 No poverty ranks on the second place</w:t>
      </w:r>
      <w:r w:rsidR="001F297F" w:rsidRPr="00C56601">
        <w:t>,</w:t>
      </w:r>
      <w:r w:rsidR="006F3DAF" w:rsidRPr="00C56601">
        <w:t xml:space="preserve"> but</w:t>
      </w:r>
      <w:r w:rsidR="00376A4A" w:rsidRPr="00C56601">
        <w:t xml:space="preserve"> it</w:t>
      </w:r>
      <w:r w:rsidRPr="00C56601">
        <w:t xml:space="preserve"> is not </w:t>
      </w:r>
      <w:r w:rsidR="006F3DAF" w:rsidRPr="00C56601">
        <w:t xml:space="preserve">sufficiently reflected </w:t>
      </w:r>
      <w:r w:rsidRPr="00C56601">
        <w:t>in the project portfolio.</w:t>
      </w:r>
      <w:r w:rsidR="002B5DC2">
        <w:t xml:space="preserve"> The focus on the </w:t>
      </w:r>
      <w:r w:rsidR="002B5DC2" w:rsidRPr="002B5DC2">
        <w:t>Country Programme Document 2026-2030</w:t>
      </w:r>
      <w:r w:rsidR="002B5DC2">
        <w:t xml:space="preserve"> should rest on the SDG gap analysis, outlined in Section 6.3.</w:t>
      </w:r>
    </w:p>
    <w:p w14:paraId="1A1010DC" w14:textId="77777777" w:rsidR="00376A4A" w:rsidRDefault="00376A4A" w:rsidP="00B5245E">
      <w:pPr>
        <w:spacing w:after="0" w:line="276" w:lineRule="auto"/>
        <w:jc w:val="both"/>
      </w:pPr>
    </w:p>
    <w:p w14:paraId="5F405583" w14:textId="1E1D4BF0" w:rsidR="00CF5954" w:rsidRPr="00C56601" w:rsidRDefault="00CF5954" w:rsidP="00F54AE3">
      <w:pPr>
        <w:spacing w:after="0" w:line="276" w:lineRule="auto"/>
        <w:ind w:left="720"/>
        <w:jc w:val="both"/>
      </w:pPr>
      <w:r w:rsidRPr="00C56601">
        <w:rPr>
          <w:b/>
          <w:bCs/>
          <w:color w:val="0070C0"/>
        </w:rPr>
        <w:t xml:space="preserve">Creating a </w:t>
      </w:r>
      <w:r w:rsidR="00E45E38" w:rsidRPr="00C56601">
        <w:rPr>
          <w:b/>
          <w:bCs/>
          <w:color w:val="0070C0"/>
        </w:rPr>
        <w:t>“</w:t>
      </w:r>
      <w:r w:rsidRPr="00C56601">
        <w:rPr>
          <w:b/>
          <w:bCs/>
          <w:color w:val="0070C0"/>
        </w:rPr>
        <w:t>Priority ID Card</w:t>
      </w:r>
      <w:r w:rsidR="00E45E38" w:rsidRPr="00C56601">
        <w:rPr>
          <w:b/>
          <w:bCs/>
          <w:color w:val="0070C0"/>
        </w:rPr>
        <w:t>”</w:t>
      </w:r>
      <w:r w:rsidRPr="00C56601">
        <w:rPr>
          <w:b/>
          <w:bCs/>
          <w:color w:val="0070C0"/>
        </w:rPr>
        <w:t xml:space="preserve"> for New Projects.</w:t>
      </w:r>
      <w:r w:rsidRPr="00C56601">
        <w:t xml:space="preserve"> Creating a “Priority ID card” for </w:t>
      </w:r>
      <w:r w:rsidR="00E45E38" w:rsidRPr="00C56601">
        <w:t xml:space="preserve">a </w:t>
      </w:r>
      <w:r w:rsidRPr="00C56601">
        <w:t>newly launched project is a good idea to ensure connectedness with the national priorities of UNDP CO, the relevant EU chapters, the SDGs, and the priority areas in the National Development Strategy.</w:t>
      </w:r>
    </w:p>
    <w:p w14:paraId="1DA33563" w14:textId="77777777" w:rsidR="00E45E38" w:rsidRPr="00C56601" w:rsidRDefault="00E45E38" w:rsidP="00B5245E">
      <w:pPr>
        <w:spacing w:after="0" w:line="276" w:lineRule="auto"/>
        <w:jc w:val="both"/>
      </w:pPr>
    </w:p>
    <w:p w14:paraId="10039F63" w14:textId="77777777" w:rsidR="00AA5205" w:rsidRDefault="00AA5205" w:rsidP="00AF69D0">
      <w:pPr>
        <w:spacing w:after="0" w:line="276" w:lineRule="auto"/>
        <w:jc w:val="both"/>
      </w:pPr>
    </w:p>
    <w:p w14:paraId="1008F0E5" w14:textId="7DB8B58C" w:rsidR="002B5DC2" w:rsidRDefault="002B5DC2" w:rsidP="002B5DC2">
      <w:pPr>
        <w:pStyle w:val="Heading2"/>
        <w:numPr>
          <w:ilvl w:val="1"/>
          <w:numId w:val="1"/>
        </w:numPr>
      </w:pPr>
      <w:bookmarkStart w:id="71" w:name="_Toc157427575"/>
      <w:r>
        <w:lastRenderedPageBreak/>
        <w:t>Recommendations regarding the SDG Finance Offer</w:t>
      </w:r>
      <w:bookmarkEnd w:id="71"/>
    </w:p>
    <w:p w14:paraId="27896555" w14:textId="77777777" w:rsidR="002B5DC2" w:rsidRDefault="002B5DC2" w:rsidP="00AF69D0">
      <w:pPr>
        <w:spacing w:after="0" w:line="276" w:lineRule="auto"/>
        <w:jc w:val="both"/>
      </w:pPr>
    </w:p>
    <w:p w14:paraId="2A441CC9" w14:textId="332B2CD0" w:rsidR="00EE2632" w:rsidRDefault="00EE2632" w:rsidP="00AF69D0">
      <w:pPr>
        <w:spacing w:after="0" w:line="276" w:lineRule="auto"/>
        <w:jc w:val="both"/>
      </w:pPr>
      <w:r w:rsidRPr="00EE2632">
        <w:t>While the initially crafted SDGs in 2015 were largely aspirational, nevertheless, they provide a guiding light for the economies about the expected major overhaul of the development model and a genuine generational contribution to the sustainable human-centred development. Content-wise, they also display a high degree of complementarities and synergies with the EU accession process</w:t>
      </w:r>
      <w:r>
        <w:t>.</w:t>
      </w:r>
    </w:p>
    <w:p w14:paraId="369CA9CF" w14:textId="77777777" w:rsidR="00EE2632" w:rsidRDefault="00EE2632" w:rsidP="00AF69D0">
      <w:pPr>
        <w:spacing w:after="0" w:line="276" w:lineRule="auto"/>
        <w:jc w:val="both"/>
      </w:pPr>
    </w:p>
    <w:p w14:paraId="54186712" w14:textId="1EF82719" w:rsidR="00445F36" w:rsidRPr="00445F36" w:rsidRDefault="00B57EC8" w:rsidP="00EE2632">
      <w:pPr>
        <w:spacing w:after="0" w:line="276" w:lineRule="auto"/>
        <w:jc w:val="both"/>
        <w:rPr>
          <w:b/>
          <w:bCs/>
          <w:color w:val="0070C0"/>
          <w:sz w:val="24"/>
          <w:szCs w:val="24"/>
        </w:rPr>
      </w:pPr>
      <w:r>
        <w:rPr>
          <w:b/>
          <w:bCs/>
          <w:color w:val="0070C0"/>
          <w:sz w:val="24"/>
          <w:szCs w:val="24"/>
        </w:rPr>
        <w:t>P</w:t>
      </w:r>
      <w:r w:rsidRPr="00445F36">
        <w:rPr>
          <w:b/>
          <w:bCs/>
          <w:color w:val="0070C0"/>
          <w:sz w:val="24"/>
          <w:szCs w:val="24"/>
        </w:rPr>
        <w:t>UBLIC FINANCE</w:t>
      </w:r>
    </w:p>
    <w:p w14:paraId="33F8D29B" w14:textId="26C4F4C2" w:rsidR="00EE2632" w:rsidRDefault="00EE2632" w:rsidP="00246BD3">
      <w:pPr>
        <w:spacing w:after="0" w:line="276" w:lineRule="auto"/>
        <w:ind w:left="720"/>
        <w:jc w:val="both"/>
      </w:pPr>
      <w:r>
        <w:t xml:space="preserve">We outline </w:t>
      </w:r>
      <w:proofErr w:type="gramStart"/>
      <w:r>
        <w:t>a number of</w:t>
      </w:r>
      <w:proofErr w:type="gramEnd"/>
      <w:r>
        <w:t xml:space="preserve"> proposals for introducing and aligning </w:t>
      </w:r>
      <w:r w:rsidRPr="00445F36">
        <w:rPr>
          <w:i/>
          <w:iCs/>
        </w:rPr>
        <w:t>Tax4SDGs, Bond4SDGs, Budgeting4SDGs</w:t>
      </w:r>
      <w:r>
        <w:t xml:space="preserve"> in Section 5.2.</w:t>
      </w:r>
      <w:r w:rsidR="00811F58">
        <w:t xml:space="preserve"> Proposals refer to a better design of the tax system, introduction of innovative taxes, detoxification of government subsidies, SDG tagging of the budget, innovation of the debt portfolio with social impact bonds, etc.</w:t>
      </w:r>
      <w:r w:rsidR="00733308">
        <w:t xml:space="preserve"> There is a wide array of social impact bonds, whose issuance can be supported and facilitated by UNDP. </w:t>
      </w:r>
      <w:proofErr w:type="gramStart"/>
      <w:r w:rsidR="00733308">
        <w:t>A number of</w:t>
      </w:r>
      <w:proofErr w:type="gramEnd"/>
      <w:r w:rsidR="00733308">
        <w:t xml:space="preserve"> tax reforms for SDGs are also needed, politically feasible after the elections in June 2024. </w:t>
      </w:r>
    </w:p>
    <w:p w14:paraId="35E88310" w14:textId="77777777" w:rsidR="00EE2632" w:rsidRPr="00C56601" w:rsidRDefault="00EE2632" w:rsidP="00AF69D0">
      <w:pPr>
        <w:spacing w:after="0" w:line="276" w:lineRule="auto"/>
        <w:jc w:val="both"/>
      </w:pPr>
    </w:p>
    <w:p w14:paraId="516E6ED9" w14:textId="60D0C712" w:rsidR="00733308" w:rsidRDefault="00733308" w:rsidP="00AF69D0">
      <w:pPr>
        <w:spacing w:after="0" w:line="276" w:lineRule="auto"/>
        <w:jc w:val="both"/>
        <w:rPr>
          <w:b/>
          <w:bCs/>
          <w:color w:val="0070C0"/>
        </w:rPr>
      </w:pPr>
      <w:r w:rsidRPr="00C56601">
        <w:rPr>
          <w:b/>
          <w:bCs/>
          <w:color w:val="0070C0"/>
        </w:rPr>
        <w:t>UNLOCKING PRIVATE SECTOR POTENTIAL FOR SDGS</w:t>
      </w:r>
    </w:p>
    <w:p w14:paraId="699E4902" w14:textId="149F67EE" w:rsidR="00AA5205" w:rsidRDefault="00AA5205" w:rsidP="00246BD3">
      <w:pPr>
        <w:spacing w:after="0" w:line="276" w:lineRule="auto"/>
        <w:ind w:left="720"/>
        <w:jc w:val="both"/>
      </w:pPr>
      <w:r w:rsidRPr="00C56601">
        <w:t>Private sector (large banks and companies) should also be encouraged and assisted in introducing SDG reporting. It seems that a narrow perspective on the concept of sustainable development.</w:t>
      </w:r>
    </w:p>
    <w:p w14:paraId="2276520C" w14:textId="77777777" w:rsidR="00EE2632" w:rsidRPr="00C56601" w:rsidRDefault="00EE2632" w:rsidP="00AF69D0">
      <w:pPr>
        <w:spacing w:after="0" w:line="276" w:lineRule="auto"/>
        <w:jc w:val="both"/>
      </w:pPr>
    </w:p>
    <w:p w14:paraId="07023B30" w14:textId="181D8341" w:rsidR="002B5DC2" w:rsidRDefault="002B5DC2" w:rsidP="002B5DC2">
      <w:pPr>
        <w:spacing w:after="0" w:line="276" w:lineRule="auto"/>
        <w:ind w:left="720"/>
        <w:jc w:val="both"/>
      </w:pPr>
      <w:r w:rsidRPr="002B5DC2">
        <w:rPr>
          <w:i/>
          <w:iCs/>
          <w:color w:val="0070C0"/>
        </w:rPr>
        <w:t>Promoting blended finance.</w:t>
      </w:r>
      <w:r w:rsidRPr="002B5DC2">
        <w:t xml:space="preserve"> Whenever possible, </w:t>
      </w:r>
      <w:r>
        <w:t xml:space="preserve">the </w:t>
      </w:r>
      <w:r w:rsidRPr="002B5DC2">
        <w:t>government should mobilize private sector capital though blended finance schemes, innovative financing instruments and mechanisms. They comprise different combinations of public and private sources of financing investment projects in priority areas. Blended financing is the use of catalytic capital from public sources to increase private and public investments and achieve the goals of sustainable development. In this way, governments, international institutions, philanthropic investors, and other stakeholders seek to (</w:t>
      </w:r>
      <w:proofErr w:type="spellStart"/>
      <w:r w:rsidRPr="002B5DC2">
        <w:t>i</w:t>
      </w:r>
      <w:proofErr w:type="spellEnd"/>
      <w:r w:rsidRPr="002B5DC2">
        <w:t>) reduce investment risk or (ii) improve risk-adjusted returns. Given the increasing focus on sustainability, innovative finance is increasingly associated with the concept of sustainable finance, which is growing into a major trend in credit markets. innovative financing mechanisms and instruments in no way exclude traditional financing sources and instruments. Innovative financial instruments should complement the EU enlargement assistance, available in the form of direct budgetary support and concessional loans.</w:t>
      </w:r>
    </w:p>
    <w:p w14:paraId="30A1070D" w14:textId="77777777" w:rsidR="00EE2632" w:rsidRDefault="00EE2632" w:rsidP="002B5DC2">
      <w:pPr>
        <w:spacing w:after="0" w:line="276" w:lineRule="auto"/>
        <w:ind w:left="720"/>
        <w:jc w:val="both"/>
      </w:pPr>
    </w:p>
    <w:p w14:paraId="7082B478" w14:textId="5AAE70AC" w:rsidR="002B5DC2" w:rsidRDefault="002B5DC2" w:rsidP="002B5DC2">
      <w:pPr>
        <w:ind w:left="720"/>
        <w:jc w:val="both"/>
      </w:pPr>
      <w:r w:rsidRPr="00EE2632">
        <w:rPr>
          <w:bCs/>
          <w:i/>
          <w:iCs/>
          <w:color w:val="0070C0"/>
        </w:rPr>
        <w:t>Innovative financing mechanisms and instruments.</w:t>
      </w:r>
      <w:r>
        <w:rPr>
          <w:bCs/>
        </w:rPr>
        <w:t xml:space="preserve"> </w:t>
      </w:r>
      <w:r w:rsidRPr="002D2E7D">
        <w:rPr>
          <w:bCs/>
        </w:rPr>
        <w:t xml:space="preserve">Delivering on the NDS objectives will require blending the various conventional and innovative instruments including International Financial Institutions’ resources, advisory, investment and private sector mobilization capacity, strengthen domestic resource mobilization, and leverage additional funding from development partners. </w:t>
      </w:r>
      <w:r>
        <w:rPr>
          <w:bCs/>
        </w:rPr>
        <w:t>Simultaneously, a</w:t>
      </w:r>
      <w:r>
        <w:t>uthorities should</w:t>
      </w:r>
      <w:r w:rsidRPr="002C678B">
        <w:t xml:space="preserve"> systematically appl</w:t>
      </w:r>
      <w:r>
        <w:t xml:space="preserve">y </w:t>
      </w:r>
      <w:r w:rsidRPr="002C678B">
        <w:t xml:space="preserve">the </w:t>
      </w:r>
      <w:r>
        <w:t>so-called c</w:t>
      </w:r>
      <w:r w:rsidRPr="002C678B">
        <w:t xml:space="preserve">ascade approach, prioritizing </w:t>
      </w:r>
      <w:proofErr w:type="gramStart"/>
      <w:r w:rsidRPr="002C678B">
        <w:t>PPPs</w:t>
      </w:r>
      <w:proofErr w:type="gramEnd"/>
      <w:r w:rsidRPr="002C678B">
        <w:t xml:space="preserve"> </w:t>
      </w:r>
      <w:r>
        <w:t xml:space="preserve">and private investments </w:t>
      </w:r>
      <w:r w:rsidRPr="00783EF8">
        <w:t>over public investments whenever feasible.</w:t>
      </w:r>
    </w:p>
    <w:p w14:paraId="4AB34491" w14:textId="055BA71E" w:rsidR="00EE2632" w:rsidRPr="00EE2632" w:rsidRDefault="00EE2632" w:rsidP="002B5DC2">
      <w:pPr>
        <w:ind w:left="720"/>
        <w:jc w:val="both"/>
        <w:rPr>
          <w:bCs/>
          <w:color w:val="000000" w:themeColor="text1"/>
        </w:rPr>
      </w:pPr>
      <w:r>
        <w:rPr>
          <w:bCs/>
          <w:i/>
          <w:iCs/>
          <w:color w:val="0070C0"/>
        </w:rPr>
        <w:t>SDG-</w:t>
      </w:r>
      <w:r w:rsidRPr="00EE2632">
        <w:rPr>
          <w:bCs/>
          <w:i/>
          <w:iCs/>
          <w:color w:val="0070C0"/>
        </w:rPr>
        <w:t>izing the bank portfolio</w:t>
      </w:r>
      <w:r>
        <w:rPr>
          <w:bCs/>
          <w:i/>
          <w:iCs/>
          <w:color w:val="0070C0"/>
        </w:rPr>
        <w:t xml:space="preserve">s. </w:t>
      </w:r>
      <w:r w:rsidRPr="00EE2632">
        <w:rPr>
          <w:bCs/>
          <w:color w:val="000000" w:themeColor="text1"/>
        </w:rPr>
        <w:t xml:space="preserve">There is </w:t>
      </w:r>
      <w:r>
        <w:rPr>
          <w:bCs/>
          <w:color w:val="000000" w:themeColor="text1"/>
        </w:rPr>
        <w:t>a growing awareness among the central and commercial banks that SDG tagging of bank loans and impact analysis would be beneficial in terms of higher SDG progress.</w:t>
      </w:r>
    </w:p>
    <w:p w14:paraId="3BFF6E6E" w14:textId="77777777" w:rsidR="006F5E72" w:rsidRPr="00C56601" w:rsidRDefault="006F5E72" w:rsidP="00AF69D0">
      <w:pPr>
        <w:spacing w:after="0" w:line="276" w:lineRule="auto"/>
        <w:jc w:val="both"/>
      </w:pPr>
    </w:p>
    <w:p w14:paraId="4510953D" w14:textId="5A1D0527" w:rsidR="00B57EC8" w:rsidRDefault="00B57EC8" w:rsidP="00AF69D0">
      <w:pPr>
        <w:spacing w:after="0" w:line="276" w:lineRule="auto"/>
        <w:jc w:val="both"/>
        <w:rPr>
          <w:rFonts w:asciiTheme="majorHAnsi" w:hAnsiTheme="majorHAnsi" w:cstheme="majorHAnsi"/>
          <w:b/>
          <w:bCs/>
          <w:color w:val="0070C0"/>
        </w:rPr>
      </w:pPr>
      <w:r>
        <w:rPr>
          <w:rFonts w:asciiTheme="majorHAnsi" w:hAnsiTheme="majorHAnsi" w:cstheme="majorHAnsi"/>
          <w:b/>
          <w:bCs/>
          <w:color w:val="0070C0"/>
        </w:rPr>
        <w:t>SDG IMPACT MANAGEMENT AND FINANCE TRACKING</w:t>
      </w:r>
    </w:p>
    <w:p w14:paraId="097798B2" w14:textId="550810A8" w:rsidR="005D2075" w:rsidRPr="006A33A9" w:rsidRDefault="006A33A9" w:rsidP="00246BD3">
      <w:pPr>
        <w:spacing w:after="0" w:line="276" w:lineRule="auto"/>
        <w:ind w:left="720"/>
        <w:jc w:val="both"/>
        <w:rPr>
          <w:rFonts w:asciiTheme="majorHAnsi" w:hAnsiTheme="majorHAnsi" w:cstheme="majorHAnsi"/>
        </w:rPr>
      </w:pPr>
      <w:r w:rsidRPr="006A33A9">
        <w:rPr>
          <w:rFonts w:asciiTheme="majorHAnsi" w:hAnsiTheme="majorHAnsi" w:cstheme="majorHAnsi"/>
        </w:rPr>
        <w:t>Measuring, managing, and optimizing the social and environmental impacts of investments, projects, and business activities</w:t>
      </w:r>
      <w:r w:rsidR="00794BD7">
        <w:rPr>
          <w:rFonts w:asciiTheme="majorHAnsi" w:hAnsiTheme="majorHAnsi" w:cstheme="majorHAnsi"/>
        </w:rPr>
        <w:t xml:space="preserve"> would be a challenge. </w:t>
      </w:r>
      <w:r w:rsidR="00733308">
        <w:rPr>
          <w:rFonts w:asciiTheme="majorHAnsi" w:hAnsiTheme="majorHAnsi" w:cstheme="majorHAnsi"/>
        </w:rPr>
        <w:t>This is an area where there is a significant room for improvement. The administrative capacities for social impact measurement and finance tracking are very low. External support from UNDP and external consultants (academia, think tanks, etc) will be needed to conduct a thorough SDG impact management.</w:t>
      </w:r>
      <w:r w:rsidR="004849C5">
        <w:rPr>
          <w:rFonts w:asciiTheme="majorHAnsi" w:hAnsiTheme="majorHAnsi" w:cstheme="majorHAnsi"/>
        </w:rPr>
        <w:t xml:space="preserve"> This would require statistical and/or econometric methodologies for more thorough impact assessment.</w:t>
      </w:r>
    </w:p>
    <w:p w14:paraId="7556CD05" w14:textId="77777777" w:rsidR="005D2075" w:rsidRDefault="005D2075" w:rsidP="00AF69D0">
      <w:pPr>
        <w:spacing w:after="0" w:line="276" w:lineRule="auto"/>
        <w:jc w:val="both"/>
        <w:rPr>
          <w:rFonts w:asciiTheme="majorHAnsi" w:hAnsiTheme="majorHAnsi" w:cstheme="majorHAnsi"/>
          <w:b/>
          <w:bCs/>
          <w:color w:val="0070C0"/>
        </w:rPr>
      </w:pPr>
    </w:p>
    <w:p w14:paraId="5B9CC31F" w14:textId="3B46C04F" w:rsidR="004849C5" w:rsidRDefault="004849C5" w:rsidP="00AF69D0">
      <w:pPr>
        <w:spacing w:after="0" w:line="276" w:lineRule="auto"/>
        <w:jc w:val="both"/>
        <w:rPr>
          <w:rFonts w:asciiTheme="majorHAnsi" w:hAnsiTheme="majorHAnsi" w:cstheme="majorHAnsi"/>
          <w:b/>
          <w:bCs/>
          <w:color w:val="0070C0"/>
        </w:rPr>
      </w:pPr>
      <w:r w:rsidRPr="00C56601">
        <w:rPr>
          <w:rFonts w:asciiTheme="majorHAnsi" w:hAnsiTheme="majorHAnsi" w:cstheme="majorHAnsi"/>
          <w:b/>
          <w:bCs/>
          <w:color w:val="0070C0"/>
        </w:rPr>
        <w:t>INTEGRATED NATIONAL FINANCING FRAMEWORK</w:t>
      </w:r>
    </w:p>
    <w:p w14:paraId="03A75FAF" w14:textId="42D64864" w:rsidR="00F548D7" w:rsidRPr="00C56601" w:rsidRDefault="00F548D7" w:rsidP="00246BD3">
      <w:pPr>
        <w:spacing w:after="0" w:line="276" w:lineRule="auto"/>
        <w:ind w:left="720"/>
        <w:jc w:val="both"/>
        <w:rPr>
          <w:rFonts w:asciiTheme="majorHAnsi" w:hAnsiTheme="majorHAnsi" w:cstheme="majorHAnsi"/>
        </w:rPr>
      </w:pPr>
      <w:r w:rsidRPr="00C56601">
        <w:rPr>
          <w:rFonts w:asciiTheme="majorHAnsi" w:hAnsiTheme="majorHAnsi" w:cstheme="majorHAnsi"/>
        </w:rPr>
        <w:t>The implementation of the NDS should be linked with the medium-term fiscal planning acts and other strategic documents linked to the EU accession</w:t>
      </w:r>
      <w:r w:rsidR="001F297F" w:rsidRPr="00C56601">
        <w:rPr>
          <w:rFonts w:asciiTheme="majorHAnsi" w:hAnsiTheme="majorHAnsi" w:cstheme="majorHAnsi"/>
        </w:rPr>
        <w:t xml:space="preserve"> (Figure 1</w:t>
      </w:r>
      <w:r w:rsidR="004849C5">
        <w:rPr>
          <w:rFonts w:asciiTheme="majorHAnsi" w:hAnsiTheme="majorHAnsi" w:cstheme="majorHAnsi"/>
        </w:rPr>
        <w:t>4</w:t>
      </w:r>
      <w:r w:rsidR="001F297F" w:rsidRPr="00C56601">
        <w:rPr>
          <w:rFonts w:asciiTheme="majorHAnsi" w:hAnsiTheme="majorHAnsi" w:cstheme="majorHAnsi"/>
        </w:rPr>
        <w:t>)</w:t>
      </w:r>
      <w:r w:rsidRPr="00C56601">
        <w:rPr>
          <w:rFonts w:asciiTheme="majorHAnsi" w:hAnsiTheme="majorHAnsi" w:cstheme="majorHAnsi"/>
        </w:rPr>
        <w:t xml:space="preserve">. </w:t>
      </w:r>
      <w:proofErr w:type="gramStart"/>
      <w:r w:rsidRPr="00C56601">
        <w:rPr>
          <w:rFonts w:asciiTheme="majorHAnsi" w:hAnsiTheme="majorHAnsi" w:cstheme="majorHAnsi"/>
        </w:rPr>
        <w:t>At the moment</w:t>
      </w:r>
      <w:proofErr w:type="gramEnd"/>
      <w:r w:rsidRPr="00C56601">
        <w:rPr>
          <w:rFonts w:asciiTheme="majorHAnsi" w:hAnsiTheme="majorHAnsi" w:cstheme="majorHAnsi"/>
        </w:rPr>
        <w:t xml:space="preserve">, North Macedonia has </w:t>
      </w:r>
      <w:r w:rsidR="000A3E9A">
        <w:rPr>
          <w:rFonts w:asciiTheme="majorHAnsi" w:hAnsiTheme="majorHAnsi" w:cstheme="majorHAnsi"/>
        </w:rPr>
        <w:t>only</w:t>
      </w:r>
      <w:r w:rsidRPr="00C56601">
        <w:rPr>
          <w:rFonts w:asciiTheme="majorHAnsi" w:hAnsiTheme="majorHAnsi" w:cstheme="majorHAnsi"/>
        </w:rPr>
        <w:t xml:space="preserve"> </w:t>
      </w:r>
      <w:r w:rsidRPr="00C56601">
        <w:rPr>
          <w:rFonts w:asciiTheme="majorHAnsi" w:hAnsiTheme="majorHAnsi" w:cstheme="majorHAnsi"/>
          <w:color w:val="0070C0"/>
        </w:rPr>
        <w:t xml:space="preserve">five-year Fiscal Strategy </w:t>
      </w:r>
      <w:r w:rsidRPr="00C56601">
        <w:rPr>
          <w:rFonts w:asciiTheme="majorHAnsi" w:hAnsiTheme="majorHAnsi" w:cstheme="majorHAnsi"/>
        </w:rPr>
        <w:t>that is revised each year on a rolling basis.</w:t>
      </w:r>
      <w:r w:rsidR="000A3E9A">
        <w:rPr>
          <w:rFonts w:asciiTheme="majorHAnsi" w:hAnsiTheme="majorHAnsi" w:cstheme="majorHAnsi"/>
        </w:rPr>
        <w:t xml:space="preserve"> Yet it only covers one dimension of the overall national financing framework. </w:t>
      </w:r>
      <w:proofErr w:type="gramStart"/>
      <w:r w:rsidR="000A3E9A">
        <w:rPr>
          <w:rFonts w:asciiTheme="majorHAnsi" w:hAnsiTheme="majorHAnsi" w:cstheme="majorHAnsi"/>
        </w:rPr>
        <w:t>At the moment</w:t>
      </w:r>
      <w:proofErr w:type="gramEnd"/>
      <w:r w:rsidR="000A3E9A">
        <w:rPr>
          <w:rFonts w:asciiTheme="majorHAnsi" w:hAnsiTheme="majorHAnsi" w:cstheme="majorHAnsi"/>
        </w:rPr>
        <w:t xml:space="preserve">, administrative capacities for developing an </w:t>
      </w:r>
      <w:r w:rsidRPr="00C56601">
        <w:rPr>
          <w:rFonts w:asciiTheme="majorHAnsi" w:hAnsiTheme="majorHAnsi" w:cstheme="majorHAnsi"/>
          <w:i/>
          <w:iCs/>
          <w:color w:val="0070C0"/>
        </w:rPr>
        <w:t>Integrated National Financing Framework (INFF)</w:t>
      </w:r>
      <w:r w:rsidR="000A3E9A">
        <w:rPr>
          <w:rFonts w:asciiTheme="majorHAnsi" w:hAnsiTheme="majorHAnsi" w:cstheme="majorHAnsi"/>
        </w:rPr>
        <w:t xml:space="preserve"> are limited. This could only be done by outsourcing and technical assistance by the UN agencies.</w:t>
      </w:r>
      <w:r w:rsidRPr="00C56601">
        <w:rPr>
          <w:rFonts w:asciiTheme="majorHAnsi" w:hAnsiTheme="majorHAnsi" w:cstheme="majorHAnsi"/>
        </w:rPr>
        <w:t xml:space="preserve"> </w:t>
      </w:r>
    </w:p>
    <w:p w14:paraId="3ED92D64" w14:textId="77777777" w:rsidR="002B5DC2" w:rsidRPr="00C56601" w:rsidRDefault="002B5DC2">
      <w:pPr>
        <w:rPr>
          <w:rFonts w:asciiTheme="majorHAnsi" w:hAnsiTheme="majorHAnsi" w:cstheme="majorHAnsi"/>
        </w:rPr>
      </w:pPr>
    </w:p>
    <w:p w14:paraId="24D8ADCA" w14:textId="2219744B" w:rsidR="00553E1A" w:rsidRPr="00C56601" w:rsidRDefault="00553E1A" w:rsidP="00553E1A">
      <w:pPr>
        <w:spacing w:after="0" w:line="240" w:lineRule="auto"/>
        <w:jc w:val="both"/>
        <w:rPr>
          <w:sz w:val="24"/>
          <w:szCs w:val="24"/>
        </w:rPr>
      </w:pPr>
      <w:bookmarkStart w:id="72" w:name="_Toc157427584"/>
      <w:r w:rsidRPr="00C56601">
        <w:rPr>
          <w:color w:val="0070C0"/>
        </w:rPr>
        <w:t xml:space="preserve">Figure </w:t>
      </w:r>
      <w:r w:rsidRPr="00C56601">
        <w:rPr>
          <w:i/>
          <w:iCs/>
          <w:color w:val="0070C0"/>
        </w:rPr>
        <w:fldChar w:fldCharType="begin"/>
      </w:r>
      <w:r w:rsidRPr="00C56601">
        <w:rPr>
          <w:color w:val="0070C0"/>
        </w:rPr>
        <w:instrText xml:space="preserve"> SEQ Figure \* ARABIC </w:instrText>
      </w:r>
      <w:r w:rsidRPr="00C56601">
        <w:rPr>
          <w:i/>
          <w:iCs/>
          <w:color w:val="0070C0"/>
        </w:rPr>
        <w:fldChar w:fldCharType="separate"/>
      </w:r>
      <w:r w:rsidR="002768F0">
        <w:rPr>
          <w:noProof/>
          <w:color w:val="0070C0"/>
        </w:rPr>
        <w:t>9</w:t>
      </w:r>
      <w:r w:rsidRPr="00C56601">
        <w:rPr>
          <w:i/>
          <w:iCs/>
          <w:color w:val="0070C0"/>
        </w:rPr>
        <w:fldChar w:fldCharType="end"/>
      </w:r>
      <w:r w:rsidRPr="00C56601">
        <w:rPr>
          <w:color w:val="0070C0"/>
        </w:rPr>
        <w:t xml:space="preserve">. Proposed Integrated </w:t>
      </w:r>
      <w:r w:rsidR="0060602B" w:rsidRPr="00C56601">
        <w:rPr>
          <w:color w:val="0070C0"/>
        </w:rPr>
        <w:t xml:space="preserve">National </w:t>
      </w:r>
      <w:r w:rsidRPr="00C56601">
        <w:rPr>
          <w:color w:val="0070C0"/>
        </w:rPr>
        <w:t>Financing Framework</w:t>
      </w:r>
      <w:bookmarkEnd w:id="72"/>
    </w:p>
    <w:p w14:paraId="49A96826" w14:textId="2FC4BA8A" w:rsidR="00553E1A" w:rsidRPr="00C56601" w:rsidRDefault="005A524C" w:rsidP="00A040B9">
      <w:pPr>
        <w:spacing w:after="0" w:line="360" w:lineRule="auto"/>
        <w:jc w:val="both"/>
        <w:rPr>
          <w:rFonts w:asciiTheme="majorHAnsi" w:hAnsiTheme="majorHAnsi" w:cstheme="majorHAnsi"/>
        </w:rPr>
      </w:pPr>
      <w:r w:rsidRPr="005A524C">
        <w:rPr>
          <w:noProof/>
        </w:rPr>
        <w:drawing>
          <wp:inline distT="0" distB="0" distL="0" distR="0" wp14:anchorId="29351C72" wp14:editId="106A27EA">
            <wp:extent cx="5943600" cy="2926080"/>
            <wp:effectExtent l="0" t="0" r="0" b="7620"/>
            <wp:docPr id="746219474" name="Picture 1" descr="A diagram of a business strateg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219474" name="Picture 1" descr="A diagram of a business strategy&#10;&#10;Description automatically generated with medium confidence"/>
                    <pic:cNvPicPr/>
                  </pic:nvPicPr>
                  <pic:blipFill>
                    <a:blip r:embed="rId60"/>
                    <a:stretch>
                      <a:fillRect/>
                    </a:stretch>
                  </pic:blipFill>
                  <pic:spPr>
                    <a:xfrm>
                      <a:off x="0" y="0"/>
                      <a:ext cx="5943600" cy="2926080"/>
                    </a:xfrm>
                    <a:prstGeom prst="rect">
                      <a:avLst/>
                    </a:prstGeom>
                  </pic:spPr>
                </pic:pic>
              </a:graphicData>
            </a:graphic>
          </wp:inline>
        </w:drawing>
      </w:r>
    </w:p>
    <w:p w14:paraId="7EBEB9F3" w14:textId="77777777" w:rsidR="00796E6D" w:rsidRPr="00C56601" w:rsidRDefault="00796E6D" w:rsidP="00A040B9">
      <w:pPr>
        <w:spacing w:after="0" w:line="360" w:lineRule="auto"/>
        <w:jc w:val="both"/>
        <w:rPr>
          <w:rFonts w:asciiTheme="majorHAnsi" w:hAnsiTheme="majorHAnsi" w:cstheme="majorHAnsi"/>
          <w:b/>
          <w:bCs/>
          <w:color w:val="0070C0"/>
        </w:rPr>
      </w:pPr>
    </w:p>
    <w:p w14:paraId="11D05EAC" w14:textId="316DA5C4" w:rsidR="00F548D7" w:rsidRPr="00C56601" w:rsidRDefault="000A3E9A" w:rsidP="002B5DC2">
      <w:pPr>
        <w:spacing w:after="0" w:line="276" w:lineRule="auto"/>
        <w:ind w:left="720"/>
        <w:jc w:val="both"/>
        <w:rPr>
          <w:rFonts w:asciiTheme="majorHAnsi" w:hAnsiTheme="majorHAnsi" w:cstheme="majorHAnsi"/>
        </w:rPr>
      </w:pPr>
      <w:r w:rsidRPr="002B5DC2">
        <w:rPr>
          <w:rFonts w:asciiTheme="majorHAnsi" w:hAnsiTheme="majorHAnsi" w:cstheme="majorHAnsi"/>
        </w:rPr>
        <w:t xml:space="preserve">The </w:t>
      </w:r>
      <w:r w:rsidR="00F548D7" w:rsidRPr="002B5DC2">
        <w:rPr>
          <w:rFonts w:asciiTheme="majorHAnsi" w:hAnsiTheme="majorHAnsi" w:cstheme="majorHAnsi"/>
        </w:rPr>
        <w:t>Integrated National Financing Framework (INFF)</w:t>
      </w:r>
      <w:r w:rsidR="00F548D7" w:rsidRPr="00C56601">
        <w:rPr>
          <w:rFonts w:asciiTheme="majorHAnsi" w:hAnsiTheme="majorHAnsi" w:cstheme="majorHAnsi"/>
        </w:rPr>
        <w:t xml:space="preserve"> </w:t>
      </w:r>
      <w:r>
        <w:rPr>
          <w:rFonts w:asciiTheme="majorHAnsi" w:hAnsiTheme="majorHAnsi" w:cstheme="majorHAnsi"/>
        </w:rPr>
        <w:t>should be based on</w:t>
      </w:r>
      <w:r w:rsidR="00F548D7" w:rsidRPr="00C56601">
        <w:rPr>
          <w:rFonts w:asciiTheme="majorHAnsi" w:hAnsiTheme="majorHAnsi" w:cstheme="majorHAnsi"/>
        </w:rPr>
        <w:t xml:space="preserve"> four building blocks: (</w:t>
      </w:r>
      <w:proofErr w:type="spellStart"/>
      <w:r w:rsidR="00F548D7" w:rsidRPr="00C56601">
        <w:rPr>
          <w:rFonts w:asciiTheme="majorHAnsi" w:hAnsiTheme="majorHAnsi" w:cstheme="majorHAnsi"/>
        </w:rPr>
        <w:t>i</w:t>
      </w:r>
      <w:proofErr w:type="spellEnd"/>
      <w:r w:rsidR="00F548D7" w:rsidRPr="00C56601">
        <w:rPr>
          <w:rFonts w:asciiTheme="majorHAnsi" w:hAnsiTheme="majorHAnsi" w:cstheme="majorHAnsi"/>
        </w:rPr>
        <w:t>) assessments and diagnostics; (ii) a financing strategy; (iii) monitoring and review systems; and (iv) governance and coordination mechanisms. This requires an amendment of the Fiscal Strategy with a separate section on planning the funding and monitoring the financing of the National Development Strategy. Additional option is to have a separate section on financing the SDGs.</w:t>
      </w:r>
    </w:p>
    <w:p w14:paraId="1E7E2787" w14:textId="77777777" w:rsidR="00AF69D0" w:rsidRPr="00C56601" w:rsidRDefault="00AF69D0" w:rsidP="00AF69D0">
      <w:pPr>
        <w:spacing w:after="0" w:line="276" w:lineRule="auto"/>
        <w:jc w:val="both"/>
        <w:rPr>
          <w:b/>
          <w:bCs/>
          <w:color w:val="0070C0"/>
        </w:rPr>
      </w:pPr>
    </w:p>
    <w:p w14:paraId="22D7F905" w14:textId="35E33C89" w:rsidR="00F548D7" w:rsidRPr="00C56601" w:rsidRDefault="00F548D7" w:rsidP="002B5DC2">
      <w:pPr>
        <w:spacing w:after="0" w:line="276" w:lineRule="auto"/>
        <w:ind w:left="720"/>
        <w:jc w:val="both"/>
      </w:pPr>
      <w:r w:rsidRPr="00C56601">
        <w:rPr>
          <w:b/>
          <w:bCs/>
          <w:color w:val="0070C0"/>
        </w:rPr>
        <w:lastRenderedPageBreak/>
        <w:t>Integrated Local Financing Frameworks:</w:t>
      </w:r>
      <w:r w:rsidRPr="00C56601">
        <w:rPr>
          <w:color w:val="0070C0"/>
        </w:rPr>
        <w:t xml:space="preserve"> </w:t>
      </w:r>
      <w:r w:rsidRPr="00C56601">
        <w:t xml:space="preserve">UNDP supports the development and implementation of </w:t>
      </w:r>
      <w:hyperlink r:id="rId61" w:history="1">
        <w:r w:rsidRPr="00C56601">
          <w:t>Integrated Local Financing Frameworks (ILFFs)</w:t>
        </w:r>
      </w:hyperlink>
      <w:r w:rsidRPr="00C56601">
        <w:t xml:space="preserve"> to align public and private finance from domestic and international sources with SDG-oriented priority sectors</w:t>
      </w:r>
      <w:r w:rsidRPr="00C56601" w:rsidDel="007327B4">
        <w:t>.</w:t>
      </w:r>
      <w:r w:rsidRPr="00C56601">
        <w:t xml:space="preserve"> It facilitates establish monitoring, </w:t>
      </w:r>
      <w:r w:rsidR="000A3E9A" w:rsidRPr="00C56601">
        <w:t>reporting,</w:t>
      </w:r>
      <w:r w:rsidRPr="00C56601">
        <w:t xml:space="preserve"> and tracking systems on local finance, as well as local level dialogue platforms that bring diverse actors together to discuss the needs, </w:t>
      </w:r>
      <w:proofErr w:type="gramStart"/>
      <w:r w:rsidRPr="00C56601">
        <w:t>opportunities</w:t>
      </w:r>
      <w:proofErr w:type="gramEnd"/>
      <w:r w:rsidRPr="00C56601">
        <w:t xml:space="preserve"> and challenges for local SDG financing. </w:t>
      </w:r>
    </w:p>
    <w:p w14:paraId="02979BA5" w14:textId="77777777" w:rsidR="00AF69D0" w:rsidRPr="00C56601" w:rsidRDefault="00AF69D0" w:rsidP="00AF69D0">
      <w:pPr>
        <w:suppressAutoHyphens/>
        <w:spacing w:after="0" w:line="276" w:lineRule="auto"/>
        <w:jc w:val="both"/>
      </w:pPr>
    </w:p>
    <w:p w14:paraId="78067FB3" w14:textId="1F5B09E7" w:rsidR="004429BD" w:rsidRDefault="00000000" w:rsidP="002B5DC2">
      <w:pPr>
        <w:suppressAutoHyphens/>
        <w:spacing w:after="0" w:line="276" w:lineRule="auto"/>
        <w:ind w:left="720"/>
        <w:jc w:val="both"/>
      </w:pPr>
      <w:hyperlink r:id="rId62" w:history="1">
        <w:r w:rsidR="004429BD" w:rsidRPr="00C56601">
          <w:rPr>
            <w:b/>
            <w:bCs/>
            <w:color w:val="0070C0"/>
          </w:rPr>
          <w:t>Guidance Note on Integrating Gender Equality into Local Financing Frameworks</w:t>
        </w:r>
      </w:hyperlink>
      <w:r w:rsidR="00F548D7" w:rsidRPr="00C56601">
        <w:rPr>
          <w:b/>
          <w:bCs/>
          <w:color w:val="0070C0"/>
        </w:rPr>
        <w:t>.</w:t>
      </w:r>
      <w:r w:rsidR="004429BD" w:rsidRPr="00C56601">
        <w:t xml:space="preserve"> Design together with the Ministry of Finance, publish, and disseminate a guidance Note on Integrating Gender Equality into Local Financing Frameworks.</w:t>
      </w:r>
    </w:p>
    <w:p w14:paraId="4EC5504E" w14:textId="77777777" w:rsidR="00EC12B4" w:rsidRDefault="00EC12B4" w:rsidP="00AF69D0">
      <w:pPr>
        <w:suppressAutoHyphens/>
        <w:spacing w:after="0" w:line="276" w:lineRule="auto"/>
        <w:jc w:val="both"/>
      </w:pPr>
    </w:p>
    <w:p w14:paraId="65555F62" w14:textId="77777777" w:rsidR="0040219A" w:rsidRDefault="0040219A" w:rsidP="00AF69D0">
      <w:pPr>
        <w:suppressAutoHyphens/>
        <w:spacing w:after="0" w:line="276" w:lineRule="auto"/>
        <w:jc w:val="both"/>
      </w:pPr>
    </w:p>
    <w:p w14:paraId="3654431C" w14:textId="77777777" w:rsidR="0040219A" w:rsidRPr="00C56601" w:rsidRDefault="0040219A" w:rsidP="00AF69D0">
      <w:pPr>
        <w:suppressAutoHyphens/>
        <w:spacing w:after="0" w:line="276" w:lineRule="auto"/>
        <w:jc w:val="both"/>
      </w:pPr>
    </w:p>
    <w:p w14:paraId="7ED0ABBA" w14:textId="7C28CA01" w:rsidR="00BF2297" w:rsidRPr="00246BD3" w:rsidRDefault="00BF2297" w:rsidP="00EC12B4">
      <w:pPr>
        <w:rPr>
          <w:b/>
          <w:bCs/>
          <w:color w:val="0070C0"/>
          <w:sz w:val="24"/>
          <w:szCs w:val="24"/>
        </w:rPr>
      </w:pPr>
      <w:r w:rsidRPr="00246BD3">
        <w:rPr>
          <w:b/>
          <w:bCs/>
          <w:color w:val="0070C0"/>
          <w:sz w:val="24"/>
          <w:szCs w:val="24"/>
        </w:rPr>
        <w:t>References</w:t>
      </w:r>
    </w:p>
    <w:p w14:paraId="7F26E948" w14:textId="77777777" w:rsidR="006345A7" w:rsidRPr="00C56601" w:rsidRDefault="006345A7" w:rsidP="00EC12B4">
      <w:pPr>
        <w:ind w:left="720" w:hanging="720"/>
      </w:pPr>
    </w:p>
    <w:p w14:paraId="639CD98E" w14:textId="77777777" w:rsidR="004849C5" w:rsidRDefault="004849C5" w:rsidP="00EC12B4">
      <w:pPr>
        <w:ind w:left="720" w:hanging="720"/>
      </w:pPr>
      <w:r w:rsidRPr="00C56601">
        <w:t xml:space="preserve">Abidoye, B., Felix, J., </w:t>
      </w:r>
      <w:proofErr w:type="spellStart"/>
      <w:r w:rsidRPr="00C56601">
        <w:t>Kapto</w:t>
      </w:r>
      <w:proofErr w:type="spellEnd"/>
      <w:r w:rsidRPr="00C56601">
        <w:t xml:space="preserve">, S. &amp; Patterson, L. (2021). </w:t>
      </w:r>
      <w:hyperlink r:id="rId63" w:history="1">
        <w:r w:rsidRPr="00946806">
          <w:rPr>
            <w:rStyle w:val="Hyperlink"/>
          </w:rPr>
          <w:t>Leaving No One Behind: Impact of COVID-19 on the Sustainable Development Goals (SDGs)</w:t>
        </w:r>
      </w:hyperlink>
      <w:r w:rsidRPr="00C56601">
        <w:t xml:space="preserve">. New York, </w:t>
      </w:r>
      <w:proofErr w:type="gramStart"/>
      <w:r w:rsidRPr="00C56601">
        <w:t>NY</w:t>
      </w:r>
      <w:proofErr w:type="gramEnd"/>
      <w:r w:rsidRPr="00C56601">
        <w:t xml:space="preserve"> and Denver CO: United Nations Development Programme and Frederick S. Pardee </w:t>
      </w:r>
      <w:proofErr w:type="spellStart"/>
      <w:r w:rsidRPr="00C56601">
        <w:t>Center</w:t>
      </w:r>
      <w:proofErr w:type="spellEnd"/>
      <w:r w:rsidRPr="00C56601">
        <w:t xml:space="preserve"> for International Futures.</w:t>
      </w:r>
    </w:p>
    <w:p w14:paraId="1352FD3F" w14:textId="77777777" w:rsidR="004849C5" w:rsidRPr="00C56601" w:rsidDel="006345A7" w:rsidRDefault="004849C5" w:rsidP="00EC12B4">
      <w:pPr>
        <w:ind w:left="720" w:hanging="720"/>
      </w:pPr>
      <w:r>
        <w:t xml:space="preserve">Global EY. Why Sustainable Development Goals Should Be in Your Business </w:t>
      </w:r>
      <w:proofErr w:type="gramStart"/>
      <w:r>
        <w:t>Plan[</w:t>
      </w:r>
      <w:proofErr w:type="gramEnd"/>
      <w:r>
        <w:t>EB/OL]. (2017-3-9). http://www.ey.com/en_kw/assurance/why-sustainable-development-goals-should-be-in-your-business-plan.</w:t>
      </w:r>
    </w:p>
    <w:p w14:paraId="71CA1980" w14:textId="77777777" w:rsidR="004849C5" w:rsidRDefault="004849C5">
      <w:pPr>
        <w:ind w:left="720" w:hanging="720"/>
      </w:pPr>
      <w:r>
        <w:t xml:space="preserve">ICMA (2018) </w:t>
      </w:r>
      <w:hyperlink r:id="rId64" w:history="1">
        <w:r w:rsidRPr="003F1522">
          <w:rPr>
            <w:rStyle w:val="Hyperlink"/>
            <w:i/>
            <w:iCs/>
          </w:rPr>
          <w:t>Green Bond Principles: Voluntary Process Guidelines for Issuing Green Bonds</w:t>
        </w:r>
      </w:hyperlink>
      <w:r>
        <w:rPr>
          <w:i/>
          <w:iCs/>
        </w:rPr>
        <w:t xml:space="preserve">. </w:t>
      </w:r>
      <w:r>
        <w:t>June 2018. The International Capital Market Association.</w:t>
      </w:r>
    </w:p>
    <w:p w14:paraId="71412581" w14:textId="77777777" w:rsidR="004849C5" w:rsidRDefault="004849C5">
      <w:pPr>
        <w:ind w:left="720" w:hanging="720"/>
      </w:pPr>
      <w:r w:rsidRPr="005731A9">
        <w:t xml:space="preserve">Sachs, J.D., </w:t>
      </w:r>
      <w:proofErr w:type="spellStart"/>
      <w:r w:rsidRPr="005731A9">
        <w:t>Lafortune</w:t>
      </w:r>
      <w:proofErr w:type="spellEnd"/>
      <w:r w:rsidRPr="005731A9">
        <w:t xml:space="preserve">, G., Fuller, G., Drumm, E. (2023). </w:t>
      </w:r>
      <w:hyperlink r:id="rId65" w:history="1">
        <w:r w:rsidRPr="00946806">
          <w:rPr>
            <w:rStyle w:val="Hyperlink"/>
          </w:rPr>
          <w:t>Implementing the SDG Stimulus. Sustainable Development Report 2023</w:t>
        </w:r>
      </w:hyperlink>
      <w:r w:rsidRPr="005731A9">
        <w:t>. Paris: SDSN, Dublin: Dublin University Press, 2023. 10.25546/102924</w:t>
      </w:r>
      <w:r w:rsidRPr="00C56601" w:rsidDel="00946806">
        <w:t xml:space="preserve">Sachs, J., </w:t>
      </w:r>
      <w:proofErr w:type="spellStart"/>
      <w:r w:rsidRPr="00C56601" w:rsidDel="00946806">
        <w:t>Lafortune</w:t>
      </w:r>
      <w:proofErr w:type="spellEnd"/>
      <w:r w:rsidRPr="00C56601" w:rsidDel="00946806">
        <w:t>, G., Kroll, C., Fuller, G., Woelm, F., (2022)</w:t>
      </w:r>
      <w:proofErr w:type="gramStart"/>
      <w:r w:rsidRPr="00C56601" w:rsidDel="00946806">
        <w:t xml:space="preserve">. </w:t>
      </w:r>
      <w:r w:rsidRPr="00C56601">
        <w:t>.</w:t>
      </w:r>
      <w:proofErr w:type="gramEnd"/>
      <w:r w:rsidRPr="00C56601" w:rsidDel="00946806">
        <w:t xml:space="preserve"> Cambridge: Cambridge University Press.</w:t>
      </w:r>
    </w:p>
    <w:p w14:paraId="6B48B62E" w14:textId="77777777" w:rsidR="004849C5" w:rsidRPr="00EC12B4" w:rsidRDefault="004849C5" w:rsidP="00EC12B4">
      <w:pPr>
        <w:ind w:left="720" w:hanging="720"/>
      </w:pPr>
      <w:r>
        <w:t xml:space="preserve">UNDP (2020) </w:t>
      </w:r>
      <w:hyperlink r:id="rId66" w:history="1">
        <w:r w:rsidRPr="00EC12B4">
          <w:rPr>
            <w:rStyle w:val="Hyperlink"/>
            <w:i/>
            <w:iCs/>
          </w:rPr>
          <w:t>Technical Report on SDG Finance Taxonomy</w:t>
        </w:r>
      </w:hyperlink>
      <w:r>
        <w:rPr>
          <w:i/>
          <w:iCs/>
        </w:rPr>
        <w:t xml:space="preserve"> (China)</w:t>
      </w:r>
      <w:r w:rsidRPr="00EC12B4">
        <w:t xml:space="preserve">. </w:t>
      </w:r>
      <w:r>
        <w:t>June 1</w:t>
      </w:r>
      <w:r w:rsidRPr="00592E0C">
        <w:t>st</w:t>
      </w:r>
      <w:r>
        <w:t>, 2020. United National Development Programme.</w:t>
      </w:r>
    </w:p>
    <w:p w14:paraId="5F81E757" w14:textId="77777777" w:rsidR="004849C5" w:rsidRPr="005731A9" w:rsidRDefault="004849C5" w:rsidP="00EC12B4">
      <w:pPr>
        <w:ind w:left="720" w:hanging="720"/>
      </w:pPr>
      <w:r>
        <w:t xml:space="preserve">UNDP (2021) </w:t>
      </w:r>
      <w:hyperlink r:id="rId67" w:history="1">
        <w:r w:rsidRPr="005731A9">
          <w:rPr>
            <w:rStyle w:val="Hyperlink"/>
            <w:i/>
            <w:iCs/>
          </w:rPr>
          <w:t>SDG Financing Landscape in North Macedonia</w:t>
        </w:r>
      </w:hyperlink>
      <w:r>
        <w:t>. Skopje: UNDP Country Office.</w:t>
      </w:r>
    </w:p>
    <w:p w14:paraId="1594CC59" w14:textId="77777777" w:rsidR="004849C5" w:rsidRDefault="004849C5" w:rsidP="00EC12B4">
      <w:pPr>
        <w:ind w:left="720" w:hanging="720"/>
      </w:pPr>
      <w:r>
        <w:t xml:space="preserve">UNDP (2022a) </w:t>
      </w:r>
      <w:hyperlink r:id="rId68" w:history="1">
        <w:r w:rsidRPr="00733308">
          <w:rPr>
            <w:rStyle w:val="Hyperlink"/>
          </w:rPr>
          <w:t>Budgeting for the SDGs - A Modular Handbook</w:t>
        </w:r>
      </w:hyperlink>
      <w:r>
        <w:t xml:space="preserve">. New York: </w:t>
      </w:r>
      <w:r w:rsidRPr="00BF6A72">
        <w:t>United Nations Development Programme</w:t>
      </w:r>
      <w:r>
        <w:t>.</w:t>
      </w:r>
    </w:p>
    <w:p w14:paraId="087040B6" w14:textId="77777777" w:rsidR="004849C5" w:rsidRDefault="004849C5" w:rsidP="00BF6A72">
      <w:pPr>
        <w:ind w:left="720" w:hanging="720"/>
      </w:pPr>
      <w:r>
        <w:t xml:space="preserve">UNDP (2022b) </w:t>
      </w:r>
      <w:hyperlink r:id="rId69" w:history="1">
        <w:r w:rsidRPr="00BF6A72">
          <w:rPr>
            <w:rStyle w:val="Hyperlink"/>
          </w:rPr>
          <w:t>Budgeting for the SDGs – Origins and Practices</w:t>
        </w:r>
      </w:hyperlink>
      <w:r>
        <w:t xml:space="preserve">. New York: </w:t>
      </w:r>
      <w:r w:rsidRPr="00BF6A72">
        <w:t>United Nations Development Programme</w:t>
      </w:r>
      <w:r>
        <w:t>.</w:t>
      </w:r>
    </w:p>
    <w:p w14:paraId="556F3971" w14:textId="77777777" w:rsidR="004849C5" w:rsidRPr="005731A9" w:rsidRDefault="004849C5" w:rsidP="00EC12B4">
      <w:pPr>
        <w:spacing w:line="276" w:lineRule="auto"/>
        <w:ind w:left="720" w:hanging="720"/>
        <w:jc w:val="both"/>
      </w:pPr>
      <w:r>
        <w:t xml:space="preserve">UNDP (2023) </w:t>
      </w:r>
      <w:r w:rsidRPr="005731A9">
        <w:rPr>
          <w:i/>
          <w:iCs/>
        </w:rPr>
        <w:t>UNDP Tax for SDGs (Sustainable Development Goals) Initiative Offer on Taxation and Health</w:t>
      </w:r>
      <w:r>
        <w:t>, mimeo.</w:t>
      </w:r>
    </w:p>
    <w:p w14:paraId="26FB8E27" w14:textId="77777777" w:rsidR="004849C5" w:rsidRDefault="004849C5" w:rsidP="00EC12B4">
      <w:pPr>
        <w:ind w:left="720" w:hanging="720"/>
      </w:pPr>
      <w:r>
        <w:t xml:space="preserve">United Nations (2023) </w:t>
      </w:r>
      <w:hyperlink r:id="rId70" w:history="1">
        <w:r w:rsidRPr="005731A9">
          <w:rPr>
            <w:rStyle w:val="Hyperlink"/>
            <w:i/>
            <w:iCs/>
          </w:rPr>
          <w:t>The Sustainable Development Goals Report</w:t>
        </w:r>
        <w:r w:rsidRPr="00946806">
          <w:rPr>
            <w:rStyle w:val="Hyperlink"/>
            <w:i/>
            <w:iCs/>
          </w:rPr>
          <w:t xml:space="preserve"> 2023</w:t>
        </w:r>
      </w:hyperlink>
      <w:r>
        <w:rPr>
          <w:i/>
          <w:iCs/>
        </w:rPr>
        <w:t xml:space="preserve">. </w:t>
      </w:r>
      <w:r>
        <w:t>Special Edition. New York: United Nations.</w:t>
      </w:r>
    </w:p>
    <w:p w14:paraId="1B892970" w14:textId="77777777" w:rsidR="004849C5" w:rsidRPr="00946806" w:rsidRDefault="004849C5" w:rsidP="00EC12B4">
      <w:pPr>
        <w:ind w:left="720" w:hanging="720"/>
      </w:pPr>
      <w:r>
        <w:lastRenderedPageBreak/>
        <w:t xml:space="preserve">VNR (2019) </w:t>
      </w:r>
      <w:hyperlink r:id="rId71" w:history="1">
        <w:r w:rsidRPr="006345A7">
          <w:rPr>
            <w:rStyle w:val="Hyperlink"/>
          </w:rPr>
          <w:t>Towards Equality of Sustainable Opportunities for Everyone and Everywhere in Serbia Through Growing into Sustainability</w:t>
        </w:r>
      </w:hyperlink>
      <w:r>
        <w:t xml:space="preserve">. Voluntary National Review for Serbia. Voluntary National Review </w:t>
      </w:r>
      <w:proofErr w:type="gramStart"/>
      <w:r>
        <w:t>Of</w:t>
      </w:r>
      <w:proofErr w:type="gramEnd"/>
      <w:r>
        <w:t xml:space="preserve"> The Republic Of Serbia On The Implementation of The 2030 Agenda for Sustainable Development.</w:t>
      </w:r>
    </w:p>
    <w:p w14:paraId="78077B29" w14:textId="77777777" w:rsidR="004849C5" w:rsidRDefault="004849C5" w:rsidP="00EC12B4">
      <w:pPr>
        <w:ind w:left="720" w:hanging="720"/>
      </w:pPr>
      <w:r>
        <w:t xml:space="preserve">WHO (2023) </w:t>
      </w:r>
      <w:hyperlink r:id="rId72" w:history="1">
        <w:r w:rsidRPr="009F76BE">
          <w:rPr>
            <w:rStyle w:val="Hyperlink"/>
            <w:i/>
            <w:iCs/>
          </w:rPr>
          <w:t>New study points to solutions for quitting tobacco in North Macedonia</w:t>
        </w:r>
      </w:hyperlink>
      <w:r>
        <w:rPr>
          <w:i/>
          <w:iCs/>
        </w:rPr>
        <w:t xml:space="preserve">. </w:t>
      </w:r>
      <w:r>
        <w:t>World Health Organization.</w:t>
      </w:r>
    </w:p>
    <w:p w14:paraId="520CCD0E" w14:textId="77777777" w:rsidR="004849C5" w:rsidRPr="00B55498" w:rsidRDefault="004849C5" w:rsidP="00B55498">
      <w:pPr>
        <w:ind w:left="720" w:hanging="720"/>
        <w:rPr>
          <w:i/>
          <w:iCs/>
        </w:rPr>
      </w:pPr>
      <w:r>
        <w:t xml:space="preserve">World Bank (2022) </w:t>
      </w:r>
      <w:hyperlink r:id="rId73" w:history="1">
        <w:r w:rsidRPr="00647FD8">
          <w:rPr>
            <w:rStyle w:val="Hyperlink"/>
            <w:i/>
            <w:iCs/>
          </w:rPr>
          <w:t>Kazakhstan MSME Financing, Digitalization, and Greening for Sustained Productivity (P174995)</w:t>
        </w:r>
      </w:hyperlink>
      <w:r>
        <w:t>. World Bank Project Information Document.</w:t>
      </w:r>
    </w:p>
    <w:sectPr w:rsidR="004849C5" w:rsidRPr="00B55498" w:rsidSect="00446B3A">
      <w:footerReference w:type="default" r:id="rId74"/>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00344A" w14:textId="77777777" w:rsidR="00446B3A" w:rsidRDefault="00446B3A" w:rsidP="00AF16D3">
      <w:pPr>
        <w:spacing w:after="0" w:line="240" w:lineRule="auto"/>
      </w:pPr>
      <w:r>
        <w:separator/>
      </w:r>
    </w:p>
  </w:endnote>
  <w:endnote w:type="continuationSeparator" w:id="0">
    <w:p w14:paraId="7CE9F69E" w14:textId="77777777" w:rsidR="00446B3A" w:rsidRDefault="00446B3A" w:rsidP="00AF16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27578218"/>
      <w:docPartObj>
        <w:docPartGallery w:val="Page Numbers (Bottom of Page)"/>
        <w:docPartUnique/>
      </w:docPartObj>
    </w:sdtPr>
    <w:sdtEndPr>
      <w:rPr>
        <w:noProof/>
      </w:rPr>
    </w:sdtEndPr>
    <w:sdtContent>
      <w:p w14:paraId="1B94C985" w14:textId="59D737B8" w:rsidR="00BC7FBE" w:rsidRDefault="00BC7FBE">
        <w:pPr>
          <w:pStyle w:val="Footer"/>
          <w:jc w:val="right"/>
        </w:pPr>
        <w:r w:rsidRPr="001D5700">
          <w:rPr>
            <w:sz w:val="18"/>
            <w:szCs w:val="18"/>
          </w:rPr>
          <w:fldChar w:fldCharType="begin"/>
        </w:r>
        <w:r w:rsidRPr="001D5700">
          <w:rPr>
            <w:sz w:val="18"/>
            <w:szCs w:val="18"/>
          </w:rPr>
          <w:instrText xml:space="preserve"> PAGE   \* MERGEFORMAT </w:instrText>
        </w:r>
        <w:r w:rsidRPr="001D5700">
          <w:rPr>
            <w:sz w:val="18"/>
            <w:szCs w:val="18"/>
          </w:rPr>
          <w:fldChar w:fldCharType="separate"/>
        </w:r>
        <w:r w:rsidRPr="001D5700">
          <w:rPr>
            <w:noProof/>
            <w:sz w:val="18"/>
            <w:szCs w:val="18"/>
          </w:rPr>
          <w:t>2</w:t>
        </w:r>
        <w:r w:rsidRPr="001D5700">
          <w:rPr>
            <w:noProof/>
            <w:sz w:val="18"/>
            <w:szCs w:val="18"/>
          </w:rPr>
          <w:fldChar w:fldCharType="end"/>
        </w:r>
      </w:p>
    </w:sdtContent>
  </w:sdt>
  <w:p w14:paraId="2B6AAB36" w14:textId="77777777" w:rsidR="00BC7FBE" w:rsidRDefault="00BC7FB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60CC49" w14:textId="77777777" w:rsidR="00446B3A" w:rsidRDefault="00446B3A" w:rsidP="00AF16D3">
      <w:pPr>
        <w:spacing w:after="0" w:line="240" w:lineRule="auto"/>
      </w:pPr>
      <w:r>
        <w:separator/>
      </w:r>
    </w:p>
  </w:footnote>
  <w:footnote w:type="continuationSeparator" w:id="0">
    <w:p w14:paraId="3E2BDF99" w14:textId="77777777" w:rsidR="00446B3A" w:rsidRDefault="00446B3A" w:rsidP="00AF16D3">
      <w:pPr>
        <w:spacing w:after="0" w:line="240" w:lineRule="auto"/>
      </w:pPr>
      <w:r>
        <w:continuationSeparator/>
      </w:r>
    </w:p>
  </w:footnote>
  <w:footnote w:id="1">
    <w:p w14:paraId="12D4800D" w14:textId="4F1AD012" w:rsidR="00414591" w:rsidRPr="00414591" w:rsidRDefault="00414591" w:rsidP="00414591">
      <w:pPr>
        <w:pStyle w:val="FootnoteText"/>
        <w:jc w:val="both"/>
        <w:rPr>
          <w:lang w:val="en-US"/>
        </w:rPr>
      </w:pPr>
      <w:r>
        <w:rPr>
          <w:rStyle w:val="FootnoteReference"/>
        </w:rPr>
        <w:footnoteRef/>
      </w:r>
      <w:r>
        <w:t xml:space="preserve"> </w:t>
      </w:r>
      <w:r w:rsidR="00EF4F09">
        <w:t>When</w:t>
      </w:r>
      <w:r>
        <w:rPr>
          <w:lang w:val="en-US"/>
        </w:rPr>
        <w:t xml:space="preserve"> scheduling a </w:t>
      </w:r>
      <w:r w:rsidR="00EF4F09">
        <w:rPr>
          <w:lang w:val="en-US"/>
        </w:rPr>
        <w:t xml:space="preserve">coordination </w:t>
      </w:r>
      <w:r>
        <w:rPr>
          <w:lang w:val="en-US"/>
        </w:rPr>
        <w:t>meeting</w:t>
      </w:r>
      <w:r w:rsidR="00EF4F09">
        <w:rPr>
          <w:lang w:val="en-US"/>
        </w:rPr>
        <w:t xml:space="preserve"> between the UNDP team and </w:t>
      </w:r>
      <w:r>
        <w:rPr>
          <w:lang w:val="en-US"/>
        </w:rPr>
        <w:t>one key institution, the contact person required an explanation what the Sustainable Development Goals are.</w:t>
      </w:r>
    </w:p>
  </w:footnote>
  <w:footnote w:id="2">
    <w:p w14:paraId="28DFC82A" w14:textId="77777777" w:rsidR="005063A4" w:rsidRPr="005B4941" w:rsidRDefault="005063A4" w:rsidP="005063A4">
      <w:pPr>
        <w:pStyle w:val="FootnoteText"/>
        <w:jc w:val="both"/>
        <w:rPr>
          <w:lang w:val="en-US"/>
        </w:rPr>
      </w:pPr>
      <w:r>
        <w:rPr>
          <w:rStyle w:val="FootnoteReference"/>
        </w:rPr>
        <w:footnoteRef/>
      </w:r>
      <w:r>
        <w:t xml:space="preserve"> </w:t>
      </w:r>
      <w:r w:rsidRPr="005B4941">
        <w:t xml:space="preserve">According to the World Bank, </w:t>
      </w:r>
      <w:r>
        <w:t xml:space="preserve">the </w:t>
      </w:r>
      <w:r w:rsidRPr="005B4941">
        <w:t xml:space="preserve">"green" </w:t>
      </w:r>
      <w:r>
        <w:t xml:space="preserve">loan is </w:t>
      </w:r>
      <w:r w:rsidRPr="005B4941">
        <w:t xml:space="preserve">a financing method that allows the borrower to invest exclusively in projects with a significant positive contribution to the environment and in projects that contribute to reducing the negative effects of climate change. </w:t>
      </w:r>
      <w:r>
        <w:t xml:space="preserve">Green loans </w:t>
      </w:r>
      <w:r w:rsidRPr="005B4941">
        <w:t>aim to (</w:t>
      </w:r>
      <w:proofErr w:type="spellStart"/>
      <w:r w:rsidRPr="005B4941">
        <w:t>i</w:t>
      </w:r>
      <w:proofErr w:type="spellEnd"/>
      <w:r w:rsidRPr="005B4941">
        <w:t xml:space="preserve">) improve the energy efficiency of households and the corporate sector; (ii) support investments in green technologies, </w:t>
      </w:r>
      <w:proofErr w:type="gramStart"/>
      <w:r w:rsidRPr="005B4941">
        <w:t>materials</w:t>
      </w:r>
      <w:proofErr w:type="gramEnd"/>
      <w:r w:rsidRPr="005B4941">
        <w:t xml:space="preserve"> and solutions; (iii) support investments in renewable energy sources, pollution control and prevention, environmental protection, </w:t>
      </w:r>
      <w:r>
        <w:t>reduction of</w:t>
      </w:r>
      <w:r w:rsidRPr="005B4941">
        <w:t xml:space="preserve"> the risks of climate change, etc.</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76E4D"/>
    <w:multiLevelType w:val="multilevel"/>
    <w:tmpl w:val="41AA993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02122E11"/>
    <w:multiLevelType w:val="hybridMultilevel"/>
    <w:tmpl w:val="1FF098A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364F99"/>
    <w:multiLevelType w:val="hybridMultilevel"/>
    <w:tmpl w:val="B9FC7F4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38F351C"/>
    <w:multiLevelType w:val="multilevel"/>
    <w:tmpl w:val="7E62E5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5106D10"/>
    <w:multiLevelType w:val="hybridMultilevel"/>
    <w:tmpl w:val="B1325294"/>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06AD45D5"/>
    <w:multiLevelType w:val="multilevel"/>
    <w:tmpl w:val="41AA993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09EF59D6"/>
    <w:multiLevelType w:val="multilevel"/>
    <w:tmpl w:val="5C965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C0419FF"/>
    <w:multiLevelType w:val="multilevel"/>
    <w:tmpl w:val="41AA993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0FD62E5B"/>
    <w:multiLevelType w:val="multilevel"/>
    <w:tmpl w:val="41AA993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129512A3"/>
    <w:multiLevelType w:val="multilevel"/>
    <w:tmpl w:val="41AA993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15FC1D6C"/>
    <w:multiLevelType w:val="hybridMultilevel"/>
    <w:tmpl w:val="03E6E46C"/>
    <w:lvl w:ilvl="0" w:tplc="922E8BC8">
      <w:start w:val="1"/>
      <w:numFmt w:val="bullet"/>
      <w:lvlText w:val="•"/>
      <w:lvlJc w:val="left"/>
      <w:pPr>
        <w:tabs>
          <w:tab w:val="num" w:pos="720"/>
        </w:tabs>
        <w:ind w:left="720" w:hanging="360"/>
      </w:pPr>
      <w:rPr>
        <w:rFonts w:ascii="Arial" w:hAnsi="Arial" w:hint="default"/>
      </w:rPr>
    </w:lvl>
    <w:lvl w:ilvl="1" w:tplc="038080A4" w:tentative="1">
      <w:start w:val="1"/>
      <w:numFmt w:val="bullet"/>
      <w:lvlText w:val="•"/>
      <w:lvlJc w:val="left"/>
      <w:pPr>
        <w:tabs>
          <w:tab w:val="num" w:pos="1440"/>
        </w:tabs>
        <w:ind w:left="1440" w:hanging="360"/>
      </w:pPr>
      <w:rPr>
        <w:rFonts w:ascii="Arial" w:hAnsi="Arial" w:hint="default"/>
      </w:rPr>
    </w:lvl>
    <w:lvl w:ilvl="2" w:tplc="AF640366" w:tentative="1">
      <w:start w:val="1"/>
      <w:numFmt w:val="bullet"/>
      <w:lvlText w:val="•"/>
      <w:lvlJc w:val="left"/>
      <w:pPr>
        <w:tabs>
          <w:tab w:val="num" w:pos="2160"/>
        </w:tabs>
        <w:ind w:left="2160" w:hanging="360"/>
      </w:pPr>
      <w:rPr>
        <w:rFonts w:ascii="Arial" w:hAnsi="Arial" w:hint="default"/>
      </w:rPr>
    </w:lvl>
    <w:lvl w:ilvl="3" w:tplc="DF14ABA2" w:tentative="1">
      <w:start w:val="1"/>
      <w:numFmt w:val="bullet"/>
      <w:lvlText w:val="•"/>
      <w:lvlJc w:val="left"/>
      <w:pPr>
        <w:tabs>
          <w:tab w:val="num" w:pos="2880"/>
        </w:tabs>
        <w:ind w:left="2880" w:hanging="360"/>
      </w:pPr>
      <w:rPr>
        <w:rFonts w:ascii="Arial" w:hAnsi="Arial" w:hint="default"/>
      </w:rPr>
    </w:lvl>
    <w:lvl w:ilvl="4" w:tplc="DB96CA90" w:tentative="1">
      <w:start w:val="1"/>
      <w:numFmt w:val="bullet"/>
      <w:lvlText w:val="•"/>
      <w:lvlJc w:val="left"/>
      <w:pPr>
        <w:tabs>
          <w:tab w:val="num" w:pos="3600"/>
        </w:tabs>
        <w:ind w:left="3600" w:hanging="360"/>
      </w:pPr>
      <w:rPr>
        <w:rFonts w:ascii="Arial" w:hAnsi="Arial" w:hint="default"/>
      </w:rPr>
    </w:lvl>
    <w:lvl w:ilvl="5" w:tplc="B308A620" w:tentative="1">
      <w:start w:val="1"/>
      <w:numFmt w:val="bullet"/>
      <w:lvlText w:val="•"/>
      <w:lvlJc w:val="left"/>
      <w:pPr>
        <w:tabs>
          <w:tab w:val="num" w:pos="4320"/>
        </w:tabs>
        <w:ind w:left="4320" w:hanging="360"/>
      </w:pPr>
      <w:rPr>
        <w:rFonts w:ascii="Arial" w:hAnsi="Arial" w:hint="default"/>
      </w:rPr>
    </w:lvl>
    <w:lvl w:ilvl="6" w:tplc="8ACE7EFE" w:tentative="1">
      <w:start w:val="1"/>
      <w:numFmt w:val="bullet"/>
      <w:lvlText w:val="•"/>
      <w:lvlJc w:val="left"/>
      <w:pPr>
        <w:tabs>
          <w:tab w:val="num" w:pos="5040"/>
        </w:tabs>
        <w:ind w:left="5040" w:hanging="360"/>
      </w:pPr>
      <w:rPr>
        <w:rFonts w:ascii="Arial" w:hAnsi="Arial" w:hint="default"/>
      </w:rPr>
    </w:lvl>
    <w:lvl w:ilvl="7" w:tplc="47168B68" w:tentative="1">
      <w:start w:val="1"/>
      <w:numFmt w:val="bullet"/>
      <w:lvlText w:val="•"/>
      <w:lvlJc w:val="left"/>
      <w:pPr>
        <w:tabs>
          <w:tab w:val="num" w:pos="5760"/>
        </w:tabs>
        <w:ind w:left="5760" w:hanging="360"/>
      </w:pPr>
      <w:rPr>
        <w:rFonts w:ascii="Arial" w:hAnsi="Arial" w:hint="default"/>
      </w:rPr>
    </w:lvl>
    <w:lvl w:ilvl="8" w:tplc="8C922A7E"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1D783A64"/>
    <w:multiLevelType w:val="multilevel"/>
    <w:tmpl w:val="41AA993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2" w15:restartNumberingAfterBreak="0">
    <w:nsid w:val="1F9136A7"/>
    <w:multiLevelType w:val="hybridMultilevel"/>
    <w:tmpl w:val="35988106"/>
    <w:lvl w:ilvl="0" w:tplc="FFFFFFFF">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227465DE"/>
    <w:multiLevelType w:val="multilevel"/>
    <w:tmpl w:val="9D565C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3192F32"/>
    <w:multiLevelType w:val="multilevel"/>
    <w:tmpl w:val="41AA993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267061E6"/>
    <w:multiLevelType w:val="hybridMultilevel"/>
    <w:tmpl w:val="710669AA"/>
    <w:lvl w:ilvl="0" w:tplc="B0B0D1A6">
      <w:start w:val="1"/>
      <w:numFmt w:val="decimal"/>
      <w:lvlText w:val="%1."/>
      <w:lvlJc w:val="left"/>
      <w:pPr>
        <w:ind w:left="720" w:hanging="360"/>
      </w:pPr>
      <w:rPr>
        <w:rFonts w:eastAsiaTheme="minorHAnsi" w:hint="default"/>
        <w:color w:val="0000FF"/>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9822CFD"/>
    <w:multiLevelType w:val="hybridMultilevel"/>
    <w:tmpl w:val="1E4C994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D704E65"/>
    <w:multiLevelType w:val="hybridMultilevel"/>
    <w:tmpl w:val="903E0A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FC97C72"/>
    <w:multiLevelType w:val="hybridMultilevel"/>
    <w:tmpl w:val="E892AA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2121121"/>
    <w:multiLevelType w:val="multilevel"/>
    <w:tmpl w:val="41AA993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33300744"/>
    <w:multiLevelType w:val="multilevel"/>
    <w:tmpl w:val="41AA993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39396D21"/>
    <w:multiLevelType w:val="hybridMultilevel"/>
    <w:tmpl w:val="D3F039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97E4B62"/>
    <w:multiLevelType w:val="hybridMultilevel"/>
    <w:tmpl w:val="42AE7B56"/>
    <w:lvl w:ilvl="0" w:tplc="DD26789A">
      <w:start w:val="1"/>
      <w:numFmt w:val="bullet"/>
      <w:lvlText w:val="-"/>
      <w:lvlJc w:val="left"/>
      <w:pPr>
        <w:ind w:left="720" w:hanging="360"/>
      </w:pPr>
      <w:rPr>
        <w:rFonts w:ascii="Calibri Light" w:eastAsiaTheme="minorHAnsi" w:hAnsi="Calibri Light" w:cs="Calibri Light"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D0A58D6"/>
    <w:multiLevelType w:val="hybridMultilevel"/>
    <w:tmpl w:val="9E5A4F72"/>
    <w:lvl w:ilvl="0" w:tplc="7A12A50E">
      <w:start w:val="1"/>
      <w:numFmt w:val="decimal"/>
      <w:lvlText w:val="(%1)"/>
      <w:lvlJc w:val="left"/>
      <w:pPr>
        <w:ind w:left="756" w:hanging="396"/>
      </w:pPr>
      <w:rPr>
        <w:rFonts w:hint="default"/>
        <w:b/>
        <w:color w:val="276DBB" w:themeColor="text2" w:themeTint="B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D133384"/>
    <w:multiLevelType w:val="hybridMultilevel"/>
    <w:tmpl w:val="F3F48448"/>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0AB2121"/>
    <w:multiLevelType w:val="hybridMultilevel"/>
    <w:tmpl w:val="42C04C40"/>
    <w:lvl w:ilvl="0" w:tplc="D48467C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3D33547"/>
    <w:multiLevelType w:val="multilevel"/>
    <w:tmpl w:val="57E8E6A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7" w15:restartNumberingAfterBreak="0">
    <w:nsid w:val="49E652AC"/>
    <w:multiLevelType w:val="multilevel"/>
    <w:tmpl w:val="41AA993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4B122950"/>
    <w:multiLevelType w:val="multilevel"/>
    <w:tmpl w:val="57E8E6A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9" w15:restartNumberingAfterBreak="0">
    <w:nsid w:val="4B4C5566"/>
    <w:multiLevelType w:val="multilevel"/>
    <w:tmpl w:val="41AA993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0" w15:restartNumberingAfterBreak="0">
    <w:nsid w:val="4C5E75CF"/>
    <w:multiLevelType w:val="hybridMultilevel"/>
    <w:tmpl w:val="AA8655B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4CA76694"/>
    <w:multiLevelType w:val="multilevel"/>
    <w:tmpl w:val="57E8E6A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2" w15:restartNumberingAfterBreak="0">
    <w:nsid w:val="4D4F15B4"/>
    <w:multiLevelType w:val="multilevel"/>
    <w:tmpl w:val="41AA993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3" w15:restartNumberingAfterBreak="0">
    <w:nsid w:val="53EE20C8"/>
    <w:multiLevelType w:val="hybridMultilevel"/>
    <w:tmpl w:val="9CFA9B3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86D15FA"/>
    <w:multiLevelType w:val="multilevel"/>
    <w:tmpl w:val="41AA993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5" w15:restartNumberingAfterBreak="0">
    <w:nsid w:val="58797044"/>
    <w:multiLevelType w:val="hybridMultilevel"/>
    <w:tmpl w:val="3FAAD72E"/>
    <w:lvl w:ilvl="0" w:tplc="F2D6AC6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A192843"/>
    <w:multiLevelType w:val="hybridMultilevel"/>
    <w:tmpl w:val="AB7EAC3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AAE1C9D"/>
    <w:multiLevelType w:val="multilevel"/>
    <w:tmpl w:val="41AA993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8" w15:restartNumberingAfterBreak="0">
    <w:nsid w:val="67BC5DED"/>
    <w:multiLevelType w:val="multilevel"/>
    <w:tmpl w:val="1CE6FB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C3C0E4B"/>
    <w:multiLevelType w:val="hybridMultilevel"/>
    <w:tmpl w:val="29980A26"/>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0CD2625"/>
    <w:multiLevelType w:val="multilevel"/>
    <w:tmpl w:val="41AA993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1" w15:restartNumberingAfterBreak="0">
    <w:nsid w:val="71B90E70"/>
    <w:multiLevelType w:val="multilevel"/>
    <w:tmpl w:val="27427B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1EE1817"/>
    <w:multiLevelType w:val="hybridMultilevel"/>
    <w:tmpl w:val="687005EE"/>
    <w:lvl w:ilvl="0" w:tplc="A32A1C26">
      <w:numFmt w:val="bullet"/>
      <w:lvlText w:val="-"/>
      <w:lvlJc w:val="left"/>
      <w:pPr>
        <w:ind w:left="1080" w:hanging="360"/>
      </w:pPr>
      <w:rPr>
        <w:rFonts w:ascii="Calibri Light" w:eastAsiaTheme="minorHAnsi" w:hAnsi="Calibri Light" w:cs="Calibri Light"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15:restartNumberingAfterBreak="0">
    <w:nsid w:val="72D94F46"/>
    <w:multiLevelType w:val="multilevel"/>
    <w:tmpl w:val="41AA993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4" w15:restartNumberingAfterBreak="0">
    <w:nsid w:val="752A2A85"/>
    <w:multiLevelType w:val="hybridMultilevel"/>
    <w:tmpl w:val="B226E03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5ED5B0F"/>
    <w:multiLevelType w:val="hybridMultilevel"/>
    <w:tmpl w:val="31223906"/>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9464065"/>
    <w:multiLevelType w:val="multilevel"/>
    <w:tmpl w:val="41AA993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7" w15:restartNumberingAfterBreak="0">
    <w:nsid w:val="7BAB1FEC"/>
    <w:multiLevelType w:val="hybridMultilevel"/>
    <w:tmpl w:val="8C7C055E"/>
    <w:lvl w:ilvl="0" w:tplc="75D01FA0">
      <w:numFmt w:val="bullet"/>
      <w:lvlText w:val="-"/>
      <w:lvlJc w:val="left"/>
      <w:pPr>
        <w:ind w:left="720" w:hanging="360"/>
      </w:pPr>
      <w:rPr>
        <w:rFonts w:ascii="Calibri Light" w:eastAsiaTheme="minorHAnsi" w:hAnsi="Calibri Light" w:cs="Calibri Ligh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DC13252"/>
    <w:multiLevelType w:val="multilevel"/>
    <w:tmpl w:val="6E8677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03655791">
    <w:abstractNumId w:val="46"/>
  </w:num>
  <w:num w:numId="2" w16cid:durableId="1287930027">
    <w:abstractNumId w:val="16"/>
  </w:num>
  <w:num w:numId="3" w16cid:durableId="1133869007">
    <w:abstractNumId w:val="11"/>
  </w:num>
  <w:num w:numId="4" w16cid:durableId="1788697932">
    <w:abstractNumId w:val="22"/>
  </w:num>
  <w:num w:numId="5" w16cid:durableId="288049860">
    <w:abstractNumId w:val="2"/>
  </w:num>
  <w:num w:numId="6" w16cid:durableId="947933562">
    <w:abstractNumId w:val="39"/>
  </w:num>
  <w:num w:numId="7" w16cid:durableId="1478300521">
    <w:abstractNumId w:val="33"/>
  </w:num>
  <w:num w:numId="8" w16cid:durableId="1592397243">
    <w:abstractNumId w:val="25"/>
  </w:num>
  <w:num w:numId="9" w16cid:durableId="72703498">
    <w:abstractNumId w:val="44"/>
  </w:num>
  <w:num w:numId="10" w16cid:durableId="1546483065">
    <w:abstractNumId w:val="31"/>
  </w:num>
  <w:num w:numId="11" w16cid:durableId="380397554">
    <w:abstractNumId w:val="28"/>
  </w:num>
  <w:num w:numId="12" w16cid:durableId="2061049934">
    <w:abstractNumId w:val="45"/>
  </w:num>
  <w:num w:numId="13" w16cid:durableId="24407968">
    <w:abstractNumId w:val="17"/>
  </w:num>
  <w:num w:numId="14" w16cid:durableId="837304508">
    <w:abstractNumId w:val="47"/>
  </w:num>
  <w:num w:numId="15" w16cid:durableId="473329185">
    <w:abstractNumId w:val="18"/>
  </w:num>
  <w:num w:numId="16" w16cid:durableId="687020759">
    <w:abstractNumId w:val="42"/>
  </w:num>
  <w:num w:numId="17" w16cid:durableId="1230380164">
    <w:abstractNumId w:val="5"/>
  </w:num>
  <w:num w:numId="18" w16cid:durableId="1109280146">
    <w:abstractNumId w:val="23"/>
  </w:num>
  <w:num w:numId="19" w16cid:durableId="1571187502">
    <w:abstractNumId w:val="4"/>
  </w:num>
  <w:num w:numId="20" w16cid:durableId="636229147">
    <w:abstractNumId w:val="26"/>
  </w:num>
  <w:num w:numId="21" w16cid:durableId="1246498911">
    <w:abstractNumId w:val="24"/>
  </w:num>
  <w:num w:numId="22" w16cid:durableId="1787697116">
    <w:abstractNumId w:val="12"/>
  </w:num>
  <w:num w:numId="23" w16cid:durableId="1099326429">
    <w:abstractNumId w:val="35"/>
  </w:num>
  <w:num w:numId="24" w16cid:durableId="2102220031">
    <w:abstractNumId w:val="38"/>
  </w:num>
  <w:num w:numId="25" w16cid:durableId="904335809">
    <w:abstractNumId w:val="6"/>
  </w:num>
  <w:num w:numId="26" w16cid:durableId="1246644617">
    <w:abstractNumId w:val="34"/>
  </w:num>
  <w:num w:numId="27" w16cid:durableId="1471089286">
    <w:abstractNumId w:val="48"/>
  </w:num>
  <w:num w:numId="28" w16cid:durableId="2139563542">
    <w:abstractNumId w:val="3"/>
  </w:num>
  <w:num w:numId="29" w16cid:durableId="1305043700">
    <w:abstractNumId w:val="41"/>
  </w:num>
  <w:num w:numId="30" w16cid:durableId="397827439">
    <w:abstractNumId w:val="13"/>
  </w:num>
  <w:num w:numId="31" w16cid:durableId="296884240">
    <w:abstractNumId w:val="21"/>
  </w:num>
  <w:num w:numId="32" w16cid:durableId="1188911936">
    <w:abstractNumId w:val="19"/>
  </w:num>
  <w:num w:numId="33" w16cid:durableId="1779176123">
    <w:abstractNumId w:val="29"/>
  </w:num>
  <w:num w:numId="34" w16cid:durableId="847867239">
    <w:abstractNumId w:val="9"/>
  </w:num>
  <w:num w:numId="35" w16cid:durableId="1380133314">
    <w:abstractNumId w:val="32"/>
  </w:num>
  <w:num w:numId="36" w16cid:durableId="80302870">
    <w:abstractNumId w:val="7"/>
  </w:num>
  <w:num w:numId="37" w16cid:durableId="503545261">
    <w:abstractNumId w:val="40"/>
  </w:num>
  <w:num w:numId="38" w16cid:durableId="1742681379">
    <w:abstractNumId w:val="20"/>
  </w:num>
  <w:num w:numId="39" w16cid:durableId="510029447">
    <w:abstractNumId w:val="8"/>
  </w:num>
  <w:num w:numId="40" w16cid:durableId="2029327970">
    <w:abstractNumId w:val="36"/>
  </w:num>
  <w:num w:numId="41" w16cid:durableId="1867324519">
    <w:abstractNumId w:val="30"/>
  </w:num>
  <w:num w:numId="42" w16cid:durableId="1647971632">
    <w:abstractNumId w:val="0"/>
  </w:num>
  <w:num w:numId="43" w16cid:durableId="1019089974">
    <w:abstractNumId w:val="14"/>
  </w:num>
  <w:num w:numId="44" w16cid:durableId="1489248341">
    <w:abstractNumId w:val="1"/>
  </w:num>
  <w:num w:numId="45" w16cid:durableId="1859001227">
    <w:abstractNumId w:val="37"/>
  </w:num>
  <w:num w:numId="46" w16cid:durableId="1029525140">
    <w:abstractNumId w:val="15"/>
  </w:num>
  <w:num w:numId="47" w16cid:durableId="1972008425">
    <w:abstractNumId w:val="43"/>
  </w:num>
  <w:num w:numId="48" w16cid:durableId="1042902448">
    <w:abstractNumId w:val="10"/>
  </w:num>
  <w:num w:numId="49" w16cid:durableId="1238397190">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60EE"/>
    <w:rsid w:val="00001A9F"/>
    <w:rsid w:val="000052C5"/>
    <w:rsid w:val="00006631"/>
    <w:rsid w:val="0000702C"/>
    <w:rsid w:val="00010FA9"/>
    <w:rsid w:val="00014B95"/>
    <w:rsid w:val="000219EA"/>
    <w:rsid w:val="000231DF"/>
    <w:rsid w:val="00030600"/>
    <w:rsid w:val="00030FF9"/>
    <w:rsid w:val="00034F38"/>
    <w:rsid w:val="00041D0A"/>
    <w:rsid w:val="000507C3"/>
    <w:rsid w:val="00052624"/>
    <w:rsid w:val="00053C7E"/>
    <w:rsid w:val="00057116"/>
    <w:rsid w:val="000615CE"/>
    <w:rsid w:val="00065CA1"/>
    <w:rsid w:val="000678A9"/>
    <w:rsid w:val="00067F43"/>
    <w:rsid w:val="0007294B"/>
    <w:rsid w:val="00072A5A"/>
    <w:rsid w:val="0007439B"/>
    <w:rsid w:val="00076816"/>
    <w:rsid w:val="00081910"/>
    <w:rsid w:val="000857C1"/>
    <w:rsid w:val="00090E56"/>
    <w:rsid w:val="00091F30"/>
    <w:rsid w:val="000922F4"/>
    <w:rsid w:val="00092EAC"/>
    <w:rsid w:val="000A3E9A"/>
    <w:rsid w:val="000C3053"/>
    <w:rsid w:val="000C4B95"/>
    <w:rsid w:val="000E4183"/>
    <w:rsid w:val="000E4CA5"/>
    <w:rsid w:val="000E6894"/>
    <w:rsid w:val="000F3E1D"/>
    <w:rsid w:val="00100D65"/>
    <w:rsid w:val="00104575"/>
    <w:rsid w:val="001052D1"/>
    <w:rsid w:val="00107DF6"/>
    <w:rsid w:val="00113C5B"/>
    <w:rsid w:val="00117A25"/>
    <w:rsid w:val="001215EC"/>
    <w:rsid w:val="001220AF"/>
    <w:rsid w:val="0012582A"/>
    <w:rsid w:val="00132AFF"/>
    <w:rsid w:val="0013687F"/>
    <w:rsid w:val="00140830"/>
    <w:rsid w:val="00142BAD"/>
    <w:rsid w:val="00153228"/>
    <w:rsid w:val="00154CC6"/>
    <w:rsid w:val="00160357"/>
    <w:rsid w:val="00172E6C"/>
    <w:rsid w:val="00173637"/>
    <w:rsid w:val="00173B1E"/>
    <w:rsid w:val="00173BEB"/>
    <w:rsid w:val="00174423"/>
    <w:rsid w:val="00175A87"/>
    <w:rsid w:val="0018068C"/>
    <w:rsid w:val="001813B9"/>
    <w:rsid w:val="001830C0"/>
    <w:rsid w:val="0019513B"/>
    <w:rsid w:val="00195B42"/>
    <w:rsid w:val="00197023"/>
    <w:rsid w:val="001A288F"/>
    <w:rsid w:val="001A377D"/>
    <w:rsid w:val="001B423A"/>
    <w:rsid w:val="001B4600"/>
    <w:rsid w:val="001C08AC"/>
    <w:rsid w:val="001C6782"/>
    <w:rsid w:val="001C67A8"/>
    <w:rsid w:val="001D1BF8"/>
    <w:rsid w:val="001D2678"/>
    <w:rsid w:val="001D4774"/>
    <w:rsid w:val="001D5700"/>
    <w:rsid w:val="001D6ADD"/>
    <w:rsid w:val="001E15FB"/>
    <w:rsid w:val="001E1B06"/>
    <w:rsid w:val="001E5F10"/>
    <w:rsid w:val="001E73B7"/>
    <w:rsid w:val="001F1010"/>
    <w:rsid w:val="001F297F"/>
    <w:rsid w:val="00201D7E"/>
    <w:rsid w:val="002115A3"/>
    <w:rsid w:val="002122EF"/>
    <w:rsid w:val="0021704D"/>
    <w:rsid w:val="00227165"/>
    <w:rsid w:val="00232FC2"/>
    <w:rsid w:val="00236367"/>
    <w:rsid w:val="002414BA"/>
    <w:rsid w:val="00246BD3"/>
    <w:rsid w:val="002513E8"/>
    <w:rsid w:val="00254C36"/>
    <w:rsid w:val="00257301"/>
    <w:rsid w:val="00263B45"/>
    <w:rsid w:val="002768F0"/>
    <w:rsid w:val="0028106F"/>
    <w:rsid w:val="00284CC1"/>
    <w:rsid w:val="00286CBE"/>
    <w:rsid w:val="0029129A"/>
    <w:rsid w:val="002936A9"/>
    <w:rsid w:val="002960D5"/>
    <w:rsid w:val="002A0D62"/>
    <w:rsid w:val="002A222E"/>
    <w:rsid w:val="002A4000"/>
    <w:rsid w:val="002A595F"/>
    <w:rsid w:val="002A5A13"/>
    <w:rsid w:val="002A7D6D"/>
    <w:rsid w:val="002B479C"/>
    <w:rsid w:val="002B5DC2"/>
    <w:rsid w:val="002B6D0F"/>
    <w:rsid w:val="002B70AE"/>
    <w:rsid w:val="002C5151"/>
    <w:rsid w:val="002C5887"/>
    <w:rsid w:val="002D0138"/>
    <w:rsid w:val="002D0EA9"/>
    <w:rsid w:val="002D3C83"/>
    <w:rsid w:val="002D7DA0"/>
    <w:rsid w:val="002E0CD2"/>
    <w:rsid w:val="002E6FD3"/>
    <w:rsid w:val="002F0AC8"/>
    <w:rsid w:val="002F2BD1"/>
    <w:rsid w:val="002F36D9"/>
    <w:rsid w:val="002F431B"/>
    <w:rsid w:val="00305FD1"/>
    <w:rsid w:val="00315DA1"/>
    <w:rsid w:val="00316D92"/>
    <w:rsid w:val="00326240"/>
    <w:rsid w:val="00327E81"/>
    <w:rsid w:val="00335D46"/>
    <w:rsid w:val="0033649F"/>
    <w:rsid w:val="00336528"/>
    <w:rsid w:val="00344CBE"/>
    <w:rsid w:val="00345D45"/>
    <w:rsid w:val="003542C0"/>
    <w:rsid w:val="00356E55"/>
    <w:rsid w:val="00357908"/>
    <w:rsid w:val="003616AB"/>
    <w:rsid w:val="003616B1"/>
    <w:rsid w:val="00362032"/>
    <w:rsid w:val="00366307"/>
    <w:rsid w:val="0036650E"/>
    <w:rsid w:val="003667EF"/>
    <w:rsid w:val="00370523"/>
    <w:rsid w:val="00373BD2"/>
    <w:rsid w:val="00376A4A"/>
    <w:rsid w:val="00383441"/>
    <w:rsid w:val="00383C15"/>
    <w:rsid w:val="00393FBE"/>
    <w:rsid w:val="00396D6E"/>
    <w:rsid w:val="003B7FBC"/>
    <w:rsid w:val="003C057F"/>
    <w:rsid w:val="003C7EB7"/>
    <w:rsid w:val="003D1264"/>
    <w:rsid w:val="003D3A85"/>
    <w:rsid w:val="003E1718"/>
    <w:rsid w:val="003E2595"/>
    <w:rsid w:val="003E291C"/>
    <w:rsid w:val="003E3B29"/>
    <w:rsid w:val="003E4D15"/>
    <w:rsid w:val="003F1522"/>
    <w:rsid w:val="003F2C97"/>
    <w:rsid w:val="003F569A"/>
    <w:rsid w:val="00400C3C"/>
    <w:rsid w:val="0040219A"/>
    <w:rsid w:val="0040578A"/>
    <w:rsid w:val="00405C8E"/>
    <w:rsid w:val="00407D58"/>
    <w:rsid w:val="00410F61"/>
    <w:rsid w:val="00414070"/>
    <w:rsid w:val="00414591"/>
    <w:rsid w:val="004220C6"/>
    <w:rsid w:val="00431706"/>
    <w:rsid w:val="00431C05"/>
    <w:rsid w:val="00436803"/>
    <w:rsid w:val="004417A4"/>
    <w:rsid w:val="004429BD"/>
    <w:rsid w:val="00445F36"/>
    <w:rsid w:val="00446B3A"/>
    <w:rsid w:val="0044799B"/>
    <w:rsid w:val="00453BEB"/>
    <w:rsid w:val="00454D2C"/>
    <w:rsid w:val="00460856"/>
    <w:rsid w:val="004644BD"/>
    <w:rsid w:val="0048052D"/>
    <w:rsid w:val="004849C5"/>
    <w:rsid w:val="00485A91"/>
    <w:rsid w:val="004927B6"/>
    <w:rsid w:val="00493AB2"/>
    <w:rsid w:val="004A0E90"/>
    <w:rsid w:val="004A2602"/>
    <w:rsid w:val="004A2B83"/>
    <w:rsid w:val="004B08A1"/>
    <w:rsid w:val="004B1308"/>
    <w:rsid w:val="004B13EF"/>
    <w:rsid w:val="004B1FA4"/>
    <w:rsid w:val="004B3DF4"/>
    <w:rsid w:val="004B474D"/>
    <w:rsid w:val="004C0C0C"/>
    <w:rsid w:val="004C2993"/>
    <w:rsid w:val="004D49B7"/>
    <w:rsid w:val="004E55AD"/>
    <w:rsid w:val="004F36F4"/>
    <w:rsid w:val="00501422"/>
    <w:rsid w:val="0050166A"/>
    <w:rsid w:val="005034E9"/>
    <w:rsid w:val="005063A4"/>
    <w:rsid w:val="005373BD"/>
    <w:rsid w:val="00546652"/>
    <w:rsid w:val="005467E0"/>
    <w:rsid w:val="00547603"/>
    <w:rsid w:val="00550E04"/>
    <w:rsid w:val="00553E1A"/>
    <w:rsid w:val="00557263"/>
    <w:rsid w:val="005731A9"/>
    <w:rsid w:val="00576413"/>
    <w:rsid w:val="0058305F"/>
    <w:rsid w:val="00583C6C"/>
    <w:rsid w:val="00592BF2"/>
    <w:rsid w:val="00592E0C"/>
    <w:rsid w:val="005942A1"/>
    <w:rsid w:val="00595EC8"/>
    <w:rsid w:val="005A524C"/>
    <w:rsid w:val="005B02E6"/>
    <w:rsid w:val="005B3C67"/>
    <w:rsid w:val="005B4941"/>
    <w:rsid w:val="005B65E0"/>
    <w:rsid w:val="005C5E2F"/>
    <w:rsid w:val="005C72B5"/>
    <w:rsid w:val="005D2075"/>
    <w:rsid w:val="005D5196"/>
    <w:rsid w:val="005D6029"/>
    <w:rsid w:val="005E0FE9"/>
    <w:rsid w:val="005E7539"/>
    <w:rsid w:val="005F10D8"/>
    <w:rsid w:val="005F6F42"/>
    <w:rsid w:val="0060602B"/>
    <w:rsid w:val="006102BC"/>
    <w:rsid w:val="00610A2E"/>
    <w:rsid w:val="0061109F"/>
    <w:rsid w:val="006120FA"/>
    <w:rsid w:val="00616535"/>
    <w:rsid w:val="006251A2"/>
    <w:rsid w:val="00625B3E"/>
    <w:rsid w:val="006262DF"/>
    <w:rsid w:val="0062705B"/>
    <w:rsid w:val="00630BCC"/>
    <w:rsid w:val="006345A7"/>
    <w:rsid w:val="006359D8"/>
    <w:rsid w:val="006451BE"/>
    <w:rsid w:val="00647FD8"/>
    <w:rsid w:val="00652381"/>
    <w:rsid w:val="006543A8"/>
    <w:rsid w:val="006631FC"/>
    <w:rsid w:val="00671F85"/>
    <w:rsid w:val="00672C17"/>
    <w:rsid w:val="0067605A"/>
    <w:rsid w:val="006771BA"/>
    <w:rsid w:val="0068272F"/>
    <w:rsid w:val="00684896"/>
    <w:rsid w:val="00687C61"/>
    <w:rsid w:val="006929F0"/>
    <w:rsid w:val="006A2604"/>
    <w:rsid w:val="006A33A9"/>
    <w:rsid w:val="006B56E6"/>
    <w:rsid w:val="006B5906"/>
    <w:rsid w:val="006B631F"/>
    <w:rsid w:val="006C0A9B"/>
    <w:rsid w:val="006C0F8B"/>
    <w:rsid w:val="006C4938"/>
    <w:rsid w:val="006C4E85"/>
    <w:rsid w:val="006D0F0A"/>
    <w:rsid w:val="006D46A2"/>
    <w:rsid w:val="006D67D8"/>
    <w:rsid w:val="006F3DAF"/>
    <w:rsid w:val="006F5E72"/>
    <w:rsid w:val="006F72F7"/>
    <w:rsid w:val="007032E3"/>
    <w:rsid w:val="00710649"/>
    <w:rsid w:val="00713103"/>
    <w:rsid w:val="00713616"/>
    <w:rsid w:val="0072021E"/>
    <w:rsid w:val="00720BC4"/>
    <w:rsid w:val="00721A6F"/>
    <w:rsid w:val="00722DC9"/>
    <w:rsid w:val="0072443B"/>
    <w:rsid w:val="00725471"/>
    <w:rsid w:val="007279ED"/>
    <w:rsid w:val="00733026"/>
    <w:rsid w:val="00733308"/>
    <w:rsid w:val="00735563"/>
    <w:rsid w:val="00735C27"/>
    <w:rsid w:val="00743CE4"/>
    <w:rsid w:val="00745F03"/>
    <w:rsid w:val="007510E1"/>
    <w:rsid w:val="0075148E"/>
    <w:rsid w:val="0075459F"/>
    <w:rsid w:val="00756C61"/>
    <w:rsid w:val="00757221"/>
    <w:rsid w:val="00767AB4"/>
    <w:rsid w:val="007719B6"/>
    <w:rsid w:val="00774536"/>
    <w:rsid w:val="00776181"/>
    <w:rsid w:val="007818F9"/>
    <w:rsid w:val="00784F56"/>
    <w:rsid w:val="007943FA"/>
    <w:rsid w:val="00794BD7"/>
    <w:rsid w:val="00796E6D"/>
    <w:rsid w:val="007A47E2"/>
    <w:rsid w:val="007A4987"/>
    <w:rsid w:val="007A54D5"/>
    <w:rsid w:val="007B4899"/>
    <w:rsid w:val="007B699F"/>
    <w:rsid w:val="007C1461"/>
    <w:rsid w:val="007C1FF0"/>
    <w:rsid w:val="007D16CA"/>
    <w:rsid w:val="007D18CB"/>
    <w:rsid w:val="007D1C31"/>
    <w:rsid w:val="007D21A0"/>
    <w:rsid w:val="007D40F6"/>
    <w:rsid w:val="007D6032"/>
    <w:rsid w:val="007E3312"/>
    <w:rsid w:val="007E3FB0"/>
    <w:rsid w:val="007F0080"/>
    <w:rsid w:val="007F2C3B"/>
    <w:rsid w:val="007F7021"/>
    <w:rsid w:val="00801C8E"/>
    <w:rsid w:val="00805A17"/>
    <w:rsid w:val="00807639"/>
    <w:rsid w:val="00810B4B"/>
    <w:rsid w:val="00811F58"/>
    <w:rsid w:val="00827A14"/>
    <w:rsid w:val="0083068B"/>
    <w:rsid w:val="008325A0"/>
    <w:rsid w:val="0083366A"/>
    <w:rsid w:val="00835717"/>
    <w:rsid w:val="00837B91"/>
    <w:rsid w:val="0084003E"/>
    <w:rsid w:val="008472D8"/>
    <w:rsid w:val="00852D32"/>
    <w:rsid w:val="0086460E"/>
    <w:rsid w:val="00873E6D"/>
    <w:rsid w:val="0087429D"/>
    <w:rsid w:val="008754AE"/>
    <w:rsid w:val="00880F3B"/>
    <w:rsid w:val="0088201C"/>
    <w:rsid w:val="008866D3"/>
    <w:rsid w:val="0089115F"/>
    <w:rsid w:val="008A296A"/>
    <w:rsid w:val="008A2E48"/>
    <w:rsid w:val="008B7E50"/>
    <w:rsid w:val="008C2554"/>
    <w:rsid w:val="008C2F3A"/>
    <w:rsid w:val="008C31FA"/>
    <w:rsid w:val="008C5B2F"/>
    <w:rsid w:val="008C66A6"/>
    <w:rsid w:val="008C6842"/>
    <w:rsid w:val="008D2B6D"/>
    <w:rsid w:val="008E01F1"/>
    <w:rsid w:val="008E036C"/>
    <w:rsid w:val="008E16D3"/>
    <w:rsid w:val="008E1D29"/>
    <w:rsid w:val="008E22D1"/>
    <w:rsid w:val="008E3212"/>
    <w:rsid w:val="008E3C1B"/>
    <w:rsid w:val="00904849"/>
    <w:rsid w:val="0090539D"/>
    <w:rsid w:val="0090784E"/>
    <w:rsid w:val="00910704"/>
    <w:rsid w:val="00914DF7"/>
    <w:rsid w:val="00916C74"/>
    <w:rsid w:val="00921FC7"/>
    <w:rsid w:val="00926ABC"/>
    <w:rsid w:val="009325DE"/>
    <w:rsid w:val="00934E98"/>
    <w:rsid w:val="00935F9A"/>
    <w:rsid w:val="00937C7D"/>
    <w:rsid w:val="00945463"/>
    <w:rsid w:val="00946585"/>
    <w:rsid w:val="00946806"/>
    <w:rsid w:val="00955BC9"/>
    <w:rsid w:val="00962B11"/>
    <w:rsid w:val="00976BCC"/>
    <w:rsid w:val="009805DB"/>
    <w:rsid w:val="00983C4A"/>
    <w:rsid w:val="00987F4D"/>
    <w:rsid w:val="00992439"/>
    <w:rsid w:val="00994FC3"/>
    <w:rsid w:val="009A3561"/>
    <w:rsid w:val="009B35DC"/>
    <w:rsid w:val="009B3AB5"/>
    <w:rsid w:val="009B7F73"/>
    <w:rsid w:val="009C1E32"/>
    <w:rsid w:val="009C293D"/>
    <w:rsid w:val="009E6806"/>
    <w:rsid w:val="009F76BE"/>
    <w:rsid w:val="00A040B9"/>
    <w:rsid w:val="00A110E9"/>
    <w:rsid w:val="00A168E6"/>
    <w:rsid w:val="00A21AAB"/>
    <w:rsid w:val="00A33A08"/>
    <w:rsid w:val="00A360AA"/>
    <w:rsid w:val="00A3617F"/>
    <w:rsid w:val="00A3747D"/>
    <w:rsid w:val="00A400BC"/>
    <w:rsid w:val="00A45582"/>
    <w:rsid w:val="00A47BDE"/>
    <w:rsid w:val="00A52E2F"/>
    <w:rsid w:val="00A53372"/>
    <w:rsid w:val="00A54303"/>
    <w:rsid w:val="00A57E81"/>
    <w:rsid w:val="00A62B10"/>
    <w:rsid w:val="00A635FB"/>
    <w:rsid w:val="00A753F8"/>
    <w:rsid w:val="00A774EE"/>
    <w:rsid w:val="00A86670"/>
    <w:rsid w:val="00A86FF0"/>
    <w:rsid w:val="00A8712D"/>
    <w:rsid w:val="00A872F8"/>
    <w:rsid w:val="00A92E48"/>
    <w:rsid w:val="00A940CA"/>
    <w:rsid w:val="00A96033"/>
    <w:rsid w:val="00AA5205"/>
    <w:rsid w:val="00AB1763"/>
    <w:rsid w:val="00AC15AE"/>
    <w:rsid w:val="00AC2803"/>
    <w:rsid w:val="00AC4B65"/>
    <w:rsid w:val="00AC7DE7"/>
    <w:rsid w:val="00AE3F98"/>
    <w:rsid w:val="00AF16D3"/>
    <w:rsid w:val="00AF20D2"/>
    <w:rsid w:val="00AF2220"/>
    <w:rsid w:val="00AF69D0"/>
    <w:rsid w:val="00B046EA"/>
    <w:rsid w:val="00B20DBD"/>
    <w:rsid w:val="00B24061"/>
    <w:rsid w:val="00B25852"/>
    <w:rsid w:val="00B26D13"/>
    <w:rsid w:val="00B2718A"/>
    <w:rsid w:val="00B315CB"/>
    <w:rsid w:val="00B348F0"/>
    <w:rsid w:val="00B360EE"/>
    <w:rsid w:val="00B36460"/>
    <w:rsid w:val="00B434C7"/>
    <w:rsid w:val="00B441F7"/>
    <w:rsid w:val="00B45DF7"/>
    <w:rsid w:val="00B46E24"/>
    <w:rsid w:val="00B47829"/>
    <w:rsid w:val="00B50176"/>
    <w:rsid w:val="00B50495"/>
    <w:rsid w:val="00B504BF"/>
    <w:rsid w:val="00B5245E"/>
    <w:rsid w:val="00B55498"/>
    <w:rsid w:val="00B57EC8"/>
    <w:rsid w:val="00B60466"/>
    <w:rsid w:val="00B6378A"/>
    <w:rsid w:val="00B64BC7"/>
    <w:rsid w:val="00B72F25"/>
    <w:rsid w:val="00B852CC"/>
    <w:rsid w:val="00B910A2"/>
    <w:rsid w:val="00B9341A"/>
    <w:rsid w:val="00BB0148"/>
    <w:rsid w:val="00BB386B"/>
    <w:rsid w:val="00BB7308"/>
    <w:rsid w:val="00BC10E7"/>
    <w:rsid w:val="00BC585C"/>
    <w:rsid w:val="00BC6E04"/>
    <w:rsid w:val="00BC7FBE"/>
    <w:rsid w:val="00BD1DE7"/>
    <w:rsid w:val="00BF2297"/>
    <w:rsid w:val="00BF6A72"/>
    <w:rsid w:val="00C03D07"/>
    <w:rsid w:val="00C04493"/>
    <w:rsid w:val="00C05F47"/>
    <w:rsid w:val="00C073BC"/>
    <w:rsid w:val="00C1447F"/>
    <w:rsid w:val="00C14EB2"/>
    <w:rsid w:val="00C21C81"/>
    <w:rsid w:val="00C26A62"/>
    <w:rsid w:val="00C27FF8"/>
    <w:rsid w:val="00C34612"/>
    <w:rsid w:val="00C371AF"/>
    <w:rsid w:val="00C4379D"/>
    <w:rsid w:val="00C55D94"/>
    <w:rsid w:val="00C56601"/>
    <w:rsid w:val="00C578E0"/>
    <w:rsid w:val="00C70215"/>
    <w:rsid w:val="00C75E94"/>
    <w:rsid w:val="00C765C0"/>
    <w:rsid w:val="00C76898"/>
    <w:rsid w:val="00C82A97"/>
    <w:rsid w:val="00C83B78"/>
    <w:rsid w:val="00C876B6"/>
    <w:rsid w:val="00C87D94"/>
    <w:rsid w:val="00C922F7"/>
    <w:rsid w:val="00C92843"/>
    <w:rsid w:val="00C95127"/>
    <w:rsid w:val="00CB23E2"/>
    <w:rsid w:val="00CB2B41"/>
    <w:rsid w:val="00CB4109"/>
    <w:rsid w:val="00CC5226"/>
    <w:rsid w:val="00CC5658"/>
    <w:rsid w:val="00CD0A68"/>
    <w:rsid w:val="00CD5112"/>
    <w:rsid w:val="00CE411B"/>
    <w:rsid w:val="00CE75CD"/>
    <w:rsid w:val="00CE77C8"/>
    <w:rsid w:val="00CF1ECC"/>
    <w:rsid w:val="00CF2984"/>
    <w:rsid w:val="00CF5954"/>
    <w:rsid w:val="00D009C9"/>
    <w:rsid w:val="00D01A9C"/>
    <w:rsid w:val="00D01F78"/>
    <w:rsid w:val="00D05646"/>
    <w:rsid w:val="00D07634"/>
    <w:rsid w:val="00D1408A"/>
    <w:rsid w:val="00D242A8"/>
    <w:rsid w:val="00D315F3"/>
    <w:rsid w:val="00D32CC5"/>
    <w:rsid w:val="00D32D58"/>
    <w:rsid w:val="00D41EA9"/>
    <w:rsid w:val="00D43B6E"/>
    <w:rsid w:val="00D540B7"/>
    <w:rsid w:val="00D57678"/>
    <w:rsid w:val="00D62575"/>
    <w:rsid w:val="00D70859"/>
    <w:rsid w:val="00D765AF"/>
    <w:rsid w:val="00D807A5"/>
    <w:rsid w:val="00D90FE7"/>
    <w:rsid w:val="00D9347F"/>
    <w:rsid w:val="00DA1054"/>
    <w:rsid w:val="00DA2D54"/>
    <w:rsid w:val="00DA5AAC"/>
    <w:rsid w:val="00DA64EC"/>
    <w:rsid w:val="00DA6E70"/>
    <w:rsid w:val="00DA7C95"/>
    <w:rsid w:val="00DB34B9"/>
    <w:rsid w:val="00DB677E"/>
    <w:rsid w:val="00DC0DF5"/>
    <w:rsid w:val="00DC10EA"/>
    <w:rsid w:val="00DC1CD3"/>
    <w:rsid w:val="00DC2112"/>
    <w:rsid w:val="00DC2E8D"/>
    <w:rsid w:val="00DC58C0"/>
    <w:rsid w:val="00DC7AAC"/>
    <w:rsid w:val="00DD373E"/>
    <w:rsid w:val="00DE07E1"/>
    <w:rsid w:val="00DE1FCE"/>
    <w:rsid w:val="00DE25B1"/>
    <w:rsid w:val="00DE273C"/>
    <w:rsid w:val="00DF0E8B"/>
    <w:rsid w:val="00DF1091"/>
    <w:rsid w:val="00DF10F7"/>
    <w:rsid w:val="00DF2E75"/>
    <w:rsid w:val="00DF509E"/>
    <w:rsid w:val="00DF757A"/>
    <w:rsid w:val="00E02F9A"/>
    <w:rsid w:val="00E23A97"/>
    <w:rsid w:val="00E268CB"/>
    <w:rsid w:val="00E275CF"/>
    <w:rsid w:val="00E34C98"/>
    <w:rsid w:val="00E40712"/>
    <w:rsid w:val="00E418D2"/>
    <w:rsid w:val="00E44ACF"/>
    <w:rsid w:val="00E45698"/>
    <w:rsid w:val="00E45CC0"/>
    <w:rsid w:val="00E45E38"/>
    <w:rsid w:val="00E5386A"/>
    <w:rsid w:val="00E549BA"/>
    <w:rsid w:val="00E54EE7"/>
    <w:rsid w:val="00E55E1F"/>
    <w:rsid w:val="00E61F28"/>
    <w:rsid w:val="00E627F0"/>
    <w:rsid w:val="00E653CE"/>
    <w:rsid w:val="00E66D56"/>
    <w:rsid w:val="00E671BC"/>
    <w:rsid w:val="00E67671"/>
    <w:rsid w:val="00E71849"/>
    <w:rsid w:val="00E71903"/>
    <w:rsid w:val="00E72C99"/>
    <w:rsid w:val="00E8508C"/>
    <w:rsid w:val="00E86FD5"/>
    <w:rsid w:val="00E930A4"/>
    <w:rsid w:val="00E9628C"/>
    <w:rsid w:val="00E9752F"/>
    <w:rsid w:val="00EA3F89"/>
    <w:rsid w:val="00EB66BA"/>
    <w:rsid w:val="00EB6AB9"/>
    <w:rsid w:val="00EB7054"/>
    <w:rsid w:val="00EC12B4"/>
    <w:rsid w:val="00EC3C31"/>
    <w:rsid w:val="00EC4186"/>
    <w:rsid w:val="00ED2BE8"/>
    <w:rsid w:val="00ED33A8"/>
    <w:rsid w:val="00ED3617"/>
    <w:rsid w:val="00EE02C3"/>
    <w:rsid w:val="00EE2632"/>
    <w:rsid w:val="00EE3FCF"/>
    <w:rsid w:val="00EF0770"/>
    <w:rsid w:val="00EF44C3"/>
    <w:rsid w:val="00EF4F09"/>
    <w:rsid w:val="00EF5693"/>
    <w:rsid w:val="00EF5DB5"/>
    <w:rsid w:val="00F0184B"/>
    <w:rsid w:val="00F03EEC"/>
    <w:rsid w:val="00F03FE5"/>
    <w:rsid w:val="00F07353"/>
    <w:rsid w:val="00F2013E"/>
    <w:rsid w:val="00F22B39"/>
    <w:rsid w:val="00F22ECE"/>
    <w:rsid w:val="00F251A6"/>
    <w:rsid w:val="00F271B6"/>
    <w:rsid w:val="00F305D8"/>
    <w:rsid w:val="00F32047"/>
    <w:rsid w:val="00F32461"/>
    <w:rsid w:val="00F33E4F"/>
    <w:rsid w:val="00F42204"/>
    <w:rsid w:val="00F548D7"/>
    <w:rsid w:val="00F54AE3"/>
    <w:rsid w:val="00F57336"/>
    <w:rsid w:val="00F6200C"/>
    <w:rsid w:val="00F658FF"/>
    <w:rsid w:val="00F77DF8"/>
    <w:rsid w:val="00F83768"/>
    <w:rsid w:val="00F8443D"/>
    <w:rsid w:val="00F86B00"/>
    <w:rsid w:val="00F940D7"/>
    <w:rsid w:val="00F953E6"/>
    <w:rsid w:val="00FA0468"/>
    <w:rsid w:val="00FA10F1"/>
    <w:rsid w:val="00FA24AC"/>
    <w:rsid w:val="00FB1ACF"/>
    <w:rsid w:val="00FE1CFB"/>
    <w:rsid w:val="00FE36E8"/>
    <w:rsid w:val="00FE6F6C"/>
    <w:rsid w:val="00FE705A"/>
    <w:rsid w:val="00FF3A76"/>
    <w:rsid w:val="00FF4CC6"/>
    <w:rsid w:val="00FF4F6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95CFA2"/>
  <w15:docId w15:val="{A681D805-8291-4D78-B659-1E5A3EC0D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41D0A"/>
    <w:rPr>
      <w:lang w:val="en-GB"/>
    </w:rPr>
  </w:style>
  <w:style w:type="paragraph" w:styleId="Heading1">
    <w:name w:val="heading 1"/>
    <w:basedOn w:val="Normal"/>
    <w:next w:val="Normal"/>
    <w:link w:val="Heading1Char"/>
    <w:uiPriority w:val="9"/>
    <w:qFormat/>
    <w:rsid w:val="002A595F"/>
    <w:pPr>
      <w:keepNext/>
      <w:keepLines/>
      <w:spacing w:before="240" w:after="0"/>
      <w:outlineLvl w:val="0"/>
    </w:pPr>
    <w:rPr>
      <w:rFonts w:asciiTheme="majorHAnsi" w:eastAsiaTheme="majorEastAsia" w:hAnsiTheme="majorHAnsi" w:cstheme="majorBidi"/>
      <w:color w:val="0B5294" w:themeColor="accent1" w:themeShade="BF"/>
      <w:sz w:val="32"/>
      <w:szCs w:val="32"/>
    </w:rPr>
  </w:style>
  <w:style w:type="paragraph" w:styleId="Heading2">
    <w:name w:val="heading 2"/>
    <w:basedOn w:val="Normal"/>
    <w:next w:val="Normal"/>
    <w:link w:val="Heading2Char"/>
    <w:uiPriority w:val="9"/>
    <w:unhideWhenUsed/>
    <w:qFormat/>
    <w:rsid w:val="00057116"/>
    <w:pPr>
      <w:keepNext/>
      <w:keepLines/>
      <w:spacing w:before="40" w:after="0"/>
      <w:outlineLvl w:val="1"/>
    </w:pPr>
    <w:rPr>
      <w:rFonts w:asciiTheme="majorHAnsi" w:eastAsiaTheme="majorEastAsia" w:hAnsiTheme="majorHAnsi" w:cstheme="majorBidi"/>
      <w:color w:val="0B5294" w:themeColor="accent1" w:themeShade="BF"/>
      <w:sz w:val="26"/>
      <w:szCs w:val="26"/>
    </w:rPr>
  </w:style>
  <w:style w:type="paragraph" w:styleId="Heading3">
    <w:name w:val="heading 3"/>
    <w:basedOn w:val="Normal"/>
    <w:next w:val="Normal"/>
    <w:link w:val="Heading3Char"/>
    <w:uiPriority w:val="9"/>
    <w:unhideWhenUsed/>
    <w:qFormat/>
    <w:rsid w:val="00B348F0"/>
    <w:pPr>
      <w:keepNext/>
      <w:keepLines/>
      <w:spacing w:before="40" w:after="0"/>
      <w:outlineLvl w:val="2"/>
    </w:pPr>
    <w:rPr>
      <w:rFonts w:asciiTheme="majorHAnsi" w:eastAsiaTheme="majorEastAsia" w:hAnsiTheme="majorHAnsi" w:cstheme="majorBidi"/>
      <w:color w:val="073662" w:themeColor="accent1" w:themeShade="7F"/>
      <w:sz w:val="24"/>
      <w:szCs w:val="24"/>
    </w:rPr>
  </w:style>
  <w:style w:type="paragraph" w:styleId="Heading4">
    <w:name w:val="heading 4"/>
    <w:basedOn w:val="Normal"/>
    <w:next w:val="Normal"/>
    <w:link w:val="Heading4Char"/>
    <w:uiPriority w:val="9"/>
    <w:unhideWhenUsed/>
    <w:qFormat/>
    <w:rsid w:val="00153228"/>
    <w:pPr>
      <w:keepNext/>
      <w:keepLines/>
      <w:spacing w:before="40" w:after="0"/>
      <w:outlineLvl w:val="3"/>
    </w:pPr>
    <w:rPr>
      <w:rFonts w:asciiTheme="majorHAnsi" w:eastAsiaTheme="majorEastAsia" w:hAnsiTheme="majorHAnsi" w:cstheme="majorBidi"/>
      <w:i/>
      <w:iCs/>
      <w:color w:val="0B5294"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semiHidden/>
    <w:unhideWhenUsed/>
    <w:rsid w:val="00AF16D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AF16D3"/>
    <w:rPr>
      <w:sz w:val="20"/>
      <w:szCs w:val="20"/>
      <w:lang w:val="en-GB"/>
    </w:rPr>
  </w:style>
  <w:style w:type="character" w:styleId="FootnoteReference">
    <w:name w:val="footnote reference"/>
    <w:basedOn w:val="DefaultParagraphFont"/>
    <w:uiPriority w:val="99"/>
    <w:semiHidden/>
    <w:unhideWhenUsed/>
    <w:rsid w:val="00AF16D3"/>
    <w:rPr>
      <w:vertAlign w:val="superscript"/>
    </w:rPr>
  </w:style>
  <w:style w:type="paragraph" w:styleId="Caption">
    <w:name w:val="caption"/>
    <w:basedOn w:val="Normal"/>
    <w:next w:val="Normal"/>
    <w:uiPriority w:val="35"/>
    <w:unhideWhenUsed/>
    <w:qFormat/>
    <w:rsid w:val="00AF16D3"/>
    <w:pPr>
      <w:spacing w:after="200" w:line="240" w:lineRule="auto"/>
    </w:pPr>
    <w:rPr>
      <w:i/>
      <w:iCs/>
      <w:color w:val="17406D" w:themeColor="text2"/>
      <w:sz w:val="18"/>
      <w:szCs w:val="18"/>
    </w:rPr>
  </w:style>
  <w:style w:type="character" w:customStyle="1" w:styleId="Heading1Char">
    <w:name w:val="Heading 1 Char"/>
    <w:basedOn w:val="DefaultParagraphFont"/>
    <w:link w:val="Heading1"/>
    <w:uiPriority w:val="9"/>
    <w:rsid w:val="002A595F"/>
    <w:rPr>
      <w:rFonts w:asciiTheme="majorHAnsi" w:eastAsiaTheme="majorEastAsia" w:hAnsiTheme="majorHAnsi" w:cstheme="majorBidi"/>
      <w:color w:val="0B5294" w:themeColor="accent1" w:themeShade="BF"/>
      <w:sz w:val="32"/>
      <w:szCs w:val="32"/>
      <w:lang w:val="en-GB"/>
    </w:rPr>
  </w:style>
  <w:style w:type="character" w:styleId="Hyperlink">
    <w:name w:val="Hyperlink"/>
    <w:basedOn w:val="DefaultParagraphFont"/>
    <w:uiPriority w:val="99"/>
    <w:unhideWhenUsed/>
    <w:rsid w:val="002A595F"/>
    <w:rPr>
      <w:color w:val="0000FF"/>
      <w:u w:val="single"/>
    </w:rPr>
  </w:style>
  <w:style w:type="paragraph" w:styleId="ListParagraph">
    <w:name w:val="List Paragraph"/>
    <w:aliases w:val="Bullets,List Paragraph1"/>
    <w:basedOn w:val="Normal"/>
    <w:link w:val="ListParagraphChar"/>
    <w:uiPriority w:val="34"/>
    <w:qFormat/>
    <w:rsid w:val="002A595F"/>
    <w:pPr>
      <w:ind w:left="720"/>
      <w:contextualSpacing/>
    </w:pPr>
  </w:style>
  <w:style w:type="character" w:customStyle="1" w:styleId="Heading2Char">
    <w:name w:val="Heading 2 Char"/>
    <w:basedOn w:val="DefaultParagraphFont"/>
    <w:link w:val="Heading2"/>
    <w:uiPriority w:val="9"/>
    <w:rsid w:val="00057116"/>
    <w:rPr>
      <w:rFonts w:asciiTheme="majorHAnsi" w:eastAsiaTheme="majorEastAsia" w:hAnsiTheme="majorHAnsi" w:cstheme="majorBidi"/>
      <w:color w:val="0B5294" w:themeColor="accent1" w:themeShade="BF"/>
      <w:sz w:val="26"/>
      <w:szCs w:val="26"/>
      <w:lang w:val="en-GB"/>
    </w:rPr>
  </w:style>
  <w:style w:type="paragraph" w:styleId="TOCHeading">
    <w:name w:val="TOC Heading"/>
    <w:basedOn w:val="Heading1"/>
    <w:next w:val="Normal"/>
    <w:uiPriority w:val="39"/>
    <w:unhideWhenUsed/>
    <w:qFormat/>
    <w:rsid w:val="00B348F0"/>
    <w:pPr>
      <w:outlineLvl w:val="9"/>
    </w:pPr>
    <w:rPr>
      <w:lang w:val="en-US"/>
    </w:rPr>
  </w:style>
  <w:style w:type="paragraph" w:styleId="TOC1">
    <w:name w:val="toc 1"/>
    <w:basedOn w:val="Normal"/>
    <w:next w:val="Normal"/>
    <w:autoRedefine/>
    <w:uiPriority w:val="39"/>
    <w:unhideWhenUsed/>
    <w:rsid w:val="00774536"/>
    <w:pPr>
      <w:tabs>
        <w:tab w:val="left" w:pos="440"/>
        <w:tab w:val="right" w:leader="dot" w:pos="9350"/>
      </w:tabs>
      <w:spacing w:after="100"/>
    </w:pPr>
  </w:style>
  <w:style w:type="paragraph" w:styleId="TOC2">
    <w:name w:val="toc 2"/>
    <w:basedOn w:val="Normal"/>
    <w:next w:val="Normal"/>
    <w:autoRedefine/>
    <w:uiPriority w:val="39"/>
    <w:unhideWhenUsed/>
    <w:rsid w:val="0090784E"/>
    <w:pPr>
      <w:tabs>
        <w:tab w:val="left" w:pos="880"/>
        <w:tab w:val="right" w:leader="dot" w:pos="9350"/>
      </w:tabs>
      <w:spacing w:after="100"/>
      <w:ind w:left="220"/>
    </w:pPr>
  </w:style>
  <w:style w:type="character" w:customStyle="1" w:styleId="Heading3Char">
    <w:name w:val="Heading 3 Char"/>
    <w:basedOn w:val="DefaultParagraphFont"/>
    <w:link w:val="Heading3"/>
    <w:uiPriority w:val="9"/>
    <w:rsid w:val="00B348F0"/>
    <w:rPr>
      <w:rFonts w:asciiTheme="majorHAnsi" w:eastAsiaTheme="majorEastAsia" w:hAnsiTheme="majorHAnsi" w:cstheme="majorBidi"/>
      <w:color w:val="073662" w:themeColor="accent1" w:themeShade="7F"/>
      <w:sz w:val="24"/>
      <w:szCs w:val="24"/>
      <w:lang w:val="en-GB"/>
    </w:rPr>
  </w:style>
  <w:style w:type="character" w:customStyle="1" w:styleId="markedcontent">
    <w:name w:val="markedcontent"/>
    <w:basedOn w:val="DefaultParagraphFont"/>
    <w:rsid w:val="006B56E6"/>
  </w:style>
  <w:style w:type="paragraph" w:styleId="Header">
    <w:name w:val="header"/>
    <w:basedOn w:val="Normal"/>
    <w:link w:val="HeaderChar"/>
    <w:uiPriority w:val="99"/>
    <w:unhideWhenUsed/>
    <w:rsid w:val="00BC7FBE"/>
    <w:pPr>
      <w:tabs>
        <w:tab w:val="center" w:pos="4680"/>
        <w:tab w:val="right" w:pos="9360"/>
      </w:tabs>
      <w:spacing w:after="0" w:line="240" w:lineRule="auto"/>
    </w:pPr>
  </w:style>
  <w:style w:type="character" w:customStyle="1" w:styleId="HeaderChar">
    <w:name w:val="Header Char"/>
    <w:basedOn w:val="DefaultParagraphFont"/>
    <w:link w:val="Header"/>
    <w:uiPriority w:val="99"/>
    <w:rsid w:val="00BC7FBE"/>
    <w:rPr>
      <w:lang w:val="en-GB"/>
    </w:rPr>
  </w:style>
  <w:style w:type="paragraph" w:styleId="Footer">
    <w:name w:val="footer"/>
    <w:basedOn w:val="Normal"/>
    <w:link w:val="FooterChar"/>
    <w:uiPriority w:val="99"/>
    <w:unhideWhenUsed/>
    <w:rsid w:val="00BC7FBE"/>
    <w:pPr>
      <w:tabs>
        <w:tab w:val="center" w:pos="4680"/>
        <w:tab w:val="right" w:pos="9360"/>
      </w:tabs>
      <w:spacing w:after="0" w:line="240" w:lineRule="auto"/>
    </w:pPr>
  </w:style>
  <w:style w:type="character" w:customStyle="1" w:styleId="FooterChar">
    <w:name w:val="Footer Char"/>
    <w:basedOn w:val="DefaultParagraphFont"/>
    <w:link w:val="Footer"/>
    <w:uiPriority w:val="99"/>
    <w:rsid w:val="00BC7FBE"/>
    <w:rPr>
      <w:lang w:val="en-GB"/>
    </w:rPr>
  </w:style>
  <w:style w:type="paragraph" w:styleId="TOC3">
    <w:name w:val="toc 3"/>
    <w:basedOn w:val="Normal"/>
    <w:next w:val="Normal"/>
    <w:autoRedefine/>
    <w:uiPriority w:val="39"/>
    <w:unhideWhenUsed/>
    <w:rsid w:val="00E45698"/>
    <w:pPr>
      <w:spacing w:after="100"/>
      <w:ind w:left="440"/>
    </w:pPr>
  </w:style>
  <w:style w:type="character" w:styleId="UnresolvedMention">
    <w:name w:val="Unresolved Mention"/>
    <w:basedOn w:val="DefaultParagraphFont"/>
    <w:uiPriority w:val="99"/>
    <w:semiHidden/>
    <w:unhideWhenUsed/>
    <w:rsid w:val="00914DF7"/>
    <w:rPr>
      <w:color w:val="605E5C"/>
      <w:shd w:val="clear" w:color="auto" w:fill="E1DFDD"/>
    </w:rPr>
  </w:style>
  <w:style w:type="table" w:styleId="TableGrid">
    <w:name w:val="Table Grid"/>
    <w:basedOn w:val="TableNormal"/>
    <w:uiPriority w:val="39"/>
    <w:rsid w:val="009B3A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F2013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4Char">
    <w:name w:val="Heading 4 Char"/>
    <w:basedOn w:val="DefaultParagraphFont"/>
    <w:link w:val="Heading4"/>
    <w:uiPriority w:val="9"/>
    <w:rsid w:val="00153228"/>
    <w:rPr>
      <w:rFonts w:asciiTheme="majorHAnsi" w:eastAsiaTheme="majorEastAsia" w:hAnsiTheme="majorHAnsi" w:cstheme="majorBidi"/>
      <w:i/>
      <w:iCs/>
      <w:color w:val="0B5294" w:themeColor="accent1" w:themeShade="BF"/>
      <w:lang w:val="en-GB"/>
    </w:rPr>
  </w:style>
  <w:style w:type="table" w:styleId="GridTable1Light-Accent1">
    <w:name w:val="Grid Table 1 Light Accent 1"/>
    <w:basedOn w:val="TableNormal"/>
    <w:uiPriority w:val="46"/>
    <w:rsid w:val="0028106F"/>
    <w:pPr>
      <w:spacing w:after="0" w:line="240" w:lineRule="auto"/>
    </w:pPr>
    <w:tblPr>
      <w:tblStyleRowBandSize w:val="1"/>
      <w:tblStyleColBandSize w:val="1"/>
      <w:tblBorders>
        <w:top w:val="single" w:sz="4" w:space="0" w:color="90C5F6" w:themeColor="accent1" w:themeTint="66"/>
        <w:left w:val="single" w:sz="4" w:space="0" w:color="90C5F6" w:themeColor="accent1" w:themeTint="66"/>
        <w:bottom w:val="single" w:sz="4" w:space="0" w:color="90C5F6" w:themeColor="accent1" w:themeTint="66"/>
        <w:right w:val="single" w:sz="4" w:space="0" w:color="90C5F6" w:themeColor="accent1" w:themeTint="66"/>
        <w:insideH w:val="single" w:sz="4" w:space="0" w:color="90C5F6" w:themeColor="accent1" w:themeTint="66"/>
        <w:insideV w:val="single" w:sz="4" w:space="0" w:color="90C5F6" w:themeColor="accent1" w:themeTint="66"/>
      </w:tblBorders>
    </w:tblPr>
    <w:tblStylePr w:type="firstRow">
      <w:rPr>
        <w:b/>
        <w:bCs/>
      </w:rPr>
      <w:tblPr/>
      <w:tcPr>
        <w:tcBorders>
          <w:bottom w:val="single" w:sz="12" w:space="0" w:color="59A9F2" w:themeColor="accent1" w:themeTint="99"/>
        </w:tcBorders>
      </w:tcPr>
    </w:tblStylePr>
    <w:tblStylePr w:type="lastRow">
      <w:rPr>
        <w:b/>
        <w:bCs/>
      </w:rPr>
      <w:tblPr/>
      <w:tcPr>
        <w:tcBorders>
          <w:top w:val="double" w:sz="2" w:space="0" w:color="59A9F2" w:themeColor="accent1"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4B474D"/>
    <w:pPr>
      <w:spacing w:after="0" w:line="240" w:lineRule="auto"/>
    </w:pPr>
    <w:rPr>
      <w:kern w:val="2"/>
      <w14:ligatures w14:val="standardContextual"/>
    </w:rPr>
    <w:tblPr>
      <w:tblStyleRowBandSize w:val="1"/>
      <w:tblStyleColBandSize w:val="1"/>
      <w:tblBorders>
        <w:top w:val="single" w:sz="4" w:space="0" w:color="CAE9C0" w:themeColor="accent5" w:themeTint="66"/>
        <w:left w:val="single" w:sz="4" w:space="0" w:color="CAE9C0" w:themeColor="accent5" w:themeTint="66"/>
        <w:bottom w:val="single" w:sz="4" w:space="0" w:color="CAE9C0" w:themeColor="accent5" w:themeTint="66"/>
        <w:right w:val="single" w:sz="4" w:space="0" w:color="CAE9C0" w:themeColor="accent5" w:themeTint="66"/>
        <w:insideH w:val="single" w:sz="4" w:space="0" w:color="CAE9C0" w:themeColor="accent5" w:themeTint="66"/>
        <w:insideV w:val="single" w:sz="4" w:space="0" w:color="CAE9C0" w:themeColor="accent5" w:themeTint="66"/>
      </w:tblBorders>
    </w:tblPr>
    <w:tblStylePr w:type="firstRow">
      <w:rPr>
        <w:b/>
        <w:bCs/>
      </w:rPr>
      <w:tblPr/>
      <w:tcPr>
        <w:tcBorders>
          <w:bottom w:val="single" w:sz="12" w:space="0" w:color="B0DFA0" w:themeColor="accent5" w:themeTint="99"/>
        </w:tcBorders>
      </w:tcPr>
    </w:tblStylePr>
    <w:tblStylePr w:type="lastRow">
      <w:rPr>
        <w:b/>
        <w:bCs/>
      </w:rPr>
      <w:tblPr/>
      <w:tcPr>
        <w:tcBorders>
          <w:top w:val="double" w:sz="2" w:space="0" w:color="B0DFA0" w:themeColor="accent5" w:themeTint="99"/>
        </w:tcBorders>
      </w:tcPr>
    </w:tblStylePr>
    <w:tblStylePr w:type="firstCol">
      <w:rPr>
        <w:b/>
        <w:bCs/>
      </w:rPr>
    </w:tblStylePr>
    <w:tblStylePr w:type="lastCol">
      <w:rPr>
        <w:b/>
        <w:bCs/>
      </w:rPr>
    </w:tblStylePr>
  </w:style>
  <w:style w:type="paragraph" w:styleId="NormalWeb">
    <w:name w:val="Normal (Web)"/>
    <w:basedOn w:val="Normal"/>
    <w:uiPriority w:val="99"/>
    <w:unhideWhenUsed/>
    <w:rsid w:val="00A635FB"/>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discreet">
    <w:name w:val="discreet"/>
    <w:basedOn w:val="DefaultParagraphFont"/>
    <w:rsid w:val="006251A2"/>
  </w:style>
  <w:style w:type="paragraph" w:styleId="TableofFigures">
    <w:name w:val="table of figures"/>
    <w:basedOn w:val="Normal"/>
    <w:next w:val="Normal"/>
    <w:uiPriority w:val="99"/>
    <w:unhideWhenUsed/>
    <w:rsid w:val="00001A9F"/>
    <w:pPr>
      <w:spacing w:after="0"/>
    </w:pPr>
  </w:style>
  <w:style w:type="character" w:customStyle="1" w:styleId="ListParagraphChar">
    <w:name w:val="List Paragraph Char"/>
    <w:aliases w:val="Bullets Char,List Paragraph1 Char"/>
    <w:link w:val="ListParagraph"/>
    <w:uiPriority w:val="34"/>
    <w:rsid w:val="004429BD"/>
    <w:rPr>
      <w:lang w:val="en-GB"/>
    </w:rPr>
  </w:style>
  <w:style w:type="paragraph" w:styleId="HTMLPreformatted">
    <w:name w:val="HTML Preformatted"/>
    <w:basedOn w:val="Normal"/>
    <w:link w:val="HTMLPreformattedChar"/>
    <w:uiPriority w:val="99"/>
    <w:unhideWhenUsed/>
    <w:rsid w:val="004D49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rPr>
  </w:style>
  <w:style w:type="character" w:customStyle="1" w:styleId="HTMLPreformattedChar">
    <w:name w:val="HTML Preformatted Char"/>
    <w:basedOn w:val="DefaultParagraphFont"/>
    <w:link w:val="HTMLPreformatted"/>
    <w:uiPriority w:val="99"/>
    <w:rsid w:val="004D49B7"/>
    <w:rPr>
      <w:rFonts w:ascii="Courier New" w:eastAsia="Times New Roman" w:hAnsi="Courier New" w:cs="Courier New"/>
      <w:sz w:val="20"/>
      <w:szCs w:val="20"/>
    </w:rPr>
  </w:style>
  <w:style w:type="character" w:styleId="FollowedHyperlink">
    <w:name w:val="FollowedHyperlink"/>
    <w:basedOn w:val="DefaultParagraphFont"/>
    <w:uiPriority w:val="99"/>
    <w:semiHidden/>
    <w:unhideWhenUsed/>
    <w:rsid w:val="002F431B"/>
    <w:rPr>
      <w:color w:val="85DFD0" w:themeColor="followedHyperlink"/>
      <w:u w:val="single"/>
    </w:rPr>
  </w:style>
  <w:style w:type="character" w:styleId="CommentReference">
    <w:name w:val="annotation reference"/>
    <w:basedOn w:val="DefaultParagraphFont"/>
    <w:uiPriority w:val="99"/>
    <w:semiHidden/>
    <w:unhideWhenUsed/>
    <w:rsid w:val="00FB1ACF"/>
    <w:rPr>
      <w:sz w:val="16"/>
      <w:szCs w:val="16"/>
    </w:rPr>
  </w:style>
  <w:style w:type="paragraph" w:styleId="CommentText">
    <w:name w:val="annotation text"/>
    <w:basedOn w:val="Normal"/>
    <w:link w:val="CommentTextChar"/>
    <w:uiPriority w:val="99"/>
    <w:unhideWhenUsed/>
    <w:rsid w:val="00FB1ACF"/>
    <w:pPr>
      <w:spacing w:line="240" w:lineRule="auto"/>
    </w:pPr>
    <w:rPr>
      <w:sz w:val="20"/>
      <w:szCs w:val="20"/>
    </w:rPr>
  </w:style>
  <w:style w:type="character" w:customStyle="1" w:styleId="CommentTextChar">
    <w:name w:val="Comment Text Char"/>
    <w:basedOn w:val="DefaultParagraphFont"/>
    <w:link w:val="CommentText"/>
    <w:uiPriority w:val="99"/>
    <w:rsid w:val="00FB1ACF"/>
    <w:rPr>
      <w:sz w:val="20"/>
      <w:szCs w:val="20"/>
      <w:lang w:val="en-GB"/>
    </w:rPr>
  </w:style>
  <w:style w:type="paragraph" w:styleId="CommentSubject">
    <w:name w:val="annotation subject"/>
    <w:basedOn w:val="CommentText"/>
    <w:next w:val="CommentText"/>
    <w:link w:val="CommentSubjectChar"/>
    <w:uiPriority w:val="99"/>
    <w:semiHidden/>
    <w:unhideWhenUsed/>
    <w:rsid w:val="00FB1ACF"/>
    <w:rPr>
      <w:b/>
      <w:bCs/>
    </w:rPr>
  </w:style>
  <w:style w:type="character" w:customStyle="1" w:styleId="CommentSubjectChar">
    <w:name w:val="Comment Subject Char"/>
    <w:basedOn w:val="CommentTextChar"/>
    <w:link w:val="CommentSubject"/>
    <w:uiPriority w:val="99"/>
    <w:semiHidden/>
    <w:rsid w:val="00FB1ACF"/>
    <w:rPr>
      <w:b/>
      <w:bCs/>
      <w:sz w:val="20"/>
      <w:szCs w:val="20"/>
      <w:lang w:val="en-GB"/>
    </w:rPr>
  </w:style>
  <w:style w:type="paragraph" w:styleId="Revision">
    <w:name w:val="Revision"/>
    <w:hidden/>
    <w:uiPriority w:val="99"/>
    <w:semiHidden/>
    <w:rsid w:val="007B4899"/>
    <w:pPr>
      <w:spacing w:after="0" w:line="240" w:lineRule="auto"/>
    </w:pPr>
    <w:rPr>
      <w:lang w:val="en-GB"/>
    </w:rPr>
  </w:style>
  <w:style w:type="character" w:customStyle="1" w:styleId="cf01">
    <w:name w:val="cf01"/>
    <w:basedOn w:val="DefaultParagraphFont"/>
    <w:rsid w:val="00A774EE"/>
    <w:rPr>
      <w:rFonts w:ascii="Segoe UI" w:hAnsi="Segoe UI" w:cs="Segoe UI" w:hint="default"/>
      <w:sz w:val="18"/>
      <w:szCs w:val="18"/>
    </w:rPr>
  </w:style>
  <w:style w:type="paragraph" w:customStyle="1" w:styleId="pf0">
    <w:name w:val="pf0"/>
    <w:basedOn w:val="Normal"/>
    <w:rsid w:val="00DF10F7"/>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445F3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810516">
      <w:bodyDiv w:val="1"/>
      <w:marLeft w:val="0"/>
      <w:marRight w:val="0"/>
      <w:marTop w:val="0"/>
      <w:marBottom w:val="0"/>
      <w:divBdr>
        <w:top w:val="none" w:sz="0" w:space="0" w:color="auto"/>
        <w:left w:val="none" w:sz="0" w:space="0" w:color="auto"/>
        <w:bottom w:val="none" w:sz="0" w:space="0" w:color="auto"/>
        <w:right w:val="none" w:sz="0" w:space="0" w:color="auto"/>
      </w:divBdr>
      <w:divsChild>
        <w:div w:id="1533111737">
          <w:marLeft w:val="0"/>
          <w:marRight w:val="0"/>
          <w:marTop w:val="0"/>
          <w:marBottom w:val="0"/>
          <w:divBdr>
            <w:top w:val="none" w:sz="0" w:space="0" w:color="auto"/>
            <w:left w:val="none" w:sz="0" w:space="0" w:color="auto"/>
            <w:bottom w:val="none" w:sz="0" w:space="0" w:color="auto"/>
            <w:right w:val="none" w:sz="0" w:space="0" w:color="auto"/>
          </w:divBdr>
          <w:divsChild>
            <w:div w:id="685324957">
              <w:marLeft w:val="0"/>
              <w:marRight w:val="0"/>
              <w:marTop w:val="0"/>
              <w:marBottom w:val="0"/>
              <w:divBdr>
                <w:top w:val="none" w:sz="0" w:space="0" w:color="auto"/>
                <w:left w:val="none" w:sz="0" w:space="0" w:color="auto"/>
                <w:bottom w:val="none" w:sz="0" w:space="0" w:color="auto"/>
                <w:right w:val="none" w:sz="0" w:space="0" w:color="auto"/>
              </w:divBdr>
            </w:div>
            <w:div w:id="1120029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70541">
      <w:bodyDiv w:val="1"/>
      <w:marLeft w:val="0"/>
      <w:marRight w:val="0"/>
      <w:marTop w:val="0"/>
      <w:marBottom w:val="0"/>
      <w:divBdr>
        <w:top w:val="none" w:sz="0" w:space="0" w:color="auto"/>
        <w:left w:val="none" w:sz="0" w:space="0" w:color="auto"/>
        <w:bottom w:val="none" w:sz="0" w:space="0" w:color="auto"/>
        <w:right w:val="none" w:sz="0" w:space="0" w:color="auto"/>
      </w:divBdr>
    </w:div>
    <w:div w:id="164324099">
      <w:bodyDiv w:val="1"/>
      <w:marLeft w:val="0"/>
      <w:marRight w:val="0"/>
      <w:marTop w:val="0"/>
      <w:marBottom w:val="0"/>
      <w:divBdr>
        <w:top w:val="none" w:sz="0" w:space="0" w:color="auto"/>
        <w:left w:val="none" w:sz="0" w:space="0" w:color="auto"/>
        <w:bottom w:val="none" w:sz="0" w:space="0" w:color="auto"/>
        <w:right w:val="none" w:sz="0" w:space="0" w:color="auto"/>
      </w:divBdr>
      <w:divsChild>
        <w:div w:id="1914973381">
          <w:marLeft w:val="0"/>
          <w:marRight w:val="0"/>
          <w:marTop w:val="0"/>
          <w:marBottom w:val="0"/>
          <w:divBdr>
            <w:top w:val="none" w:sz="0" w:space="0" w:color="auto"/>
            <w:left w:val="none" w:sz="0" w:space="0" w:color="auto"/>
            <w:bottom w:val="none" w:sz="0" w:space="0" w:color="auto"/>
            <w:right w:val="none" w:sz="0" w:space="0" w:color="auto"/>
          </w:divBdr>
          <w:divsChild>
            <w:div w:id="169881455">
              <w:marLeft w:val="0"/>
              <w:marRight w:val="0"/>
              <w:marTop w:val="0"/>
              <w:marBottom w:val="0"/>
              <w:divBdr>
                <w:top w:val="none" w:sz="0" w:space="0" w:color="auto"/>
                <w:left w:val="none" w:sz="0" w:space="0" w:color="auto"/>
                <w:bottom w:val="none" w:sz="0" w:space="0" w:color="auto"/>
                <w:right w:val="none" w:sz="0" w:space="0" w:color="auto"/>
              </w:divBdr>
            </w:div>
            <w:div w:id="980428124">
              <w:marLeft w:val="0"/>
              <w:marRight w:val="0"/>
              <w:marTop w:val="0"/>
              <w:marBottom w:val="0"/>
              <w:divBdr>
                <w:top w:val="none" w:sz="0" w:space="0" w:color="auto"/>
                <w:left w:val="none" w:sz="0" w:space="0" w:color="auto"/>
                <w:bottom w:val="none" w:sz="0" w:space="0" w:color="auto"/>
                <w:right w:val="none" w:sz="0" w:space="0" w:color="auto"/>
              </w:divBdr>
            </w:div>
            <w:div w:id="996687510">
              <w:marLeft w:val="0"/>
              <w:marRight w:val="0"/>
              <w:marTop w:val="0"/>
              <w:marBottom w:val="0"/>
              <w:divBdr>
                <w:top w:val="none" w:sz="0" w:space="0" w:color="auto"/>
                <w:left w:val="none" w:sz="0" w:space="0" w:color="auto"/>
                <w:bottom w:val="none" w:sz="0" w:space="0" w:color="auto"/>
                <w:right w:val="none" w:sz="0" w:space="0" w:color="auto"/>
              </w:divBdr>
            </w:div>
            <w:div w:id="1079598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918344">
      <w:bodyDiv w:val="1"/>
      <w:marLeft w:val="0"/>
      <w:marRight w:val="0"/>
      <w:marTop w:val="0"/>
      <w:marBottom w:val="0"/>
      <w:divBdr>
        <w:top w:val="none" w:sz="0" w:space="0" w:color="auto"/>
        <w:left w:val="none" w:sz="0" w:space="0" w:color="auto"/>
        <w:bottom w:val="none" w:sz="0" w:space="0" w:color="auto"/>
        <w:right w:val="none" w:sz="0" w:space="0" w:color="auto"/>
      </w:divBdr>
      <w:divsChild>
        <w:div w:id="2105571372">
          <w:marLeft w:val="360"/>
          <w:marRight w:val="0"/>
          <w:marTop w:val="200"/>
          <w:marBottom w:val="0"/>
          <w:divBdr>
            <w:top w:val="none" w:sz="0" w:space="0" w:color="auto"/>
            <w:left w:val="none" w:sz="0" w:space="0" w:color="auto"/>
            <w:bottom w:val="none" w:sz="0" w:space="0" w:color="auto"/>
            <w:right w:val="none" w:sz="0" w:space="0" w:color="auto"/>
          </w:divBdr>
        </w:div>
        <w:div w:id="1498418577">
          <w:marLeft w:val="360"/>
          <w:marRight w:val="0"/>
          <w:marTop w:val="200"/>
          <w:marBottom w:val="0"/>
          <w:divBdr>
            <w:top w:val="none" w:sz="0" w:space="0" w:color="auto"/>
            <w:left w:val="none" w:sz="0" w:space="0" w:color="auto"/>
            <w:bottom w:val="none" w:sz="0" w:space="0" w:color="auto"/>
            <w:right w:val="none" w:sz="0" w:space="0" w:color="auto"/>
          </w:divBdr>
        </w:div>
        <w:div w:id="564606317">
          <w:marLeft w:val="360"/>
          <w:marRight w:val="0"/>
          <w:marTop w:val="200"/>
          <w:marBottom w:val="0"/>
          <w:divBdr>
            <w:top w:val="none" w:sz="0" w:space="0" w:color="auto"/>
            <w:left w:val="none" w:sz="0" w:space="0" w:color="auto"/>
            <w:bottom w:val="none" w:sz="0" w:space="0" w:color="auto"/>
            <w:right w:val="none" w:sz="0" w:space="0" w:color="auto"/>
          </w:divBdr>
        </w:div>
        <w:div w:id="425811181">
          <w:marLeft w:val="360"/>
          <w:marRight w:val="0"/>
          <w:marTop w:val="200"/>
          <w:marBottom w:val="0"/>
          <w:divBdr>
            <w:top w:val="none" w:sz="0" w:space="0" w:color="auto"/>
            <w:left w:val="none" w:sz="0" w:space="0" w:color="auto"/>
            <w:bottom w:val="none" w:sz="0" w:space="0" w:color="auto"/>
            <w:right w:val="none" w:sz="0" w:space="0" w:color="auto"/>
          </w:divBdr>
        </w:div>
      </w:divsChild>
    </w:div>
    <w:div w:id="254099682">
      <w:bodyDiv w:val="1"/>
      <w:marLeft w:val="0"/>
      <w:marRight w:val="0"/>
      <w:marTop w:val="0"/>
      <w:marBottom w:val="0"/>
      <w:divBdr>
        <w:top w:val="none" w:sz="0" w:space="0" w:color="auto"/>
        <w:left w:val="none" w:sz="0" w:space="0" w:color="auto"/>
        <w:bottom w:val="none" w:sz="0" w:space="0" w:color="auto"/>
        <w:right w:val="none" w:sz="0" w:space="0" w:color="auto"/>
      </w:divBdr>
    </w:div>
    <w:div w:id="255212661">
      <w:bodyDiv w:val="1"/>
      <w:marLeft w:val="0"/>
      <w:marRight w:val="0"/>
      <w:marTop w:val="0"/>
      <w:marBottom w:val="0"/>
      <w:divBdr>
        <w:top w:val="none" w:sz="0" w:space="0" w:color="auto"/>
        <w:left w:val="none" w:sz="0" w:space="0" w:color="auto"/>
        <w:bottom w:val="none" w:sz="0" w:space="0" w:color="auto"/>
        <w:right w:val="none" w:sz="0" w:space="0" w:color="auto"/>
      </w:divBdr>
    </w:div>
    <w:div w:id="261768259">
      <w:bodyDiv w:val="1"/>
      <w:marLeft w:val="0"/>
      <w:marRight w:val="0"/>
      <w:marTop w:val="0"/>
      <w:marBottom w:val="0"/>
      <w:divBdr>
        <w:top w:val="none" w:sz="0" w:space="0" w:color="auto"/>
        <w:left w:val="none" w:sz="0" w:space="0" w:color="auto"/>
        <w:bottom w:val="none" w:sz="0" w:space="0" w:color="auto"/>
        <w:right w:val="none" w:sz="0" w:space="0" w:color="auto"/>
      </w:divBdr>
    </w:div>
    <w:div w:id="306714055">
      <w:bodyDiv w:val="1"/>
      <w:marLeft w:val="0"/>
      <w:marRight w:val="0"/>
      <w:marTop w:val="0"/>
      <w:marBottom w:val="0"/>
      <w:divBdr>
        <w:top w:val="none" w:sz="0" w:space="0" w:color="auto"/>
        <w:left w:val="none" w:sz="0" w:space="0" w:color="auto"/>
        <w:bottom w:val="none" w:sz="0" w:space="0" w:color="auto"/>
        <w:right w:val="none" w:sz="0" w:space="0" w:color="auto"/>
      </w:divBdr>
    </w:div>
    <w:div w:id="390540385">
      <w:bodyDiv w:val="1"/>
      <w:marLeft w:val="0"/>
      <w:marRight w:val="0"/>
      <w:marTop w:val="0"/>
      <w:marBottom w:val="0"/>
      <w:divBdr>
        <w:top w:val="none" w:sz="0" w:space="0" w:color="auto"/>
        <w:left w:val="none" w:sz="0" w:space="0" w:color="auto"/>
        <w:bottom w:val="none" w:sz="0" w:space="0" w:color="auto"/>
        <w:right w:val="none" w:sz="0" w:space="0" w:color="auto"/>
      </w:divBdr>
    </w:div>
    <w:div w:id="402997214">
      <w:bodyDiv w:val="1"/>
      <w:marLeft w:val="0"/>
      <w:marRight w:val="0"/>
      <w:marTop w:val="0"/>
      <w:marBottom w:val="0"/>
      <w:divBdr>
        <w:top w:val="none" w:sz="0" w:space="0" w:color="auto"/>
        <w:left w:val="none" w:sz="0" w:space="0" w:color="auto"/>
        <w:bottom w:val="none" w:sz="0" w:space="0" w:color="auto"/>
        <w:right w:val="none" w:sz="0" w:space="0" w:color="auto"/>
      </w:divBdr>
    </w:div>
    <w:div w:id="435447465">
      <w:bodyDiv w:val="1"/>
      <w:marLeft w:val="0"/>
      <w:marRight w:val="0"/>
      <w:marTop w:val="0"/>
      <w:marBottom w:val="0"/>
      <w:divBdr>
        <w:top w:val="none" w:sz="0" w:space="0" w:color="auto"/>
        <w:left w:val="none" w:sz="0" w:space="0" w:color="auto"/>
        <w:bottom w:val="none" w:sz="0" w:space="0" w:color="auto"/>
        <w:right w:val="none" w:sz="0" w:space="0" w:color="auto"/>
      </w:divBdr>
    </w:div>
    <w:div w:id="503977364">
      <w:bodyDiv w:val="1"/>
      <w:marLeft w:val="0"/>
      <w:marRight w:val="0"/>
      <w:marTop w:val="0"/>
      <w:marBottom w:val="0"/>
      <w:divBdr>
        <w:top w:val="none" w:sz="0" w:space="0" w:color="auto"/>
        <w:left w:val="none" w:sz="0" w:space="0" w:color="auto"/>
        <w:bottom w:val="none" w:sz="0" w:space="0" w:color="auto"/>
        <w:right w:val="none" w:sz="0" w:space="0" w:color="auto"/>
      </w:divBdr>
    </w:div>
    <w:div w:id="508756357">
      <w:bodyDiv w:val="1"/>
      <w:marLeft w:val="0"/>
      <w:marRight w:val="0"/>
      <w:marTop w:val="0"/>
      <w:marBottom w:val="0"/>
      <w:divBdr>
        <w:top w:val="none" w:sz="0" w:space="0" w:color="auto"/>
        <w:left w:val="none" w:sz="0" w:space="0" w:color="auto"/>
        <w:bottom w:val="none" w:sz="0" w:space="0" w:color="auto"/>
        <w:right w:val="none" w:sz="0" w:space="0" w:color="auto"/>
      </w:divBdr>
    </w:div>
    <w:div w:id="509369641">
      <w:bodyDiv w:val="1"/>
      <w:marLeft w:val="0"/>
      <w:marRight w:val="0"/>
      <w:marTop w:val="0"/>
      <w:marBottom w:val="0"/>
      <w:divBdr>
        <w:top w:val="none" w:sz="0" w:space="0" w:color="auto"/>
        <w:left w:val="none" w:sz="0" w:space="0" w:color="auto"/>
        <w:bottom w:val="none" w:sz="0" w:space="0" w:color="auto"/>
        <w:right w:val="none" w:sz="0" w:space="0" w:color="auto"/>
      </w:divBdr>
    </w:div>
    <w:div w:id="512761932">
      <w:bodyDiv w:val="1"/>
      <w:marLeft w:val="0"/>
      <w:marRight w:val="0"/>
      <w:marTop w:val="0"/>
      <w:marBottom w:val="0"/>
      <w:divBdr>
        <w:top w:val="none" w:sz="0" w:space="0" w:color="auto"/>
        <w:left w:val="none" w:sz="0" w:space="0" w:color="auto"/>
        <w:bottom w:val="none" w:sz="0" w:space="0" w:color="auto"/>
        <w:right w:val="none" w:sz="0" w:space="0" w:color="auto"/>
      </w:divBdr>
    </w:div>
    <w:div w:id="569313220">
      <w:bodyDiv w:val="1"/>
      <w:marLeft w:val="0"/>
      <w:marRight w:val="0"/>
      <w:marTop w:val="0"/>
      <w:marBottom w:val="0"/>
      <w:divBdr>
        <w:top w:val="none" w:sz="0" w:space="0" w:color="auto"/>
        <w:left w:val="none" w:sz="0" w:space="0" w:color="auto"/>
        <w:bottom w:val="none" w:sz="0" w:space="0" w:color="auto"/>
        <w:right w:val="none" w:sz="0" w:space="0" w:color="auto"/>
      </w:divBdr>
    </w:div>
    <w:div w:id="598484196">
      <w:bodyDiv w:val="1"/>
      <w:marLeft w:val="0"/>
      <w:marRight w:val="0"/>
      <w:marTop w:val="0"/>
      <w:marBottom w:val="0"/>
      <w:divBdr>
        <w:top w:val="none" w:sz="0" w:space="0" w:color="auto"/>
        <w:left w:val="none" w:sz="0" w:space="0" w:color="auto"/>
        <w:bottom w:val="none" w:sz="0" w:space="0" w:color="auto"/>
        <w:right w:val="none" w:sz="0" w:space="0" w:color="auto"/>
      </w:divBdr>
      <w:divsChild>
        <w:div w:id="527570920">
          <w:marLeft w:val="0"/>
          <w:marRight w:val="0"/>
          <w:marTop w:val="0"/>
          <w:marBottom w:val="0"/>
          <w:divBdr>
            <w:top w:val="none" w:sz="0" w:space="0" w:color="auto"/>
            <w:left w:val="none" w:sz="0" w:space="0" w:color="auto"/>
            <w:bottom w:val="none" w:sz="0" w:space="0" w:color="auto"/>
            <w:right w:val="none" w:sz="0" w:space="0" w:color="auto"/>
          </w:divBdr>
        </w:div>
        <w:div w:id="773013217">
          <w:marLeft w:val="0"/>
          <w:marRight w:val="0"/>
          <w:marTop w:val="0"/>
          <w:marBottom w:val="0"/>
          <w:divBdr>
            <w:top w:val="none" w:sz="0" w:space="0" w:color="auto"/>
            <w:left w:val="none" w:sz="0" w:space="0" w:color="auto"/>
            <w:bottom w:val="none" w:sz="0" w:space="0" w:color="auto"/>
            <w:right w:val="none" w:sz="0" w:space="0" w:color="auto"/>
          </w:divBdr>
        </w:div>
        <w:div w:id="995568048">
          <w:marLeft w:val="0"/>
          <w:marRight w:val="0"/>
          <w:marTop w:val="0"/>
          <w:marBottom w:val="0"/>
          <w:divBdr>
            <w:top w:val="none" w:sz="0" w:space="0" w:color="auto"/>
            <w:left w:val="none" w:sz="0" w:space="0" w:color="auto"/>
            <w:bottom w:val="none" w:sz="0" w:space="0" w:color="auto"/>
            <w:right w:val="none" w:sz="0" w:space="0" w:color="auto"/>
          </w:divBdr>
        </w:div>
        <w:div w:id="1322807852">
          <w:marLeft w:val="0"/>
          <w:marRight w:val="0"/>
          <w:marTop w:val="0"/>
          <w:marBottom w:val="0"/>
          <w:divBdr>
            <w:top w:val="none" w:sz="0" w:space="0" w:color="auto"/>
            <w:left w:val="none" w:sz="0" w:space="0" w:color="auto"/>
            <w:bottom w:val="none" w:sz="0" w:space="0" w:color="auto"/>
            <w:right w:val="none" w:sz="0" w:space="0" w:color="auto"/>
          </w:divBdr>
        </w:div>
        <w:div w:id="1445493683">
          <w:marLeft w:val="0"/>
          <w:marRight w:val="0"/>
          <w:marTop w:val="0"/>
          <w:marBottom w:val="0"/>
          <w:divBdr>
            <w:top w:val="none" w:sz="0" w:space="0" w:color="auto"/>
            <w:left w:val="none" w:sz="0" w:space="0" w:color="auto"/>
            <w:bottom w:val="none" w:sz="0" w:space="0" w:color="auto"/>
            <w:right w:val="none" w:sz="0" w:space="0" w:color="auto"/>
          </w:divBdr>
        </w:div>
      </w:divsChild>
    </w:div>
    <w:div w:id="600064768">
      <w:bodyDiv w:val="1"/>
      <w:marLeft w:val="0"/>
      <w:marRight w:val="0"/>
      <w:marTop w:val="0"/>
      <w:marBottom w:val="0"/>
      <w:divBdr>
        <w:top w:val="none" w:sz="0" w:space="0" w:color="auto"/>
        <w:left w:val="none" w:sz="0" w:space="0" w:color="auto"/>
        <w:bottom w:val="none" w:sz="0" w:space="0" w:color="auto"/>
        <w:right w:val="none" w:sz="0" w:space="0" w:color="auto"/>
      </w:divBdr>
    </w:div>
    <w:div w:id="629435501">
      <w:bodyDiv w:val="1"/>
      <w:marLeft w:val="0"/>
      <w:marRight w:val="0"/>
      <w:marTop w:val="0"/>
      <w:marBottom w:val="0"/>
      <w:divBdr>
        <w:top w:val="none" w:sz="0" w:space="0" w:color="auto"/>
        <w:left w:val="none" w:sz="0" w:space="0" w:color="auto"/>
        <w:bottom w:val="none" w:sz="0" w:space="0" w:color="auto"/>
        <w:right w:val="none" w:sz="0" w:space="0" w:color="auto"/>
      </w:divBdr>
    </w:div>
    <w:div w:id="632177959">
      <w:bodyDiv w:val="1"/>
      <w:marLeft w:val="0"/>
      <w:marRight w:val="0"/>
      <w:marTop w:val="0"/>
      <w:marBottom w:val="0"/>
      <w:divBdr>
        <w:top w:val="none" w:sz="0" w:space="0" w:color="auto"/>
        <w:left w:val="none" w:sz="0" w:space="0" w:color="auto"/>
        <w:bottom w:val="none" w:sz="0" w:space="0" w:color="auto"/>
        <w:right w:val="none" w:sz="0" w:space="0" w:color="auto"/>
      </w:divBdr>
    </w:div>
    <w:div w:id="640496825">
      <w:bodyDiv w:val="1"/>
      <w:marLeft w:val="0"/>
      <w:marRight w:val="0"/>
      <w:marTop w:val="0"/>
      <w:marBottom w:val="0"/>
      <w:divBdr>
        <w:top w:val="none" w:sz="0" w:space="0" w:color="auto"/>
        <w:left w:val="none" w:sz="0" w:space="0" w:color="auto"/>
        <w:bottom w:val="none" w:sz="0" w:space="0" w:color="auto"/>
        <w:right w:val="none" w:sz="0" w:space="0" w:color="auto"/>
      </w:divBdr>
      <w:divsChild>
        <w:div w:id="642585068">
          <w:marLeft w:val="0"/>
          <w:marRight w:val="0"/>
          <w:marTop w:val="0"/>
          <w:marBottom w:val="0"/>
          <w:divBdr>
            <w:top w:val="none" w:sz="0" w:space="0" w:color="auto"/>
            <w:left w:val="none" w:sz="0" w:space="0" w:color="auto"/>
            <w:bottom w:val="none" w:sz="0" w:space="0" w:color="auto"/>
            <w:right w:val="none" w:sz="0" w:space="0" w:color="auto"/>
          </w:divBdr>
          <w:divsChild>
            <w:div w:id="344551696">
              <w:marLeft w:val="0"/>
              <w:marRight w:val="0"/>
              <w:marTop w:val="0"/>
              <w:marBottom w:val="0"/>
              <w:divBdr>
                <w:top w:val="none" w:sz="0" w:space="0" w:color="auto"/>
                <w:left w:val="none" w:sz="0" w:space="0" w:color="auto"/>
                <w:bottom w:val="none" w:sz="0" w:space="0" w:color="auto"/>
                <w:right w:val="none" w:sz="0" w:space="0" w:color="auto"/>
              </w:divBdr>
            </w:div>
            <w:div w:id="369960912">
              <w:marLeft w:val="0"/>
              <w:marRight w:val="0"/>
              <w:marTop w:val="0"/>
              <w:marBottom w:val="0"/>
              <w:divBdr>
                <w:top w:val="none" w:sz="0" w:space="0" w:color="auto"/>
                <w:left w:val="none" w:sz="0" w:space="0" w:color="auto"/>
                <w:bottom w:val="none" w:sz="0" w:space="0" w:color="auto"/>
                <w:right w:val="none" w:sz="0" w:space="0" w:color="auto"/>
              </w:divBdr>
            </w:div>
            <w:div w:id="602424279">
              <w:marLeft w:val="0"/>
              <w:marRight w:val="0"/>
              <w:marTop w:val="0"/>
              <w:marBottom w:val="0"/>
              <w:divBdr>
                <w:top w:val="none" w:sz="0" w:space="0" w:color="auto"/>
                <w:left w:val="none" w:sz="0" w:space="0" w:color="auto"/>
                <w:bottom w:val="none" w:sz="0" w:space="0" w:color="auto"/>
                <w:right w:val="none" w:sz="0" w:space="0" w:color="auto"/>
              </w:divBdr>
            </w:div>
            <w:div w:id="722825710">
              <w:marLeft w:val="0"/>
              <w:marRight w:val="0"/>
              <w:marTop w:val="0"/>
              <w:marBottom w:val="0"/>
              <w:divBdr>
                <w:top w:val="none" w:sz="0" w:space="0" w:color="auto"/>
                <w:left w:val="none" w:sz="0" w:space="0" w:color="auto"/>
                <w:bottom w:val="none" w:sz="0" w:space="0" w:color="auto"/>
                <w:right w:val="none" w:sz="0" w:space="0" w:color="auto"/>
              </w:divBdr>
            </w:div>
            <w:div w:id="1291324951">
              <w:marLeft w:val="0"/>
              <w:marRight w:val="0"/>
              <w:marTop w:val="0"/>
              <w:marBottom w:val="0"/>
              <w:divBdr>
                <w:top w:val="none" w:sz="0" w:space="0" w:color="auto"/>
                <w:left w:val="none" w:sz="0" w:space="0" w:color="auto"/>
                <w:bottom w:val="none" w:sz="0" w:space="0" w:color="auto"/>
                <w:right w:val="none" w:sz="0" w:space="0" w:color="auto"/>
              </w:divBdr>
            </w:div>
            <w:div w:id="1452434309">
              <w:marLeft w:val="0"/>
              <w:marRight w:val="0"/>
              <w:marTop w:val="0"/>
              <w:marBottom w:val="0"/>
              <w:divBdr>
                <w:top w:val="none" w:sz="0" w:space="0" w:color="auto"/>
                <w:left w:val="none" w:sz="0" w:space="0" w:color="auto"/>
                <w:bottom w:val="none" w:sz="0" w:space="0" w:color="auto"/>
                <w:right w:val="none" w:sz="0" w:space="0" w:color="auto"/>
              </w:divBdr>
            </w:div>
            <w:div w:id="1890874069">
              <w:marLeft w:val="0"/>
              <w:marRight w:val="0"/>
              <w:marTop w:val="0"/>
              <w:marBottom w:val="0"/>
              <w:divBdr>
                <w:top w:val="none" w:sz="0" w:space="0" w:color="auto"/>
                <w:left w:val="none" w:sz="0" w:space="0" w:color="auto"/>
                <w:bottom w:val="none" w:sz="0" w:space="0" w:color="auto"/>
                <w:right w:val="none" w:sz="0" w:space="0" w:color="auto"/>
              </w:divBdr>
            </w:div>
            <w:div w:id="1923292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646187">
      <w:bodyDiv w:val="1"/>
      <w:marLeft w:val="0"/>
      <w:marRight w:val="0"/>
      <w:marTop w:val="0"/>
      <w:marBottom w:val="0"/>
      <w:divBdr>
        <w:top w:val="none" w:sz="0" w:space="0" w:color="auto"/>
        <w:left w:val="none" w:sz="0" w:space="0" w:color="auto"/>
        <w:bottom w:val="none" w:sz="0" w:space="0" w:color="auto"/>
        <w:right w:val="none" w:sz="0" w:space="0" w:color="auto"/>
      </w:divBdr>
      <w:divsChild>
        <w:div w:id="1475682728">
          <w:marLeft w:val="0"/>
          <w:marRight w:val="0"/>
          <w:marTop w:val="0"/>
          <w:marBottom w:val="0"/>
          <w:divBdr>
            <w:top w:val="none" w:sz="0" w:space="0" w:color="auto"/>
            <w:left w:val="none" w:sz="0" w:space="0" w:color="auto"/>
            <w:bottom w:val="none" w:sz="0" w:space="0" w:color="auto"/>
            <w:right w:val="none" w:sz="0" w:space="0" w:color="auto"/>
          </w:divBdr>
          <w:divsChild>
            <w:div w:id="323707286">
              <w:marLeft w:val="0"/>
              <w:marRight w:val="0"/>
              <w:marTop w:val="0"/>
              <w:marBottom w:val="0"/>
              <w:divBdr>
                <w:top w:val="none" w:sz="0" w:space="0" w:color="auto"/>
                <w:left w:val="none" w:sz="0" w:space="0" w:color="auto"/>
                <w:bottom w:val="none" w:sz="0" w:space="0" w:color="auto"/>
                <w:right w:val="none" w:sz="0" w:space="0" w:color="auto"/>
              </w:divBdr>
            </w:div>
            <w:div w:id="837814855">
              <w:marLeft w:val="0"/>
              <w:marRight w:val="0"/>
              <w:marTop w:val="0"/>
              <w:marBottom w:val="0"/>
              <w:divBdr>
                <w:top w:val="none" w:sz="0" w:space="0" w:color="auto"/>
                <w:left w:val="none" w:sz="0" w:space="0" w:color="auto"/>
                <w:bottom w:val="none" w:sz="0" w:space="0" w:color="auto"/>
                <w:right w:val="none" w:sz="0" w:space="0" w:color="auto"/>
              </w:divBdr>
            </w:div>
            <w:div w:id="1149589584">
              <w:marLeft w:val="0"/>
              <w:marRight w:val="0"/>
              <w:marTop w:val="0"/>
              <w:marBottom w:val="0"/>
              <w:divBdr>
                <w:top w:val="none" w:sz="0" w:space="0" w:color="auto"/>
                <w:left w:val="none" w:sz="0" w:space="0" w:color="auto"/>
                <w:bottom w:val="none" w:sz="0" w:space="0" w:color="auto"/>
                <w:right w:val="none" w:sz="0" w:space="0" w:color="auto"/>
              </w:divBdr>
            </w:div>
            <w:div w:id="1335454061">
              <w:marLeft w:val="0"/>
              <w:marRight w:val="0"/>
              <w:marTop w:val="0"/>
              <w:marBottom w:val="0"/>
              <w:divBdr>
                <w:top w:val="none" w:sz="0" w:space="0" w:color="auto"/>
                <w:left w:val="none" w:sz="0" w:space="0" w:color="auto"/>
                <w:bottom w:val="none" w:sz="0" w:space="0" w:color="auto"/>
                <w:right w:val="none" w:sz="0" w:space="0" w:color="auto"/>
              </w:divBdr>
            </w:div>
            <w:div w:id="1777359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141493">
      <w:bodyDiv w:val="1"/>
      <w:marLeft w:val="0"/>
      <w:marRight w:val="0"/>
      <w:marTop w:val="0"/>
      <w:marBottom w:val="0"/>
      <w:divBdr>
        <w:top w:val="none" w:sz="0" w:space="0" w:color="auto"/>
        <w:left w:val="none" w:sz="0" w:space="0" w:color="auto"/>
        <w:bottom w:val="none" w:sz="0" w:space="0" w:color="auto"/>
        <w:right w:val="none" w:sz="0" w:space="0" w:color="auto"/>
      </w:divBdr>
    </w:div>
    <w:div w:id="791678509">
      <w:bodyDiv w:val="1"/>
      <w:marLeft w:val="0"/>
      <w:marRight w:val="0"/>
      <w:marTop w:val="0"/>
      <w:marBottom w:val="0"/>
      <w:divBdr>
        <w:top w:val="none" w:sz="0" w:space="0" w:color="auto"/>
        <w:left w:val="none" w:sz="0" w:space="0" w:color="auto"/>
        <w:bottom w:val="none" w:sz="0" w:space="0" w:color="auto"/>
        <w:right w:val="none" w:sz="0" w:space="0" w:color="auto"/>
      </w:divBdr>
    </w:div>
    <w:div w:id="866865614">
      <w:bodyDiv w:val="1"/>
      <w:marLeft w:val="0"/>
      <w:marRight w:val="0"/>
      <w:marTop w:val="0"/>
      <w:marBottom w:val="0"/>
      <w:divBdr>
        <w:top w:val="none" w:sz="0" w:space="0" w:color="auto"/>
        <w:left w:val="none" w:sz="0" w:space="0" w:color="auto"/>
        <w:bottom w:val="none" w:sz="0" w:space="0" w:color="auto"/>
        <w:right w:val="none" w:sz="0" w:space="0" w:color="auto"/>
      </w:divBdr>
    </w:div>
    <w:div w:id="871773307">
      <w:bodyDiv w:val="1"/>
      <w:marLeft w:val="0"/>
      <w:marRight w:val="0"/>
      <w:marTop w:val="0"/>
      <w:marBottom w:val="0"/>
      <w:divBdr>
        <w:top w:val="none" w:sz="0" w:space="0" w:color="auto"/>
        <w:left w:val="none" w:sz="0" w:space="0" w:color="auto"/>
        <w:bottom w:val="none" w:sz="0" w:space="0" w:color="auto"/>
        <w:right w:val="none" w:sz="0" w:space="0" w:color="auto"/>
      </w:divBdr>
    </w:div>
    <w:div w:id="872763903">
      <w:bodyDiv w:val="1"/>
      <w:marLeft w:val="0"/>
      <w:marRight w:val="0"/>
      <w:marTop w:val="0"/>
      <w:marBottom w:val="0"/>
      <w:divBdr>
        <w:top w:val="none" w:sz="0" w:space="0" w:color="auto"/>
        <w:left w:val="none" w:sz="0" w:space="0" w:color="auto"/>
        <w:bottom w:val="none" w:sz="0" w:space="0" w:color="auto"/>
        <w:right w:val="none" w:sz="0" w:space="0" w:color="auto"/>
      </w:divBdr>
    </w:div>
    <w:div w:id="921528220">
      <w:bodyDiv w:val="1"/>
      <w:marLeft w:val="0"/>
      <w:marRight w:val="0"/>
      <w:marTop w:val="0"/>
      <w:marBottom w:val="0"/>
      <w:divBdr>
        <w:top w:val="none" w:sz="0" w:space="0" w:color="auto"/>
        <w:left w:val="none" w:sz="0" w:space="0" w:color="auto"/>
        <w:bottom w:val="none" w:sz="0" w:space="0" w:color="auto"/>
        <w:right w:val="none" w:sz="0" w:space="0" w:color="auto"/>
      </w:divBdr>
    </w:div>
    <w:div w:id="981620335">
      <w:bodyDiv w:val="1"/>
      <w:marLeft w:val="0"/>
      <w:marRight w:val="0"/>
      <w:marTop w:val="0"/>
      <w:marBottom w:val="0"/>
      <w:divBdr>
        <w:top w:val="none" w:sz="0" w:space="0" w:color="auto"/>
        <w:left w:val="none" w:sz="0" w:space="0" w:color="auto"/>
        <w:bottom w:val="none" w:sz="0" w:space="0" w:color="auto"/>
        <w:right w:val="none" w:sz="0" w:space="0" w:color="auto"/>
      </w:divBdr>
    </w:div>
    <w:div w:id="1004627456">
      <w:bodyDiv w:val="1"/>
      <w:marLeft w:val="0"/>
      <w:marRight w:val="0"/>
      <w:marTop w:val="0"/>
      <w:marBottom w:val="0"/>
      <w:divBdr>
        <w:top w:val="none" w:sz="0" w:space="0" w:color="auto"/>
        <w:left w:val="none" w:sz="0" w:space="0" w:color="auto"/>
        <w:bottom w:val="none" w:sz="0" w:space="0" w:color="auto"/>
        <w:right w:val="none" w:sz="0" w:space="0" w:color="auto"/>
      </w:divBdr>
    </w:div>
    <w:div w:id="1049913666">
      <w:bodyDiv w:val="1"/>
      <w:marLeft w:val="0"/>
      <w:marRight w:val="0"/>
      <w:marTop w:val="0"/>
      <w:marBottom w:val="0"/>
      <w:divBdr>
        <w:top w:val="none" w:sz="0" w:space="0" w:color="auto"/>
        <w:left w:val="none" w:sz="0" w:space="0" w:color="auto"/>
        <w:bottom w:val="none" w:sz="0" w:space="0" w:color="auto"/>
        <w:right w:val="none" w:sz="0" w:space="0" w:color="auto"/>
      </w:divBdr>
    </w:div>
    <w:div w:id="1056780402">
      <w:bodyDiv w:val="1"/>
      <w:marLeft w:val="0"/>
      <w:marRight w:val="0"/>
      <w:marTop w:val="0"/>
      <w:marBottom w:val="0"/>
      <w:divBdr>
        <w:top w:val="none" w:sz="0" w:space="0" w:color="auto"/>
        <w:left w:val="none" w:sz="0" w:space="0" w:color="auto"/>
        <w:bottom w:val="none" w:sz="0" w:space="0" w:color="auto"/>
        <w:right w:val="none" w:sz="0" w:space="0" w:color="auto"/>
      </w:divBdr>
    </w:div>
    <w:div w:id="1059135187">
      <w:bodyDiv w:val="1"/>
      <w:marLeft w:val="0"/>
      <w:marRight w:val="0"/>
      <w:marTop w:val="0"/>
      <w:marBottom w:val="0"/>
      <w:divBdr>
        <w:top w:val="none" w:sz="0" w:space="0" w:color="auto"/>
        <w:left w:val="none" w:sz="0" w:space="0" w:color="auto"/>
        <w:bottom w:val="none" w:sz="0" w:space="0" w:color="auto"/>
        <w:right w:val="none" w:sz="0" w:space="0" w:color="auto"/>
      </w:divBdr>
    </w:div>
    <w:div w:id="1108962868">
      <w:bodyDiv w:val="1"/>
      <w:marLeft w:val="0"/>
      <w:marRight w:val="0"/>
      <w:marTop w:val="0"/>
      <w:marBottom w:val="0"/>
      <w:divBdr>
        <w:top w:val="none" w:sz="0" w:space="0" w:color="auto"/>
        <w:left w:val="none" w:sz="0" w:space="0" w:color="auto"/>
        <w:bottom w:val="none" w:sz="0" w:space="0" w:color="auto"/>
        <w:right w:val="none" w:sz="0" w:space="0" w:color="auto"/>
      </w:divBdr>
      <w:divsChild>
        <w:div w:id="176431268">
          <w:marLeft w:val="0"/>
          <w:marRight w:val="0"/>
          <w:marTop w:val="0"/>
          <w:marBottom w:val="0"/>
          <w:divBdr>
            <w:top w:val="none" w:sz="0" w:space="0" w:color="auto"/>
            <w:left w:val="none" w:sz="0" w:space="0" w:color="auto"/>
            <w:bottom w:val="none" w:sz="0" w:space="0" w:color="auto"/>
            <w:right w:val="none" w:sz="0" w:space="0" w:color="auto"/>
          </w:divBdr>
          <w:divsChild>
            <w:div w:id="1518731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0801837">
      <w:bodyDiv w:val="1"/>
      <w:marLeft w:val="0"/>
      <w:marRight w:val="0"/>
      <w:marTop w:val="0"/>
      <w:marBottom w:val="0"/>
      <w:divBdr>
        <w:top w:val="none" w:sz="0" w:space="0" w:color="auto"/>
        <w:left w:val="none" w:sz="0" w:space="0" w:color="auto"/>
        <w:bottom w:val="none" w:sz="0" w:space="0" w:color="auto"/>
        <w:right w:val="none" w:sz="0" w:space="0" w:color="auto"/>
      </w:divBdr>
    </w:div>
    <w:div w:id="1206984069">
      <w:bodyDiv w:val="1"/>
      <w:marLeft w:val="0"/>
      <w:marRight w:val="0"/>
      <w:marTop w:val="0"/>
      <w:marBottom w:val="0"/>
      <w:divBdr>
        <w:top w:val="none" w:sz="0" w:space="0" w:color="auto"/>
        <w:left w:val="none" w:sz="0" w:space="0" w:color="auto"/>
        <w:bottom w:val="none" w:sz="0" w:space="0" w:color="auto"/>
        <w:right w:val="none" w:sz="0" w:space="0" w:color="auto"/>
      </w:divBdr>
    </w:div>
    <w:div w:id="1228808674">
      <w:bodyDiv w:val="1"/>
      <w:marLeft w:val="0"/>
      <w:marRight w:val="0"/>
      <w:marTop w:val="0"/>
      <w:marBottom w:val="0"/>
      <w:divBdr>
        <w:top w:val="none" w:sz="0" w:space="0" w:color="auto"/>
        <w:left w:val="none" w:sz="0" w:space="0" w:color="auto"/>
        <w:bottom w:val="none" w:sz="0" w:space="0" w:color="auto"/>
        <w:right w:val="none" w:sz="0" w:space="0" w:color="auto"/>
      </w:divBdr>
    </w:div>
    <w:div w:id="1233588519">
      <w:bodyDiv w:val="1"/>
      <w:marLeft w:val="0"/>
      <w:marRight w:val="0"/>
      <w:marTop w:val="0"/>
      <w:marBottom w:val="0"/>
      <w:divBdr>
        <w:top w:val="none" w:sz="0" w:space="0" w:color="auto"/>
        <w:left w:val="none" w:sz="0" w:space="0" w:color="auto"/>
        <w:bottom w:val="none" w:sz="0" w:space="0" w:color="auto"/>
        <w:right w:val="none" w:sz="0" w:space="0" w:color="auto"/>
      </w:divBdr>
      <w:divsChild>
        <w:div w:id="608784208">
          <w:marLeft w:val="0"/>
          <w:marRight w:val="0"/>
          <w:marTop w:val="0"/>
          <w:marBottom w:val="0"/>
          <w:divBdr>
            <w:top w:val="none" w:sz="0" w:space="0" w:color="auto"/>
            <w:left w:val="none" w:sz="0" w:space="0" w:color="auto"/>
            <w:bottom w:val="none" w:sz="0" w:space="0" w:color="auto"/>
            <w:right w:val="none" w:sz="0" w:space="0" w:color="auto"/>
          </w:divBdr>
        </w:div>
      </w:divsChild>
    </w:div>
    <w:div w:id="1293554339">
      <w:bodyDiv w:val="1"/>
      <w:marLeft w:val="0"/>
      <w:marRight w:val="0"/>
      <w:marTop w:val="0"/>
      <w:marBottom w:val="0"/>
      <w:divBdr>
        <w:top w:val="none" w:sz="0" w:space="0" w:color="auto"/>
        <w:left w:val="none" w:sz="0" w:space="0" w:color="auto"/>
        <w:bottom w:val="none" w:sz="0" w:space="0" w:color="auto"/>
        <w:right w:val="none" w:sz="0" w:space="0" w:color="auto"/>
      </w:divBdr>
      <w:divsChild>
        <w:div w:id="322049865">
          <w:marLeft w:val="0"/>
          <w:marRight w:val="0"/>
          <w:marTop w:val="0"/>
          <w:marBottom w:val="0"/>
          <w:divBdr>
            <w:top w:val="none" w:sz="0" w:space="0" w:color="auto"/>
            <w:left w:val="none" w:sz="0" w:space="0" w:color="auto"/>
            <w:bottom w:val="none" w:sz="0" w:space="0" w:color="auto"/>
            <w:right w:val="none" w:sz="0" w:space="0" w:color="auto"/>
          </w:divBdr>
        </w:div>
      </w:divsChild>
    </w:div>
    <w:div w:id="1336766883">
      <w:bodyDiv w:val="1"/>
      <w:marLeft w:val="0"/>
      <w:marRight w:val="0"/>
      <w:marTop w:val="0"/>
      <w:marBottom w:val="0"/>
      <w:divBdr>
        <w:top w:val="none" w:sz="0" w:space="0" w:color="auto"/>
        <w:left w:val="none" w:sz="0" w:space="0" w:color="auto"/>
        <w:bottom w:val="none" w:sz="0" w:space="0" w:color="auto"/>
        <w:right w:val="none" w:sz="0" w:space="0" w:color="auto"/>
      </w:divBdr>
    </w:div>
    <w:div w:id="1365205779">
      <w:bodyDiv w:val="1"/>
      <w:marLeft w:val="0"/>
      <w:marRight w:val="0"/>
      <w:marTop w:val="0"/>
      <w:marBottom w:val="0"/>
      <w:divBdr>
        <w:top w:val="none" w:sz="0" w:space="0" w:color="auto"/>
        <w:left w:val="none" w:sz="0" w:space="0" w:color="auto"/>
        <w:bottom w:val="none" w:sz="0" w:space="0" w:color="auto"/>
        <w:right w:val="none" w:sz="0" w:space="0" w:color="auto"/>
      </w:divBdr>
    </w:div>
    <w:div w:id="1378776101">
      <w:bodyDiv w:val="1"/>
      <w:marLeft w:val="0"/>
      <w:marRight w:val="0"/>
      <w:marTop w:val="0"/>
      <w:marBottom w:val="0"/>
      <w:divBdr>
        <w:top w:val="none" w:sz="0" w:space="0" w:color="auto"/>
        <w:left w:val="none" w:sz="0" w:space="0" w:color="auto"/>
        <w:bottom w:val="none" w:sz="0" w:space="0" w:color="auto"/>
        <w:right w:val="none" w:sz="0" w:space="0" w:color="auto"/>
      </w:divBdr>
    </w:div>
    <w:div w:id="1388795114">
      <w:bodyDiv w:val="1"/>
      <w:marLeft w:val="0"/>
      <w:marRight w:val="0"/>
      <w:marTop w:val="0"/>
      <w:marBottom w:val="0"/>
      <w:divBdr>
        <w:top w:val="none" w:sz="0" w:space="0" w:color="auto"/>
        <w:left w:val="none" w:sz="0" w:space="0" w:color="auto"/>
        <w:bottom w:val="none" w:sz="0" w:space="0" w:color="auto"/>
        <w:right w:val="none" w:sz="0" w:space="0" w:color="auto"/>
      </w:divBdr>
      <w:divsChild>
        <w:div w:id="159930803">
          <w:marLeft w:val="0"/>
          <w:marRight w:val="0"/>
          <w:marTop w:val="0"/>
          <w:marBottom w:val="0"/>
          <w:divBdr>
            <w:top w:val="none" w:sz="0" w:space="0" w:color="auto"/>
            <w:left w:val="none" w:sz="0" w:space="0" w:color="auto"/>
            <w:bottom w:val="none" w:sz="0" w:space="0" w:color="auto"/>
            <w:right w:val="none" w:sz="0" w:space="0" w:color="auto"/>
          </w:divBdr>
        </w:div>
        <w:div w:id="310406627">
          <w:marLeft w:val="0"/>
          <w:marRight w:val="0"/>
          <w:marTop w:val="0"/>
          <w:marBottom w:val="0"/>
          <w:divBdr>
            <w:top w:val="none" w:sz="0" w:space="0" w:color="auto"/>
            <w:left w:val="none" w:sz="0" w:space="0" w:color="auto"/>
            <w:bottom w:val="none" w:sz="0" w:space="0" w:color="auto"/>
            <w:right w:val="none" w:sz="0" w:space="0" w:color="auto"/>
          </w:divBdr>
        </w:div>
        <w:div w:id="830490391">
          <w:marLeft w:val="0"/>
          <w:marRight w:val="0"/>
          <w:marTop w:val="0"/>
          <w:marBottom w:val="0"/>
          <w:divBdr>
            <w:top w:val="none" w:sz="0" w:space="0" w:color="auto"/>
            <w:left w:val="none" w:sz="0" w:space="0" w:color="auto"/>
            <w:bottom w:val="none" w:sz="0" w:space="0" w:color="auto"/>
            <w:right w:val="none" w:sz="0" w:space="0" w:color="auto"/>
          </w:divBdr>
        </w:div>
        <w:div w:id="961883921">
          <w:marLeft w:val="0"/>
          <w:marRight w:val="0"/>
          <w:marTop w:val="0"/>
          <w:marBottom w:val="0"/>
          <w:divBdr>
            <w:top w:val="none" w:sz="0" w:space="0" w:color="auto"/>
            <w:left w:val="none" w:sz="0" w:space="0" w:color="auto"/>
            <w:bottom w:val="none" w:sz="0" w:space="0" w:color="auto"/>
            <w:right w:val="none" w:sz="0" w:space="0" w:color="auto"/>
          </w:divBdr>
        </w:div>
        <w:div w:id="1099063325">
          <w:marLeft w:val="0"/>
          <w:marRight w:val="0"/>
          <w:marTop w:val="0"/>
          <w:marBottom w:val="0"/>
          <w:divBdr>
            <w:top w:val="none" w:sz="0" w:space="0" w:color="auto"/>
            <w:left w:val="none" w:sz="0" w:space="0" w:color="auto"/>
            <w:bottom w:val="none" w:sz="0" w:space="0" w:color="auto"/>
            <w:right w:val="none" w:sz="0" w:space="0" w:color="auto"/>
          </w:divBdr>
        </w:div>
        <w:div w:id="1179612830">
          <w:marLeft w:val="0"/>
          <w:marRight w:val="0"/>
          <w:marTop w:val="0"/>
          <w:marBottom w:val="0"/>
          <w:divBdr>
            <w:top w:val="none" w:sz="0" w:space="0" w:color="auto"/>
            <w:left w:val="none" w:sz="0" w:space="0" w:color="auto"/>
            <w:bottom w:val="none" w:sz="0" w:space="0" w:color="auto"/>
            <w:right w:val="none" w:sz="0" w:space="0" w:color="auto"/>
          </w:divBdr>
        </w:div>
        <w:div w:id="1238518153">
          <w:marLeft w:val="0"/>
          <w:marRight w:val="0"/>
          <w:marTop w:val="0"/>
          <w:marBottom w:val="0"/>
          <w:divBdr>
            <w:top w:val="none" w:sz="0" w:space="0" w:color="auto"/>
            <w:left w:val="none" w:sz="0" w:space="0" w:color="auto"/>
            <w:bottom w:val="none" w:sz="0" w:space="0" w:color="auto"/>
            <w:right w:val="none" w:sz="0" w:space="0" w:color="auto"/>
          </w:divBdr>
        </w:div>
        <w:div w:id="1403021256">
          <w:marLeft w:val="0"/>
          <w:marRight w:val="0"/>
          <w:marTop w:val="0"/>
          <w:marBottom w:val="0"/>
          <w:divBdr>
            <w:top w:val="none" w:sz="0" w:space="0" w:color="auto"/>
            <w:left w:val="none" w:sz="0" w:space="0" w:color="auto"/>
            <w:bottom w:val="none" w:sz="0" w:space="0" w:color="auto"/>
            <w:right w:val="none" w:sz="0" w:space="0" w:color="auto"/>
          </w:divBdr>
        </w:div>
        <w:div w:id="1549221729">
          <w:marLeft w:val="0"/>
          <w:marRight w:val="0"/>
          <w:marTop w:val="0"/>
          <w:marBottom w:val="0"/>
          <w:divBdr>
            <w:top w:val="none" w:sz="0" w:space="0" w:color="auto"/>
            <w:left w:val="none" w:sz="0" w:space="0" w:color="auto"/>
            <w:bottom w:val="none" w:sz="0" w:space="0" w:color="auto"/>
            <w:right w:val="none" w:sz="0" w:space="0" w:color="auto"/>
          </w:divBdr>
        </w:div>
      </w:divsChild>
    </w:div>
    <w:div w:id="1397894259">
      <w:bodyDiv w:val="1"/>
      <w:marLeft w:val="0"/>
      <w:marRight w:val="0"/>
      <w:marTop w:val="0"/>
      <w:marBottom w:val="0"/>
      <w:divBdr>
        <w:top w:val="none" w:sz="0" w:space="0" w:color="auto"/>
        <w:left w:val="none" w:sz="0" w:space="0" w:color="auto"/>
        <w:bottom w:val="none" w:sz="0" w:space="0" w:color="auto"/>
        <w:right w:val="none" w:sz="0" w:space="0" w:color="auto"/>
      </w:divBdr>
    </w:div>
    <w:div w:id="1439108297">
      <w:bodyDiv w:val="1"/>
      <w:marLeft w:val="0"/>
      <w:marRight w:val="0"/>
      <w:marTop w:val="0"/>
      <w:marBottom w:val="0"/>
      <w:divBdr>
        <w:top w:val="none" w:sz="0" w:space="0" w:color="auto"/>
        <w:left w:val="none" w:sz="0" w:space="0" w:color="auto"/>
        <w:bottom w:val="none" w:sz="0" w:space="0" w:color="auto"/>
        <w:right w:val="none" w:sz="0" w:space="0" w:color="auto"/>
      </w:divBdr>
    </w:div>
    <w:div w:id="1445996818">
      <w:bodyDiv w:val="1"/>
      <w:marLeft w:val="0"/>
      <w:marRight w:val="0"/>
      <w:marTop w:val="0"/>
      <w:marBottom w:val="0"/>
      <w:divBdr>
        <w:top w:val="none" w:sz="0" w:space="0" w:color="auto"/>
        <w:left w:val="none" w:sz="0" w:space="0" w:color="auto"/>
        <w:bottom w:val="none" w:sz="0" w:space="0" w:color="auto"/>
        <w:right w:val="none" w:sz="0" w:space="0" w:color="auto"/>
      </w:divBdr>
    </w:div>
    <w:div w:id="1448964487">
      <w:bodyDiv w:val="1"/>
      <w:marLeft w:val="0"/>
      <w:marRight w:val="0"/>
      <w:marTop w:val="0"/>
      <w:marBottom w:val="0"/>
      <w:divBdr>
        <w:top w:val="none" w:sz="0" w:space="0" w:color="auto"/>
        <w:left w:val="none" w:sz="0" w:space="0" w:color="auto"/>
        <w:bottom w:val="none" w:sz="0" w:space="0" w:color="auto"/>
        <w:right w:val="none" w:sz="0" w:space="0" w:color="auto"/>
      </w:divBdr>
    </w:div>
    <w:div w:id="1473058343">
      <w:bodyDiv w:val="1"/>
      <w:marLeft w:val="0"/>
      <w:marRight w:val="0"/>
      <w:marTop w:val="0"/>
      <w:marBottom w:val="0"/>
      <w:divBdr>
        <w:top w:val="none" w:sz="0" w:space="0" w:color="auto"/>
        <w:left w:val="none" w:sz="0" w:space="0" w:color="auto"/>
        <w:bottom w:val="none" w:sz="0" w:space="0" w:color="auto"/>
        <w:right w:val="none" w:sz="0" w:space="0" w:color="auto"/>
      </w:divBdr>
    </w:div>
    <w:div w:id="1487626976">
      <w:bodyDiv w:val="1"/>
      <w:marLeft w:val="0"/>
      <w:marRight w:val="0"/>
      <w:marTop w:val="0"/>
      <w:marBottom w:val="0"/>
      <w:divBdr>
        <w:top w:val="none" w:sz="0" w:space="0" w:color="auto"/>
        <w:left w:val="none" w:sz="0" w:space="0" w:color="auto"/>
        <w:bottom w:val="none" w:sz="0" w:space="0" w:color="auto"/>
        <w:right w:val="none" w:sz="0" w:space="0" w:color="auto"/>
      </w:divBdr>
    </w:div>
    <w:div w:id="1506744554">
      <w:bodyDiv w:val="1"/>
      <w:marLeft w:val="0"/>
      <w:marRight w:val="0"/>
      <w:marTop w:val="0"/>
      <w:marBottom w:val="0"/>
      <w:divBdr>
        <w:top w:val="none" w:sz="0" w:space="0" w:color="auto"/>
        <w:left w:val="none" w:sz="0" w:space="0" w:color="auto"/>
        <w:bottom w:val="none" w:sz="0" w:space="0" w:color="auto"/>
        <w:right w:val="none" w:sz="0" w:space="0" w:color="auto"/>
      </w:divBdr>
    </w:div>
    <w:div w:id="1516185737">
      <w:bodyDiv w:val="1"/>
      <w:marLeft w:val="0"/>
      <w:marRight w:val="0"/>
      <w:marTop w:val="0"/>
      <w:marBottom w:val="0"/>
      <w:divBdr>
        <w:top w:val="none" w:sz="0" w:space="0" w:color="auto"/>
        <w:left w:val="none" w:sz="0" w:space="0" w:color="auto"/>
        <w:bottom w:val="none" w:sz="0" w:space="0" w:color="auto"/>
        <w:right w:val="none" w:sz="0" w:space="0" w:color="auto"/>
      </w:divBdr>
    </w:div>
    <w:div w:id="1606301405">
      <w:bodyDiv w:val="1"/>
      <w:marLeft w:val="0"/>
      <w:marRight w:val="0"/>
      <w:marTop w:val="0"/>
      <w:marBottom w:val="0"/>
      <w:divBdr>
        <w:top w:val="none" w:sz="0" w:space="0" w:color="auto"/>
        <w:left w:val="none" w:sz="0" w:space="0" w:color="auto"/>
        <w:bottom w:val="none" w:sz="0" w:space="0" w:color="auto"/>
        <w:right w:val="none" w:sz="0" w:space="0" w:color="auto"/>
      </w:divBdr>
    </w:div>
    <w:div w:id="1640763984">
      <w:bodyDiv w:val="1"/>
      <w:marLeft w:val="0"/>
      <w:marRight w:val="0"/>
      <w:marTop w:val="0"/>
      <w:marBottom w:val="0"/>
      <w:divBdr>
        <w:top w:val="none" w:sz="0" w:space="0" w:color="auto"/>
        <w:left w:val="none" w:sz="0" w:space="0" w:color="auto"/>
        <w:bottom w:val="none" w:sz="0" w:space="0" w:color="auto"/>
        <w:right w:val="none" w:sz="0" w:space="0" w:color="auto"/>
      </w:divBdr>
    </w:div>
    <w:div w:id="1671054706">
      <w:bodyDiv w:val="1"/>
      <w:marLeft w:val="0"/>
      <w:marRight w:val="0"/>
      <w:marTop w:val="0"/>
      <w:marBottom w:val="0"/>
      <w:divBdr>
        <w:top w:val="none" w:sz="0" w:space="0" w:color="auto"/>
        <w:left w:val="none" w:sz="0" w:space="0" w:color="auto"/>
        <w:bottom w:val="none" w:sz="0" w:space="0" w:color="auto"/>
        <w:right w:val="none" w:sz="0" w:space="0" w:color="auto"/>
      </w:divBdr>
    </w:div>
    <w:div w:id="1689484382">
      <w:bodyDiv w:val="1"/>
      <w:marLeft w:val="0"/>
      <w:marRight w:val="0"/>
      <w:marTop w:val="0"/>
      <w:marBottom w:val="0"/>
      <w:divBdr>
        <w:top w:val="none" w:sz="0" w:space="0" w:color="auto"/>
        <w:left w:val="none" w:sz="0" w:space="0" w:color="auto"/>
        <w:bottom w:val="none" w:sz="0" w:space="0" w:color="auto"/>
        <w:right w:val="none" w:sz="0" w:space="0" w:color="auto"/>
      </w:divBdr>
    </w:div>
    <w:div w:id="1786461258">
      <w:bodyDiv w:val="1"/>
      <w:marLeft w:val="0"/>
      <w:marRight w:val="0"/>
      <w:marTop w:val="0"/>
      <w:marBottom w:val="0"/>
      <w:divBdr>
        <w:top w:val="none" w:sz="0" w:space="0" w:color="auto"/>
        <w:left w:val="none" w:sz="0" w:space="0" w:color="auto"/>
        <w:bottom w:val="none" w:sz="0" w:space="0" w:color="auto"/>
        <w:right w:val="none" w:sz="0" w:space="0" w:color="auto"/>
      </w:divBdr>
    </w:div>
    <w:div w:id="1806851053">
      <w:bodyDiv w:val="1"/>
      <w:marLeft w:val="0"/>
      <w:marRight w:val="0"/>
      <w:marTop w:val="0"/>
      <w:marBottom w:val="0"/>
      <w:divBdr>
        <w:top w:val="none" w:sz="0" w:space="0" w:color="auto"/>
        <w:left w:val="none" w:sz="0" w:space="0" w:color="auto"/>
        <w:bottom w:val="none" w:sz="0" w:space="0" w:color="auto"/>
        <w:right w:val="none" w:sz="0" w:space="0" w:color="auto"/>
      </w:divBdr>
    </w:div>
    <w:div w:id="1925644887">
      <w:bodyDiv w:val="1"/>
      <w:marLeft w:val="0"/>
      <w:marRight w:val="0"/>
      <w:marTop w:val="0"/>
      <w:marBottom w:val="0"/>
      <w:divBdr>
        <w:top w:val="none" w:sz="0" w:space="0" w:color="auto"/>
        <w:left w:val="none" w:sz="0" w:space="0" w:color="auto"/>
        <w:bottom w:val="none" w:sz="0" w:space="0" w:color="auto"/>
        <w:right w:val="none" w:sz="0" w:space="0" w:color="auto"/>
      </w:divBdr>
    </w:div>
    <w:div w:id="1943880525">
      <w:bodyDiv w:val="1"/>
      <w:marLeft w:val="0"/>
      <w:marRight w:val="0"/>
      <w:marTop w:val="0"/>
      <w:marBottom w:val="0"/>
      <w:divBdr>
        <w:top w:val="none" w:sz="0" w:space="0" w:color="auto"/>
        <w:left w:val="none" w:sz="0" w:space="0" w:color="auto"/>
        <w:bottom w:val="none" w:sz="0" w:space="0" w:color="auto"/>
        <w:right w:val="none" w:sz="0" w:space="0" w:color="auto"/>
      </w:divBdr>
    </w:div>
    <w:div w:id="1983733538">
      <w:bodyDiv w:val="1"/>
      <w:marLeft w:val="0"/>
      <w:marRight w:val="0"/>
      <w:marTop w:val="0"/>
      <w:marBottom w:val="0"/>
      <w:divBdr>
        <w:top w:val="none" w:sz="0" w:space="0" w:color="auto"/>
        <w:left w:val="none" w:sz="0" w:space="0" w:color="auto"/>
        <w:bottom w:val="none" w:sz="0" w:space="0" w:color="auto"/>
        <w:right w:val="none" w:sz="0" w:space="0" w:color="auto"/>
      </w:divBdr>
    </w:div>
    <w:div w:id="1995328217">
      <w:bodyDiv w:val="1"/>
      <w:marLeft w:val="0"/>
      <w:marRight w:val="0"/>
      <w:marTop w:val="0"/>
      <w:marBottom w:val="0"/>
      <w:divBdr>
        <w:top w:val="none" w:sz="0" w:space="0" w:color="auto"/>
        <w:left w:val="none" w:sz="0" w:space="0" w:color="auto"/>
        <w:bottom w:val="none" w:sz="0" w:space="0" w:color="auto"/>
        <w:right w:val="none" w:sz="0" w:space="0" w:color="auto"/>
      </w:divBdr>
    </w:div>
    <w:div w:id="2065715866">
      <w:bodyDiv w:val="1"/>
      <w:marLeft w:val="0"/>
      <w:marRight w:val="0"/>
      <w:marTop w:val="0"/>
      <w:marBottom w:val="0"/>
      <w:divBdr>
        <w:top w:val="none" w:sz="0" w:space="0" w:color="auto"/>
        <w:left w:val="none" w:sz="0" w:space="0" w:color="auto"/>
        <w:bottom w:val="none" w:sz="0" w:space="0" w:color="auto"/>
        <w:right w:val="none" w:sz="0" w:space="0" w:color="auto"/>
      </w:divBdr>
    </w:div>
    <w:div w:id="2076471847">
      <w:bodyDiv w:val="1"/>
      <w:marLeft w:val="0"/>
      <w:marRight w:val="0"/>
      <w:marTop w:val="0"/>
      <w:marBottom w:val="0"/>
      <w:divBdr>
        <w:top w:val="none" w:sz="0" w:space="0" w:color="auto"/>
        <w:left w:val="none" w:sz="0" w:space="0" w:color="auto"/>
        <w:bottom w:val="none" w:sz="0" w:space="0" w:color="auto"/>
        <w:right w:val="none" w:sz="0" w:space="0" w:color="auto"/>
      </w:divBdr>
    </w:div>
    <w:div w:id="2145809341">
      <w:bodyDiv w:val="1"/>
      <w:marLeft w:val="0"/>
      <w:marRight w:val="0"/>
      <w:marTop w:val="0"/>
      <w:marBottom w:val="0"/>
      <w:divBdr>
        <w:top w:val="none" w:sz="0" w:space="0" w:color="auto"/>
        <w:left w:val="none" w:sz="0" w:space="0" w:color="auto"/>
        <w:bottom w:val="none" w:sz="0" w:space="0" w:color="auto"/>
        <w:right w:val="none" w:sz="0" w:space="0" w:color="auto"/>
      </w:divBdr>
    </w:div>
    <w:div w:id="2146922952">
      <w:bodyDiv w:val="1"/>
      <w:marLeft w:val="0"/>
      <w:marRight w:val="0"/>
      <w:marTop w:val="0"/>
      <w:marBottom w:val="0"/>
      <w:divBdr>
        <w:top w:val="none" w:sz="0" w:space="0" w:color="auto"/>
        <w:left w:val="none" w:sz="0" w:space="0" w:color="auto"/>
        <w:bottom w:val="none" w:sz="0" w:space="0" w:color="auto"/>
        <w:right w:val="none" w:sz="0" w:space="0" w:color="auto"/>
      </w:divBdr>
      <w:divsChild>
        <w:div w:id="516963885">
          <w:marLeft w:val="360"/>
          <w:marRight w:val="0"/>
          <w:marTop w:val="200"/>
          <w:marBottom w:val="0"/>
          <w:divBdr>
            <w:top w:val="none" w:sz="0" w:space="0" w:color="auto"/>
            <w:left w:val="none" w:sz="0" w:space="0" w:color="auto"/>
            <w:bottom w:val="none" w:sz="0" w:space="0" w:color="auto"/>
            <w:right w:val="none" w:sz="0" w:space="0" w:color="auto"/>
          </w:divBdr>
        </w:div>
        <w:div w:id="1874616521">
          <w:marLeft w:val="360"/>
          <w:marRight w:val="0"/>
          <w:marTop w:val="200"/>
          <w:marBottom w:val="0"/>
          <w:divBdr>
            <w:top w:val="none" w:sz="0" w:space="0" w:color="auto"/>
            <w:left w:val="none" w:sz="0" w:space="0" w:color="auto"/>
            <w:bottom w:val="none" w:sz="0" w:space="0" w:color="auto"/>
            <w:right w:val="none" w:sz="0" w:space="0" w:color="auto"/>
          </w:divBdr>
        </w:div>
        <w:div w:id="124855071">
          <w:marLeft w:val="360"/>
          <w:marRight w:val="0"/>
          <w:marTop w:val="20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emf"/><Relationship Id="rId21" Type="http://schemas.openxmlformats.org/officeDocument/2006/relationships/image" Target="media/image12.png"/><Relationship Id="rId42" Type="http://schemas.openxmlformats.org/officeDocument/2006/relationships/hyperlink" Target="https://sdgimpact.undp.org/sdg-investor-map.html" TargetMode="External"/><Relationship Id="rId47" Type="http://schemas.openxmlformats.org/officeDocument/2006/relationships/hyperlink" Target="https://sdgfinance.undp.org/sustainable-finance-service-offers" TargetMode="External"/><Relationship Id="rId63" Type="http://schemas.openxmlformats.org/officeDocument/2006/relationships/hyperlink" Target="https://sdgintegration.undp.org/sites/default/files/Leaving_No_One_Behind,_COVID_impact_on_the_SDGs_second_flagship.pdf" TargetMode="External"/><Relationship Id="rId68" Type="http://schemas.openxmlformats.org/officeDocument/2006/relationships/hyperlink" Target="https://sdgfinance.undp.org/sites/default/files/B4SDGs%20ModularHandbook.pdf" TargetMode="External"/><Relationship Id="rId2" Type="http://schemas.openxmlformats.org/officeDocument/2006/relationships/numbering" Target="numbering.xml"/><Relationship Id="rId16" Type="http://schemas.microsoft.com/office/2007/relationships/diagramDrawing" Target="diagrams/drawing1.xml"/><Relationship Id="rId29" Type="http://schemas.openxmlformats.org/officeDocument/2006/relationships/image" Target="media/image19.emf"/><Relationship Id="rId11" Type="http://schemas.openxmlformats.org/officeDocument/2006/relationships/image" Target="media/image2.emf"/><Relationship Id="rId24" Type="http://schemas.openxmlformats.org/officeDocument/2006/relationships/image" Target="media/image14.emf"/><Relationship Id="rId32" Type="http://schemas.openxmlformats.org/officeDocument/2006/relationships/hyperlink" Target="https://actnow.aworld.org/" TargetMode="External"/><Relationship Id="rId37" Type="http://schemas.openxmlformats.org/officeDocument/2006/relationships/hyperlink" Target="https://tanjirpotanjir.rs/" TargetMode="External"/><Relationship Id="rId40" Type="http://schemas.openxmlformats.org/officeDocument/2006/relationships/hyperlink" Target="https://www.undp.org/serbia/news/first-algae-air-purifier-serbia" TargetMode="External"/><Relationship Id="rId45" Type="http://schemas.openxmlformats.org/officeDocument/2006/relationships/hyperlink" Target="https://www.timeshighereducation.com/impactrankings" TargetMode="External"/><Relationship Id="rId53" Type="http://schemas.openxmlformats.org/officeDocument/2006/relationships/chart" Target="charts/chart2.xml"/><Relationship Id="rId58" Type="http://schemas.openxmlformats.org/officeDocument/2006/relationships/hyperlink" Target="https://www.undp.org/north-macedonia/news/undp-north-macedonia-and-ebrd-have-partnered-together-implement-green-finance-facility-gff-project" TargetMode="External"/><Relationship Id="rId66" Type="http://schemas.openxmlformats.org/officeDocument/2006/relationships/hyperlink" Target="https://www.undp.org/china/publications/technical-report-sdg-finance-taxonomy" TargetMode="External"/><Relationship Id="rId74"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hyperlink" Target="https://inff.org/inff-building-blocks/financing-strategy" TargetMode="External"/><Relationship Id="rId19" Type="http://schemas.openxmlformats.org/officeDocument/2006/relationships/image" Target="media/image11.png"/><Relationship Id="rId14" Type="http://schemas.openxmlformats.org/officeDocument/2006/relationships/diagramQuickStyle" Target="diagrams/quickStyle1.xml"/><Relationship Id="rId22" Type="http://schemas.openxmlformats.org/officeDocument/2006/relationships/chart" Target="charts/chart1.xml"/><Relationship Id="rId27" Type="http://schemas.openxmlformats.org/officeDocument/2006/relationships/image" Target="media/image17.emf"/><Relationship Id="rId30" Type="http://schemas.openxmlformats.org/officeDocument/2006/relationships/image" Target="media/image20.png"/><Relationship Id="rId35" Type="http://schemas.openxmlformats.org/officeDocument/2006/relationships/hyperlink" Target="https://donirajkompjuter.mk/?fbclid=IwAR3nrD0YCbWH7bsZgJZH1yKPg2rTMGY6cbWOwZKLpflkGBfGVhD0V_rsnaQ" TargetMode="External"/><Relationship Id="rId43" Type="http://schemas.openxmlformats.org/officeDocument/2006/relationships/hyperlink" Target="https://sdgimpact.undp.org/sdg-investor-map.html" TargetMode="External"/><Relationship Id="rId48" Type="http://schemas.openxmlformats.org/officeDocument/2006/relationships/image" Target="media/image21.png"/><Relationship Id="rId56" Type="http://schemas.openxmlformats.org/officeDocument/2006/relationships/hyperlink" Target="https://nrs.mk/content/documents/Innovative%20mechanisms%20and%20instruments%20for%20financing%20strategic%20national%20documents.pdf" TargetMode="External"/><Relationship Id="rId64" Type="http://schemas.openxmlformats.org/officeDocument/2006/relationships/hyperlink" Target="https://www.icmagroup.org/assets/documents/Regulatory/Green-Bonds/Green-Bonds-Principles-June-2018-270520.pdf" TargetMode="External"/><Relationship Id="rId69" Type="http://schemas.openxmlformats.org/officeDocument/2006/relationships/hyperlink" Target="https://sdgfinance.undp.org/sites/default/files/B4SDGs%20Origins%20and%20Practices.pdf" TargetMode="External"/><Relationship Id="rId8" Type="http://schemas.openxmlformats.org/officeDocument/2006/relationships/image" Target="media/image1.png"/><Relationship Id="rId51" Type="http://schemas.openxmlformats.org/officeDocument/2006/relationships/image" Target="media/image22.png"/><Relationship Id="rId72" Type="http://schemas.openxmlformats.org/officeDocument/2006/relationships/hyperlink" Target="https://www.who.int/europe/news/item/23-06-2023-new-study-points-to-solutions-for-quitting-tobacco-in-north-macedonia" TargetMode="External"/><Relationship Id="rId3" Type="http://schemas.openxmlformats.org/officeDocument/2006/relationships/styles" Target="styles.xml"/><Relationship Id="rId12" Type="http://schemas.openxmlformats.org/officeDocument/2006/relationships/diagramData" Target="diagrams/data1.xml"/><Relationship Id="rId17" Type="http://schemas.openxmlformats.org/officeDocument/2006/relationships/hyperlink" Target="https://northmacedonia.un.org/en/160358-sdg-financing-landscape-north-macedonia" TargetMode="External"/><Relationship Id="rId25" Type="http://schemas.openxmlformats.org/officeDocument/2006/relationships/image" Target="media/image15.emf"/><Relationship Id="rId33" Type="http://schemas.openxmlformats.org/officeDocument/2006/relationships/hyperlink" Target="https://www.sdg16hub.org/system/files/2020-03/Detailed%20webinar%20Summary_TAP%20Network%20and%20UNDP%20-%20Strengthening%20Post-VNR%20Best%20Practices%20on%20SDG16_0.pdf" TargetMode="External"/><Relationship Id="rId38" Type="http://schemas.openxmlformats.org/officeDocument/2006/relationships/hyperlink" Target="https://www.undp.org/serbia/stories/how-do-you-light-lightbulb-food-waste" TargetMode="External"/><Relationship Id="rId46" Type="http://schemas.openxmlformats.org/officeDocument/2006/relationships/hyperlink" Target="https://nrs.mk/content/documents/%D0%98%D0%BD%D0%BE%D0%B2%D0%B0%D1%82%D0%B8%D0%B2%D0%BD%D0%B8%20%D0%BC%D0%B5%D1%85%D0%B0%D0%BD%D0%B8%D0%B7%D0%BC%D0%B8%20%D0%B8%20%D0%B8%D0%BD%D1%81%D1%82%D1%80%D1%83%D0%BC%D0%B5%D0%BD%D1%82%D0%B8%20%D0%B7%D0%B0%20%D1%84%D0%B8%D0%BD%D0%B0%D0%BD%D1%81%D0%B8%D1%80%D0%B0%D1%9A%D0%B5%20%D1%81%D1%82%D1%80%D0%B0%D1%82%D0%B5%D1%88%D0%BA%D0%B8%20%D0%BD%D0%B0%D1%86%D0%B8%D0%BE%D0%BD%D0%B0%D0%BB%D0%BD%D0%B8%20%D0%B4%D0%BE%D0%BA%D1%83%D0%BC%D0%B5%D0%BD%D1%82%D0%B8.pdf" TargetMode="External"/><Relationship Id="rId59" Type="http://schemas.openxmlformats.org/officeDocument/2006/relationships/hyperlink" Target="https://strategicplan.undp.org/" TargetMode="External"/><Relationship Id="rId67" Type="http://schemas.openxmlformats.org/officeDocument/2006/relationships/hyperlink" Target="https://northmacedonia.un.org/en/160358-sdg-financing-landscape-north-macedonia" TargetMode="External"/><Relationship Id="rId20" Type="http://schemas.openxmlformats.org/officeDocument/2006/relationships/hyperlink" Target="https://data.undp.org/sdg-push-diagnostic/MKD/current-priorities" TargetMode="External"/><Relationship Id="rId41" Type="http://schemas.openxmlformats.org/officeDocument/2006/relationships/hyperlink" Target="https://preventgroup.ba/en/homepage/" TargetMode="External"/><Relationship Id="rId54" Type="http://schemas.openxmlformats.org/officeDocument/2006/relationships/hyperlink" Target="https://www.undp.org/china/publications/technical-report-sdg-finance-taxonomy" TargetMode="External"/><Relationship Id="rId62" Type="http://schemas.openxmlformats.org/officeDocument/2006/relationships/hyperlink" Target="https://inff.org/resource/technical-guidance-note-mainstreaming-gender-equality-in-integrated-national-financing-frameworks" TargetMode="External"/><Relationship Id="rId70" Type="http://schemas.openxmlformats.org/officeDocument/2006/relationships/hyperlink" Target="https://sdgs.un.org/sites/default/files/2023-07/The-Sustainable-Development-Goals-Report-2023.pdf"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Colors" Target="diagrams/colors1.xml"/><Relationship Id="rId23" Type="http://schemas.openxmlformats.org/officeDocument/2006/relationships/image" Target="media/image13.png"/><Relationship Id="rId28" Type="http://schemas.openxmlformats.org/officeDocument/2006/relationships/image" Target="media/image18.emf"/><Relationship Id="rId36" Type="http://schemas.openxmlformats.org/officeDocument/2006/relationships/hyperlink" Target="https://mts.rs/About-Telekom/Social-responsibility/Social-responsibility/a116094-Telekom-Srbija-receives-Sustainability-Champion-prize.html" TargetMode="External"/><Relationship Id="rId49" Type="http://schemas.openxmlformats.org/officeDocument/2006/relationships/hyperlink" Target="https://eu-dashboards.sdgindex.org/chapters/part-1-performance-of-european-countries-against-the-sdgs" TargetMode="External"/><Relationship Id="rId57" Type="http://schemas.openxmlformats.org/officeDocument/2006/relationships/hyperlink" Target="https://documents1.worldbank.org/curated/en/099305008052212355/pdf/P17499503bda62010b0af07742cce789bd.pdf" TargetMode="External"/><Relationship Id="rId10" Type="http://schemas.openxmlformats.org/officeDocument/2006/relationships/hyperlink" Target="C://Users/Admin/Downloads/UNDP_Gender_Equality_Strategy_2022-2025_Summary_Version_EN.pdf" TargetMode="External"/><Relationship Id="rId31" Type="http://schemas.openxmlformats.org/officeDocument/2006/relationships/hyperlink" Target="https://www.un.org/actnow" TargetMode="External"/><Relationship Id="rId44" Type="http://schemas.openxmlformats.org/officeDocument/2006/relationships/hyperlink" Target="https://www.ebrd.com/news/2023/roadmap-to-support-female-entrepreneurship-launched-in-north-macedonia.html" TargetMode="External"/><Relationship Id="rId52" Type="http://schemas.openxmlformats.org/officeDocument/2006/relationships/image" Target="media/image23.png"/><Relationship Id="rId60" Type="http://schemas.openxmlformats.org/officeDocument/2006/relationships/image" Target="media/image25.png"/><Relationship Id="rId65" Type="http://schemas.openxmlformats.org/officeDocument/2006/relationships/hyperlink" Target="https://s3.amazonaws.com/sustainabledevelopment.report/2023/sustainable-development-report-2023.pdf" TargetMode="External"/><Relationship Id="rId73" Type="http://schemas.openxmlformats.org/officeDocument/2006/relationships/hyperlink" Target="https://documents1.worldbank.org/curated/en/099305008052212355/pdf/P17499503bda62010b0af07742cce789bd.pdf" TargetMode="External"/><Relationship Id="rId4" Type="http://schemas.openxmlformats.org/officeDocument/2006/relationships/settings" Target="settings.xml"/><Relationship Id="rId9" Type="http://schemas.openxmlformats.org/officeDocument/2006/relationships/hyperlink" Target="https://strategicplan.undp.org/" TargetMode="External"/><Relationship Id="rId13" Type="http://schemas.openxmlformats.org/officeDocument/2006/relationships/diagramLayout" Target="diagrams/layout1.xml"/><Relationship Id="rId18" Type="http://schemas.openxmlformats.org/officeDocument/2006/relationships/hyperlink" Target="https://nrs.mk/content/documents/%D0%98%D0%BD%D0%BE%D0%B2%D0%B0%D1%82%D0%B8%D0%B2%D0%BD%D0%B8%20%D0%BC%D0%B5%D1%85%D0%B0%D0%BD%D0%B8%D0%B7%D0%BC%D0%B8%20%D0%B8%20%D0%B8%D0%BD%D1%81%D1%82%D1%80%D1%83%D0%BC%D0%B5%D0%BD%D1%82%D0%B8%20%D0%B7%D0%B0%20%D1%84%D0%B8%D0%BD%D0%B0%D0%BD%D1%81%D0%B8%D1%80%D0%B0%D1%9A%D0%B5%20%D1%81%D1%82%D1%80%D0%B0%D1%82%D0%B5%D1%88%D0%BA%D0%B8%20%D0%BD%D0%B0%D1%86%D0%B8%D0%BE%D0%BD%D0%B0%D0%BB%D0%BD%D0%B8%20%D0%B4%D0%BE%D0%BA%D1%83%D0%BC%D0%B5%D0%BD%D1%82%D0%B8.pdf" TargetMode="External"/><Relationship Id="rId39" Type="http://schemas.openxmlformats.org/officeDocument/2006/relationships/hyperlink" Target="https://www.undp.org/serbia/stories/zero-waste-no-pollution-%E2%80%9Cgreen%E2%80%9D-power-production-essential-oils-serbia" TargetMode="External"/><Relationship Id="rId34" Type="http://schemas.openxmlformats.org/officeDocument/2006/relationships/hyperlink" Target="https://serbia.un.org/sites/default/files/2019-08/VNR%2C%20eng.pdf" TargetMode="External"/><Relationship Id="rId50" Type="http://schemas.openxmlformats.org/officeDocument/2006/relationships/hyperlink" Target="https://www.taxforsdgs.org/about" TargetMode="External"/><Relationship Id="rId55" Type="http://schemas.openxmlformats.org/officeDocument/2006/relationships/image" Target="media/image24.pn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serbia.un.org/sites/default/files/2019-08/VNR%2C%20eng.pdf3"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Admin\OneDrive%20-%20UKIM%20-%20Iustinianus%20Primus%20Faculty%20of%20Law\Desktop\SDG%20financing\Figure%20-%20SDG%20obstacle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Admin\Downloads\Pobaruvanja_obvrski_zeleno_finansiranje_3_2023a.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Calibri Light (Body)"/>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Sheet1!$A$2:$A$13</c:f>
              <c:strCache>
                <c:ptCount val="12"/>
                <c:pt idx="0">
                  <c:v>Confusion between outputs and outcomes</c:v>
                </c:pt>
                <c:pt idx="1">
                  <c:v>Belief that SDG finance is only relevant to private sector and large organizations with significant impact</c:v>
                </c:pt>
                <c:pt idx="2">
                  <c:v>Belief that SDG finance approaches are costly</c:v>
                </c:pt>
                <c:pt idx="3">
                  <c:v>Inefficient use of existing funds</c:v>
                </c:pt>
                <c:pt idx="4">
                  <c:v>Lack of a coordination function on SDG finance in the Country Office</c:v>
                </c:pt>
                <c:pt idx="5">
                  <c:v>Lack of suitable products and services</c:v>
                </c:pt>
                <c:pt idx="6">
                  <c:v>Lack of reliable and comparable data</c:v>
                </c:pt>
                <c:pt idx="7">
                  <c:v>Lack of dedicated human resources</c:v>
                </c:pt>
                <c:pt idx="8">
                  <c:v>Lack of understanding of concepts</c:v>
                </c:pt>
                <c:pt idx="9">
                  <c:v>SDGs not a priority for stakeholders</c:v>
                </c:pt>
                <c:pt idx="10">
                  <c:v>Lack of financial resources</c:v>
                </c:pt>
                <c:pt idx="11">
                  <c:v>Lack of expertise / skills</c:v>
                </c:pt>
              </c:strCache>
            </c:strRef>
          </c:cat>
          <c:val>
            <c:numRef>
              <c:f>Sheet1!$B$2:$B$13</c:f>
              <c:numCache>
                <c:formatCode>0%</c:formatCode>
                <c:ptCount val="12"/>
                <c:pt idx="0">
                  <c:v>0.02</c:v>
                </c:pt>
                <c:pt idx="1">
                  <c:v>0.02</c:v>
                </c:pt>
                <c:pt idx="2">
                  <c:v>0.04</c:v>
                </c:pt>
                <c:pt idx="3">
                  <c:v>0.05</c:v>
                </c:pt>
                <c:pt idx="4">
                  <c:v>7.0000000000000007E-2</c:v>
                </c:pt>
                <c:pt idx="5">
                  <c:v>0.11</c:v>
                </c:pt>
                <c:pt idx="6">
                  <c:v>0.14000000000000001</c:v>
                </c:pt>
                <c:pt idx="7">
                  <c:v>0.17</c:v>
                </c:pt>
                <c:pt idx="8">
                  <c:v>0.18</c:v>
                </c:pt>
                <c:pt idx="9">
                  <c:v>0.2</c:v>
                </c:pt>
                <c:pt idx="10">
                  <c:v>0.2</c:v>
                </c:pt>
                <c:pt idx="11">
                  <c:v>0.22</c:v>
                </c:pt>
              </c:numCache>
            </c:numRef>
          </c:val>
          <c:extLst>
            <c:ext xmlns:c16="http://schemas.microsoft.com/office/drawing/2014/chart" uri="{C3380CC4-5D6E-409C-BE32-E72D297353CC}">
              <c16:uniqueId val="{00000000-63E2-4545-9FF2-812AD9450133}"/>
            </c:ext>
          </c:extLst>
        </c:ser>
        <c:dLbls>
          <c:showLegendKey val="0"/>
          <c:showVal val="0"/>
          <c:showCatName val="0"/>
          <c:showSerName val="0"/>
          <c:showPercent val="0"/>
          <c:showBubbleSize val="0"/>
        </c:dLbls>
        <c:gapWidth val="182"/>
        <c:axId val="1275748416"/>
        <c:axId val="1275749248"/>
      </c:barChart>
      <c:catAx>
        <c:axId val="12757484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Calibri Light (Body)"/>
                <a:ea typeface="+mn-ea"/>
                <a:cs typeface="+mn-cs"/>
              </a:defRPr>
            </a:pPr>
            <a:endParaRPr lang="en-US"/>
          </a:p>
        </c:txPr>
        <c:crossAx val="1275749248"/>
        <c:crosses val="autoZero"/>
        <c:auto val="1"/>
        <c:lblAlgn val="ctr"/>
        <c:lblOffset val="100"/>
        <c:noMultiLvlLbl val="0"/>
      </c:catAx>
      <c:valAx>
        <c:axId val="127574924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Calibri Light (Body)"/>
                <a:ea typeface="+mn-ea"/>
                <a:cs typeface="+mn-cs"/>
              </a:defRPr>
            </a:pPr>
            <a:endParaRPr lang="en-US"/>
          </a:p>
        </c:txPr>
        <c:crossAx val="12757484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Calibri Light (Body)"/>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'обврски по "зелени" кредити'!$B$7</c:f>
              <c:strCache>
                <c:ptCount val="1"/>
                <c:pt idx="0">
                  <c:v>12/31/2019</c:v>
                </c:pt>
              </c:strCache>
            </c:strRef>
          </c:tx>
          <c:spPr>
            <a:solidFill>
              <a:schemeClr val="accent1"/>
            </a:solidFill>
            <a:ln>
              <a:noFill/>
            </a:ln>
            <a:effectLst/>
          </c:spPr>
          <c:invertIfNegative val="0"/>
          <c:cat>
            <c:strRef>
              <c:f>'обврски по "зелени" кредити'!$C$6:$F$6</c:f>
              <c:strCache>
                <c:ptCount val="4"/>
                <c:pt idx="0">
                  <c:v>Large banks</c:v>
                </c:pt>
                <c:pt idx="1">
                  <c:v>Medium-sized banks</c:v>
                </c:pt>
                <c:pt idx="2">
                  <c:v>Small banks</c:v>
                </c:pt>
                <c:pt idx="3">
                  <c:v>Entire banking system</c:v>
                </c:pt>
              </c:strCache>
            </c:strRef>
          </c:cat>
          <c:val>
            <c:numRef>
              <c:f>'обврски по "зелени" кредити'!$C$7:$F$7</c:f>
              <c:numCache>
                <c:formatCode>0.0%</c:formatCode>
                <c:ptCount val="4"/>
                <c:pt idx="0">
                  <c:v>0.16980373136411045</c:v>
                </c:pt>
                <c:pt idx="1">
                  <c:v>3.0994485611048533E-2</c:v>
                </c:pt>
                <c:pt idx="2">
                  <c:v>0</c:v>
                </c:pt>
                <c:pt idx="3">
                  <c:v>8.8143781830530302E-2</c:v>
                </c:pt>
              </c:numCache>
            </c:numRef>
          </c:val>
          <c:extLst>
            <c:ext xmlns:c16="http://schemas.microsoft.com/office/drawing/2014/chart" uri="{C3380CC4-5D6E-409C-BE32-E72D297353CC}">
              <c16:uniqueId val="{00000000-6B26-4781-984C-2F5EE29B5EA3}"/>
            </c:ext>
          </c:extLst>
        </c:ser>
        <c:ser>
          <c:idx val="1"/>
          <c:order val="1"/>
          <c:tx>
            <c:strRef>
              <c:f>'обврски по "зелени" кредити'!$B$8</c:f>
              <c:strCache>
                <c:ptCount val="1"/>
                <c:pt idx="0">
                  <c:v>12/31/2020</c:v>
                </c:pt>
              </c:strCache>
            </c:strRef>
          </c:tx>
          <c:spPr>
            <a:solidFill>
              <a:schemeClr val="accent2"/>
            </a:solidFill>
            <a:ln>
              <a:noFill/>
            </a:ln>
            <a:effectLst/>
          </c:spPr>
          <c:invertIfNegative val="0"/>
          <c:cat>
            <c:strRef>
              <c:f>'обврски по "зелени" кредити'!$C$6:$F$6</c:f>
              <c:strCache>
                <c:ptCount val="4"/>
                <c:pt idx="0">
                  <c:v>Large banks</c:v>
                </c:pt>
                <c:pt idx="1">
                  <c:v>Medium-sized banks</c:v>
                </c:pt>
                <c:pt idx="2">
                  <c:v>Small banks</c:v>
                </c:pt>
                <c:pt idx="3">
                  <c:v>Entire banking system</c:v>
                </c:pt>
              </c:strCache>
            </c:strRef>
          </c:cat>
          <c:val>
            <c:numRef>
              <c:f>'обврски по "зелени" кредити'!$C$8:$F$8</c:f>
              <c:numCache>
                <c:formatCode>0.0%</c:formatCode>
                <c:ptCount val="4"/>
                <c:pt idx="0">
                  <c:v>0.17389288305480777</c:v>
                </c:pt>
                <c:pt idx="1">
                  <c:v>4.7178066663678971E-2</c:v>
                </c:pt>
                <c:pt idx="2">
                  <c:v>0</c:v>
                </c:pt>
                <c:pt idx="3">
                  <c:v>9.3830134767726114E-2</c:v>
                </c:pt>
              </c:numCache>
            </c:numRef>
          </c:val>
          <c:extLst>
            <c:ext xmlns:c16="http://schemas.microsoft.com/office/drawing/2014/chart" uri="{C3380CC4-5D6E-409C-BE32-E72D297353CC}">
              <c16:uniqueId val="{00000001-6B26-4781-984C-2F5EE29B5EA3}"/>
            </c:ext>
          </c:extLst>
        </c:ser>
        <c:ser>
          <c:idx val="2"/>
          <c:order val="2"/>
          <c:tx>
            <c:strRef>
              <c:f>'обврски по "зелени" кредити'!$B$9</c:f>
              <c:strCache>
                <c:ptCount val="1"/>
                <c:pt idx="0">
                  <c:v>9/30/2021</c:v>
                </c:pt>
              </c:strCache>
            </c:strRef>
          </c:tx>
          <c:spPr>
            <a:solidFill>
              <a:schemeClr val="accent3"/>
            </a:solidFill>
            <a:ln>
              <a:noFill/>
            </a:ln>
            <a:effectLst/>
          </c:spPr>
          <c:invertIfNegative val="0"/>
          <c:cat>
            <c:strRef>
              <c:f>'обврски по "зелени" кредити'!$C$6:$F$6</c:f>
              <c:strCache>
                <c:ptCount val="4"/>
                <c:pt idx="0">
                  <c:v>Large banks</c:v>
                </c:pt>
                <c:pt idx="1">
                  <c:v>Medium-sized banks</c:v>
                </c:pt>
                <c:pt idx="2">
                  <c:v>Small banks</c:v>
                </c:pt>
                <c:pt idx="3">
                  <c:v>Entire banking system</c:v>
                </c:pt>
              </c:strCache>
            </c:strRef>
          </c:cat>
          <c:val>
            <c:numRef>
              <c:f>'обврски по "зелени" кредити'!$C$9:$F$9</c:f>
              <c:numCache>
                <c:formatCode>0.0%</c:formatCode>
                <c:ptCount val="4"/>
                <c:pt idx="0">
                  <c:v>0.15139576655725201</c:v>
                </c:pt>
                <c:pt idx="1">
                  <c:v>7.5780756514147599E-3</c:v>
                </c:pt>
                <c:pt idx="2">
                  <c:v>0</c:v>
                </c:pt>
                <c:pt idx="3">
                  <c:v>7.7351585499087508E-2</c:v>
                </c:pt>
              </c:numCache>
            </c:numRef>
          </c:val>
          <c:extLst>
            <c:ext xmlns:c16="http://schemas.microsoft.com/office/drawing/2014/chart" uri="{C3380CC4-5D6E-409C-BE32-E72D297353CC}">
              <c16:uniqueId val="{00000002-6B26-4781-984C-2F5EE29B5EA3}"/>
            </c:ext>
          </c:extLst>
        </c:ser>
        <c:ser>
          <c:idx val="3"/>
          <c:order val="3"/>
          <c:tx>
            <c:strRef>
              <c:f>'обврски по "зелени" кредити'!$B$10</c:f>
              <c:strCache>
                <c:ptCount val="1"/>
                <c:pt idx="0">
                  <c:v>12/31/2021</c:v>
                </c:pt>
              </c:strCache>
            </c:strRef>
          </c:tx>
          <c:spPr>
            <a:solidFill>
              <a:schemeClr val="accent4"/>
            </a:solidFill>
            <a:ln>
              <a:noFill/>
            </a:ln>
            <a:effectLst/>
          </c:spPr>
          <c:invertIfNegative val="0"/>
          <c:cat>
            <c:strRef>
              <c:f>'обврски по "зелени" кредити'!$C$6:$F$6</c:f>
              <c:strCache>
                <c:ptCount val="4"/>
                <c:pt idx="0">
                  <c:v>Large banks</c:v>
                </c:pt>
                <c:pt idx="1">
                  <c:v>Medium-sized banks</c:v>
                </c:pt>
                <c:pt idx="2">
                  <c:v>Small banks</c:v>
                </c:pt>
                <c:pt idx="3">
                  <c:v>Entire banking system</c:v>
                </c:pt>
              </c:strCache>
            </c:strRef>
          </c:cat>
          <c:val>
            <c:numRef>
              <c:f>'обврски по "зелени" кредити'!$C$10:$F$10</c:f>
              <c:numCache>
                <c:formatCode>0.0%</c:formatCode>
                <c:ptCount val="4"/>
                <c:pt idx="0">
                  <c:v>0.17664003035408596</c:v>
                </c:pt>
                <c:pt idx="1">
                  <c:v>1.1869344759762869E-2</c:v>
                </c:pt>
                <c:pt idx="2">
                  <c:v>0</c:v>
                </c:pt>
                <c:pt idx="3">
                  <c:v>8.6751372563532839E-2</c:v>
                </c:pt>
              </c:numCache>
            </c:numRef>
          </c:val>
          <c:extLst>
            <c:ext xmlns:c16="http://schemas.microsoft.com/office/drawing/2014/chart" uri="{C3380CC4-5D6E-409C-BE32-E72D297353CC}">
              <c16:uniqueId val="{00000003-6B26-4781-984C-2F5EE29B5EA3}"/>
            </c:ext>
          </c:extLst>
        </c:ser>
        <c:ser>
          <c:idx val="4"/>
          <c:order val="4"/>
          <c:tx>
            <c:strRef>
              <c:f>'обврски по "зелени" кредити'!$B$11</c:f>
              <c:strCache>
                <c:ptCount val="1"/>
                <c:pt idx="0">
                  <c:v>3/31/2022</c:v>
                </c:pt>
              </c:strCache>
            </c:strRef>
          </c:tx>
          <c:spPr>
            <a:solidFill>
              <a:schemeClr val="accent5"/>
            </a:solidFill>
            <a:ln>
              <a:noFill/>
            </a:ln>
            <a:effectLst/>
          </c:spPr>
          <c:invertIfNegative val="0"/>
          <c:cat>
            <c:strRef>
              <c:f>'обврски по "зелени" кредити'!$C$6:$F$6</c:f>
              <c:strCache>
                <c:ptCount val="4"/>
                <c:pt idx="0">
                  <c:v>Large banks</c:v>
                </c:pt>
                <c:pt idx="1">
                  <c:v>Medium-sized banks</c:v>
                </c:pt>
                <c:pt idx="2">
                  <c:v>Small banks</c:v>
                </c:pt>
                <c:pt idx="3">
                  <c:v>Entire banking system</c:v>
                </c:pt>
              </c:strCache>
            </c:strRef>
          </c:cat>
          <c:val>
            <c:numRef>
              <c:f>'обврски по "зелени" кредити'!$C$11:$F$11</c:f>
              <c:numCache>
                <c:formatCode>0.0%</c:formatCode>
                <c:ptCount val="4"/>
                <c:pt idx="0">
                  <c:v>0.15389749426061963</c:v>
                </c:pt>
                <c:pt idx="1">
                  <c:v>1.2710571963376988E-2</c:v>
                </c:pt>
                <c:pt idx="2">
                  <c:v>0</c:v>
                </c:pt>
                <c:pt idx="3">
                  <c:v>8.4153700709813012E-2</c:v>
                </c:pt>
              </c:numCache>
            </c:numRef>
          </c:val>
          <c:extLst>
            <c:ext xmlns:c16="http://schemas.microsoft.com/office/drawing/2014/chart" uri="{C3380CC4-5D6E-409C-BE32-E72D297353CC}">
              <c16:uniqueId val="{00000004-6B26-4781-984C-2F5EE29B5EA3}"/>
            </c:ext>
          </c:extLst>
        </c:ser>
        <c:ser>
          <c:idx val="5"/>
          <c:order val="5"/>
          <c:tx>
            <c:strRef>
              <c:f>'обврски по "зелени" кредити'!$B$12</c:f>
              <c:strCache>
                <c:ptCount val="1"/>
                <c:pt idx="0">
                  <c:v>6/30/2022</c:v>
                </c:pt>
              </c:strCache>
            </c:strRef>
          </c:tx>
          <c:spPr>
            <a:solidFill>
              <a:schemeClr val="accent6"/>
            </a:solidFill>
            <a:ln>
              <a:noFill/>
            </a:ln>
            <a:effectLst/>
          </c:spPr>
          <c:invertIfNegative val="0"/>
          <c:cat>
            <c:strRef>
              <c:f>'обврски по "зелени" кредити'!$C$6:$F$6</c:f>
              <c:strCache>
                <c:ptCount val="4"/>
                <c:pt idx="0">
                  <c:v>Large banks</c:v>
                </c:pt>
                <c:pt idx="1">
                  <c:v>Medium-sized banks</c:v>
                </c:pt>
                <c:pt idx="2">
                  <c:v>Small banks</c:v>
                </c:pt>
                <c:pt idx="3">
                  <c:v>Entire banking system</c:v>
                </c:pt>
              </c:strCache>
            </c:strRef>
          </c:cat>
          <c:val>
            <c:numRef>
              <c:f>'обврски по "зелени" кредити'!$C$12:$F$12</c:f>
              <c:numCache>
                <c:formatCode>0.0%</c:formatCode>
                <c:ptCount val="4"/>
                <c:pt idx="0">
                  <c:v>0.13459108647193094</c:v>
                </c:pt>
                <c:pt idx="1">
                  <c:v>1.1471728443718068E-2</c:v>
                </c:pt>
                <c:pt idx="2">
                  <c:v>0</c:v>
                </c:pt>
                <c:pt idx="3">
                  <c:v>7.5330634436019381E-2</c:v>
                </c:pt>
              </c:numCache>
            </c:numRef>
          </c:val>
          <c:extLst>
            <c:ext xmlns:c16="http://schemas.microsoft.com/office/drawing/2014/chart" uri="{C3380CC4-5D6E-409C-BE32-E72D297353CC}">
              <c16:uniqueId val="{00000005-6B26-4781-984C-2F5EE29B5EA3}"/>
            </c:ext>
          </c:extLst>
        </c:ser>
        <c:ser>
          <c:idx val="6"/>
          <c:order val="6"/>
          <c:tx>
            <c:strRef>
              <c:f>'обврски по "зелени" кредити'!$B$13</c:f>
              <c:strCache>
                <c:ptCount val="1"/>
                <c:pt idx="0">
                  <c:v>9/30/2022</c:v>
                </c:pt>
              </c:strCache>
            </c:strRef>
          </c:tx>
          <c:spPr>
            <a:solidFill>
              <a:schemeClr val="accent1">
                <a:lumMod val="60000"/>
              </a:schemeClr>
            </a:solidFill>
            <a:ln>
              <a:noFill/>
            </a:ln>
            <a:effectLst/>
          </c:spPr>
          <c:invertIfNegative val="0"/>
          <c:cat>
            <c:strRef>
              <c:f>'обврски по "зелени" кредити'!$C$6:$F$6</c:f>
              <c:strCache>
                <c:ptCount val="4"/>
                <c:pt idx="0">
                  <c:v>Large banks</c:v>
                </c:pt>
                <c:pt idx="1">
                  <c:v>Medium-sized banks</c:v>
                </c:pt>
                <c:pt idx="2">
                  <c:v>Small banks</c:v>
                </c:pt>
                <c:pt idx="3">
                  <c:v>Entire banking system</c:v>
                </c:pt>
              </c:strCache>
            </c:strRef>
          </c:cat>
          <c:val>
            <c:numRef>
              <c:f>'обврски по "зелени" кредити'!$C$13:$F$13</c:f>
              <c:numCache>
                <c:formatCode>0.0%</c:formatCode>
                <c:ptCount val="4"/>
                <c:pt idx="0">
                  <c:v>0.17282148931609825</c:v>
                </c:pt>
                <c:pt idx="1">
                  <c:v>2.0801599684198681E-2</c:v>
                </c:pt>
                <c:pt idx="2">
                  <c:v>0.29097672186225104</c:v>
                </c:pt>
                <c:pt idx="3">
                  <c:v>9.215086244271356E-2</c:v>
                </c:pt>
              </c:numCache>
            </c:numRef>
          </c:val>
          <c:extLst>
            <c:ext xmlns:c16="http://schemas.microsoft.com/office/drawing/2014/chart" uri="{C3380CC4-5D6E-409C-BE32-E72D297353CC}">
              <c16:uniqueId val="{00000006-6B26-4781-984C-2F5EE29B5EA3}"/>
            </c:ext>
          </c:extLst>
        </c:ser>
        <c:ser>
          <c:idx val="7"/>
          <c:order val="7"/>
          <c:tx>
            <c:strRef>
              <c:f>'обврски по "зелени" кредити'!$B$14</c:f>
              <c:strCache>
                <c:ptCount val="1"/>
                <c:pt idx="0">
                  <c:v>12/31/2022</c:v>
                </c:pt>
              </c:strCache>
            </c:strRef>
          </c:tx>
          <c:spPr>
            <a:solidFill>
              <a:schemeClr val="accent2">
                <a:lumMod val="60000"/>
              </a:schemeClr>
            </a:solidFill>
            <a:ln>
              <a:noFill/>
            </a:ln>
            <a:effectLst/>
          </c:spPr>
          <c:invertIfNegative val="0"/>
          <c:cat>
            <c:strRef>
              <c:f>'обврски по "зелени" кредити'!$C$6:$F$6</c:f>
              <c:strCache>
                <c:ptCount val="4"/>
                <c:pt idx="0">
                  <c:v>Large banks</c:v>
                </c:pt>
                <c:pt idx="1">
                  <c:v>Medium-sized banks</c:v>
                </c:pt>
                <c:pt idx="2">
                  <c:v>Small banks</c:v>
                </c:pt>
                <c:pt idx="3">
                  <c:v>Entire banking system</c:v>
                </c:pt>
              </c:strCache>
            </c:strRef>
          </c:cat>
          <c:val>
            <c:numRef>
              <c:f>'обврски по "зелени" кредити'!$C$14:$F$14</c:f>
              <c:numCache>
                <c:formatCode>0.0%</c:formatCode>
                <c:ptCount val="4"/>
                <c:pt idx="0">
                  <c:v>0.18755234465567699</c:v>
                </c:pt>
                <c:pt idx="1">
                  <c:v>2.1625637771026648E-2</c:v>
                </c:pt>
                <c:pt idx="2">
                  <c:v>0.15897495233128922</c:v>
                </c:pt>
                <c:pt idx="3">
                  <c:v>0.10572288463357871</c:v>
                </c:pt>
              </c:numCache>
            </c:numRef>
          </c:val>
          <c:extLst>
            <c:ext xmlns:c16="http://schemas.microsoft.com/office/drawing/2014/chart" uri="{C3380CC4-5D6E-409C-BE32-E72D297353CC}">
              <c16:uniqueId val="{00000007-6B26-4781-984C-2F5EE29B5EA3}"/>
            </c:ext>
          </c:extLst>
        </c:ser>
        <c:ser>
          <c:idx val="8"/>
          <c:order val="8"/>
          <c:tx>
            <c:strRef>
              <c:f>'обврски по "зелени" кредити'!$B$15</c:f>
              <c:strCache>
                <c:ptCount val="1"/>
                <c:pt idx="0">
                  <c:v>3/31/2023</c:v>
                </c:pt>
              </c:strCache>
            </c:strRef>
          </c:tx>
          <c:spPr>
            <a:solidFill>
              <a:schemeClr val="accent3">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'обврски по "зелени" кредити'!$C$6:$F$6</c:f>
              <c:strCache>
                <c:ptCount val="4"/>
                <c:pt idx="0">
                  <c:v>Large banks</c:v>
                </c:pt>
                <c:pt idx="1">
                  <c:v>Medium-sized banks</c:v>
                </c:pt>
                <c:pt idx="2">
                  <c:v>Small banks</c:v>
                </c:pt>
                <c:pt idx="3">
                  <c:v>Entire banking system</c:v>
                </c:pt>
              </c:strCache>
            </c:strRef>
          </c:cat>
          <c:val>
            <c:numRef>
              <c:f>'обврски по "зелени" кредити'!$C$15:$F$15</c:f>
              <c:numCache>
                <c:formatCode>0.0%</c:formatCode>
                <c:ptCount val="4"/>
                <c:pt idx="0">
                  <c:v>0.20808562837068689</c:v>
                </c:pt>
                <c:pt idx="1">
                  <c:v>2.3752175152298955E-2</c:v>
                </c:pt>
                <c:pt idx="2">
                  <c:v>0.23783700215253251</c:v>
                </c:pt>
                <c:pt idx="3">
                  <c:v>0.11831407408565027</c:v>
                </c:pt>
              </c:numCache>
            </c:numRef>
          </c:val>
          <c:extLst>
            <c:ext xmlns:c16="http://schemas.microsoft.com/office/drawing/2014/chart" uri="{C3380CC4-5D6E-409C-BE32-E72D297353CC}">
              <c16:uniqueId val="{00000008-6B26-4781-984C-2F5EE29B5EA3}"/>
            </c:ext>
          </c:extLst>
        </c:ser>
        <c:dLbls>
          <c:showLegendKey val="0"/>
          <c:showVal val="0"/>
          <c:showCatName val="0"/>
          <c:showSerName val="0"/>
          <c:showPercent val="0"/>
          <c:showBubbleSize val="0"/>
        </c:dLbls>
        <c:gapWidth val="219"/>
        <c:overlap val="-27"/>
        <c:axId val="1913284080"/>
        <c:axId val="1913278320"/>
      </c:barChart>
      <c:catAx>
        <c:axId val="191328408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13278320"/>
        <c:crosses val="autoZero"/>
        <c:auto val="1"/>
        <c:lblAlgn val="ctr"/>
        <c:lblOffset val="100"/>
        <c:noMultiLvlLbl val="0"/>
      </c:catAx>
      <c:valAx>
        <c:axId val="191327832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132840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_rels/data1.xml.rels><?xml version="1.0" encoding="UTF-8" standalone="yes"?>
<Relationships xmlns="http://schemas.openxmlformats.org/package/2006/relationships"><Relationship Id="rId8" Type="http://schemas.openxmlformats.org/officeDocument/2006/relationships/image" Target="../media/image10.svg"/><Relationship Id="rId3" Type="http://schemas.openxmlformats.org/officeDocument/2006/relationships/image" Target="../media/image5.png"/><Relationship Id="rId7" Type="http://schemas.openxmlformats.org/officeDocument/2006/relationships/image" Target="../media/image9.png"/><Relationship Id="rId2" Type="http://schemas.openxmlformats.org/officeDocument/2006/relationships/image" Target="../media/image4.svg"/><Relationship Id="rId1" Type="http://schemas.openxmlformats.org/officeDocument/2006/relationships/image" Target="../media/image3.png"/><Relationship Id="rId6" Type="http://schemas.openxmlformats.org/officeDocument/2006/relationships/image" Target="../media/image8.svg"/><Relationship Id="rId5" Type="http://schemas.openxmlformats.org/officeDocument/2006/relationships/image" Target="../media/image7.png"/><Relationship Id="rId4" Type="http://schemas.openxmlformats.org/officeDocument/2006/relationships/image" Target="../media/image6.svg"/></Relationships>
</file>

<file path=word/diagrams/_rels/drawing1.xml.rels><?xml version="1.0" encoding="UTF-8" standalone="yes"?>
<Relationships xmlns="http://schemas.openxmlformats.org/package/2006/relationships"><Relationship Id="rId8" Type="http://schemas.openxmlformats.org/officeDocument/2006/relationships/image" Target="../media/image10.svg"/><Relationship Id="rId3" Type="http://schemas.openxmlformats.org/officeDocument/2006/relationships/image" Target="../media/image5.png"/><Relationship Id="rId7" Type="http://schemas.openxmlformats.org/officeDocument/2006/relationships/image" Target="../media/image9.png"/><Relationship Id="rId2" Type="http://schemas.openxmlformats.org/officeDocument/2006/relationships/image" Target="../media/image4.svg"/><Relationship Id="rId1" Type="http://schemas.openxmlformats.org/officeDocument/2006/relationships/image" Target="../media/image3.png"/><Relationship Id="rId6" Type="http://schemas.openxmlformats.org/officeDocument/2006/relationships/image" Target="../media/image8.svg"/><Relationship Id="rId5" Type="http://schemas.openxmlformats.org/officeDocument/2006/relationships/image" Target="../media/image7.png"/><Relationship Id="rId4" Type="http://schemas.openxmlformats.org/officeDocument/2006/relationships/image" Target="../media/image6.sv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14C9473-56BC-4173-9903-C856035FA676}" type="doc">
      <dgm:prSet loTypeId="urn:microsoft.com/office/officeart/2018/2/layout/IconCircleList" loCatId="icon" qsTypeId="urn:microsoft.com/office/officeart/2005/8/quickstyle/simple1" qsCatId="simple" csTypeId="urn:microsoft.com/office/officeart/2005/8/colors/accent1_2" csCatId="accent1" phldr="1"/>
      <dgm:spPr/>
      <dgm:t>
        <a:bodyPr/>
        <a:lstStyle/>
        <a:p>
          <a:endParaRPr lang="en-US"/>
        </a:p>
      </dgm:t>
    </dgm:pt>
    <dgm:pt modelId="{E6DD211E-B904-4989-910C-624927647B0D}">
      <dgm:prSet custT="1"/>
      <dgm:spPr/>
      <dgm:t>
        <a:bodyPr/>
        <a:lstStyle/>
        <a:p>
          <a:pPr>
            <a:lnSpc>
              <a:spcPct val="100000"/>
            </a:lnSpc>
          </a:pPr>
          <a:r>
            <a:rPr lang="en-US" sz="1100"/>
            <a:t>Public finance</a:t>
          </a:r>
        </a:p>
      </dgm:t>
    </dgm:pt>
    <dgm:pt modelId="{2215C577-A2DB-456D-90D6-3F5D3AAF9877}" type="parTrans" cxnId="{11C26D03-A33B-49F0-9B5E-5C9D0200D311}">
      <dgm:prSet/>
      <dgm:spPr/>
      <dgm:t>
        <a:bodyPr/>
        <a:lstStyle/>
        <a:p>
          <a:endParaRPr lang="en-US" sz="1100"/>
        </a:p>
      </dgm:t>
    </dgm:pt>
    <dgm:pt modelId="{BB109174-EE6E-45E6-B416-D92E8843B692}" type="sibTrans" cxnId="{11C26D03-A33B-49F0-9B5E-5C9D0200D311}">
      <dgm:prSet/>
      <dgm:spPr/>
      <dgm:t>
        <a:bodyPr/>
        <a:lstStyle/>
        <a:p>
          <a:pPr>
            <a:lnSpc>
              <a:spcPct val="100000"/>
            </a:lnSpc>
          </a:pPr>
          <a:endParaRPr lang="en-US" sz="1100"/>
        </a:p>
      </dgm:t>
    </dgm:pt>
    <dgm:pt modelId="{71905B92-906A-4603-AADF-CC5FC9ED44F3}">
      <dgm:prSet custT="1"/>
      <dgm:spPr/>
      <dgm:t>
        <a:bodyPr/>
        <a:lstStyle/>
        <a:p>
          <a:pPr>
            <a:lnSpc>
              <a:spcPct val="100000"/>
            </a:lnSpc>
          </a:pPr>
          <a:r>
            <a:rPr lang="en-US" sz="1100" i="0"/>
            <a:t>Unlocking Private Capital and Aligning Business </a:t>
          </a:r>
          <a:r>
            <a:rPr lang="en-US" sz="1100"/>
            <a:t>O</a:t>
          </a:r>
          <a:r>
            <a:rPr lang="en-US" sz="1100" i="0"/>
            <a:t>perations for the SDGs</a:t>
          </a:r>
          <a:endParaRPr lang="en-US" sz="1100"/>
        </a:p>
      </dgm:t>
    </dgm:pt>
    <dgm:pt modelId="{67C4D5B4-AFE6-4198-AC94-C20EE5A4CEA7}" type="parTrans" cxnId="{41B77BDF-EFD7-4545-A90A-426B3E5AE62A}">
      <dgm:prSet/>
      <dgm:spPr/>
      <dgm:t>
        <a:bodyPr/>
        <a:lstStyle/>
        <a:p>
          <a:endParaRPr lang="en-US" sz="1100"/>
        </a:p>
      </dgm:t>
    </dgm:pt>
    <dgm:pt modelId="{F8B7A66F-1A47-490B-9B9B-4C2E2FC5ACDB}" type="sibTrans" cxnId="{41B77BDF-EFD7-4545-A90A-426B3E5AE62A}">
      <dgm:prSet/>
      <dgm:spPr/>
      <dgm:t>
        <a:bodyPr/>
        <a:lstStyle/>
        <a:p>
          <a:pPr>
            <a:lnSpc>
              <a:spcPct val="100000"/>
            </a:lnSpc>
          </a:pPr>
          <a:endParaRPr lang="en-US" sz="1100"/>
        </a:p>
      </dgm:t>
    </dgm:pt>
    <dgm:pt modelId="{262A1A85-3A97-4F0E-BB5A-9AB7A6E9C560}">
      <dgm:prSet custT="1"/>
      <dgm:spPr/>
      <dgm:t>
        <a:bodyPr/>
        <a:lstStyle/>
        <a:p>
          <a:pPr>
            <a:lnSpc>
              <a:spcPct val="100000"/>
            </a:lnSpc>
          </a:pPr>
          <a:r>
            <a:rPr lang="en-US" sz="1100" i="0"/>
            <a:t>SDG Impact Management and Finance Tracking</a:t>
          </a:r>
          <a:endParaRPr lang="en-US" sz="1100"/>
        </a:p>
      </dgm:t>
    </dgm:pt>
    <dgm:pt modelId="{00A34DC9-8703-434E-A3CB-28D4F975DD75}" type="parTrans" cxnId="{4928292B-841C-44DC-A399-6A050E647ABE}">
      <dgm:prSet/>
      <dgm:spPr/>
      <dgm:t>
        <a:bodyPr/>
        <a:lstStyle/>
        <a:p>
          <a:endParaRPr lang="en-US" sz="1100"/>
        </a:p>
      </dgm:t>
    </dgm:pt>
    <dgm:pt modelId="{1F132A97-5D93-4492-A898-BA14DF2DB619}" type="sibTrans" cxnId="{4928292B-841C-44DC-A399-6A050E647ABE}">
      <dgm:prSet/>
      <dgm:spPr/>
      <dgm:t>
        <a:bodyPr/>
        <a:lstStyle/>
        <a:p>
          <a:pPr>
            <a:lnSpc>
              <a:spcPct val="100000"/>
            </a:lnSpc>
          </a:pPr>
          <a:endParaRPr lang="en-US" sz="1100"/>
        </a:p>
      </dgm:t>
    </dgm:pt>
    <dgm:pt modelId="{0D106023-EA79-4360-B4A9-26D172E91FCF}">
      <dgm:prSet custT="1"/>
      <dgm:spPr/>
      <dgm:t>
        <a:bodyPr/>
        <a:lstStyle/>
        <a:p>
          <a:pPr>
            <a:lnSpc>
              <a:spcPct val="100000"/>
            </a:lnSpc>
          </a:pPr>
          <a:r>
            <a:rPr lang="en-US" sz="1100" i="0"/>
            <a:t>Integrated National Financing Frameworks (INFFs) and Portfolios</a:t>
          </a:r>
          <a:endParaRPr lang="en-US" sz="1100"/>
        </a:p>
      </dgm:t>
    </dgm:pt>
    <dgm:pt modelId="{489D09DF-675A-46E0-99F5-3E068810F74D}" type="parTrans" cxnId="{B22B4EF3-DDC7-46E9-9181-EA442FF28FF1}">
      <dgm:prSet/>
      <dgm:spPr/>
      <dgm:t>
        <a:bodyPr/>
        <a:lstStyle/>
        <a:p>
          <a:endParaRPr lang="en-US" sz="1100"/>
        </a:p>
      </dgm:t>
    </dgm:pt>
    <dgm:pt modelId="{FAE00E8F-68C9-4920-BC5B-FE2F2BE1E86E}" type="sibTrans" cxnId="{B22B4EF3-DDC7-46E9-9181-EA442FF28FF1}">
      <dgm:prSet/>
      <dgm:spPr/>
      <dgm:t>
        <a:bodyPr/>
        <a:lstStyle/>
        <a:p>
          <a:endParaRPr lang="en-US" sz="1100"/>
        </a:p>
      </dgm:t>
    </dgm:pt>
    <dgm:pt modelId="{1DA19521-82C6-44EB-8D1D-4332AF4DF140}" type="pres">
      <dgm:prSet presAssocID="{B14C9473-56BC-4173-9903-C856035FA676}" presName="root" presStyleCnt="0">
        <dgm:presLayoutVars>
          <dgm:dir/>
          <dgm:resizeHandles val="exact"/>
        </dgm:presLayoutVars>
      </dgm:prSet>
      <dgm:spPr/>
    </dgm:pt>
    <dgm:pt modelId="{A99161DB-FAF9-480F-AEFB-A2B4003F99D9}" type="pres">
      <dgm:prSet presAssocID="{B14C9473-56BC-4173-9903-C856035FA676}" presName="container" presStyleCnt="0">
        <dgm:presLayoutVars>
          <dgm:dir/>
          <dgm:resizeHandles val="exact"/>
        </dgm:presLayoutVars>
      </dgm:prSet>
      <dgm:spPr/>
    </dgm:pt>
    <dgm:pt modelId="{7D259B4B-A659-4541-B3FD-1517D14050A1}" type="pres">
      <dgm:prSet presAssocID="{E6DD211E-B904-4989-910C-624927647B0D}" presName="compNode" presStyleCnt="0"/>
      <dgm:spPr/>
    </dgm:pt>
    <dgm:pt modelId="{7F2A7656-427A-4A65-B205-DB5D6AE65965}" type="pres">
      <dgm:prSet presAssocID="{E6DD211E-B904-4989-910C-624927647B0D}" presName="iconBgRect" presStyleLbl="bgShp" presStyleIdx="0" presStyleCnt="4"/>
      <dgm:spPr/>
    </dgm:pt>
    <dgm:pt modelId="{830F439A-3A6E-4577-9D63-0E623271F5DE}" type="pres">
      <dgm:prSet presAssocID="{E6DD211E-B904-4989-910C-624927647B0D}" presName="iconRect" presStyleLbl="node1" presStyleIdx="0" presStyleCnt="4"/>
      <dgm:spPr>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a:blipFill>
      </dgm:spPr>
      <dgm:extLst>
        <a:ext uri="{E40237B7-FDA0-4F09-8148-C483321AD2D9}">
          <dgm14:cNvPr xmlns:dgm14="http://schemas.microsoft.com/office/drawing/2010/diagram" id="0" name="" descr="Money"/>
        </a:ext>
      </dgm:extLst>
    </dgm:pt>
    <dgm:pt modelId="{42F69447-924E-430C-B7F8-35157064F99C}" type="pres">
      <dgm:prSet presAssocID="{E6DD211E-B904-4989-910C-624927647B0D}" presName="spaceRect" presStyleCnt="0"/>
      <dgm:spPr/>
    </dgm:pt>
    <dgm:pt modelId="{9F7D4AF7-CBEA-43F3-B140-182F404C54D8}" type="pres">
      <dgm:prSet presAssocID="{E6DD211E-B904-4989-910C-624927647B0D}" presName="textRect" presStyleLbl="revTx" presStyleIdx="0" presStyleCnt="4">
        <dgm:presLayoutVars>
          <dgm:chMax val="1"/>
          <dgm:chPref val="1"/>
        </dgm:presLayoutVars>
      </dgm:prSet>
      <dgm:spPr/>
    </dgm:pt>
    <dgm:pt modelId="{1BCEA268-5DAB-4D24-8B94-7DA99826B1B2}" type="pres">
      <dgm:prSet presAssocID="{BB109174-EE6E-45E6-B416-D92E8843B692}" presName="sibTrans" presStyleLbl="sibTrans2D1" presStyleIdx="0" presStyleCnt="0"/>
      <dgm:spPr/>
    </dgm:pt>
    <dgm:pt modelId="{96AEA21C-25A2-4EF7-A134-634A091BFA35}" type="pres">
      <dgm:prSet presAssocID="{71905B92-906A-4603-AADF-CC5FC9ED44F3}" presName="compNode" presStyleCnt="0"/>
      <dgm:spPr/>
    </dgm:pt>
    <dgm:pt modelId="{0BE6201A-12FC-4292-AC53-A9CD728B0336}" type="pres">
      <dgm:prSet presAssocID="{71905B92-906A-4603-AADF-CC5FC9ED44F3}" presName="iconBgRect" presStyleLbl="bgShp" presStyleIdx="1" presStyleCnt="4"/>
      <dgm:spPr/>
    </dgm:pt>
    <dgm:pt modelId="{54BD136A-6E0C-4941-A44C-867CE1683659}" type="pres">
      <dgm:prSet presAssocID="{71905B92-906A-4603-AADF-CC5FC9ED44F3}" presName="iconRect" presStyleLbl="node1" presStyleIdx="1" presStyleCnt="4"/>
      <dgm:spPr>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a:blipFill>
      </dgm:spPr>
      <dgm:extLst>
        <a:ext uri="{E40237B7-FDA0-4F09-8148-C483321AD2D9}">
          <dgm14:cNvPr xmlns:dgm14="http://schemas.microsoft.com/office/drawing/2010/diagram" id="0" name="" descr="Handshake"/>
        </a:ext>
      </dgm:extLst>
    </dgm:pt>
    <dgm:pt modelId="{118FB27F-6AC6-4F89-833D-43B396C7A32D}" type="pres">
      <dgm:prSet presAssocID="{71905B92-906A-4603-AADF-CC5FC9ED44F3}" presName="spaceRect" presStyleCnt="0"/>
      <dgm:spPr/>
    </dgm:pt>
    <dgm:pt modelId="{BFBAE47C-0560-473D-9A42-C69E54CA3544}" type="pres">
      <dgm:prSet presAssocID="{71905B92-906A-4603-AADF-CC5FC9ED44F3}" presName="textRect" presStyleLbl="revTx" presStyleIdx="1" presStyleCnt="4">
        <dgm:presLayoutVars>
          <dgm:chMax val="1"/>
          <dgm:chPref val="1"/>
        </dgm:presLayoutVars>
      </dgm:prSet>
      <dgm:spPr/>
    </dgm:pt>
    <dgm:pt modelId="{022803F6-32CA-4C95-802F-ECE9814D8D27}" type="pres">
      <dgm:prSet presAssocID="{F8B7A66F-1A47-490B-9B9B-4C2E2FC5ACDB}" presName="sibTrans" presStyleLbl="sibTrans2D1" presStyleIdx="0" presStyleCnt="0"/>
      <dgm:spPr/>
    </dgm:pt>
    <dgm:pt modelId="{EF2372E9-D1C9-4612-A402-6E1235089BEF}" type="pres">
      <dgm:prSet presAssocID="{262A1A85-3A97-4F0E-BB5A-9AB7A6E9C560}" presName="compNode" presStyleCnt="0"/>
      <dgm:spPr/>
    </dgm:pt>
    <dgm:pt modelId="{4C04AA47-6DCB-4FD6-8FD8-623E7251419B}" type="pres">
      <dgm:prSet presAssocID="{262A1A85-3A97-4F0E-BB5A-9AB7A6E9C560}" presName="iconBgRect" presStyleLbl="bgShp" presStyleIdx="2" presStyleCnt="4"/>
      <dgm:spPr/>
    </dgm:pt>
    <dgm:pt modelId="{609B4EED-EB86-4E13-A859-991C7C5D6483}" type="pres">
      <dgm:prSet presAssocID="{262A1A85-3A97-4F0E-BB5A-9AB7A6E9C560}" presName="iconRect" presStyleLbl="node1" presStyleIdx="2" presStyleCnt="4"/>
      <dgm:spPr>
        <a:blipFill>
          <a:blip xmlns:r="http://schemas.openxmlformats.org/officeDocument/2006/relationships"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tretch>
            <a:fillRect/>
          </a:stretch>
        </a:blipFill>
      </dgm:spPr>
      <dgm:extLst>
        <a:ext uri="{E40237B7-FDA0-4F09-8148-C483321AD2D9}">
          <dgm14:cNvPr xmlns:dgm14="http://schemas.microsoft.com/office/drawing/2010/diagram" id="0" name="" descr="Bar chart"/>
        </a:ext>
      </dgm:extLst>
    </dgm:pt>
    <dgm:pt modelId="{F3EC0C3B-FAA1-4DFB-ADE8-9F0EACF3F0F1}" type="pres">
      <dgm:prSet presAssocID="{262A1A85-3A97-4F0E-BB5A-9AB7A6E9C560}" presName="spaceRect" presStyleCnt="0"/>
      <dgm:spPr/>
    </dgm:pt>
    <dgm:pt modelId="{6F6CD301-5FA1-4965-82F3-613EAF4DFA37}" type="pres">
      <dgm:prSet presAssocID="{262A1A85-3A97-4F0E-BB5A-9AB7A6E9C560}" presName="textRect" presStyleLbl="revTx" presStyleIdx="2" presStyleCnt="4">
        <dgm:presLayoutVars>
          <dgm:chMax val="1"/>
          <dgm:chPref val="1"/>
        </dgm:presLayoutVars>
      </dgm:prSet>
      <dgm:spPr/>
    </dgm:pt>
    <dgm:pt modelId="{835A1FB2-2786-4E49-A3B6-9DC0E9E84F03}" type="pres">
      <dgm:prSet presAssocID="{1F132A97-5D93-4492-A898-BA14DF2DB619}" presName="sibTrans" presStyleLbl="sibTrans2D1" presStyleIdx="0" presStyleCnt="0"/>
      <dgm:spPr/>
    </dgm:pt>
    <dgm:pt modelId="{8C434B4A-34DE-45B0-AB31-26A8CC40616B}" type="pres">
      <dgm:prSet presAssocID="{0D106023-EA79-4360-B4A9-26D172E91FCF}" presName="compNode" presStyleCnt="0"/>
      <dgm:spPr/>
    </dgm:pt>
    <dgm:pt modelId="{C14AAD3B-9DF9-41AB-B8ED-134DBD6EA769}" type="pres">
      <dgm:prSet presAssocID="{0D106023-EA79-4360-B4A9-26D172E91FCF}" presName="iconBgRect" presStyleLbl="bgShp" presStyleIdx="3" presStyleCnt="4"/>
      <dgm:spPr/>
    </dgm:pt>
    <dgm:pt modelId="{1DF2565F-F68B-498C-8E5C-B078179A1192}" type="pres">
      <dgm:prSet presAssocID="{0D106023-EA79-4360-B4A9-26D172E91FCF}" presName="iconRect" presStyleLbl="node1" presStyleIdx="3" presStyleCnt="4"/>
      <dgm:spPr>
        <a:blipFill>
          <a:blip xmlns:r="http://schemas.openxmlformats.org/officeDocument/2006/relationships"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tretch>
            <a:fillRect/>
          </a:stretch>
        </a:blipFill>
      </dgm:spPr>
      <dgm:extLst>
        <a:ext uri="{E40237B7-FDA0-4F09-8148-C483321AD2D9}">
          <dgm14:cNvPr xmlns:dgm14="http://schemas.microsoft.com/office/drawing/2010/diagram" id="0" name="" descr="Bank"/>
        </a:ext>
      </dgm:extLst>
    </dgm:pt>
    <dgm:pt modelId="{C67F2821-1C65-4285-91E6-C99B70485502}" type="pres">
      <dgm:prSet presAssocID="{0D106023-EA79-4360-B4A9-26D172E91FCF}" presName="spaceRect" presStyleCnt="0"/>
      <dgm:spPr/>
    </dgm:pt>
    <dgm:pt modelId="{F26ACB0D-85A0-482E-B55D-E5C16C85D1F6}" type="pres">
      <dgm:prSet presAssocID="{0D106023-EA79-4360-B4A9-26D172E91FCF}" presName="textRect" presStyleLbl="revTx" presStyleIdx="3" presStyleCnt="4">
        <dgm:presLayoutVars>
          <dgm:chMax val="1"/>
          <dgm:chPref val="1"/>
        </dgm:presLayoutVars>
      </dgm:prSet>
      <dgm:spPr/>
    </dgm:pt>
  </dgm:ptLst>
  <dgm:cxnLst>
    <dgm:cxn modelId="{11C26D03-A33B-49F0-9B5E-5C9D0200D311}" srcId="{B14C9473-56BC-4173-9903-C856035FA676}" destId="{E6DD211E-B904-4989-910C-624927647B0D}" srcOrd="0" destOrd="0" parTransId="{2215C577-A2DB-456D-90D6-3F5D3AAF9877}" sibTransId="{BB109174-EE6E-45E6-B416-D92E8843B692}"/>
    <dgm:cxn modelId="{4928292B-841C-44DC-A399-6A050E647ABE}" srcId="{B14C9473-56BC-4173-9903-C856035FA676}" destId="{262A1A85-3A97-4F0E-BB5A-9AB7A6E9C560}" srcOrd="2" destOrd="0" parTransId="{00A34DC9-8703-434E-A3CB-28D4F975DD75}" sibTransId="{1F132A97-5D93-4492-A898-BA14DF2DB619}"/>
    <dgm:cxn modelId="{1E5FEB46-30DC-4C4E-8871-CA2D166D9048}" type="presOf" srcId="{B14C9473-56BC-4173-9903-C856035FA676}" destId="{1DA19521-82C6-44EB-8D1D-4332AF4DF140}" srcOrd="0" destOrd="0" presId="urn:microsoft.com/office/officeart/2018/2/layout/IconCircleList"/>
    <dgm:cxn modelId="{6FCFFF6A-0069-461B-96F7-C81F25197590}" type="presOf" srcId="{1F132A97-5D93-4492-A898-BA14DF2DB619}" destId="{835A1FB2-2786-4E49-A3B6-9DC0E9E84F03}" srcOrd="0" destOrd="0" presId="urn:microsoft.com/office/officeart/2018/2/layout/IconCircleList"/>
    <dgm:cxn modelId="{E18A024C-89A7-4850-989E-05BDCC54BEF0}" type="presOf" srcId="{0D106023-EA79-4360-B4A9-26D172E91FCF}" destId="{F26ACB0D-85A0-482E-B55D-E5C16C85D1F6}" srcOrd="0" destOrd="0" presId="urn:microsoft.com/office/officeart/2018/2/layout/IconCircleList"/>
    <dgm:cxn modelId="{FEF9A278-C0DF-4D3E-9F90-DC21384F9083}" type="presOf" srcId="{F8B7A66F-1A47-490B-9B9B-4C2E2FC5ACDB}" destId="{022803F6-32CA-4C95-802F-ECE9814D8D27}" srcOrd="0" destOrd="0" presId="urn:microsoft.com/office/officeart/2018/2/layout/IconCircleList"/>
    <dgm:cxn modelId="{DA87A1B2-4F30-4D35-A086-6AD42496F825}" type="presOf" srcId="{71905B92-906A-4603-AADF-CC5FC9ED44F3}" destId="{BFBAE47C-0560-473D-9A42-C69E54CA3544}" srcOrd="0" destOrd="0" presId="urn:microsoft.com/office/officeart/2018/2/layout/IconCircleList"/>
    <dgm:cxn modelId="{673EE3B6-2A3A-43EF-A501-383D7780A53E}" type="presOf" srcId="{BB109174-EE6E-45E6-B416-D92E8843B692}" destId="{1BCEA268-5DAB-4D24-8B94-7DA99826B1B2}" srcOrd="0" destOrd="0" presId="urn:microsoft.com/office/officeart/2018/2/layout/IconCircleList"/>
    <dgm:cxn modelId="{D30B64C5-31AC-4882-881B-B82AF50052F8}" type="presOf" srcId="{E6DD211E-B904-4989-910C-624927647B0D}" destId="{9F7D4AF7-CBEA-43F3-B140-182F404C54D8}" srcOrd="0" destOrd="0" presId="urn:microsoft.com/office/officeart/2018/2/layout/IconCircleList"/>
    <dgm:cxn modelId="{41B77BDF-EFD7-4545-A90A-426B3E5AE62A}" srcId="{B14C9473-56BC-4173-9903-C856035FA676}" destId="{71905B92-906A-4603-AADF-CC5FC9ED44F3}" srcOrd="1" destOrd="0" parTransId="{67C4D5B4-AFE6-4198-AC94-C20EE5A4CEA7}" sibTransId="{F8B7A66F-1A47-490B-9B9B-4C2E2FC5ACDB}"/>
    <dgm:cxn modelId="{4B15DBEA-26FE-4E31-A963-E49F9F54C826}" type="presOf" srcId="{262A1A85-3A97-4F0E-BB5A-9AB7A6E9C560}" destId="{6F6CD301-5FA1-4965-82F3-613EAF4DFA37}" srcOrd="0" destOrd="0" presId="urn:microsoft.com/office/officeart/2018/2/layout/IconCircleList"/>
    <dgm:cxn modelId="{B22B4EF3-DDC7-46E9-9181-EA442FF28FF1}" srcId="{B14C9473-56BC-4173-9903-C856035FA676}" destId="{0D106023-EA79-4360-B4A9-26D172E91FCF}" srcOrd="3" destOrd="0" parTransId="{489D09DF-675A-46E0-99F5-3E068810F74D}" sibTransId="{FAE00E8F-68C9-4920-BC5B-FE2F2BE1E86E}"/>
    <dgm:cxn modelId="{ED8DC6B1-E1EE-4B0E-8426-A38BC559604E}" type="presParOf" srcId="{1DA19521-82C6-44EB-8D1D-4332AF4DF140}" destId="{A99161DB-FAF9-480F-AEFB-A2B4003F99D9}" srcOrd="0" destOrd="0" presId="urn:microsoft.com/office/officeart/2018/2/layout/IconCircleList"/>
    <dgm:cxn modelId="{3A2E4EA0-75B2-4F69-B917-81AE0BFE8309}" type="presParOf" srcId="{A99161DB-FAF9-480F-AEFB-A2B4003F99D9}" destId="{7D259B4B-A659-4541-B3FD-1517D14050A1}" srcOrd="0" destOrd="0" presId="urn:microsoft.com/office/officeart/2018/2/layout/IconCircleList"/>
    <dgm:cxn modelId="{5BC8053D-1C86-44E3-BB11-E5CAC343F2F1}" type="presParOf" srcId="{7D259B4B-A659-4541-B3FD-1517D14050A1}" destId="{7F2A7656-427A-4A65-B205-DB5D6AE65965}" srcOrd="0" destOrd="0" presId="urn:microsoft.com/office/officeart/2018/2/layout/IconCircleList"/>
    <dgm:cxn modelId="{1AD39576-B7DA-471A-BC70-BD26EC361F7F}" type="presParOf" srcId="{7D259B4B-A659-4541-B3FD-1517D14050A1}" destId="{830F439A-3A6E-4577-9D63-0E623271F5DE}" srcOrd="1" destOrd="0" presId="urn:microsoft.com/office/officeart/2018/2/layout/IconCircleList"/>
    <dgm:cxn modelId="{185FAB16-08D1-4DE4-85A6-4E4421B8E056}" type="presParOf" srcId="{7D259B4B-A659-4541-B3FD-1517D14050A1}" destId="{42F69447-924E-430C-B7F8-35157064F99C}" srcOrd="2" destOrd="0" presId="urn:microsoft.com/office/officeart/2018/2/layout/IconCircleList"/>
    <dgm:cxn modelId="{D2D062C5-15AE-4919-A916-9AC6C1F4C583}" type="presParOf" srcId="{7D259B4B-A659-4541-B3FD-1517D14050A1}" destId="{9F7D4AF7-CBEA-43F3-B140-182F404C54D8}" srcOrd="3" destOrd="0" presId="urn:microsoft.com/office/officeart/2018/2/layout/IconCircleList"/>
    <dgm:cxn modelId="{95225E21-DF19-44DA-969B-B75EF45547D3}" type="presParOf" srcId="{A99161DB-FAF9-480F-AEFB-A2B4003F99D9}" destId="{1BCEA268-5DAB-4D24-8B94-7DA99826B1B2}" srcOrd="1" destOrd="0" presId="urn:microsoft.com/office/officeart/2018/2/layout/IconCircleList"/>
    <dgm:cxn modelId="{BACB0A73-59CF-4718-A823-99A78375A34E}" type="presParOf" srcId="{A99161DB-FAF9-480F-AEFB-A2B4003F99D9}" destId="{96AEA21C-25A2-4EF7-A134-634A091BFA35}" srcOrd="2" destOrd="0" presId="urn:microsoft.com/office/officeart/2018/2/layout/IconCircleList"/>
    <dgm:cxn modelId="{5531F293-8CA1-4478-99DB-6AF461D32D6B}" type="presParOf" srcId="{96AEA21C-25A2-4EF7-A134-634A091BFA35}" destId="{0BE6201A-12FC-4292-AC53-A9CD728B0336}" srcOrd="0" destOrd="0" presId="urn:microsoft.com/office/officeart/2018/2/layout/IconCircleList"/>
    <dgm:cxn modelId="{78A3233A-993C-4A66-AC61-3E3D6C1A6ADB}" type="presParOf" srcId="{96AEA21C-25A2-4EF7-A134-634A091BFA35}" destId="{54BD136A-6E0C-4941-A44C-867CE1683659}" srcOrd="1" destOrd="0" presId="urn:microsoft.com/office/officeart/2018/2/layout/IconCircleList"/>
    <dgm:cxn modelId="{3DE49EEC-FD7E-4D2B-91BC-DFA78E820AF2}" type="presParOf" srcId="{96AEA21C-25A2-4EF7-A134-634A091BFA35}" destId="{118FB27F-6AC6-4F89-833D-43B396C7A32D}" srcOrd="2" destOrd="0" presId="urn:microsoft.com/office/officeart/2018/2/layout/IconCircleList"/>
    <dgm:cxn modelId="{112C8AAC-C392-4BBB-BDB2-466F6AEAABA4}" type="presParOf" srcId="{96AEA21C-25A2-4EF7-A134-634A091BFA35}" destId="{BFBAE47C-0560-473D-9A42-C69E54CA3544}" srcOrd="3" destOrd="0" presId="urn:microsoft.com/office/officeart/2018/2/layout/IconCircleList"/>
    <dgm:cxn modelId="{8AD96F9E-6AD0-4DB0-B87B-3A24BB842227}" type="presParOf" srcId="{A99161DB-FAF9-480F-AEFB-A2B4003F99D9}" destId="{022803F6-32CA-4C95-802F-ECE9814D8D27}" srcOrd="3" destOrd="0" presId="urn:microsoft.com/office/officeart/2018/2/layout/IconCircleList"/>
    <dgm:cxn modelId="{71AC5C06-D58B-4BD8-8EB4-6CEAC4D9F11A}" type="presParOf" srcId="{A99161DB-FAF9-480F-AEFB-A2B4003F99D9}" destId="{EF2372E9-D1C9-4612-A402-6E1235089BEF}" srcOrd="4" destOrd="0" presId="urn:microsoft.com/office/officeart/2018/2/layout/IconCircleList"/>
    <dgm:cxn modelId="{5DB498AC-1949-4940-B03A-30269F3B703B}" type="presParOf" srcId="{EF2372E9-D1C9-4612-A402-6E1235089BEF}" destId="{4C04AA47-6DCB-4FD6-8FD8-623E7251419B}" srcOrd="0" destOrd="0" presId="urn:microsoft.com/office/officeart/2018/2/layout/IconCircleList"/>
    <dgm:cxn modelId="{813CF93A-3498-467B-AEC9-89E2462711A1}" type="presParOf" srcId="{EF2372E9-D1C9-4612-A402-6E1235089BEF}" destId="{609B4EED-EB86-4E13-A859-991C7C5D6483}" srcOrd="1" destOrd="0" presId="urn:microsoft.com/office/officeart/2018/2/layout/IconCircleList"/>
    <dgm:cxn modelId="{66F95256-3436-4745-B4AC-FBDEAEEC5994}" type="presParOf" srcId="{EF2372E9-D1C9-4612-A402-6E1235089BEF}" destId="{F3EC0C3B-FAA1-4DFB-ADE8-9F0EACF3F0F1}" srcOrd="2" destOrd="0" presId="urn:microsoft.com/office/officeart/2018/2/layout/IconCircleList"/>
    <dgm:cxn modelId="{C2688F7D-D118-4846-81D0-86B4170B0EFF}" type="presParOf" srcId="{EF2372E9-D1C9-4612-A402-6E1235089BEF}" destId="{6F6CD301-5FA1-4965-82F3-613EAF4DFA37}" srcOrd="3" destOrd="0" presId="urn:microsoft.com/office/officeart/2018/2/layout/IconCircleList"/>
    <dgm:cxn modelId="{EF123CBA-62E7-4096-8ED4-046276825384}" type="presParOf" srcId="{A99161DB-FAF9-480F-AEFB-A2B4003F99D9}" destId="{835A1FB2-2786-4E49-A3B6-9DC0E9E84F03}" srcOrd="5" destOrd="0" presId="urn:microsoft.com/office/officeart/2018/2/layout/IconCircleList"/>
    <dgm:cxn modelId="{BE8F84C5-E067-434F-9127-69E1AFD38E38}" type="presParOf" srcId="{A99161DB-FAF9-480F-AEFB-A2B4003F99D9}" destId="{8C434B4A-34DE-45B0-AB31-26A8CC40616B}" srcOrd="6" destOrd="0" presId="urn:microsoft.com/office/officeart/2018/2/layout/IconCircleList"/>
    <dgm:cxn modelId="{F4148E81-46A7-4BEC-B5AC-B4B1E0965A19}" type="presParOf" srcId="{8C434B4A-34DE-45B0-AB31-26A8CC40616B}" destId="{C14AAD3B-9DF9-41AB-B8ED-134DBD6EA769}" srcOrd="0" destOrd="0" presId="urn:microsoft.com/office/officeart/2018/2/layout/IconCircleList"/>
    <dgm:cxn modelId="{16C9300E-4B62-4C6E-80E8-16932CCCE84C}" type="presParOf" srcId="{8C434B4A-34DE-45B0-AB31-26A8CC40616B}" destId="{1DF2565F-F68B-498C-8E5C-B078179A1192}" srcOrd="1" destOrd="0" presId="urn:microsoft.com/office/officeart/2018/2/layout/IconCircleList"/>
    <dgm:cxn modelId="{275B5309-15F0-42B8-8AEA-61A96E5E11DA}" type="presParOf" srcId="{8C434B4A-34DE-45B0-AB31-26A8CC40616B}" destId="{C67F2821-1C65-4285-91E6-C99B70485502}" srcOrd="2" destOrd="0" presId="urn:microsoft.com/office/officeart/2018/2/layout/IconCircleList"/>
    <dgm:cxn modelId="{9461C428-F62A-41ED-820D-D5A5369FE23B}" type="presParOf" srcId="{8C434B4A-34DE-45B0-AB31-26A8CC40616B}" destId="{F26ACB0D-85A0-482E-B55D-E5C16C85D1F6}" srcOrd="3" destOrd="0" presId="urn:microsoft.com/office/officeart/2018/2/layout/IconCircleList"/>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F2A7656-427A-4A65-B205-DB5D6AE65965}">
      <dsp:nvSpPr>
        <dsp:cNvPr id="0" name=""/>
        <dsp:cNvSpPr/>
      </dsp:nvSpPr>
      <dsp:spPr>
        <a:xfrm>
          <a:off x="62419" y="250299"/>
          <a:ext cx="770332" cy="770332"/>
        </a:xfrm>
        <a:prstGeom prst="ellipse">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830F439A-3A6E-4577-9D63-0E623271F5DE}">
      <dsp:nvSpPr>
        <dsp:cNvPr id="0" name=""/>
        <dsp:cNvSpPr/>
      </dsp:nvSpPr>
      <dsp:spPr>
        <a:xfrm>
          <a:off x="224189" y="412069"/>
          <a:ext cx="446792" cy="446792"/>
        </a:xfrm>
        <a:prstGeom prst="rect">
          <a:avLst/>
        </a:prstGeom>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a:blip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F7D4AF7-CBEA-43F3-B140-182F404C54D8}">
      <dsp:nvSpPr>
        <dsp:cNvPr id="0" name=""/>
        <dsp:cNvSpPr/>
      </dsp:nvSpPr>
      <dsp:spPr>
        <a:xfrm>
          <a:off x="997822" y="250299"/>
          <a:ext cx="1815783" cy="7703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0" lvl="0" indent="0" algn="l" defTabSz="488950">
            <a:lnSpc>
              <a:spcPct val="100000"/>
            </a:lnSpc>
            <a:spcBef>
              <a:spcPct val="0"/>
            </a:spcBef>
            <a:spcAft>
              <a:spcPct val="35000"/>
            </a:spcAft>
            <a:buNone/>
          </a:pPr>
          <a:r>
            <a:rPr lang="en-US" sz="1100" kern="1200"/>
            <a:t>Public finance</a:t>
          </a:r>
        </a:p>
      </dsp:txBody>
      <dsp:txXfrm>
        <a:off x="997822" y="250299"/>
        <a:ext cx="1815783" cy="770332"/>
      </dsp:txXfrm>
    </dsp:sp>
    <dsp:sp modelId="{0BE6201A-12FC-4292-AC53-A9CD728B0336}">
      <dsp:nvSpPr>
        <dsp:cNvPr id="0" name=""/>
        <dsp:cNvSpPr/>
      </dsp:nvSpPr>
      <dsp:spPr>
        <a:xfrm>
          <a:off x="3129993" y="250299"/>
          <a:ext cx="770332" cy="770332"/>
        </a:xfrm>
        <a:prstGeom prst="ellipse">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54BD136A-6E0C-4941-A44C-867CE1683659}">
      <dsp:nvSpPr>
        <dsp:cNvPr id="0" name=""/>
        <dsp:cNvSpPr/>
      </dsp:nvSpPr>
      <dsp:spPr>
        <a:xfrm>
          <a:off x="3291763" y="412069"/>
          <a:ext cx="446792" cy="446792"/>
        </a:xfrm>
        <a:prstGeom prst="rect">
          <a:avLst/>
        </a:prstGeom>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a:blip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FBAE47C-0560-473D-9A42-C69E54CA3544}">
      <dsp:nvSpPr>
        <dsp:cNvPr id="0" name=""/>
        <dsp:cNvSpPr/>
      </dsp:nvSpPr>
      <dsp:spPr>
        <a:xfrm>
          <a:off x="4065397" y="250299"/>
          <a:ext cx="1815783" cy="7703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0" lvl="0" indent="0" algn="l" defTabSz="488950">
            <a:lnSpc>
              <a:spcPct val="100000"/>
            </a:lnSpc>
            <a:spcBef>
              <a:spcPct val="0"/>
            </a:spcBef>
            <a:spcAft>
              <a:spcPct val="35000"/>
            </a:spcAft>
            <a:buNone/>
          </a:pPr>
          <a:r>
            <a:rPr lang="en-US" sz="1100" i="0" kern="1200"/>
            <a:t>Unlocking Private Capital and Aligning Business </a:t>
          </a:r>
          <a:r>
            <a:rPr lang="en-US" sz="1100" kern="1200"/>
            <a:t>O</a:t>
          </a:r>
          <a:r>
            <a:rPr lang="en-US" sz="1100" i="0" kern="1200"/>
            <a:t>perations for the SDGs</a:t>
          </a:r>
          <a:endParaRPr lang="en-US" sz="1100" kern="1200"/>
        </a:p>
      </dsp:txBody>
      <dsp:txXfrm>
        <a:off x="4065397" y="250299"/>
        <a:ext cx="1815783" cy="770332"/>
      </dsp:txXfrm>
    </dsp:sp>
    <dsp:sp modelId="{4C04AA47-6DCB-4FD6-8FD8-623E7251419B}">
      <dsp:nvSpPr>
        <dsp:cNvPr id="0" name=""/>
        <dsp:cNvSpPr/>
      </dsp:nvSpPr>
      <dsp:spPr>
        <a:xfrm>
          <a:off x="62419" y="1438722"/>
          <a:ext cx="770332" cy="770332"/>
        </a:xfrm>
        <a:prstGeom prst="ellipse">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609B4EED-EB86-4E13-A859-991C7C5D6483}">
      <dsp:nvSpPr>
        <dsp:cNvPr id="0" name=""/>
        <dsp:cNvSpPr/>
      </dsp:nvSpPr>
      <dsp:spPr>
        <a:xfrm>
          <a:off x="224189" y="1600492"/>
          <a:ext cx="446792" cy="446792"/>
        </a:xfrm>
        <a:prstGeom prst="rect">
          <a:avLst/>
        </a:prstGeom>
        <a:blipFill>
          <a:blip xmlns:r="http://schemas.openxmlformats.org/officeDocument/2006/relationships"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tretch>
            <a:fillRect/>
          </a:stretch>
        </a:blip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F6CD301-5FA1-4965-82F3-613EAF4DFA37}">
      <dsp:nvSpPr>
        <dsp:cNvPr id="0" name=""/>
        <dsp:cNvSpPr/>
      </dsp:nvSpPr>
      <dsp:spPr>
        <a:xfrm>
          <a:off x="997822" y="1438722"/>
          <a:ext cx="1815783" cy="7703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0" lvl="0" indent="0" algn="l" defTabSz="488950">
            <a:lnSpc>
              <a:spcPct val="100000"/>
            </a:lnSpc>
            <a:spcBef>
              <a:spcPct val="0"/>
            </a:spcBef>
            <a:spcAft>
              <a:spcPct val="35000"/>
            </a:spcAft>
            <a:buNone/>
          </a:pPr>
          <a:r>
            <a:rPr lang="en-US" sz="1100" i="0" kern="1200"/>
            <a:t>SDG Impact Management and Finance Tracking</a:t>
          </a:r>
          <a:endParaRPr lang="en-US" sz="1100" kern="1200"/>
        </a:p>
      </dsp:txBody>
      <dsp:txXfrm>
        <a:off x="997822" y="1438722"/>
        <a:ext cx="1815783" cy="770332"/>
      </dsp:txXfrm>
    </dsp:sp>
    <dsp:sp modelId="{C14AAD3B-9DF9-41AB-B8ED-134DBD6EA769}">
      <dsp:nvSpPr>
        <dsp:cNvPr id="0" name=""/>
        <dsp:cNvSpPr/>
      </dsp:nvSpPr>
      <dsp:spPr>
        <a:xfrm>
          <a:off x="3129993" y="1438722"/>
          <a:ext cx="770332" cy="770332"/>
        </a:xfrm>
        <a:prstGeom prst="ellipse">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1DF2565F-F68B-498C-8E5C-B078179A1192}">
      <dsp:nvSpPr>
        <dsp:cNvPr id="0" name=""/>
        <dsp:cNvSpPr/>
      </dsp:nvSpPr>
      <dsp:spPr>
        <a:xfrm>
          <a:off x="3291763" y="1600492"/>
          <a:ext cx="446792" cy="446792"/>
        </a:xfrm>
        <a:prstGeom prst="rect">
          <a:avLst/>
        </a:prstGeom>
        <a:blipFill>
          <a:blip xmlns:r="http://schemas.openxmlformats.org/officeDocument/2006/relationships"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tretch>
            <a:fillRect/>
          </a:stretch>
        </a:blip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26ACB0D-85A0-482E-B55D-E5C16C85D1F6}">
      <dsp:nvSpPr>
        <dsp:cNvPr id="0" name=""/>
        <dsp:cNvSpPr/>
      </dsp:nvSpPr>
      <dsp:spPr>
        <a:xfrm>
          <a:off x="4065397" y="1438722"/>
          <a:ext cx="1815783" cy="7703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0" lvl="0" indent="0" algn="l" defTabSz="488950">
            <a:lnSpc>
              <a:spcPct val="100000"/>
            </a:lnSpc>
            <a:spcBef>
              <a:spcPct val="0"/>
            </a:spcBef>
            <a:spcAft>
              <a:spcPct val="35000"/>
            </a:spcAft>
            <a:buNone/>
          </a:pPr>
          <a:r>
            <a:rPr lang="en-US" sz="1100" i="0" kern="1200"/>
            <a:t>Integrated National Financing Frameworks (INFFs) and Portfolios</a:t>
          </a:r>
          <a:endParaRPr lang="en-US" sz="1100" kern="1200"/>
        </a:p>
      </dsp:txBody>
      <dsp:txXfrm>
        <a:off x="4065397" y="1438722"/>
        <a:ext cx="1815783" cy="770332"/>
      </dsp:txXfrm>
    </dsp:sp>
  </dsp:spTree>
</dsp:drawing>
</file>

<file path=word/diagrams/layout1.xml><?xml version="1.0" encoding="utf-8"?>
<dgm:layoutDef xmlns:dgm="http://schemas.openxmlformats.org/drawingml/2006/diagram" xmlns:a="http://schemas.openxmlformats.org/drawingml/2006/main" uniqueId="urn:microsoft.com/office/officeart/2018/2/layout/IconCircleList">
  <dgm:title val="Icon Circle List"/>
  <dgm:desc val="Use to show non-sequential or grouped chunks of information accompanied by related visuals. Circular shapes can hold an icon or small picture and corresponding text box shows Level 1 text. Works best for icons or small pictures with medium-length descriptions."/>
  <dgm:catLst>
    <dgm:cat type="icon" pri="500"/>
  </dgm:catLst>
  <dgm:sampData useDef="1">
    <dgm:dataModel>
      <dgm:ptLst/>
      <dgm:bg/>
      <dgm:whole/>
    </dgm:dataModel>
  </dgm:sampData>
  <dgm:styleData useDef="1">
    <dgm:dataModel>
      <dgm:ptLst/>
      <dgm:bg/>
      <dgm:whole/>
    </dgm:dataModel>
  </dgm:styleData>
  <dgm:clrData useDef="1">
    <dgm:dataModel>
      <dgm:ptLst/>
      <dgm:bg/>
      <dgm:whole/>
    </dgm:dataModel>
  </dgm:clrData>
  <dgm:layoutNode name="root">
    <dgm:varLst>
      <dgm:dir/>
      <dgm:resizeHandles val="exact"/>
    </dgm:varLst>
    <dgm:alg type="sp"/>
    <dgm:shape xmlns:r="http://schemas.openxmlformats.org/officeDocument/2006/relationships" r:blip="">
      <dgm:adjLst/>
    </dgm:shape>
    <dgm:presOf/>
    <dgm:choose name="Name0">
      <dgm:if name="Name1" axis="ch" ptType="node" func="cnt" op="lte" val="3">
        <dgm:constrLst>
          <dgm:constr type="w" for="ch" forName="container" refType="w"/>
          <dgm:constr type="h" for="ch" forName="container" refType="h" fact="0.4"/>
        </dgm:constrLst>
      </dgm:if>
      <dgm:else name="Name2">
        <dgm:constrLst>
          <dgm:constr type="w" for="ch" forName="container" refType="w"/>
          <dgm:constr type="h" for="ch" forName="container" refType="h"/>
        </dgm:constrLst>
      </dgm:else>
    </dgm:choose>
    <dgm:ruleLst>
      <dgm:rule type="h" for="ch" forName="container" val="INF" fact="NaN" max="NaN"/>
    </dgm:ruleLst>
    <dgm:layoutNode name="container">
      <dgm:varLst>
        <dgm:dir/>
        <dgm:resizeHandles val="exact"/>
      </dgm:varLst>
      <dgm:choose name="Name3">
        <dgm:if name="Name4" axis="self" func="var" arg="dir" op="equ" val="norm">
          <dgm:alg type="snake">
            <dgm:param type="grDir" val="tL"/>
            <dgm:param type="flowDir" val="row"/>
            <dgm:param type="contDir" val="sameDir"/>
          </dgm:alg>
        </dgm:if>
        <dgm:else name="Name5">
          <dgm:alg type="snake">
            <dgm:param type="grDir" val="tR"/>
            <dgm:param type="flowDir" val="row"/>
            <dgm:param type="contDir" val="sameDir"/>
          </dgm:alg>
        </dgm:else>
      </dgm:choose>
      <dgm:shape xmlns:r="http://schemas.openxmlformats.org/officeDocument/2006/relationships" r:blip="">
        <dgm:adjLst/>
      </dgm:shape>
      <dgm:presOf/>
      <dgm:constrLst>
        <dgm:constr type="w" for="ch" forName="compNode" refType="w"/>
        <dgm:constr type="h" for="ch" forName="compNode" refType="w" fact="0.28"/>
        <dgm:constr type="w" for="ch" forName="sibTrans" refType="w" refFor="ch" refForName="compNode" fact="0.115"/>
        <dgm:constr type="sp" refType="h" op="equ" fact="0.17"/>
        <dgm:constr type="primFontSz" for="des" ptType="node" op="equ" val="24"/>
        <dgm:constr type="h" for="des" forName="compNode" op="equ"/>
        <dgm:constr type="h" for="des" forName="iconBgRect" op="equ"/>
      </dgm:constrLst>
      <dgm:ruleLst>
        <dgm:rule type="w" for="ch" forName="compNode" val="60" fact="NaN" max="NaN"/>
      </dgm:ruleLst>
      <dgm:forEach name="Name6" axis="ch" ptType="node">
        <dgm:layoutNode name="compNode">
          <dgm:alg type="composite"/>
          <dgm:shape xmlns:r="http://schemas.openxmlformats.org/officeDocument/2006/relationships" r:blip="">
            <dgm:adjLst/>
          </dgm:shape>
          <dgm:presOf axis="self"/>
          <dgm:constrLst>
            <dgm:constr type="w" for="ch" forName="iconBgRect" refType="w" fact="0.28"/>
            <dgm:constr type="h" for="ch" forName="iconBgRect" refType="w" refFor="ch" refForName="iconBgRect"/>
            <dgm:constr type="t" for="ch" forName="iconBgRect"/>
            <dgm:constr type="l" for="ch" forName="iconBgRect"/>
            <dgm:constr type="w" for="ch" forName="iconRect" refType="w" refFor="ch" refForName="iconBgRect" fact="0.58"/>
            <dgm:constr type="h" for="ch" forName="iconRect" refType="w" refFor="ch" refForName="iconRect"/>
            <dgm:constr type="ctrX" for="ch" forName="iconRect" refType="ctrX" refFor="ch" refForName="iconBgRect"/>
            <dgm:constr type="ctrY" for="ch" forName="iconRect" refType="ctrY" refFor="ch" refForName="iconBgRect"/>
            <dgm:constr type="w" for="ch" forName="spaceRect" refType="w" fact="0.06"/>
            <dgm:constr type="h" for="ch" forName="spaceRect" refType="h" refFor="ch" refForName="iconBgRect"/>
            <dgm:constr type="t" for="ch" forName="spaceRect" refType="t" refFor="ch" refForName="iconBgRect"/>
            <dgm:constr type="l" for="ch" forName="spaceRect" refType="r" refFor="ch" refForName="iconBgRect"/>
            <dgm:constr type="h" for="ch" forName="textRect" refType="h" refFor="ch" refForName="iconBgRect"/>
            <dgm:constr type="t" for="ch" forName="textRect" refType="t" refFor="ch" refForName="iconBgRect"/>
            <dgm:constr type="l" for="ch" forName="textRect" refType="r" refFor="ch" refForName="spaceRect"/>
          </dgm:constrLst>
          <dgm:ruleLst/>
          <dgm:layoutNode name="iconBgRect" styleLbl="bgShp">
            <dgm:alg type="sp"/>
            <dgm:shape xmlns:r="http://schemas.openxmlformats.org/officeDocument/2006/relationships" type="ellipse" r:blip="">
              <dgm:adjLst/>
            </dgm:shape>
            <dgm:presOf/>
            <dgm:constrLst/>
            <dgm:ruleLst/>
          </dgm:layoutNode>
          <dgm:layoutNode name="iconRect" styleLbl="node1">
            <dgm:alg type="sp"/>
            <dgm:shape xmlns:r="http://schemas.openxmlformats.org/officeDocument/2006/relationships" type="rect" r:blip="" blipPhldr="1">
              <dgm:adjLst/>
            </dgm:shape>
            <dgm:presOf/>
            <dgm:constrLst/>
            <dgm:ruleLst/>
          </dgm:layoutNode>
          <dgm:layoutNode name="spaceRect">
            <dgm:alg type="sp"/>
            <dgm:shape xmlns:r="http://schemas.openxmlformats.org/officeDocument/2006/relationships" r:blip="">
              <dgm:adjLst/>
            </dgm:shape>
            <dgm:presOf/>
            <dgm:constrLst/>
            <dgm:ruleLst/>
          </dgm:layoutNode>
          <dgm:layoutNode name="textRect" styleLbl="revTx">
            <dgm:varLst>
              <dgm:chMax val="1"/>
              <dgm:chPref val="1"/>
            </dgm:varLst>
            <dgm:choose name="Name7">
              <dgm:if name="Name8" func="var" arg="dir" op="equ" val="norm">
                <dgm:alg type="tx">
                  <dgm:param type="txAnchorVert" val="mid"/>
                  <dgm:param type="parTxLTRAlign" val="l"/>
                  <dgm:param type="shpTxLTRAlignCh" val="l"/>
                  <dgm:param type="parTxRTLAlign" val="l"/>
                  <dgm:param type="shpTxRTLAlignCh" val="l"/>
                </dgm:alg>
              </dgm:if>
              <dgm:else name="Name9">
                <dgm:alg type="tx">
                  <dgm:param type="txAnchorVert" val="mid"/>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self" ptType="node"/>
            <dgm:constrLst>
              <dgm:constr type="lMarg"/>
              <dgm:constr type="rMarg"/>
              <dgm:constr type="tMarg"/>
              <dgm:constr type="bMarg"/>
            </dgm:constrLst>
            <dgm:ruleLst>
              <dgm:rule type="primFontSz" val="11" fact="NaN" max="NaN"/>
            </dgm:ruleLst>
          </dgm:layoutNode>
        </dgm:layoutNode>
        <dgm:forEach name="Name10"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extLst>
    <a:ext uri="{68A01E43-0DF5-4B5B-8FA6-DAF915123BFB}">
      <dgm1612:lstStyle xmlns:dgm1612="http://schemas.microsoft.com/office/drawing/2016/12/diagram">
        <a:lvl1pPr>
          <a:lnSpc>
            <a:spcPct val="100000"/>
          </a:lnSpc>
        </a:lvl1pPr>
      </dgm1612:lstStyle>
    </a:ext>
  </dgm:extLst>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etropolitan">
  <a:themeElements>
    <a:clrScheme name="Blue">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Metropolitan">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Metropolitan">
      <a:fillStyleLst>
        <a:solidFill>
          <a:schemeClr val="phClr"/>
        </a:solidFill>
        <a:gradFill rotWithShape="1">
          <a:gsLst>
            <a:gs pos="0">
              <a:schemeClr val="phClr">
                <a:tint val="70000"/>
                <a:satMod val="100000"/>
                <a:lumMod val="110000"/>
              </a:schemeClr>
            </a:gs>
            <a:gs pos="50000">
              <a:schemeClr val="phClr">
                <a:tint val="75000"/>
                <a:satMod val="101000"/>
                <a:lumMod val="105000"/>
              </a:schemeClr>
            </a:gs>
            <a:gs pos="100000">
              <a:schemeClr val="phClr">
                <a:tint val="82000"/>
                <a:satMod val="104000"/>
                <a:lumMod val="105000"/>
              </a:schemeClr>
            </a:gs>
          </a:gsLst>
          <a:lin ang="2700000" scaled="0"/>
        </a:gradFill>
        <a:gradFill rotWithShape="1">
          <a:gsLst>
            <a:gs pos="0">
              <a:schemeClr val="phClr">
                <a:tint val="97000"/>
                <a:satMod val="100000"/>
                <a:lumMod val="102000"/>
              </a:schemeClr>
            </a:gs>
            <a:gs pos="50000">
              <a:schemeClr val="phClr">
                <a:shade val="100000"/>
                <a:satMod val="100000"/>
                <a:lumMod val="100000"/>
              </a:schemeClr>
            </a:gs>
            <a:gs pos="100000">
              <a:schemeClr val="phClr">
                <a:shade val="80000"/>
                <a:satMod val="100000"/>
                <a:lumMod val="99000"/>
              </a:schemeClr>
            </a:gs>
          </a:gsLst>
          <a:lin ang="2700000" scaled="0"/>
        </a:gradFill>
      </a:fillStyleLst>
      <a:lnStyleLst>
        <a:ln w="9525"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solidFill>
          <a:schemeClr val="phClr">
            <a:shade val="95000"/>
            <a:satMod val="170000"/>
          </a:schemeClr>
        </a:solidFill>
      </a:bgFillStyleLst>
    </a:fmtScheme>
  </a:themeElements>
  <a:objectDefaults/>
  <a:extraClrSchemeLst/>
  <a:extLst>
    <a:ext uri="{05A4C25C-085E-4340-85A3-A5531E510DB2}">
      <thm15:themeFamily xmlns:thm15="http://schemas.microsoft.com/office/thememl/2012/main" name="Metropolitan" id="{4C5440D6-04D2-4954-96CF-F251137069B2}" vid="{79CFCA13-9412-4290-BB4B-85112F88857B}"/>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0D38FA-8FCF-496C-81F7-73E5FA45EF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TotalTime>
  <Pages>49</Pages>
  <Words>19965</Words>
  <Characters>108215</Characters>
  <Application>Microsoft Office Word</Application>
  <DocSecurity>0</DocSecurity>
  <Lines>2003</Lines>
  <Paragraphs>832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127348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Aleksandar Stojkov</dc:creator>
  <cp:keywords/>
  <dc:description/>
  <cp:lastModifiedBy>Nikola Ilievski</cp:lastModifiedBy>
  <cp:revision>11</cp:revision>
  <cp:lastPrinted>2023-05-10T09:45:00Z</cp:lastPrinted>
  <dcterms:created xsi:type="dcterms:W3CDTF">2024-01-29T12:29:00Z</dcterms:created>
  <dcterms:modified xsi:type="dcterms:W3CDTF">2024-04-26T09:46:00Z</dcterms:modified>
</cp:coreProperties>
</file>