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0277" w14:textId="77777777" w:rsidR="00994189" w:rsidRDefault="00994189" w:rsidP="00C55E93">
      <w:pPr>
        <w:jc w:val="center"/>
        <w:rPr>
          <w:rFonts w:asciiTheme="minorHAnsi" w:eastAsiaTheme="minorEastAsia" w:hAnsiTheme="minorHAnsi" w:cstheme="minorBidi"/>
          <w:b/>
          <w:bCs/>
          <w:noProof/>
          <w:szCs w:val="24"/>
          <w:lang w:val="mk-MK"/>
        </w:rPr>
      </w:pPr>
    </w:p>
    <w:p w14:paraId="1F9C4B1E" w14:textId="19D220F4" w:rsidR="1214872C" w:rsidRPr="00C55E93" w:rsidRDefault="00C55E93" w:rsidP="00C55E93">
      <w:pPr>
        <w:jc w:val="center"/>
        <w:rPr>
          <w:rFonts w:asciiTheme="minorHAnsi" w:eastAsiaTheme="minorEastAsia" w:hAnsiTheme="minorHAnsi" w:cstheme="minorBidi"/>
          <w:b/>
          <w:bCs/>
          <w:noProof/>
          <w:szCs w:val="24"/>
          <w:lang w:val="en-GB"/>
        </w:rPr>
      </w:pPr>
      <w:r w:rsidRPr="00C55E93">
        <w:rPr>
          <w:rFonts w:asciiTheme="minorHAnsi" w:eastAsiaTheme="minorEastAsia" w:hAnsiTheme="minorHAnsi" w:cstheme="minorBidi"/>
          <w:b/>
          <w:bCs/>
          <w:noProof/>
          <w:szCs w:val="24"/>
          <w:lang w:val="mk-MK"/>
        </w:rPr>
        <w:t xml:space="preserve">Анекс </w:t>
      </w:r>
      <w:r w:rsidRPr="00C55E93">
        <w:rPr>
          <w:rFonts w:asciiTheme="minorHAnsi" w:eastAsiaTheme="minorEastAsia" w:hAnsiTheme="minorHAnsi" w:cstheme="minorBidi"/>
          <w:b/>
          <w:bCs/>
          <w:noProof/>
          <w:szCs w:val="24"/>
          <w:lang w:val="en-GB"/>
        </w:rPr>
        <w:t xml:space="preserve">4: </w:t>
      </w:r>
      <w:r>
        <w:rPr>
          <w:rFonts w:asciiTheme="minorHAnsi" w:eastAsiaTheme="minorEastAsia" w:hAnsiTheme="minorHAnsi" w:cstheme="minorBidi"/>
          <w:b/>
          <w:bCs/>
          <w:noProof/>
          <w:szCs w:val="24"/>
          <w:lang w:val="mk-MK"/>
        </w:rPr>
        <w:t>Договор</w:t>
      </w:r>
      <w:r w:rsidRPr="00C55E93">
        <w:rPr>
          <w:rFonts w:asciiTheme="minorHAnsi" w:eastAsiaTheme="minorEastAsia" w:hAnsiTheme="minorHAnsi" w:cstheme="minorBidi"/>
          <w:b/>
          <w:bCs/>
          <w:noProof/>
          <w:szCs w:val="24"/>
          <w:lang w:val="en-GB"/>
        </w:rPr>
        <w:t xml:space="preserve"> за партнерство</w:t>
      </w:r>
    </w:p>
    <w:p w14:paraId="5E46BCC6" w14:textId="77777777" w:rsidR="00C55E93" w:rsidRDefault="00C55E93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4FA7B951" w14:textId="14208757" w:rsidR="00C55E93" w:rsidRDefault="00C55E93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Партнерството вклучува врска помеѓу две или повеќе </w:t>
      </w:r>
      <w:r w:rsidR="00D266FB"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граѓански организации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или здруженија, со што јасно се утврдува одговорноста на партнерите во спроведувањето на проектот „</w:t>
      </w:r>
      <w:r w:rsidR="00994189" w:rsidRPr="00994189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Зајакнување на капацитетите на локалните заедници за справување со                                                          дезинформации и родово базирани дезинформации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“. За да може проектот да се спроведе без проблеми, сите организации кои се дел од партнерството мора да ги почитуваат принципите на добра практика:</w:t>
      </w:r>
    </w:p>
    <w:p w14:paraId="7E38ECC5" w14:textId="00AA734C" w:rsidR="4E9E5CC0" w:rsidRDefault="523CD763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</w:t>
      </w:r>
    </w:p>
    <w:p w14:paraId="282A1C55" w14:textId="57166867" w:rsidR="00C55E93" w:rsidRPr="00C55E93" w:rsidRDefault="00C55E93" w:rsidP="00C55E9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пред да ја поднесат апликацијата на Јавниот повик, сите партнери го прочитаа текстот на Јавниот повик и Водичот за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поднесување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на предлог проекти и јасно ги дефинираа индивидуалните одговорности во спроведувањето на активностите и управувањето со проектите и соодветно на тоа распределија финансиски средства помеѓу партнерите. Оваа поделба на одговорностите мора јасно да биде претставена во Предлог-проектот и прегледот на буџетот.</w:t>
      </w:r>
    </w:p>
    <w:p w14:paraId="728DAA24" w14:textId="47E55002" w:rsidR="00C55E93" w:rsidRPr="00C55E93" w:rsidRDefault="00C55E93" w:rsidP="00C55E9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Сите партнери го овластуваат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 xml:space="preserve"> подносителот на проектот 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да г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и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застапува во сите односи со донаторот (УНДП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Северна Македонија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) во контекст на имплементацијата на проектот.</w:t>
      </w:r>
    </w:p>
    <w:p w14:paraId="3FC508EF" w14:textId="0844832C" w:rsidR="00C55E93" w:rsidRPr="00C55E93" w:rsidRDefault="00C55E93" w:rsidP="00C55E9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Подносителот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и сите партнерски организации се обврзани да одржуваат редовни состаноци и да работат заедно за да го надгледуваат спроведувањето на проектот и да ги разгледаат начините за надминување на предизвиците и тешкотиите што се јавуваат при спроведувањето.</w:t>
      </w:r>
    </w:p>
    <w:p w14:paraId="04F49B5C" w14:textId="2FA6CAAB" w:rsidR="00C55E93" w:rsidRPr="00C55E93" w:rsidRDefault="00C55E93" w:rsidP="00C55E9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Сите партнери се обврзани да учествуваат во заедничката подготовка на наративни и финансиски извештаи, а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подносителот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ги доставува до донаторот во согласност со Договорот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за грант со мала вредност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потпишан со донаторот (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УНДП Северна Македонија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).</w:t>
      </w:r>
    </w:p>
    <w:p w14:paraId="2EDCF440" w14:textId="2DC14D80" w:rsidR="00C55E93" w:rsidRDefault="00C55E93" w:rsidP="00C55E9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Предлогот за секоја измена на проектот треба да биде предложен и договорен меѓу партнерите, а потоа подносителот на предлог-проектот го доставува до донаторот на одобрување.</w:t>
      </w:r>
    </w:p>
    <w:p w14:paraId="4CC483DA" w14:textId="042135A2" w:rsidR="4E9E5CC0" w:rsidRDefault="4E9E5CC0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0B7ED071" w14:textId="6EC87A1A" w:rsidR="4E9E5CC0" w:rsidRPr="00D8064E" w:rsidRDefault="00D8064E" w:rsidP="00D266FB">
      <w:pPr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ИЗЈАВА ЗА ПАРТНЕРСТВО</w:t>
      </w:r>
    </w:p>
    <w:p w14:paraId="636D8D0C" w14:textId="081770D7" w:rsidR="4E9E5CC0" w:rsidRDefault="4E9E5CC0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</w:t>
      </w:r>
    </w:p>
    <w:p w14:paraId="11CE77D2" w14:textId="058434BC" w:rsidR="4E9E5CC0" w:rsidRDefault="00D8064E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Ја прочитавме и ја разбравме содржината на предлог-проектот</w:t>
      </w:r>
    </w:p>
    <w:p w14:paraId="27E8244B" w14:textId="77777777" w:rsidR="00C55E93" w:rsidRDefault="00C55E93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045B0D20" w14:textId="7E8C1B83" w:rsidR="4E9E5CC0" w:rsidRDefault="4E9E5CC0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__________________________________________________</w:t>
      </w:r>
      <w:r w:rsidR="00D8064E"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>_________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________________</w:t>
      </w:r>
    </w:p>
    <w:p w14:paraId="798AB0B5" w14:textId="495429E1" w:rsidR="00D8064E" w:rsidRDefault="4E9E5CC0" w:rsidP="00D8064E">
      <w:pPr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</w:t>
      </w:r>
      <w:r w:rsidR="7D836F3D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(</w:t>
      </w:r>
      <w:r w:rsidR="00D8064E"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назив на проектот</w:t>
      </w:r>
      <w:r w:rsidR="405744E4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)</w:t>
      </w:r>
    </w:p>
    <w:p w14:paraId="2E913899" w14:textId="77777777" w:rsidR="00D8064E" w:rsidRDefault="00D8064E" w:rsidP="00D8064E">
      <w:pPr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3B295D7F" w14:textId="22406121" w:rsidR="00D8064E" w:rsidRPr="00D8064E" w:rsidRDefault="00D8064E" w:rsidP="00D8064E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к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ој главниот апликант ќе го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достави до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УНДП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Северна Македонија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, во рамките на проектот „</w:t>
      </w:r>
      <w:r w:rsidR="00994189" w:rsidRPr="00994189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Зајакнување на капацитетите на локалните заедници за справување со                                                          дезинформации и родово базирани дезинформации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“, и се согласуваме со неговото поднесување.</w:t>
      </w:r>
    </w:p>
    <w:p w14:paraId="3CF494A6" w14:textId="77777777" w:rsidR="00D8064E" w:rsidRPr="00D8064E" w:rsidRDefault="00D8064E" w:rsidP="00D8064E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0FDF73FF" w14:textId="60360BD2" w:rsidR="00D8064E" w:rsidRDefault="00D8064E" w:rsidP="00D8064E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Се обврзуваме дека во текот на имплементацијата на проектот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 xml:space="preserve"> 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„</w:t>
      </w:r>
      <w:r w:rsidR="00994189" w:rsidRPr="00994189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Зајакнување на капацитетите на локалните заедници за справување со                                                          дезинформации и родово базирани дезинформации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“ ќе постапиме во согласност со горенаведените принципи на добра практика за партнерс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тво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и партнерските обврски наведени во Предлог-проектот.</w:t>
      </w:r>
    </w:p>
    <w:p w14:paraId="71B8BB67" w14:textId="77777777" w:rsidR="00D266FB" w:rsidRDefault="00D266FB" w:rsidP="00D8064E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484C4579" w14:textId="424D7A8F" w:rsidR="435A297A" w:rsidRDefault="435A297A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tbl>
      <w:tblPr>
        <w:tblStyle w:val="TableGrid"/>
        <w:tblW w:w="8409" w:type="dxa"/>
        <w:tblLayout w:type="fixed"/>
        <w:tblLook w:val="06A0" w:firstRow="1" w:lastRow="0" w:firstColumn="1" w:lastColumn="0" w:noHBand="1" w:noVBand="1"/>
      </w:tblPr>
      <w:tblGrid>
        <w:gridCol w:w="2074"/>
        <w:gridCol w:w="2074"/>
        <w:gridCol w:w="2074"/>
        <w:gridCol w:w="2187"/>
      </w:tblGrid>
      <w:tr w:rsidR="1214872C" w14:paraId="72B73B19" w14:textId="77777777" w:rsidTr="00C55E93">
        <w:trPr>
          <w:trHeight w:val="791"/>
        </w:trPr>
        <w:tc>
          <w:tcPr>
            <w:tcW w:w="2074" w:type="dxa"/>
          </w:tcPr>
          <w:p w14:paraId="142ECF2E" w14:textId="390AD16E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569A1658" w14:textId="51CA2890" w:rsidR="7A0ED28C" w:rsidRPr="00D8064E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 xml:space="preserve">Назив на граѓанската организација или здружение </w:t>
            </w:r>
          </w:p>
        </w:tc>
        <w:tc>
          <w:tcPr>
            <w:tcW w:w="2074" w:type="dxa"/>
          </w:tcPr>
          <w:p w14:paraId="5F66B75A" w14:textId="4ACD42BB" w:rsidR="7A0ED28C" w:rsidRPr="00D8064E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>Име на овластеното лице</w:t>
            </w:r>
          </w:p>
        </w:tc>
        <w:tc>
          <w:tcPr>
            <w:tcW w:w="2187" w:type="dxa"/>
          </w:tcPr>
          <w:p w14:paraId="5FDBD619" w14:textId="4A1E20CE" w:rsidR="1214872C" w:rsidRPr="00D8064E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 xml:space="preserve">Потпис на овластеното лице и печат на граѓанската организација или здружение </w:t>
            </w:r>
          </w:p>
        </w:tc>
      </w:tr>
      <w:tr w:rsidR="1214872C" w14:paraId="262F67A0" w14:textId="77777777" w:rsidTr="00C55E93">
        <w:trPr>
          <w:trHeight w:val="300"/>
        </w:trPr>
        <w:tc>
          <w:tcPr>
            <w:tcW w:w="2074" w:type="dxa"/>
          </w:tcPr>
          <w:p w14:paraId="08A7B411" w14:textId="477119FE" w:rsidR="7A0ED28C" w:rsidRPr="00D8064E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>Главен подносител</w:t>
            </w:r>
          </w:p>
        </w:tc>
        <w:tc>
          <w:tcPr>
            <w:tcW w:w="2074" w:type="dxa"/>
          </w:tcPr>
          <w:p w14:paraId="3FB9CBD2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387E5A1F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79B14DFC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  <w:tr w:rsidR="1214872C" w14:paraId="24AC85E1" w14:textId="77777777" w:rsidTr="00C55E93">
        <w:trPr>
          <w:trHeight w:val="577"/>
        </w:trPr>
        <w:tc>
          <w:tcPr>
            <w:tcW w:w="2074" w:type="dxa"/>
          </w:tcPr>
          <w:p w14:paraId="284639D3" w14:textId="1F3717CB" w:rsidR="7A0ED28C" w:rsidRPr="00D8064E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 xml:space="preserve">Партнерска организација </w:t>
            </w:r>
          </w:p>
        </w:tc>
        <w:tc>
          <w:tcPr>
            <w:tcW w:w="2074" w:type="dxa"/>
          </w:tcPr>
          <w:p w14:paraId="60B21D62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3B89F8E7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74CD8B60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  <w:tr w:rsidR="1214872C" w14:paraId="60018496" w14:textId="77777777" w:rsidTr="00C55E93">
        <w:trPr>
          <w:trHeight w:val="577"/>
        </w:trPr>
        <w:tc>
          <w:tcPr>
            <w:tcW w:w="2074" w:type="dxa"/>
          </w:tcPr>
          <w:p w14:paraId="30B5B9BD" w14:textId="52B61E84" w:rsidR="1D8BAB09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>Партнерска организација</w:t>
            </w:r>
            <w:r w:rsidR="587D7DFD" w:rsidRPr="435A29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74" w:type="dxa"/>
          </w:tcPr>
          <w:p w14:paraId="6AC3321A" w14:textId="3AA0E750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75CF9790" w14:textId="1195EDC6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3E4F86B9" w14:textId="2228DDE0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  <w:tr w:rsidR="1214872C" w14:paraId="0E8870A7" w14:textId="77777777" w:rsidTr="00C55E93">
        <w:trPr>
          <w:trHeight w:val="577"/>
        </w:trPr>
        <w:tc>
          <w:tcPr>
            <w:tcW w:w="2074" w:type="dxa"/>
          </w:tcPr>
          <w:p w14:paraId="22404A2F" w14:textId="5B502187" w:rsidR="1214872C" w:rsidRPr="00D8064E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>.......</w:t>
            </w:r>
          </w:p>
        </w:tc>
        <w:tc>
          <w:tcPr>
            <w:tcW w:w="2074" w:type="dxa"/>
          </w:tcPr>
          <w:p w14:paraId="5C29B556" w14:textId="7ABE827D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58FA45E5" w14:textId="17C0A83E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101E212E" w14:textId="62FF35C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</w:tbl>
    <w:p w14:paraId="219890B1" w14:textId="77777777" w:rsidR="002E012F" w:rsidRPr="00CC24F4" w:rsidRDefault="002E012F" w:rsidP="00C55E93">
      <w:pPr>
        <w:tabs>
          <w:tab w:val="left" w:pos="534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sectPr w:rsidR="002E012F" w:rsidRPr="00CC24F4" w:rsidSect="00994189">
      <w:headerReference w:type="default" r:id="rId10"/>
      <w:pgSz w:w="11905" w:h="16837"/>
      <w:pgMar w:top="216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FE97" w14:textId="77777777" w:rsidR="009328F6" w:rsidRDefault="009328F6" w:rsidP="00A2184D">
      <w:r>
        <w:separator/>
      </w:r>
    </w:p>
  </w:endnote>
  <w:endnote w:type="continuationSeparator" w:id="0">
    <w:p w14:paraId="16EC918A" w14:textId="77777777" w:rsidR="009328F6" w:rsidRDefault="009328F6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DC55" w14:textId="77777777" w:rsidR="009328F6" w:rsidRDefault="009328F6" w:rsidP="00A2184D">
      <w:r>
        <w:separator/>
      </w:r>
    </w:p>
  </w:footnote>
  <w:footnote w:type="continuationSeparator" w:id="0">
    <w:p w14:paraId="6FBEE3E3" w14:textId="77777777" w:rsidR="009328F6" w:rsidRDefault="009328F6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90B6" w14:textId="4758C8B8" w:rsidR="00635CC4" w:rsidRDefault="003E5675" w:rsidP="00635CC4">
    <w:pPr>
      <w:pStyle w:val="Header"/>
      <w:tabs>
        <w:tab w:val="right" w:pos="8300"/>
      </w:tabs>
    </w:pPr>
    <w:r>
      <w:rPr>
        <w:rFonts w:ascii="Cambria" w:hAnsi="Cambria"/>
        <w:noProof/>
      </w:rPr>
      <w:drawing>
        <wp:anchor distT="0" distB="0" distL="114300" distR="114300" simplePos="0" relativeHeight="251661312" behindDoc="0" locked="0" layoutInCell="1" allowOverlap="1" wp14:anchorId="63F6E321" wp14:editId="36DE5FAB">
          <wp:simplePos x="0" y="0"/>
          <wp:positionH relativeFrom="margin">
            <wp:posOffset>4848225</wp:posOffset>
          </wp:positionH>
          <wp:positionV relativeFrom="paragraph">
            <wp:posOffset>-74295</wp:posOffset>
          </wp:positionV>
          <wp:extent cx="463550" cy="937260"/>
          <wp:effectExtent l="0" t="0" r="0" b="0"/>
          <wp:wrapNone/>
          <wp:docPr id="6" name="Picture 6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39F48" w14:textId="77777777" w:rsidR="00C55E93" w:rsidRDefault="00C55E93" w:rsidP="00C55E93">
    <w:pPr>
      <w:rPr>
        <w:rFonts w:asciiTheme="minorHAnsi" w:hAnsiTheme="minorHAnsi" w:cstheme="minorHAnsi"/>
        <w:color w:val="548DD4" w:themeColor="text2" w:themeTint="99"/>
        <w:sz w:val="22"/>
        <w:szCs w:val="22"/>
        <w:lang w:val="mk-MK"/>
      </w:rPr>
    </w:pPr>
  </w:p>
  <w:p w14:paraId="61ABA7E0" w14:textId="1A7E0106" w:rsidR="003E5675" w:rsidRPr="00EC2505" w:rsidRDefault="00994189" w:rsidP="00994189">
    <w:pPr>
      <w:pStyle w:val="Header"/>
      <w:jc w:val="center"/>
    </w:pPr>
    <w:r w:rsidRPr="00994189">
      <w:rPr>
        <w:rFonts w:asciiTheme="minorHAnsi" w:hAnsiTheme="minorHAnsi" w:cstheme="minorHAnsi"/>
        <w:color w:val="548DD4" w:themeColor="text2" w:themeTint="99"/>
        <w:sz w:val="22"/>
        <w:szCs w:val="22"/>
        <w:lang w:val="mk-MK"/>
      </w:rPr>
      <w:t>Зајакнување на капацитетите на локалните заедници за справување со                                                          дезинформации и родово базирани дезинформации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6F862C6"/>
    <w:multiLevelType w:val="hybridMultilevel"/>
    <w:tmpl w:val="D1F082F8"/>
    <w:lvl w:ilvl="0" w:tplc="F5F07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69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6E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60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C6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2B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EE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03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57AD"/>
    <w:multiLevelType w:val="hybridMultilevel"/>
    <w:tmpl w:val="DCCAE5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01E7"/>
    <w:multiLevelType w:val="hybridMultilevel"/>
    <w:tmpl w:val="05001B06"/>
    <w:lvl w:ilvl="0" w:tplc="3014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66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A1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07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66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E0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EC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28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A4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33204">
    <w:abstractNumId w:val="3"/>
  </w:num>
  <w:num w:numId="2" w16cid:durableId="30808317">
    <w:abstractNumId w:val="1"/>
  </w:num>
  <w:num w:numId="3" w16cid:durableId="1799294467">
    <w:abstractNumId w:val="0"/>
  </w:num>
  <w:num w:numId="4" w16cid:durableId="1257131033">
    <w:abstractNumId w:val="4"/>
  </w:num>
  <w:num w:numId="5" w16cid:durableId="2063287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69A7"/>
    <w:rsid w:val="00051D5B"/>
    <w:rsid w:val="00053252"/>
    <w:rsid w:val="00072243"/>
    <w:rsid w:val="00091AA3"/>
    <w:rsid w:val="000B2D77"/>
    <w:rsid w:val="000B5D7A"/>
    <w:rsid w:val="000B7969"/>
    <w:rsid w:val="000C7F59"/>
    <w:rsid w:val="000D724B"/>
    <w:rsid w:val="00106ADA"/>
    <w:rsid w:val="00115167"/>
    <w:rsid w:val="0012731A"/>
    <w:rsid w:val="00136146"/>
    <w:rsid w:val="00141AB3"/>
    <w:rsid w:val="001500D8"/>
    <w:rsid w:val="0015348F"/>
    <w:rsid w:val="0015790B"/>
    <w:rsid w:val="00162C87"/>
    <w:rsid w:val="0018228D"/>
    <w:rsid w:val="00197309"/>
    <w:rsid w:val="001B6334"/>
    <w:rsid w:val="001E0CA9"/>
    <w:rsid w:val="00204AF9"/>
    <w:rsid w:val="00220896"/>
    <w:rsid w:val="00246162"/>
    <w:rsid w:val="00247776"/>
    <w:rsid w:val="002539C4"/>
    <w:rsid w:val="00254BDA"/>
    <w:rsid w:val="002666C5"/>
    <w:rsid w:val="002D4709"/>
    <w:rsid w:val="002E012F"/>
    <w:rsid w:val="002E48EC"/>
    <w:rsid w:val="00334036"/>
    <w:rsid w:val="00335C0E"/>
    <w:rsid w:val="00360859"/>
    <w:rsid w:val="00381929"/>
    <w:rsid w:val="00391165"/>
    <w:rsid w:val="003A787F"/>
    <w:rsid w:val="003E53C5"/>
    <w:rsid w:val="003E5675"/>
    <w:rsid w:val="004008C9"/>
    <w:rsid w:val="004168B5"/>
    <w:rsid w:val="00440A76"/>
    <w:rsid w:val="00455697"/>
    <w:rsid w:val="00475F86"/>
    <w:rsid w:val="00483EAA"/>
    <w:rsid w:val="004A2180"/>
    <w:rsid w:val="00533C9A"/>
    <w:rsid w:val="00563046"/>
    <w:rsid w:val="00584815"/>
    <w:rsid w:val="005B5A33"/>
    <w:rsid w:val="005B6BAB"/>
    <w:rsid w:val="005C2DA9"/>
    <w:rsid w:val="005C7672"/>
    <w:rsid w:val="005D0E3E"/>
    <w:rsid w:val="005E1AFF"/>
    <w:rsid w:val="006003A9"/>
    <w:rsid w:val="006052A8"/>
    <w:rsid w:val="006071FD"/>
    <w:rsid w:val="00635CC4"/>
    <w:rsid w:val="00642512"/>
    <w:rsid w:val="00681C6D"/>
    <w:rsid w:val="00685210"/>
    <w:rsid w:val="006B5833"/>
    <w:rsid w:val="006C7D6C"/>
    <w:rsid w:val="006D45E1"/>
    <w:rsid w:val="0070442A"/>
    <w:rsid w:val="0071391F"/>
    <w:rsid w:val="00716D4B"/>
    <w:rsid w:val="007408DB"/>
    <w:rsid w:val="007505B1"/>
    <w:rsid w:val="007764C0"/>
    <w:rsid w:val="00781B68"/>
    <w:rsid w:val="00784441"/>
    <w:rsid w:val="007B1518"/>
    <w:rsid w:val="007C004F"/>
    <w:rsid w:val="008118C7"/>
    <w:rsid w:val="00824BD8"/>
    <w:rsid w:val="008C193B"/>
    <w:rsid w:val="008D1C0F"/>
    <w:rsid w:val="00905772"/>
    <w:rsid w:val="00922A02"/>
    <w:rsid w:val="00926F09"/>
    <w:rsid w:val="009328F6"/>
    <w:rsid w:val="0093322F"/>
    <w:rsid w:val="00944DF7"/>
    <w:rsid w:val="00956BD9"/>
    <w:rsid w:val="009727B8"/>
    <w:rsid w:val="009821C2"/>
    <w:rsid w:val="00984C37"/>
    <w:rsid w:val="009856C3"/>
    <w:rsid w:val="00990885"/>
    <w:rsid w:val="00994189"/>
    <w:rsid w:val="009A133A"/>
    <w:rsid w:val="009C4258"/>
    <w:rsid w:val="009D7228"/>
    <w:rsid w:val="00A07F19"/>
    <w:rsid w:val="00A2184D"/>
    <w:rsid w:val="00A6F1C3"/>
    <w:rsid w:val="00A71A74"/>
    <w:rsid w:val="00B11F5A"/>
    <w:rsid w:val="00B35FC4"/>
    <w:rsid w:val="00B4753F"/>
    <w:rsid w:val="00B505E5"/>
    <w:rsid w:val="00B83ADE"/>
    <w:rsid w:val="00B84F48"/>
    <w:rsid w:val="00BA1FCD"/>
    <w:rsid w:val="00BA2150"/>
    <w:rsid w:val="00BB4090"/>
    <w:rsid w:val="00BC4455"/>
    <w:rsid w:val="00BD7052"/>
    <w:rsid w:val="00BE282D"/>
    <w:rsid w:val="00C23FBE"/>
    <w:rsid w:val="00C374BD"/>
    <w:rsid w:val="00C40370"/>
    <w:rsid w:val="00C467E0"/>
    <w:rsid w:val="00C55E93"/>
    <w:rsid w:val="00C60D93"/>
    <w:rsid w:val="00C65D77"/>
    <w:rsid w:val="00C857D9"/>
    <w:rsid w:val="00CC24F4"/>
    <w:rsid w:val="00CD066B"/>
    <w:rsid w:val="00CD7CE9"/>
    <w:rsid w:val="00D00EDA"/>
    <w:rsid w:val="00D266FB"/>
    <w:rsid w:val="00D47215"/>
    <w:rsid w:val="00D61BBF"/>
    <w:rsid w:val="00D8064E"/>
    <w:rsid w:val="00D864BC"/>
    <w:rsid w:val="00D86514"/>
    <w:rsid w:val="00DA203A"/>
    <w:rsid w:val="00DA256B"/>
    <w:rsid w:val="00DA5C62"/>
    <w:rsid w:val="00DB7DAE"/>
    <w:rsid w:val="00DC1D02"/>
    <w:rsid w:val="00DC73F7"/>
    <w:rsid w:val="00DC7DC3"/>
    <w:rsid w:val="00DE6BB7"/>
    <w:rsid w:val="00E0602C"/>
    <w:rsid w:val="00E3043D"/>
    <w:rsid w:val="00E375CC"/>
    <w:rsid w:val="00E57B21"/>
    <w:rsid w:val="00E6CE2E"/>
    <w:rsid w:val="00E77535"/>
    <w:rsid w:val="00E8248A"/>
    <w:rsid w:val="00E826D1"/>
    <w:rsid w:val="00E87577"/>
    <w:rsid w:val="00EC0F98"/>
    <w:rsid w:val="00EC2505"/>
    <w:rsid w:val="00EC63F5"/>
    <w:rsid w:val="00ED35A2"/>
    <w:rsid w:val="00ED4A4E"/>
    <w:rsid w:val="00EE730C"/>
    <w:rsid w:val="00F02970"/>
    <w:rsid w:val="00F14412"/>
    <w:rsid w:val="00F32078"/>
    <w:rsid w:val="00F42E39"/>
    <w:rsid w:val="00F50A5E"/>
    <w:rsid w:val="00F63A0F"/>
    <w:rsid w:val="00F64C64"/>
    <w:rsid w:val="00F90105"/>
    <w:rsid w:val="00F905B1"/>
    <w:rsid w:val="00F97EA2"/>
    <w:rsid w:val="00FA736A"/>
    <w:rsid w:val="00FA7E6C"/>
    <w:rsid w:val="00FB425B"/>
    <w:rsid w:val="00FC021F"/>
    <w:rsid w:val="00FC5A6D"/>
    <w:rsid w:val="00FE3C13"/>
    <w:rsid w:val="00FE77E3"/>
    <w:rsid w:val="01A2D2ED"/>
    <w:rsid w:val="020E72EC"/>
    <w:rsid w:val="0484199F"/>
    <w:rsid w:val="07288EFC"/>
    <w:rsid w:val="07B04844"/>
    <w:rsid w:val="0A6CF168"/>
    <w:rsid w:val="0BA6FA54"/>
    <w:rsid w:val="0F06CB14"/>
    <w:rsid w:val="0F5AA098"/>
    <w:rsid w:val="1074B253"/>
    <w:rsid w:val="11D7ED02"/>
    <w:rsid w:val="1214872C"/>
    <w:rsid w:val="1373BD63"/>
    <w:rsid w:val="145B3DE8"/>
    <w:rsid w:val="147D750C"/>
    <w:rsid w:val="14A40F13"/>
    <w:rsid w:val="14F36E14"/>
    <w:rsid w:val="17324C13"/>
    <w:rsid w:val="17A9A3B1"/>
    <w:rsid w:val="187DD790"/>
    <w:rsid w:val="19FC2744"/>
    <w:rsid w:val="1B7ECF48"/>
    <w:rsid w:val="1CF98029"/>
    <w:rsid w:val="1D33C806"/>
    <w:rsid w:val="1D3842F7"/>
    <w:rsid w:val="1D8BAB09"/>
    <w:rsid w:val="1E0156E0"/>
    <w:rsid w:val="1F98607E"/>
    <w:rsid w:val="2052406B"/>
    <w:rsid w:val="20563DB0"/>
    <w:rsid w:val="20E73242"/>
    <w:rsid w:val="21EE10CC"/>
    <w:rsid w:val="22C4BB21"/>
    <w:rsid w:val="22F8732D"/>
    <w:rsid w:val="23D1A671"/>
    <w:rsid w:val="258AE812"/>
    <w:rsid w:val="26F6F9E9"/>
    <w:rsid w:val="293E8E73"/>
    <w:rsid w:val="294DC217"/>
    <w:rsid w:val="295800D5"/>
    <w:rsid w:val="2C0E3672"/>
    <w:rsid w:val="2C550485"/>
    <w:rsid w:val="2CA17C51"/>
    <w:rsid w:val="2CBBDAA5"/>
    <w:rsid w:val="30E02D54"/>
    <w:rsid w:val="31ADEF95"/>
    <w:rsid w:val="325042BD"/>
    <w:rsid w:val="32DDE70E"/>
    <w:rsid w:val="32E2CC71"/>
    <w:rsid w:val="34A3C1F1"/>
    <w:rsid w:val="3520B4BD"/>
    <w:rsid w:val="36166FEE"/>
    <w:rsid w:val="36F3F544"/>
    <w:rsid w:val="379D1537"/>
    <w:rsid w:val="38E03F8C"/>
    <w:rsid w:val="3AD4B5F9"/>
    <w:rsid w:val="3B78BC85"/>
    <w:rsid w:val="3BCDCD94"/>
    <w:rsid w:val="3C85B172"/>
    <w:rsid w:val="3CCE3FAD"/>
    <w:rsid w:val="3CE3B6DC"/>
    <w:rsid w:val="3E4A0B9E"/>
    <w:rsid w:val="3FA8271C"/>
    <w:rsid w:val="3FBD5234"/>
    <w:rsid w:val="404C2DA8"/>
    <w:rsid w:val="405744E4"/>
    <w:rsid w:val="412E8D8B"/>
    <w:rsid w:val="426E540D"/>
    <w:rsid w:val="42FCE07C"/>
    <w:rsid w:val="435A297A"/>
    <w:rsid w:val="438D9CA0"/>
    <w:rsid w:val="439EF7D8"/>
    <w:rsid w:val="440A246E"/>
    <w:rsid w:val="46BB6F2C"/>
    <w:rsid w:val="47CD2301"/>
    <w:rsid w:val="48573F8D"/>
    <w:rsid w:val="4A058E3C"/>
    <w:rsid w:val="4A7F81A0"/>
    <w:rsid w:val="4CA3C2C2"/>
    <w:rsid w:val="4CD7BFA0"/>
    <w:rsid w:val="4E9E5CC0"/>
    <w:rsid w:val="4F71F976"/>
    <w:rsid w:val="523CD763"/>
    <w:rsid w:val="5250808C"/>
    <w:rsid w:val="526EF642"/>
    <w:rsid w:val="538E1487"/>
    <w:rsid w:val="567544AA"/>
    <w:rsid w:val="5726F00A"/>
    <w:rsid w:val="57E67569"/>
    <w:rsid w:val="587D7DFD"/>
    <w:rsid w:val="58821EA3"/>
    <w:rsid w:val="5AE3CE4E"/>
    <w:rsid w:val="5C51AFB4"/>
    <w:rsid w:val="5F8C1773"/>
    <w:rsid w:val="623413F6"/>
    <w:rsid w:val="62D5B7D6"/>
    <w:rsid w:val="64C27E47"/>
    <w:rsid w:val="664F823E"/>
    <w:rsid w:val="66B3F23F"/>
    <w:rsid w:val="68231FC4"/>
    <w:rsid w:val="6A59DBCD"/>
    <w:rsid w:val="6B3DF7C6"/>
    <w:rsid w:val="6BF5AC2E"/>
    <w:rsid w:val="6E853F82"/>
    <w:rsid w:val="701F86DD"/>
    <w:rsid w:val="73CFE7A4"/>
    <w:rsid w:val="74F85CC5"/>
    <w:rsid w:val="74FEA5C9"/>
    <w:rsid w:val="77404C5B"/>
    <w:rsid w:val="78301F0D"/>
    <w:rsid w:val="792B0B64"/>
    <w:rsid w:val="79E960AE"/>
    <w:rsid w:val="7A0ED28C"/>
    <w:rsid w:val="7AD5361B"/>
    <w:rsid w:val="7C909FA0"/>
    <w:rsid w:val="7CD02CF1"/>
    <w:rsid w:val="7CFEE704"/>
    <w:rsid w:val="7D836F3D"/>
    <w:rsid w:val="7ED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89097"/>
  <w15:docId w15:val="{61EDC073-8010-4BCB-B6E0-BD090E7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C250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c9ed8a0b-46ec-4d5a-84b0-fbfa9802afe9" xsi:nil="true"/>
    <lcf76f155ced4ddcb4097134ff3c332f xmlns="468ea742-2d79-4f0c-a2ef-63bb1f2a0553">
      <Terms xmlns="http://schemas.microsoft.com/office/infopath/2007/PartnerControls"/>
    </lcf76f155ced4ddcb4097134ff3c332f>
    <ifte xmlns="468ea742-2d79-4f0c-a2ef-63bb1f2a0553">
      <UserInfo>
        <DisplayName/>
        <AccountId xsi:nil="true"/>
        <AccountType/>
      </UserInfo>
    </if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DD90FA303DA4BAA0C2704C1820D0E" ma:contentTypeVersion="17" ma:contentTypeDescription="Create a new document." ma:contentTypeScope="" ma:versionID="e745eec55e1e180cd2696cc9d933ed95">
  <xsd:schema xmlns:xsd="http://www.w3.org/2001/XMLSchema" xmlns:xs="http://www.w3.org/2001/XMLSchema" xmlns:p="http://schemas.microsoft.com/office/2006/metadata/properties" xmlns:ns2="468ea742-2d79-4f0c-a2ef-63bb1f2a0553" xmlns:ns3="c9ed8a0b-46ec-4d5a-84b0-fbfa9802afe9" targetNamespace="http://schemas.microsoft.com/office/2006/metadata/properties" ma:root="true" ma:fieldsID="f3114c9613097d08e87be4e2503755ba" ns2:_="" ns3:_="">
    <xsd:import namespace="468ea742-2d79-4f0c-a2ef-63bb1f2a0553"/>
    <xsd:import namespace="c9ed8a0b-46ec-4d5a-84b0-fbfa9802a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ift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a742-2d79-4f0c-a2ef-63bb1f2a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ifte" ma:index="14" nillable="true" ma:displayName="Person or Group" ma:list="UserInfo" ma:internalName="if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8a0b-46ec-4d5a-84b0-fbfa9802a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89f1e0a-a543-4370-97bb-d8998792c27f}" ma:internalName="TaxCatchAll" ma:showField="CatchAllData" ma:web="c9ed8a0b-46ec-4d5a-84b0-fbfa9802a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F4AA0-BED9-4AAB-9331-006D0038B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6E398-E8D4-451E-B151-6D31863E12A9}">
  <ds:schemaRefs>
    <ds:schemaRef ds:uri="http://schemas.microsoft.com/office/2006/metadata/properties"/>
    <ds:schemaRef ds:uri="c9ed8a0b-46ec-4d5a-84b0-fbfa9802afe9"/>
    <ds:schemaRef ds:uri="468ea742-2d79-4f0c-a2ef-63bb1f2a055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BAF04-3A96-49AA-BE2D-09BEB34C7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a742-2d79-4f0c-a2ef-63bb1f2a0553"/>
    <ds:schemaRef ds:uri="c9ed8a0b-46ec-4d5a-84b0-fbfa9802a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Martin Nacevski</cp:lastModifiedBy>
  <cp:revision>16</cp:revision>
  <cp:lastPrinted>2014-02-12T13:59:00Z</cp:lastPrinted>
  <dcterms:created xsi:type="dcterms:W3CDTF">2022-01-17T08:41:00Z</dcterms:created>
  <dcterms:modified xsi:type="dcterms:W3CDTF">2024-03-28T13:00:00Z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0x010100B36DD90FA303DA4BAA0C2704C1820D0E</vt:lpwstr>
  </property>
  <property fmtid="{D5CDD505-2E9C-101B-9397-08002B2CF9AE}" pid="3" name="MediaServiceImageTags">
    <vt:lpwstr/>
  </property>
</Properties>
</file>